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61824" w14:textId="66207DCC" w:rsidR="009260DE" w:rsidRPr="00C84483" w:rsidRDefault="0021526C" w:rsidP="00E6129F">
      <w:pPr>
        <w:rPr>
          <w:b/>
          <w:szCs w:val="24"/>
        </w:rPr>
      </w:pPr>
      <w:r w:rsidRPr="009260DE">
        <w:rPr>
          <w:noProof/>
          <w:sz w:val="24"/>
          <w:szCs w:val="24"/>
          <w:lang w:eastAsia="da-DK"/>
        </w:rPr>
        <w:drawing>
          <wp:anchor distT="0" distB="0" distL="114300" distR="114300" simplePos="0" relativeHeight="251658240" behindDoc="0" locked="0" layoutInCell="1" allowOverlap="1" wp14:anchorId="6A2CCDBB" wp14:editId="53DD5DB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CC8E097" w14:textId="6E2D0E0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00FCC">
        <w:rPr>
          <w:szCs w:val="24"/>
        </w:rPr>
        <w:t>27. februar 2023</w:t>
      </w:r>
    </w:p>
    <w:p w14:paraId="515CCD95" w14:textId="77777777" w:rsidR="009260DE" w:rsidRPr="00C84483" w:rsidRDefault="009260DE" w:rsidP="009260DE">
      <w:pPr>
        <w:pStyle w:val="Titel"/>
        <w:tabs>
          <w:tab w:val="left" w:pos="8222"/>
        </w:tabs>
        <w:jc w:val="left"/>
        <w:rPr>
          <w:b w:val="0"/>
          <w:szCs w:val="24"/>
        </w:rPr>
      </w:pPr>
    </w:p>
    <w:p w14:paraId="07DD49C5" w14:textId="77777777" w:rsidR="009260DE" w:rsidRPr="00C84483" w:rsidRDefault="009260DE" w:rsidP="009260DE">
      <w:pPr>
        <w:pStyle w:val="Titel"/>
        <w:jc w:val="left"/>
        <w:rPr>
          <w:b w:val="0"/>
          <w:szCs w:val="24"/>
        </w:rPr>
      </w:pPr>
    </w:p>
    <w:p w14:paraId="4F63BDBE" w14:textId="77777777" w:rsidR="009260DE" w:rsidRPr="00C84483" w:rsidRDefault="009260DE" w:rsidP="009260DE">
      <w:pPr>
        <w:jc w:val="center"/>
        <w:rPr>
          <w:b/>
          <w:sz w:val="24"/>
          <w:szCs w:val="24"/>
        </w:rPr>
      </w:pPr>
      <w:r w:rsidRPr="00C84483">
        <w:rPr>
          <w:b/>
          <w:sz w:val="24"/>
          <w:szCs w:val="24"/>
        </w:rPr>
        <w:t>PRODUKTRESUMÉ</w:t>
      </w:r>
    </w:p>
    <w:p w14:paraId="4072FE2F" w14:textId="77777777" w:rsidR="009260DE" w:rsidRPr="00C84483" w:rsidRDefault="009260DE" w:rsidP="009260DE">
      <w:pPr>
        <w:jc w:val="center"/>
        <w:rPr>
          <w:b/>
          <w:sz w:val="24"/>
          <w:szCs w:val="24"/>
        </w:rPr>
      </w:pPr>
    </w:p>
    <w:p w14:paraId="168E3AF3" w14:textId="77777777" w:rsidR="009260DE" w:rsidRDefault="009260DE" w:rsidP="009260DE">
      <w:pPr>
        <w:jc w:val="center"/>
        <w:rPr>
          <w:b/>
          <w:sz w:val="24"/>
          <w:szCs w:val="24"/>
        </w:rPr>
      </w:pPr>
      <w:r w:rsidRPr="00C84483">
        <w:rPr>
          <w:b/>
          <w:sz w:val="24"/>
          <w:szCs w:val="24"/>
        </w:rPr>
        <w:t>for</w:t>
      </w:r>
    </w:p>
    <w:p w14:paraId="69784900" w14:textId="77777777" w:rsidR="000B058C" w:rsidRPr="00C84483" w:rsidRDefault="000B058C" w:rsidP="009260DE">
      <w:pPr>
        <w:jc w:val="center"/>
        <w:rPr>
          <w:b/>
          <w:sz w:val="24"/>
          <w:szCs w:val="24"/>
        </w:rPr>
      </w:pPr>
    </w:p>
    <w:p w14:paraId="46958534" w14:textId="50875089" w:rsidR="009260DE" w:rsidRPr="00ED1DB3" w:rsidRDefault="00ED1DB3" w:rsidP="009260DE">
      <w:pPr>
        <w:jc w:val="center"/>
        <w:rPr>
          <w:b/>
          <w:sz w:val="24"/>
          <w:szCs w:val="24"/>
        </w:rPr>
      </w:pPr>
      <w:proofErr w:type="spellStart"/>
      <w:r w:rsidRPr="00ED1DB3">
        <w:rPr>
          <w:b/>
          <w:sz w:val="24"/>
          <w:szCs w:val="24"/>
        </w:rPr>
        <w:t>Pantoprazol</w:t>
      </w:r>
      <w:proofErr w:type="spellEnd"/>
      <w:r w:rsidRPr="00ED1DB3">
        <w:rPr>
          <w:b/>
          <w:sz w:val="24"/>
          <w:szCs w:val="24"/>
        </w:rPr>
        <w:t xml:space="preserve"> "</w:t>
      </w:r>
      <w:proofErr w:type="spellStart"/>
      <w:r w:rsidRPr="00ED1DB3">
        <w:rPr>
          <w:b/>
          <w:sz w:val="24"/>
          <w:szCs w:val="24"/>
        </w:rPr>
        <w:t>Genilac</w:t>
      </w:r>
      <w:proofErr w:type="spellEnd"/>
      <w:r w:rsidRPr="00ED1DB3">
        <w:rPr>
          <w:b/>
          <w:sz w:val="24"/>
          <w:szCs w:val="24"/>
        </w:rPr>
        <w:t xml:space="preserve"> Germany GmbH</w:t>
      </w:r>
      <w:r>
        <w:rPr>
          <w:b/>
          <w:sz w:val="24"/>
          <w:szCs w:val="24"/>
        </w:rPr>
        <w:t>"</w:t>
      </w:r>
      <w:r w:rsidRPr="00ED1DB3">
        <w:rPr>
          <w:b/>
          <w:sz w:val="24"/>
          <w:szCs w:val="24"/>
        </w:rPr>
        <w:t>, pulver ti</w:t>
      </w:r>
      <w:r>
        <w:rPr>
          <w:b/>
          <w:sz w:val="24"/>
          <w:szCs w:val="24"/>
        </w:rPr>
        <w:t xml:space="preserve">l injektionsvæske, opløsning </w:t>
      </w:r>
    </w:p>
    <w:p w14:paraId="7123ED8F" w14:textId="77777777" w:rsidR="009260DE" w:rsidRPr="00ED1DB3" w:rsidRDefault="009260DE" w:rsidP="009260DE">
      <w:pPr>
        <w:jc w:val="both"/>
        <w:rPr>
          <w:sz w:val="24"/>
          <w:szCs w:val="24"/>
        </w:rPr>
      </w:pPr>
    </w:p>
    <w:p w14:paraId="0A5D86B5" w14:textId="77777777" w:rsidR="009260DE" w:rsidRPr="00E6129F" w:rsidRDefault="009260DE" w:rsidP="009260DE">
      <w:pPr>
        <w:jc w:val="both"/>
        <w:rPr>
          <w:sz w:val="24"/>
          <w:szCs w:val="24"/>
        </w:rPr>
      </w:pPr>
    </w:p>
    <w:p w14:paraId="410575B1" w14:textId="77777777" w:rsidR="009260DE" w:rsidRPr="00E6129F" w:rsidRDefault="009260DE" w:rsidP="009260DE">
      <w:pPr>
        <w:tabs>
          <w:tab w:val="left" w:pos="851"/>
        </w:tabs>
        <w:ind w:left="851" w:hanging="851"/>
        <w:rPr>
          <w:b/>
          <w:sz w:val="24"/>
          <w:szCs w:val="24"/>
        </w:rPr>
      </w:pPr>
      <w:r w:rsidRPr="00E6129F">
        <w:rPr>
          <w:b/>
          <w:sz w:val="24"/>
          <w:szCs w:val="24"/>
        </w:rPr>
        <w:t>0.</w:t>
      </w:r>
      <w:r w:rsidRPr="00E6129F">
        <w:rPr>
          <w:b/>
          <w:sz w:val="24"/>
          <w:szCs w:val="24"/>
        </w:rPr>
        <w:tab/>
        <w:t>D.SP.NR.</w:t>
      </w:r>
    </w:p>
    <w:p w14:paraId="0980DA06" w14:textId="1C6CD517" w:rsidR="009260DE" w:rsidRPr="00E6129F" w:rsidRDefault="00ED1DB3" w:rsidP="009260DE">
      <w:pPr>
        <w:tabs>
          <w:tab w:val="left" w:pos="851"/>
        </w:tabs>
        <w:ind w:left="851"/>
        <w:rPr>
          <w:sz w:val="24"/>
          <w:szCs w:val="24"/>
        </w:rPr>
      </w:pPr>
      <w:r w:rsidRPr="00E6129F">
        <w:rPr>
          <w:sz w:val="24"/>
          <w:szCs w:val="24"/>
        </w:rPr>
        <w:t>32</w:t>
      </w:r>
      <w:r w:rsidR="00E64E24" w:rsidRPr="00E6129F">
        <w:rPr>
          <w:sz w:val="24"/>
          <w:szCs w:val="24"/>
        </w:rPr>
        <w:t>468</w:t>
      </w:r>
    </w:p>
    <w:p w14:paraId="2F38E00A" w14:textId="77777777" w:rsidR="009260DE" w:rsidRPr="00E6129F" w:rsidRDefault="009260DE" w:rsidP="009260DE">
      <w:pPr>
        <w:tabs>
          <w:tab w:val="left" w:pos="851"/>
        </w:tabs>
        <w:ind w:left="851"/>
        <w:rPr>
          <w:sz w:val="24"/>
          <w:szCs w:val="24"/>
        </w:rPr>
      </w:pPr>
    </w:p>
    <w:p w14:paraId="33F79A87" w14:textId="77777777" w:rsidR="009260DE" w:rsidRPr="00E6129F" w:rsidRDefault="009260DE" w:rsidP="009260DE">
      <w:pPr>
        <w:tabs>
          <w:tab w:val="left" w:pos="851"/>
        </w:tabs>
        <w:ind w:left="851" w:hanging="851"/>
        <w:rPr>
          <w:b/>
          <w:sz w:val="24"/>
          <w:szCs w:val="24"/>
        </w:rPr>
      </w:pPr>
      <w:r w:rsidRPr="00E6129F">
        <w:rPr>
          <w:b/>
          <w:sz w:val="24"/>
          <w:szCs w:val="24"/>
        </w:rPr>
        <w:t>1.</w:t>
      </w:r>
      <w:r w:rsidRPr="00E6129F">
        <w:rPr>
          <w:b/>
          <w:sz w:val="24"/>
          <w:szCs w:val="24"/>
        </w:rPr>
        <w:tab/>
        <w:t>LÆGEMIDLETS NAVN</w:t>
      </w:r>
    </w:p>
    <w:p w14:paraId="3CEFFE0A" w14:textId="6369D7AF" w:rsidR="009260DE" w:rsidRPr="00E6129F" w:rsidRDefault="00E64E24" w:rsidP="009260DE">
      <w:pPr>
        <w:tabs>
          <w:tab w:val="left" w:pos="851"/>
        </w:tabs>
        <w:ind w:left="851"/>
        <w:rPr>
          <w:sz w:val="24"/>
          <w:szCs w:val="24"/>
        </w:rPr>
      </w:pPr>
      <w:proofErr w:type="spellStart"/>
      <w:r w:rsidRPr="00E6129F">
        <w:rPr>
          <w:sz w:val="24"/>
          <w:szCs w:val="24"/>
        </w:rPr>
        <w:t>Pantoprazol</w:t>
      </w:r>
      <w:proofErr w:type="spellEnd"/>
      <w:r w:rsidRPr="00E6129F">
        <w:rPr>
          <w:sz w:val="24"/>
          <w:szCs w:val="24"/>
        </w:rPr>
        <w:t xml:space="preserve"> "</w:t>
      </w:r>
      <w:proofErr w:type="spellStart"/>
      <w:r w:rsidRPr="00E6129F">
        <w:rPr>
          <w:sz w:val="24"/>
          <w:szCs w:val="24"/>
        </w:rPr>
        <w:t>Genilac</w:t>
      </w:r>
      <w:proofErr w:type="spellEnd"/>
      <w:r w:rsidRPr="00E6129F">
        <w:rPr>
          <w:sz w:val="24"/>
          <w:szCs w:val="24"/>
        </w:rPr>
        <w:t xml:space="preserve"> Germany GmbH"</w:t>
      </w:r>
    </w:p>
    <w:p w14:paraId="5DF1AD08" w14:textId="77777777" w:rsidR="009260DE" w:rsidRPr="00E6129F" w:rsidRDefault="009260DE" w:rsidP="009260DE">
      <w:pPr>
        <w:tabs>
          <w:tab w:val="left" w:pos="851"/>
        </w:tabs>
        <w:ind w:left="851"/>
        <w:rPr>
          <w:sz w:val="24"/>
          <w:szCs w:val="24"/>
        </w:rPr>
      </w:pPr>
    </w:p>
    <w:p w14:paraId="1B87FF39" w14:textId="77777777" w:rsidR="009260DE" w:rsidRPr="00E6129F" w:rsidRDefault="009260DE" w:rsidP="009260DE">
      <w:pPr>
        <w:tabs>
          <w:tab w:val="left" w:pos="851"/>
        </w:tabs>
        <w:ind w:left="851" w:hanging="851"/>
        <w:rPr>
          <w:b/>
          <w:sz w:val="24"/>
          <w:szCs w:val="24"/>
        </w:rPr>
      </w:pPr>
      <w:r w:rsidRPr="00E6129F">
        <w:rPr>
          <w:b/>
          <w:sz w:val="24"/>
          <w:szCs w:val="24"/>
        </w:rPr>
        <w:t>2.</w:t>
      </w:r>
      <w:r w:rsidRPr="00E6129F">
        <w:rPr>
          <w:b/>
          <w:sz w:val="24"/>
          <w:szCs w:val="24"/>
        </w:rPr>
        <w:tab/>
        <w:t>KVALITATIV OG KVANTITATIV SAMMENSÆTNING</w:t>
      </w:r>
    </w:p>
    <w:p w14:paraId="0F7CB511" w14:textId="77777777" w:rsidR="009B0F38" w:rsidRPr="00E6129F" w:rsidRDefault="009B0F38" w:rsidP="009B0F38">
      <w:pPr>
        <w:ind w:left="851"/>
        <w:rPr>
          <w:sz w:val="24"/>
          <w:szCs w:val="24"/>
          <w:lang w:eastAsia="da-DK"/>
        </w:rPr>
      </w:pPr>
      <w:r w:rsidRPr="00E6129F">
        <w:rPr>
          <w:sz w:val="24"/>
          <w:szCs w:val="24"/>
        </w:rPr>
        <w:t xml:space="preserve">Hvert hætteglas indeholder </w:t>
      </w:r>
      <w:proofErr w:type="spellStart"/>
      <w:r w:rsidRPr="00E6129F">
        <w:rPr>
          <w:sz w:val="24"/>
          <w:szCs w:val="24"/>
        </w:rPr>
        <w:t>pantoprazolnatriumsesquihydrat</w:t>
      </w:r>
      <w:proofErr w:type="spellEnd"/>
      <w:r w:rsidRPr="00E6129F">
        <w:rPr>
          <w:sz w:val="24"/>
          <w:szCs w:val="24"/>
        </w:rPr>
        <w:t xml:space="preserve">, svarende til 40 mg </w:t>
      </w:r>
      <w:proofErr w:type="spellStart"/>
      <w:r w:rsidRPr="00E6129F">
        <w:rPr>
          <w:sz w:val="24"/>
          <w:szCs w:val="24"/>
        </w:rPr>
        <w:t>pantoprazol</w:t>
      </w:r>
      <w:proofErr w:type="spellEnd"/>
      <w:r w:rsidRPr="00E6129F">
        <w:rPr>
          <w:sz w:val="24"/>
          <w:szCs w:val="24"/>
        </w:rPr>
        <w:t>.</w:t>
      </w:r>
    </w:p>
    <w:p w14:paraId="3E3AF650" w14:textId="77777777" w:rsidR="009B0F38" w:rsidRPr="00E6129F" w:rsidRDefault="009B0F38" w:rsidP="009B0F38">
      <w:pPr>
        <w:ind w:left="851"/>
        <w:rPr>
          <w:sz w:val="24"/>
          <w:szCs w:val="24"/>
        </w:rPr>
      </w:pPr>
    </w:p>
    <w:p w14:paraId="77082A2F" w14:textId="77777777" w:rsidR="009B0F38" w:rsidRPr="00E6129F" w:rsidRDefault="009B0F38" w:rsidP="009B0F38">
      <w:pPr>
        <w:tabs>
          <w:tab w:val="left" w:pos="851"/>
        </w:tabs>
        <w:ind w:firstLine="851"/>
        <w:rPr>
          <w:sz w:val="24"/>
          <w:szCs w:val="24"/>
        </w:rPr>
      </w:pPr>
      <w:r w:rsidRPr="00E6129F">
        <w:rPr>
          <w:sz w:val="24"/>
          <w:szCs w:val="24"/>
        </w:rPr>
        <w:t>Alle hjælpestoffer er anført under pkt. 6.1</w:t>
      </w:r>
    </w:p>
    <w:p w14:paraId="622B95AA" w14:textId="77777777" w:rsidR="009260DE" w:rsidRPr="00E6129F" w:rsidRDefault="009260DE" w:rsidP="009260DE">
      <w:pPr>
        <w:tabs>
          <w:tab w:val="left" w:pos="851"/>
        </w:tabs>
        <w:ind w:left="851"/>
        <w:rPr>
          <w:sz w:val="24"/>
          <w:szCs w:val="24"/>
        </w:rPr>
      </w:pPr>
    </w:p>
    <w:p w14:paraId="3D197546" w14:textId="77777777" w:rsidR="009260DE" w:rsidRPr="00E6129F" w:rsidRDefault="009260DE" w:rsidP="009260DE">
      <w:pPr>
        <w:tabs>
          <w:tab w:val="left" w:pos="851"/>
        </w:tabs>
        <w:ind w:left="851" w:hanging="851"/>
        <w:rPr>
          <w:b/>
          <w:sz w:val="24"/>
          <w:szCs w:val="24"/>
        </w:rPr>
      </w:pPr>
      <w:r w:rsidRPr="00E6129F">
        <w:rPr>
          <w:b/>
          <w:sz w:val="24"/>
          <w:szCs w:val="24"/>
        </w:rPr>
        <w:t>3.</w:t>
      </w:r>
      <w:r w:rsidRPr="00E6129F">
        <w:rPr>
          <w:b/>
          <w:sz w:val="24"/>
          <w:szCs w:val="24"/>
        </w:rPr>
        <w:tab/>
        <w:t>LÆGEMIDDELFORM</w:t>
      </w:r>
    </w:p>
    <w:p w14:paraId="735654C4" w14:textId="2F36E2AA" w:rsidR="009B0F38" w:rsidRPr="00E6129F" w:rsidRDefault="009B0F38" w:rsidP="009B0F38">
      <w:pPr>
        <w:tabs>
          <w:tab w:val="left" w:pos="851"/>
        </w:tabs>
        <w:ind w:left="851"/>
        <w:rPr>
          <w:sz w:val="24"/>
          <w:szCs w:val="24"/>
          <w:lang w:eastAsia="da-DK"/>
        </w:rPr>
      </w:pPr>
      <w:r w:rsidRPr="00E6129F">
        <w:rPr>
          <w:sz w:val="24"/>
          <w:szCs w:val="24"/>
        </w:rPr>
        <w:t>Pulver til injektionsvæske, opløsning</w:t>
      </w:r>
    </w:p>
    <w:p w14:paraId="51FEC67B" w14:textId="77777777" w:rsidR="009B0F38" w:rsidRPr="00E6129F" w:rsidRDefault="009B0F38" w:rsidP="009B0F38">
      <w:pPr>
        <w:tabs>
          <w:tab w:val="left" w:pos="851"/>
        </w:tabs>
        <w:ind w:left="851"/>
        <w:rPr>
          <w:sz w:val="24"/>
          <w:szCs w:val="24"/>
        </w:rPr>
      </w:pPr>
      <w:r w:rsidRPr="00E6129F">
        <w:rPr>
          <w:sz w:val="24"/>
          <w:szCs w:val="24"/>
        </w:rPr>
        <w:t>Hvidt til næsten hvidt pulver til injektionsvæske, opløsning</w:t>
      </w:r>
    </w:p>
    <w:p w14:paraId="7586C704" w14:textId="77777777" w:rsidR="009260DE" w:rsidRPr="00E6129F" w:rsidRDefault="009260DE" w:rsidP="009260DE">
      <w:pPr>
        <w:tabs>
          <w:tab w:val="left" w:pos="851"/>
        </w:tabs>
        <w:ind w:left="851"/>
        <w:rPr>
          <w:sz w:val="24"/>
          <w:szCs w:val="24"/>
        </w:rPr>
      </w:pPr>
    </w:p>
    <w:p w14:paraId="4E8DDC6A" w14:textId="77777777" w:rsidR="009260DE" w:rsidRPr="00E6129F" w:rsidRDefault="009260DE" w:rsidP="009260DE">
      <w:pPr>
        <w:tabs>
          <w:tab w:val="left" w:pos="851"/>
        </w:tabs>
        <w:ind w:left="851"/>
        <w:rPr>
          <w:sz w:val="24"/>
          <w:szCs w:val="24"/>
        </w:rPr>
      </w:pPr>
    </w:p>
    <w:p w14:paraId="334DA101" w14:textId="77777777" w:rsidR="009260DE" w:rsidRPr="00E6129F" w:rsidRDefault="009260DE" w:rsidP="009260DE">
      <w:pPr>
        <w:tabs>
          <w:tab w:val="left" w:pos="851"/>
        </w:tabs>
        <w:ind w:left="851" w:hanging="851"/>
        <w:rPr>
          <w:b/>
          <w:sz w:val="24"/>
          <w:szCs w:val="24"/>
        </w:rPr>
      </w:pPr>
      <w:r w:rsidRPr="00E6129F">
        <w:rPr>
          <w:b/>
          <w:sz w:val="24"/>
          <w:szCs w:val="24"/>
        </w:rPr>
        <w:t>4.</w:t>
      </w:r>
      <w:r w:rsidRPr="00E6129F">
        <w:rPr>
          <w:b/>
          <w:sz w:val="24"/>
          <w:szCs w:val="24"/>
        </w:rPr>
        <w:tab/>
        <w:t>KLINISKE OPLYSNINGER</w:t>
      </w:r>
    </w:p>
    <w:p w14:paraId="44267CAE" w14:textId="77777777" w:rsidR="009260DE" w:rsidRPr="00E6129F" w:rsidRDefault="009260DE" w:rsidP="009260DE">
      <w:pPr>
        <w:tabs>
          <w:tab w:val="left" w:pos="851"/>
        </w:tabs>
        <w:ind w:left="851"/>
        <w:rPr>
          <w:b/>
          <w:sz w:val="24"/>
          <w:szCs w:val="24"/>
        </w:rPr>
      </w:pPr>
    </w:p>
    <w:p w14:paraId="1389E679" w14:textId="77777777" w:rsidR="009260DE" w:rsidRPr="00E6129F" w:rsidRDefault="009260DE" w:rsidP="009260DE">
      <w:pPr>
        <w:tabs>
          <w:tab w:val="left" w:pos="851"/>
        </w:tabs>
        <w:ind w:left="851" w:hanging="851"/>
        <w:rPr>
          <w:b/>
          <w:sz w:val="24"/>
          <w:szCs w:val="24"/>
          <w:u w:val="single"/>
        </w:rPr>
      </w:pPr>
      <w:r w:rsidRPr="00E6129F">
        <w:rPr>
          <w:b/>
          <w:sz w:val="24"/>
          <w:szCs w:val="24"/>
        </w:rPr>
        <w:t>4.1</w:t>
      </w:r>
      <w:r w:rsidRPr="00E6129F">
        <w:rPr>
          <w:b/>
          <w:sz w:val="24"/>
          <w:szCs w:val="24"/>
        </w:rPr>
        <w:tab/>
        <w:t>Terapeutiske indikationer</w:t>
      </w:r>
    </w:p>
    <w:p w14:paraId="08B67621" w14:textId="662B8915" w:rsidR="009B0F38" w:rsidRPr="00E6129F" w:rsidRDefault="009B0F38" w:rsidP="009B0F38">
      <w:pPr>
        <w:tabs>
          <w:tab w:val="left" w:pos="851"/>
        </w:tabs>
        <w:ind w:left="851"/>
        <w:rPr>
          <w:sz w:val="24"/>
          <w:szCs w:val="24"/>
          <w:lang w:eastAsia="da-DK"/>
        </w:rPr>
      </w:pPr>
      <w:proofErr w:type="spellStart"/>
      <w:r w:rsidRPr="00E6129F">
        <w:rPr>
          <w:sz w:val="24"/>
          <w:szCs w:val="24"/>
        </w:rPr>
        <w:t>Pantoprazol</w:t>
      </w:r>
      <w:proofErr w:type="spellEnd"/>
      <w:r w:rsidRPr="00E6129F">
        <w:rPr>
          <w:sz w:val="24"/>
          <w:szCs w:val="24"/>
        </w:rPr>
        <w:t xml:space="preserve"> </w:t>
      </w:r>
      <w:r w:rsidR="00745175">
        <w:rPr>
          <w:sz w:val="24"/>
          <w:szCs w:val="24"/>
        </w:rPr>
        <w:t>"</w:t>
      </w:r>
      <w:proofErr w:type="spellStart"/>
      <w:r w:rsidR="00745175">
        <w:rPr>
          <w:sz w:val="24"/>
          <w:szCs w:val="24"/>
        </w:rPr>
        <w:t>Genilac</w:t>
      </w:r>
      <w:proofErr w:type="spellEnd"/>
      <w:r w:rsidR="00745175">
        <w:rPr>
          <w:sz w:val="24"/>
          <w:szCs w:val="24"/>
        </w:rPr>
        <w:t xml:space="preserve"> Germany GmbH"</w:t>
      </w:r>
      <w:r w:rsidRPr="00E6129F">
        <w:rPr>
          <w:sz w:val="24"/>
          <w:szCs w:val="24"/>
        </w:rPr>
        <w:t xml:space="preserve"> er indiceret til voksne mod:</w:t>
      </w:r>
    </w:p>
    <w:p w14:paraId="5ADE85DC" w14:textId="77777777" w:rsidR="009B0F38" w:rsidRPr="00E6129F" w:rsidRDefault="009B0F38" w:rsidP="009B0F38">
      <w:pPr>
        <w:tabs>
          <w:tab w:val="left" w:pos="851"/>
        </w:tabs>
        <w:ind w:left="851"/>
        <w:rPr>
          <w:sz w:val="24"/>
          <w:szCs w:val="24"/>
        </w:rPr>
      </w:pPr>
      <w:r w:rsidRPr="00E6129F">
        <w:rPr>
          <w:sz w:val="24"/>
          <w:szCs w:val="24"/>
        </w:rPr>
        <w:t>-</w:t>
      </w:r>
      <w:r w:rsidRPr="00E6129F">
        <w:rPr>
          <w:sz w:val="24"/>
          <w:szCs w:val="24"/>
        </w:rPr>
        <w:tab/>
      </w:r>
      <w:proofErr w:type="spellStart"/>
      <w:r w:rsidRPr="00E6129F">
        <w:rPr>
          <w:sz w:val="24"/>
          <w:szCs w:val="24"/>
        </w:rPr>
        <w:t>Refluksøsofagitis</w:t>
      </w:r>
      <w:proofErr w:type="spellEnd"/>
    </w:p>
    <w:p w14:paraId="25C239C4" w14:textId="77777777" w:rsidR="009B0F38" w:rsidRPr="00E6129F" w:rsidRDefault="009B0F38" w:rsidP="009B0F38">
      <w:pPr>
        <w:tabs>
          <w:tab w:val="left" w:pos="851"/>
        </w:tabs>
        <w:ind w:left="851"/>
        <w:rPr>
          <w:sz w:val="24"/>
          <w:szCs w:val="24"/>
        </w:rPr>
      </w:pPr>
      <w:r w:rsidRPr="00E6129F">
        <w:rPr>
          <w:sz w:val="24"/>
          <w:szCs w:val="24"/>
        </w:rPr>
        <w:t>-</w:t>
      </w:r>
      <w:r w:rsidRPr="00E6129F">
        <w:rPr>
          <w:sz w:val="24"/>
          <w:szCs w:val="24"/>
        </w:rPr>
        <w:tab/>
        <w:t xml:space="preserve">Ulcus </w:t>
      </w:r>
      <w:proofErr w:type="spellStart"/>
      <w:r w:rsidRPr="00E6129F">
        <w:rPr>
          <w:sz w:val="24"/>
          <w:szCs w:val="24"/>
        </w:rPr>
        <w:t>ventriculi</w:t>
      </w:r>
      <w:proofErr w:type="spellEnd"/>
      <w:r w:rsidRPr="00E6129F">
        <w:rPr>
          <w:sz w:val="24"/>
          <w:szCs w:val="24"/>
        </w:rPr>
        <w:t xml:space="preserve"> og ulcus </w:t>
      </w:r>
      <w:proofErr w:type="spellStart"/>
      <w:r w:rsidRPr="00E6129F">
        <w:rPr>
          <w:sz w:val="24"/>
          <w:szCs w:val="24"/>
        </w:rPr>
        <w:t>duodeni</w:t>
      </w:r>
      <w:proofErr w:type="spellEnd"/>
    </w:p>
    <w:p w14:paraId="272EDCCF" w14:textId="77777777" w:rsidR="009B0F38" w:rsidRPr="00E6129F" w:rsidRDefault="009B0F38" w:rsidP="009B0F38">
      <w:pPr>
        <w:tabs>
          <w:tab w:val="left" w:pos="851"/>
        </w:tabs>
        <w:ind w:left="851"/>
        <w:rPr>
          <w:sz w:val="24"/>
          <w:szCs w:val="24"/>
        </w:rPr>
      </w:pPr>
      <w:r w:rsidRPr="00E6129F">
        <w:rPr>
          <w:sz w:val="24"/>
          <w:szCs w:val="24"/>
        </w:rPr>
        <w:t>-</w:t>
      </w:r>
      <w:r w:rsidRPr="00E6129F">
        <w:rPr>
          <w:sz w:val="24"/>
          <w:szCs w:val="24"/>
        </w:rPr>
        <w:tab/>
      </w:r>
      <w:proofErr w:type="spellStart"/>
      <w:r w:rsidRPr="00E6129F">
        <w:rPr>
          <w:sz w:val="24"/>
          <w:szCs w:val="24"/>
        </w:rPr>
        <w:t>Zollinger-Ellisons</w:t>
      </w:r>
      <w:proofErr w:type="spellEnd"/>
      <w:r w:rsidRPr="00E6129F">
        <w:rPr>
          <w:sz w:val="24"/>
          <w:szCs w:val="24"/>
        </w:rPr>
        <w:t xml:space="preserve"> syndrom og andre patologiske lidelser med </w:t>
      </w:r>
      <w:proofErr w:type="spellStart"/>
      <w:r w:rsidRPr="00E6129F">
        <w:rPr>
          <w:sz w:val="24"/>
          <w:szCs w:val="24"/>
        </w:rPr>
        <w:t>hypersekretion</w:t>
      </w:r>
      <w:proofErr w:type="spellEnd"/>
    </w:p>
    <w:p w14:paraId="47841C32" w14:textId="77777777" w:rsidR="009260DE" w:rsidRPr="00E6129F" w:rsidRDefault="009260DE" w:rsidP="009260DE">
      <w:pPr>
        <w:tabs>
          <w:tab w:val="left" w:pos="851"/>
        </w:tabs>
        <w:ind w:left="851"/>
        <w:rPr>
          <w:sz w:val="24"/>
          <w:szCs w:val="24"/>
        </w:rPr>
      </w:pPr>
    </w:p>
    <w:p w14:paraId="323A8E92" w14:textId="20C66849" w:rsidR="009260DE" w:rsidRPr="00E6129F" w:rsidRDefault="009260DE" w:rsidP="009260DE">
      <w:pPr>
        <w:tabs>
          <w:tab w:val="left" w:pos="851"/>
        </w:tabs>
        <w:ind w:left="851" w:hanging="851"/>
        <w:rPr>
          <w:b/>
          <w:sz w:val="24"/>
          <w:szCs w:val="24"/>
        </w:rPr>
      </w:pPr>
      <w:r w:rsidRPr="00E6129F">
        <w:rPr>
          <w:b/>
          <w:sz w:val="24"/>
          <w:szCs w:val="24"/>
        </w:rPr>
        <w:t>4.2</w:t>
      </w:r>
      <w:r w:rsidRPr="00E6129F">
        <w:rPr>
          <w:b/>
          <w:sz w:val="24"/>
          <w:szCs w:val="24"/>
        </w:rPr>
        <w:tab/>
      </w:r>
      <w:bookmarkStart w:id="0" w:name="_Hlk121742956"/>
      <w:r w:rsidR="00D00FCC">
        <w:rPr>
          <w:b/>
          <w:sz w:val="24"/>
          <w:szCs w:val="24"/>
        </w:rPr>
        <w:t>Dosering og administration</w:t>
      </w:r>
      <w:bookmarkEnd w:id="0"/>
    </w:p>
    <w:p w14:paraId="6CA5FFBA" w14:textId="77777777" w:rsidR="009B0F38" w:rsidRPr="00E6129F" w:rsidRDefault="009B0F38" w:rsidP="009B0F38">
      <w:pPr>
        <w:tabs>
          <w:tab w:val="left" w:pos="851"/>
        </w:tabs>
        <w:ind w:left="851"/>
        <w:rPr>
          <w:sz w:val="24"/>
          <w:szCs w:val="24"/>
          <w:lang w:eastAsia="da-DK"/>
        </w:rPr>
      </w:pPr>
      <w:r w:rsidRPr="00E6129F">
        <w:rPr>
          <w:sz w:val="24"/>
          <w:szCs w:val="24"/>
        </w:rPr>
        <w:t>Dette lægemiddel bør administreres af en sundhedsperson, og under passende medicinsk overvågning.</w:t>
      </w:r>
    </w:p>
    <w:p w14:paraId="37506374" w14:textId="77777777" w:rsidR="009B0F38" w:rsidRPr="00E6129F" w:rsidRDefault="009B0F38" w:rsidP="009B0F38">
      <w:pPr>
        <w:tabs>
          <w:tab w:val="left" w:pos="851"/>
        </w:tabs>
        <w:ind w:left="851"/>
        <w:rPr>
          <w:sz w:val="24"/>
          <w:szCs w:val="24"/>
        </w:rPr>
      </w:pPr>
    </w:p>
    <w:p w14:paraId="22042DBD" w14:textId="77777777" w:rsidR="009B0F38" w:rsidRPr="00E6129F" w:rsidRDefault="009B0F38" w:rsidP="009B0F38">
      <w:pPr>
        <w:tabs>
          <w:tab w:val="left" w:pos="851"/>
        </w:tabs>
        <w:ind w:left="851"/>
        <w:rPr>
          <w:sz w:val="24"/>
          <w:szCs w:val="24"/>
        </w:rPr>
      </w:pPr>
      <w:r w:rsidRPr="00E6129F">
        <w:rPr>
          <w:sz w:val="24"/>
          <w:szCs w:val="24"/>
        </w:rPr>
        <w:t xml:space="preserve">Intravenøs administration af </w:t>
      </w:r>
      <w:proofErr w:type="spellStart"/>
      <w:r w:rsidRPr="00E6129F">
        <w:rPr>
          <w:sz w:val="24"/>
          <w:szCs w:val="24"/>
        </w:rPr>
        <w:t>pantoprazol</w:t>
      </w:r>
      <w:proofErr w:type="spellEnd"/>
      <w:r w:rsidRPr="00E6129F">
        <w:rPr>
          <w:sz w:val="24"/>
          <w:szCs w:val="24"/>
        </w:rPr>
        <w:t xml:space="preserve"> anbefales kun, hvis oral administration ikke er hensigtsmæssig. Data foreligger for intravenøs anvendelse i op til 7 dage. Derfor bør behandlingen med </w:t>
      </w:r>
      <w:proofErr w:type="spellStart"/>
      <w:r w:rsidRPr="00E6129F">
        <w:rPr>
          <w:sz w:val="24"/>
          <w:szCs w:val="24"/>
        </w:rPr>
        <w:t>i.v</w:t>
      </w:r>
      <w:proofErr w:type="spellEnd"/>
      <w:r w:rsidRPr="00E6129F">
        <w:rPr>
          <w:sz w:val="24"/>
          <w:szCs w:val="24"/>
        </w:rPr>
        <w:t xml:space="preserve">. </w:t>
      </w:r>
      <w:proofErr w:type="spellStart"/>
      <w:r w:rsidRPr="00E6129F">
        <w:rPr>
          <w:sz w:val="24"/>
          <w:szCs w:val="24"/>
        </w:rPr>
        <w:t>pantoprazol</w:t>
      </w:r>
      <w:proofErr w:type="spellEnd"/>
      <w:r w:rsidRPr="00E6129F">
        <w:rPr>
          <w:sz w:val="24"/>
          <w:szCs w:val="24"/>
        </w:rPr>
        <w:t xml:space="preserve"> seponeres så snart oral behandling er mulig, og der bør i stedet administreres 40 mg </w:t>
      </w:r>
      <w:proofErr w:type="spellStart"/>
      <w:r w:rsidRPr="00E6129F">
        <w:rPr>
          <w:sz w:val="24"/>
          <w:szCs w:val="24"/>
        </w:rPr>
        <w:t>pantoprazol</w:t>
      </w:r>
      <w:proofErr w:type="spellEnd"/>
      <w:r w:rsidRPr="00E6129F">
        <w:rPr>
          <w:sz w:val="24"/>
          <w:szCs w:val="24"/>
        </w:rPr>
        <w:t xml:space="preserve"> </w:t>
      </w:r>
      <w:proofErr w:type="spellStart"/>
      <w:r w:rsidRPr="00E6129F">
        <w:rPr>
          <w:sz w:val="24"/>
          <w:szCs w:val="24"/>
        </w:rPr>
        <w:t>p.o</w:t>
      </w:r>
      <w:proofErr w:type="spellEnd"/>
      <w:r w:rsidRPr="00E6129F">
        <w:rPr>
          <w:sz w:val="24"/>
          <w:szCs w:val="24"/>
        </w:rPr>
        <w:t>.</w:t>
      </w:r>
    </w:p>
    <w:p w14:paraId="155B61E9" w14:textId="3F101E2F" w:rsidR="00BE1106" w:rsidRDefault="00BE1106">
      <w:pPr>
        <w:rPr>
          <w:sz w:val="24"/>
          <w:szCs w:val="24"/>
        </w:rPr>
      </w:pPr>
      <w:r>
        <w:rPr>
          <w:sz w:val="24"/>
          <w:szCs w:val="24"/>
        </w:rPr>
        <w:br w:type="page"/>
      </w:r>
    </w:p>
    <w:p w14:paraId="6862B87B" w14:textId="77777777" w:rsidR="009B0F38" w:rsidRPr="00E6129F" w:rsidRDefault="009B0F38" w:rsidP="009B0F38">
      <w:pPr>
        <w:tabs>
          <w:tab w:val="left" w:pos="851"/>
        </w:tabs>
        <w:ind w:left="851"/>
        <w:rPr>
          <w:sz w:val="24"/>
          <w:szCs w:val="24"/>
        </w:rPr>
      </w:pPr>
    </w:p>
    <w:p w14:paraId="6DC7EE99" w14:textId="77777777" w:rsidR="009B0F38" w:rsidRPr="00E6129F" w:rsidRDefault="009B0F38" w:rsidP="009B0F38">
      <w:pPr>
        <w:tabs>
          <w:tab w:val="left" w:pos="851"/>
        </w:tabs>
        <w:ind w:left="851"/>
        <w:rPr>
          <w:sz w:val="24"/>
          <w:szCs w:val="24"/>
          <w:u w:val="single"/>
        </w:rPr>
      </w:pPr>
      <w:r w:rsidRPr="00E6129F">
        <w:rPr>
          <w:sz w:val="24"/>
          <w:szCs w:val="24"/>
          <w:u w:val="single"/>
        </w:rPr>
        <w:t>Dosering</w:t>
      </w:r>
    </w:p>
    <w:p w14:paraId="2A19644F" w14:textId="77777777" w:rsidR="009B0F38" w:rsidRPr="00E6129F" w:rsidRDefault="009B0F38" w:rsidP="009B0F38">
      <w:pPr>
        <w:tabs>
          <w:tab w:val="left" w:pos="851"/>
        </w:tabs>
        <w:ind w:left="851"/>
        <w:rPr>
          <w:i/>
          <w:sz w:val="24"/>
          <w:szCs w:val="24"/>
        </w:rPr>
      </w:pPr>
      <w:r w:rsidRPr="00E6129F">
        <w:rPr>
          <w:i/>
          <w:sz w:val="24"/>
          <w:szCs w:val="24"/>
        </w:rPr>
        <w:t xml:space="preserve">Ulcus </w:t>
      </w:r>
      <w:proofErr w:type="spellStart"/>
      <w:r w:rsidRPr="00E6129F">
        <w:rPr>
          <w:i/>
          <w:sz w:val="24"/>
          <w:szCs w:val="24"/>
        </w:rPr>
        <w:t>ventriculi</w:t>
      </w:r>
      <w:proofErr w:type="spellEnd"/>
      <w:r w:rsidRPr="00E6129F">
        <w:rPr>
          <w:i/>
          <w:sz w:val="24"/>
          <w:szCs w:val="24"/>
        </w:rPr>
        <w:t xml:space="preserve"> og ulcus </w:t>
      </w:r>
      <w:proofErr w:type="spellStart"/>
      <w:r w:rsidRPr="00E6129F">
        <w:rPr>
          <w:i/>
          <w:sz w:val="24"/>
          <w:szCs w:val="24"/>
        </w:rPr>
        <w:t>duodeni</w:t>
      </w:r>
      <w:proofErr w:type="spellEnd"/>
      <w:r w:rsidRPr="00E6129F">
        <w:rPr>
          <w:i/>
          <w:sz w:val="24"/>
          <w:szCs w:val="24"/>
        </w:rPr>
        <w:t xml:space="preserve">, </w:t>
      </w:r>
      <w:proofErr w:type="spellStart"/>
      <w:r w:rsidRPr="00E6129F">
        <w:rPr>
          <w:i/>
          <w:sz w:val="24"/>
          <w:szCs w:val="24"/>
        </w:rPr>
        <w:t>refluksøsofagitis</w:t>
      </w:r>
      <w:proofErr w:type="spellEnd"/>
    </w:p>
    <w:p w14:paraId="2B2A06F0" w14:textId="77777777" w:rsidR="009B0F38" w:rsidRPr="00E6129F" w:rsidRDefault="009B0F38" w:rsidP="009B0F38">
      <w:pPr>
        <w:tabs>
          <w:tab w:val="left" w:pos="851"/>
        </w:tabs>
        <w:ind w:left="851"/>
        <w:rPr>
          <w:sz w:val="24"/>
          <w:szCs w:val="24"/>
        </w:rPr>
      </w:pPr>
      <w:r w:rsidRPr="00E6129F">
        <w:rPr>
          <w:sz w:val="24"/>
          <w:szCs w:val="24"/>
        </w:rPr>
        <w:t xml:space="preserve">Den anbefalede intravenøse dosis er 1 hætteglas </w:t>
      </w:r>
      <w:proofErr w:type="spellStart"/>
      <w:r w:rsidRPr="00E6129F">
        <w:rPr>
          <w:sz w:val="24"/>
          <w:szCs w:val="24"/>
        </w:rPr>
        <w:t>pantoprazol</w:t>
      </w:r>
      <w:proofErr w:type="spellEnd"/>
      <w:r w:rsidRPr="00E6129F">
        <w:rPr>
          <w:sz w:val="24"/>
          <w:szCs w:val="24"/>
        </w:rPr>
        <w:t xml:space="preserve"> (40 mg </w:t>
      </w:r>
      <w:proofErr w:type="spellStart"/>
      <w:r w:rsidRPr="00E6129F">
        <w:rPr>
          <w:sz w:val="24"/>
          <w:szCs w:val="24"/>
        </w:rPr>
        <w:t>pantoprazol</w:t>
      </w:r>
      <w:proofErr w:type="spellEnd"/>
      <w:r w:rsidRPr="00E6129F">
        <w:rPr>
          <w:sz w:val="24"/>
          <w:szCs w:val="24"/>
        </w:rPr>
        <w:t>) dagligt.</w:t>
      </w:r>
    </w:p>
    <w:p w14:paraId="0658EFAC" w14:textId="77777777" w:rsidR="009B0F38" w:rsidRPr="00E6129F" w:rsidRDefault="009B0F38" w:rsidP="009B0F38">
      <w:pPr>
        <w:tabs>
          <w:tab w:val="left" w:pos="851"/>
        </w:tabs>
        <w:ind w:left="851"/>
        <w:rPr>
          <w:sz w:val="24"/>
          <w:szCs w:val="24"/>
        </w:rPr>
      </w:pPr>
    </w:p>
    <w:p w14:paraId="1CEF3BBB" w14:textId="77777777" w:rsidR="009B0F38" w:rsidRPr="00E6129F" w:rsidRDefault="009B0F38" w:rsidP="009B0F38">
      <w:pPr>
        <w:tabs>
          <w:tab w:val="left" w:pos="851"/>
        </w:tabs>
        <w:ind w:left="851"/>
        <w:rPr>
          <w:i/>
          <w:sz w:val="24"/>
          <w:szCs w:val="24"/>
        </w:rPr>
      </w:pPr>
      <w:proofErr w:type="spellStart"/>
      <w:r w:rsidRPr="00E6129F">
        <w:rPr>
          <w:i/>
          <w:sz w:val="24"/>
          <w:szCs w:val="24"/>
        </w:rPr>
        <w:t>Zollinger-Ellisons</w:t>
      </w:r>
      <w:proofErr w:type="spellEnd"/>
      <w:r w:rsidRPr="00E6129F">
        <w:rPr>
          <w:i/>
          <w:sz w:val="24"/>
          <w:szCs w:val="24"/>
        </w:rPr>
        <w:t xml:space="preserve"> syndrom og andre patologiske lidelser med </w:t>
      </w:r>
      <w:proofErr w:type="spellStart"/>
      <w:r w:rsidRPr="00E6129F">
        <w:rPr>
          <w:i/>
          <w:sz w:val="24"/>
          <w:szCs w:val="24"/>
        </w:rPr>
        <w:t>hypersekretion</w:t>
      </w:r>
      <w:proofErr w:type="spellEnd"/>
    </w:p>
    <w:p w14:paraId="20D328C9" w14:textId="77777777" w:rsidR="009B0F38" w:rsidRPr="00E6129F" w:rsidRDefault="009B0F38" w:rsidP="009B0F38">
      <w:pPr>
        <w:tabs>
          <w:tab w:val="left" w:pos="851"/>
        </w:tabs>
        <w:ind w:left="851"/>
        <w:rPr>
          <w:sz w:val="24"/>
          <w:szCs w:val="24"/>
        </w:rPr>
      </w:pPr>
      <w:r w:rsidRPr="00E6129F">
        <w:rPr>
          <w:sz w:val="24"/>
          <w:szCs w:val="24"/>
        </w:rPr>
        <w:t xml:space="preserve">Ved langtidsbehandling af </w:t>
      </w:r>
      <w:proofErr w:type="spellStart"/>
      <w:r w:rsidRPr="00E6129F">
        <w:rPr>
          <w:sz w:val="24"/>
          <w:szCs w:val="24"/>
        </w:rPr>
        <w:t>Zollinger-Ellisons</w:t>
      </w:r>
      <w:proofErr w:type="spellEnd"/>
      <w:r w:rsidRPr="00E6129F">
        <w:rPr>
          <w:sz w:val="24"/>
          <w:szCs w:val="24"/>
        </w:rPr>
        <w:t xml:space="preserve"> syndrom og andre patologiske lidelser med </w:t>
      </w:r>
      <w:proofErr w:type="spellStart"/>
      <w:r w:rsidRPr="00E6129F">
        <w:rPr>
          <w:sz w:val="24"/>
          <w:szCs w:val="24"/>
        </w:rPr>
        <w:t>hypersekretion</w:t>
      </w:r>
      <w:proofErr w:type="spellEnd"/>
      <w:r w:rsidRPr="00E6129F">
        <w:rPr>
          <w:sz w:val="24"/>
          <w:szCs w:val="24"/>
        </w:rPr>
        <w:t xml:space="preserve"> bør patienterne påbegynde behandlingen med en daglig dosis på 80 mg </w:t>
      </w:r>
      <w:proofErr w:type="spellStart"/>
      <w:r w:rsidRPr="00E6129F">
        <w:rPr>
          <w:sz w:val="24"/>
          <w:szCs w:val="24"/>
        </w:rPr>
        <w:t>pantoprazol</w:t>
      </w:r>
      <w:proofErr w:type="spellEnd"/>
      <w:r w:rsidRPr="00E6129F">
        <w:rPr>
          <w:sz w:val="24"/>
          <w:szCs w:val="24"/>
        </w:rPr>
        <w:t xml:space="preserve">. Derefter kan dosis titreres op eller ned efter behov, vejledt af målingerne af mavesyresekretionen. Ved doser over 80 mg dagligt, bør dosis deles og gives to gange dagligt. Doseringen kan øges midlertidigt til over 160 mg </w:t>
      </w:r>
      <w:proofErr w:type="spellStart"/>
      <w:r w:rsidRPr="00E6129F">
        <w:rPr>
          <w:sz w:val="24"/>
          <w:szCs w:val="24"/>
        </w:rPr>
        <w:t>pantoprazol</w:t>
      </w:r>
      <w:proofErr w:type="spellEnd"/>
      <w:r w:rsidRPr="00E6129F">
        <w:rPr>
          <w:sz w:val="24"/>
          <w:szCs w:val="24"/>
        </w:rPr>
        <w:t>, men dette dosisniveau bør ikke anvendes længere end nødvendigt for at opnå passende regulering af mavesyren.</w:t>
      </w:r>
    </w:p>
    <w:p w14:paraId="5FD0752B" w14:textId="77777777" w:rsidR="009B0F38" w:rsidRPr="00E6129F" w:rsidRDefault="009B0F38" w:rsidP="009B0F38">
      <w:pPr>
        <w:tabs>
          <w:tab w:val="left" w:pos="851"/>
        </w:tabs>
        <w:ind w:left="851"/>
        <w:rPr>
          <w:sz w:val="24"/>
          <w:szCs w:val="24"/>
        </w:rPr>
      </w:pPr>
      <w:r w:rsidRPr="00E6129F">
        <w:rPr>
          <w:sz w:val="24"/>
          <w:szCs w:val="24"/>
        </w:rPr>
        <w:t xml:space="preserve">Hvis der opstår behov for hurtig regulering af syreniveauet, vil en startdosis på 2 x 80 mg </w:t>
      </w:r>
      <w:proofErr w:type="spellStart"/>
      <w:r w:rsidRPr="00E6129F">
        <w:rPr>
          <w:sz w:val="24"/>
          <w:szCs w:val="24"/>
        </w:rPr>
        <w:t>pantoprazol</w:t>
      </w:r>
      <w:proofErr w:type="spellEnd"/>
      <w:r w:rsidRPr="00E6129F">
        <w:rPr>
          <w:sz w:val="24"/>
          <w:szCs w:val="24"/>
        </w:rPr>
        <w:t xml:space="preserve"> være tilstrækkeligt til at nedsætte syreproduktionen til </w:t>
      </w:r>
      <w:proofErr w:type="spellStart"/>
      <w:r w:rsidRPr="00E6129F">
        <w:rPr>
          <w:sz w:val="24"/>
          <w:szCs w:val="24"/>
        </w:rPr>
        <w:t>målområdet</w:t>
      </w:r>
      <w:proofErr w:type="spellEnd"/>
      <w:r w:rsidRPr="00E6129F">
        <w:rPr>
          <w:sz w:val="24"/>
          <w:szCs w:val="24"/>
        </w:rPr>
        <w:t xml:space="preserve"> (&lt;10 </w:t>
      </w:r>
      <w:proofErr w:type="spellStart"/>
      <w:r w:rsidRPr="00E6129F">
        <w:rPr>
          <w:sz w:val="24"/>
          <w:szCs w:val="24"/>
        </w:rPr>
        <w:t>mEq</w:t>
      </w:r>
      <w:proofErr w:type="spellEnd"/>
      <w:r w:rsidRPr="00E6129F">
        <w:rPr>
          <w:sz w:val="24"/>
          <w:szCs w:val="24"/>
        </w:rPr>
        <w:t>/time) i løbet af en time hos de fleste patienter.</w:t>
      </w:r>
    </w:p>
    <w:p w14:paraId="5B2BDDC4" w14:textId="77777777" w:rsidR="009B0F38" w:rsidRPr="00E6129F" w:rsidRDefault="009B0F38" w:rsidP="009B0F38">
      <w:pPr>
        <w:tabs>
          <w:tab w:val="left" w:pos="851"/>
        </w:tabs>
        <w:ind w:left="851"/>
        <w:rPr>
          <w:sz w:val="24"/>
          <w:szCs w:val="24"/>
        </w:rPr>
      </w:pPr>
    </w:p>
    <w:p w14:paraId="3CE79EAA" w14:textId="77777777" w:rsidR="009B0F38" w:rsidRPr="00E6129F" w:rsidRDefault="009B0F38" w:rsidP="009B0F38">
      <w:pPr>
        <w:tabs>
          <w:tab w:val="left" w:pos="851"/>
        </w:tabs>
        <w:ind w:left="851"/>
        <w:rPr>
          <w:sz w:val="24"/>
          <w:szCs w:val="24"/>
          <w:u w:val="single"/>
        </w:rPr>
      </w:pPr>
      <w:r w:rsidRPr="00E6129F">
        <w:rPr>
          <w:sz w:val="24"/>
          <w:szCs w:val="24"/>
          <w:u w:val="single"/>
        </w:rPr>
        <w:t>Specielle populationer</w:t>
      </w:r>
    </w:p>
    <w:p w14:paraId="1CBEC045" w14:textId="77777777" w:rsidR="009B0F38" w:rsidRPr="00E6129F" w:rsidRDefault="009B0F38" w:rsidP="009B0F38">
      <w:pPr>
        <w:tabs>
          <w:tab w:val="left" w:pos="851"/>
        </w:tabs>
        <w:ind w:left="851"/>
        <w:rPr>
          <w:i/>
          <w:sz w:val="24"/>
          <w:szCs w:val="24"/>
        </w:rPr>
      </w:pPr>
      <w:r w:rsidRPr="00E6129F">
        <w:rPr>
          <w:i/>
          <w:sz w:val="24"/>
          <w:szCs w:val="24"/>
        </w:rPr>
        <w:t>Patienter med nedsat leverfunktion</w:t>
      </w:r>
    </w:p>
    <w:p w14:paraId="5CE2C8BE" w14:textId="77777777" w:rsidR="009B0F38" w:rsidRPr="00E6129F" w:rsidRDefault="009B0F38" w:rsidP="009B0F38">
      <w:pPr>
        <w:tabs>
          <w:tab w:val="left" w:pos="851"/>
        </w:tabs>
        <w:ind w:left="851"/>
        <w:rPr>
          <w:sz w:val="24"/>
          <w:szCs w:val="24"/>
        </w:rPr>
      </w:pPr>
      <w:r w:rsidRPr="00E6129F">
        <w:rPr>
          <w:sz w:val="24"/>
          <w:szCs w:val="24"/>
        </w:rPr>
        <w:t xml:space="preserve">En daglig dosis på 20 mg </w:t>
      </w:r>
      <w:proofErr w:type="spellStart"/>
      <w:r w:rsidRPr="00E6129F">
        <w:rPr>
          <w:sz w:val="24"/>
          <w:szCs w:val="24"/>
        </w:rPr>
        <w:t>pantoprazol</w:t>
      </w:r>
      <w:proofErr w:type="spellEnd"/>
      <w:r w:rsidRPr="00E6129F">
        <w:rPr>
          <w:sz w:val="24"/>
          <w:szCs w:val="24"/>
        </w:rPr>
        <w:t xml:space="preserve"> (et halvt hætteglas med 40 mg </w:t>
      </w:r>
      <w:proofErr w:type="spellStart"/>
      <w:r w:rsidRPr="00E6129F">
        <w:rPr>
          <w:sz w:val="24"/>
          <w:szCs w:val="24"/>
        </w:rPr>
        <w:t>pantoprazol</w:t>
      </w:r>
      <w:proofErr w:type="spellEnd"/>
      <w:r w:rsidRPr="00E6129F">
        <w:rPr>
          <w:sz w:val="24"/>
          <w:szCs w:val="24"/>
        </w:rPr>
        <w:t>) bør ikke overskrides hos patienter med svært nedsat leverfunktion (se pkt. 4.4).</w:t>
      </w:r>
    </w:p>
    <w:p w14:paraId="033C0B47" w14:textId="77777777" w:rsidR="009B0F38" w:rsidRPr="00E6129F" w:rsidRDefault="009B0F38" w:rsidP="009B0F38">
      <w:pPr>
        <w:tabs>
          <w:tab w:val="left" w:pos="851"/>
        </w:tabs>
        <w:ind w:left="851"/>
        <w:rPr>
          <w:sz w:val="24"/>
          <w:szCs w:val="24"/>
        </w:rPr>
      </w:pPr>
    </w:p>
    <w:p w14:paraId="318945A3" w14:textId="77777777" w:rsidR="009B0F38" w:rsidRPr="00E6129F" w:rsidRDefault="009B0F38" w:rsidP="009B0F38">
      <w:pPr>
        <w:tabs>
          <w:tab w:val="left" w:pos="851"/>
        </w:tabs>
        <w:ind w:left="851"/>
        <w:rPr>
          <w:i/>
          <w:sz w:val="24"/>
          <w:szCs w:val="24"/>
        </w:rPr>
      </w:pPr>
      <w:r w:rsidRPr="00E6129F">
        <w:rPr>
          <w:i/>
          <w:sz w:val="24"/>
          <w:szCs w:val="24"/>
        </w:rPr>
        <w:t>Patienter med nedsat nyrefunktion</w:t>
      </w:r>
    </w:p>
    <w:p w14:paraId="7A414373" w14:textId="77777777" w:rsidR="009B0F38" w:rsidRPr="00E6129F" w:rsidRDefault="009B0F38" w:rsidP="009B0F38">
      <w:pPr>
        <w:tabs>
          <w:tab w:val="left" w:pos="851"/>
        </w:tabs>
        <w:ind w:left="851"/>
        <w:rPr>
          <w:sz w:val="24"/>
          <w:szCs w:val="24"/>
        </w:rPr>
      </w:pPr>
      <w:r w:rsidRPr="00E6129F">
        <w:rPr>
          <w:sz w:val="24"/>
          <w:szCs w:val="24"/>
        </w:rPr>
        <w:t>Ingen dosisjustering er nødvendig hos patienter med nedsat nyrefunktion (se pkt. 5.2).</w:t>
      </w:r>
    </w:p>
    <w:p w14:paraId="34C57D54" w14:textId="77777777" w:rsidR="009B0F38" w:rsidRPr="00E6129F" w:rsidRDefault="009B0F38" w:rsidP="009B0F38">
      <w:pPr>
        <w:tabs>
          <w:tab w:val="left" w:pos="851"/>
        </w:tabs>
        <w:ind w:left="851"/>
        <w:rPr>
          <w:sz w:val="24"/>
          <w:szCs w:val="24"/>
        </w:rPr>
      </w:pPr>
    </w:p>
    <w:p w14:paraId="1765BE62" w14:textId="77777777" w:rsidR="009B0F38" w:rsidRPr="00E6129F" w:rsidRDefault="009B0F38" w:rsidP="009B0F38">
      <w:pPr>
        <w:tabs>
          <w:tab w:val="left" w:pos="851"/>
        </w:tabs>
        <w:ind w:left="851"/>
        <w:rPr>
          <w:i/>
          <w:sz w:val="24"/>
          <w:szCs w:val="24"/>
        </w:rPr>
      </w:pPr>
      <w:r w:rsidRPr="00E6129F">
        <w:rPr>
          <w:i/>
          <w:sz w:val="24"/>
          <w:szCs w:val="24"/>
        </w:rPr>
        <w:t>Ældre</w:t>
      </w:r>
    </w:p>
    <w:p w14:paraId="3545784A" w14:textId="77777777" w:rsidR="009B0F38" w:rsidRPr="00E6129F" w:rsidRDefault="009B0F38" w:rsidP="009B0F38">
      <w:pPr>
        <w:tabs>
          <w:tab w:val="left" w:pos="851"/>
        </w:tabs>
        <w:ind w:left="851"/>
        <w:rPr>
          <w:sz w:val="24"/>
          <w:szCs w:val="24"/>
        </w:rPr>
      </w:pPr>
      <w:r w:rsidRPr="00E6129F">
        <w:rPr>
          <w:sz w:val="24"/>
          <w:szCs w:val="24"/>
        </w:rPr>
        <w:t>Ingen dosisjustering er nødvendig hos ældre (se pkt. 5.2).</w:t>
      </w:r>
    </w:p>
    <w:p w14:paraId="45247BAF" w14:textId="77777777" w:rsidR="009B0F38" w:rsidRPr="00E6129F" w:rsidRDefault="009B0F38" w:rsidP="009B0F38">
      <w:pPr>
        <w:tabs>
          <w:tab w:val="left" w:pos="851"/>
        </w:tabs>
        <w:ind w:left="851"/>
        <w:rPr>
          <w:sz w:val="24"/>
          <w:szCs w:val="24"/>
        </w:rPr>
      </w:pPr>
    </w:p>
    <w:p w14:paraId="23A9C962" w14:textId="77777777" w:rsidR="009B0F38" w:rsidRPr="00E6129F" w:rsidRDefault="009B0F38" w:rsidP="009B0F38">
      <w:pPr>
        <w:tabs>
          <w:tab w:val="left" w:pos="851"/>
        </w:tabs>
        <w:ind w:left="851"/>
        <w:rPr>
          <w:i/>
          <w:sz w:val="24"/>
          <w:szCs w:val="24"/>
        </w:rPr>
      </w:pPr>
      <w:r w:rsidRPr="00E6129F">
        <w:rPr>
          <w:i/>
          <w:sz w:val="24"/>
          <w:szCs w:val="24"/>
        </w:rPr>
        <w:t>Pædiatrisk population</w:t>
      </w:r>
    </w:p>
    <w:p w14:paraId="439F8227" w14:textId="62FE68C4" w:rsidR="009B0F38" w:rsidRPr="00E6129F" w:rsidRDefault="009B0F38" w:rsidP="009B0F38">
      <w:pPr>
        <w:tabs>
          <w:tab w:val="left" w:pos="851"/>
        </w:tabs>
        <w:ind w:left="851"/>
        <w:rPr>
          <w:sz w:val="24"/>
          <w:szCs w:val="24"/>
        </w:rPr>
      </w:pPr>
      <w:proofErr w:type="spellStart"/>
      <w:r w:rsidRPr="00E6129F">
        <w:rPr>
          <w:sz w:val="24"/>
          <w:szCs w:val="24"/>
        </w:rPr>
        <w:t>Pantoprazol</w:t>
      </w:r>
      <w:proofErr w:type="spellEnd"/>
      <w:r w:rsidRPr="00E6129F">
        <w:rPr>
          <w:sz w:val="24"/>
          <w:szCs w:val="24"/>
        </w:rPr>
        <w:t xml:space="preserve"> </w:t>
      </w:r>
      <w:r w:rsidR="00745175">
        <w:rPr>
          <w:sz w:val="24"/>
          <w:szCs w:val="24"/>
        </w:rPr>
        <w:t>"</w:t>
      </w:r>
      <w:proofErr w:type="spellStart"/>
      <w:r w:rsidR="00745175">
        <w:rPr>
          <w:sz w:val="24"/>
          <w:szCs w:val="24"/>
        </w:rPr>
        <w:t>Genilac</w:t>
      </w:r>
      <w:proofErr w:type="spellEnd"/>
      <w:r w:rsidR="00745175">
        <w:rPr>
          <w:sz w:val="24"/>
          <w:szCs w:val="24"/>
        </w:rPr>
        <w:t xml:space="preserve"> Germany </w:t>
      </w:r>
      <w:proofErr w:type="spellStart"/>
      <w:r w:rsidR="00745175">
        <w:rPr>
          <w:sz w:val="24"/>
          <w:szCs w:val="24"/>
        </w:rPr>
        <w:t>GmbH"</w:t>
      </w:r>
      <w:r w:rsidRPr="00E6129F">
        <w:rPr>
          <w:sz w:val="24"/>
          <w:szCs w:val="24"/>
        </w:rPr>
        <w:t>’s</w:t>
      </w:r>
      <w:proofErr w:type="spellEnd"/>
      <w:r w:rsidRPr="00E6129F">
        <w:rPr>
          <w:sz w:val="24"/>
          <w:szCs w:val="24"/>
        </w:rPr>
        <w:t xml:space="preserve"> sikkerhed og virkning hos børn under 18 år er ikke klarlagt. Derfor bør </w:t>
      </w:r>
      <w:proofErr w:type="spellStart"/>
      <w:r w:rsidRPr="00E6129F">
        <w:rPr>
          <w:sz w:val="24"/>
          <w:szCs w:val="24"/>
        </w:rPr>
        <w:t>pantoprazol</w:t>
      </w:r>
      <w:proofErr w:type="spellEnd"/>
      <w:r w:rsidRPr="00E6129F">
        <w:rPr>
          <w:sz w:val="24"/>
          <w:szCs w:val="24"/>
        </w:rPr>
        <w:t xml:space="preserve"> 40 mg pulver til injektionsvæske, opløsning ikke anvendes til patienter under 18 år.</w:t>
      </w:r>
    </w:p>
    <w:p w14:paraId="5950EBEE" w14:textId="77777777" w:rsidR="009B0F38" w:rsidRPr="00E6129F" w:rsidRDefault="009B0F38" w:rsidP="009B0F38">
      <w:pPr>
        <w:tabs>
          <w:tab w:val="left" w:pos="851"/>
        </w:tabs>
        <w:ind w:left="851"/>
        <w:rPr>
          <w:sz w:val="24"/>
          <w:szCs w:val="24"/>
        </w:rPr>
      </w:pPr>
    </w:p>
    <w:p w14:paraId="1077FA88" w14:textId="77777777" w:rsidR="009B0F38" w:rsidRPr="00E6129F" w:rsidRDefault="009B0F38" w:rsidP="009B0F38">
      <w:pPr>
        <w:tabs>
          <w:tab w:val="left" w:pos="851"/>
        </w:tabs>
        <w:ind w:left="851"/>
        <w:rPr>
          <w:sz w:val="24"/>
          <w:szCs w:val="24"/>
        </w:rPr>
      </w:pPr>
      <w:r w:rsidRPr="00E6129F">
        <w:rPr>
          <w:sz w:val="24"/>
          <w:szCs w:val="24"/>
        </w:rPr>
        <w:t>De foreliggende data er beskrevet i pkt. 5.2, men der kan ikke gives nogen anbefalinger vedrørende dosering.</w:t>
      </w:r>
    </w:p>
    <w:p w14:paraId="65D2EA8D" w14:textId="77777777" w:rsidR="009B0F38" w:rsidRPr="00E6129F" w:rsidRDefault="009B0F38" w:rsidP="009B0F38">
      <w:pPr>
        <w:tabs>
          <w:tab w:val="left" w:pos="851"/>
        </w:tabs>
        <w:ind w:left="851"/>
        <w:rPr>
          <w:sz w:val="24"/>
          <w:szCs w:val="24"/>
        </w:rPr>
      </w:pPr>
    </w:p>
    <w:p w14:paraId="677D176F" w14:textId="77777777" w:rsidR="009B0F38" w:rsidRPr="00E6129F" w:rsidRDefault="009B0F38" w:rsidP="009B0F38">
      <w:pPr>
        <w:tabs>
          <w:tab w:val="left" w:pos="851"/>
        </w:tabs>
        <w:ind w:left="851"/>
        <w:rPr>
          <w:sz w:val="24"/>
          <w:szCs w:val="24"/>
          <w:u w:val="single"/>
        </w:rPr>
      </w:pPr>
      <w:r w:rsidRPr="00E6129F">
        <w:rPr>
          <w:sz w:val="24"/>
          <w:szCs w:val="24"/>
          <w:u w:val="single"/>
        </w:rPr>
        <w:t>Administration</w:t>
      </w:r>
    </w:p>
    <w:p w14:paraId="44F8F2F6" w14:textId="77777777" w:rsidR="009B0F38" w:rsidRPr="00E6129F" w:rsidRDefault="009B0F38" w:rsidP="009B0F38">
      <w:pPr>
        <w:tabs>
          <w:tab w:val="left" w:pos="851"/>
        </w:tabs>
        <w:ind w:left="851"/>
        <w:rPr>
          <w:sz w:val="24"/>
          <w:szCs w:val="24"/>
        </w:rPr>
      </w:pPr>
      <w:r w:rsidRPr="00E6129F">
        <w:rPr>
          <w:sz w:val="24"/>
          <w:szCs w:val="24"/>
        </w:rPr>
        <w:t xml:space="preserve">En opløsning, der er klar til brug, tilberedes i 10 ml </w:t>
      </w:r>
      <w:proofErr w:type="spellStart"/>
      <w:r w:rsidRPr="00E6129F">
        <w:rPr>
          <w:sz w:val="24"/>
          <w:szCs w:val="24"/>
        </w:rPr>
        <w:t>natriumchlorid</w:t>
      </w:r>
      <w:proofErr w:type="spellEnd"/>
      <w:r w:rsidRPr="00E6129F">
        <w:rPr>
          <w:sz w:val="24"/>
          <w:szCs w:val="24"/>
        </w:rPr>
        <w:t xml:space="preserve"> 9 mg/ml (0,9 %) injektionsvæske, opløsning. For instruktioner om tilberedelse se pkt. 6.6. Den tilberedte opløsning kan administreres direkte, eller den kan administreres efter blanding med 100 ml </w:t>
      </w:r>
      <w:proofErr w:type="spellStart"/>
      <w:r w:rsidRPr="00E6129F">
        <w:rPr>
          <w:sz w:val="24"/>
          <w:szCs w:val="24"/>
        </w:rPr>
        <w:t>natriumchlorid</w:t>
      </w:r>
      <w:proofErr w:type="spellEnd"/>
      <w:r w:rsidRPr="00E6129F">
        <w:rPr>
          <w:sz w:val="24"/>
          <w:szCs w:val="24"/>
        </w:rPr>
        <w:t xml:space="preserve"> 9 mg/ml (0,9 %) injektionsvæske, opløsning eller </w:t>
      </w:r>
      <w:proofErr w:type="spellStart"/>
      <w:r w:rsidRPr="00E6129F">
        <w:rPr>
          <w:sz w:val="24"/>
          <w:szCs w:val="24"/>
        </w:rPr>
        <w:t>glucose</w:t>
      </w:r>
      <w:proofErr w:type="spellEnd"/>
      <w:r w:rsidRPr="00E6129F">
        <w:rPr>
          <w:sz w:val="24"/>
          <w:szCs w:val="24"/>
        </w:rPr>
        <w:t xml:space="preserve"> 55 mg/ml (5 %) injektionsvæske, opløsning.</w:t>
      </w:r>
    </w:p>
    <w:p w14:paraId="1D8DA7F4" w14:textId="77777777" w:rsidR="009B0F38" w:rsidRPr="00E6129F" w:rsidRDefault="009B0F38" w:rsidP="009B0F38">
      <w:pPr>
        <w:tabs>
          <w:tab w:val="left" w:pos="851"/>
        </w:tabs>
        <w:ind w:left="851"/>
        <w:rPr>
          <w:sz w:val="24"/>
          <w:szCs w:val="24"/>
        </w:rPr>
      </w:pPr>
    </w:p>
    <w:p w14:paraId="5E70F449" w14:textId="77777777" w:rsidR="009B0F38" w:rsidRPr="00E6129F" w:rsidRDefault="009B0F38" w:rsidP="009B0F38">
      <w:pPr>
        <w:tabs>
          <w:tab w:val="left" w:pos="851"/>
        </w:tabs>
        <w:ind w:left="851"/>
        <w:rPr>
          <w:sz w:val="24"/>
          <w:szCs w:val="24"/>
        </w:rPr>
      </w:pPr>
      <w:r w:rsidRPr="00E6129F">
        <w:rPr>
          <w:sz w:val="24"/>
          <w:szCs w:val="24"/>
        </w:rPr>
        <w:t>Efter tilberedning skal opløsningen bruges inden for 12 timer.</w:t>
      </w:r>
    </w:p>
    <w:p w14:paraId="2E587AA6" w14:textId="77777777" w:rsidR="009B0F38" w:rsidRPr="00E6129F" w:rsidRDefault="009B0F38" w:rsidP="009B0F38">
      <w:pPr>
        <w:tabs>
          <w:tab w:val="left" w:pos="851"/>
        </w:tabs>
        <w:ind w:left="851"/>
        <w:rPr>
          <w:sz w:val="24"/>
          <w:szCs w:val="24"/>
        </w:rPr>
      </w:pPr>
    </w:p>
    <w:p w14:paraId="1365FBE3" w14:textId="77777777" w:rsidR="009B0F38" w:rsidRPr="00E6129F" w:rsidRDefault="009B0F38" w:rsidP="009B0F38">
      <w:pPr>
        <w:tabs>
          <w:tab w:val="left" w:pos="851"/>
        </w:tabs>
        <w:ind w:left="851"/>
        <w:rPr>
          <w:sz w:val="24"/>
          <w:szCs w:val="24"/>
        </w:rPr>
      </w:pPr>
      <w:r w:rsidRPr="00E6129F">
        <w:rPr>
          <w:sz w:val="24"/>
          <w:szCs w:val="24"/>
        </w:rPr>
        <w:t>Lægemidlet bør administreres intravenøst i løbet af 2 - 15 minutter.</w:t>
      </w:r>
    </w:p>
    <w:p w14:paraId="37C2413E" w14:textId="77777777" w:rsidR="009260DE" w:rsidRPr="00E6129F" w:rsidRDefault="009260DE" w:rsidP="009260DE">
      <w:pPr>
        <w:tabs>
          <w:tab w:val="left" w:pos="851"/>
        </w:tabs>
        <w:ind w:left="851"/>
        <w:rPr>
          <w:sz w:val="24"/>
          <w:szCs w:val="24"/>
        </w:rPr>
      </w:pPr>
    </w:p>
    <w:p w14:paraId="324DC436" w14:textId="77777777" w:rsidR="009260DE" w:rsidRPr="00E6129F" w:rsidRDefault="009260DE" w:rsidP="009260DE">
      <w:pPr>
        <w:tabs>
          <w:tab w:val="left" w:pos="851"/>
        </w:tabs>
        <w:ind w:left="851" w:hanging="851"/>
        <w:rPr>
          <w:b/>
          <w:sz w:val="24"/>
          <w:szCs w:val="24"/>
        </w:rPr>
      </w:pPr>
      <w:r w:rsidRPr="00E6129F">
        <w:rPr>
          <w:b/>
          <w:sz w:val="24"/>
          <w:szCs w:val="24"/>
        </w:rPr>
        <w:t>4.3</w:t>
      </w:r>
      <w:r w:rsidRPr="00E6129F">
        <w:rPr>
          <w:b/>
          <w:sz w:val="24"/>
          <w:szCs w:val="24"/>
        </w:rPr>
        <w:tab/>
        <w:t>Kontraindikationer</w:t>
      </w:r>
    </w:p>
    <w:p w14:paraId="4E47E2FF" w14:textId="77777777" w:rsidR="009B0F38" w:rsidRPr="00E6129F" w:rsidRDefault="009B0F38" w:rsidP="009B0F38">
      <w:pPr>
        <w:tabs>
          <w:tab w:val="left" w:pos="851"/>
        </w:tabs>
        <w:ind w:left="851"/>
        <w:rPr>
          <w:sz w:val="24"/>
          <w:szCs w:val="24"/>
          <w:lang w:eastAsia="da-DK"/>
        </w:rPr>
      </w:pPr>
      <w:r w:rsidRPr="00E6129F">
        <w:rPr>
          <w:sz w:val="24"/>
          <w:szCs w:val="24"/>
        </w:rPr>
        <w:t xml:space="preserve">Overfølsomhed over for det aktive stof, substituerede </w:t>
      </w:r>
      <w:proofErr w:type="spellStart"/>
      <w:r w:rsidRPr="00E6129F">
        <w:rPr>
          <w:sz w:val="24"/>
          <w:szCs w:val="24"/>
        </w:rPr>
        <w:t>benzimidazoler</w:t>
      </w:r>
      <w:proofErr w:type="spellEnd"/>
      <w:r w:rsidRPr="00E6129F">
        <w:rPr>
          <w:sz w:val="24"/>
          <w:szCs w:val="24"/>
        </w:rPr>
        <w:t xml:space="preserve"> eller over for et eller flere af hjælpestofferne anført i pkt. 6.1.</w:t>
      </w:r>
    </w:p>
    <w:p w14:paraId="3079BFBD" w14:textId="2E4C247F" w:rsidR="00BE1106" w:rsidRDefault="00BE1106">
      <w:pPr>
        <w:rPr>
          <w:sz w:val="24"/>
          <w:szCs w:val="24"/>
        </w:rPr>
      </w:pPr>
      <w:r>
        <w:rPr>
          <w:sz w:val="24"/>
          <w:szCs w:val="24"/>
        </w:rPr>
        <w:br w:type="page"/>
      </w:r>
    </w:p>
    <w:p w14:paraId="3A20DF7F" w14:textId="77777777" w:rsidR="009260DE" w:rsidRPr="00E6129F" w:rsidRDefault="009260DE" w:rsidP="009260DE">
      <w:pPr>
        <w:tabs>
          <w:tab w:val="left" w:pos="851"/>
        </w:tabs>
        <w:ind w:left="851"/>
        <w:rPr>
          <w:sz w:val="24"/>
          <w:szCs w:val="24"/>
        </w:rPr>
      </w:pPr>
    </w:p>
    <w:p w14:paraId="49BD9232" w14:textId="77777777" w:rsidR="009260DE" w:rsidRPr="00E6129F" w:rsidRDefault="009260DE" w:rsidP="009260DE">
      <w:pPr>
        <w:tabs>
          <w:tab w:val="left" w:pos="851"/>
        </w:tabs>
        <w:ind w:left="851" w:hanging="851"/>
        <w:rPr>
          <w:b/>
          <w:sz w:val="24"/>
          <w:szCs w:val="24"/>
        </w:rPr>
      </w:pPr>
      <w:r w:rsidRPr="00E6129F">
        <w:rPr>
          <w:b/>
          <w:sz w:val="24"/>
          <w:szCs w:val="24"/>
        </w:rPr>
        <w:t>4.4</w:t>
      </w:r>
      <w:r w:rsidRPr="00E6129F">
        <w:rPr>
          <w:b/>
          <w:sz w:val="24"/>
          <w:szCs w:val="24"/>
        </w:rPr>
        <w:tab/>
        <w:t>Særlige advarsler og forsigtighedsregler vedrørende brugen</w:t>
      </w:r>
    </w:p>
    <w:p w14:paraId="7C5128F6" w14:textId="77777777" w:rsidR="00BE1106" w:rsidRDefault="00BE1106" w:rsidP="009B0F38">
      <w:pPr>
        <w:tabs>
          <w:tab w:val="left" w:pos="851"/>
        </w:tabs>
        <w:ind w:left="851"/>
        <w:rPr>
          <w:sz w:val="24"/>
          <w:szCs w:val="24"/>
          <w:u w:val="single"/>
        </w:rPr>
      </w:pPr>
    </w:p>
    <w:p w14:paraId="1E7AEBDD" w14:textId="1A2AF04B" w:rsidR="009B0F38" w:rsidRPr="00E6129F" w:rsidRDefault="009B0F38" w:rsidP="009B0F38">
      <w:pPr>
        <w:tabs>
          <w:tab w:val="left" w:pos="851"/>
        </w:tabs>
        <w:ind w:left="851"/>
        <w:rPr>
          <w:sz w:val="24"/>
          <w:szCs w:val="24"/>
          <w:u w:val="single"/>
          <w:lang w:eastAsia="da-DK"/>
        </w:rPr>
      </w:pPr>
      <w:r w:rsidRPr="00E6129F">
        <w:rPr>
          <w:sz w:val="24"/>
          <w:szCs w:val="24"/>
          <w:u w:val="single"/>
        </w:rPr>
        <w:t xml:space="preserve">Gastrisk </w:t>
      </w:r>
      <w:proofErr w:type="spellStart"/>
      <w:r w:rsidRPr="00E6129F">
        <w:rPr>
          <w:sz w:val="24"/>
          <w:szCs w:val="24"/>
          <w:u w:val="single"/>
        </w:rPr>
        <w:t>malignitet</w:t>
      </w:r>
      <w:proofErr w:type="spellEnd"/>
    </w:p>
    <w:p w14:paraId="6CB74C55" w14:textId="77777777" w:rsidR="009B0F38" w:rsidRPr="00E6129F" w:rsidRDefault="009B0F38" w:rsidP="009B0F38">
      <w:pPr>
        <w:tabs>
          <w:tab w:val="left" w:pos="851"/>
        </w:tabs>
        <w:ind w:left="851"/>
        <w:rPr>
          <w:sz w:val="24"/>
          <w:szCs w:val="24"/>
        </w:rPr>
      </w:pPr>
      <w:r w:rsidRPr="00E6129F">
        <w:rPr>
          <w:sz w:val="24"/>
          <w:szCs w:val="24"/>
        </w:rPr>
        <w:t xml:space="preserve">Det symptomatiske respons på </w:t>
      </w:r>
      <w:proofErr w:type="spellStart"/>
      <w:r w:rsidRPr="00E6129F">
        <w:rPr>
          <w:sz w:val="24"/>
          <w:szCs w:val="24"/>
        </w:rPr>
        <w:t>pantoprazol</w:t>
      </w:r>
      <w:proofErr w:type="spellEnd"/>
      <w:r w:rsidRPr="00E6129F">
        <w:rPr>
          <w:sz w:val="24"/>
          <w:szCs w:val="24"/>
        </w:rPr>
        <w:t xml:space="preserve"> kan maskere symptomerne på gastrisk </w:t>
      </w:r>
      <w:proofErr w:type="spellStart"/>
      <w:r w:rsidRPr="00E6129F">
        <w:rPr>
          <w:sz w:val="24"/>
          <w:szCs w:val="24"/>
        </w:rPr>
        <w:t>malignitet</w:t>
      </w:r>
      <w:proofErr w:type="spellEnd"/>
      <w:r w:rsidRPr="00E6129F">
        <w:rPr>
          <w:sz w:val="24"/>
          <w:szCs w:val="24"/>
        </w:rPr>
        <w:t xml:space="preserve"> og forsinke diagnosen. I tilfælde af advarselstegn (f.eks. et signifikant utilsigtet vægttab, gentagne opkastninger, </w:t>
      </w:r>
      <w:proofErr w:type="spellStart"/>
      <w:r w:rsidRPr="00E6129F">
        <w:rPr>
          <w:sz w:val="24"/>
          <w:szCs w:val="24"/>
        </w:rPr>
        <w:t>dysfagi</w:t>
      </w:r>
      <w:proofErr w:type="spellEnd"/>
      <w:r w:rsidRPr="00E6129F">
        <w:rPr>
          <w:sz w:val="24"/>
          <w:szCs w:val="24"/>
        </w:rPr>
        <w:t xml:space="preserve">, </w:t>
      </w:r>
      <w:proofErr w:type="spellStart"/>
      <w:r w:rsidRPr="00E6129F">
        <w:rPr>
          <w:sz w:val="24"/>
          <w:szCs w:val="24"/>
        </w:rPr>
        <w:t>hæmatemese</w:t>
      </w:r>
      <w:proofErr w:type="spellEnd"/>
      <w:r w:rsidRPr="00E6129F">
        <w:rPr>
          <w:sz w:val="24"/>
          <w:szCs w:val="24"/>
        </w:rPr>
        <w:t xml:space="preserve">, anæmi eller </w:t>
      </w:r>
      <w:proofErr w:type="spellStart"/>
      <w:r w:rsidRPr="00E6129F">
        <w:rPr>
          <w:sz w:val="24"/>
          <w:szCs w:val="24"/>
        </w:rPr>
        <w:t>melæna</w:t>
      </w:r>
      <w:proofErr w:type="spellEnd"/>
      <w:r w:rsidRPr="00E6129F">
        <w:rPr>
          <w:sz w:val="24"/>
          <w:szCs w:val="24"/>
        </w:rPr>
        <w:t xml:space="preserve">), og når ulcus </w:t>
      </w:r>
      <w:proofErr w:type="spellStart"/>
      <w:r w:rsidRPr="00E6129F">
        <w:rPr>
          <w:sz w:val="24"/>
          <w:szCs w:val="24"/>
        </w:rPr>
        <w:t>ventriculi</w:t>
      </w:r>
      <w:proofErr w:type="spellEnd"/>
      <w:r w:rsidRPr="00E6129F">
        <w:rPr>
          <w:sz w:val="24"/>
          <w:szCs w:val="24"/>
        </w:rPr>
        <w:t xml:space="preserve"> mistænkes eller foreligger, bør </w:t>
      </w:r>
      <w:proofErr w:type="spellStart"/>
      <w:r w:rsidRPr="00E6129F">
        <w:rPr>
          <w:sz w:val="24"/>
          <w:szCs w:val="24"/>
        </w:rPr>
        <w:t>malignitet</w:t>
      </w:r>
      <w:proofErr w:type="spellEnd"/>
      <w:r w:rsidRPr="00E6129F">
        <w:rPr>
          <w:sz w:val="24"/>
          <w:szCs w:val="24"/>
        </w:rPr>
        <w:t xml:space="preserve"> udelukkes.</w:t>
      </w:r>
    </w:p>
    <w:p w14:paraId="4EF84AEB" w14:textId="77777777" w:rsidR="009B0F38" w:rsidRPr="00E6129F" w:rsidRDefault="009B0F38" w:rsidP="009B0F38">
      <w:pPr>
        <w:tabs>
          <w:tab w:val="left" w:pos="851"/>
        </w:tabs>
        <w:ind w:left="851"/>
        <w:rPr>
          <w:sz w:val="24"/>
          <w:szCs w:val="24"/>
        </w:rPr>
      </w:pPr>
    </w:p>
    <w:p w14:paraId="265F04E5" w14:textId="77777777" w:rsidR="009B0F38" w:rsidRPr="00E6129F" w:rsidRDefault="009B0F38" w:rsidP="009B0F38">
      <w:pPr>
        <w:tabs>
          <w:tab w:val="left" w:pos="851"/>
        </w:tabs>
        <w:ind w:left="851"/>
        <w:rPr>
          <w:sz w:val="24"/>
          <w:szCs w:val="24"/>
        </w:rPr>
      </w:pPr>
      <w:r w:rsidRPr="00E6129F">
        <w:rPr>
          <w:sz w:val="24"/>
          <w:szCs w:val="24"/>
        </w:rPr>
        <w:t>Hvis symptomerne varer ved til trods for tilstrækkelig behandling, bør yderligere udredning overvejes.</w:t>
      </w:r>
    </w:p>
    <w:p w14:paraId="264B91C5" w14:textId="77777777" w:rsidR="009B0F38" w:rsidRPr="00E6129F" w:rsidRDefault="009B0F38" w:rsidP="009B0F38">
      <w:pPr>
        <w:tabs>
          <w:tab w:val="left" w:pos="851"/>
        </w:tabs>
        <w:ind w:left="851"/>
        <w:rPr>
          <w:sz w:val="24"/>
          <w:szCs w:val="24"/>
        </w:rPr>
      </w:pPr>
    </w:p>
    <w:p w14:paraId="3C23FE78" w14:textId="77777777" w:rsidR="009B0F38" w:rsidRPr="00E6129F" w:rsidRDefault="009B0F38" w:rsidP="009B0F38">
      <w:pPr>
        <w:tabs>
          <w:tab w:val="left" w:pos="851"/>
        </w:tabs>
        <w:ind w:left="851"/>
        <w:rPr>
          <w:sz w:val="24"/>
          <w:szCs w:val="24"/>
          <w:u w:val="single"/>
        </w:rPr>
      </w:pPr>
      <w:r w:rsidRPr="00E6129F">
        <w:rPr>
          <w:sz w:val="24"/>
          <w:szCs w:val="24"/>
          <w:u w:val="single"/>
        </w:rPr>
        <w:t>Nedsat leverfunktion</w:t>
      </w:r>
    </w:p>
    <w:p w14:paraId="4BE61B82" w14:textId="77777777" w:rsidR="009B0F38" w:rsidRPr="00E6129F" w:rsidRDefault="009B0F38" w:rsidP="009B0F38">
      <w:pPr>
        <w:tabs>
          <w:tab w:val="left" w:pos="851"/>
        </w:tabs>
        <w:ind w:left="851"/>
        <w:rPr>
          <w:sz w:val="24"/>
          <w:szCs w:val="24"/>
        </w:rPr>
      </w:pPr>
      <w:r w:rsidRPr="00E6129F">
        <w:rPr>
          <w:sz w:val="24"/>
          <w:szCs w:val="24"/>
        </w:rPr>
        <w:t>Leverenzymer bør overvåges i løbet af behandlingen hos patienter med svært nedsat leverfunktion. Hvis leverenzymerne stiger, bør behandlingen seponeres (se pkt. 4.2).</w:t>
      </w:r>
    </w:p>
    <w:p w14:paraId="55BA22DE" w14:textId="77777777" w:rsidR="009B0F38" w:rsidRPr="00E6129F" w:rsidRDefault="009B0F38" w:rsidP="009B0F38">
      <w:pPr>
        <w:tabs>
          <w:tab w:val="left" w:pos="851"/>
        </w:tabs>
        <w:ind w:left="851"/>
        <w:rPr>
          <w:sz w:val="24"/>
          <w:szCs w:val="24"/>
        </w:rPr>
      </w:pPr>
    </w:p>
    <w:p w14:paraId="60D873EA" w14:textId="77777777" w:rsidR="009B0F38" w:rsidRPr="00E6129F" w:rsidRDefault="009B0F38" w:rsidP="009B0F38">
      <w:pPr>
        <w:tabs>
          <w:tab w:val="left" w:pos="851"/>
        </w:tabs>
        <w:ind w:left="851"/>
        <w:rPr>
          <w:sz w:val="24"/>
          <w:szCs w:val="24"/>
          <w:u w:val="single"/>
        </w:rPr>
      </w:pPr>
      <w:r w:rsidRPr="00E6129F">
        <w:rPr>
          <w:sz w:val="24"/>
          <w:szCs w:val="24"/>
          <w:u w:val="single"/>
        </w:rPr>
        <w:t xml:space="preserve">Administration sammen med HIV </w:t>
      </w:r>
      <w:proofErr w:type="spellStart"/>
      <w:r w:rsidRPr="00E6129F">
        <w:rPr>
          <w:sz w:val="24"/>
          <w:szCs w:val="24"/>
          <w:u w:val="single"/>
        </w:rPr>
        <w:t>protease-hæmmere</w:t>
      </w:r>
      <w:proofErr w:type="spellEnd"/>
    </w:p>
    <w:p w14:paraId="6AE3CCF8" w14:textId="77777777" w:rsidR="009B0F38" w:rsidRPr="00E6129F" w:rsidRDefault="009B0F38" w:rsidP="009B0F38">
      <w:pPr>
        <w:tabs>
          <w:tab w:val="left" w:pos="851"/>
        </w:tabs>
        <w:ind w:left="851"/>
        <w:rPr>
          <w:sz w:val="24"/>
          <w:szCs w:val="24"/>
        </w:rPr>
      </w:pPr>
      <w:proofErr w:type="spellStart"/>
      <w:r w:rsidRPr="00E6129F">
        <w:rPr>
          <w:sz w:val="24"/>
          <w:szCs w:val="24"/>
        </w:rPr>
        <w:t>Pantoprazol</w:t>
      </w:r>
      <w:proofErr w:type="spellEnd"/>
      <w:r w:rsidRPr="00E6129F">
        <w:rPr>
          <w:sz w:val="24"/>
          <w:szCs w:val="24"/>
        </w:rPr>
        <w:t xml:space="preserve"> bør ikke anvendes sammen med HIV </w:t>
      </w:r>
      <w:proofErr w:type="spellStart"/>
      <w:r w:rsidRPr="00E6129F">
        <w:rPr>
          <w:sz w:val="24"/>
          <w:szCs w:val="24"/>
        </w:rPr>
        <w:t>protease-hæmmere</w:t>
      </w:r>
      <w:proofErr w:type="spellEnd"/>
      <w:r w:rsidRPr="00E6129F">
        <w:rPr>
          <w:sz w:val="24"/>
          <w:szCs w:val="24"/>
        </w:rPr>
        <w:t xml:space="preserve">, hvor absorptionen er afhængig af sur, intragastrisk pH, såsom </w:t>
      </w:r>
      <w:proofErr w:type="spellStart"/>
      <w:r w:rsidRPr="00E6129F">
        <w:rPr>
          <w:sz w:val="24"/>
          <w:szCs w:val="24"/>
        </w:rPr>
        <w:t>atazanavir</w:t>
      </w:r>
      <w:proofErr w:type="spellEnd"/>
      <w:r w:rsidRPr="00E6129F">
        <w:rPr>
          <w:sz w:val="24"/>
          <w:szCs w:val="24"/>
        </w:rPr>
        <w:t>, som følge af en signifikant reduktion i deres biotilgængelighed (se pkt. 4.5).</w:t>
      </w:r>
    </w:p>
    <w:p w14:paraId="403B34B0" w14:textId="77777777" w:rsidR="009B0F38" w:rsidRPr="00E6129F" w:rsidRDefault="009B0F38" w:rsidP="009B0F38">
      <w:pPr>
        <w:tabs>
          <w:tab w:val="left" w:pos="851"/>
        </w:tabs>
        <w:ind w:left="851"/>
        <w:rPr>
          <w:sz w:val="24"/>
          <w:szCs w:val="24"/>
        </w:rPr>
      </w:pPr>
    </w:p>
    <w:p w14:paraId="3A6121AC" w14:textId="77777777" w:rsidR="009B0F38" w:rsidRPr="00E6129F" w:rsidRDefault="009B0F38" w:rsidP="009B0F38">
      <w:pPr>
        <w:tabs>
          <w:tab w:val="left" w:pos="851"/>
        </w:tabs>
        <w:ind w:left="851"/>
        <w:rPr>
          <w:sz w:val="24"/>
          <w:szCs w:val="24"/>
          <w:u w:val="single"/>
        </w:rPr>
      </w:pPr>
      <w:r w:rsidRPr="00E6129F">
        <w:rPr>
          <w:sz w:val="24"/>
          <w:szCs w:val="24"/>
          <w:u w:val="single"/>
        </w:rPr>
        <w:t>Mave-tarm-infektioner forårsaget af bakterier</w:t>
      </w:r>
    </w:p>
    <w:p w14:paraId="3B55A63E" w14:textId="77777777" w:rsidR="009B0F38" w:rsidRPr="00E6129F" w:rsidRDefault="009B0F38" w:rsidP="009B0F38">
      <w:pPr>
        <w:tabs>
          <w:tab w:val="left" w:pos="851"/>
        </w:tabs>
        <w:ind w:left="851"/>
        <w:rPr>
          <w:sz w:val="24"/>
          <w:szCs w:val="24"/>
        </w:rPr>
      </w:pPr>
      <w:r w:rsidRPr="00E6129F">
        <w:rPr>
          <w:sz w:val="24"/>
          <w:szCs w:val="24"/>
        </w:rPr>
        <w:t xml:space="preserve">Behandling med </w:t>
      </w:r>
      <w:proofErr w:type="spellStart"/>
      <w:r w:rsidRPr="00E6129F">
        <w:rPr>
          <w:sz w:val="24"/>
          <w:szCs w:val="24"/>
        </w:rPr>
        <w:t>pantoprazol</w:t>
      </w:r>
      <w:proofErr w:type="spellEnd"/>
      <w:r w:rsidRPr="00E6129F">
        <w:rPr>
          <w:sz w:val="24"/>
          <w:szCs w:val="24"/>
        </w:rPr>
        <w:t xml:space="preserve"> kan føre til en lettere øget risiko for mave-tarm-infektioner forårsaget af bakterier, såsom </w:t>
      </w:r>
      <w:r w:rsidRPr="00E6129F">
        <w:rPr>
          <w:i/>
          <w:sz w:val="24"/>
          <w:szCs w:val="24"/>
        </w:rPr>
        <w:t>Salmonella</w:t>
      </w:r>
      <w:r w:rsidRPr="00E6129F">
        <w:rPr>
          <w:sz w:val="24"/>
          <w:szCs w:val="24"/>
        </w:rPr>
        <w:t xml:space="preserve"> og </w:t>
      </w:r>
      <w:r w:rsidRPr="00E6129F">
        <w:rPr>
          <w:i/>
          <w:sz w:val="24"/>
          <w:szCs w:val="24"/>
        </w:rPr>
        <w:t>Campylobacter</w:t>
      </w:r>
      <w:r w:rsidRPr="00E6129F">
        <w:rPr>
          <w:sz w:val="24"/>
          <w:szCs w:val="24"/>
        </w:rPr>
        <w:t xml:space="preserve"> eller </w:t>
      </w:r>
      <w:r w:rsidRPr="00E6129F">
        <w:rPr>
          <w:i/>
          <w:sz w:val="24"/>
          <w:szCs w:val="24"/>
        </w:rPr>
        <w:t>C. difficile</w:t>
      </w:r>
      <w:r w:rsidRPr="00E6129F">
        <w:rPr>
          <w:sz w:val="24"/>
          <w:szCs w:val="24"/>
        </w:rPr>
        <w:t>.</w:t>
      </w:r>
    </w:p>
    <w:p w14:paraId="5FD75B6F" w14:textId="77777777" w:rsidR="009B0F38" w:rsidRPr="00E6129F" w:rsidRDefault="009B0F38" w:rsidP="009B0F38">
      <w:pPr>
        <w:tabs>
          <w:tab w:val="left" w:pos="851"/>
        </w:tabs>
        <w:ind w:left="851"/>
        <w:rPr>
          <w:sz w:val="24"/>
          <w:szCs w:val="24"/>
        </w:rPr>
      </w:pPr>
    </w:p>
    <w:p w14:paraId="63DB9307" w14:textId="77777777" w:rsidR="009B0F38" w:rsidRPr="00E6129F" w:rsidRDefault="009B0F38" w:rsidP="009B0F38">
      <w:pPr>
        <w:tabs>
          <w:tab w:val="left" w:pos="851"/>
        </w:tabs>
        <w:ind w:left="851"/>
        <w:rPr>
          <w:sz w:val="24"/>
          <w:szCs w:val="24"/>
          <w:u w:val="single"/>
        </w:rPr>
      </w:pPr>
      <w:proofErr w:type="spellStart"/>
      <w:r w:rsidRPr="00E6129F">
        <w:rPr>
          <w:sz w:val="24"/>
          <w:szCs w:val="24"/>
          <w:u w:val="single"/>
        </w:rPr>
        <w:t>Hypomagnesiæmi</w:t>
      </w:r>
      <w:proofErr w:type="spellEnd"/>
    </w:p>
    <w:p w14:paraId="79A46E59" w14:textId="77777777" w:rsidR="009B0F38" w:rsidRPr="00E6129F" w:rsidRDefault="009B0F38" w:rsidP="009B0F38">
      <w:pPr>
        <w:tabs>
          <w:tab w:val="left" w:pos="851"/>
        </w:tabs>
        <w:ind w:left="851"/>
        <w:rPr>
          <w:sz w:val="24"/>
          <w:szCs w:val="24"/>
        </w:rPr>
      </w:pPr>
      <w:r w:rsidRPr="00E6129F">
        <w:rPr>
          <w:sz w:val="24"/>
          <w:szCs w:val="24"/>
        </w:rPr>
        <w:t xml:space="preserve">Svær </w:t>
      </w:r>
      <w:proofErr w:type="spellStart"/>
      <w:r w:rsidRPr="00E6129F">
        <w:rPr>
          <w:sz w:val="24"/>
          <w:szCs w:val="24"/>
        </w:rPr>
        <w:t>hypomagnesiæmi</w:t>
      </w:r>
      <w:proofErr w:type="spellEnd"/>
      <w:r w:rsidRPr="00E6129F">
        <w:rPr>
          <w:sz w:val="24"/>
          <w:szCs w:val="24"/>
        </w:rPr>
        <w:t xml:space="preserve"> er i sjældne tilfælde blevet rapporteret hos patienter behandlet med </w:t>
      </w:r>
      <w:proofErr w:type="spellStart"/>
      <w:r w:rsidRPr="00E6129F">
        <w:rPr>
          <w:sz w:val="24"/>
          <w:szCs w:val="24"/>
        </w:rPr>
        <w:t>protonpumpehæmmere</w:t>
      </w:r>
      <w:proofErr w:type="spellEnd"/>
      <w:r w:rsidRPr="00E6129F">
        <w:rPr>
          <w:sz w:val="24"/>
          <w:szCs w:val="24"/>
        </w:rPr>
        <w:t xml:space="preserve"> (proton pump inhibitors, </w:t>
      </w:r>
      <w:proofErr w:type="spellStart"/>
      <w:r w:rsidRPr="00E6129F">
        <w:rPr>
          <w:sz w:val="24"/>
          <w:szCs w:val="24"/>
        </w:rPr>
        <w:t>PPI’er</w:t>
      </w:r>
      <w:proofErr w:type="spellEnd"/>
      <w:r w:rsidRPr="00E6129F">
        <w:rPr>
          <w:sz w:val="24"/>
          <w:szCs w:val="24"/>
        </w:rPr>
        <w:t xml:space="preserve">) såsom </w:t>
      </w:r>
      <w:proofErr w:type="spellStart"/>
      <w:r w:rsidRPr="00E6129F">
        <w:rPr>
          <w:sz w:val="24"/>
          <w:szCs w:val="24"/>
        </w:rPr>
        <w:t>pantoprazol</w:t>
      </w:r>
      <w:proofErr w:type="spellEnd"/>
      <w:r w:rsidRPr="00E6129F">
        <w:rPr>
          <w:sz w:val="24"/>
          <w:szCs w:val="24"/>
        </w:rPr>
        <w:t xml:space="preserve"> i mindst tre måneder og i de fleste tilfælde i et år. Alvorlige manifestationer af </w:t>
      </w:r>
      <w:proofErr w:type="spellStart"/>
      <w:r w:rsidRPr="00E6129F">
        <w:rPr>
          <w:sz w:val="24"/>
          <w:szCs w:val="24"/>
        </w:rPr>
        <w:t>hypomagnesiæmi</w:t>
      </w:r>
      <w:proofErr w:type="spellEnd"/>
      <w:r w:rsidRPr="00E6129F">
        <w:rPr>
          <w:sz w:val="24"/>
          <w:szCs w:val="24"/>
        </w:rPr>
        <w:t xml:space="preserve">, såsom træthed, tetanus, delirium, krampeanfald, svimmelhed og </w:t>
      </w:r>
      <w:proofErr w:type="spellStart"/>
      <w:r w:rsidRPr="00E6129F">
        <w:rPr>
          <w:sz w:val="24"/>
          <w:szCs w:val="24"/>
        </w:rPr>
        <w:t>ventrikulær</w:t>
      </w:r>
      <w:proofErr w:type="spellEnd"/>
      <w:r w:rsidRPr="00E6129F">
        <w:rPr>
          <w:sz w:val="24"/>
          <w:szCs w:val="24"/>
        </w:rPr>
        <w:t xml:space="preserve"> </w:t>
      </w:r>
      <w:proofErr w:type="spellStart"/>
      <w:r w:rsidRPr="00E6129F">
        <w:rPr>
          <w:sz w:val="24"/>
          <w:szCs w:val="24"/>
        </w:rPr>
        <w:t>arytmi</w:t>
      </w:r>
      <w:proofErr w:type="spellEnd"/>
      <w:r w:rsidRPr="00E6129F">
        <w:rPr>
          <w:sz w:val="24"/>
          <w:szCs w:val="24"/>
        </w:rPr>
        <w:t xml:space="preserve"> kan forekomme, men kan til at begynde med være symptomfrie og blive oversete. </w:t>
      </w:r>
      <w:proofErr w:type="spellStart"/>
      <w:r w:rsidRPr="00E6129F">
        <w:rPr>
          <w:sz w:val="24"/>
          <w:szCs w:val="24"/>
        </w:rPr>
        <w:t>Hypomagnesiæmi</w:t>
      </w:r>
      <w:proofErr w:type="spellEnd"/>
      <w:r w:rsidRPr="00E6129F">
        <w:rPr>
          <w:sz w:val="24"/>
          <w:szCs w:val="24"/>
        </w:rPr>
        <w:t xml:space="preserve"> kan føre til </w:t>
      </w:r>
      <w:proofErr w:type="spellStart"/>
      <w:r w:rsidRPr="00E6129F">
        <w:rPr>
          <w:sz w:val="24"/>
          <w:szCs w:val="24"/>
        </w:rPr>
        <w:t>hypocalcæmi</w:t>
      </w:r>
      <w:proofErr w:type="spellEnd"/>
      <w:r w:rsidRPr="00E6129F">
        <w:rPr>
          <w:sz w:val="24"/>
          <w:szCs w:val="24"/>
        </w:rPr>
        <w:t xml:space="preserve"> og/eller </w:t>
      </w:r>
      <w:proofErr w:type="spellStart"/>
      <w:r w:rsidRPr="00E6129F">
        <w:rPr>
          <w:sz w:val="24"/>
          <w:szCs w:val="24"/>
        </w:rPr>
        <w:t>hypokaliæmi</w:t>
      </w:r>
      <w:proofErr w:type="spellEnd"/>
      <w:r w:rsidRPr="00E6129F">
        <w:rPr>
          <w:sz w:val="24"/>
          <w:szCs w:val="24"/>
        </w:rPr>
        <w:t xml:space="preserve"> (se pkt. 4.8). Hos de fleste berørte patienter, blev </w:t>
      </w:r>
      <w:proofErr w:type="spellStart"/>
      <w:r w:rsidRPr="00E6129F">
        <w:rPr>
          <w:sz w:val="24"/>
          <w:szCs w:val="24"/>
        </w:rPr>
        <w:t>hypomagnesiæmi</w:t>
      </w:r>
      <w:proofErr w:type="spellEnd"/>
      <w:r w:rsidRPr="00E6129F">
        <w:rPr>
          <w:sz w:val="24"/>
          <w:szCs w:val="24"/>
        </w:rPr>
        <w:t xml:space="preserve"> (og </w:t>
      </w:r>
      <w:proofErr w:type="spellStart"/>
      <w:r w:rsidRPr="00E6129F">
        <w:rPr>
          <w:sz w:val="24"/>
          <w:szCs w:val="24"/>
        </w:rPr>
        <w:t>hypomagnesiæmi</w:t>
      </w:r>
      <w:proofErr w:type="spellEnd"/>
      <w:r w:rsidRPr="00E6129F">
        <w:rPr>
          <w:sz w:val="24"/>
          <w:szCs w:val="24"/>
        </w:rPr>
        <w:t xml:space="preserve"> forbundet med </w:t>
      </w:r>
      <w:proofErr w:type="spellStart"/>
      <w:r w:rsidRPr="00E6129F">
        <w:rPr>
          <w:sz w:val="24"/>
          <w:szCs w:val="24"/>
        </w:rPr>
        <w:t>hypocalcæmi</w:t>
      </w:r>
      <w:proofErr w:type="spellEnd"/>
      <w:r w:rsidRPr="00E6129F">
        <w:rPr>
          <w:sz w:val="24"/>
          <w:szCs w:val="24"/>
        </w:rPr>
        <w:t xml:space="preserve"> og/eller </w:t>
      </w:r>
      <w:proofErr w:type="spellStart"/>
      <w:r w:rsidRPr="00E6129F">
        <w:rPr>
          <w:sz w:val="24"/>
          <w:szCs w:val="24"/>
        </w:rPr>
        <w:t>hypokaliæmi</w:t>
      </w:r>
      <w:proofErr w:type="spellEnd"/>
      <w:r w:rsidRPr="00E6129F">
        <w:rPr>
          <w:sz w:val="24"/>
          <w:szCs w:val="24"/>
        </w:rPr>
        <w:t xml:space="preserve">) bedre efter supplering med magnesium og </w:t>
      </w:r>
      <w:proofErr w:type="spellStart"/>
      <w:r w:rsidRPr="00E6129F">
        <w:rPr>
          <w:sz w:val="24"/>
          <w:szCs w:val="24"/>
        </w:rPr>
        <w:t>seponering</w:t>
      </w:r>
      <w:proofErr w:type="spellEnd"/>
      <w:r w:rsidRPr="00E6129F">
        <w:rPr>
          <w:sz w:val="24"/>
          <w:szCs w:val="24"/>
        </w:rPr>
        <w:t xml:space="preserve"> af PPI.</w:t>
      </w:r>
    </w:p>
    <w:p w14:paraId="342A415F" w14:textId="77777777" w:rsidR="009B0F38" w:rsidRPr="00E6129F" w:rsidRDefault="009B0F38" w:rsidP="009B0F38">
      <w:pPr>
        <w:tabs>
          <w:tab w:val="left" w:pos="851"/>
        </w:tabs>
        <w:ind w:left="851"/>
        <w:rPr>
          <w:sz w:val="24"/>
          <w:szCs w:val="24"/>
        </w:rPr>
      </w:pPr>
    </w:p>
    <w:p w14:paraId="541AA8DC" w14:textId="77777777" w:rsidR="009B0F38" w:rsidRPr="00E6129F" w:rsidRDefault="009B0F38" w:rsidP="009B0F38">
      <w:pPr>
        <w:tabs>
          <w:tab w:val="left" w:pos="851"/>
        </w:tabs>
        <w:ind w:left="851"/>
        <w:rPr>
          <w:sz w:val="24"/>
          <w:szCs w:val="24"/>
        </w:rPr>
      </w:pPr>
      <w:r w:rsidRPr="00E6129F">
        <w:rPr>
          <w:sz w:val="24"/>
          <w:szCs w:val="24"/>
        </w:rPr>
        <w:t xml:space="preserve">Sundhedspersoner bør overveje at måle magnesiumniveauerne før opstart af behandling med PPI og regelmæssigt under behandlingen hos patienter, der forventes at være i langvarig behandling eller som tager </w:t>
      </w:r>
      <w:proofErr w:type="spellStart"/>
      <w:r w:rsidRPr="00E6129F">
        <w:rPr>
          <w:sz w:val="24"/>
          <w:szCs w:val="24"/>
        </w:rPr>
        <w:t>PPI’er</w:t>
      </w:r>
      <w:proofErr w:type="spellEnd"/>
      <w:r w:rsidRPr="00E6129F">
        <w:rPr>
          <w:sz w:val="24"/>
          <w:szCs w:val="24"/>
        </w:rPr>
        <w:t xml:space="preserve"> samtidigt med </w:t>
      </w:r>
      <w:proofErr w:type="spellStart"/>
      <w:r w:rsidRPr="00E6129F">
        <w:rPr>
          <w:sz w:val="24"/>
          <w:szCs w:val="24"/>
        </w:rPr>
        <w:t>digoxin</w:t>
      </w:r>
      <w:proofErr w:type="spellEnd"/>
      <w:r w:rsidRPr="00E6129F">
        <w:rPr>
          <w:sz w:val="24"/>
          <w:szCs w:val="24"/>
        </w:rPr>
        <w:t xml:space="preserve"> eller lægemidler, der kan forårsage </w:t>
      </w:r>
      <w:proofErr w:type="spellStart"/>
      <w:r w:rsidRPr="00E6129F">
        <w:rPr>
          <w:sz w:val="24"/>
          <w:szCs w:val="24"/>
        </w:rPr>
        <w:t>hypomagnesiæmi</w:t>
      </w:r>
      <w:proofErr w:type="spellEnd"/>
      <w:r w:rsidRPr="00E6129F">
        <w:rPr>
          <w:sz w:val="24"/>
          <w:szCs w:val="24"/>
        </w:rPr>
        <w:t xml:space="preserve"> (f.eks. </w:t>
      </w:r>
      <w:proofErr w:type="spellStart"/>
      <w:r w:rsidRPr="00E6129F">
        <w:rPr>
          <w:sz w:val="24"/>
          <w:szCs w:val="24"/>
        </w:rPr>
        <w:t>diuretika</w:t>
      </w:r>
      <w:proofErr w:type="spellEnd"/>
      <w:r w:rsidRPr="00E6129F">
        <w:rPr>
          <w:sz w:val="24"/>
          <w:szCs w:val="24"/>
        </w:rPr>
        <w:t>).</w:t>
      </w:r>
    </w:p>
    <w:p w14:paraId="1DCCE77A" w14:textId="77777777" w:rsidR="009B0F38" w:rsidRPr="00E6129F" w:rsidRDefault="009B0F38" w:rsidP="009B0F38">
      <w:pPr>
        <w:tabs>
          <w:tab w:val="left" w:pos="851"/>
        </w:tabs>
        <w:ind w:left="851"/>
        <w:rPr>
          <w:sz w:val="24"/>
          <w:szCs w:val="24"/>
        </w:rPr>
      </w:pPr>
    </w:p>
    <w:p w14:paraId="58D8E7D8" w14:textId="77777777" w:rsidR="009B0F38" w:rsidRPr="00E6129F" w:rsidRDefault="009B0F38" w:rsidP="009B0F38">
      <w:pPr>
        <w:tabs>
          <w:tab w:val="left" w:pos="851"/>
        </w:tabs>
        <w:ind w:left="851"/>
        <w:rPr>
          <w:sz w:val="24"/>
          <w:szCs w:val="24"/>
          <w:u w:val="single"/>
        </w:rPr>
      </w:pPr>
      <w:r w:rsidRPr="00E6129F">
        <w:rPr>
          <w:sz w:val="24"/>
          <w:szCs w:val="24"/>
          <w:u w:val="single"/>
        </w:rPr>
        <w:t>Knoglefrakturer</w:t>
      </w:r>
    </w:p>
    <w:p w14:paraId="14432FF9" w14:textId="77777777" w:rsidR="009B0F38" w:rsidRPr="00E6129F" w:rsidRDefault="009B0F38" w:rsidP="009B0F38">
      <w:pPr>
        <w:tabs>
          <w:tab w:val="left" w:pos="851"/>
        </w:tabs>
        <w:ind w:left="851"/>
        <w:rPr>
          <w:sz w:val="24"/>
          <w:szCs w:val="24"/>
        </w:rPr>
      </w:pPr>
      <w:proofErr w:type="spellStart"/>
      <w:r w:rsidRPr="00E6129F">
        <w:rPr>
          <w:sz w:val="24"/>
          <w:szCs w:val="24"/>
        </w:rPr>
        <w:t>Protonpumpehæmmere</w:t>
      </w:r>
      <w:proofErr w:type="spellEnd"/>
      <w:r w:rsidRPr="00E6129F">
        <w:rPr>
          <w:sz w:val="24"/>
          <w:szCs w:val="24"/>
        </w:rPr>
        <w:t xml:space="preserve"> kan øge risikoen for hofte-, håndleds- og rygfrakturer i moderat grad, hovedsageligt hos ældre eller ved tilstedeværelse af andre kendte risikofaktorer, især hvis det bruges i høje doser og over lange behandlingsperioder (&gt; 1 år). Observationsstudier tyder på, at </w:t>
      </w:r>
      <w:proofErr w:type="spellStart"/>
      <w:r w:rsidRPr="00E6129F">
        <w:rPr>
          <w:sz w:val="24"/>
          <w:szCs w:val="24"/>
        </w:rPr>
        <w:t>protonpumpehæmmere</w:t>
      </w:r>
      <w:proofErr w:type="spellEnd"/>
      <w:r w:rsidRPr="00E6129F">
        <w:rPr>
          <w:sz w:val="24"/>
          <w:szCs w:val="24"/>
        </w:rPr>
        <w:t xml:space="preserve"> kan øge den samlede risiko for frakturer med 10-40 %. Noget af denne øgning kan skyldes andre risikofaktorer. Patienter med risiko for osteoporose bør modtage behandling i henhold til gældende kliniske retningslinjer, og de bør have en tilstrækkelig indtagelse af D-vitamin og calcium.</w:t>
      </w:r>
    </w:p>
    <w:p w14:paraId="70942983" w14:textId="509D5CA7" w:rsidR="00BE1106" w:rsidRDefault="00BE1106">
      <w:pPr>
        <w:rPr>
          <w:sz w:val="24"/>
          <w:szCs w:val="24"/>
        </w:rPr>
      </w:pPr>
      <w:r>
        <w:rPr>
          <w:sz w:val="24"/>
          <w:szCs w:val="24"/>
        </w:rPr>
        <w:br w:type="page"/>
      </w:r>
    </w:p>
    <w:p w14:paraId="3FF8531A" w14:textId="77777777" w:rsidR="009B0F38" w:rsidRPr="00E6129F" w:rsidRDefault="009B0F38" w:rsidP="009B0F38">
      <w:pPr>
        <w:tabs>
          <w:tab w:val="left" w:pos="851"/>
        </w:tabs>
        <w:ind w:left="851"/>
        <w:rPr>
          <w:sz w:val="24"/>
          <w:szCs w:val="24"/>
        </w:rPr>
      </w:pPr>
    </w:p>
    <w:p w14:paraId="7F09806B" w14:textId="77777777" w:rsidR="009B0F38" w:rsidRPr="00E6129F" w:rsidRDefault="009B0F38" w:rsidP="009B0F38">
      <w:pPr>
        <w:tabs>
          <w:tab w:val="left" w:pos="851"/>
        </w:tabs>
        <w:ind w:left="851"/>
        <w:rPr>
          <w:sz w:val="24"/>
          <w:szCs w:val="24"/>
          <w:u w:val="single"/>
          <w:lang w:val="fi-FI"/>
        </w:rPr>
      </w:pPr>
      <w:r w:rsidRPr="00E6129F">
        <w:rPr>
          <w:sz w:val="24"/>
          <w:szCs w:val="24"/>
          <w:u w:val="single"/>
          <w:lang w:val="fi-FI"/>
        </w:rPr>
        <w:t>Subakut Kutan Lupus Erythematosus (SCLE)</w:t>
      </w:r>
    </w:p>
    <w:p w14:paraId="2A909690" w14:textId="5823358F" w:rsidR="009B0F38" w:rsidRPr="00E6129F" w:rsidRDefault="009B0F38" w:rsidP="009B0F38">
      <w:pPr>
        <w:tabs>
          <w:tab w:val="left" w:pos="851"/>
        </w:tabs>
        <w:ind w:left="851"/>
        <w:rPr>
          <w:sz w:val="24"/>
          <w:szCs w:val="24"/>
        </w:rPr>
      </w:pPr>
      <w:proofErr w:type="spellStart"/>
      <w:r w:rsidRPr="00E6129F">
        <w:rPr>
          <w:sz w:val="24"/>
          <w:szCs w:val="24"/>
        </w:rPr>
        <w:t>Protonpumpehæmmere</w:t>
      </w:r>
      <w:proofErr w:type="spellEnd"/>
      <w:r w:rsidRPr="00E6129F">
        <w:rPr>
          <w:sz w:val="24"/>
          <w:szCs w:val="24"/>
        </w:rPr>
        <w:t xml:space="preserve"> er forbundet med meget sjældne tilfælde af SCLE. Hvis der opstår læsioner, især i områder af huden, som eksponeres for sollys, og hvis de ledsages af </w:t>
      </w:r>
      <w:proofErr w:type="spellStart"/>
      <w:r w:rsidRPr="00E6129F">
        <w:rPr>
          <w:sz w:val="24"/>
          <w:szCs w:val="24"/>
        </w:rPr>
        <w:t>artralgi</w:t>
      </w:r>
      <w:proofErr w:type="spellEnd"/>
      <w:r w:rsidRPr="00E6129F">
        <w:rPr>
          <w:sz w:val="24"/>
          <w:szCs w:val="24"/>
        </w:rPr>
        <w:t xml:space="preserve">, bør patienten straks søge lægehjælp, og sundhedspersonen bør overveje at stoppe behandlingen med </w:t>
      </w:r>
      <w:proofErr w:type="spellStart"/>
      <w:r w:rsidRPr="00E6129F">
        <w:rPr>
          <w:sz w:val="24"/>
          <w:szCs w:val="24"/>
        </w:rPr>
        <w:t>pantoprazol</w:t>
      </w:r>
      <w:proofErr w:type="spellEnd"/>
      <w:r w:rsidRPr="00E6129F">
        <w:rPr>
          <w:sz w:val="24"/>
          <w:szCs w:val="24"/>
        </w:rPr>
        <w:t xml:space="preserve">. SCLE efter tidligere behandling med en protonpumpehæmmer, kan øge risikoen for SCLE sammen med andre </w:t>
      </w:r>
      <w:proofErr w:type="spellStart"/>
      <w:r w:rsidRPr="00E6129F">
        <w:rPr>
          <w:sz w:val="24"/>
          <w:szCs w:val="24"/>
        </w:rPr>
        <w:t>protonpumpehæmmere</w:t>
      </w:r>
      <w:proofErr w:type="spellEnd"/>
      <w:r w:rsidRPr="00E6129F">
        <w:rPr>
          <w:sz w:val="24"/>
          <w:szCs w:val="24"/>
        </w:rPr>
        <w:t>.</w:t>
      </w:r>
    </w:p>
    <w:p w14:paraId="07ECD860" w14:textId="77777777" w:rsidR="009B0F38" w:rsidRPr="00E6129F" w:rsidRDefault="009B0F38" w:rsidP="009B0F38">
      <w:pPr>
        <w:tabs>
          <w:tab w:val="left" w:pos="851"/>
        </w:tabs>
        <w:ind w:left="851"/>
        <w:rPr>
          <w:sz w:val="24"/>
          <w:szCs w:val="24"/>
        </w:rPr>
      </w:pPr>
    </w:p>
    <w:p w14:paraId="243587FC" w14:textId="77777777" w:rsidR="009B0F38" w:rsidRPr="00E6129F" w:rsidRDefault="009B0F38" w:rsidP="009B0F38">
      <w:pPr>
        <w:tabs>
          <w:tab w:val="left" w:pos="851"/>
        </w:tabs>
        <w:ind w:left="851"/>
        <w:rPr>
          <w:sz w:val="24"/>
          <w:szCs w:val="24"/>
          <w:u w:val="single"/>
        </w:rPr>
      </w:pPr>
      <w:r w:rsidRPr="00E6129F">
        <w:rPr>
          <w:sz w:val="24"/>
          <w:szCs w:val="24"/>
          <w:u w:val="single"/>
        </w:rPr>
        <w:t>Natrium</w:t>
      </w:r>
    </w:p>
    <w:p w14:paraId="34AE8F5C" w14:textId="77777777" w:rsidR="009B0F38" w:rsidRPr="00E6129F" w:rsidRDefault="009B0F38" w:rsidP="009B0F38">
      <w:pPr>
        <w:tabs>
          <w:tab w:val="left" w:pos="851"/>
        </w:tabs>
        <w:ind w:left="851"/>
        <w:rPr>
          <w:sz w:val="24"/>
          <w:szCs w:val="24"/>
        </w:rPr>
      </w:pPr>
      <w:r w:rsidRPr="00E6129F">
        <w:rPr>
          <w:sz w:val="24"/>
          <w:szCs w:val="24"/>
        </w:rPr>
        <w:t>Dette lægemiddel indeholder mindre end 1 mmol (23 mg) natrium pr. dosis, dvs. det er i det væsentlige natriumfrit.</w:t>
      </w:r>
    </w:p>
    <w:p w14:paraId="27BE9AD5" w14:textId="77777777" w:rsidR="009B0F38" w:rsidRPr="00E6129F" w:rsidRDefault="009B0F38" w:rsidP="009B0F38">
      <w:pPr>
        <w:tabs>
          <w:tab w:val="left" w:pos="851"/>
        </w:tabs>
        <w:ind w:left="851"/>
        <w:rPr>
          <w:sz w:val="24"/>
          <w:szCs w:val="24"/>
        </w:rPr>
      </w:pPr>
    </w:p>
    <w:p w14:paraId="5646B21F" w14:textId="77777777" w:rsidR="009B0F38" w:rsidRPr="00E6129F" w:rsidRDefault="009B0F38" w:rsidP="009B0F38">
      <w:pPr>
        <w:tabs>
          <w:tab w:val="left" w:pos="851"/>
        </w:tabs>
        <w:ind w:left="851"/>
        <w:rPr>
          <w:sz w:val="24"/>
          <w:szCs w:val="24"/>
          <w:u w:val="single"/>
        </w:rPr>
      </w:pPr>
      <w:r w:rsidRPr="00E6129F">
        <w:rPr>
          <w:sz w:val="24"/>
          <w:szCs w:val="24"/>
          <w:u w:val="single"/>
        </w:rPr>
        <w:t>Påvirkning af laboratorieprøver</w:t>
      </w:r>
    </w:p>
    <w:p w14:paraId="712C39CF" w14:textId="59CA8DBB" w:rsidR="009B0F38" w:rsidRPr="00E6129F" w:rsidRDefault="009B0F38" w:rsidP="009B0F38">
      <w:pPr>
        <w:tabs>
          <w:tab w:val="left" w:pos="851"/>
        </w:tabs>
        <w:ind w:left="851"/>
        <w:rPr>
          <w:sz w:val="24"/>
          <w:szCs w:val="24"/>
        </w:rPr>
      </w:pPr>
      <w:r w:rsidRPr="00E6129F">
        <w:rPr>
          <w:sz w:val="24"/>
          <w:szCs w:val="24"/>
        </w:rPr>
        <w:t xml:space="preserve">Forhøjede niveauer af </w:t>
      </w:r>
      <w:proofErr w:type="spellStart"/>
      <w:r w:rsidRPr="00E6129F">
        <w:rPr>
          <w:sz w:val="24"/>
          <w:szCs w:val="24"/>
        </w:rPr>
        <w:t>chromogranin</w:t>
      </w:r>
      <w:proofErr w:type="spellEnd"/>
      <w:r w:rsidRPr="00E6129F">
        <w:rPr>
          <w:sz w:val="24"/>
          <w:szCs w:val="24"/>
        </w:rPr>
        <w:t xml:space="preserve"> A (</w:t>
      </w:r>
      <w:proofErr w:type="spellStart"/>
      <w:r w:rsidRPr="00E6129F">
        <w:rPr>
          <w:sz w:val="24"/>
          <w:szCs w:val="24"/>
        </w:rPr>
        <w:t>CgA</w:t>
      </w:r>
      <w:proofErr w:type="spellEnd"/>
      <w:r w:rsidRPr="00E6129F">
        <w:rPr>
          <w:sz w:val="24"/>
          <w:szCs w:val="24"/>
        </w:rPr>
        <w:t xml:space="preserve">) kan interferere med undersøgelser for </w:t>
      </w:r>
      <w:proofErr w:type="spellStart"/>
      <w:r w:rsidRPr="00E6129F">
        <w:rPr>
          <w:sz w:val="24"/>
          <w:szCs w:val="24"/>
        </w:rPr>
        <w:t>neuroendokrine</w:t>
      </w:r>
      <w:proofErr w:type="spellEnd"/>
      <w:r w:rsidRPr="00E6129F">
        <w:rPr>
          <w:sz w:val="24"/>
          <w:szCs w:val="24"/>
        </w:rPr>
        <w:t xml:space="preserve"> tumorer. For at undgå denne interferens, bør behandlingen med </w:t>
      </w:r>
      <w:proofErr w:type="spellStart"/>
      <w:r w:rsidRPr="00E6129F">
        <w:rPr>
          <w:sz w:val="24"/>
          <w:szCs w:val="24"/>
        </w:rPr>
        <w:t>pantoprazol</w:t>
      </w:r>
      <w:proofErr w:type="spellEnd"/>
      <w:r w:rsidRPr="00E6129F">
        <w:rPr>
          <w:sz w:val="24"/>
          <w:szCs w:val="24"/>
        </w:rPr>
        <w:t xml:space="preserve"> seponeres mindst 5 dage inden måling af </w:t>
      </w:r>
      <w:proofErr w:type="spellStart"/>
      <w:r w:rsidRPr="00E6129F">
        <w:rPr>
          <w:sz w:val="24"/>
          <w:szCs w:val="24"/>
        </w:rPr>
        <w:t>CgA</w:t>
      </w:r>
      <w:proofErr w:type="spellEnd"/>
      <w:r w:rsidRPr="00E6129F">
        <w:rPr>
          <w:sz w:val="24"/>
          <w:szCs w:val="24"/>
        </w:rPr>
        <w:t xml:space="preserve"> (se pkt. 5.1). Hvis </w:t>
      </w:r>
      <w:proofErr w:type="spellStart"/>
      <w:r w:rsidRPr="00E6129F">
        <w:rPr>
          <w:sz w:val="24"/>
          <w:szCs w:val="24"/>
        </w:rPr>
        <w:t>CgA</w:t>
      </w:r>
      <w:proofErr w:type="spellEnd"/>
      <w:r w:rsidRPr="00E6129F">
        <w:rPr>
          <w:sz w:val="24"/>
          <w:szCs w:val="24"/>
        </w:rPr>
        <w:t xml:space="preserve"> og gastrinniveauerne ikke er vendt tilbage til referenceintervallet efter den indledende måling, bør målingerne gentages 14 dage efter ophør af behandlingen med protonpumpehæmmeren.</w:t>
      </w:r>
    </w:p>
    <w:p w14:paraId="41029C70" w14:textId="77777777" w:rsidR="009260DE" w:rsidRPr="00E6129F" w:rsidRDefault="009260DE" w:rsidP="009260DE">
      <w:pPr>
        <w:tabs>
          <w:tab w:val="left" w:pos="851"/>
        </w:tabs>
        <w:ind w:left="851"/>
        <w:rPr>
          <w:sz w:val="24"/>
          <w:szCs w:val="24"/>
        </w:rPr>
      </w:pPr>
    </w:p>
    <w:p w14:paraId="1C385067" w14:textId="77777777" w:rsidR="009260DE" w:rsidRPr="00E6129F" w:rsidRDefault="009260DE" w:rsidP="009260DE">
      <w:pPr>
        <w:tabs>
          <w:tab w:val="left" w:pos="851"/>
        </w:tabs>
        <w:ind w:left="851" w:hanging="851"/>
        <w:rPr>
          <w:b/>
          <w:sz w:val="24"/>
          <w:szCs w:val="24"/>
        </w:rPr>
      </w:pPr>
      <w:r w:rsidRPr="00E6129F">
        <w:rPr>
          <w:b/>
          <w:sz w:val="24"/>
          <w:szCs w:val="24"/>
        </w:rPr>
        <w:t>4.5</w:t>
      </w:r>
      <w:r w:rsidRPr="00E6129F">
        <w:rPr>
          <w:b/>
          <w:sz w:val="24"/>
          <w:szCs w:val="24"/>
        </w:rPr>
        <w:tab/>
        <w:t>Interaktion med andre lægemidler og andre former for interaktion</w:t>
      </w:r>
    </w:p>
    <w:p w14:paraId="4BB46242" w14:textId="77777777" w:rsidR="00E6129F" w:rsidRDefault="00E6129F" w:rsidP="009B0F38">
      <w:pPr>
        <w:tabs>
          <w:tab w:val="left" w:pos="851"/>
        </w:tabs>
        <w:ind w:left="851"/>
        <w:rPr>
          <w:sz w:val="24"/>
          <w:szCs w:val="24"/>
          <w:u w:val="single"/>
        </w:rPr>
      </w:pPr>
    </w:p>
    <w:p w14:paraId="3DB11E28" w14:textId="4AAC3685" w:rsidR="009B0F38" w:rsidRPr="00E6129F" w:rsidRDefault="009B0F38" w:rsidP="009B0F38">
      <w:pPr>
        <w:tabs>
          <w:tab w:val="left" w:pos="851"/>
        </w:tabs>
        <w:ind w:left="851"/>
        <w:rPr>
          <w:sz w:val="24"/>
          <w:szCs w:val="24"/>
          <w:u w:val="single"/>
          <w:lang w:eastAsia="da-DK"/>
        </w:rPr>
      </w:pPr>
      <w:r w:rsidRPr="00E6129F">
        <w:rPr>
          <w:sz w:val="24"/>
          <w:szCs w:val="24"/>
          <w:u w:val="single"/>
        </w:rPr>
        <w:t>Lægemidler med pH-afhængig absorptionsfarmakokinetik</w:t>
      </w:r>
    </w:p>
    <w:p w14:paraId="4EDEA87E" w14:textId="77777777" w:rsidR="009B0F38" w:rsidRPr="00E6129F" w:rsidRDefault="009B0F38" w:rsidP="009B0F38">
      <w:pPr>
        <w:tabs>
          <w:tab w:val="left" w:pos="851"/>
        </w:tabs>
        <w:ind w:left="851"/>
        <w:rPr>
          <w:sz w:val="24"/>
          <w:szCs w:val="24"/>
        </w:rPr>
      </w:pPr>
      <w:r w:rsidRPr="00E6129F">
        <w:rPr>
          <w:sz w:val="24"/>
          <w:szCs w:val="24"/>
        </w:rPr>
        <w:t xml:space="preserve">På grund af den omfattende og langvarige hæmning af mavesyresekretionen kan </w:t>
      </w:r>
      <w:proofErr w:type="spellStart"/>
      <w:r w:rsidRPr="00E6129F">
        <w:rPr>
          <w:sz w:val="24"/>
          <w:szCs w:val="24"/>
        </w:rPr>
        <w:t>pantoprazol</w:t>
      </w:r>
      <w:proofErr w:type="spellEnd"/>
      <w:r w:rsidRPr="00E6129F">
        <w:rPr>
          <w:sz w:val="24"/>
          <w:szCs w:val="24"/>
        </w:rPr>
        <w:t xml:space="preserve"> påvirke absorptionen af lægemidler, hvis orale biotilgængelighed beror på pH-værdien i ventriklen., f.eks. nogle </w:t>
      </w:r>
      <w:proofErr w:type="spellStart"/>
      <w:r w:rsidRPr="00E6129F">
        <w:rPr>
          <w:sz w:val="24"/>
          <w:szCs w:val="24"/>
        </w:rPr>
        <w:t>antimykotika</w:t>
      </w:r>
      <w:proofErr w:type="spellEnd"/>
      <w:r w:rsidRPr="00E6129F">
        <w:rPr>
          <w:sz w:val="24"/>
          <w:szCs w:val="24"/>
        </w:rPr>
        <w:t xml:space="preserve"> af </w:t>
      </w:r>
      <w:proofErr w:type="spellStart"/>
      <w:r w:rsidRPr="00E6129F">
        <w:rPr>
          <w:sz w:val="24"/>
          <w:szCs w:val="24"/>
        </w:rPr>
        <w:t>azoltypen</w:t>
      </w:r>
      <w:proofErr w:type="spellEnd"/>
      <w:r w:rsidRPr="00E6129F">
        <w:rPr>
          <w:sz w:val="24"/>
          <w:szCs w:val="24"/>
        </w:rPr>
        <w:t xml:space="preserve">, såsom </w:t>
      </w:r>
      <w:proofErr w:type="spellStart"/>
      <w:r w:rsidRPr="00E6129F">
        <w:rPr>
          <w:sz w:val="24"/>
          <w:szCs w:val="24"/>
        </w:rPr>
        <w:t>ketoconazol</w:t>
      </w:r>
      <w:proofErr w:type="spellEnd"/>
      <w:r w:rsidRPr="00E6129F">
        <w:rPr>
          <w:sz w:val="24"/>
          <w:szCs w:val="24"/>
        </w:rPr>
        <w:t xml:space="preserve">, </w:t>
      </w:r>
      <w:proofErr w:type="spellStart"/>
      <w:r w:rsidRPr="00E6129F">
        <w:rPr>
          <w:sz w:val="24"/>
          <w:szCs w:val="24"/>
        </w:rPr>
        <w:t>itraconazol</w:t>
      </w:r>
      <w:proofErr w:type="spellEnd"/>
      <w:r w:rsidRPr="00E6129F">
        <w:rPr>
          <w:sz w:val="24"/>
          <w:szCs w:val="24"/>
        </w:rPr>
        <w:t xml:space="preserve">, </w:t>
      </w:r>
      <w:proofErr w:type="spellStart"/>
      <w:r w:rsidRPr="00E6129F">
        <w:rPr>
          <w:sz w:val="24"/>
          <w:szCs w:val="24"/>
        </w:rPr>
        <w:t>posaconazol</w:t>
      </w:r>
      <w:proofErr w:type="spellEnd"/>
      <w:r w:rsidRPr="00E6129F">
        <w:rPr>
          <w:sz w:val="24"/>
          <w:szCs w:val="24"/>
        </w:rPr>
        <w:t xml:space="preserve"> og andre lægemidler såsom </w:t>
      </w:r>
      <w:proofErr w:type="spellStart"/>
      <w:r w:rsidRPr="00E6129F">
        <w:rPr>
          <w:sz w:val="24"/>
          <w:szCs w:val="24"/>
        </w:rPr>
        <w:t>erlotinib</w:t>
      </w:r>
      <w:proofErr w:type="spellEnd"/>
      <w:r w:rsidRPr="00E6129F">
        <w:rPr>
          <w:sz w:val="24"/>
          <w:szCs w:val="24"/>
        </w:rPr>
        <w:t>.</w:t>
      </w:r>
    </w:p>
    <w:p w14:paraId="4EF2B9F2" w14:textId="77777777" w:rsidR="009B0F38" w:rsidRPr="00E6129F" w:rsidRDefault="009B0F38" w:rsidP="009B0F38">
      <w:pPr>
        <w:tabs>
          <w:tab w:val="left" w:pos="851"/>
        </w:tabs>
        <w:ind w:left="851"/>
        <w:rPr>
          <w:sz w:val="24"/>
          <w:szCs w:val="24"/>
        </w:rPr>
      </w:pPr>
    </w:p>
    <w:p w14:paraId="50D46064" w14:textId="77777777" w:rsidR="009B0F38" w:rsidRPr="00E6129F" w:rsidRDefault="009B0F38" w:rsidP="009B0F38">
      <w:pPr>
        <w:tabs>
          <w:tab w:val="left" w:pos="851"/>
        </w:tabs>
        <w:ind w:left="851"/>
        <w:rPr>
          <w:sz w:val="24"/>
          <w:szCs w:val="24"/>
          <w:u w:val="single"/>
        </w:rPr>
      </w:pPr>
      <w:r w:rsidRPr="00E6129F">
        <w:rPr>
          <w:sz w:val="24"/>
          <w:szCs w:val="24"/>
          <w:u w:val="single"/>
        </w:rPr>
        <w:t xml:space="preserve">HIV </w:t>
      </w:r>
      <w:proofErr w:type="spellStart"/>
      <w:r w:rsidRPr="00E6129F">
        <w:rPr>
          <w:sz w:val="24"/>
          <w:szCs w:val="24"/>
          <w:u w:val="single"/>
        </w:rPr>
        <w:t>protease-hæmmere</w:t>
      </w:r>
      <w:proofErr w:type="spellEnd"/>
    </w:p>
    <w:p w14:paraId="7E82B03F" w14:textId="77777777" w:rsidR="009B0F38" w:rsidRPr="00E6129F" w:rsidRDefault="009B0F38" w:rsidP="009B0F38">
      <w:pPr>
        <w:tabs>
          <w:tab w:val="left" w:pos="851"/>
        </w:tabs>
        <w:ind w:left="851"/>
        <w:rPr>
          <w:sz w:val="24"/>
          <w:szCs w:val="24"/>
        </w:rPr>
      </w:pPr>
      <w:proofErr w:type="spellStart"/>
      <w:r w:rsidRPr="00E6129F">
        <w:rPr>
          <w:sz w:val="24"/>
          <w:szCs w:val="24"/>
        </w:rPr>
        <w:t>Pantoprazol</w:t>
      </w:r>
      <w:proofErr w:type="spellEnd"/>
      <w:r w:rsidRPr="00E6129F">
        <w:rPr>
          <w:sz w:val="24"/>
          <w:szCs w:val="24"/>
        </w:rPr>
        <w:t xml:space="preserve"> bør ikke administreres sammen med HIV </w:t>
      </w:r>
      <w:proofErr w:type="spellStart"/>
      <w:r w:rsidRPr="00E6129F">
        <w:rPr>
          <w:sz w:val="24"/>
          <w:szCs w:val="24"/>
        </w:rPr>
        <w:t>protease-hæmmere</w:t>
      </w:r>
      <w:proofErr w:type="spellEnd"/>
      <w:r w:rsidRPr="00E6129F">
        <w:rPr>
          <w:sz w:val="24"/>
          <w:szCs w:val="24"/>
        </w:rPr>
        <w:t xml:space="preserve">, hvor absorptionen er afhængig af sur, intragastrisk pH, såsom </w:t>
      </w:r>
      <w:proofErr w:type="spellStart"/>
      <w:r w:rsidRPr="00E6129F">
        <w:rPr>
          <w:sz w:val="24"/>
          <w:szCs w:val="24"/>
        </w:rPr>
        <w:t>atazanavir</w:t>
      </w:r>
      <w:proofErr w:type="spellEnd"/>
      <w:r w:rsidRPr="00E6129F">
        <w:rPr>
          <w:sz w:val="24"/>
          <w:szCs w:val="24"/>
        </w:rPr>
        <w:t>, som følge af en signifikant reduktion i deres biotilgængelighed (se pkt. 4.4).</w:t>
      </w:r>
    </w:p>
    <w:p w14:paraId="76B04B82" w14:textId="77777777" w:rsidR="009B0F38" w:rsidRPr="00E6129F" w:rsidRDefault="009B0F38" w:rsidP="009B0F38">
      <w:pPr>
        <w:tabs>
          <w:tab w:val="left" w:pos="851"/>
        </w:tabs>
        <w:ind w:left="851"/>
        <w:rPr>
          <w:sz w:val="24"/>
          <w:szCs w:val="24"/>
        </w:rPr>
      </w:pPr>
    </w:p>
    <w:p w14:paraId="644DA659" w14:textId="77777777" w:rsidR="009B0F38" w:rsidRPr="00E6129F" w:rsidRDefault="009B0F38" w:rsidP="009B0F38">
      <w:pPr>
        <w:tabs>
          <w:tab w:val="left" w:pos="851"/>
        </w:tabs>
        <w:ind w:left="851"/>
        <w:rPr>
          <w:sz w:val="24"/>
          <w:szCs w:val="24"/>
        </w:rPr>
      </w:pPr>
      <w:r w:rsidRPr="00E6129F">
        <w:rPr>
          <w:sz w:val="24"/>
          <w:szCs w:val="24"/>
        </w:rPr>
        <w:t>Hvis kombinationen af HIV-</w:t>
      </w:r>
      <w:proofErr w:type="spellStart"/>
      <w:r w:rsidRPr="00E6129F">
        <w:rPr>
          <w:sz w:val="24"/>
          <w:szCs w:val="24"/>
        </w:rPr>
        <w:t>proteasehæmmere</w:t>
      </w:r>
      <w:proofErr w:type="spellEnd"/>
      <w:r w:rsidRPr="00E6129F">
        <w:rPr>
          <w:sz w:val="24"/>
          <w:szCs w:val="24"/>
        </w:rPr>
        <w:t xml:space="preserve"> og en protonpumpehæmmer bedømmes at være uundgåelig, anbefales en nøje klinisk overvågning (f.eks. viralt load). En daglig dosis af 20 mg </w:t>
      </w:r>
      <w:proofErr w:type="spellStart"/>
      <w:r w:rsidRPr="00E6129F">
        <w:rPr>
          <w:sz w:val="24"/>
          <w:szCs w:val="24"/>
        </w:rPr>
        <w:t>pantoprazol</w:t>
      </w:r>
      <w:proofErr w:type="spellEnd"/>
      <w:r w:rsidRPr="00E6129F">
        <w:rPr>
          <w:sz w:val="24"/>
          <w:szCs w:val="24"/>
        </w:rPr>
        <w:t xml:space="preserve"> bør ikke overskrides. Doseringen af HIV-</w:t>
      </w:r>
      <w:proofErr w:type="spellStart"/>
      <w:r w:rsidRPr="00E6129F">
        <w:rPr>
          <w:sz w:val="24"/>
          <w:szCs w:val="24"/>
        </w:rPr>
        <w:t>proteasehæmmer</w:t>
      </w:r>
      <w:proofErr w:type="spellEnd"/>
      <w:r w:rsidRPr="00E6129F">
        <w:rPr>
          <w:sz w:val="24"/>
          <w:szCs w:val="24"/>
        </w:rPr>
        <w:t xml:space="preserve"> skal evt. justeres.</w:t>
      </w:r>
    </w:p>
    <w:p w14:paraId="11F3825F" w14:textId="77777777" w:rsidR="009B0F38" w:rsidRPr="00E6129F" w:rsidRDefault="009B0F38" w:rsidP="009B0F38">
      <w:pPr>
        <w:tabs>
          <w:tab w:val="left" w:pos="851"/>
        </w:tabs>
        <w:ind w:left="851"/>
        <w:rPr>
          <w:sz w:val="24"/>
          <w:szCs w:val="24"/>
        </w:rPr>
      </w:pPr>
    </w:p>
    <w:p w14:paraId="45DD286A" w14:textId="77777777" w:rsidR="009B0F38" w:rsidRPr="00E6129F" w:rsidRDefault="009B0F38" w:rsidP="009B0F38">
      <w:pPr>
        <w:tabs>
          <w:tab w:val="left" w:pos="851"/>
        </w:tabs>
        <w:ind w:left="851"/>
        <w:rPr>
          <w:sz w:val="24"/>
          <w:szCs w:val="24"/>
          <w:u w:val="single"/>
        </w:rPr>
      </w:pPr>
      <w:proofErr w:type="spellStart"/>
      <w:r w:rsidRPr="00E6129F">
        <w:rPr>
          <w:sz w:val="24"/>
          <w:szCs w:val="24"/>
          <w:u w:val="single"/>
        </w:rPr>
        <w:t>Coumarinantikoagulantia</w:t>
      </w:r>
      <w:proofErr w:type="spellEnd"/>
      <w:r w:rsidRPr="00E6129F">
        <w:rPr>
          <w:sz w:val="24"/>
          <w:szCs w:val="24"/>
          <w:u w:val="single"/>
        </w:rPr>
        <w:t xml:space="preserve"> (</w:t>
      </w:r>
      <w:proofErr w:type="spellStart"/>
      <w:r w:rsidRPr="00E6129F">
        <w:rPr>
          <w:sz w:val="24"/>
          <w:szCs w:val="24"/>
          <w:u w:val="single"/>
        </w:rPr>
        <w:t>phenprocoumon</w:t>
      </w:r>
      <w:proofErr w:type="spellEnd"/>
      <w:r w:rsidRPr="00E6129F">
        <w:rPr>
          <w:sz w:val="24"/>
          <w:szCs w:val="24"/>
          <w:u w:val="single"/>
        </w:rPr>
        <w:t xml:space="preserve"> eller </w:t>
      </w:r>
      <w:proofErr w:type="spellStart"/>
      <w:r w:rsidRPr="00E6129F">
        <w:rPr>
          <w:sz w:val="24"/>
          <w:szCs w:val="24"/>
          <w:u w:val="single"/>
        </w:rPr>
        <w:t>warfarin</w:t>
      </w:r>
      <w:proofErr w:type="spellEnd"/>
      <w:r w:rsidRPr="00E6129F">
        <w:rPr>
          <w:sz w:val="24"/>
          <w:szCs w:val="24"/>
          <w:u w:val="single"/>
        </w:rPr>
        <w:t>)</w:t>
      </w:r>
    </w:p>
    <w:p w14:paraId="5064434C" w14:textId="77777777" w:rsidR="009B0F38" w:rsidRPr="00E6129F" w:rsidRDefault="009B0F38" w:rsidP="009B0F38">
      <w:pPr>
        <w:tabs>
          <w:tab w:val="left" w:pos="851"/>
        </w:tabs>
        <w:ind w:left="851"/>
        <w:rPr>
          <w:sz w:val="24"/>
          <w:szCs w:val="24"/>
          <w:lang w:val="nb-NO"/>
        </w:rPr>
      </w:pPr>
      <w:r w:rsidRPr="00E6129F">
        <w:rPr>
          <w:sz w:val="24"/>
          <w:szCs w:val="24"/>
        </w:rPr>
        <w:t xml:space="preserve">Administration af </w:t>
      </w:r>
      <w:proofErr w:type="spellStart"/>
      <w:r w:rsidRPr="00E6129F">
        <w:rPr>
          <w:sz w:val="24"/>
          <w:szCs w:val="24"/>
        </w:rPr>
        <w:t>pantoprazol</w:t>
      </w:r>
      <w:proofErr w:type="spellEnd"/>
      <w:r w:rsidRPr="00E6129F">
        <w:rPr>
          <w:sz w:val="24"/>
          <w:szCs w:val="24"/>
        </w:rPr>
        <w:t xml:space="preserve"> sammen med </w:t>
      </w:r>
      <w:proofErr w:type="spellStart"/>
      <w:r w:rsidRPr="00E6129F">
        <w:rPr>
          <w:sz w:val="24"/>
          <w:szCs w:val="24"/>
        </w:rPr>
        <w:t>warfarin</w:t>
      </w:r>
      <w:proofErr w:type="spellEnd"/>
      <w:r w:rsidRPr="00E6129F">
        <w:rPr>
          <w:sz w:val="24"/>
          <w:szCs w:val="24"/>
        </w:rPr>
        <w:t xml:space="preserve"> eller </w:t>
      </w:r>
      <w:proofErr w:type="spellStart"/>
      <w:r w:rsidRPr="00E6129F">
        <w:rPr>
          <w:sz w:val="24"/>
          <w:szCs w:val="24"/>
        </w:rPr>
        <w:t>phenprocoumon</w:t>
      </w:r>
      <w:proofErr w:type="spellEnd"/>
      <w:r w:rsidRPr="00E6129F">
        <w:rPr>
          <w:sz w:val="24"/>
          <w:szCs w:val="24"/>
        </w:rPr>
        <w:t xml:space="preserve"> påvirkede ikke farmakokinetikken af </w:t>
      </w:r>
      <w:proofErr w:type="spellStart"/>
      <w:r w:rsidRPr="00E6129F">
        <w:rPr>
          <w:sz w:val="24"/>
          <w:szCs w:val="24"/>
        </w:rPr>
        <w:t>warfarin</w:t>
      </w:r>
      <w:proofErr w:type="spellEnd"/>
      <w:r w:rsidRPr="00E6129F">
        <w:rPr>
          <w:sz w:val="24"/>
          <w:szCs w:val="24"/>
        </w:rPr>
        <w:t xml:space="preserve">, </w:t>
      </w:r>
      <w:proofErr w:type="spellStart"/>
      <w:r w:rsidRPr="00E6129F">
        <w:rPr>
          <w:sz w:val="24"/>
          <w:szCs w:val="24"/>
        </w:rPr>
        <w:t>phenprocoumon</w:t>
      </w:r>
      <w:proofErr w:type="spellEnd"/>
      <w:r w:rsidRPr="00E6129F">
        <w:rPr>
          <w:sz w:val="24"/>
          <w:szCs w:val="24"/>
        </w:rPr>
        <w:t xml:space="preserve"> eller INR. Der er imidlertid rapporteret om en stigning i INR og </w:t>
      </w:r>
      <w:proofErr w:type="spellStart"/>
      <w:r w:rsidRPr="00E6129F">
        <w:rPr>
          <w:sz w:val="24"/>
          <w:szCs w:val="24"/>
        </w:rPr>
        <w:t>protrombintid</w:t>
      </w:r>
      <w:proofErr w:type="spellEnd"/>
      <w:r w:rsidRPr="00E6129F">
        <w:rPr>
          <w:sz w:val="24"/>
          <w:szCs w:val="24"/>
        </w:rPr>
        <w:t xml:space="preserve"> hos patienter, der får </w:t>
      </w:r>
      <w:proofErr w:type="spellStart"/>
      <w:r w:rsidRPr="00E6129F">
        <w:rPr>
          <w:sz w:val="24"/>
          <w:szCs w:val="24"/>
        </w:rPr>
        <w:t>PPI'er</w:t>
      </w:r>
      <w:proofErr w:type="spellEnd"/>
      <w:r w:rsidRPr="00E6129F">
        <w:rPr>
          <w:sz w:val="24"/>
          <w:szCs w:val="24"/>
        </w:rPr>
        <w:t xml:space="preserve"> og </w:t>
      </w:r>
      <w:proofErr w:type="spellStart"/>
      <w:r w:rsidRPr="00E6129F">
        <w:rPr>
          <w:sz w:val="24"/>
          <w:szCs w:val="24"/>
        </w:rPr>
        <w:t>warfarin</w:t>
      </w:r>
      <w:proofErr w:type="spellEnd"/>
      <w:r w:rsidRPr="00E6129F">
        <w:rPr>
          <w:sz w:val="24"/>
          <w:szCs w:val="24"/>
        </w:rPr>
        <w:t xml:space="preserve"> eller </w:t>
      </w:r>
      <w:proofErr w:type="spellStart"/>
      <w:r w:rsidRPr="00E6129F">
        <w:rPr>
          <w:sz w:val="24"/>
          <w:szCs w:val="24"/>
        </w:rPr>
        <w:t>phenprocoumon</w:t>
      </w:r>
      <w:proofErr w:type="spellEnd"/>
      <w:r w:rsidRPr="00E6129F">
        <w:rPr>
          <w:sz w:val="24"/>
          <w:szCs w:val="24"/>
        </w:rPr>
        <w:t xml:space="preserve"> samtidigt. </w:t>
      </w:r>
      <w:r w:rsidRPr="00E6129F">
        <w:rPr>
          <w:sz w:val="24"/>
          <w:szCs w:val="24"/>
          <w:lang w:val="nb-NO"/>
        </w:rPr>
        <w:t>Stigninger i INR og protrombintid kan føre til unormal blødning og endda døden. Patienter behandlet med pantoprazol og warfarin eller phenprocoumon kan have behov for at få INR og protrombintiden overvåget.</w:t>
      </w:r>
    </w:p>
    <w:p w14:paraId="31769DD1" w14:textId="77777777" w:rsidR="009B0F38" w:rsidRPr="00E6129F" w:rsidRDefault="009B0F38" w:rsidP="009B0F38">
      <w:pPr>
        <w:tabs>
          <w:tab w:val="left" w:pos="851"/>
        </w:tabs>
        <w:ind w:left="851"/>
        <w:rPr>
          <w:sz w:val="24"/>
          <w:szCs w:val="24"/>
          <w:lang w:val="nb-NO"/>
        </w:rPr>
      </w:pPr>
    </w:p>
    <w:p w14:paraId="2E912149" w14:textId="77777777" w:rsidR="009B0F38" w:rsidRPr="00E6129F" w:rsidRDefault="009B0F38" w:rsidP="009B0F38">
      <w:pPr>
        <w:tabs>
          <w:tab w:val="left" w:pos="851"/>
        </w:tabs>
        <w:ind w:left="851"/>
        <w:rPr>
          <w:sz w:val="24"/>
          <w:szCs w:val="24"/>
          <w:u w:val="single"/>
          <w:lang w:val="nb-NO"/>
        </w:rPr>
      </w:pPr>
      <w:r w:rsidRPr="00E6129F">
        <w:rPr>
          <w:sz w:val="24"/>
          <w:szCs w:val="24"/>
          <w:u w:val="single"/>
          <w:lang w:val="nb-NO"/>
        </w:rPr>
        <w:t>Methotrexat</w:t>
      </w:r>
    </w:p>
    <w:p w14:paraId="10B6B681" w14:textId="77777777" w:rsidR="009B0F38" w:rsidRPr="00E6129F" w:rsidRDefault="009B0F38" w:rsidP="009B0F38">
      <w:pPr>
        <w:tabs>
          <w:tab w:val="left" w:pos="851"/>
        </w:tabs>
        <w:ind w:left="851"/>
        <w:rPr>
          <w:sz w:val="24"/>
          <w:szCs w:val="24"/>
        </w:rPr>
      </w:pPr>
      <w:r w:rsidRPr="00E6129F">
        <w:rPr>
          <w:sz w:val="24"/>
          <w:szCs w:val="24"/>
          <w:lang w:val="nb-NO"/>
        </w:rPr>
        <w:t xml:space="preserve">Det er blevet rapporteret, at brugen af højdosis methotrexat (f.eks. 300 mg) sammen med protonpumpehæmmere forhøjede methotrexatniveauet hos nogle patienter. </w:t>
      </w:r>
      <w:r w:rsidRPr="00E6129F">
        <w:rPr>
          <w:sz w:val="24"/>
          <w:szCs w:val="24"/>
        </w:rPr>
        <w:t xml:space="preserve">Derfor kan det overvejes at seponere </w:t>
      </w:r>
      <w:proofErr w:type="spellStart"/>
      <w:r w:rsidRPr="00E6129F">
        <w:rPr>
          <w:sz w:val="24"/>
          <w:szCs w:val="24"/>
        </w:rPr>
        <w:t>pantoprazol</w:t>
      </w:r>
      <w:proofErr w:type="spellEnd"/>
      <w:r w:rsidRPr="00E6129F">
        <w:rPr>
          <w:sz w:val="24"/>
          <w:szCs w:val="24"/>
        </w:rPr>
        <w:t xml:space="preserve"> midlertidigt i situationer, hvor der anvendes højdosis </w:t>
      </w:r>
      <w:proofErr w:type="spellStart"/>
      <w:r w:rsidRPr="00E6129F">
        <w:rPr>
          <w:sz w:val="24"/>
          <w:szCs w:val="24"/>
        </w:rPr>
        <w:t>methotrexat</w:t>
      </w:r>
      <w:proofErr w:type="spellEnd"/>
      <w:r w:rsidRPr="00E6129F">
        <w:rPr>
          <w:sz w:val="24"/>
          <w:szCs w:val="24"/>
        </w:rPr>
        <w:t>, f.eks. ved cancer og psoriasis.</w:t>
      </w:r>
    </w:p>
    <w:p w14:paraId="4C842331" w14:textId="77777777" w:rsidR="009B0F38" w:rsidRPr="00E6129F" w:rsidRDefault="009B0F38" w:rsidP="009B0F38">
      <w:pPr>
        <w:tabs>
          <w:tab w:val="left" w:pos="851"/>
        </w:tabs>
        <w:ind w:left="851"/>
        <w:rPr>
          <w:sz w:val="24"/>
          <w:szCs w:val="24"/>
        </w:rPr>
      </w:pPr>
    </w:p>
    <w:p w14:paraId="0446EEB7" w14:textId="77777777" w:rsidR="009B0F38" w:rsidRPr="00E6129F" w:rsidRDefault="009B0F38" w:rsidP="009B0F38">
      <w:pPr>
        <w:tabs>
          <w:tab w:val="left" w:pos="851"/>
        </w:tabs>
        <w:ind w:left="851"/>
        <w:rPr>
          <w:sz w:val="24"/>
          <w:szCs w:val="24"/>
          <w:u w:val="single"/>
        </w:rPr>
      </w:pPr>
      <w:r w:rsidRPr="00E6129F">
        <w:rPr>
          <w:sz w:val="24"/>
          <w:szCs w:val="24"/>
          <w:u w:val="single"/>
        </w:rPr>
        <w:lastRenderedPageBreak/>
        <w:t>Andre interaktionsstudier</w:t>
      </w:r>
    </w:p>
    <w:p w14:paraId="304082C7" w14:textId="77777777" w:rsidR="009B0F38" w:rsidRPr="00E6129F" w:rsidRDefault="009B0F38" w:rsidP="009B0F38">
      <w:pPr>
        <w:tabs>
          <w:tab w:val="left" w:pos="851"/>
        </w:tabs>
        <w:ind w:left="851"/>
        <w:rPr>
          <w:sz w:val="24"/>
          <w:szCs w:val="24"/>
        </w:rPr>
      </w:pPr>
      <w:proofErr w:type="spellStart"/>
      <w:r w:rsidRPr="00E6129F">
        <w:rPr>
          <w:sz w:val="24"/>
          <w:szCs w:val="24"/>
        </w:rPr>
        <w:t>Pantoprazol</w:t>
      </w:r>
      <w:proofErr w:type="spellEnd"/>
      <w:r w:rsidRPr="00E6129F">
        <w:rPr>
          <w:sz w:val="24"/>
          <w:szCs w:val="24"/>
        </w:rPr>
        <w:t xml:space="preserve"> </w:t>
      </w:r>
      <w:proofErr w:type="spellStart"/>
      <w:r w:rsidRPr="00E6129F">
        <w:rPr>
          <w:sz w:val="24"/>
          <w:szCs w:val="24"/>
        </w:rPr>
        <w:t>metaboliseres</w:t>
      </w:r>
      <w:proofErr w:type="spellEnd"/>
      <w:r w:rsidRPr="00E6129F">
        <w:rPr>
          <w:sz w:val="24"/>
          <w:szCs w:val="24"/>
        </w:rPr>
        <w:t xml:space="preserve"> i udstrakt grad i leveren via </w:t>
      </w:r>
      <w:proofErr w:type="spellStart"/>
      <w:r w:rsidRPr="00E6129F">
        <w:rPr>
          <w:sz w:val="24"/>
          <w:szCs w:val="24"/>
        </w:rPr>
        <w:t>cytokrom</w:t>
      </w:r>
      <w:proofErr w:type="spellEnd"/>
      <w:r w:rsidRPr="00E6129F">
        <w:rPr>
          <w:sz w:val="24"/>
          <w:szCs w:val="24"/>
        </w:rPr>
        <w:t xml:space="preserve"> P450-enzymsystemet. Den primære </w:t>
      </w:r>
      <w:proofErr w:type="spellStart"/>
      <w:r w:rsidRPr="00E6129F">
        <w:rPr>
          <w:sz w:val="24"/>
          <w:szCs w:val="24"/>
        </w:rPr>
        <w:t>metaboliseringsvej</w:t>
      </w:r>
      <w:proofErr w:type="spellEnd"/>
      <w:r w:rsidRPr="00E6129F">
        <w:rPr>
          <w:sz w:val="24"/>
          <w:szCs w:val="24"/>
        </w:rPr>
        <w:t xml:space="preserve"> er </w:t>
      </w:r>
      <w:proofErr w:type="spellStart"/>
      <w:r w:rsidRPr="00E6129F">
        <w:rPr>
          <w:sz w:val="24"/>
          <w:szCs w:val="24"/>
        </w:rPr>
        <w:t>demethylering</w:t>
      </w:r>
      <w:proofErr w:type="spellEnd"/>
      <w:r w:rsidRPr="00E6129F">
        <w:rPr>
          <w:sz w:val="24"/>
          <w:szCs w:val="24"/>
        </w:rPr>
        <w:t xml:space="preserve"> af CYP2C19 og andre </w:t>
      </w:r>
      <w:proofErr w:type="spellStart"/>
      <w:r w:rsidRPr="00E6129F">
        <w:rPr>
          <w:sz w:val="24"/>
          <w:szCs w:val="24"/>
        </w:rPr>
        <w:t>metaboliseringsveje</w:t>
      </w:r>
      <w:proofErr w:type="spellEnd"/>
      <w:r w:rsidRPr="00E6129F">
        <w:rPr>
          <w:sz w:val="24"/>
          <w:szCs w:val="24"/>
        </w:rPr>
        <w:t xml:space="preserve"> omfatter oxidation af CYP3A4.</w:t>
      </w:r>
    </w:p>
    <w:p w14:paraId="35E5CAC9" w14:textId="77777777" w:rsidR="009B0F38" w:rsidRPr="00E6129F" w:rsidRDefault="009B0F38" w:rsidP="009B0F38">
      <w:pPr>
        <w:tabs>
          <w:tab w:val="left" w:pos="851"/>
        </w:tabs>
        <w:ind w:left="851"/>
        <w:rPr>
          <w:sz w:val="24"/>
          <w:szCs w:val="24"/>
        </w:rPr>
      </w:pPr>
    </w:p>
    <w:p w14:paraId="4BA1473A" w14:textId="77777777" w:rsidR="009B0F38" w:rsidRPr="00E6129F" w:rsidRDefault="009B0F38" w:rsidP="009B0F38">
      <w:pPr>
        <w:tabs>
          <w:tab w:val="left" w:pos="851"/>
        </w:tabs>
        <w:ind w:left="851"/>
        <w:rPr>
          <w:sz w:val="24"/>
          <w:szCs w:val="24"/>
        </w:rPr>
      </w:pPr>
      <w:r w:rsidRPr="00E6129F">
        <w:rPr>
          <w:sz w:val="24"/>
          <w:szCs w:val="24"/>
        </w:rPr>
        <w:t xml:space="preserve">Interaktionsstudier med lægemidler, der også </w:t>
      </w:r>
      <w:proofErr w:type="spellStart"/>
      <w:r w:rsidRPr="00E6129F">
        <w:rPr>
          <w:sz w:val="24"/>
          <w:szCs w:val="24"/>
        </w:rPr>
        <w:t>metaboliseres</w:t>
      </w:r>
      <w:proofErr w:type="spellEnd"/>
      <w:r w:rsidRPr="00E6129F">
        <w:rPr>
          <w:sz w:val="24"/>
          <w:szCs w:val="24"/>
        </w:rPr>
        <w:t xml:space="preserve"> via disse veje, såsom </w:t>
      </w:r>
      <w:proofErr w:type="spellStart"/>
      <w:r w:rsidRPr="00E6129F">
        <w:rPr>
          <w:sz w:val="24"/>
          <w:szCs w:val="24"/>
        </w:rPr>
        <w:t>carbamazepin</w:t>
      </w:r>
      <w:proofErr w:type="spellEnd"/>
      <w:r w:rsidRPr="00E6129F">
        <w:rPr>
          <w:sz w:val="24"/>
          <w:szCs w:val="24"/>
        </w:rPr>
        <w:t xml:space="preserve">, </w:t>
      </w:r>
      <w:proofErr w:type="spellStart"/>
      <w:r w:rsidRPr="00E6129F">
        <w:rPr>
          <w:sz w:val="24"/>
          <w:szCs w:val="24"/>
        </w:rPr>
        <w:t>diazepam</w:t>
      </w:r>
      <w:proofErr w:type="spellEnd"/>
      <w:r w:rsidRPr="00E6129F">
        <w:rPr>
          <w:sz w:val="24"/>
          <w:szCs w:val="24"/>
        </w:rPr>
        <w:t xml:space="preserve">, </w:t>
      </w:r>
      <w:proofErr w:type="spellStart"/>
      <w:r w:rsidRPr="00E6129F">
        <w:rPr>
          <w:sz w:val="24"/>
          <w:szCs w:val="24"/>
        </w:rPr>
        <w:t>glibenclamid</w:t>
      </w:r>
      <w:proofErr w:type="spellEnd"/>
      <w:r w:rsidRPr="00E6129F">
        <w:rPr>
          <w:sz w:val="24"/>
          <w:szCs w:val="24"/>
        </w:rPr>
        <w:t xml:space="preserve">, </w:t>
      </w:r>
      <w:proofErr w:type="spellStart"/>
      <w:r w:rsidRPr="00E6129F">
        <w:rPr>
          <w:sz w:val="24"/>
          <w:szCs w:val="24"/>
        </w:rPr>
        <w:t>nifedipin</w:t>
      </w:r>
      <w:proofErr w:type="spellEnd"/>
      <w:r w:rsidRPr="00E6129F">
        <w:rPr>
          <w:sz w:val="24"/>
          <w:szCs w:val="24"/>
        </w:rPr>
        <w:t xml:space="preserve"> og et oralt </w:t>
      </w:r>
      <w:proofErr w:type="spellStart"/>
      <w:r w:rsidRPr="00E6129F">
        <w:rPr>
          <w:sz w:val="24"/>
          <w:szCs w:val="24"/>
        </w:rPr>
        <w:t>kontraceptivum</w:t>
      </w:r>
      <w:proofErr w:type="spellEnd"/>
      <w:r w:rsidRPr="00E6129F">
        <w:rPr>
          <w:sz w:val="24"/>
          <w:szCs w:val="24"/>
        </w:rPr>
        <w:t xml:space="preserve">, der indeholder </w:t>
      </w:r>
      <w:proofErr w:type="spellStart"/>
      <w:r w:rsidRPr="00E6129F">
        <w:rPr>
          <w:sz w:val="24"/>
          <w:szCs w:val="24"/>
        </w:rPr>
        <w:t>levonorgestrel</w:t>
      </w:r>
      <w:proofErr w:type="spellEnd"/>
      <w:r w:rsidRPr="00E6129F">
        <w:rPr>
          <w:sz w:val="24"/>
          <w:szCs w:val="24"/>
        </w:rPr>
        <w:t xml:space="preserve"> og </w:t>
      </w:r>
      <w:proofErr w:type="spellStart"/>
      <w:r w:rsidRPr="00E6129F">
        <w:rPr>
          <w:sz w:val="24"/>
          <w:szCs w:val="24"/>
        </w:rPr>
        <w:t>ethinyløstradiol</w:t>
      </w:r>
      <w:proofErr w:type="spellEnd"/>
      <w:r w:rsidRPr="00E6129F">
        <w:rPr>
          <w:sz w:val="24"/>
          <w:szCs w:val="24"/>
        </w:rPr>
        <w:t>, viste ingen klinisk signifikante interaktioner.</w:t>
      </w:r>
    </w:p>
    <w:p w14:paraId="05365D7B" w14:textId="77777777" w:rsidR="009B0F38" w:rsidRPr="00E6129F" w:rsidRDefault="009B0F38" w:rsidP="009B0F38">
      <w:pPr>
        <w:tabs>
          <w:tab w:val="left" w:pos="851"/>
        </w:tabs>
        <w:ind w:left="851"/>
        <w:rPr>
          <w:sz w:val="24"/>
          <w:szCs w:val="24"/>
        </w:rPr>
      </w:pPr>
    </w:p>
    <w:p w14:paraId="11ACF042" w14:textId="77777777" w:rsidR="009B0F38" w:rsidRPr="00E6129F" w:rsidRDefault="009B0F38" w:rsidP="009B0F38">
      <w:pPr>
        <w:tabs>
          <w:tab w:val="left" w:pos="851"/>
        </w:tabs>
        <w:ind w:left="851"/>
        <w:rPr>
          <w:sz w:val="24"/>
          <w:szCs w:val="24"/>
        </w:rPr>
      </w:pPr>
      <w:r w:rsidRPr="00E6129F">
        <w:rPr>
          <w:sz w:val="24"/>
          <w:szCs w:val="24"/>
        </w:rPr>
        <w:t xml:space="preserve">En interaktion mellem </w:t>
      </w:r>
      <w:proofErr w:type="spellStart"/>
      <w:r w:rsidRPr="00E6129F">
        <w:rPr>
          <w:sz w:val="24"/>
          <w:szCs w:val="24"/>
        </w:rPr>
        <w:t>pantoprazol</w:t>
      </w:r>
      <w:proofErr w:type="spellEnd"/>
      <w:r w:rsidRPr="00E6129F">
        <w:rPr>
          <w:sz w:val="24"/>
          <w:szCs w:val="24"/>
        </w:rPr>
        <w:t xml:space="preserve"> og andre lægemidler eller stoffer, som </w:t>
      </w:r>
      <w:proofErr w:type="spellStart"/>
      <w:r w:rsidRPr="00E6129F">
        <w:rPr>
          <w:sz w:val="24"/>
          <w:szCs w:val="24"/>
        </w:rPr>
        <w:t>metaboliseres</w:t>
      </w:r>
      <w:proofErr w:type="spellEnd"/>
      <w:r w:rsidRPr="00E6129F">
        <w:rPr>
          <w:sz w:val="24"/>
          <w:szCs w:val="24"/>
        </w:rPr>
        <w:t xml:space="preserve"> via det samme enzymsystem, kan ikke udelukkes.</w:t>
      </w:r>
    </w:p>
    <w:p w14:paraId="3289CCC6" w14:textId="77777777" w:rsidR="009B0F38" w:rsidRPr="00E6129F" w:rsidRDefault="009B0F38" w:rsidP="009B0F38">
      <w:pPr>
        <w:tabs>
          <w:tab w:val="left" w:pos="851"/>
        </w:tabs>
        <w:ind w:left="851"/>
        <w:rPr>
          <w:sz w:val="24"/>
          <w:szCs w:val="24"/>
        </w:rPr>
      </w:pPr>
    </w:p>
    <w:p w14:paraId="6B8195A1" w14:textId="77777777" w:rsidR="009B0F38" w:rsidRPr="00E6129F" w:rsidRDefault="009B0F38" w:rsidP="009B0F38">
      <w:pPr>
        <w:tabs>
          <w:tab w:val="left" w:pos="851"/>
        </w:tabs>
        <w:ind w:left="851"/>
        <w:rPr>
          <w:sz w:val="24"/>
          <w:szCs w:val="24"/>
        </w:rPr>
      </w:pPr>
      <w:r w:rsidRPr="00E6129F">
        <w:rPr>
          <w:sz w:val="24"/>
          <w:szCs w:val="24"/>
        </w:rPr>
        <w:t xml:space="preserve">Resulter fra en række interaktionsstudier har vist, at </w:t>
      </w:r>
      <w:proofErr w:type="spellStart"/>
      <w:r w:rsidRPr="00E6129F">
        <w:rPr>
          <w:sz w:val="24"/>
          <w:szCs w:val="24"/>
        </w:rPr>
        <w:t>pantoprazol</w:t>
      </w:r>
      <w:proofErr w:type="spellEnd"/>
      <w:r w:rsidRPr="00E6129F">
        <w:rPr>
          <w:sz w:val="24"/>
          <w:szCs w:val="24"/>
        </w:rPr>
        <w:t xml:space="preserve"> ikke påvirker metabolismen af aktive stoffer, der </w:t>
      </w:r>
      <w:proofErr w:type="spellStart"/>
      <w:r w:rsidRPr="00E6129F">
        <w:rPr>
          <w:sz w:val="24"/>
          <w:szCs w:val="24"/>
        </w:rPr>
        <w:t>metaboliseres</w:t>
      </w:r>
      <w:proofErr w:type="spellEnd"/>
      <w:r w:rsidRPr="00E6129F">
        <w:rPr>
          <w:sz w:val="24"/>
          <w:szCs w:val="24"/>
        </w:rPr>
        <w:t xml:space="preserve"> af CYP1A2 (såsom koffein, </w:t>
      </w:r>
      <w:proofErr w:type="spellStart"/>
      <w:r w:rsidRPr="00E6129F">
        <w:rPr>
          <w:sz w:val="24"/>
          <w:szCs w:val="24"/>
        </w:rPr>
        <w:t>theophyllin</w:t>
      </w:r>
      <w:proofErr w:type="spellEnd"/>
      <w:r w:rsidRPr="00E6129F">
        <w:rPr>
          <w:sz w:val="24"/>
          <w:szCs w:val="24"/>
        </w:rPr>
        <w:t xml:space="preserve">), CYP2C9 (såsom </w:t>
      </w:r>
      <w:proofErr w:type="spellStart"/>
      <w:r w:rsidRPr="00E6129F">
        <w:rPr>
          <w:sz w:val="24"/>
          <w:szCs w:val="24"/>
        </w:rPr>
        <w:t>piroxicam</w:t>
      </w:r>
      <w:proofErr w:type="spellEnd"/>
      <w:r w:rsidRPr="00E6129F">
        <w:rPr>
          <w:sz w:val="24"/>
          <w:szCs w:val="24"/>
        </w:rPr>
        <w:t xml:space="preserve">, </w:t>
      </w:r>
      <w:proofErr w:type="spellStart"/>
      <w:r w:rsidRPr="00E6129F">
        <w:rPr>
          <w:sz w:val="24"/>
          <w:szCs w:val="24"/>
        </w:rPr>
        <w:t>diclofenac</w:t>
      </w:r>
      <w:proofErr w:type="spellEnd"/>
      <w:r w:rsidRPr="00E6129F">
        <w:rPr>
          <w:sz w:val="24"/>
          <w:szCs w:val="24"/>
        </w:rPr>
        <w:t xml:space="preserve">, </w:t>
      </w:r>
      <w:proofErr w:type="spellStart"/>
      <w:r w:rsidRPr="00E6129F">
        <w:rPr>
          <w:sz w:val="24"/>
          <w:szCs w:val="24"/>
        </w:rPr>
        <w:t>naproxen</w:t>
      </w:r>
      <w:proofErr w:type="spellEnd"/>
      <w:r w:rsidRPr="00E6129F">
        <w:rPr>
          <w:sz w:val="24"/>
          <w:szCs w:val="24"/>
        </w:rPr>
        <w:t xml:space="preserve">), CYP2D6 (såsom </w:t>
      </w:r>
      <w:proofErr w:type="spellStart"/>
      <w:r w:rsidRPr="00E6129F">
        <w:rPr>
          <w:sz w:val="24"/>
          <w:szCs w:val="24"/>
        </w:rPr>
        <w:t>metoprolol</w:t>
      </w:r>
      <w:proofErr w:type="spellEnd"/>
      <w:r w:rsidRPr="00E6129F">
        <w:rPr>
          <w:sz w:val="24"/>
          <w:szCs w:val="24"/>
        </w:rPr>
        <w:t xml:space="preserve">), CYP2E1 (såsom </w:t>
      </w:r>
      <w:proofErr w:type="spellStart"/>
      <w:r w:rsidRPr="00E6129F">
        <w:rPr>
          <w:sz w:val="24"/>
          <w:szCs w:val="24"/>
        </w:rPr>
        <w:t>ethanol</w:t>
      </w:r>
      <w:proofErr w:type="spellEnd"/>
      <w:r w:rsidRPr="00E6129F">
        <w:rPr>
          <w:sz w:val="24"/>
          <w:szCs w:val="24"/>
        </w:rPr>
        <w:t>), eller ikke interfererer med p-</w:t>
      </w:r>
      <w:proofErr w:type="spellStart"/>
      <w:r w:rsidRPr="00E6129F">
        <w:rPr>
          <w:sz w:val="24"/>
          <w:szCs w:val="24"/>
        </w:rPr>
        <w:t>glykoprotein</w:t>
      </w:r>
      <w:proofErr w:type="spellEnd"/>
      <w:r w:rsidRPr="00E6129F">
        <w:rPr>
          <w:sz w:val="24"/>
          <w:szCs w:val="24"/>
        </w:rPr>
        <w:t xml:space="preserve">-relateret absorption af </w:t>
      </w:r>
      <w:proofErr w:type="spellStart"/>
      <w:r w:rsidRPr="00E6129F">
        <w:rPr>
          <w:sz w:val="24"/>
          <w:szCs w:val="24"/>
        </w:rPr>
        <w:t>digoxin</w:t>
      </w:r>
      <w:proofErr w:type="spellEnd"/>
      <w:r w:rsidRPr="00E6129F">
        <w:rPr>
          <w:sz w:val="24"/>
          <w:szCs w:val="24"/>
        </w:rPr>
        <w:t>.</w:t>
      </w:r>
    </w:p>
    <w:p w14:paraId="65562930" w14:textId="77777777" w:rsidR="009B0F38" w:rsidRPr="00E6129F" w:rsidRDefault="009B0F38" w:rsidP="009B0F38">
      <w:pPr>
        <w:tabs>
          <w:tab w:val="left" w:pos="851"/>
        </w:tabs>
        <w:ind w:left="851"/>
        <w:rPr>
          <w:sz w:val="24"/>
          <w:szCs w:val="24"/>
        </w:rPr>
      </w:pPr>
    </w:p>
    <w:p w14:paraId="3576FF43" w14:textId="77777777" w:rsidR="009B0F38" w:rsidRPr="00E6129F" w:rsidRDefault="009B0F38" w:rsidP="009B0F38">
      <w:pPr>
        <w:tabs>
          <w:tab w:val="left" w:pos="851"/>
        </w:tabs>
        <w:ind w:left="851"/>
        <w:rPr>
          <w:sz w:val="24"/>
          <w:szCs w:val="24"/>
        </w:rPr>
      </w:pPr>
      <w:r w:rsidRPr="00E6129F">
        <w:rPr>
          <w:sz w:val="24"/>
          <w:szCs w:val="24"/>
        </w:rPr>
        <w:t xml:space="preserve">Der var ingen interaktioner med samtidigt administrerede </w:t>
      </w:r>
      <w:proofErr w:type="spellStart"/>
      <w:r w:rsidRPr="00E6129F">
        <w:rPr>
          <w:sz w:val="24"/>
          <w:szCs w:val="24"/>
        </w:rPr>
        <w:t>antacida</w:t>
      </w:r>
      <w:proofErr w:type="spellEnd"/>
      <w:r w:rsidRPr="00E6129F">
        <w:rPr>
          <w:sz w:val="24"/>
          <w:szCs w:val="24"/>
        </w:rPr>
        <w:t>.</w:t>
      </w:r>
    </w:p>
    <w:p w14:paraId="312B8B9A" w14:textId="77777777" w:rsidR="009B0F38" w:rsidRPr="00E6129F" w:rsidRDefault="009B0F38" w:rsidP="009B0F38">
      <w:pPr>
        <w:tabs>
          <w:tab w:val="left" w:pos="851"/>
        </w:tabs>
        <w:ind w:left="851"/>
        <w:rPr>
          <w:sz w:val="24"/>
          <w:szCs w:val="24"/>
        </w:rPr>
      </w:pPr>
      <w:r w:rsidRPr="00E6129F">
        <w:rPr>
          <w:sz w:val="24"/>
          <w:szCs w:val="24"/>
        </w:rPr>
        <w:t xml:space="preserve">Der er også udført interaktionsstudier, hvor </w:t>
      </w:r>
      <w:proofErr w:type="spellStart"/>
      <w:r w:rsidRPr="00E6129F">
        <w:rPr>
          <w:sz w:val="24"/>
          <w:szCs w:val="24"/>
        </w:rPr>
        <w:t>pantoprazol</w:t>
      </w:r>
      <w:proofErr w:type="spellEnd"/>
      <w:r w:rsidRPr="00E6129F">
        <w:rPr>
          <w:sz w:val="24"/>
          <w:szCs w:val="24"/>
        </w:rPr>
        <w:t xml:space="preserve"> blev administreret samtidigt med de respektive antibiotika (</w:t>
      </w:r>
      <w:proofErr w:type="spellStart"/>
      <w:r w:rsidRPr="00E6129F">
        <w:rPr>
          <w:sz w:val="24"/>
          <w:szCs w:val="24"/>
        </w:rPr>
        <w:t>clarithromycin</w:t>
      </w:r>
      <w:proofErr w:type="spellEnd"/>
      <w:r w:rsidRPr="00E6129F">
        <w:rPr>
          <w:sz w:val="24"/>
          <w:szCs w:val="24"/>
        </w:rPr>
        <w:t xml:space="preserve">, </w:t>
      </w:r>
      <w:proofErr w:type="spellStart"/>
      <w:r w:rsidRPr="00E6129F">
        <w:rPr>
          <w:sz w:val="24"/>
          <w:szCs w:val="24"/>
        </w:rPr>
        <w:t>metronidazol</w:t>
      </w:r>
      <w:proofErr w:type="spellEnd"/>
      <w:r w:rsidRPr="00E6129F">
        <w:rPr>
          <w:sz w:val="24"/>
          <w:szCs w:val="24"/>
        </w:rPr>
        <w:t xml:space="preserve">, </w:t>
      </w:r>
      <w:proofErr w:type="spellStart"/>
      <w:r w:rsidRPr="00E6129F">
        <w:rPr>
          <w:sz w:val="24"/>
          <w:szCs w:val="24"/>
        </w:rPr>
        <w:t>amoxicillin</w:t>
      </w:r>
      <w:proofErr w:type="spellEnd"/>
      <w:r w:rsidRPr="00E6129F">
        <w:rPr>
          <w:sz w:val="24"/>
          <w:szCs w:val="24"/>
        </w:rPr>
        <w:t>). Der blev ikke fundet nogen klinisk relevante interaktioner.</w:t>
      </w:r>
    </w:p>
    <w:p w14:paraId="6E9759C0" w14:textId="77777777" w:rsidR="009B0F38" w:rsidRPr="00E6129F" w:rsidRDefault="009B0F38" w:rsidP="009B0F38">
      <w:pPr>
        <w:tabs>
          <w:tab w:val="left" w:pos="851"/>
        </w:tabs>
        <w:ind w:left="851"/>
        <w:rPr>
          <w:sz w:val="24"/>
          <w:szCs w:val="24"/>
        </w:rPr>
      </w:pPr>
    </w:p>
    <w:p w14:paraId="3F5B0D8A" w14:textId="77777777" w:rsidR="009B0F38" w:rsidRPr="00E6129F" w:rsidRDefault="009B0F38" w:rsidP="009B0F38">
      <w:pPr>
        <w:tabs>
          <w:tab w:val="left" w:pos="851"/>
        </w:tabs>
        <w:ind w:left="851"/>
        <w:rPr>
          <w:sz w:val="24"/>
          <w:szCs w:val="24"/>
          <w:u w:val="single"/>
        </w:rPr>
      </w:pPr>
      <w:r w:rsidRPr="00E6129F">
        <w:rPr>
          <w:sz w:val="24"/>
          <w:szCs w:val="24"/>
          <w:u w:val="single"/>
        </w:rPr>
        <w:t>Lægemidler, der hæmmer eller inducerer CYP2C19</w:t>
      </w:r>
    </w:p>
    <w:p w14:paraId="23234B77" w14:textId="77777777" w:rsidR="009B0F38" w:rsidRPr="00E6129F" w:rsidRDefault="009B0F38" w:rsidP="009B0F38">
      <w:pPr>
        <w:tabs>
          <w:tab w:val="left" w:pos="851"/>
        </w:tabs>
        <w:ind w:left="851"/>
        <w:rPr>
          <w:sz w:val="24"/>
          <w:szCs w:val="24"/>
        </w:rPr>
      </w:pPr>
      <w:proofErr w:type="spellStart"/>
      <w:r w:rsidRPr="00E6129F">
        <w:rPr>
          <w:sz w:val="24"/>
          <w:szCs w:val="24"/>
        </w:rPr>
        <w:t>Hæmmere</w:t>
      </w:r>
      <w:proofErr w:type="spellEnd"/>
      <w:r w:rsidRPr="00E6129F">
        <w:rPr>
          <w:sz w:val="24"/>
          <w:szCs w:val="24"/>
        </w:rPr>
        <w:t xml:space="preserve"> af CYP2C19, såsom </w:t>
      </w:r>
      <w:proofErr w:type="spellStart"/>
      <w:r w:rsidRPr="00E6129F">
        <w:rPr>
          <w:sz w:val="24"/>
          <w:szCs w:val="24"/>
        </w:rPr>
        <w:t>fluvoxamin</w:t>
      </w:r>
      <w:proofErr w:type="spellEnd"/>
      <w:r w:rsidRPr="00E6129F">
        <w:rPr>
          <w:sz w:val="24"/>
          <w:szCs w:val="24"/>
        </w:rPr>
        <w:t xml:space="preserve">, kan øge den systemiske eksponering af </w:t>
      </w:r>
      <w:proofErr w:type="spellStart"/>
      <w:r w:rsidRPr="00E6129F">
        <w:rPr>
          <w:sz w:val="24"/>
          <w:szCs w:val="24"/>
        </w:rPr>
        <w:t>pantoprazol</w:t>
      </w:r>
      <w:proofErr w:type="spellEnd"/>
      <w:r w:rsidRPr="00E6129F">
        <w:rPr>
          <w:sz w:val="24"/>
          <w:szCs w:val="24"/>
        </w:rPr>
        <w:t xml:space="preserve">. En dosisreduktion kan overvejes for patienter, der er i langvarig behandling med højdosis </w:t>
      </w:r>
      <w:proofErr w:type="spellStart"/>
      <w:r w:rsidRPr="00E6129F">
        <w:rPr>
          <w:sz w:val="24"/>
          <w:szCs w:val="24"/>
        </w:rPr>
        <w:t>pantoprazol</w:t>
      </w:r>
      <w:proofErr w:type="spellEnd"/>
      <w:r w:rsidRPr="00E6129F">
        <w:rPr>
          <w:sz w:val="24"/>
          <w:szCs w:val="24"/>
        </w:rPr>
        <w:t>, eller hos patienter med nedsat leverfunktion.</w:t>
      </w:r>
    </w:p>
    <w:p w14:paraId="1C12D007" w14:textId="77777777" w:rsidR="009B0F38" w:rsidRPr="00E6129F" w:rsidRDefault="009B0F38" w:rsidP="009B0F38">
      <w:pPr>
        <w:tabs>
          <w:tab w:val="left" w:pos="851"/>
        </w:tabs>
        <w:ind w:left="851"/>
        <w:rPr>
          <w:sz w:val="24"/>
          <w:szCs w:val="24"/>
        </w:rPr>
      </w:pPr>
      <w:r w:rsidRPr="00E6129F">
        <w:rPr>
          <w:sz w:val="24"/>
          <w:szCs w:val="24"/>
        </w:rPr>
        <w:t xml:space="preserve">Enzyminduktorer, der påvirker CYP2C19 og CYP3A4, såsom </w:t>
      </w:r>
      <w:proofErr w:type="spellStart"/>
      <w:r w:rsidRPr="00E6129F">
        <w:rPr>
          <w:sz w:val="24"/>
          <w:szCs w:val="24"/>
        </w:rPr>
        <w:t>rifampicin</w:t>
      </w:r>
      <w:proofErr w:type="spellEnd"/>
      <w:r w:rsidRPr="00E6129F">
        <w:rPr>
          <w:sz w:val="24"/>
          <w:szCs w:val="24"/>
        </w:rPr>
        <w:t xml:space="preserve"> og prikbladet perikon (</w:t>
      </w:r>
      <w:proofErr w:type="spellStart"/>
      <w:r w:rsidRPr="00E6129F">
        <w:rPr>
          <w:sz w:val="24"/>
          <w:szCs w:val="24"/>
        </w:rPr>
        <w:t>Hypericum</w:t>
      </w:r>
      <w:proofErr w:type="spellEnd"/>
      <w:r w:rsidRPr="00E6129F">
        <w:rPr>
          <w:sz w:val="24"/>
          <w:szCs w:val="24"/>
        </w:rPr>
        <w:t xml:space="preserve"> </w:t>
      </w:r>
      <w:proofErr w:type="spellStart"/>
      <w:r w:rsidRPr="00E6129F">
        <w:rPr>
          <w:sz w:val="24"/>
          <w:szCs w:val="24"/>
        </w:rPr>
        <w:t>perforatum</w:t>
      </w:r>
      <w:proofErr w:type="spellEnd"/>
      <w:r w:rsidRPr="00E6129F">
        <w:rPr>
          <w:sz w:val="24"/>
          <w:szCs w:val="24"/>
        </w:rPr>
        <w:t xml:space="preserve">), kan nedsætte plasmakoncentrationerne af </w:t>
      </w:r>
      <w:proofErr w:type="spellStart"/>
      <w:r w:rsidRPr="00E6129F">
        <w:rPr>
          <w:sz w:val="24"/>
          <w:szCs w:val="24"/>
        </w:rPr>
        <w:t>protonpumpehæmmere</w:t>
      </w:r>
      <w:proofErr w:type="spellEnd"/>
      <w:r w:rsidRPr="00E6129F">
        <w:rPr>
          <w:sz w:val="24"/>
          <w:szCs w:val="24"/>
        </w:rPr>
        <w:t xml:space="preserve"> via disse enzymsystemer.</w:t>
      </w:r>
    </w:p>
    <w:p w14:paraId="0E9D3724" w14:textId="77777777" w:rsidR="009260DE" w:rsidRPr="00E6129F" w:rsidRDefault="009260DE" w:rsidP="009260DE">
      <w:pPr>
        <w:tabs>
          <w:tab w:val="left" w:pos="851"/>
        </w:tabs>
        <w:ind w:left="851"/>
        <w:rPr>
          <w:sz w:val="24"/>
          <w:szCs w:val="24"/>
        </w:rPr>
      </w:pPr>
    </w:p>
    <w:p w14:paraId="4059114E" w14:textId="1F172199" w:rsidR="009260DE" w:rsidRPr="00E6129F" w:rsidRDefault="009260DE" w:rsidP="009260DE">
      <w:pPr>
        <w:tabs>
          <w:tab w:val="left" w:pos="851"/>
        </w:tabs>
        <w:ind w:left="851" w:hanging="851"/>
        <w:rPr>
          <w:b/>
          <w:sz w:val="24"/>
          <w:szCs w:val="24"/>
        </w:rPr>
      </w:pPr>
      <w:r w:rsidRPr="00E6129F">
        <w:rPr>
          <w:b/>
          <w:sz w:val="24"/>
          <w:szCs w:val="24"/>
        </w:rPr>
        <w:t>4.6</w:t>
      </w:r>
      <w:r w:rsidRPr="00E6129F">
        <w:rPr>
          <w:b/>
          <w:sz w:val="24"/>
          <w:szCs w:val="24"/>
        </w:rPr>
        <w:tab/>
      </w:r>
      <w:bookmarkStart w:id="1" w:name="_Hlk121742971"/>
      <w:r w:rsidR="00D00FCC">
        <w:rPr>
          <w:b/>
          <w:noProof/>
          <w:sz w:val="24"/>
          <w:szCs w:val="24"/>
        </w:rPr>
        <w:t>Fertilitet, g</w:t>
      </w:r>
      <w:r w:rsidR="00D00FCC">
        <w:rPr>
          <w:b/>
          <w:sz w:val="24"/>
          <w:szCs w:val="24"/>
        </w:rPr>
        <w:t>raviditet og amning</w:t>
      </w:r>
      <w:bookmarkEnd w:id="1"/>
    </w:p>
    <w:p w14:paraId="0F6EC7F8" w14:textId="77777777" w:rsidR="00E6129F" w:rsidRDefault="00E6129F" w:rsidP="009B0F38">
      <w:pPr>
        <w:tabs>
          <w:tab w:val="left" w:pos="851"/>
        </w:tabs>
        <w:ind w:left="851"/>
        <w:rPr>
          <w:sz w:val="24"/>
          <w:szCs w:val="24"/>
          <w:u w:val="single"/>
        </w:rPr>
      </w:pPr>
    </w:p>
    <w:p w14:paraId="18D3391F" w14:textId="622A64ED" w:rsidR="009B0F38" w:rsidRPr="00E6129F" w:rsidRDefault="009B0F38" w:rsidP="009B0F38">
      <w:pPr>
        <w:tabs>
          <w:tab w:val="left" w:pos="851"/>
        </w:tabs>
        <w:ind w:left="851"/>
        <w:rPr>
          <w:sz w:val="24"/>
          <w:szCs w:val="24"/>
          <w:u w:val="single"/>
          <w:lang w:eastAsia="da-DK"/>
        </w:rPr>
      </w:pPr>
      <w:r w:rsidRPr="00E6129F">
        <w:rPr>
          <w:sz w:val="24"/>
          <w:szCs w:val="24"/>
          <w:u w:val="single"/>
        </w:rPr>
        <w:t>Graviditet</w:t>
      </w:r>
    </w:p>
    <w:p w14:paraId="7A430FD5" w14:textId="77777777" w:rsidR="009B0F38" w:rsidRPr="00E6129F" w:rsidRDefault="009B0F38" w:rsidP="009B0F38">
      <w:pPr>
        <w:tabs>
          <w:tab w:val="left" w:pos="851"/>
        </w:tabs>
        <w:ind w:left="851"/>
        <w:rPr>
          <w:sz w:val="24"/>
          <w:szCs w:val="24"/>
        </w:rPr>
      </w:pPr>
      <w:r w:rsidRPr="00E6129F">
        <w:rPr>
          <w:sz w:val="24"/>
          <w:szCs w:val="24"/>
        </w:rPr>
        <w:t xml:space="preserve">Data fra anvendelse af </w:t>
      </w:r>
      <w:proofErr w:type="spellStart"/>
      <w:r w:rsidRPr="00E6129F">
        <w:rPr>
          <w:sz w:val="24"/>
          <w:szCs w:val="24"/>
        </w:rPr>
        <w:t>pantoprazol</w:t>
      </w:r>
      <w:proofErr w:type="spellEnd"/>
      <w:r w:rsidRPr="00E6129F">
        <w:rPr>
          <w:sz w:val="24"/>
          <w:szCs w:val="24"/>
        </w:rPr>
        <w:t xml:space="preserve"> hos et begrænset antal gravide kvinder (mellem 300 og 1.000) indikerer ingen misdannelser eller </w:t>
      </w:r>
      <w:proofErr w:type="spellStart"/>
      <w:r w:rsidRPr="00E6129F">
        <w:rPr>
          <w:sz w:val="24"/>
          <w:szCs w:val="24"/>
        </w:rPr>
        <w:t>føtal</w:t>
      </w:r>
      <w:proofErr w:type="spellEnd"/>
      <w:r w:rsidRPr="00E6129F">
        <w:rPr>
          <w:sz w:val="24"/>
          <w:szCs w:val="24"/>
        </w:rPr>
        <w:t xml:space="preserve">/neonatal toksicitet af </w:t>
      </w:r>
      <w:proofErr w:type="spellStart"/>
      <w:r w:rsidRPr="00E6129F">
        <w:rPr>
          <w:sz w:val="24"/>
          <w:szCs w:val="24"/>
        </w:rPr>
        <w:t>pantoprazol</w:t>
      </w:r>
      <w:proofErr w:type="spellEnd"/>
      <w:r w:rsidRPr="00E6129F">
        <w:rPr>
          <w:sz w:val="24"/>
          <w:szCs w:val="24"/>
        </w:rPr>
        <w:t>. Dyreforsøg har påvist reproduktionstoksicitet (se pkt. 5.3).</w:t>
      </w:r>
      <w:r w:rsidRPr="00E6129F">
        <w:rPr>
          <w:spacing w:val="-3"/>
          <w:sz w:val="24"/>
          <w:szCs w:val="24"/>
        </w:rPr>
        <w:t xml:space="preserve"> Som sikkerhedsforanstaltning, er det at foretrække at undgå brug af </w:t>
      </w:r>
      <w:proofErr w:type="spellStart"/>
      <w:r w:rsidRPr="00E6129F">
        <w:rPr>
          <w:spacing w:val="-3"/>
          <w:sz w:val="24"/>
          <w:szCs w:val="24"/>
        </w:rPr>
        <w:t>pantoprazol</w:t>
      </w:r>
      <w:proofErr w:type="spellEnd"/>
      <w:r w:rsidRPr="00E6129F">
        <w:rPr>
          <w:spacing w:val="-3"/>
          <w:sz w:val="24"/>
          <w:szCs w:val="24"/>
        </w:rPr>
        <w:t xml:space="preserve"> under graviditet. </w:t>
      </w:r>
    </w:p>
    <w:p w14:paraId="440A0E2B" w14:textId="77777777" w:rsidR="00E6129F" w:rsidRDefault="00E6129F" w:rsidP="009B0F38">
      <w:pPr>
        <w:tabs>
          <w:tab w:val="left" w:pos="851"/>
        </w:tabs>
        <w:ind w:left="851"/>
        <w:rPr>
          <w:sz w:val="24"/>
          <w:szCs w:val="24"/>
          <w:u w:val="single"/>
        </w:rPr>
      </w:pPr>
    </w:p>
    <w:p w14:paraId="79C359B5" w14:textId="27FA2FD7" w:rsidR="009B0F38" w:rsidRPr="00E6129F" w:rsidRDefault="009B0F38" w:rsidP="009B0F38">
      <w:pPr>
        <w:tabs>
          <w:tab w:val="left" w:pos="851"/>
        </w:tabs>
        <w:ind w:left="851"/>
        <w:rPr>
          <w:sz w:val="24"/>
          <w:szCs w:val="24"/>
          <w:u w:val="single"/>
        </w:rPr>
      </w:pPr>
      <w:r w:rsidRPr="00E6129F">
        <w:rPr>
          <w:sz w:val="24"/>
          <w:szCs w:val="24"/>
          <w:u w:val="single"/>
        </w:rPr>
        <w:t>Amning</w:t>
      </w:r>
    </w:p>
    <w:p w14:paraId="5655745B" w14:textId="77777777" w:rsidR="009B0F38" w:rsidRPr="00E6129F" w:rsidRDefault="009B0F38" w:rsidP="009B0F38">
      <w:pPr>
        <w:tabs>
          <w:tab w:val="left" w:pos="851"/>
        </w:tabs>
        <w:ind w:left="851"/>
        <w:rPr>
          <w:sz w:val="24"/>
          <w:szCs w:val="24"/>
        </w:rPr>
      </w:pPr>
      <w:r w:rsidRPr="00E6129F">
        <w:rPr>
          <w:sz w:val="24"/>
          <w:szCs w:val="24"/>
        </w:rPr>
        <w:t xml:space="preserve">Dyreforsøg har påvist udskillelse af </w:t>
      </w:r>
      <w:proofErr w:type="spellStart"/>
      <w:r w:rsidRPr="00E6129F">
        <w:rPr>
          <w:sz w:val="24"/>
          <w:szCs w:val="24"/>
        </w:rPr>
        <w:t>pantoprazol</w:t>
      </w:r>
      <w:proofErr w:type="spellEnd"/>
      <w:r w:rsidRPr="00E6129F">
        <w:rPr>
          <w:sz w:val="24"/>
          <w:szCs w:val="24"/>
        </w:rPr>
        <w:t xml:space="preserve"> i brystmælk. Der er utilstrækkelige oplysninger om udskillelsen af </w:t>
      </w:r>
      <w:proofErr w:type="spellStart"/>
      <w:r w:rsidRPr="00E6129F">
        <w:rPr>
          <w:sz w:val="24"/>
          <w:szCs w:val="24"/>
        </w:rPr>
        <w:t>pantoprazol</w:t>
      </w:r>
      <w:proofErr w:type="spellEnd"/>
      <w:r w:rsidRPr="00E6129F">
        <w:rPr>
          <w:sz w:val="24"/>
          <w:szCs w:val="24"/>
        </w:rPr>
        <w:t xml:space="preserve"> i human mælk, men udskillelse i human mælk er blevet rapporteret. En risiko for nyfødte/spædbørn kan ikke udelukkes. Det skal derfor besluttes, om amning eller behandling med </w:t>
      </w:r>
      <w:proofErr w:type="spellStart"/>
      <w:r w:rsidRPr="00E6129F">
        <w:rPr>
          <w:sz w:val="24"/>
          <w:szCs w:val="24"/>
        </w:rPr>
        <w:t>pantoprazol</w:t>
      </w:r>
      <w:proofErr w:type="spellEnd"/>
      <w:r w:rsidRPr="00E6129F">
        <w:rPr>
          <w:sz w:val="24"/>
          <w:szCs w:val="24"/>
        </w:rPr>
        <w:t xml:space="preserve"> skal ophøre, idet der tages højde for fordelene ved amning for barnet i forhold til de terapeutiske fordele af </w:t>
      </w:r>
      <w:proofErr w:type="spellStart"/>
      <w:r w:rsidRPr="00E6129F">
        <w:rPr>
          <w:sz w:val="24"/>
          <w:szCs w:val="24"/>
        </w:rPr>
        <w:t>pantoprazol</w:t>
      </w:r>
      <w:proofErr w:type="spellEnd"/>
      <w:r w:rsidRPr="00E6129F">
        <w:rPr>
          <w:sz w:val="24"/>
          <w:szCs w:val="24"/>
        </w:rPr>
        <w:t xml:space="preserve"> for moderen.</w:t>
      </w:r>
    </w:p>
    <w:p w14:paraId="275DADCA" w14:textId="77777777" w:rsidR="009B0F38" w:rsidRPr="00E6129F" w:rsidRDefault="009B0F38" w:rsidP="009B0F38">
      <w:pPr>
        <w:tabs>
          <w:tab w:val="left" w:pos="851"/>
        </w:tabs>
        <w:ind w:left="851"/>
        <w:rPr>
          <w:sz w:val="24"/>
          <w:szCs w:val="24"/>
        </w:rPr>
      </w:pPr>
    </w:p>
    <w:p w14:paraId="4FE0D2FB" w14:textId="77777777" w:rsidR="009B0F38" w:rsidRPr="00E6129F" w:rsidRDefault="009B0F38" w:rsidP="009B0F38">
      <w:pPr>
        <w:tabs>
          <w:tab w:val="left" w:pos="851"/>
        </w:tabs>
        <w:ind w:left="851"/>
        <w:rPr>
          <w:sz w:val="24"/>
          <w:szCs w:val="24"/>
          <w:u w:val="single"/>
        </w:rPr>
      </w:pPr>
      <w:r w:rsidRPr="00E6129F">
        <w:rPr>
          <w:sz w:val="24"/>
          <w:szCs w:val="24"/>
          <w:u w:val="single"/>
        </w:rPr>
        <w:t>Fertilitet</w:t>
      </w:r>
    </w:p>
    <w:p w14:paraId="7F0AD4A6" w14:textId="77777777" w:rsidR="009B0F38" w:rsidRPr="00E6129F" w:rsidRDefault="009B0F38" w:rsidP="009B0F38">
      <w:pPr>
        <w:tabs>
          <w:tab w:val="left" w:pos="851"/>
        </w:tabs>
        <w:ind w:left="851"/>
        <w:rPr>
          <w:sz w:val="24"/>
          <w:szCs w:val="24"/>
        </w:rPr>
      </w:pPr>
      <w:r w:rsidRPr="00E6129F">
        <w:rPr>
          <w:sz w:val="24"/>
          <w:szCs w:val="24"/>
        </w:rPr>
        <w:t xml:space="preserve">Der var ikke evidens for nedsat fertilitet efter administration af </w:t>
      </w:r>
      <w:proofErr w:type="spellStart"/>
      <w:r w:rsidRPr="00E6129F">
        <w:rPr>
          <w:sz w:val="24"/>
          <w:szCs w:val="24"/>
        </w:rPr>
        <w:t>pantoprazol</w:t>
      </w:r>
      <w:proofErr w:type="spellEnd"/>
      <w:r w:rsidRPr="00E6129F">
        <w:rPr>
          <w:sz w:val="24"/>
          <w:szCs w:val="24"/>
        </w:rPr>
        <w:t xml:space="preserve"> i dyreforsøg (se pkt. 5.3).</w:t>
      </w:r>
    </w:p>
    <w:p w14:paraId="0FE654A6" w14:textId="3498DD85" w:rsidR="00BE1106" w:rsidRDefault="00BE1106">
      <w:pPr>
        <w:rPr>
          <w:sz w:val="24"/>
          <w:szCs w:val="24"/>
        </w:rPr>
      </w:pPr>
      <w:r>
        <w:rPr>
          <w:sz w:val="24"/>
          <w:szCs w:val="24"/>
        </w:rPr>
        <w:br w:type="page"/>
      </w:r>
    </w:p>
    <w:p w14:paraId="6776FF52" w14:textId="77777777" w:rsidR="009260DE" w:rsidRPr="00E6129F" w:rsidRDefault="009260DE" w:rsidP="009260DE">
      <w:pPr>
        <w:tabs>
          <w:tab w:val="left" w:pos="851"/>
        </w:tabs>
        <w:ind w:left="851"/>
        <w:rPr>
          <w:sz w:val="24"/>
          <w:szCs w:val="24"/>
        </w:rPr>
      </w:pPr>
    </w:p>
    <w:p w14:paraId="124A274B" w14:textId="388F160B" w:rsidR="009260DE" w:rsidRPr="00E6129F" w:rsidRDefault="009260DE" w:rsidP="009260DE">
      <w:pPr>
        <w:tabs>
          <w:tab w:val="left" w:pos="851"/>
        </w:tabs>
        <w:ind w:left="851" w:hanging="851"/>
        <w:rPr>
          <w:b/>
          <w:sz w:val="24"/>
          <w:szCs w:val="24"/>
        </w:rPr>
      </w:pPr>
      <w:r w:rsidRPr="00E6129F">
        <w:rPr>
          <w:b/>
          <w:sz w:val="24"/>
          <w:szCs w:val="24"/>
        </w:rPr>
        <w:t>4.7</w:t>
      </w:r>
      <w:r w:rsidRPr="00E6129F">
        <w:rPr>
          <w:b/>
          <w:sz w:val="24"/>
          <w:szCs w:val="24"/>
        </w:rPr>
        <w:tab/>
      </w:r>
      <w:bookmarkStart w:id="2" w:name="_Hlk121750171"/>
      <w:r w:rsidR="00D00FCC" w:rsidRPr="00BA4587">
        <w:rPr>
          <w:b/>
          <w:sz w:val="24"/>
          <w:szCs w:val="24"/>
        </w:rPr>
        <w:t xml:space="preserve">Virkning på evnen til at føre motorkøretøj </w:t>
      </w:r>
      <w:r w:rsidR="00D00FCC" w:rsidRPr="00BA4587">
        <w:rPr>
          <w:b/>
          <w:noProof/>
          <w:sz w:val="24"/>
          <w:szCs w:val="24"/>
        </w:rPr>
        <w:t>og</w:t>
      </w:r>
      <w:r w:rsidR="00D00FCC" w:rsidRPr="00BA4587">
        <w:rPr>
          <w:b/>
          <w:sz w:val="24"/>
          <w:szCs w:val="24"/>
        </w:rPr>
        <w:t xml:space="preserve"> betjene maskiner</w:t>
      </w:r>
      <w:bookmarkEnd w:id="2"/>
    </w:p>
    <w:p w14:paraId="53ED411F" w14:textId="77777777" w:rsidR="00BE1106" w:rsidRDefault="00BE1106" w:rsidP="00BE1106">
      <w:pPr>
        <w:tabs>
          <w:tab w:val="left" w:pos="851"/>
        </w:tabs>
        <w:ind w:left="851"/>
        <w:rPr>
          <w:sz w:val="24"/>
          <w:szCs w:val="24"/>
        </w:rPr>
      </w:pPr>
      <w:r>
        <w:rPr>
          <w:sz w:val="24"/>
          <w:szCs w:val="24"/>
        </w:rPr>
        <w:t>Ikke mærkning.</w:t>
      </w:r>
    </w:p>
    <w:p w14:paraId="2491AF72" w14:textId="4FE82E88" w:rsidR="009B0F38" w:rsidRPr="00E6129F" w:rsidRDefault="009B0F38" w:rsidP="009B0F38">
      <w:pPr>
        <w:tabs>
          <w:tab w:val="left" w:pos="851"/>
        </w:tabs>
        <w:ind w:left="851"/>
        <w:rPr>
          <w:sz w:val="24"/>
          <w:szCs w:val="24"/>
          <w:lang w:eastAsia="da-DK"/>
        </w:rPr>
      </w:pPr>
      <w:proofErr w:type="spellStart"/>
      <w:r w:rsidRPr="00E6129F">
        <w:rPr>
          <w:sz w:val="24"/>
          <w:szCs w:val="24"/>
        </w:rPr>
        <w:t>Pantoprazol</w:t>
      </w:r>
      <w:proofErr w:type="spellEnd"/>
      <w:r w:rsidRPr="00E6129F">
        <w:rPr>
          <w:sz w:val="24"/>
          <w:szCs w:val="24"/>
        </w:rPr>
        <w:t xml:space="preserve"> påvirker ikke eller kun i ubetydelig grad evnen til at føre motorkøretøj og betjene maskiner. Der kan forekomme bivirkninger såsom svimmelhed og synsforstyrrelser (se pkt. 4.8)</w:t>
      </w:r>
      <w:r w:rsidR="00BE1106">
        <w:rPr>
          <w:sz w:val="24"/>
          <w:szCs w:val="24"/>
        </w:rPr>
        <w:t>.</w:t>
      </w:r>
      <w:r w:rsidRPr="00E6129F">
        <w:rPr>
          <w:sz w:val="24"/>
          <w:szCs w:val="24"/>
        </w:rPr>
        <w:t xml:space="preserve"> Hvis patienterne påvirkes, bør de ikke føre motorkøretøj eller betjene maskiner.</w:t>
      </w:r>
    </w:p>
    <w:p w14:paraId="36B78046" w14:textId="77777777" w:rsidR="009260DE" w:rsidRPr="00E6129F" w:rsidRDefault="009260DE" w:rsidP="009260DE">
      <w:pPr>
        <w:tabs>
          <w:tab w:val="left" w:pos="851"/>
        </w:tabs>
        <w:ind w:left="851"/>
        <w:rPr>
          <w:sz w:val="24"/>
          <w:szCs w:val="24"/>
        </w:rPr>
      </w:pPr>
    </w:p>
    <w:p w14:paraId="38C0CC7B" w14:textId="77777777" w:rsidR="009260DE" w:rsidRPr="00E6129F" w:rsidRDefault="009260DE" w:rsidP="009260DE">
      <w:pPr>
        <w:tabs>
          <w:tab w:val="left" w:pos="851"/>
        </w:tabs>
        <w:ind w:left="851" w:hanging="851"/>
        <w:rPr>
          <w:b/>
          <w:sz w:val="24"/>
          <w:szCs w:val="24"/>
        </w:rPr>
      </w:pPr>
      <w:r w:rsidRPr="00E6129F">
        <w:rPr>
          <w:b/>
          <w:sz w:val="24"/>
          <w:szCs w:val="24"/>
        </w:rPr>
        <w:t>4.8</w:t>
      </w:r>
      <w:r w:rsidRPr="00E6129F">
        <w:rPr>
          <w:b/>
          <w:sz w:val="24"/>
          <w:szCs w:val="24"/>
        </w:rPr>
        <w:tab/>
        <w:t>Bivirkninger</w:t>
      </w:r>
    </w:p>
    <w:p w14:paraId="21C9DEB9" w14:textId="701DC8C5" w:rsidR="00F6187D" w:rsidRPr="00E6129F" w:rsidRDefault="00F6187D" w:rsidP="00F6187D">
      <w:pPr>
        <w:tabs>
          <w:tab w:val="left" w:pos="851"/>
        </w:tabs>
        <w:ind w:left="851"/>
        <w:rPr>
          <w:sz w:val="24"/>
          <w:szCs w:val="24"/>
          <w:lang w:eastAsia="da-DK"/>
        </w:rPr>
      </w:pPr>
      <w:r w:rsidRPr="00E6129F">
        <w:rPr>
          <w:sz w:val="24"/>
          <w:szCs w:val="24"/>
        </w:rPr>
        <w:t>Ca. 5 % af patienterne kan forventes at opleve bivirkninger.</w:t>
      </w:r>
    </w:p>
    <w:p w14:paraId="58721C7F" w14:textId="77777777" w:rsidR="00F6187D" w:rsidRPr="00E6129F" w:rsidRDefault="00F6187D" w:rsidP="00F6187D">
      <w:pPr>
        <w:tabs>
          <w:tab w:val="left" w:pos="851"/>
        </w:tabs>
        <w:ind w:left="851"/>
        <w:rPr>
          <w:sz w:val="24"/>
          <w:szCs w:val="24"/>
        </w:rPr>
      </w:pPr>
      <w:r w:rsidRPr="00E6129F">
        <w:rPr>
          <w:sz w:val="24"/>
          <w:szCs w:val="24"/>
        </w:rPr>
        <w:t xml:space="preserve">Tabellen nedenfor opstiller bivirkningerne rapporteret med </w:t>
      </w:r>
      <w:proofErr w:type="spellStart"/>
      <w:r w:rsidRPr="00E6129F">
        <w:rPr>
          <w:sz w:val="24"/>
          <w:szCs w:val="24"/>
        </w:rPr>
        <w:t>pantoprazol</w:t>
      </w:r>
      <w:proofErr w:type="spellEnd"/>
      <w:r w:rsidRPr="00E6129F">
        <w:rPr>
          <w:sz w:val="24"/>
          <w:szCs w:val="24"/>
        </w:rPr>
        <w:t>, klassificeret i henhold til følgende hyppighedsklassifikation: meget almindelig (≥1/10), almindelig (≥1/100 til &lt;1/10), ikke almindelig (≥1/1.000 til &lt;1/100), sjælden (≥1/10.000 til &lt;1/1.000), meget sjælden (&lt;1/10.000), og ikke kendt (kan ikke estimeres ud fra de forhåndenværende data).</w:t>
      </w:r>
    </w:p>
    <w:p w14:paraId="2CBC244E" w14:textId="77777777" w:rsidR="00F6187D" w:rsidRPr="00E6129F" w:rsidRDefault="00F6187D" w:rsidP="00F6187D">
      <w:pPr>
        <w:tabs>
          <w:tab w:val="left" w:pos="851"/>
        </w:tabs>
        <w:ind w:left="851"/>
        <w:rPr>
          <w:sz w:val="24"/>
          <w:szCs w:val="24"/>
        </w:rPr>
      </w:pPr>
      <w:r w:rsidRPr="00E6129F">
        <w:rPr>
          <w:sz w:val="24"/>
          <w:szCs w:val="24"/>
        </w:rPr>
        <w:t>For alle bivirkninger, der rapporteres fra erfaring efter markedsføring, er det ikke muligt at udføre en klassifikation af bivirkningshyppigheder, og derfor benævnes de med en hyppighed på ”ikke kendt”.</w:t>
      </w:r>
    </w:p>
    <w:p w14:paraId="48C99AF4" w14:textId="77777777" w:rsidR="00F6187D" w:rsidRPr="00E6129F" w:rsidRDefault="00F6187D" w:rsidP="00F6187D">
      <w:pPr>
        <w:tabs>
          <w:tab w:val="left" w:pos="851"/>
        </w:tabs>
        <w:ind w:left="851"/>
        <w:rPr>
          <w:sz w:val="24"/>
          <w:szCs w:val="24"/>
        </w:rPr>
      </w:pPr>
    </w:p>
    <w:p w14:paraId="794A5B94" w14:textId="77777777" w:rsidR="00F6187D" w:rsidRPr="00E6129F" w:rsidRDefault="00F6187D" w:rsidP="00F6187D">
      <w:pPr>
        <w:tabs>
          <w:tab w:val="left" w:pos="851"/>
        </w:tabs>
        <w:ind w:left="851"/>
        <w:rPr>
          <w:sz w:val="24"/>
          <w:szCs w:val="24"/>
        </w:rPr>
      </w:pPr>
      <w:r w:rsidRPr="00E6129F">
        <w:rPr>
          <w:sz w:val="24"/>
          <w:szCs w:val="24"/>
        </w:rPr>
        <w:t>Inden for hver enkelt hyppighedsgruppering er bivirkningerne opstillet efter hvor alvorlige de er. De mest alvorlige bivirkninger er anført først.</w:t>
      </w:r>
    </w:p>
    <w:p w14:paraId="34A82DE9" w14:textId="77777777" w:rsidR="00F6187D" w:rsidRPr="00E6129F" w:rsidRDefault="00F6187D" w:rsidP="00F6187D">
      <w:pPr>
        <w:tabs>
          <w:tab w:val="left" w:pos="851"/>
        </w:tabs>
        <w:ind w:left="851"/>
        <w:rPr>
          <w:sz w:val="24"/>
          <w:szCs w:val="24"/>
        </w:rPr>
      </w:pPr>
    </w:p>
    <w:p w14:paraId="32F601E9" w14:textId="158780FB" w:rsidR="00F6187D" w:rsidRPr="00E6129F" w:rsidRDefault="00F6187D" w:rsidP="00F6187D">
      <w:pPr>
        <w:tabs>
          <w:tab w:val="left" w:pos="851"/>
        </w:tabs>
        <w:ind w:left="851"/>
        <w:rPr>
          <w:b/>
          <w:bCs/>
          <w:iCs/>
          <w:sz w:val="24"/>
          <w:szCs w:val="24"/>
        </w:rPr>
      </w:pPr>
      <w:r w:rsidRPr="00E6129F">
        <w:rPr>
          <w:b/>
          <w:iCs/>
          <w:sz w:val="24"/>
          <w:szCs w:val="24"/>
        </w:rPr>
        <w:t>Tabel </w:t>
      </w:r>
      <w:r w:rsidRPr="00E6129F">
        <w:rPr>
          <w:b/>
          <w:iCs/>
          <w:sz w:val="24"/>
          <w:szCs w:val="24"/>
        </w:rPr>
        <w:fldChar w:fldCharType="begin"/>
      </w:r>
      <w:r w:rsidRPr="00E6129F">
        <w:rPr>
          <w:b/>
          <w:iCs/>
          <w:sz w:val="24"/>
          <w:szCs w:val="24"/>
        </w:rPr>
        <w:instrText xml:space="preserve"> SEQ Table \* ARABIC </w:instrText>
      </w:r>
      <w:r w:rsidRPr="00E6129F">
        <w:rPr>
          <w:b/>
          <w:iCs/>
          <w:sz w:val="24"/>
          <w:szCs w:val="24"/>
        </w:rPr>
        <w:fldChar w:fldCharType="separate"/>
      </w:r>
      <w:r w:rsidR="00D00FCC">
        <w:rPr>
          <w:b/>
          <w:iCs/>
          <w:noProof/>
          <w:sz w:val="24"/>
          <w:szCs w:val="24"/>
        </w:rPr>
        <w:t>1</w:t>
      </w:r>
      <w:r w:rsidRPr="00E6129F">
        <w:rPr>
          <w:sz w:val="24"/>
          <w:szCs w:val="24"/>
        </w:rPr>
        <w:fldChar w:fldCharType="end"/>
      </w:r>
      <w:r w:rsidRPr="00E6129F">
        <w:rPr>
          <w:b/>
          <w:iCs/>
          <w:sz w:val="24"/>
          <w:szCs w:val="24"/>
        </w:rPr>
        <w:t xml:space="preserve"> Bivirkninger med </w:t>
      </w:r>
      <w:proofErr w:type="spellStart"/>
      <w:r w:rsidRPr="00E6129F">
        <w:rPr>
          <w:b/>
          <w:iCs/>
          <w:sz w:val="24"/>
          <w:szCs w:val="24"/>
        </w:rPr>
        <w:t>pantoprazol</w:t>
      </w:r>
      <w:proofErr w:type="spellEnd"/>
      <w:r w:rsidRPr="00E6129F">
        <w:rPr>
          <w:b/>
          <w:iCs/>
          <w:sz w:val="24"/>
          <w:szCs w:val="24"/>
        </w:rPr>
        <w:t xml:space="preserve"> i kliniske studier og fra erfaring efter markedsføring</w:t>
      </w:r>
    </w:p>
    <w:p w14:paraId="22B41F50" w14:textId="77777777" w:rsidR="00F6187D" w:rsidRPr="00E6129F" w:rsidRDefault="00F6187D" w:rsidP="00F6187D">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790"/>
        <w:gridCol w:w="1363"/>
        <w:gridCol w:w="1824"/>
        <w:gridCol w:w="1701"/>
        <w:gridCol w:w="1066"/>
        <w:gridCol w:w="1884"/>
      </w:tblGrid>
      <w:tr w:rsidR="00A97BA3" w:rsidRPr="00E6129F" w14:paraId="6591EA02"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73220777" w14:textId="77777777" w:rsidR="00F6187D" w:rsidRPr="003E726F" w:rsidRDefault="00F6187D" w:rsidP="003E726F">
            <w:pPr>
              <w:ind w:right="153"/>
              <w:rPr>
                <w:b/>
                <w:bCs/>
                <w:sz w:val="22"/>
                <w:szCs w:val="22"/>
              </w:rPr>
            </w:pPr>
            <w:r w:rsidRPr="003E726F">
              <w:rPr>
                <w:b/>
                <w:sz w:val="22"/>
                <w:szCs w:val="22"/>
              </w:rPr>
              <w:t>Hyppighed</w:t>
            </w:r>
          </w:p>
        </w:tc>
        <w:tc>
          <w:tcPr>
            <w:tcW w:w="726" w:type="pct"/>
            <w:vMerge w:val="restart"/>
            <w:tcBorders>
              <w:top w:val="single" w:sz="4" w:space="0" w:color="auto"/>
              <w:left w:val="single" w:sz="4" w:space="0" w:color="auto"/>
              <w:bottom w:val="single" w:sz="4" w:space="0" w:color="auto"/>
              <w:right w:val="single" w:sz="4" w:space="0" w:color="auto"/>
            </w:tcBorders>
            <w:hideMark/>
          </w:tcPr>
          <w:p w14:paraId="7B856467" w14:textId="77777777" w:rsidR="00F6187D" w:rsidRPr="003E726F" w:rsidRDefault="00F6187D" w:rsidP="003E726F">
            <w:pPr>
              <w:ind w:right="153"/>
              <w:rPr>
                <w:b/>
                <w:bCs/>
                <w:sz w:val="22"/>
                <w:szCs w:val="22"/>
              </w:rPr>
            </w:pPr>
            <w:r w:rsidRPr="003E726F">
              <w:rPr>
                <w:b/>
                <w:sz w:val="22"/>
                <w:szCs w:val="22"/>
              </w:rPr>
              <w:t>Almindelig</w:t>
            </w:r>
          </w:p>
        </w:tc>
        <w:tc>
          <w:tcPr>
            <w:tcW w:w="965" w:type="pct"/>
            <w:vMerge w:val="restart"/>
            <w:tcBorders>
              <w:top w:val="single" w:sz="4" w:space="0" w:color="auto"/>
              <w:left w:val="single" w:sz="4" w:space="0" w:color="auto"/>
              <w:bottom w:val="single" w:sz="4" w:space="0" w:color="auto"/>
              <w:right w:val="single" w:sz="4" w:space="0" w:color="auto"/>
            </w:tcBorders>
            <w:hideMark/>
          </w:tcPr>
          <w:p w14:paraId="4769AD24" w14:textId="77777777" w:rsidR="00F6187D" w:rsidRPr="003E726F" w:rsidRDefault="00F6187D" w:rsidP="003E726F">
            <w:pPr>
              <w:adjustRightInd w:val="0"/>
              <w:snapToGrid w:val="0"/>
              <w:ind w:right="153"/>
              <w:rPr>
                <w:b/>
                <w:bCs/>
                <w:sz w:val="22"/>
                <w:szCs w:val="22"/>
              </w:rPr>
            </w:pPr>
            <w:r w:rsidRPr="003E726F">
              <w:rPr>
                <w:b/>
                <w:sz w:val="22"/>
                <w:szCs w:val="22"/>
              </w:rPr>
              <w:t>Ikke almindelig</w:t>
            </w:r>
          </w:p>
        </w:tc>
        <w:tc>
          <w:tcPr>
            <w:tcW w:w="901" w:type="pct"/>
            <w:vMerge w:val="restart"/>
            <w:tcBorders>
              <w:top w:val="single" w:sz="4" w:space="0" w:color="auto"/>
              <w:left w:val="single" w:sz="4" w:space="0" w:color="auto"/>
              <w:bottom w:val="single" w:sz="4" w:space="0" w:color="auto"/>
              <w:right w:val="single" w:sz="4" w:space="0" w:color="auto"/>
            </w:tcBorders>
            <w:hideMark/>
          </w:tcPr>
          <w:p w14:paraId="3C24234F" w14:textId="77777777" w:rsidR="00F6187D" w:rsidRPr="003E726F" w:rsidRDefault="00F6187D" w:rsidP="003E726F">
            <w:pPr>
              <w:ind w:right="153"/>
              <w:rPr>
                <w:b/>
                <w:bCs/>
                <w:sz w:val="22"/>
                <w:szCs w:val="22"/>
              </w:rPr>
            </w:pPr>
            <w:r w:rsidRPr="003E726F">
              <w:rPr>
                <w:b/>
                <w:sz w:val="22"/>
                <w:szCs w:val="22"/>
              </w:rPr>
              <w:t>Sjælden</w:t>
            </w:r>
          </w:p>
        </w:tc>
        <w:tc>
          <w:tcPr>
            <w:tcW w:w="464" w:type="pct"/>
            <w:vMerge w:val="restart"/>
            <w:tcBorders>
              <w:top w:val="single" w:sz="4" w:space="0" w:color="auto"/>
              <w:left w:val="single" w:sz="4" w:space="0" w:color="auto"/>
              <w:bottom w:val="single" w:sz="4" w:space="0" w:color="auto"/>
              <w:right w:val="single" w:sz="4" w:space="0" w:color="auto"/>
            </w:tcBorders>
            <w:hideMark/>
          </w:tcPr>
          <w:p w14:paraId="516B5062" w14:textId="77777777" w:rsidR="00F6187D" w:rsidRPr="003E726F" w:rsidRDefault="00F6187D" w:rsidP="003E726F">
            <w:pPr>
              <w:ind w:right="153"/>
              <w:rPr>
                <w:b/>
                <w:bCs/>
                <w:sz w:val="22"/>
                <w:szCs w:val="22"/>
              </w:rPr>
            </w:pPr>
            <w:r w:rsidRPr="003E726F">
              <w:rPr>
                <w:b/>
                <w:sz w:val="22"/>
                <w:szCs w:val="22"/>
              </w:rPr>
              <w:t>Meget sjælden</w:t>
            </w:r>
          </w:p>
        </w:tc>
        <w:tc>
          <w:tcPr>
            <w:tcW w:w="996" w:type="pct"/>
            <w:vMerge w:val="restart"/>
            <w:tcBorders>
              <w:top w:val="single" w:sz="4" w:space="0" w:color="auto"/>
              <w:left w:val="single" w:sz="4" w:space="0" w:color="auto"/>
              <w:bottom w:val="single" w:sz="4" w:space="0" w:color="auto"/>
              <w:right w:val="single" w:sz="4" w:space="0" w:color="auto"/>
            </w:tcBorders>
            <w:hideMark/>
          </w:tcPr>
          <w:p w14:paraId="1CF7B2C5" w14:textId="77777777" w:rsidR="00F6187D" w:rsidRPr="003E726F" w:rsidRDefault="00F6187D" w:rsidP="003E726F">
            <w:pPr>
              <w:ind w:right="153"/>
              <w:rPr>
                <w:b/>
                <w:bCs/>
                <w:sz w:val="22"/>
                <w:szCs w:val="22"/>
              </w:rPr>
            </w:pPr>
            <w:r w:rsidRPr="003E726F">
              <w:rPr>
                <w:b/>
                <w:sz w:val="22"/>
                <w:szCs w:val="22"/>
              </w:rPr>
              <w:t>Ikke kendt</w:t>
            </w:r>
          </w:p>
        </w:tc>
      </w:tr>
      <w:tr w:rsidR="003E726F" w:rsidRPr="00E6129F" w14:paraId="4476546F"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29CB42A4" w14:textId="77777777" w:rsidR="00F6187D" w:rsidRPr="003E726F" w:rsidRDefault="00F6187D" w:rsidP="003E726F">
            <w:pPr>
              <w:ind w:right="153"/>
              <w:rPr>
                <w:b/>
                <w:bCs/>
                <w:sz w:val="22"/>
                <w:szCs w:val="22"/>
              </w:rPr>
            </w:pPr>
            <w:r w:rsidRPr="003E726F">
              <w:rPr>
                <w:b/>
                <w:sz w:val="22"/>
                <w:szCs w:val="22"/>
              </w:rPr>
              <w:t>Systemorganklasse</w:t>
            </w:r>
          </w:p>
        </w:tc>
        <w:tc>
          <w:tcPr>
            <w:tcW w:w="726" w:type="pct"/>
            <w:vMerge/>
            <w:tcBorders>
              <w:top w:val="single" w:sz="4" w:space="0" w:color="auto"/>
              <w:left w:val="single" w:sz="4" w:space="0" w:color="auto"/>
              <w:bottom w:val="single" w:sz="4" w:space="0" w:color="auto"/>
              <w:right w:val="single" w:sz="4" w:space="0" w:color="auto"/>
            </w:tcBorders>
            <w:vAlign w:val="center"/>
            <w:hideMark/>
          </w:tcPr>
          <w:p w14:paraId="75C86757" w14:textId="77777777" w:rsidR="00F6187D" w:rsidRPr="003E726F" w:rsidRDefault="00F6187D" w:rsidP="003E726F">
            <w:pPr>
              <w:ind w:right="153"/>
              <w:rPr>
                <w:b/>
                <w:bCs/>
                <w:sz w:val="22"/>
                <w:szCs w:val="22"/>
              </w:rPr>
            </w:pPr>
          </w:p>
        </w:tc>
        <w:tc>
          <w:tcPr>
            <w:tcW w:w="965" w:type="pct"/>
            <w:vMerge/>
            <w:tcBorders>
              <w:top w:val="single" w:sz="4" w:space="0" w:color="auto"/>
              <w:left w:val="single" w:sz="4" w:space="0" w:color="auto"/>
              <w:bottom w:val="single" w:sz="4" w:space="0" w:color="auto"/>
              <w:right w:val="single" w:sz="4" w:space="0" w:color="auto"/>
            </w:tcBorders>
            <w:vAlign w:val="center"/>
            <w:hideMark/>
          </w:tcPr>
          <w:p w14:paraId="243165AD" w14:textId="77777777" w:rsidR="00F6187D" w:rsidRPr="003E726F" w:rsidRDefault="00F6187D" w:rsidP="003E726F">
            <w:pPr>
              <w:ind w:right="153"/>
              <w:rPr>
                <w:b/>
                <w:bCs/>
                <w:sz w:val="22"/>
                <w:szCs w:val="22"/>
              </w:rPr>
            </w:pPr>
          </w:p>
        </w:tc>
        <w:tc>
          <w:tcPr>
            <w:tcW w:w="901" w:type="pct"/>
            <w:vMerge/>
            <w:tcBorders>
              <w:top w:val="single" w:sz="4" w:space="0" w:color="auto"/>
              <w:left w:val="single" w:sz="4" w:space="0" w:color="auto"/>
              <w:bottom w:val="single" w:sz="4" w:space="0" w:color="auto"/>
              <w:right w:val="single" w:sz="4" w:space="0" w:color="auto"/>
            </w:tcBorders>
            <w:vAlign w:val="center"/>
            <w:hideMark/>
          </w:tcPr>
          <w:p w14:paraId="16165513" w14:textId="77777777" w:rsidR="00F6187D" w:rsidRPr="003E726F" w:rsidRDefault="00F6187D" w:rsidP="003E726F">
            <w:pPr>
              <w:ind w:right="153"/>
              <w:rPr>
                <w:b/>
                <w:bCs/>
                <w:sz w:val="22"/>
                <w:szCs w:val="22"/>
              </w:rPr>
            </w:pPr>
          </w:p>
        </w:tc>
        <w:tc>
          <w:tcPr>
            <w:tcW w:w="464" w:type="pct"/>
            <w:vMerge/>
            <w:tcBorders>
              <w:top w:val="single" w:sz="4" w:space="0" w:color="auto"/>
              <w:left w:val="single" w:sz="4" w:space="0" w:color="auto"/>
              <w:bottom w:val="single" w:sz="4" w:space="0" w:color="auto"/>
              <w:right w:val="single" w:sz="4" w:space="0" w:color="auto"/>
            </w:tcBorders>
            <w:vAlign w:val="center"/>
            <w:hideMark/>
          </w:tcPr>
          <w:p w14:paraId="71CA685B" w14:textId="77777777" w:rsidR="00F6187D" w:rsidRPr="003E726F" w:rsidRDefault="00F6187D" w:rsidP="003E726F">
            <w:pPr>
              <w:ind w:right="153"/>
              <w:rPr>
                <w:b/>
                <w:bCs/>
                <w:sz w:val="22"/>
                <w:szCs w:val="22"/>
              </w:rPr>
            </w:pPr>
          </w:p>
        </w:tc>
        <w:tc>
          <w:tcPr>
            <w:tcW w:w="996" w:type="pct"/>
            <w:vMerge/>
            <w:tcBorders>
              <w:top w:val="single" w:sz="4" w:space="0" w:color="auto"/>
              <w:left w:val="single" w:sz="4" w:space="0" w:color="auto"/>
              <w:bottom w:val="single" w:sz="4" w:space="0" w:color="auto"/>
              <w:right w:val="single" w:sz="4" w:space="0" w:color="auto"/>
            </w:tcBorders>
            <w:vAlign w:val="center"/>
            <w:hideMark/>
          </w:tcPr>
          <w:p w14:paraId="7D125C92" w14:textId="77777777" w:rsidR="00F6187D" w:rsidRPr="003E726F" w:rsidRDefault="00F6187D" w:rsidP="003E726F">
            <w:pPr>
              <w:ind w:right="153"/>
              <w:rPr>
                <w:b/>
                <w:bCs/>
                <w:sz w:val="22"/>
                <w:szCs w:val="22"/>
              </w:rPr>
            </w:pPr>
          </w:p>
        </w:tc>
      </w:tr>
      <w:tr w:rsidR="00A97BA3" w:rsidRPr="00E6129F" w14:paraId="27703E44"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0A9208DC" w14:textId="77777777" w:rsidR="00F6187D" w:rsidRPr="003E726F" w:rsidRDefault="00F6187D" w:rsidP="003E726F">
            <w:pPr>
              <w:ind w:right="153"/>
              <w:rPr>
                <w:sz w:val="22"/>
                <w:szCs w:val="22"/>
              </w:rPr>
            </w:pPr>
            <w:r w:rsidRPr="003E726F">
              <w:rPr>
                <w:sz w:val="22"/>
                <w:szCs w:val="22"/>
              </w:rPr>
              <w:t>Blod og lymfesystem</w:t>
            </w:r>
          </w:p>
        </w:tc>
        <w:tc>
          <w:tcPr>
            <w:tcW w:w="726" w:type="pct"/>
            <w:tcBorders>
              <w:top w:val="single" w:sz="4" w:space="0" w:color="auto"/>
              <w:left w:val="single" w:sz="4" w:space="0" w:color="auto"/>
              <w:bottom w:val="single" w:sz="4" w:space="0" w:color="auto"/>
              <w:right w:val="single" w:sz="4" w:space="0" w:color="auto"/>
            </w:tcBorders>
          </w:tcPr>
          <w:p w14:paraId="1F6A8DEE"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55D3AB2B" w14:textId="77777777" w:rsidR="00F6187D" w:rsidRPr="003E726F" w:rsidRDefault="00F6187D" w:rsidP="003E726F">
            <w:pPr>
              <w:ind w:right="153"/>
              <w:rPr>
                <w:sz w:val="22"/>
                <w:szCs w:val="22"/>
              </w:rPr>
            </w:pPr>
          </w:p>
        </w:tc>
        <w:tc>
          <w:tcPr>
            <w:tcW w:w="901" w:type="pct"/>
            <w:tcBorders>
              <w:top w:val="single" w:sz="4" w:space="0" w:color="auto"/>
              <w:left w:val="single" w:sz="4" w:space="0" w:color="auto"/>
              <w:bottom w:val="single" w:sz="4" w:space="0" w:color="auto"/>
              <w:right w:val="single" w:sz="4" w:space="0" w:color="auto"/>
            </w:tcBorders>
            <w:hideMark/>
          </w:tcPr>
          <w:p w14:paraId="345A63F1" w14:textId="3A1758FB" w:rsidR="00F6187D" w:rsidRPr="003E726F" w:rsidRDefault="00F6187D" w:rsidP="003E726F">
            <w:pPr>
              <w:ind w:right="153"/>
              <w:rPr>
                <w:sz w:val="22"/>
                <w:szCs w:val="22"/>
              </w:rPr>
            </w:pPr>
            <w:proofErr w:type="spellStart"/>
            <w:r w:rsidRPr="003E726F">
              <w:rPr>
                <w:sz w:val="22"/>
                <w:szCs w:val="22"/>
              </w:rPr>
              <w:t>Agranulocytos</w:t>
            </w:r>
            <w:r w:rsidR="00A97BA3">
              <w:rPr>
                <w:sz w:val="22"/>
                <w:szCs w:val="22"/>
              </w:rPr>
              <w:t>e</w:t>
            </w:r>
            <w:proofErr w:type="spellEnd"/>
          </w:p>
        </w:tc>
        <w:tc>
          <w:tcPr>
            <w:tcW w:w="464" w:type="pct"/>
            <w:tcBorders>
              <w:top w:val="single" w:sz="4" w:space="0" w:color="auto"/>
              <w:left w:val="single" w:sz="4" w:space="0" w:color="auto"/>
              <w:bottom w:val="single" w:sz="4" w:space="0" w:color="auto"/>
              <w:right w:val="single" w:sz="4" w:space="0" w:color="auto"/>
            </w:tcBorders>
            <w:hideMark/>
          </w:tcPr>
          <w:p w14:paraId="0AB8EDCB" w14:textId="7AE5E483" w:rsidR="00F6187D" w:rsidRPr="003E726F" w:rsidRDefault="00F6187D" w:rsidP="003E726F">
            <w:pPr>
              <w:ind w:right="153"/>
              <w:rPr>
                <w:sz w:val="22"/>
                <w:szCs w:val="22"/>
              </w:rPr>
            </w:pPr>
            <w:proofErr w:type="spellStart"/>
            <w:r w:rsidRPr="003E726F">
              <w:rPr>
                <w:sz w:val="22"/>
                <w:szCs w:val="22"/>
              </w:rPr>
              <w:t>Trombocy</w:t>
            </w:r>
            <w:r w:rsidR="00A97BA3">
              <w:rPr>
                <w:sz w:val="22"/>
                <w:szCs w:val="22"/>
              </w:rPr>
              <w:t>t</w:t>
            </w:r>
            <w:r w:rsidRPr="003E726F">
              <w:rPr>
                <w:sz w:val="22"/>
                <w:szCs w:val="22"/>
              </w:rPr>
              <w:t>openi</w:t>
            </w:r>
            <w:proofErr w:type="spellEnd"/>
            <w:r w:rsidRPr="003E726F">
              <w:rPr>
                <w:sz w:val="22"/>
                <w:szCs w:val="22"/>
              </w:rPr>
              <w:t xml:space="preserve">, </w:t>
            </w:r>
            <w:proofErr w:type="spellStart"/>
            <w:r w:rsidRPr="003E726F">
              <w:rPr>
                <w:sz w:val="22"/>
                <w:szCs w:val="22"/>
              </w:rPr>
              <w:t>leukopeni</w:t>
            </w:r>
            <w:proofErr w:type="spellEnd"/>
            <w:r w:rsidRPr="003E726F">
              <w:rPr>
                <w:sz w:val="22"/>
                <w:szCs w:val="22"/>
              </w:rPr>
              <w:t xml:space="preserve">, </w:t>
            </w:r>
            <w:proofErr w:type="spellStart"/>
            <w:r w:rsidRPr="003E726F">
              <w:rPr>
                <w:sz w:val="22"/>
                <w:szCs w:val="22"/>
              </w:rPr>
              <w:t>pancytopeni</w:t>
            </w:r>
            <w:proofErr w:type="spellEnd"/>
          </w:p>
        </w:tc>
        <w:tc>
          <w:tcPr>
            <w:tcW w:w="996" w:type="pct"/>
            <w:tcBorders>
              <w:top w:val="single" w:sz="4" w:space="0" w:color="auto"/>
              <w:left w:val="single" w:sz="4" w:space="0" w:color="auto"/>
              <w:bottom w:val="single" w:sz="4" w:space="0" w:color="auto"/>
              <w:right w:val="single" w:sz="4" w:space="0" w:color="auto"/>
            </w:tcBorders>
          </w:tcPr>
          <w:p w14:paraId="73874508" w14:textId="77777777" w:rsidR="00F6187D" w:rsidRPr="003E726F" w:rsidRDefault="00F6187D" w:rsidP="003E726F">
            <w:pPr>
              <w:ind w:right="153"/>
              <w:rPr>
                <w:sz w:val="22"/>
                <w:szCs w:val="22"/>
              </w:rPr>
            </w:pPr>
          </w:p>
        </w:tc>
      </w:tr>
      <w:tr w:rsidR="00A97BA3" w:rsidRPr="00E6129F" w14:paraId="64C4C80E"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18118202" w14:textId="77777777" w:rsidR="00F6187D" w:rsidRPr="003E726F" w:rsidRDefault="00F6187D" w:rsidP="003E726F">
            <w:pPr>
              <w:ind w:right="153"/>
              <w:rPr>
                <w:sz w:val="22"/>
                <w:szCs w:val="22"/>
              </w:rPr>
            </w:pPr>
            <w:r w:rsidRPr="003E726F">
              <w:rPr>
                <w:sz w:val="22"/>
                <w:szCs w:val="22"/>
              </w:rPr>
              <w:t>Immunsystemet</w:t>
            </w:r>
          </w:p>
        </w:tc>
        <w:tc>
          <w:tcPr>
            <w:tcW w:w="726" w:type="pct"/>
            <w:tcBorders>
              <w:top w:val="single" w:sz="4" w:space="0" w:color="auto"/>
              <w:left w:val="single" w:sz="4" w:space="0" w:color="auto"/>
              <w:bottom w:val="single" w:sz="4" w:space="0" w:color="auto"/>
              <w:right w:val="single" w:sz="4" w:space="0" w:color="auto"/>
            </w:tcBorders>
          </w:tcPr>
          <w:p w14:paraId="72B54F41"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30AE6A39" w14:textId="77777777" w:rsidR="00F6187D" w:rsidRPr="003E726F" w:rsidRDefault="00F6187D" w:rsidP="003E726F">
            <w:pPr>
              <w:ind w:right="153"/>
              <w:rPr>
                <w:sz w:val="22"/>
                <w:szCs w:val="22"/>
              </w:rPr>
            </w:pPr>
          </w:p>
        </w:tc>
        <w:tc>
          <w:tcPr>
            <w:tcW w:w="901" w:type="pct"/>
            <w:tcBorders>
              <w:top w:val="single" w:sz="4" w:space="0" w:color="auto"/>
              <w:left w:val="single" w:sz="4" w:space="0" w:color="auto"/>
              <w:bottom w:val="single" w:sz="4" w:space="0" w:color="auto"/>
              <w:right w:val="single" w:sz="4" w:space="0" w:color="auto"/>
            </w:tcBorders>
            <w:hideMark/>
          </w:tcPr>
          <w:p w14:paraId="2E2DDF0E" w14:textId="77777777" w:rsidR="00F6187D" w:rsidRPr="003E726F" w:rsidRDefault="00F6187D" w:rsidP="003E726F">
            <w:pPr>
              <w:ind w:right="153"/>
              <w:rPr>
                <w:sz w:val="22"/>
                <w:szCs w:val="22"/>
              </w:rPr>
            </w:pPr>
            <w:r w:rsidRPr="003E726F">
              <w:rPr>
                <w:sz w:val="22"/>
                <w:szCs w:val="22"/>
              </w:rPr>
              <w:t xml:space="preserve">Overfølsomhed (herunder </w:t>
            </w:r>
            <w:proofErr w:type="spellStart"/>
            <w:r w:rsidRPr="003E726F">
              <w:rPr>
                <w:sz w:val="22"/>
                <w:szCs w:val="22"/>
              </w:rPr>
              <w:t>anafylaktiske</w:t>
            </w:r>
            <w:proofErr w:type="spellEnd"/>
            <w:r w:rsidRPr="003E726F">
              <w:rPr>
                <w:sz w:val="22"/>
                <w:szCs w:val="22"/>
              </w:rPr>
              <w:t xml:space="preserve"> reaktioner og </w:t>
            </w:r>
            <w:proofErr w:type="spellStart"/>
            <w:r w:rsidRPr="003E726F">
              <w:rPr>
                <w:sz w:val="22"/>
                <w:szCs w:val="22"/>
              </w:rPr>
              <w:t>anafylaktisk</w:t>
            </w:r>
            <w:proofErr w:type="spellEnd"/>
            <w:r w:rsidRPr="003E726F">
              <w:rPr>
                <w:sz w:val="22"/>
                <w:szCs w:val="22"/>
              </w:rPr>
              <w:t xml:space="preserve"> </w:t>
            </w:r>
            <w:proofErr w:type="spellStart"/>
            <w:r w:rsidRPr="003E726F">
              <w:rPr>
                <w:sz w:val="22"/>
                <w:szCs w:val="22"/>
              </w:rPr>
              <w:t>shock</w:t>
            </w:r>
            <w:proofErr w:type="spellEnd"/>
            <w:r w:rsidRPr="003E726F">
              <w:rPr>
                <w:sz w:val="22"/>
                <w:szCs w:val="22"/>
              </w:rPr>
              <w:t>)</w:t>
            </w:r>
          </w:p>
        </w:tc>
        <w:tc>
          <w:tcPr>
            <w:tcW w:w="464" w:type="pct"/>
            <w:tcBorders>
              <w:top w:val="single" w:sz="4" w:space="0" w:color="auto"/>
              <w:left w:val="single" w:sz="4" w:space="0" w:color="auto"/>
              <w:bottom w:val="single" w:sz="4" w:space="0" w:color="auto"/>
              <w:right w:val="single" w:sz="4" w:space="0" w:color="auto"/>
            </w:tcBorders>
          </w:tcPr>
          <w:p w14:paraId="30D2E777"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26068FBB" w14:textId="77777777" w:rsidR="00F6187D" w:rsidRPr="003E726F" w:rsidRDefault="00F6187D" w:rsidP="003E726F">
            <w:pPr>
              <w:ind w:right="153"/>
              <w:rPr>
                <w:sz w:val="22"/>
                <w:szCs w:val="22"/>
              </w:rPr>
            </w:pPr>
          </w:p>
        </w:tc>
      </w:tr>
      <w:tr w:rsidR="00A97BA3" w:rsidRPr="00E6129F" w14:paraId="13A0A863"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6C3BBA18" w14:textId="77777777" w:rsidR="00F6187D" w:rsidRPr="003E726F" w:rsidRDefault="00F6187D" w:rsidP="003E726F">
            <w:pPr>
              <w:ind w:right="153"/>
              <w:rPr>
                <w:sz w:val="22"/>
                <w:szCs w:val="22"/>
              </w:rPr>
            </w:pPr>
            <w:r w:rsidRPr="003E726F">
              <w:rPr>
                <w:sz w:val="22"/>
                <w:szCs w:val="22"/>
              </w:rPr>
              <w:t>Metabolisme og ernæring</w:t>
            </w:r>
          </w:p>
        </w:tc>
        <w:tc>
          <w:tcPr>
            <w:tcW w:w="726" w:type="pct"/>
            <w:tcBorders>
              <w:top w:val="single" w:sz="4" w:space="0" w:color="auto"/>
              <w:left w:val="single" w:sz="4" w:space="0" w:color="auto"/>
              <w:bottom w:val="single" w:sz="4" w:space="0" w:color="auto"/>
              <w:right w:val="single" w:sz="4" w:space="0" w:color="auto"/>
            </w:tcBorders>
          </w:tcPr>
          <w:p w14:paraId="4A5F11F8"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3C413C9F" w14:textId="77777777" w:rsidR="00F6187D" w:rsidRPr="003E726F" w:rsidRDefault="00F6187D" w:rsidP="003E726F">
            <w:pPr>
              <w:ind w:right="153"/>
              <w:rPr>
                <w:sz w:val="22"/>
                <w:szCs w:val="22"/>
              </w:rPr>
            </w:pPr>
          </w:p>
        </w:tc>
        <w:tc>
          <w:tcPr>
            <w:tcW w:w="901" w:type="pct"/>
            <w:tcBorders>
              <w:top w:val="single" w:sz="4" w:space="0" w:color="auto"/>
              <w:left w:val="single" w:sz="4" w:space="0" w:color="auto"/>
              <w:bottom w:val="single" w:sz="4" w:space="0" w:color="auto"/>
              <w:right w:val="single" w:sz="4" w:space="0" w:color="auto"/>
            </w:tcBorders>
            <w:hideMark/>
          </w:tcPr>
          <w:p w14:paraId="2DBF7E53" w14:textId="77777777" w:rsidR="00F6187D" w:rsidRPr="003E726F" w:rsidRDefault="00F6187D" w:rsidP="003E726F">
            <w:pPr>
              <w:ind w:right="153"/>
              <w:rPr>
                <w:sz w:val="22"/>
                <w:szCs w:val="22"/>
              </w:rPr>
            </w:pPr>
            <w:proofErr w:type="spellStart"/>
            <w:r w:rsidRPr="003E726F">
              <w:rPr>
                <w:sz w:val="22"/>
                <w:szCs w:val="22"/>
              </w:rPr>
              <w:t>Hyperlipidæmier</w:t>
            </w:r>
            <w:proofErr w:type="spellEnd"/>
            <w:r w:rsidRPr="003E726F">
              <w:rPr>
                <w:sz w:val="22"/>
                <w:szCs w:val="22"/>
              </w:rPr>
              <w:t xml:space="preserve"> og forhøjede niveauer af lipider (triglycerider, kolesterol), vægtændringer</w:t>
            </w:r>
          </w:p>
        </w:tc>
        <w:tc>
          <w:tcPr>
            <w:tcW w:w="464" w:type="pct"/>
            <w:tcBorders>
              <w:top w:val="single" w:sz="4" w:space="0" w:color="auto"/>
              <w:left w:val="single" w:sz="4" w:space="0" w:color="auto"/>
              <w:bottom w:val="single" w:sz="4" w:space="0" w:color="auto"/>
              <w:right w:val="single" w:sz="4" w:space="0" w:color="auto"/>
            </w:tcBorders>
          </w:tcPr>
          <w:p w14:paraId="265DF279"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hideMark/>
          </w:tcPr>
          <w:p w14:paraId="7D2BC7E5" w14:textId="77777777" w:rsidR="00F6187D" w:rsidRPr="003E726F" w:rsidRDefault="00F6187D" w:rsidP="003E726F">
            <w:pPr>
              <w:ind w:right="153"/>
              <w:rPr>
                <w:sz w:val="22"/>
                <w:szCs w:val="22"/>
              </w:rPr>
            </w:pPr>
            <w:proofErr w:type="spellStart"/>
            <w:r w:rsidRPr="003E726F">
              <w:rPr>
                <w:sz w:val="22"/>
                <w:szCs w:val="22"/>
              </w:rPr>
              <w:t>Hyponatriæmi</w:t>
            </w:r>
            <w:proofErr w:type="spellEnd"/>
            <w:r w:rsidRPr="003E726F">
              <w:rPr>
                <w:sz w:val="22"/>
                <w:szCs w:val="22"/>
              </w:rPr>
              <w:t xml:space="preserve">, </w:t>
            </w:r>
            <w:proofErr w:type="spellStart"/>
            <w:r w:rsidRPr="003E726F">
              <w:rPr>
                <w:sz w:val="22"/>
                <w:szCs w:val="22"/>
              </w:rPr>
              <w:t>hypomagnesiæmi</w:t>
            </w:r>
            <w:proofErr w:type="spellEnd"/>
            <w:r w:rsidRPr="003E726F">
              <w:rPr>
                <w:sz w:val="22"/>
                <w:szCs w:val="22"/>
              </w:rPr>
              <w:t xml:space="preserve"> (se pkt. 4.4), hypocalcæmi</w:t>
            </w:r>
            <w:r w:rsidRPr="003E726F">
              <w:rPr>
                <w:sz w:val="22"/>
                <w:szCs w:val="22"/>
                <w:vertAlign w:val="superscript"/>
              </w:rPr>
              <w:t>1</w:t>
            </w:r>
            <w:r w:rsidRPr="003E726F">
              <w:rPr>
                <w:sz w:val="22"/>
                <w:szCs w:val="22"/>
              </w:rPr>
              <w:t xml:space="preserve">, </w:t>
            </w:r>
            <w:proofErr w:type="spellStart"/>
            <w:r w:rsidRPr="003E726F">
              <w:rPr>
                <w:sz w:val="22"/>
                <w:szCs w:val="22"/>
              </w:rPr>
              <w:t>hypokaliæmi</w:t>
            </w:r>
            <w:proofErr w:type="spellEnd"/>
          </w:p>
        </w:tc>
      </w:tr>
      <w:tr w:rsidR="00A97BA3" w:rsidRPr="00E6129F" w14:paraId="4AC1008B"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15688BC0" w14:textId="77777777" w:rsidR="00F6187D" w:rsidRPr="003E726F" w:rsidRDefault="00F6187D" w:rsidP="003E726F">
            <w:pPr>
              <w:ind w:right="153"/>
              <w:rPr>
                <w:sz w:val="22"/>
                <w:szCs w:val="22"/>
              </w:rPr>
            </w:pPr>
            <w:r w:rsidRPr="003E726F">
              <w:rPr>
                <w:sz w:val="22"/>
                <w:szCs w:val="22"/>
              </w:rPr>
              <w:t>Psykiske forstyrrelser</w:t>
            </w:r>
          </w:p>
        </w:tc>
        <w:tc>
          <w:tcPr>
            <w:tcW w:w="726" w:type="pct"/>
            <w:tcBorders>
              <w:top w:val="single" w:sz="4" w:space="0" w:color="auto"/>
              <w:left w:val="single" w:sz="4" w:space="0" w:color="auto"/>
              <w:bottom w:val="single" w:sz="4" w:space="0" w:color="auto"/>
              <w:right w:val="single" w:sz="4" w:space="0" w:color="auto"/>
            </w:tcBorders>
          </w:tcPr>
          <w:p w14:paraId="66C5F78D"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14:paraId="53B6BBE8" w14:textId="77777777" w:rsidR="00F6187D" w:rsidRPr="003E726F" w:rsidRDefault="00F6187D" w:rsidP="003E726F">
            <w:pPr>
              <w:ind w:right="153"/>
              <w:rPr>
                <w:sz w:val="22"/>
                <w:szCs w:val="22"/>
              </w:rPr>
            </w:pPr>
            <w:r w:rsidRPr="003E726F">
              <w:rPr>
                <w:sz w:val="22"/>
                <w:szCs w:val="22"/>
              </w:rPr>
              <w:t>Søvnforstyrrelser</w:t>
            </w:r>
          </w:p>
        </w:tc>
        <w:tc>
          <w:tcPr>
            <w:tcW w:w="901" w:type="pct"/>
            <w:tcBorders>
              <w:top w:val="single" w:sz="4" w:space="0" w:color="auto"/>
              <w:left w:val="single" w:sz="4" w:space="0" w:color="auto"/>
              <w:bottom w:val="single" w:sz="4" w:space="0" w:color="auto"/>
              <w:right w:val="single" w:sz="4" w:space="0" w:color="auto"/>
            </w:tcBorders>
            <w:hideMark/>
          </w:tcPr>
          <w:p w14:paraId="24538B66" w14:textId="2233F74D" w:rsidR="00F6187D" w:rsidRPr="003E726F" w:rsidRDefault="00F6187D" w:rsidP="003E726F">
            <w:pPr>
              <w:ind w:right="153"/>
              <w:rPr>
                <w:sz w:val="22"/>
                <w:szCs w:val="22"/>
              </w:rPr>
            </w:pPr>
            <w:r w:rsidRPr="003E726F">
              <w:rPr>
                <w:sz w:val="22"/>
                <w:szCs w:val="22"/>
              </w:rPr>
              <w:t>Depression (</w:t>
            </w:r>
            <w:r w:rsidRPr="003E726F">
              <w:rPr>
                <w:noProof/>
                <w:sz w:val="22"/>
                <w:szCs w:val="22"/>
              </w:rPr>
              <w:t xml:space="preserve">og forværring af allerede </w:t>
            </w:r>
            <w:r w:rsidRPr="003E726F">
              <w:rPr>
                <w:noProof/>
                <w:sz w:val="22"/>
                <w:szCs w:val="22"/>
              </w:rPr>
              <w:lastRenderedPageBreak/>
              <w:t>eksisterende symptomer</w:t>
            </w:r>
            <w:r w:rsidRPr="003E726F">
              <w:rPr>
                <w:sz w:val="22"/>
                <w:szCs w:val="22"/>
              </w:rPr>
              <w:t>)</w:t>
            </w:r>
          </w:p>
        </w:tc>
        <w:tc>
          <w:tcPr>
            <w:tcW w:w="464" w:type="pct"/>
            <w:tcBorders>
              <w:top w:val="single" w:sz="4" w:space="0" w:color="auto"/>
              <w:left w:val="single" w:sz="4" w:space="0" w:color="auto"/>
              <w:bottom w:val="single" w:sz="4" w:space="0" w:color="auto"/>
              <w:right w:val="single" w:sz="4" w:space="0" w:color="auto"/>
            </w:tcBorders>
            <w:hideMark/>
          </w:tcPr>
          <w:p w14:paraId="341792E9" w14:textId="3A57B213" w:rsidR="00F6187D" w:rsidRPr="003E726F" w:rsidRDefault="00F6187D" w:rsidP="003E726F">
            <w:pPr>
              <w:ind w:right="153"/>
              <w:rPr>
                <w:sz w:val="22"/>
                <w:szCs w:val="22"/>
              </w:rPr>
            </w:pPr>
            <w:r w:rsidRPr="003E726F">
              <w:rPr>
                <w:sz w:val="22"/>
                <w:szCs w:val="22"/>
              </w:rPr>
              <w:lastRenderedPageBreak/>
              <w:t>Desorientering (</w:t>
            </w:r>
            <w:r w:rsidRPr="003E726F">
              <w:rPr>
                <w:noProof/>
                <w:sz w:val="22"/>
                <w:szCs w:val="22"/>
              </w:rPr>
              <w:t>og forvær</w:t>
            </w:r>
            <w:r w:rsidR="00A97BA3">
              <w:rPr>
                <w:noProof/>
                <w:sz w:val="22"/>
                <w:szCs w:val="22"/>
              </w:rPr>
              <w:softHyphen/>
            </w:r>
            <w:r w:rsidR="00A97BA3">
              <w:rPr>
                <w:noProof/>
                <w:sz w:val="22"/>
                <w:szCs w:val="22"/>
              </w:rPr>
              <w:lastRenderedPageBreak/>
              <w:t>ring</w:t>
            </w:r>
            <w:r w:rsidRPr="003E726F">
              <w:rPr>
                <w:noProof/>
                <w:sz w:val="22"/>
                <w:szCs w:val="22"/>
              </w:rPr>
              <w:t xml:space="preserve"> af allerede eksiste</w:t>
            </w:r>
            <w:r w:rsidR="00A97BA3">
              <w:rPr>
                <w:noProof/>
                <w:sz w:val="22"/>
                <w:szCs w:val="22"/>
              </w:rPr>
              <w:softHyphen/>
            </w:r>
            <w:r w:rsidRPr="003E726F">
              <w:rPr>
                <w:noProof/>
                <w:sz w:val="22"/>
                <w:szCs w:val="22"/>
              </w:rPr>
              <w:t>rende symp</w:t>
            </w:r>
            <w:r w:rsidR="004938CC">
              <w:rPr>
                <w:noProof/>
                <w:sz w:val="22"/>
                <w:szCs w:val="22"/>
              </w:rPr>
              <w:softHyphen/>
            </w:r>
            <w:r w:rsidRPr="003E726F">
              <w:rPr>
                <w:noProof/>
                <w:sz w:val="22"/>
                <w:szCs w:val="22"/>
              </w:rPr>
              <w:t>tomer</w:t>
            </w:r>
            <w:r w:rsidRPr="003E726F">
              <w:rPr>
                <w:sz w:val="22"/>
                <w:szCs w:val="22"/>
              </w:rPr>
              <w:t>)</w:t>
            </w:r>
          </w:p>
        </w:tc>
        <w:tc>
          <w:tcPr>
            <w:tcW w:w="996" w:type="pct"/>
            <w:tcBorders>
              <w:top w:val="single" w:sz="4" w:space="0" w:color="auto"/>
              <w:left w:val="single" w:sz="4" w:space="0" w:color="auto"/>
              <w:bottom w:val="single" w:sz="4" w:space="0" w:color="auto"/>
              <w:right w:val="single" w:sz="4" w:space="0" w:color="auto"/>
            </w:tcBorders>
            <w:hideMark/>
          </w:tcPr>
          <w:p w14:paraId="076BB9BB" w14:textId="77777777" w:rsidR="00F6187D" w:rsidRPr="003E726F" w:rsidRDefault="00F6187D" w:rsidP="003E726F">
            <w:pPr>
              <w:ind w:right="153"/>
              <w:rPr>
                <w:sz w:val="22"/>
                <w:szCs w:val="22"/>
              </w:rPr>
            </w:pPr>
            <w:r w:rsidRPr="003E726F">
              <w:rPr>
                <w:sz w:val="22"/>
                <w:szCs w:val="22"/>
              </w:rPr>
              <w:lastRenderedPageBreak/>
              <w:t xml:space="preserve">Hallucination, forvirring (især hos disponible patienter, samt </w:t>
            </w:r>
            <w:r w:rsidRPr="003E726F">
              <w:rPr>
                <w:sz w:val="22"/>
                <w:szCs w:val="22"/>
              </w:rPr>
              <w:lastRenderedPageBreak/>
              <w:t>forværring af disse symptomer, hvis de allerede forekommer)</w:t>
            </w:r>
          </w:p>
        </w:tc>
      </w:tr>
      <w:tr w:rsidR="00A97BA3" w:rsidRPr="00E6129F" w14:paraId="7FA79A68"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693EA484" w14:textId="77777777" w:rsidR="00F6187D" w:rsidRPr="003E726F" w:rsidRDefault="00F6187D" w:rsidP="003E726F">
            <w:pPr>
              <w:ind w:right="153"/>
              <w:rPr>
                <w:sz w:val="22"/>
                <w:szCs w:val="22"/>
              </w:rPr>
            </w:pPr>
            <w:r w:rsidRPr="003E726F">
              <w:rPr>
                <w:sz w:val="22"/>
                <w:szCs w:val="22"/>
              </w:rPr>
              <w:lastRenderedPageBreak/>
              <w:t>Nervesystemet</w:t>
            </w:r>
          </w:p>
        </w:tc>
        <w:tc>
          <w:tcPr>
            <w:tcW w:w="726" w:type="pct"/>
            <w:tcBorders>
              <w:top w:val="single" w:sz="4" w:space="0" w:color="auto"/>
              <w:left w:val="single" w:sz="4" w:space="0" w:color="auto"/>
              <w:bottom w:val="single" w:sz="4" w:space="0" w:color="auto"/>
              <w:right w:val="single" w:sz="4" w:space="0" w:color="auto"/>
            </w:tcBorders>
          </w:tcPr>
          <w:p w14:paraId="233A5BDC"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14:paraId="10E2BCB9" w14:textId="77777777" w:rsidR="00F6187D" w:rsidRPr="003E726F" w:rsidRDefault="00F6187D" w:rsidP="003E726F">
            <w:pPr>
              <w:ind w:right="153"/>
              <w:rPr>
                <w:sz w:val="22"/>
                <w:szCs w:val="22"/>
              </w:rPr>
            </w:pPr>
            <w:r w:rsidRPr="003E726F">
              <w:rPr>
                <w:sz w:val="22"/>
                <w:szCs w:val="22"/>
              </w:rPr>
              <w:t>Hovedpine, svimmelhed</w:t>
            </w:r>
          </w:p>
        </w:tc>
        <w:tc>
          <w:tcPr>
            <w:tcW w:w="901" w:type="pct"/>
            <w:tcBorders>
              <w:top w:val="single" w:sz="4" w:space="0" w:color="auto"/>
              <w:left w:val="single" w:sz="4" w:space="0" w:color="auto"/>
              <w:bottom w:val="single" w:sz="4" w:space="0" w:color="auto"/>
              <w:right w:val="single" w:sz="4" w:space="0" w:color="auto"/>
            </w:tcBorders>
            <w:hideMark/>
          </w:tcPr>
          <w:p w14:paraId="656EC8B7" w14:textId="77777777" w:rsidR="00F6187D" w:rsidRPr="003E726F" w:rsidRDefault="00F6187D" w:rsidP="003E726F">
            <w:pPr>
              <w:ind w:right="153"/>
              <w:rPr>
                <w:sz w:val="22"/>
                <w:szCs w:val="22"/>
              </w:rPr>
            </w:pPr>
            <w:r w:rsidRPr="003E726F">
              <w:rPr>
                <w:sz w:val="22"/>
                <w:szCs w:val="22"/>
              </w:rPr>
              <w:t>Smagsforstyrrelser</w:t>
            </w:r>
          </w:p>
        </w:tc>
        <w:tc>
          <w:tcPr>
            <w:tcW w:w="464" w:type="pct"/>
            <w:tcBorders>
              <w:top w:val="single" w:sz="4" w:space="0" w:color="auto"/>
              <w:left w:val="single" w:sz="4" w:space="0" w:color="auto"/>
              <w:bottom w:val="single" w:sz="4" w:space="0" w:color="auto"/>
              <w:right w:val="single" w:sz="4" w:space="0" w:color="auto"/>
            </w:tcBorders>
          </w:tcPr>
          <w:p w14:paraId="66170791"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hideMark/>
          </w:tcPr>
          <w:p w14:paraId="1C8A45E1" w14:textId="77777777" w:rsidR="00F6187D" w:rsidRPr="003E726F" w:rsidRDefault="00F6187D" w:rsidP="003E726F">
            <w:pPr>
              <w:ind w:right="153"/>
              <w:rPr>
                <w:sz w:val="22"/>
                <w:szCs w:val="22"/>
              </w:rPr>
            </w:pPr>
            <w:proofErr w:type="spellStart"/>
            <w:r w:rsidRPr="003E726F">
              <w:rPr>
                <w:sz w:val="22"/>
                <w:szCs w:val="22"/>
              </w:rPr>
              <w:t>Paræstesi</w:t>
            </w:r>
            <w:proofErr w:type="spellEnd"/>
          </w:p>
        </w:tc>
      </w:tr>
      <w:tr w:rsidR="00A97BA3" w:rsidRPr="00E6129F" w14:paraId="5E95D1E8"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5BDB8788" w14:textId="77777777" w:rsidR="00F6187D" w:rsidRPr="003E726F" w:rsidRDefault="00F6187D" w:rsidP="003E726F">
            <w:pPr>
              <w:ind w:right="153"/>
              <w:rPr>
                <w:sz w:val="22"/>
                <w:szCs w:val="22"/>
              </w:rPr>
            </w:pPr>
            <w:r w:rsidRPr="003E726F">
              <w:rPr>
                <w:sz w:val="22"/>
                <w:szCs w:val="22"/>
              </w:rPr>
              <w:t>Øjne</w:t>
            </w:r>
          </w:p>
        </w:tc>
        <w:tc>
          <w:tcPr>
            <w:tcW w:w="726" w:type="pct"/>
            <w:tcBorders>
              <w:top w:val="single" w:sz="4" w:space="0" w:color="auto"/>
              <w:left w:val="single" w:sz="4" w:space="0" w:color="auto"/>
              <w:bottom w:val="single" w:sz="4" w:space="0" w:color="auto"/>
              <w:right w:val="single" w:sz="4" w:space="0" w:color="auto"/>
            </w:tcBorders>
          </w:tcPr>
          <w:p w14:paraId="0FEB6113"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53F7C242" w14:textId="77777777" w:rsidR="00F6187D" w:rsidRPr="003E726F" w:rsidRDefault="00F6187D" w:rsidP="003E726F">
            <w:pPr>
              <w:ind w:right="153"/>
              <w:rPr>
                <w:sz w:val="22"/>
                <w:szCs w:val="22"/>
              </w:rPr>
            </w:pPr>
          </w:p>
        </w:tc>
        <w:tc>
          <w:tcPr>
            <w:tcW w:w="901" w:type="pct"/>
            <w:tcBorders>
              <w:top w:val="single" w:sz="4" w:space="0" w:color="auto"/>
              <w:left w:val="single" w:sz="4" w:space="0" w:color="auto"/>
              <w:bottom w:val="single" w:sz="4" w:space="0" w:color="auto"/>
              <w:right w:val="single" w:sz="4" w:space="0" w:color="auto"/>
            </w:tcBorders>
            <w:hideMark/>
          </w:tcPr>
          <w:p w14:paraId="62E44C32" w14:textId="77777777" w:rsidR="00F6187D" w:rsidRPr="003E726F" w:rsidRDefault="00F6187D" w:rsidP="003E726F">
            <w:pPr>
              <w:ind w:right="153"/>
              <w:rPr>
                <w:sz w:val="22"/>
                <w:szCs w:val="22"/>
              </w:rPr>
            </w:pPr>
            <w:r w:rsidRPr="003E726F">
              <w:rPr>
                <w:sz w:val="22"/>
                <w:szCs w:val="22"/>
              </w:rPr>
              <w:t>Synsforstyrrelser/sløret syn</w:t>
            </w:r>
          </w:p>
        </w:tc>
        <w:tc>
          <w:tcPr>
            <w:tcW w:w="464" w:type="pct"/>
            <w:tcBorders>
              <w:top w:val="single" w:sz="4" w:space="0" w:color="auto"/>
              <w:left w:val="single" w:sz="4" w:space="0" w:color="auto"/>
              <w:bottom w:val="single" w:sz="4" w:space="0" w:color="auto"/>
              <w:right w:val="single" w:sz="4" w:space="0" w:color="auto"/>
            </w:tcBorders>
          </w:tcPr>
          <w:p w14:paraId="6B4BFB6B"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5CF92F3B" w14:textId="77777777" w:rsidR="00F6187D" w:rsidRPr="003E726F" w:rsidRDefault="00F6187D" w:rsidP="003E726F">
            <w:pPr>
              <w:ind w:right="153"/>
              <w:rPr>
                <w:sz w:val="22"/>
                <w:szCs w:val="22"/>
              </w:rPr>
            </w:pPr>
          </w:p>
        </w:tc>
      </w:tr>
      <w:tr w:rsidR="00A97BA3" w:rsidRPr="00E6129F" w14:paraId="09EFD128"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34A2AB91" w14:textId="77777777" w:rsidR="00F6187D" w:rsidRPr="003E726F" w:rsidRDefault="00F6187D" w:rsidP="003E726F">
            <w:pPr>
              <w:ind w:right="153"/>
              <w:rPr>
                <w:sz w:val="22"/>
                <w:szCs w:val="22"/>
              </w:rPr>
            </w:pPr>
            <w:r w:rsidRPr="003E726F">
              <w:rPr>
                <w:sz w:val="22"/>
                <w:szCs w:val="22"/>
              </w:rPr>
              <w:t>Mave-tarm-kanalen</w:t>
            </w:r>
          </w:p>
        </w:tc>
        <w:tc>
          <w:tcPr>
            <w:tcW w:w="726" w:type="pct"/>
            <w:tcBorders>
              <w:top w:val="single" w:sz="4" w:space="0" w:color="auto"/>
              <w:left w:val="single" w:sz="4" w:space="0" w:color="auto"/>
              <w:bottom w:val="single" w:sz="4" w:space="0" w:color="auto"/>
              <w:right w:val="single" w:sz="4" w:space="0" w:color="auto"/>
            </w:tcBorders>
            <w:hideMark/>
          </w:tcPr>
          <w:p w14:paraId="5F9C9DEF" w14:textId="5157564C" w:rsidR="00F6187D" w:rsidRPr="003E726F" w:rsidRDefault="00F6187D" w:rsidP="003E726F">
            <w:pPr>
              <w:ind w:right="153"/>
              <w:rPr>
                <w:sz w:val="22"/>
                <w:szCs w:val="22"/>
              </w:rPr>
            </w:pPr>
            <w:r w:rsidRPr="003E726F">
              <w:rPr>
                <w:sz w:val="22"/>
                <w:szCs w:val="22"/>
              </w:rPr>
              <w:t xml:space="preserve">Polypper på </w:t>
            </w:r>
            <w:proofErr w:type="spellStart"/>
            <w:r w:rsidRPr="003E726F">
              <w:rPr>
                <w:sz w:val="22"/>
                <w:szCs w:val="22"/>
              </w:rPr>
              <w:t>fundus</w:t>
            </w:r>
            <w:r w:rsidR="004938CC">
              <w:rPr>
                <w:sz w:val="22"/>
                <w:szCs w:val="22"/>
              </w:rPr>
              <w:softHyphen/>
            </w:r>
            <w:r w:rsidRPr="003E726F">
              <w:rPr>
                <w:sz w:val="22"/>
                <w:szCs w:val="22"/>
              </w:rPr>
              <w:t>kirtlen</w:t>
            </w:r>
            <w:proofErr w:type="spellEnd"/>
            <w:r w:rsidRPr="003E726F">
              <w:rPr>
                <w:sz w:val="22"/>
                <w:szCs w:val="22"/>
              </w:rPr>
              <w:t xml:space="preserve"> (godartede)</w:t>
            </w:r>
          </w:p>
        </w:tc>
        <w:tc>
          <w:tcPr>
            <w:tcW w:w="965" w:type="pct"/>
            <w:tcBorders>
              <w:top w:val="single" w:sz="4" w:space="0" w:color="auto"/>
              <w:left w:val="single" w:sz="4" w:space="0" w:color="auto"/>
              <w:bottom w:val="single" w:sz="4" w:space="0" w:color="auto"/>
              <w:right w:val="single" w:sz="4" w:space="0" w:color="auto"/>
            </w:tcBorders>
            <w:hideMark/>
          </w:tcPr>
          <w:p w14:paraId="1663C5E0" w14:textId="77777777" w:rsidR="00F6187D" w:rsidRPr="003E726F" w:rsidRDefault="00F6187D" w:rsidP="003E726F">
            <w:pPr>
              <w:ind w:right="153"/>
              <w:rPr>
                <w:sz w:val="22"/>
                <w:szCs w:val="22"/>
              </w:rPr>
            </w:pPr>
            <w:r w:rsidRPr="003E726F">
              <w:rPr>
                <w:sz w:val="22"/>
                <w:szCs w:val="22"/>
              </w:rPr>
              <w:t xml:space="preserve">Diarré, kvalme/opkastning, udspilet mave og oppustethed, forstoppelse, mundtørhed, </w:t>
            </w:r>
            <w:proofErr w:type="spellStart"/>
            <w:r w:rsidRPr="003E726F">
              <w:rPr>
                <w:sz w:val="22"/>
                <w:szCs w:val="22"/>
              </w:rPr>
              <w:t>abdominalsmerter</w:t>
            </w:r>
            <w:proofErr w:type="spellEnd"/>
            <w:r w:rsidRPr="003E726F">
              <w:rPr>
                <w:sz w:val="22"/>
                <w:szCs w:val="22"/>
              </w:rPr>
              <w:t xml:space="preserve"> og mavebesvær</w:t>
            </w:r>
          </w:p>
        </w:tc>
        <w:tc>
          <w:tcPr>
            <w:tcW w:w="901" w:type="pct"/>
            <w:tcBorders>
              <w:top w:val="single" w:sz="4" w:space="0" w:color="auto"/>
              <w:left w:val="single" w:sz="4" w:space="0" w:color="auto"/>
              <w:bottom w:val="single" w:sz="4" w:space="0" w:color="auto"/>
              <w:right w:val="single" w:sz="4" w:space="0" w:color="auto"/>
            </w:tcBorders>
          </w:tcPr>
          <w:p w14:paraId="0CAAD302" w14:textId="77777777" w:rsidR="00F6187D" w:rsidRPr="003E726F" w:rsidRDefault="00F6187D" w:rsidP="003E726F">
            <w:pPr>
              <w:ind w:right="153"/>
              <w:rPr>
                <w:sz w:val="22"/>
                <w:szCs w:val="22"/>
              </w:rPr>
            </w:pPr>
          </w:p>
        </w:tc>
        <w:tc>
          <w:tcPr>
            <w:tcW w:w="464" w:type="pct"/>
            <w:tcBorders>
              <w:top w:val="single" w:sz="4" w:space="0" w:color="auto"/>
              <w:left w:val="single" w:sz="4" w:space="0" w:color="auto"/>
              <w:bottom w:val="single" w:sz="4" w:space="0" w:color="auto"/>
              <w:right w:val="single" w:sz="4" w:space="0" w:color="auto"/>
            </w:tcBorders>
          </w:tcPr>
          <w:p w14:paraId="106DA2C9"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hideMark/>
          </w:tcPr>
          <w:p w14:paraId="590AAF31" w14:textId="77777777" w:rsidR="00F6187D" w:rsidRPr="003E726F" w:rsidRDefault="00F6187D" w:rsidP="003E726F">
            <w:pPr>
              <w:ind w:right="153"/>
              <w:rPr>
                <w:sz w:val="22"/>
                <w:szCs w:val="22"/>
              </w:rPr>
            </w:pPr>
            <w:r w:rsidRPr="003E726F">
              <w:rPr>
                <w:sz w:val="22"/>
                <w:szCs w:val="22"/>
              </w:rPr>
              <w:t>Mikroskopisk colitis</w:t>
            </w:r>
          </w:p>
        </w:tc>
      </w:tr>
      <w:tr w:rsidR="00A97BA3" w:rsidRPr="00E6129F" w14:paraId="1D99024B"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5037A3A7" w14:textId="77777777" w:rsidR="00F6187D" w:rsidRPr="003E726F" w:rsidRDefault="00F6187D" w:rsidP="003E726F">
            <w:pPr>
              <w:ind w:right="153"/>
              <w:rPr>
                <w:sz w:val="22"/>
                <w:szCs w:val="22"/>
              </w:rPr>
            </w:pPr>
            <w:r w:rsidRPr="003E726F">
              <w:rPr>
                <w:sz w:val="22"/>
                <w:szCs w:val="22"/>
              </w:rPr>
              <w:t>Lever og galdeveje</w:t>
            </w:r>
          </w:p>
        </w:tc>
        <w:tc>
          <w:tcPr>
            <w:tcW w:w="726" w:type="pct"/>
            <w:tcBorders>
              <w:top w:val="single" w:sz="4" w:space="0" w:color="auto"/>
              <w:left w:val="single" w:sz="4" w:space="0" w:color="auto"/>
              <w:bottom w:val="single" w:sz="4" w:space="0" w:color="auto"/>
              <w:right w:val="single" w:sz="4" w:space="0" w:color="auto"/>
            </w:tcBorders>
          </w:tcPr>
          <w:p w14:paraId="018E1962"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14:paraId="437084AA" w14:textId="77777777" w:rsidR="00F6187D" w:rsidRPr="003E726F" w:rsidRDefault="00F6187D" w:rsidP="003E726F">
            <w:pPr>
              <w:ind w:right="153"/>
              <w:rPr>
                <w:sz w:val="22"/>
                <w:szCs w:val="22"/>
              </w:rPr>
            </w:pPr>
            <w:r w:rsidRPr="003E726F">
              <w:rPr>
                <w:color w:val="000000"/>
                <w:sz w:val="22"/>
                <w:szCs w:val="22"/>
              </w:rPr>
              <w:t>Forhøjede leverenzymer (</w:t>
            </w:r>
            <w:proofErr w:type="spellStart"/>
            <w:r w:rsidRPr="003E726F">
              <w:rPr>
                <w:color w:val="000000"/>
                <w:sz w:val="22"/>
                <w:szCs w:val="22"/>
              </w:rPr>
              <w:t>transaminaser</w:t>
            </w:r>
            <w:proofErr w:type="spellEnd"/>
            <w:r w:rsidRPr="003E726F">
              <w:rPr>
                <w:color w:val="000000"/>
                <w:sz w:val="22"/>
                <w:szCs w:val="22"/>
              </w:rPr>
              <w:t>, γ-GT)</w:t>
            </w:r>
          </w:p>
        </w:tc>
        <w:tc>
          <w:tcPr>
            <w:tcW w:w="901" w:type="pct"/>
            <w:tcBorders>
              <w:top w:val="single" w:sz="4" w:space="0" w:color="auto"/>
              <w:left w:val="single" w:sz="4" w:space="0" w:color="auto"/>
              <w:bottom w:val="single" w:sz="4" w:space="0" w:color="auto"/>
              <w:right w:val="single" w:sz="4" w:space="0" w:color="auto"/>
            </w:tcBorders>
            <w:hideMark/>
          </w:tcPr>
          <w:p w14:paraId="4E9E5336" w14:textId="77777777" w:rsidR="00F6187D" w:rsidRPr="003E726F" w:rsidRDefault="00F6187D" w:rsidP="003E726F">
            <w:pPr>
              <w:ind w:right="153"/>
              <w:rPr>
                <w:sz w:val="22"/>
                <w:szCs w:val="22"/>
              </w:rPr>
            </w:pPr>
            <w:r w:rsidRPr="003E726F">
              <w:rPr>
                <w:sz w:val="22"/>
                <w:szCs w:val="22"/>
              </w:rPr>
              <w:t>Forhøjet bilirubin</w:t>
            </w:r>
          </w:p>
        </w:tc>
        <w:tc>
          <w:tcPr>
            <w:tcW w:w="464" w:type="pct"/>
            <w:tcBorders>
              <w:top w:val="single" w:sz="4" w:space="0" w:color="auto"/>
              <w:left w:val="single" w:sz="4" w:space="0" w:color="auto"/>
              <w:bottom w:val="single" w:sz="4" w:space="0" w:color="auto"/>
              <w:right w:val="single" w:sz="4" w:space="0" w:color="auto"/>
            </w:tcBorders>
          </w:tcPr>
          <w:p w14:paraId="2AEB21AD"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hideMark/>
          </w:tcPr>
          <w:p w14:paraId="1977A245" w14:textId="77777777" w:rsidR="00F6187D" w:rsidRPr="003E726F" w:rsidRDefault="00F6187D" w:rsidP="003E726F">
            <w:pPr>
              <w:ind w:right="153"/>
              <w:rPr>
                <w:sz w:val="22"/>
                <w:szCs w:val="22"/>
              </w:rPr>
            </w:pPr>
            <w:proofErr w:type="spellStart"/>
            <w:r w:rsidRPr="003E726F">
              <w:rPr>
                <w:sz w:val="22"/>
                <w:szCs w:val="22"/>
              </w:rPr>
              <w:t>Hepatocellulær</w:t>
            </w:r>
            <w:proofErr w:type="spellEnd"/>
            <w:r w:rsidRPr="003E726F">
              <w:rPr>
                <w:sz w:val="22"/>
                <w:szCs w:val="22"/>
              </w:rPr>
              <w:t xml:space="preserve"> skade, gulsot, </w:t>
            </w:r>
            <w:proofErr w:type="spellStart"/>
            <w:r w:rsidRPr="003E726F">
              <w:rPr>
                <w:sz w:val="22"/>
                <w:szCs w:val="22"/>
              </w:rPr>
              <w:t>hepatocellulært</w:t>
            </w:r>
            <w:proofErr w:type="spellEnd"/>
            <w:r w:rsidRPr="003E726F">
              <w:rPr>
                <w:sz w:val="22"/>
                <w:szCs w:val="22"/>
              </w:rPr>
              <w:t xml:space="preserve"> svigt</w:t>
            </w:r>
          </w:p>
        </w:tc>
      </w:tr>
      <w:tr w:rsidR="00A97BA3" w:rsidRPr="00E6129F" w14:paraId="65D3DC39"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11F9A6D4" w14:textId="77777777" w:rsidR="00F6187D" w:rsidRPr="003E726F" w:rsidRDefault="00F6187D" w:rsidP="003E726F">
            <w:pPr>
              <w:ind w:right="153"/>
              <w:rPr>
                <w:sz w:val="22"/>
                <w:szCs w:val="22"/>
              </w:rPr>
            </w:pPr>
            <w:r w:rsidRPr="003E726F">
              <w:rPr>
                <w:sz w:val="22"/>
                <w:szCs w:val="22"/>
              </w:rPr>
              <w:t>Hud og subkutane væv</w:t>
            </w:r>
          </w:p>
        </w:tc>
        <w:tc>
          <w:tcPr>
            <w:tcW w:w="726" w:type="pct"/>
            <w:tcBorders>
              <w:top w:val="single" w:sz="4" w:space="0" w:color="auto"/>
              <w:left w:val="single" w:sz="4" w:space="0" w:color="auto"/>
              <w:bottom w:val="single" w:sz="4" w:space="0" w:color="auto"/>
              <w:right w:val="single" w:sz="4" w:space="0" w:color="auto"/>
            </w:tcBorders>
          </w:tcPr>
          <w:p w14:paraId="3181D39B"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14:paraId="5C9FAAD0" w14:textId="77777777" w:rsidR="00F6187D" w:rsidRPr="003E726F" w:rsidRDefault="00F6187D" w:rsidP="003E726F">
            <w:pPr>
              <w:ind w:right="153"/>
              <w:rPr>
                <w:sz w:val="22"/>
                <w:szCs w:val="22"/>
              </w:rPr>
            </w:pPr>
            <w:r w:rsidRPr="003E726F">
              <w:rPr>
                <w:sz w:val="22"/>
                <w:szCs w:val="22"/>
              </w:rPr>
              <w:t>Udslæt/</w:t>
            </w:r>
            <w:proofErr w:type="spellStart"/>
            <w:r w:rsidRPr="003E726F">
              <w:rPr>
                <w:sz w:val="22"/>
                <w:szCs w:val="22"/>
              </w:rPr>
              <w:t>eksantem</w:t>
            </w:r>
            <w:proofErr w:type="spellEnd"/>
            <w:r w:rsidRPr="003E726F">
              <w:rPr>
                <w:sz w:val="22"/>
                <w:szCs w:val="22"/>
              </w:rPr>
              <w:t xml:space="preserve">/eruption, </w:t>
            </w:r>
            <w:proofErr w:type="spellStart"/>
            <w:r w:rsidRPr="003E726F">
              <w:rPr>
                <w:sz w:val="22"/>
                <w:szCs w:val="22"/>
              </w:rPr>
              <w:t>pruritus</w:t>
            </w:r>
            <w:proofErr w:type="spellEnd"/>
          </w:p>
        </w:tc>
        <w:tc>
          <w:tcPr>
            <w:tcW w:w="901" w:type="pct"/>
            <w:tcBorders>
              <w:top w:val="single" w:sz="4" w:space="0" w:color="auto"/>
              <w:left w:val="single" w:sz="4" w:space="0" w:color="auto"/>
              <w:bottom w:val="single" w:sz="4" w:space="0" w:color="auto"/>
              <w:right w:val="single" w:sz="4" w:space="0" w:color="auto"/>
            </w:tcBorders>
            <w:hideMark/>
          </w:tcPr>
          <w:p w14:paraId="7468CEAB" w14:textId="77777777" w:rsidR="00F6187D" w:rsidRPr="003E726F" w:rsidRDefault="00F6187D" w:rsidP="003E726F">
            <w:pPr>
              <w:ind w:right="153"/>
              <w:rPr>
                <w:sz w:val="22"/>
                <w:szCs w:val="22"/>
              </w:rPr>
            </w:pPr>
            <w:proofErr w:type="spellStart"/>
            <w:r w:rsidRPr="003E726F">
              <w:rPr>
                <w:sz w:val="22"/>
                <w:szCs w:val="22"/>
              </w:rPr>
              <w:t>Urticaria</w:t>
            </w:r>
            <w:proofErr w:type="spellEnd"/>
            <w:r w:rsidRPr="003E726F">
              <w:rPr>
                <w:sz w:val="22"/>
                <w:szCs w:val="22"/>
              </w:rPr>
              <w:t xml:space="preserve">, </w:t>
            </w:r>
            <w:proofErr w:type="spellStart"/>
            <w:r w:rsidRPr="003E726F">
              <w:rPr>
                <w:sz w:val="22"/>
                <w:szCs w:val="22"/>
              </w:rPr>
              <w:t>angioødem</w:t>
            </w:r>
            <w:proofErr w:type="spellEnd"/>
          </w:p>
        </w:tc>
        <w:tc>
          <w:tcPr>
            <w:tcW w:w="464" w:type="pct"/>
            <w:tcBorders>
              <w:top w:val="single" w:sz="4" w:space="0" w:color="auto"/>
              <w:left w:val="single" w:sz="4" w:space="0" w:color="auto"/>
              <w:bottom w:val="single" w:sz="4" w:space="0" w:color="auto"/>
              <w:right w:val="single" w:sz="4" w:space="0" w:color="auto"/>
            </w:tcBorders>
          </w:tcPr>
          <w:p w14:paraId="73CD5F8B"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hideMark/>
          </w:tcPr>
          <w:p w14:paraId="28D74737" w14:textId="77777777" w:rsidR="00F6187D" w:rsidRPr="003E726F" w:rsidRDefault="00F6187D" w:rsidP="003E726F">
            <w:pPr>
              <w:ind w:right="153"/>
              <w:rPr>
                <w:sz w:val="22"/>
                <w:szCs w:val="22"/>
              </w:rPr>
            </w:pPr>
            <w:r w:rsidRPr="003E726F">
              <w:rPr>
                <w:sz w:val="22"/>
                <w:szCs w:val="22"/>
              </w:rPr>
              <w:t xml:space="preserve">Stevens-Johnsons syndrom, </w:t>
            </w:r>
            <w:proofErr w:type="spellStart"/>
            <w:r w:rsidRPr="003E726F">
              <w:rPr>
                <w:sz w:val="22"/>
                <w:szCs w:val="22"/>
              </w:rPr>
              <w:t>Lyells</w:t>
            </w:r>
            <w:proofErr w:type="spellEnd"/>
            <w:r w:rsidRPr="003E726F">
              <w:rPr>
                <w:sz w:val="22"/>
                <w:szCs w:val="22"/>
              </w:rPr>
              <w:t xml:space="preserve"> syndrom, </w:t>
            </w:r>
            <w:proofErr w:type="spellStart"/>
            <w:r w:rsidRPr="003E726F">
              <w:rPr>
                <w:sz w:val="22"/>
                <w:szCs w:val="22"/>
              </w:rPr>
              <w:t>erythema</w:t>
            </w:r>
            <w:proofErr w:type="spellEnd"/>
            <w:r w:rsidRPr="003E726F">
              <w:rPr>
                <w:sz w:val="22"/>
                <w:szCs w:val="22"/>
              </w:rPr>
              <w:t xml:space="preserve"> multiforme, lysfølsomhed, lægemiddelreaktion med </w:t>
            </w:r>
            <w:proofErr w:type="spellStart"/>
            <w:r w:rsidRPr="003E726F">
              <w:rPr>
                <w:sz w:val="22"/>
                <w:szCs w:val="22"/>
              </w:rPr>
              <w:t>eosinofili</w:t>
            </w:r>
            <w:proofErr w:type="spellEnd"/>
            <w:r w:rsidRPr="003E726F">
              <w:rPr>
                <w:sz w:val="22"/>
                <w:szCs w:val="22"/>
              </w:rPr>
              <w:t xml:space="preserve"> og systemiske symptomer (DRESS), </w:t>
            </w:r>
            <w:proofErr w:type="spellStart"/>
            <w:r w:rsidRPr="003E726F">
              <w:rPr>
                <w:sz w:val="22"/>
                <w:szCs w:val="22"/>
              </w:rPr>
              <w:t>subakut</w:t>
            </w:r>
            <w:proofErr w:type="spellEnd"/>
            <w:r w:rsidRPr="003E726F">
              <w:rPr>
                <w:sz w:val="22"/>
                <w:szCs w:val="22"/>
              </w:rPr>
              <w:t xml:space="preserve"> </w:t>
            </w:r>
            <w:proofErr w:type="spellStart"/>
            <w:r w:rsidRPr="003E726F">
              <w:rPr>
                <w:sz w:val="22"/>
                <w:szCs w:val="22"/>
              </w:rPr>
              <w:t>kutan</w:t>
            </w:r>
            <w:proofErr w:type="spellEnd"/>
            <w:r w:rsidRPr="003E726F">
              <w:rPr>
                <w:sz w:val="22"/>
                <w:szCs w:val="22"/>
              </w:rPr>
              <w:t xml:space="preserve"> lupus </w:t>
            </w:r>
            <w:proofErr w:type="spellStart"/>
            <w:r w:rsidRPr="003E726F">
              <w:rPr>
                <w:sz w:val="22"/>
                <w:szCs w:val="22"/>
              </w:rPr>
              <w:t>erythematosus</w:t>
            </w:r>
            <w:proofErr w:type="spellEnd"/>
            <w:r w:rsidRPr="003E726F">
              <w:rPr>
                <w:sz w:val="22"/>
                <w:szCs w:val="22"/>
              </w:rPr>
              <w:t xml:space="preserve"> (se pkt. 4.4)</w:t>
            </w:r>
          </w:p>
        </w:tc>
      </w:tr>
      <w:tr w:rsidR="00A97BA3" w:rsidRPr="00E6129F" w14:paraId="54ED2566"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0BB46F58" w14:textId="77777777" w:rsidR="00F6187D" w:rsidRPr="003E726F" w:rsidRDefault="00F6187D" w:rsidP="003E726F">
            <w:pPr>
              <w:ind w:right="153"/>
              <w:rPr>
                <w:sz w:val="22"/>
                <w:szCs w:val="22"/>
              </w:rPr>
            </w:pPr>
            <w:r w:rsidRPr="003E726F">
              <w:rPr>
                <w:sz w:val="22"/>
                <w:szCs w:val="22"/>
              </w:rPr>
              <w:t>Knogler, led, muskler og bindevæv</w:t>
            </w:r>
          </w:p>
        </w:tc>
        <w:tc>
          <w:tcPr>
            <w:tcW w:w="726" w:type="pct"/>
            <w:tcBorders>
              <w:top w:val="single" w:sz="4" w:space="0" w:color="auto"/>
              <w:left w:val="single" w:sz="4" w:space="0" w:color="auto"/>
              <w:bottom w:val="single" w:sz="4" w:space="0" w:color="auto"/>
              <w:right w:val="single" w:sz="4" w:space="0" w:color="auto"/>
            </w:tcBorders>
          </w:tcPr>
          <w:p w14:paraId="24204761"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14:paraId="055F27DD" w14:textId="77777777" w:rsidR="00F6187D" w:rsidRPr="003E726F" w:rsidRDefault="00F6187D" w:rsidP="003E726F">
            <w:pPr>
              <w:ind w:right="153"/>
              <w:rPr>
                <w:sz w:val="22"/>
                <w:szCs w:val="22"/>
              </w:rPr>
            </w:pPr>
            <w:r w:rsidRPr="003E726F">
              <w:rPr>
                <w:sz w:val="22"/>
                <w:szCs w:val="22"/>
              </w:rPr>
              <w:t>Fraktur af hofte, håndled eller rygrad (se pkt. 4.4).</w:t>
            </w:r>
          </w:p>
        </w:tc>
        <w:tc>
          <w:tcPr>
            <w:tcW w:w="901" w:type="pct"/>
            <w:tcBorders>
              <w:top w:val="single" w:sz="4" w:space="0" w:color="auto"/>
              <w:left w:val="single" w:sz="4" w:space="0" w:color="auto"/>
              <w:bottom w:val="single" w:sz="4" w:space="0" w:color="auto"/>
              <w:right w:val="single" w:sz="4" w:space="0" w:color="auto"/>
            </w:tcBorders>
            <w:hideMark/>
          </w:tcPr>
          <w:p w14:paraId="2E88F1AC" w14:textId="77777777" w:rsidR="00F6187D" w:rsidRPr="003E726F" w:rsidRDefault="00F6187D" w:rsidP="003E726F">
            <w:pPr>
              <w:ind w:right="153"/>
              <w:rPr>
                <w:sz w:val="22"/>
                <w:szCs w:val="22"/>
              </w:rPr>
            </w:pPr>
            <w:proofErr w:type="spellStart"/>
            <w:r w:rsidRPr="003E726F">
              <w:rPr>
                <w:sz w:val="22"/>
                <w:szCs w:val="22"/>
              </w:rPr>
              <w:t>Artralgia</w:t>
            </w:r>
            <w:proofErr w:type="spellEnd"/>
            <w:r w:rsidRPr="003E726F">
              <w:rPr>
                <w:sz w:val="22"/>
                <w:szCs w:val="22"/>
              </w:rPr>
              <w:t>, myalgi</w:t>
            </w:r>
          </w:p>
        </w:tc>
        <w:tc>
          <w:tcPr>
            <w:tcW w:w="464" w:type="pct"/>
            <w:tcBorders>
              <w:top w:val="single" w:sz="4" w:space="0" w:color="auto"/>
              <w:left w:val="single" w:sz="4" w:space="0" w:color="auto"/>
              <w:bottom w:val="single" w:sz="4" w:space="0" w:color="auto"/>
              <w:right w:val="single" w:sz="4" w:space="0" w:color="auto"/>
            </w:tcBorders>
          </w:tcPr>
          <w:p w14:paraId="56AC29A7"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hideMark/>
          </w:tcPr>
          <w:p w14:paraId="25C6C12A" w14:textId="77777777" w:rsidR="00F6187D" w:rsidRPr="003E726F" w:rsidRDefault="00F6187D" w:rsidP="003E726F">
            <w:pPr>
              <w:ind w:right="153"/>
              <w:rPr>
                <w:sz w:val="22"/>
                <w:szCs w:val="22"/>
              </w:rPr>
            </w:pPr>
            <w:r w:rsidRPr="003E726F">
              <w:rPr>
                <w:sz w:val="22"/>
                <w:szCs w:val="22"/>
              </w:rPr>
              <w:t>Muskelspasmer</w:t>
            </w:r>
            <w:r w:rsidRPr="003E726F">
              <w:rPr>
                <w:sz w:val="22"/>
                <w:szCs w:val="22"/>
                <w:vertAlign w:val="superscript"/>
              </w:rPr>
              <w:t>2</w:t>
            </w:r>
          </w:p>
        </w:tc>
      </w:tr>
      <w:tr w:rsidR="00A97BA3" w:rsidRPr="00E6129F" w14:paraId="63172369"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28C09C4A" w14:textId="77777777" w:rsidR="00F6187D" w:rsidRPr="003E726F" w:rsidRDefault="00F6187D" w:rsidP="003E726F">
            <w:pPr>
              <w:ind w:right="153"/>
              <w:rPr>
                <w:sz w:val="22"/>
                <w:szCs w:val="22"/>
              </w:rPr>
            </w:pPr>
            <w:r w:rsidRPr="003E726F">
              <w:rPr>
                <w:sz w:val="22"/>
                <w:szCs w:val="22"/>
              </w:rPr>
              <w:t>Nyrer og urinveje</w:t>
            </w:r>
          </w:p>
        </w:tc>
        <w:tc>
          <w:tcPr>
            <w:tcW w:w="726" w:type="pct"/>
            <w:tcBorders>
              <w:top w:val="single" w:sz="4" w:space="0" w:color="auto"/>
              <w:left w:val="single" w:sz="4" w:space="0" w:color="auto"/>
              <w:bottom w:val="single" w:sz="4" w:space="0" w:color="auto"/>
              <w:right w:val="single" w:sz="4" w:space="0" w:color="auto"/>
            </w:tcBorders>
          </w:tcPr>
          <w:p w14:paraId="00387B62"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11E2106F" w14:textId="77777777" w:rsidR="00F6187D" w:rsidRPr="003E726F" w:rsidRDefault="00F6187D" w:rsidP="003E726F">
            <w:pPr>
              <w:ind w:right="153"/>
              <w:rPr>
                <w:sz w:val="22"/>
                <w:szCs w:val="22"/>
              </w:rPr>
            </w:pPr>
          </w:p>
        </w:tc>
        <w:tc>
          <w:tcPr>
            <w:tcW w:w="901" w:type="pct"/>
            <w:tcBorders>
              <w:top w:val="single" w:sz="4" w:space="0" w:color="auto"/>
              <w:left w:val="single" w:sz="4" w:space="0" w:color="auto"/>
              <w:bottom w:val="single" w:sz="4" w:space="0" w:color="auto"/>
              <w:right w:val="single" w:sz="4" w:space="0" w:color="auto"/>
            </w:tcBorders>
          </w:tcPr>
          <w:p w14:paraId="289D1DC9" w14:textId="77777777" w:rsidR="00F6187D" w:rsidRPr="003E726F" w:rsidRDefault="00F6187D" w:rsidP="003E726F">
            <w:pPr>
              <w:ind w:right="153"/>
              <w:rPr>
                <w:sz w:val="22"/>
                <w:szCs w:val="22"/>
              </w:rPr>
            </w:pPr>
          </w:p>
        </w:tc>
        <w:tc>
          <w:tcPr>
            <w:tcW w:w="464" w:type="pct"/>
            <w:tcBorders>
              <w:top w:val="single" w:sz="4" w:space="0" w:color="auto"/>
              <w:left w:val="single" w:sz="4" w:space="0" w:color="auto"/>
              <w:bottom w:val="single" w:sz="4" w:space="0" w:color="auto"/>
              <w:right w:val="single" w:sz="4" w:space="0" w:color="auto"/>
            </w:tcBorders>
          </w:tcPr>
          <w:p w14:paraId="2E8C775A"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hideMark/>
          </w:tcPr>
          <w:p w14:paraId="5DCB80C0" w14:textId="77777777" w:rsidR="00F6187D" w:rsidRPr="003E726F" w:rsidRDefault="00F6187D" w:rsidP="003E726F">
            <w:pPr>
              <w:ind w:right="153"/>
              <w:rPr>
                <w:sz w:val="22"/>
                <w:szCs w:val="22"/>
              </w:rPr>
            </w:pPr>
            <w:proofErr w:type="spellStart"/>
            <w:r w:rsidRPr="003E726F">
              <w:rPr>
                <w:sz w:val="22"/>
                <w:szCs w:val="22"/>
              </w:rPr>
              <w:t>Interstitiel</w:t>
            </w:r>
            <w:proofErr w:type="spellEnd"/>
            <w:r w:rsidRPr="003E726F">
              <w:rPr>
                <w:sz w:val="22"/>
                <w:szCs w:val="22"/>
              </w:rPr>
              <w:t xml:space="preserve"> </w:t>
            </w:r>
            <w:proofErr w:type="spellStart"/>
            <w:r w:rsidRPr="003E726F">
              <w:rPr>
                <w:sz w:val="22"/>
                <w:szCs w:val="22"/>
              </w:rPr>
              <w:t>nefritis</w:t>
            </w:r>
            <w:proofErr w:type="spellEnd"/>
            <w:r w:rsidRPr="003E726F">
              <w:rPr>
                <w:sz w:val="22"/>
                <w:szCs w:val="22"/>
              </w:rPr>
              <w:t xml:space="preserve"> (med mulig progression til nyresvigt)</w:t>
            </w:r>
          </w:p>
        </w:tc>
      </w:tr>
      <w:tr w:rsidR="00A97BA3" w:rsidRPr="00E6129F" w14:paraId="0C34D0E0"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09B64EEF" w14:textId="77777777" w:rsidR="00F6187D" w:rsidRPr="003E726F" w:rsidRDefault="00F6187D" w:rsidP="003E726F">
            <w:pPr>
              <w:ind w:right="153"/>
              <w:rPr>
                <w:sz w:val="22"/>
                <w:szCs w:val="22"/>
              </w:rPr>
            </w:pPr>
            <w:r w:rsidRPr="003E726F">
              <w:rPr>
                <w:sz w:val="22"/>
                <w:szCs w:val="22"/>
              </w:rPr>
              <w:t>Det reproduktive system og mammae</w:t>
            </w:r>
          </w:p>
        </w:tc>
        <w:tc>
          <w:tcPr>
            <w:tcW w:w="726" w:type="pct"/>
            <w:tcBorders>
              <w:top w:val="single" w:sz="4" w:space="0" w:color="auto"/>
              <w:left w:val="single" w:sz="4" w:space="0" w:color="auto"/>
              <w:bottom w:val="single" w:sz="4" w:space="0" w:color="auto"/>
              <w:right w:val="single" w:sz="4" w:space="0" w:color="auto"/>
            </w:tcBorders>
          </w:tcPr>
          <w:p w14:paraId="31FEEDDC" w14:textId="77777777" w:rsidR="00F6187D" w:rsidRPr="003E726F" w:rsidRDefault="00F6187D" w:rsidP="003E726F">
            <w:pPr>
              <w:ind w:right="153"/>
              <w:rPr>
                <w:sz w:val="22"/>
                <w:szCs w:val="22"/>
              </w:rPr>
            </w:pPr>
          </w:p>
        </w:tc>
        <w:tc>
          <w:tcPr>
            <w:tcW w:w="965" w:type="pct"/>
            <w:tcBorders>
              <w:top w:val="single" w:sz="4" w:space="0" w:color="auto"/>
              <w:left w:val="single" w:sz="4" w:space="0" w:color="auto"/>
              <w:bottom w:val="single" w:sz="4" w:space="0" w:color="auto"/>
              <w:right w:val="single" w:sz="4" w:space="0" w:color="auto"/>
            </w:tcBorders>
          </w:tcPr>
          <w:p w14:paraId="1BF7CBE5" w14:textId="77777777" w:rsidR="00F6187D" w:rsidRPr="003E726F" w:rsidRDefault="00F6187D" w:rsidP="003E726F">
            <w:pPr>
              <w:ind w:right="153"/>
              <w:rPr>
                <w:sz w:val="22"/>
                <w:szCs w:val="22"/>
              </w:rPr>
            </w:pPr>
          </w:p>
        </w:tc>
        <w:tc>
          <w:tcPr>
            <w:tcW w:w="901" w:type="pct"/>
            <w:tcBorders>
              <w:top w:val="single" w:sz="4" w:space="0" w:color="auto"/>
              <w:left w:val="single" w:sz="4" w:space="0" w:color="auto"/>
              <w:bottom w:val="single" w:sz="4" w:space="0" w:color="auto"/>
              <w:right w:val="single" w:sz="4" w:space="0" w:color="auto"/>
            </w:tcBorders>
            <w:hideMark/>
          </w:tcPr>
          <w:p w14:paraId="0C55C1CC" w14:textId="77777777" w:rsidR="00F6187D" w:rsidRPr="003E726F" w:rsidRDefault="00F6187D" w:rsidP="003E726F">
            <w:pPr>
              <w:ind w:right="153"/>
              <w:rPr>
                <w:sz w:val="22"/>
                <w:szCs w:val="22"/>
              </w:rPr>
            </w:pPr>
            <w:proofErr w:type="spellStart"/>
            <w:r w:rsidRPr="003E726F">
              <w:rPr>
                <w:sz w:val="22"/>
                <w:szCs w:val="22"/>
              </w:rPr>
              <w:t>Gynækomasti</w:t>
            </w:r>
            <w:proofErr w:type="spellEnd"/>
          </w:p>
        </w:tc>
        <w:tc>
          <w:tcPr>
            <w:tcW w:w="464" w:type="pct"/>
            <w:tcBorders>
              <w:top w:val="single" w:sz="4" w:space="0" w:color="auto"/>
              <w:left w:val="single" w:sz="4" w:space="0" w:color="auto"/>
              <w:bottom w:val="single" w:sz="4" w:space="0" w:color="auto"/>
              <w:right w:val="single" w:sz="4" w:space="0" w:color="auto"/>
            </w:tcBorders>
          </w:tcPr>
          <w:p w14:paraId="50F86C06"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655515DE" w14:textId="77777777" w:rsidR="00F6187D" w:rsidRPr="003E726F" w:rsidRDefault="00F6187D" w:rsidP="003E726F">
            <w:pPr>
              <w:ind w:right="153"/>
              <w:rPr>
                <w:sz w:val="22"/>
                <w:szCs w:val="22"/>
              </w:rPr>
            </w:pPr>
          </w:p>
        </w:tc>
      </w:tr>
      <w:tr w:rsidR="00A97BA3" w:rsidRPr="00E6129F" w14:paraId="595695B6" w14:textId="77777777" w:rsidTr="004938CC">
        <w:trPr>
          <w:trHeight w:val="20"/>
        </w:trPr>
        <w:tc>
          <w:tcPr>
            <w:tcW w:w="948" w:type="pct"/>
            <w:tcBorders>
              <w:top w:val="single" w:sz="4" w:space="0" w:color="auto"/>
              <w:left w:val="single" w:sz="4" w:space="0" w:color="auto"/>
              <w:bottom w:val="single" w:sz="4" w:space="0" w:color="auto"/>
              <w:right w:val="single" w:sz="4" w:space="0" w:color="auto"/>
            </w:tcBorders>
            <w:hideMark/>
          </w:tcPr>
          <w:p w14:paraId="613DD214" w14:textId="77777777" w:rsidR="00F6187D" w:rsidRPr="003E726F" w:rsidRDefault="00F6187D" w:rsidP="003E726F">
            <w:pPr>
              <w:ind w:right="153"/>
              <w:rPr>
                <w:sz w:val="22"/>
                <w:szCs w:val="22"/>
              </w:rPr>
            </w:pPr>
            <w:r w:rsidRPr="003E726F">
              <w:rPr>
                <w:sz w:val="22"/>
                <w:szCs w:val="22"/>
              </w:rPr>
              <w:t xml:space="preserve">Almene symptomer og </w:t>
            </w:r>
            <w:r w:rsidRPr="003E726F">
              <w:rPr>
                <w:sz w:val="22"/>
                <w:szCs w:val="22"/>
              </w:rPr>
              <w:lastRenderedPageBreak/>
              <w:t>reaktioner på administrationsstedet:</w:t>
            </w:r>
          </w:p>
        </w:tc>
        <w:tc>
          <w:tcPr>
            <w:tcW w:w="726" w:type="pct"/>
            <w:tcBorders>
              <w:top w:val="single" w:sz="4" w:space="0" w:color="auto"/>
              <w:left w:val="single" w:sz="4" w:space="0" w:color="auto"/>
              <w:bottom w:val="single" w:sz="4" w:space="0" w:color="auto"/>
              <w:right w:val="single" w:sz="4" w:space="0" w:color="auto"/>
            </w:tcBorders>
            <w:hideMark/>
          </w:tcPr>
          <w:p w14:paraId="1BB125A8" w14:textId="77777777" w:rsidR="00F6187D" w:rsidRPr="003E726F" w:rsidRDefault="00F6187D" w:rsidP="003E726F">
            <w:pPr>
              <w:ind w:right="153"/>
              <w:rPr>
                <w:sz w:val="22"/>
                <w:szCs w:val="22"/>
              </w:rPr>
            </w:pPr>
            <w:proofErr w:type="spellStart"/>
            <w:r w:rsidRPr="003E726F">
              <w:rPr>
                <w:sz w:val="22"/>
                <w:szCs w:val="22"/>
              </w:rPr>
              <w:lastRenderedPageBreak/>
              <w:t>Tromboflebitis</w:t>
            </w:r>
            <w:proofErr w:type="spellEnd"/>
            <w:r w:rsidRPr="003E726F">
              <w:rPr>
                <w:sz w:val="22"/>
                <w:szCs w:val="22"/>
              </w:rPr>
              <w:t xml:space="preserve"> på </w:t>
            </w:r>
            <w:r w:rsidRPr="003E726F">
              <w:rPr>
                <w:sz w:val="22"/>
                <w:szCs w:val="22"/>
              </w:rPr>
              <w:lastRenderedPageBreak/>
              <w:t>injektionsstedet</w:t>
            </w:r>
          </w:p>
        </w:tc>
        <w:tc>
          <w:tcPr>
            <w:tcW w:w="965" w:type="pct"/>
            <w:tcBorders>
              <w:top w:val="single" w:sz="4" w:space="0" w:color="auto"/>
              <w:left w:val="single" w:sz="4" w:space="0" w:color="auto"/>
              <w:bottom w:val="single" w:sz="4" w:space="0" w:color="auto"/>
              <w:right w:val="single" w:sz="4" w:space="0" w:color="auto"/>
            </w:tcBorders>
            <w:hideMark/>
          </w:tcPr>
          <w:p w14:paraId="75FE5015" w14:textId="77777777" w:rsidR="00F6187D" w:rsidRPr="003E726F" w:rsidRDefault="00F6187D" w:rsidP="003E726F">
            <w:pPr>
              <w:ind w:right="153"/>
              <w:rPr>
                <w:sz w:val="22"/>
                <w:szCs w:val="22"/>
              </w:rPr>
            </w:pPr>
            <w:r w:rsidRPr="003E726F">
              <w:rPr>
                <w:sz w:val="22"/>
                <w:szCs w:val="22"/>
              </w:rPr>
              <w:lastRenderedPageBreak/>
              <w:t>Asteni, træthed og utilpashed</w:t>
            </w:r>
          </w:p>
        </w:tc>
        <w:tc>
          <w:tcPr>
            <w:tcW w:w="901" w:type="pct"/>
            <w:tcBorders>
              <w:top w:val="single" w:sz="4" w:space="0" w:color="auto"/>
              <w:left w:val="single" w:sz="4" w:space="0" w:color="auto"/>
              <w:bottom w:val="single" w:sz="4" w:space="0" w:color="auto"/>
              <w:right w:val="single" w:sz="4" w:space="0" w:color="auto"/>
            </w:tcBorders>
            <w:hideMark/>
          </w:tcPr>
          <w:p w14:paraId="38531C5B" w14:textId="77777777" w:rsidR="00F6187D" w:rsidRPr="003E726F" w:rsidRDefault="00F6187D" w:rsidP="003E726F">
            <w:pPr>
              <w:ind w:right="153"/>
              <w:rPr>
                <w:sz w:val="22"/>
                <w:szCs w:val="22"/>
              </w:rPr>
            </w:pPr>
            <w:r w:rsidRPr="003E726F">
              <w:rPr>
                <w:sz w:val="22"/>
                <w:szCs w:val="22"/>
              </w:rPr>
              <w:t>Øget kropstemperat</w:t>
            </w:r>
            <w:r w:rsidRPr="003E726F">
              <w:rPr>
                <w:sz w:val="22"/>
                <w:szCs w:val="22"/>
              </w:rPr>
              <w:lastRenderedPageBreak/>
              <w:t>ur, perifert ødem</w:t>
            </w:r>
          </w:p>
        </w:tc>
        <w:tc>
          <w:tcPr>
            <w:tcW w:w="464" w:type="pct"/>
            <w:tcBorders>
              <w:top w:val="single" w:sz="4" w:space="0" w:color="auto"/>
              <w:left w:val="single" w:sz="4" w:space="0" w:color="auto"/>
              <w:bottom w:val="single" w:sz="4" w:space="0" w:color="auto"/>
              <w:right w:val="single" w:sz="4" w:space="0" w:color="auto"/>
            </w:tcBorders>
          </w:tcPr>
          <w:p w14:paraId="6773AA18" w14:textId="77777777" w:rsidR="00F6187D" w:rsidRPr="003E726F" w:rsidRDefault="00F6187D" w:rsidP="003E726F">
            <w:pPr>
              <w:ind w:right="153"/>
              <w:rPr>
                <w:sz w:val="22"/>
                <w:szCs w:val="22"/>
              </w:rPr>
            </w:pPr>
          </w:p>
        </w:tc>
        <w:tc>
          <w:tcPr>
            <w:tcW w:w="996" w:type="pct"/>
            <w:tcBorders>
              <w:top w:val="single" w:sz="4" w:space="0" w:color="auto"/>
              <w:left w:val="single" w:sz="4" w:space="0" w:color="auto"/>
              <w:bottom w:val="single" w:sz="4" w:space="0" w:color="auto"/>
              <w:right w:val="single" w:sz="4" w:space="0" w:color="auto"/>
            </w:tcBorders>
          </w:tcPr>
          <w:p w14:paraId="5B514F28" w14:textId="77777777" w:rsidR="00F6187D" w:rsidRPr="003E726F" w:rsidRDefault="00F6187D" w:rsidP="003E726F">
            <w:pPr>
              <w:ind w:right="153"/>
              <w:rPr>
                <w:sz w:val="22"/>
                <w:szCs w:val="22"/>
              </w:rPr>
            </w:pPr>
          </w:p>
        </w:tc>
      </w:tr>
    </w:tbl>
    <w:p w14:paraId="28833260" w14:textId="4C7649E5" w:rsidR="00F6187D" w:rsidRPr="00E6129F" w:rsidRDefault="00F6187D" w:rsidP="000A0BB4">
      <w:pPr>
        <w:ind w:left="284" w:hanging="284"/>
        <w:rPr>
          <w:sz w:val="24"/>
          <w:szCs w:val="24"/>
        </w:rPr>
      </w:pPr>
      <w:r w:rsidRPr="00E6129F">
        <w:rPr>
          <w:sz w:val="24"/>
          <w:szCs w:val="24"/>
        </w:rPr>
        <w:t>1.</w:t>
      </w:r>
      <w:r w:rsidR="000A0BB4">
        <w:rPr>
          <w:sz w:val="24"/>
          <w:szCs w:val="24"/>
        </w:rPr>
        <w:tab/>
      </w:r>
      <w:proofErr w:type="spellStart"/>
      <w:r w:rsidRPr="00E6129F">
        <w:rPr>
          <w:sz w:val="24"/>
          <w:szCs w:val="24"/>
        </w:rPr>
        <w:t>Hypocalcæmi</w:t>
      </w:r>
      <w:proofErr w:type="spellEnd"/>
      <w:r w:rsidRPr="00E6129F">
        <w:rPr>
          <w:sz w:val="24"/>
          <w:szCs w:val="24"/>
        </w:rPr>
        <w:t xml:space="preserve"> og/eller </w:t>
      </w:r>
      <w:proofErr w:type="spellStart"/>
      <w:r w:rsidRPr="00E6129F">
        <w:rPr>
          <w:sz w:val="24"/>
          <w:szCs w:val="24"/>
        </w:rPr>
        <w:t>hypokaliæmi</w:t>
      </w:r>
      <w:proofErr w:type="spellEnd"/>
      <w:r w:rsidRPr="00E6129F">
        <w:rPr>
          <w:sz w:val="24"/>
          <w:szCs w:val="24"/>
        </w:rPr>
        <w:t xml:space="preserve"> kan være relateret til forekomsten af </w:t>
      </w:r>
      <w:proofErr w:type="spellStart"/>
      <w:r w:rsidRPr="00E6129F">
        <w:rPr>
          <w:sz w:val="24"/>
          <w:szCs w:val="24"/>
        </w:rPr>
        <w:t>hypomagnesiæmi</w:t>
      </w:r>
      <w:proofErr w:type="spellEnd"/>
      <w:r w:rsidRPr="00E6129F">
        <w:rPr>
          <w:sz w:val="24"/>
          <w:szCs w:val="24"/>
        </w:rPr>
        <w:t xml:space="preserve"> (se pkt. 4.4).</w:t>
      </w:r>
    </w:p>
    <w:p w14:paraId="7823692D" w14:textId="34E5665E" w:rsidR="00BE1106" w:rsidRDefault="00F6187D" w:rsidP="00D00FCC">
      <w:pPr>
        <w:ind w:left="284" w:hanging="284"/>
        <w:rPr>
          <w:sz w:val="24"/>
          <w:szCs w:val="24"/>
        </w:rPr>
      </w:pPr>
      <w:r w:rsidRPr="00E6129F">
        <w:rPr>
          <w:sz w:val="24"/>
          <w:szCs w:val="24"/>
        </w:rPr>
        <w:t>2.</w:t>
      </w:r>
      <w:r w:rsidR="000A0BB4">
        <w:rPr>
          <w:sz w:val="24"/>
          <w:szCs w:val="24"/>
        </w:rPr>
        <w:tab/>
      </w:r>
      <w:r w:rsidRPr="00E6129F">
        <w:rPr>
          <w:sz w:val="24"/>
          <w:szCs w:val="24"/>
        </w:rPr>
        <w:t>Muskelspasmer som følge af elektrolytforstyrrelser</w:t>
      </w:r>
      <w:bookmarkStart w:id="3" w:name="_GoBack"/>
      <w:bookmarkEnd w:id="3"/>
    </w:p>
    <w:p w14:paraId="60E19064" w14:textId="77777777" w:rsidR="00F6187D" w:rsidRPr="00E6129F" w:rsidRDefault="00F6187D" w:rsidP="00F6187D">
      <w:pPr>
        <w:tabs>
          <w:tab w:val="left" w:pos="851"/>
        </w:tabs>
        <w:ind w:left="851"/>
        <w:rPr>
          <w:sz w:val="24"/>
          <w:szCs w:val="24"/>
        </w:rPr>
      </w:pPr>
    </w:p>
    <w:p w14:paraId="7C57A63B" w14:textId="77777777" w:rsidR="000A0BB4" w:rsidRDefault="000A0BB4" w:rsidP="000A0BB4">
      <w:pPr>
        <w:autoSpaceDE w:val="0"/>
        <w:autoSpaceDN w:val="0"/>
        <w:ind w:left="851"/>
        <w:rPr>
          <w:sz w:val="24"/>
          <w:szCs w:val="24"/>
          <w:u w:val="single"/>
        </w:rPr>
      </w:pPr>
      <w:r>
        <w:rPr>
          <w:sz w:val="24"/>
          <w:szCs w:val="24"/>
          <w:u w:val="single"/>
        </w:rPr>
        <w:t>Indberetning af formodede bivirkninger</w:t>
      </w:r>
    </w:p>
    <w:p w14:paraId="49913200" w14:textId="77777777" w:rsidR="000A0BB4" w:rsidRDefault="000A0BB4" w:rsidP="000A0BB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6237FA8C" w14:textId="77777777" w:rsidR="000A0BB4" w:rsidRDefault="000A0BB4" w:rsidP="000A0BB4">
      <w:pPr>
        <w:tabs>
          <w:tab w:val="left" w:pos="2440"/>
        </w:tabs>
        <w:ind w:left="851"/>
        <w:rPr>
          <w:sz w:val="24"/>
          <w:szCs w:val="24"/>
        </w:rPr>
      </w:pPr>
    </w:p>
    <w:p w14:paraId="1893B0D1" w14:textId="77777777" w:rsidR="000A0BB4" w:rsidRDefault="000A0BB4" w:rsidP="000A0BB4">
      <w:pPr>
        <w:ind w:left="851"/>
        <w:rPr>
          <w:sz w:val="24"/>
          <w:szCs w:val="24"/>
        </w:rPr>
      </w:pPr>
      <w:r>
        <w:rPr>
          <w:sz w:val="24"/>
          <w:szCs w:val="24"/>
        </w:rPr>
        <w:t>Lægemiddelstyrelsen</w:t>
      </w:r>
    </w:p>
    <w:p w14:paraId="74F3013D" w14:textId="77777777" w:rsidR="000A0BB4" w:rsidRDefault="000A0BB4" w:rsidP="000A0BB4">
      <w:pPr>
        <w:ind w:left="851"/>
        <w:rPr>
          <w:sz w:val="24"/>
          <w:szCs w:val="24"/>
        </w:rPr>
      </w:pPr>
      <w:r>
        <w:rPr>
          <w:sz w:val="24"/>
          <w:szCs w:val="24"/>
        </w:rPr>
        <w:t>Axel Heides Gade 1</w:t>
      </w:r>
    </w:p>
    <w:p w14:paraId="29836DA8" w14:textId="77777777" w:rsidR="000A0BB4" w:rsidRDefault="000A0BB4" w:rsidP="000A0BB4">
      <w:pPr>
        <w:ind w:left="851"/>
        <w:rPr>
          <w:sz w:val="24"/>
          <w:szCs w:val="24"/>
        </w:rPr>
      </w:pPr>
      <w:r>
        <w:rPr>
          <w:sz w:val="24"/>
          <w:szCs w:val="24"/>
        </w:rPr>
        <w:t>DK-2300 København S</w:t>
      </w:r>
    </w:p>
    <w:p w14:paraId="3212A079" w14:textId="77777777" w:rsidR="000A0BB4" w:rsidRDefault="000A0BB4" w:rsidP="000A0BB4">
      <w:pPr>
        <w:ind w:left="851"/>
        <w:rPr>
          <w:sz w:val="24"/>
          <w:szCs w:val="24"/>
        </w:rPr>
      </w:pPr>
      <w:r>
        <w:rPr>
          <w:sz w:val="24"/>
          <w:szCs w:val="24"/>
        </w:rPr>
        <w:t xml:space="preserve">Websted: </w:t>
      </w:r>
      <w:hyperlink r:id="rId8" w:history="1">
        <w:r>
          <w:rPr>
            <w:rStyle w:val="Hyperlink"/>
            <w:sz w:val="24"/>
            <w:szCs w:val="24"/>
          </w:rPr>
          <w:t>www.meldenbivirkning.dk</w:t>
        </w:r>
      </w:hyperlink>
    </w:p>
    <w:p w14:paraId="320AF2CC" w14:textId="77777777" w:rsidR="009260DE" w:rsidRPr="00E6129F" w:rsidRDefault="009260DE" w:rsidP="00A10294">
      <w:pPr>
        <w:tabs>
          <w:tab w:val="left" w:pos="851"/>
        </w:tabs>
        <w:ind w:left="851"/>
        <w:rPr>
          <w:sz w:val="24"/>
          <w:szCs w:val="24"/>
        </w:rPr>
      </w:pPr>
    </w:p>
    <w:p w14:paraId="69113ABF" w14:textId="77777777" w:rsidR="009260DE" w:rsidRPr="00E6129F" w:rsidRDefault="009260DE" w:rsidP="009260DE">
      <w:pPr>
        <w:tabs>
          <w:tab w:val="left" w:pos="851"/>
        </w:tabs>
        <w:ind w:left="851" w:hanging="851"/>
        <w:rPr>
          <w:b/>
          <w:sz w:val="24"/>
          <w:szCs w:val="24"/>
        </w:rPr>
      </w:pPr>
      <w:r w:rsidRPr="00E6129F">
        <w:rPr>
          <w:b/>
          <w:sz w:val="24"/>
          <w:szCs w:val="24"/>
        </w:rPr>
        <w:t>4.9</w:t>
      </w:r>
      <w:r w:rsidRPr="00E6129F">
        <w:rPr>
          <w:b/>
          <w:sz w:val="24"/>
          <w:szCs w:val="24"/>
        </w:rPr>
        <w:tab/>
        <w:t>Overdosering</w:t>
      </w:r>
    </w:p>
    <w:p w14:paraId="5766B104" w14:textId="77777777" w:rsidR="00F6187D" w:rsidRPr="00E6129F" w:rsidRDefault="00F6187D" w:rsidP="00F6187D">
      <w:pPr>
        <w:tabs>
          <w:tab w:val="left" w:pos="851"/>
        </w:tabs>
        <w:ind w:left="851"/>
        <w:rPr>
          <w:sz w:val="24"/>
          <w:szCs w:val="24"/>
          <w:lang w:eastAsia="da-DK"/>
        </w:rPr>
      </w:pPr>
      <w:r w:rsidRPr="00E6129F">
        <w:rPr>
          <w:sz w:val="24"/>
          <w:szCs w:val="24"/>
        </w:rPr>
        <w:t>Der er ingen kendte symptomer på en overdosering hos mennesker.</w:t>
      </w:r>
    </w:p>
    <w:p w14:paraId="19A1D367" w14:textId="77777777" w:rsidR="00F6187D" w:rsidRPr="00E6129F" w:rsidRDefault="00F6187D" w:rsidP="00F6187D">
      <w:pPr>
        <w:tabs>
          <w:tab w:val="left" w:pos="851"/>
        </w:tabs>
        <w:ind w:left="851"/>
        <w:rPr>
          <w:sz w:val="24"/>
          <w:szCs w:val="24"/>
        </w:rPr>
      </w:pPr>
    </w:p>
    <w:p w14:paraId="7037CDF0" w14:textId="77777777" w:rsidR="00F6187D" w:rsidRPr="00E6129F" w:rsidRDefault="00F6187D" w:rsidP="00F6187D">
      <w:pPr>
        <w:tabs>
          <w:tab w:val="left" w:pos="851"/>
        </w:tabs>
        <w:ind w:left="851"/>
        <w:rPr>
          <w:sz w:val="24"/>
          <w:szCs w:val="24"/>
        </w:rPr>
      </w:pPr>
      <w:r w:rsidRPr="00E6129F">
        <w:rPr>
          <w:sz w:val="24"/>
          <w:szCs w:val="24"/>
        </w:rPr>
        <w:t>En systemisk eksponering med op til 240 mg administreret intravenøst i løbet af 2 minutter var veltolereret.</w:t>
      </w:r>
    </w:p>
    <w:p w14:paraId="27E460E2" w14:textId="77777777" w:rsidR="00F6187D" w:rsidRPr="00E6129F" w:rsidRDefault="00F6187D" w:rsidP="00F6187D">
      <w:pPr>
        <w:tabs>
          <w:tab w:val="left" w:pos="851"/>
        </w:tabs>
        <w:ind w:left="851"/>
        <w:rPr>
          <w:sz w:val="24"/>
          <w:szCs w:val="24"/>
        </w:rPr>
      </w:pPr>
    </w:p>
    <w:p w14:paraId="7F6578C4" w14:textId="77777777" w:rsidR="00F6187D" w:rsidRPr="00E6129F" w:rsidRDefault="00F6187D" w:rsidP="00F6187D">
      <w:pPr>
        <w:tabs>
          <w:tab w:val="left" w:pos="851"/>
        </w:tabs>
        <w:ind w:left="851"/>
        <w:rPr>
          <w:sz w:val="24"/>
          <w:szCs w:val="24"/>
        </w:rPr>
      </w:pPr>
      <w:r w:rsidRPr="00E6129F">
        <w:rPr>
          <w:sz w:val="24"/>
          <w:szCs w:val="24"/>
        </w:rPr>
        <w:t xml:space="preserve">Da </w:t>
      </w:r>
      <w:proofErr w:type="spellStart"/>
      <w:r w:rsidRPr="00E6129F">
        <w:rPr>
          <w:sz w:val="24"/>
          <w:szCs w:val="24"/>
        </w:rPr>
        <w:t>pantoprazol</w:t>
      </w:r>
      <w:proofErr w:type="spellEnd"/>
      <w:r w:rsidRPr="00E6129F">
        <w:rPr>
          <w:sz w:val="24"/>
          <w:szCs w:val="24"/>
        </w:rPr>
        <w:t xml:space="preserve"> i høj grad er proteinbundet, kan det ikke nemt fjernes ved dialyse.</w:t>
      </w:r>
    </w:p>
    <w:p w14:paraId="72D70005" w14:textId="77777777" w:rsidR="00F6187D" w:rsidRPr="00E6129F" w:rsidRDefault="00F6187D" w:rsidP="00F6187D">
      <w:pPr>
        <w:tabs>
          <w:tab w:val="left" w:pos="851"/>
        </w:tabs>
        <w:ind w:left="851"/>
        <w:rPr>
          <w:sz w:val="24"/>
          <w:szCs w:val="24"/>
        </w:rPr>
      </w:pPr>
    </w:p>
    <w:p w14:paraId="3D28B3BB" w14:textId="0FA2FEA7" w:rsidR="00F6187D" w:rsidRPr="00E6129F" w:rsidRDefault="00F6187D" w:rsidP="00F6187D">
      <w:pPr>
        <w:tabs>
          <w:tab w:val="left" w:pos="851"/>
        </w:tabs>
        <w:ind w:left="851"/>
        <w:rPr>
          <w:sz w:val="24"/>
          <w:szCs w:val="24"/>
        </w:rPr>
      </w:pPr>
      <w:r w:rsidRPr="00E6129F">
        <w:rPr>
          <w:sz w:val="24"/>
          <w:szCs w:val="24"/>
        </w:rPr>
        <w:t>I tilfælde af en overdosering med kliniske tegn på forgiftning, kan der ud over symptomatisk og støttende behandling ikke gives nogen specifikke terapeutiske anbefalinger.</w:t>
      </w:r>
    </w:p>
    <w:p w14:paraId="225A495C" w14:textId="77777777" w:rsidR="009260DE" w:rsidRPr="00E6129F" w:rsidRDefault="009260DE" w:rsidP="009260DE">
      <w:pPr>
        <w:tabs>
          <w:tab w:val="left" w:pos="851"/>
        </w:tabs>
        <w:ind w:left="851"/>
        <w:rPr>
          <w:sz w:val="24"/>
          <w:szCs w:val="24"/>
        </w:rPr>
      </w:pPr>
    </w:p>
    <w:p w14:paraId="7CBD07BD" w14:textId="77777777" w:rsidR="009260DE" w:rsidRPr="00E6129F" w:rsidRDefault="009260DE" w:rsidP="009260DE">
      <w:pPr>
        <w:tabs>
          <w:tab w:val="left" w:pos="851"/>
        </w:tabs>
        <w:ind w:left="851" w:hanging="851"/>
        <w:rPr>
          <w:b/>
          <w:sz w:val="24"/>
          <w:szCs w:val="24"/>
        </w:rPr>
      </w:pPr>
      <w:r w:rsidRPr="00E6129F">
        <w:rPr>
          <w:b/>
          <w:sz w:val="24"/>
          <w:szCs w:val="24"/>
        </w:rPr>
        <w:t>4.10</w:t>
      </w:r>
      <w:r w:rsidRPr="00E6129F">
        <w:rPr>
          <w:b/>
          <w:sz w:val="24"/>
          <w:szCs w:val="24"/>
        </w:rPr>
        <w:tab/>
        <w:t>Udlevering</w:t>
      </w:r>
    </w:p>
    <w:p w14:paraId="7ADEDC23" w14:textId="2967F013" w:rsidR="009260DE" w:rsidRPr="00E6129F" w:rsidRDefault="00612541" w:rsidP="009260DE">
      <w:pPr>
        <w:tabs>
          <w:tab w:val="left" w:pos="851"/>
        </w:tabs>
        <w:ind w:left="851"/>
        <w:rPr>
          <w:sz w:val="24"/>
          <w:szCs w:val="24"/>
        </w:rPr>
      </w:pPr>
      <w:r w:rsidRPr="00E6129F">
        <w:rPr>
          <w:sz w:val="24"/>
          <w:szCs w:val="24"/>
        </w:rPr>
        <w:t>B</w:t>
      </w:r>
    </w:p>
    <w:p w14:paraId="52B01BEE" w14:textId="77777777" w:rsidR="009260DE" w:rsidRPr="00E6129F" w:rsidRDefault="009260DE" w:rsidP="009260DE">
      <w:pPr>
        <w:tabs>
          <w:tab w:val="left" w:pos="851"/>
        </w:tabs>
        <w:ind w:left="851"/>
        <w:rPr>
          <w:sz w:val="24"/>
          <w:szCs w:val="24"/>
        </w:rPr>
      </w:pPr>
    </w:p>
    <w:p w14:paraId="492C64FC" w14:textId="77777777" w:rsidR="009260DE" w:rsidRPr="00E6129F" w:rsidRDefault="009260DE" w:rsidP="009260DE">
      <w:pPr>
        <w:tabs>
          <w:tab w:val="left" w:pos="851"/>
        </w:tabs>
        <w:ind w:left="851"/>
        <w:rPr>
          <w:sz w:val="24"/>
          <w:szCs w:val="24"/>
        </w:rPr>
      </w:pPr>
    </w:p>
    <w:p w14:paraId="122D4D37" w14:textId="653E0AA2" w:rsidR="009260DE" w:rsidRDefault="009260DE" w:rsidP="00D00FCC">
      <w:pPr>
        <w:tabs>
          <w:tab w:val="left" w:pos="851"/>
        </w:tabs>
        <w:ind w:left="851" w:hanging="851"/>
        <w:rPr>
          <w:b/>
          <w:sz w:val="24"/>
          <w:szCs w:val="24"/>
        </w:rPr>
      </w:pPr>
      <w:r w:rsidRPr="00E6129F">
        <w:rPr>
          <w:b/>
          <w:sz w:val="24"/>
          <w:szCs w:val="24"/>
        </w:rPr>
        <w:t>5.</w:t>
      </w:r>
      <w:r w:rsidRPr="00E6129F">
        <w:rPr>
          <w:b/>
          <w:sz w:val="24"/>
          <w:szCs w:val="24"/>
        </w:rPr>
        <w:tab/>
        <w:t>FARMAKOLOGISKE EGENSKABER</w:t>
      </w:r>
    </w:p>
    <w:p w14:paraId="182AC996" w14:textId="77777777" w:rsidR="00D00FCC" w:rsidRPr="00D00FCC" w:rsidRDefault="00D00FCC" w:rsidP="00D00FCC">
      <w:pPr>
        <w:tabs>
          <w:tab w:val="left" w:pos="851"/>
        </w:tabs>
        <w:ind w:left="851" w:hanging="851"/>
        <w:rPr>
          <w:b/>
          <w:sz w:val="24"/>
          <w:szCs w:val="24"/>
        </w:rPr>
      </w:pPr>
    </w:p>
    <w:p w14:paraId="6EF7DF37" w14:textId="77777777" w:rsidR="009260DE" w:rsidRPr="00E6129F" w:rsidRDefault="009260DE" w:rsidP="009260DE">
      <w:pPr>
        <w:tabs>
          <w:tab w:val="num" w:pos="851"/>
        </w:tabs>
        <w:ind w:left="851" w:hanging="851"/>
        <w:rPr>
          <w:b/>
          <w:sz w:val="24"/>
          <w:szCs w:val="24"/>
        </w:rPr>
      </w:pPr>
      <w:r w:rsidRPr="00E6129F">
        <w:rPr>
          <w:b/>
          <w:sz w:val="24"/>
          <w:szCs w:val="24"/>
        </w:rPr>
        <w:t>5.1</w:t>
      </w:r>
      <w:r w:rsidRPr="00E6129F">
        <w:rPr>
          <w:b/>
          <w:sz w:val="24"/>
          <w:szCs w:val="24"/>
        </w:rPr>
        <w:tab/>
      </w:r>
      <w:proofErr w:type="spellStart"/>
      <w:r w:rsidRPr="00E6129F">
        <w:rPr>
          <w:b/>
          <w:sz w:val="24"/>
          <w:szCs w:val="24"/>
        </w:rPr>
        <w:t>Farmakodynamiske</w:t>
      </w:r>
      <w:proofErr w:type="spellEnd"/>
      <w:r w:rsidRPr="00E6129F">
        <w:rPr>
          <w:b/>
          <w:sz w:val="24"/>
          <w:szCs w:val="24"/>
        </w:rPr>
        <w:t xml:space="preserve"> egenskaber</w:t>
      </w:r>
    </w:p>
    <w:p w14:paraId="76FEB23D" w14:textId="284D7085" w:rsidR="00D00FCC" w:rsidRDefault="00D00FCC" w:rsidP="00D00FCC">
      <w:pPr>
        <w:tabs>
          <w:tab w:val="left" w:pos="851"/>
        </w:tabs>
        <w:ind w:left="851"/>
        <w:rPr>
          <w:sz w:val="24"/>
          <w:szCs w:val="24"/>
          <w:lang w:eastAsia="da-DK"/>
        </w:rPr>
      </w:pPr>
      <w:bookmarkStart w:id="4" w:name="_Hlk121753973"/>
      <w:proofErr w:type="spellStart"/>
      <w:r w:rsidRPr="00C922B2">
        <w:rPr>
          <w:sz w:val="24"/>
          <w:szCs w:val="24"/>
        </w:rPr>
        <w:t>Farmakoterapeutisk</w:t>
      </w:r>
      <w:proofErr w:type="spellEnd"/>
      <w:r w:rsidRPr="00C922B2">
        <w:rPr>
          <w:sz w:val="24"/>
          <w:szCs w:val="24"/>
        </w:rPr>
        <w:t xml:space="preserve"> klassifikation:</w:t>
      </w:r>
      <w:bookmarkEnd w:id="4"/>
      <w:r>
        <w:rPr>
          <w:sz w:val="24"/>
          <w:szCs w:val="24"/>
        </w:rPr>
        <w:t xml:space="preserve"> </w:t>
      </w:r>
      <w:proofErr w:type="spellStart"/>
      <w:r>
        <w:rPr>
          <w:sz w:val="24"/>
          <w:szCs w:val="24"/>
        </w:rPr>
        <w:t>Protonpumpehæmmere</w:t>
      </w:r>
      <w:proofErr w:type="spellEnd"/>
      <w:r>
        <w:rPr>
          <w:sz w:val="24"/>
          <w:szCs w:val="24"/>
        </w:rPr>
        <w:t>.</w:t>
      </w:r>
      <w:r>
        <w:rPr>
          <w:sz w:val="24"/>
          <w:szCs w:val="24"/>
        </w:rPr>
        <w:t xml:space="preserve"> </w:t>
      </w:r>
      <w:r>
        <w:rPr>
          <w:sz w:val="24"/>
          <w:szCs w:val="24"/>
        </w:rPr>
        <w:t xml:space="preserve">ATC-kode: A 02 BC 02. </w:t>
      </w:r>
    </w:p>
    <w:p w14:paraId="3D9922C2" w14:textId="32A8E9ED" w:rsidR="00F6187D" w:rsidRPr="00E6129F" w:rsidRDefault="00F6187D" w:rsidP="00F6187D">
      <w:pPr>
        <w:tabs>
          <w:tab w:val="left" w:pos="851"/>
        </w:tabs>
        <w:ind w:left="851"/>
        <w:rPr>
          <w:sz w:val="24"/>
          <w:szCs w:val="24"/>
          <w:lang w:eastAsia="da-DK"/>
        </w:rPr>
      </w:pPr>
    </w:p>
    <w:p w14:paraId="36D7456B" w14:textId="77777777" w:rsidR="00F6187D" w:rsidRPr="00E6129F" w:rsidRDefault="00F6187D" w:rsidP="00F6187D">
      <w:pPr>
        <w:tabs>
          <w:tab w:val="left" w:pos="851"/>
        </w:tabs>
        <w:ind w:left="851"/>
        <w:rPr>
          <w:sz w:val="24"/>
          <w:szCs w:val="24"/>
          <w:u w:val="single"/>
        </w:rPr>
      </w:pPr>
      <w:r w:rsidRPr="00E6129F">
        <w:rPr>
          <w:sz w:val="24"/>
          <w:szCs w:val="24"/>
          <w:u w:val="single"/>
        </w:rPr>
        <w:t>Virkningsmekanisme</w:t>
      </w:r>
    </w:p>
    <w:p w14:paraId="7B8EE4A5" w14:textId="77777777" w:rsidR="00F6187D" w:rsidRPr="00E6129F" w:rsidRDefault="00F6187D" w:rsidP="00F6187D">
      <w:pPr>
        <w:tabs>
          <w:tab w:val="left" w:pos="851"/>
        </w:tabs>
        <w:ind w:left="851"/>
        <w:rPr>
          <w:sz w:val="24"/>
          <w:szCs w:val="24"/>
        </w:rPr>
      </w:pPr>
      <w:proofErr w:type="spellStart"/>
      <w:r w:rsidRPr="00E6129F">
        <w:rPr>
          <w:sz w:val="24"/>
          <w:szCs w:val="24"/>
        </w:rPr>
        <w:t>Pantoprazol</w:t>
      </w:r>
      <w:proofErr w:type="spellEnd"/>
      <w:r w:rsidRPr="00E6129F">
        <w:rPr>
          <w:sz w:val="24"/>
          <w:szCs w:val="24"/>
        </w:rPr>
        <w:t xml:space="preserve"> er en substitueret </w:t>
      </w:r>
      <w:proofErr w:type="spellStart"/>
      <w:r w:rsidRPr="00E6129F">
        <w:rPr>
          <w:sz w:val="24"/>
          <w:szCs w:val="24"/>
        </w:rPr>
        <w:t>benzimidazol</w:t>
      </w:r>
      <w:proofErr w:type="spellEnd"/>
      <w:r w:rsidRPr="00E6129F">
        <w:rPr>
          <w:sz w:val="24"/>
          <w:szCs w:val="24"/>
        </w:rPr>
        <w:t xml:space="preserve">, som hæmmer sekretion af saltsyre i maven ved specifik blokering af </w:t>
      </w:r>
      <w:proofErr w:type="spellStart"/>
      <w:r w:rsidRPr="00E6129F">
        <w:rPr>
          <w:sz w:val="24"/>
          <w:szCs w:val="24"/>
        </w:rPr>
        <w:t>parietalcellernes</w:t>
      </w:r>
      <w:proofErr w:type="spellEnd"/>
      <w:r w:rsidRPr="00E6129F">
        <w:rPr>
          <w:sz w:val="24"/>
          <w:szCs w:val="24"/>
        </w:rPr>
        <w:t xml:space="preserve"> protonpumper.</w:t>
      </w:r>
    </w:p>
    <w:p w14:paraId="33E698C9" w14:textId="77777777" w:rsidR="00F6187D" w:rsidRPr="00E6129F" w:rsidRDefault="00F6187D" w:rsidP="00F6187D">
      <w:pPr>
        <w:tabs>
          <w:tab w:val="left" w:pos="851"/>
        </w:tabs>
        <w:ind w:left="851"/>
        <w:rPr>
          <w:sz w:val="24"/>
          <w:szCs w:val="24"/>
        </w:rPr>
      </w:pPr>
    </w:p>
    <w:p w14:paraId="308020D3" w14:textId="77777777" w:rsidR="00F6187D" w:rsidRPr="00E6129F" w:rsidRDefault="00F6187D" w:rsidP="00F6187D">
      <w:pPr>
        <w:tabs>
          <w:tab w:val="left" w:pos="851"/>
        </w:tabs>
        <w:ind w:left="851"/>
        <w:rPr>
          <w:sz w:val="24"/>
          <w:szCs w:val="24"/>
        </w:rPr>
      </w:pPr>
      <w:proofErr w:type="spellStart"/>
      <w:r w:rsidRPr="00E6129F">
        <w:rPr>
          <w:sz w:val="24"/>
          <w:szCs w:val="24"/>
        </w:rPr>
        <w:t>Pantoprazol</w:t>
      </w:r>
      <w:proofErr w:type="spellEnd"/>
      <w:r w:rsidRPr="00E6129F">
        <w:rPr>
          <w:sz w:val="24"/>
          <w:szCs w:val="24"/>
        </w:rPr>
        <w:t xml:space="preserve"> konverteres til dets aktive form i </w:t>
      </w:r>
      <w:proofErr w:type="spellStart"/>
      <w:r w:rsidRPr="00E6129F">
        <w:rPr>
          <w:sz w:val="24"/>
          <w:szCs w:val="24"/>
        </w:rPr>
        <w:t>parietalcellernes</w:t>
      </w:r>
      <w:proofErr w:type="spellEnd"/>
      <w:r w:rsidRPr="00E6129F">
        <w:rPr>
          <w:sz w:val="24"/>
          <w:szCs w:val="24"/>
        </w:rPr>
        <w:t xml:space="preserve"> sure miljø, hvor det hæmmer H+/</w:t>
      </w:r>
      <w:proofErr w:type="spellStart"/>
      <w:r w:rsidRPr="00E6129F">
        <w:rPr>
          <w:sz w:val="24"/>
          <w:szCs w:val="24"/>
        </w:rPr>
        <w:t>K+-ATP'ase-enzymet</w:t>
      </w:r>
      <w:proofErr w:type="spellEnd"/>
      <w:r w:rsidRPr="00E6129F">
        <w:rPr>
          <w:sz w:val="24"/>
          <w:szCs w:val="24"/>
        </w:rPr>
        <w:t xml:space="preserve">, dvs. slutstadiet i mavens produktion af saltsyre. Hæmningen er dosisafhængig, og påvirker såvel basal som stimuleret syresekretion. De fleste patienter opnår symptomfrihed i løbet af 2 uger. Som ved behandling med andre </w:t>
      </w:r>
      <w:proofErr w:type="spellStart"/>
      <w:r w:rsidRPr="00E6129F">
        <w:rPr>
          <w:sz w:val="24"/>
          <w:szCs w:val="24"/>
        </w:rPr>
        <w:t>protonpumpehæmmere</w:t>
      </w:r>
      <w:proofErr w:type="spellEnd"/>
      <w:r w:rsidRPr="00E6129F">
        <w:rPr>
          <w:sz w:val="24"/>
          <w:szCs w:val="24"/>
        </w:rPr>
        <w:t xml:space="preserve"> og H2-receptorantagonister nedsætter </w:t>
      </w:r>
      <w:proofErr w:type="spellStart"/>
      <w:r w:rsidRPr="00E6129F">
        <w:rPr>
          <w:sz w:val="24"/>
          <w:szCs w:val="24"/>
        </w:rPr>
        <w:t>pantoprazol</w:t>
      </w:r>
      <w:proofErr w:type="spellEnd"/>
      <w:r w:rsidRPr="00E6129F">
        <w:rPr>
          <w:sz w:val="24"/>
          <w:szCs w:val="24"/>
        </w:rPr>
        <w:t xml:space="preserve"> surhedsgraden i maven, hvorved gastrin øges proportionalt med reduktionen i surhed. Stigningen i gastrin er reversibel. Da </w:t>
      </w:r>
      <w:proofErr w:type="spellStart"/>
      <w:r w:rsidRPr="00E6129F">
        <w:rPr>
          <w:sz w:val="24"/>
          <w:szCs w:val="24"/>
        </w:rPr>
        <w:t>pantoprazol</w:t>
      </w:r>
      <w:proofErr w:type="spellEnd"/>
      <w:r w:rsidRPr="00E6129F">
        <w:rPr>
          <w:sz w:val="24"/>
          <w:szCs w:val="24"/>
        </w:rPr>
        <w:t xml:space="preserve"> binder sig til enzymet </w:t>
      </w:r>
      <w:proofErr w:type="spellStart"/>
      <w:r w:rsidRPr="00E6129F">
        <w:rPr>
          <w:sz w:val="24"/>
          <w:szCs w:val="24"/>
        </w:rPr>
        <w:t>distalt</w:t>
      </w:r>
      <w:proofErr w:type="spellEnd"/>
      <w:r w:rsidRPr="00E6129F">
        <w:rPr>
          <w:sz w:val="24"/>
          <w:szCs w:val="24"/>
        </w:rPr>
        <w:t xml:space="preserve"> for cellereceptorniveauet, kan det hæmme saltsyresekretionen uafhængigt af stimulationen fra andre stoffer (</w:t>
      </w:r>
      <w:proofErr w:type="spellStart"/>
      <w:r w:rsidRPr="00E6129F">
        <w:rPr>
          <w:sz w:val="24"/>
          <w:szCs w:val="24"/>
        </w:rPr>
        <w:t>acetylcho</w:t>
      </w:r>
      <w:proofErr w:type="spellEnd"/>
      <w:r w:rsidRPr="00E6129F">
        <w:rPr>
          <w:sz w:val="24"/>
          <w:szCs w:val="24"/>
        </w:rPr>
        <w:t>-</w:t>
      </w:r>
      <w:r w:rsidRPr="00E6129F">
        <w:rPr>
          <w:sz w:val="24"/>
          <w:szCs w:val="24"/>
        </w:rPr>
        <w:lastRenderedPageBreak/>
        <w:t>lin, histamin, gastrin). Virkningen er den samme, uanset om lægemidlet gives oralt eller intravenøst.</w:t>
      </w:r>
    </w:p>
    <w:p w14:paraId="3E781545" w14:textId="77777777" w:rsidR="00F6187D" w:rsidRPr="00E6129F" w:rsidRDefault="00F6187D" w:rsidP="00F6187D">
      <w:pPr>
        <w:tabs>
          <w:tab w:val="left" w:pos="851"/>
        </w:tabs>
        <w:ind w:left="851"/>
        <w:rPr>
          <w:sz w:val="24"/>
          <w:szCs w:val="24"/>
        </w:rPr>
      </w:pPr>
    </w:p>
    <w:p w14:paraId="1FD4D102" w14:textId="77777777" w:rsidR="00F6187D" w:rsidRPr="00E6129F" w:rsidRDefault="00F6187D" w:rsidP="00F6187D">
      <w:pPr>
        <w:tabs>
          <w:tab w:val="left" w:pos="851"/>
        </w:tabs>
        <w:ind w:left="851"/>
        <w:rPr>
          <w:sz w:val="24"/>
          <w:szCs w:val="24"/>
          <w:u w:val="single"/>
        </w:rPr>
      </w:pPr>
      <w:proofErr w:type="spellStart"/>
      <w:r w:rsidRPr="00E6129F">
        <w:rPr>
          <w:sz w:val="24"/>
          <w:szCs w:val="24"/>
          <w:u w:val="single"/>
        </w:rPr>
        <w:t>Farmakodynamisk</w:t>
      </w:r>
      <w:proofErr w:type="spellEnd"/>
      <w:r w:rsidRPr="00E6129F">
        <w:rPr>
          <w:sz w:val="24"/>
          <w:szCs w:val="24"/>
          <w:u w:val="single"/>
        </w:rPr>
        <w:t xml:space="preserve"> virkning</w:t>
      </w:r>
    </w:p>
    <w:p w14:paraId="42630481" w14:textId="77777777" w:rsidR="00F6187D" w:rsidRPr="00E6129F" w:rsidRDefault="00F6187D" w:rsidP="00F6187D">
      <w:pPr>
        <w:tabs>
          <w:tab w:val="left" w:pos="851"/>
        </w:tabs>
        <w:ind w:left="851"/>
        <w:rPr>
          <w:sz w:val="24"/>
          <w:szCs w:val="24"/>
        </w:rPr>
      </w:pPr>
      <w:r w:rsidRPr="00E6129F">
        <w:rPr>
          <w:sz w:val="24"/>
          <w:szCs w:val="24"/>
        </w:rPr>
        <w:t xml:space="preserve">De fastende gastrinværdier stiger under </w:t>
      </w:r>
      <w:proofErr w:type="spellStart"/>
      <w:r w:rsidRPr="00E6129F">
        <w:rPr>
          <w:sz w:val="24"/>
          <w:szCs w:val="24"/>
        </w:rPr>
        <w:t>pantoprazolbehandlingen</w:t>
      </w:r>
      <w:proofErr w:type="spellEnd"/>
      <w:r w:rsidRPr="00E6129F">
        <w:rPr>
          <w:sz w:val="24"/>
          <w:szCs w:val="24"/>
        </w:rPr>
        <w:t xml:space="preserve">. Ved kortvarig behandling vil værdierne i de fleste tilfælde ikke overstige den øvre normalgrænse. Under langtidsbehandling fordobles gastrinværdierne i de fleste tilfælde. En voldsom stigning forekommer dog kun i enkeltstående tilfælde. Som følge heraf er en let til moderat stigning i antallet af specifikke endokrine celler i maven observeret hos et mindretal af patienterne under langtidsbehandling (simpel til </w:t>
      </w:r>
      <w:proofErr w:type="spellStart"/>
      <w:r w:rsidRPr="00E6129F">
        <w:rPr>
          <w:sz w:val="24"/>
          <w:szCs w:val="24"/>
        </w:rPr>
        <w:t>adenomatoid</w:t>
      </w:r>
      <w:proofErr w:type="spellEnd"/>
      <w:r w:rsidRPr="00E6129F">
        <w:rPr>
          <w:sz w:val="24"/>
          <w:szCs w:val="24"/>
        </w:rPr>
        <w:t xml:space="preserve"> </w:t>
      </w:r>
      <w:proofErr w:type="spellStart"/>
      <w:r w:rsidRPr="00E6129F">
        <w:rPr>
          <w:sz w:val="24"/>
          <w:szCs w:val="24"/>
        </w:rPr>
        <w:t>hyperplasi</w:t>
      </w:r>
      <w:proofErr w:type="spellEnd"/>
      <w:r w:rsidRPr="00E6129F">
        <w:rPr>
          <w:sz w:val="24"/>
          <w:szCs w:val="24"/>
        </w:rPr>
        <w:t xml:space="preserve">). Dannelse af </w:t>
      </w:r>
      <w:proofErr w:type="spellStart"/>
      <w:r w:rsidRPr="00E6129F">
        <w:rPr>
          <w:sz w:val="24"/>
          <w:szCs w:val="24"/>
        </w:rPr>
        <w:t>karcinoide</w:t>
      </w:r>
      <w:proofErr w:type="spellEnd"/>
      <w:r w:rsidRPr="00E6129F">
        <w:rPr>
          <w:sz w:val="24"/>
          <w:szCs w:val="24"/>
        </w:rPr>
        <w:t xml:space="preserve"> forstadier (atypisk </w:t>
      </w:r>
      <w:proofErr w:type="spellStart"/>
      <w:r w:rsidRPr="00E6129F">
        <w:rPr>
          <w:sz w:val="24"/>
          <w:szCs w:val="24"/>
        </w:rPr>
        <w:t>hyperplasi</w:t>
      </w:r>
      <w:proofErr w:type="spellEnd"/>
      <w:r w:rsidRPr="00E6129F">
        <w:rPr>
          <w:sz w:val="24"/>
          <w:szCs w:val="24"/>
        </w:rPr>
        <w:t xml:space="preserve">) eller </w:t>
      </w:r>
      <w:proofErr w:type="spellStart"/>
      <w:r w:rsidRPr="00E6129F">
        <w:rPr>
          <w:sz w:val="24"/>
          <w:szCs w:val="24"/>
        </w:rPr>
        <w:t>ventrikelkarcinoider</w:t>
      </w:r>
      <w:proofErr w:type="spellEnd"/>
      <w:r w:rsidRPr="00E6129F">
        <w:rPr>
          <w:sz w:val="24"/>
          <w:szCs w:val="24"/>
        </w:rPr>
        <w:t>, som blev påvist i dyreforsøg (se pkt. 5.3), er dog endnu ikke set hos mennesker ifølge resultaterne fra de hidtil udførte kliniske studier.</w:t>
      </w:r>
    </w:p>
    <w:p w14:paraId="6BB0AD57" w14:textId="77777777" w:rsidR="00F6187D" w:rsidRPr="00E6129F" w:rsidRDefault="00F6187D" w:rsidP="00F6187D">
      <w:pPr>
        <w:tabs>
          <w:tab w:val="left" w:pos="851"/>
        </w:tabs>
        <w:ind w:left="851"/>
        <w:rPr>
          <w:sz w:val="24"/>
          <w:szCs w:val="24"/>
        </w:rPr>
      </w:pPr>
    </w:p>
    <w:p w14:paraId="73F6D2B2" w14:textId="77777777" w:rsidR="00F6187D" w:rsidRPr="00E6129F" w:rsidRDefault="00F6187D" w:rsidP="00F6187D">
      <w:pPr>
        <w:tabs>
          <w:tab w:val="left" w:pos="851"/>
        </w:tabs>
        <w:ind w:left="851"/>
        <w:rPr>
          <w:sz w:val="24"/>
          <w:szCs w:val="24"/>
        </w:rPr>
      </w:pPr>
      <w:r w:rsidRPr="00E6129F">
        <w:rPr>
          <w:sz w:val="24"/>
          <w:szCs w:val="24"/>
        </w:rPr>
        <w:t xml:space="preserve">Dyreforsøg har vist, at det ikke helt kan udelukkes, at langtidsbehandling med </w:t>
      </w:r>
      <w:proofErr w:type="spellStart"/>
      <w:r w:rsidRPr="00E6129F">
        <w:rPr>
          <w:sz w:val="24"/>
          <w:szCs w:val="24"/>
        </w:rPr>
        <w:t>pantoprazol</w:t>
      </w:r>
      <w:proofErr w:type="spellEnd"/>
      <w:r w:rsidRPr="00E6129F">
        <w:rPr>
          <w:sz w:val="24"/>
          <w:szCs w:val="24"/>
        </w:rPr>
        <w:t xml:space="preserve"> på over et års varighed indvirker på </w:t>
      </w:r>
      <w:proofErr w:type="spellStart"/>
      <w:r w:rsidRPr="00E6129F">
        <w:rPr>
          <w:sz w:val="24"/>
          <w:szCs w:val="24"/>
        </w:rPr>
        <w:t>thyreoideas</w:t>
      </w:r>
      <w:proofErr w:type="spellEnd"/>
      <w:r w:rsidRPr="00E6129F">
        <w:rPr>
          <w:sz w:val="24"/>
          <w:szCs w:val="24"/>
        </w:rPr>
        <w:t xml:space="preserve"> endokrine parametre.</w:t>
      </w:r>
    </w:p>
    <w:p w14:paraId="5EFDECAD" w14:textId="77777777" w:rsidR="00F6187D" w:rsidRPr="00E6129F" w:rsidRDefault="00F6187D" w:rsidP="00F6187D">
      <w:pPr>
        <w:tabs>
          <w:tab w:val="left" w:pos="851"/>
        </w:tabs>
        <w:ind w:left="851"/>
        <w:rPr>
          <w:sz w:val="24"/>
          <w:szCs w:val="24"/>
        </w:rPr>
      </w:pPr>
    </w:p>
    <w:p w14:paraId="4E6D85FC" w14:textId="77777777" w:rsidR="00F6187D" w:rsidRPr="00E6129F" w:rsidRDefault="00F6187D" w:rsidP="00F6187D">
      <w:pPr>
        <w:tabs>
          <w:tab w:val="left" w:pos="851"/>
        </w:tabs>
        <w:ind w:left="851"/>
        <w:rPr>
          <w:sz w:val="24"/>
          <w:szCs w:val="24"/>
        </w:rPr>
      </w:pPr>
      <w:r w:rsidRPr="00E6129F">
        <w:rPr>
          <w:sz w:val="24"/>
          <w:szCs w:val="24"/>
        </w:rPr>
        <w:t xml:space="preserve">Under behandling med </w:t>
      </w:r>
      <w:proofErr w:type="spellStart"/>
      <w:r w:rsidRPr="00E6129F">
        <w:rPr>
          <w:sz w:val="24"/>
          <w:szCs w:val="24"/>
        </w:rPr>
        <w:t>antisekretoriske</w:t>
      </w:r>
      <w:proofErr w:type="spellEnd"/>
      <w:r w:rsidRPr="00E6129F">
        <w:rPr>
          <w:sz w:val="24"/>
          <w:szCs w:val="24"/>
        </w:rPr>
        <w:t xml:space="preserve"> lægemidler øges serum-gastrin som respons på den nedsatte syresekretion. </w:t>
      </w:r>
      <w:proofErr w:type="spellStart"/>
      <w:r w:rsidRPr="00E6129F">
        <w:rPr>
          <w:sz w:val="24"/>
          <w:szCs w:val="24"/>
        </w:rPr>
        <w:t>CgA</w:t>
      </w:r>
      <w:proofErr w:type="spellEnd"/>
      <w:r w:rsidRPr="00E6129F">
        <w:rPr>
          <w:sz w:val="24"/>
          <w:szCs w:val="24"/>
        </w:rPr>
        <w:t xml:space="preserve"> stiger også, som følge af en nedsat gastrisk surhedsgrad. Forhøjede niveauer af </w:t>
      </w:r>
      <w:proofErr w:type="spellStart"/>
      <w:r w:rsidRPr="00E6129F">
        <w:rPr>
          <w:sz w:val="24"/>
          <w:szCs w:val="24"/>
        </w:rPr>
        <w:t>CgA</w:t>
      </w:r>
      <w:proofErr w:type="spellEnd"/>
      <w:r w:rsidRPr="00E6129F">
        <w:rPr>
          <w:sz w:val="24"/>
          <w:szCs w:val="24"/>
        </w:rPr>
        <w:t xml:space="preserve">-niveauet kan påvirke undersøgelser for </w:t>
      </w:r>
      <w:proofErr w:type="spellStart"/>
      <w:r w:rsidRPr="00E6129F">
        <w:rPr>
          <w:sz w:val="24"/>
          <w:szCs w:val="24"/>
        </w:rPr>
        <w:t>neuroendokrine</w:t>
      </w:r>
      <w:proofErr w:type="spellEnd"/>
      <w:r w:rsidRPr="00E6129F">
        <w:rPr>
          <w:sz w:val="24"/>
          <w:szCs w:val="24"/>
        </w:rPr>
        <w:t xml:space="preserve"> tumorer.</w:t>
      </w:r>
    </w:p>
    <w:p w14:paraId="5AB9E5EB" w14:textId="77777777" w:rsidR="00F6187D" w:rsidRPr="00E6129F" w:rsidRDefault="00F6187D" w:rsidP="00F6187D">
      <w:pPr>
        <w:tabs>
          <w:tab w:val="left" w:pos="851"/>
        </w:tabs>
        <w:ind w:left="851"/>
        <w:rPr>
          <w:sz w:val="24"/>
          <w:szCs w:val="24"/>
        </w:rPr>
      </w:pPr>
    </w:p>
    <w:p w14:paraId="28B64C41" w14:textId="77777777" w:rsidR="00F6187D" w:rsidRPr="00E6129F" w:rsidRDefault="00F6187D" w:rsidP="00F6187D">
      <w:pPr>
        <w:tabs>
          <w:tab w:val="left" w:pos="851"/>
        </w:tabs>
        <w:ind w:left="851"/>
        <w:rPr>
          <w:sz w:val="24"/>
          <w:szCs w:val="24"/>
        </w:rPr>
      </w:pPr>
      <w:r w:rsidRPr="00E6129F">
        <w:rPr>
          <w:sz w:val="24"/>
          <w:szCs w:val="24"/>
        </w:rPr>
        <w:t xml:space="preserve">Tilgængeligt publiceret evidens tyder på, at </w:t>
      </w:r>
      <w:proofErr w:type="spellStart"/>
      <w:r w:rsidRPr="00E6129F">
        <w:rPr>
          <w:sz w:val="24"/>
          <w:szCs w:val="24"/>
        </w:rPr>
        <w:t>protonpumpehæmmere</w:t>
      </w:r>
      <w:proofErr w:type="spellEnd"/>
      <w:r w:rsidRPr="00E6129F">
        <w:rPr>
          <w:sz w:val="24"/>
          <w:szCs w:val="24"/>
        </w:rPr>
        <w:t xml:space="preserve"> bør seponeres fra 5 dage til 2 uger før måling af </w:t>
      </w:r>
      <w:proofErr w:type="spellStart"/>
      <w:r w:rsidRPr="00E6129F">
        <w:rPr>
          <w:sz w:val="24"/>
          <w:szCs w:val="24"/>
        </w:rPr>
        <w:t>CgA</w:t>
      </w:r>
      <w:proofErr w:type="spellEnd"/>
      <w:r w:rsidRPr="00E6129F">
        <w:rPr>
          <w:sz w:val="24"/>
          <w:szCs w:val="24"/>
        </w:rPr>
        <w:t xml:space="preserve">. Dette er for at give </w:t>
      </w:r>
      <w:proofErr w:type="spellStart"/>
      <w:r w:rsidRPr="00E6129F">
        <w:rPr>
          <w:sz w:val="24"/>
          <w:szCs w:val="24"/>
        </w:rPr>
        <w:t>CgA</w:t>
      </w:r>
      <w:proofErr w:type="spellEnd"/>
      <w:r w:rsidRPr="00E6129F">
        <w:rPr>
          <w:sz w:val="24"/>
          <w:szCs w:val="24"/>
        </w:rPr>
        <w:t xml:space="preserve">-niveauer, der kan være falsk forhøjede efter behandlingen med </w:t>
      </w:r>
      <w:proofErr w:type="spellStart"/>
      <w:r w:rsidRPr="00E6129F">
        <w:rPr>
          <w:sz w:val="24"/>
          <w:szCs w:val="24"/>
        </w:rPr>
        <w:t>PPI’er</w:t>
      </w:r>
      <w:proofErr w:type="spellEnd"/>
      <w:r w:rsidRPr="00E6129F">
        <w:rPr>
          <w:sz w:val="24"/>
          <w:szCs w:val="24"/>
        </w:rPr>
        <w:t xml:space="preserve"> tid til at nå tilbage til referenceintervallet.</w:t>
      </w:r>
    </w:p>
    <w:p w14:paraId="179CF824" w14:textId="77777777" w:rsidR="009260DE" w:rsidRPr="00E6129F" w:rsidRDefault="009260DE" w:rsidP="009260DE">
      <w:pPr>
        <w:tabs>
          <w:tab w:val="left" w:pos="851"/>
        </w:tabs>
        <w:ind w:left="851"/>
        <w:rPr>
          <w:sz w:val="24"/>
          <w:szCs w:val="24"/>
        </w:rPr>
      </w:pPr>
    </w:p>
    <w:p w14:paraId="7BE83978" w14:textId="77777777" w:rsidR="009260DE" w:rsidRPr="00E6129F" w:rsidRDefault="009260DE" w:rsidP="009260DE">
      <w:pPr>
        <w:tabs>
          <w:tab w:val="left" w:pos="851"/>
        </w:tabs>
        <w:ind w:left="851" w:hanging="851"/>
        <w:rPr>
          <w:b/>
          <w:sz w:val="24"/>
          <w:szCs w:val="24"/>
        </w:rPr>
      </w:pPr>
      <w:r w:rsidRPr="00E6129F">
        <w:rPr>
          <w:b/>
          <w:sz w:val="24"/>
          <w:szCs w:val="24"/>
        </w:rPr>
        <w:t>5.2</w:t>
      </w:r>
      <w:r w:rsidRPr="00E6129F">
        <w:rPr>
          <w:b/>
          <w:sz w:val="24"/>
          <w:szCs w:val="24"/>
        </w:rPr>
        <w:tab/>
      </w:r>
      <w:proofErr w:type="spellStart"/>
      <w:r w:rsidRPr="00E6129F">
        <w:rPr>
          <w:b/>
          <w:sz w:val="24"/>
          <w:szCs w:val="24"/>
        </w:rPr>
        <w:t>Farmakokinetiske</w:t>
      </w:r>
      <w:proofErr w:type="spellEnd"/>
      <w:r w:rsidRPr="00E6129F">
        <w:rPr>
          <w:b/>
          <w:sz w:val="24"/>
          <w:szCs w:val="24"/>
        </w:rPr>
        <w:t xml:space="preserve"> egenskaber</w:t>
      </w:r>
    </w:p>
    <w:p w14:paraId="2AB8A2C8" w14:textId="77777777" w:rsidR="00075DB1" w:rsidRDefault="00075DB1" w:rsidP="00F6187D">
      <w:pPr>
        <w:tabs>
          <w:tab w:val="left" w:pos="851"/>
        </w:tabs>
        <w:ind w:left="851"/>
        <w:rPr>
          <w:sz w:val="24"/>
          <w:szCs w:val="24"/>
          <w:u w:val="single"/>
        </w:rPr>
      </w:pPr>
    </w:p>
    <w:p w14:paraId="7D6F6FCB" w14:textId="7FA9A8AB" w:rsidR="00F6187D" w:rsidRPr="00E6129F" w:rsidRDefault="00F6187D" w:rsidP="00F6187D">
      <w:pPr>
        <w:tabs>
          <w:tab w:val="left" w:pos="851"/>
        </w:tabs>
        <w:ind w:left="851"/>
        <w:rPr>
          <w:sz w:val="24"/>
          <w:szCs w:val="24"/>
          <w:u w:val="single"/>
          <w:lang w:eastAsia="da-DK"/>
        </w:rPr>
      </w:pPr>
      <w:r w:rsidRPr="00E6129F">
        <w:rPr>
          <w:sz w:val="24"/>
          <w:szCs w:val="24"/>
          <w:u w:val="single"/>
        </w:rPr>
        <w:t>Generel farmakokinetik</w:t>
      </w:r>
    </w:p>
    <w:p w14:paraId="3720BF8C" w14:textId="77777777" w:rsidR="00F6187D" w:rsidRPr="00E6129F" w:rsidRDefault="00F6187D" w:rsidP="00F6187D">
      <w:pPr>
        <w:tabs>
          <w:tab w:val="left" w:pos="851"/>
        </w:tabs>
        <w:ind w:left="851"/>
        <w:rPr>
          <w:sz w:val="24"/>
          <w:szCs w:val="24"/>
        </w:rPr>
      </w:pPr>
      <w:r w:rsidRPr="00E6129F">
        <w:rPr>
          <w:sz w:val="24"/>
          <w:szCs w:val="24"/>
        </w:rPr>
        <w:t xml:space="preserve">Farmakokinetikken ændres ikke efter en enkelt dosis eller gentagen administration. I dosisområdet 10-80 mg er </w:t>
      </w:r>
      <w:proofErr w:type="spellStart"/>
      <w:r w:rsidRPr="00E6129F">
        <w:rPr>
          <w:sz w:val="24"/>
          <w:szCs w:val="24"/>
        </w:rPr>
        <w:t>pantoprazols</w:t>
      </w:r>
      <w:proofErr w:type="spellEnd"/>
      <w:r w:rsidRPr="00E6129F">
        <w:rPr>
          <w:sz w:val="24"/>
          <w:szCs w:val="24"/>
        </w:rPr>
        <w:t xml:space="preserve"> farmakokinetik lineær efter såvel oral som intravenøs administration.</w:t>
      </w:r>
    </w:p>
    <w:p w14:paraId="7E6140FC" w14:textId="77777777" w:rsidR="00F6187D" w:rsidRPr="00E6129F" w:rsidRDefault="00F6187D" w:rsidP="00F6187D">
      <w:pPr>
        <w:tabs>
          <w:tab w:val="left" w:pos="851"/>
        </w:tabs>
        <w:ind w:left="851"/>
        <w:rPr>
          <w:sz w:val="24"/>
          <w:szCs w:val="24"/>
        </w:rPr>
      </w:pPr>
    </w:p>
    <w:p w14:paraId="74070FA9" w14:textId="77777777" w:rsidR="00F6187D" w:rsidRPr="00E6129F" w:rsidRDefault="00F6187D" w:rsidP="00F6187D">
      <w:pPr>
        <w:tabs>
          <w:tab w:val="left" w:pos="851"/>
        </w:tabs>
        <w:ind w:left="851"/>
        <w:rPr>
          <w:sz w:val="24"/>
          <w:szCs w:val="24"/>
          <w:u w:val="single"/>
        </w:rPr>
      </w:pPr>
      <w:r w:rsidRPr="00E6129F">
        <w:rPr>
          <w:sz w:val="24"/>
          <w:szCs w:val="24"/>
          <w:u w:val="single"/>
        </w:rPr>
        <w:t>Fordeling</w:t>
      </w:r>
    </w:p>
    <w:p w14:paraId="4DF0BA02" w14:textId="77777777" w:rsidR="00F6187D" w:rsidRPr="00E6129F" w:rsidRDefault="00F6187D" w:rsidP="00F6187D">
      <w:pPr>
        <w:tabs>
          <w:tab w:val="left" w:pos="851"/>
        </w:tabs>
        <w:ind w:left="851"/>
        <w:rPr>
          <w:sz w:val="24"/>
          <w:szCs w:val="24"/>
          <w:lang w:val="nb-NO"/>
        </w:rPr>
      </w:pPr>
      <w:r w:rsidRPr="00E6129F">
        <w:rPr>
          <w:sz w:val="24"/>
          <w:szCs w:val="24"/>
        </w:rPr>
        <w:t xml:space="preserve">Ca. 98 % af </w:t>
      </w:r>
      <w:proofErr w:type="spellStart"/>
      <w:r w:rsidRPr="00E6129F">
        <w:rPr>
          <w:sz w:val="24"/>
          <w:szCs w:val="24"/>
        </w:rPr>
        <w:t>pantoprazol</w:t>
      </w:r>
      <w:proofErr w:type="spellEnd"/>
      <w:r w:rsidRPr="00E6129F">
        <w:rPr>
          <w:sz w:val="24"/>
          <w:szCs w:val="24"/>
        </w:rPr>
        <w:t xml:space="preserve"> bindes til serumproteiner. </w:t>
      </w:r>
      <w:r w:rsidRPr="00E6129F">
        <w:rPr>
          <w:sz w:val="24"/>
          <w:szCs w:val="24"/>
          <w:lang w:val="nb-NO"/>
        </w:rPr>
        <w:t>Fordelingsvolumen er ca. 0,15 l/kg.</w:t>
      </w:r>
    </w:p>
    <w:p w14:paraId="271CC30F" w14:textId="77777777" w:rsidR="00F6187D" w:rsidRPr="00E6129F" w:rsidRDefault="00F6187D" w:rsidP="00F6187D">
      <w:pPr>
        <w:tabs>
          <w:tab w:val="left" w:pos="851"/>
        </w:tabs>
        <w:ind w:left="851"/>
        <w:rPr>
          <w:sz w:val="24"/>
          <w:szCs w:val="24"/>
          <w:lang w:val="nb-NO"/>
        </w:rPr>
      </w:pPr>
    </w:p>
    <w:p w14:paraId="1573D23F" w14:textId="77777777" w:rsidR="00F6187D" w:rsidRPr="00E6129F" w:rsidRDefault="00F6187D" w:rsidP="00F6187D">
      <w:pPr>
        <w:tabs>
          <w:tab w:val="left" w:pos="851"/>
        </w:tabs>
        <w:ind w:left="851"/>
        <w:rPr>
          <w:sz w:val="24"/>
          <w:szCs w:val="24"/>
          <w:u w:val="single"/>
        </w:rPr>
      </w:pPr>
      <w:r w:rsidRPr="00E6129F">
        <w:rPr>
          <w:sz w:val="24"/>
          <w:szCs w:val="24"/>
          <w:u w:val="single"/>
        </w:rPr>
        <w:t>Biotransformation</w:t>
      </w:r>
    </w:p>
    <w:p w14:paraId="17556C6B" w14:textId="77777777" w:rsidR="00F6187D" w:rsidRPr="00E6129F" w:rsidRDefault="00F6187D" w:rsidP="00F6187D">
      <w:pPr>
        <w:tabs>
          <w:tab w:val="left" w:pos="851"/>
        </w:tabs>
        <w:ind w:left="851"/>
        <w:rPr>
          <w:sz w:val="24"/>
          <w:szCs w:val="24"/>
        </w:rPr>
      </w:pPr>
      <w:r w:rsidRPr="00E6129F">
        <w:rPr>
          <w:sz w:val="24"/>
          <w:szCs w:val="24"/>
        </w:rPr>
        <w:t xml:space="preserve">Stoffet </w:t>
      </w:r>
      <w:proofErr w:type="spellStart"/>
      <w:r w:rsidRPr="00E6129F">
        <w:rPr>
          <w:sz w:val="24"/>
          <w:szCs w:val="24"/>
        </w:rPr>
        <w:t>metaboliseres</w:t>
      </w:r>
      <w:proofErr w:type="spellEnd"/>
      <w:r w:rsidRPr="00E6129F">
        <w:rPr>
          <w:sz w:val="24"/>
          <w:szCs w:val="24"/>
        </w:rPr>
        <w:t xml:space="preserve"> næsten udelukkende i leveren. Den primære </w:t>
      </w:r>
      <w:proofErr w:type="spellStart"/>
      <w:r w:rsidRPr="00E6129F">
        <w:rPr>
          <w:sz w:val="24"/>
          <w:szCs w:val="24"/>
        </w:rPr>
        <w:t>metaboliseringsvej</w:t>
      </w:r>
      <w:proofErr w:type="spellEnd"/>
      <w:r w:rsidRPr="00E6129F">
        <w:rPr>
          <w:sz w:val="24"/>
          <w:szCs w:val="24"/>
        </w:rPr>
        <w:t xml:space="preserve"> er </w:t>
      </w:r>
      <w:proofErr w:type="spellStart"/>
      <w:r w:rsidRPr="00E6129F">
        <w:rPr>
          <w:sz w:val="24"/>
          <w:szCs w:val="24"/>
        </w:rPr>
        <w:t>demethylering</w:t>
      </w:r>
      <w:proofErr w:type="spellEnd"/>
      <w:r w:rsidRPr="00E6129F">
        <w:rPr>
          <w:sz w:val="24"/>
          <w:szCs w:val="24"/>
        </w:rPr>
        <w:t xml:space="preserve"> via CYP2C19 med efterfølgende </w:t>
      </w:r>
      <w:proofErr w:type="spellStart"/>
      <w:r w:rsidRPr="00E6129F">
        <w:rPr>
          <w:sz w:val="24"/>
          <w:szCs w:val="24"/>
        </w:rPr>
        <w:t>sulfatkonjugering</w:t>
      </w:r>
      <w:proofErr w:type="spellEnd"/>
      <w:r w:rsidRPr="00E6129F">
        <w:rPr>
          <w:sz w:val="24"/>
          <w:szCs w:val="24"/>
        </w:rPr>
        <w:t xml:space="preserve">, andre </w:t>
      </w:r>
      <w:proofErr w:type="spellStart"/>
      <w:r w:rsidRPr="00E6129F">
        <w:rPr>
          <w:sz w:val="24"/>
          <w:szCs w:val="24"/>
        </w:rPr>
        <w:t>metaboliseringsveje</w:t>
      </w:r>
      <w:proofErr w:type="spellEnd"/>
      <w:r w:rsidRPr="00E6129F">
        <w:rPr>
          <w:sz w:val="24"/>
          <w:szCs w:val="24"/>
        </w:rPr>
        <w:t xml:space="preserve"> omfatter oxidation via CYP3A4.</w:t>
      </w:r>
    </w:p>
    <w:p w14:paraId="432CFAD2" w14:textId="77777777" w:rsidR="00F6187D" w:rsidRPr="00E6129F" w:rsidRDefault="00F6187D" w:rsidP="00F6187D">
      <w:pPr>
        <w:tabs>
          <w:tab w:val="left" w:pos="851"/>
        </w:tabs>
        <w:ind w:left="851"/>
        <w:rPr>
          <w:sz w:val="24"/>
          <w:szCs w:val="24"/>
        </w:rPr>
      </w:pPr>
    </w:p>
    <w:p w14:paraId="2F9F1BBD" w14:textId="77777777" w:rsidR="00F6187D" w:rsidRPr="00E6129F" w:rsidRDefault="00F6187D" w:rsidP="00F6187D">
      <w:pPr>
        <w:tabs>
          <w:tab w:val="left" w:pos="851"/>
        </w:tabs>
        <w:ind w:left="851"/>
        <w:rPr>
          <w:sz w:val="24"/>
          <w:szCs w:val="24"/>
          <w:u w:val="single"/>
        </w:rPr>
      </w:pPr>
      <w:r w:rsidRPr="00E6129F">
        <w:rPr>
          <w:sz w:val="24"/>
          <w:szCs w:val="24"/>
          <w:u w:val="single"/>
        </w:rPr>
        <w:t>Elimination</w:t>
      </w:r>
    </w:p>
    <w:p w14:paraId="05F7E626" w14:textId="77777777" w:rsidR="00F6187D" w:rsidRPr="00E6129F" w:rsidRDefault="00F6187D" w:rsidP="00F6187D">
      <w:pPr>
        <w:tabs>
          <w:tab w:val="left" w:pos="851"/>
        </w:tabs>
        <w:ind w:left="851"/>
        <w:rPr>
          <w:sz w:val="24"/>
          <w:szCs w:val="24"/>
        </w:rPr>
      </w:pPr>
      <w:r w:rsidRPr="00E6129F">
        <w:rPr>
          <w:sz w:val="24"/>
          <w:szCs w:val="24"/>
        </w:rPr>
        <w:t xml:space="preserve">Den terminale halveringstid er ca. 1 time, og </w:t>
      </w:r>
      <w:proofErr w:type="spellStart"/>
      <w:r w:rsidRPr="00E6129F">
        <w:rPr>
          <w:sz w:val="24"/>
          <w:szCs w:val="24"/>
        </w:rPr>
        <w:t>clearance</w:t>
      </w:r>
      <w:proofErr w:type="spellEnd"/>
      <w:r w:rsidRPr="00E6129F">
        <w:rPr>
          <w:sz w:val="24"/>
          <w:szCs w:val="24"/>
        </w:rPr>
        <w:t xml:space="preserve"> er ca. 0,1 l/time/kg. Der var et par tilfælde, hvor personerne havde en forsinket elimination. På grund af </w:t>
      </w:r>
      <w:proofErr w:type="spellStart"/>
      <w:r w:rsidRPr="00E6129F">
        <w:rPr>
          <w:sz w:val="24"/>
          <w:szCs w:val="24"/>
        </w:rPr>
        <w:t>pantoprazols</w:t>
      </w:r>
      <w:proofErr w:type="spellEnd"/>
      <w:r w:rsidRPr="00E6129F">
        <w:rPr>
          <w:sz w:val="24"/>
          <w:szCs w:val="24"/>
        </w:rPr>
        <w:t xml:space="preserve"> specifikke binding til </w:t>
      </w:r>
      <w:proofErr w:type="spellStart"/>
      <w:r w:rsidRPr="00E6129F">
        <w:rPr>
          <w:sz w:val="24"/>
          <w:szCs w:val="24"/>
        </w:rPr>
        <w:t>parietalcellernes</w:t>
      </w:r>
      <w:proofErr w:type="spellEnd"/>
      <w:r w:rsidRPr="00E6129F">
        <w:rPr>
          <w:sz w:val="24"/>
          <w:szCs w:val="24"/>
        </w:rPr>
        <w:t xml:space="preserve"> protonpumper, korrelerer eliminationshalveringstiden ikke med den meget længere virkningsvarighed (hæmning af syresekretionen).</w:t>
      </w:r>
    </w:p>
    <w:p w14:paraId="1244F408" w14:textId="77777777" w:rsidR="00F6187D" w:rsidRPr="00E6129F" w:rsidRDefault="00F6187D" w:rsidP="00F6187D">
      <w:pPr>
        <w:tabs>
          <w:tab w:val="left" w:pos="851"/>
        </w:tabs>
        <w:ind w:left="851"/>
        <w:rPr>
          <w:sz w:val="24"/>
          <w:szCs w:val="24"/>
        </w:rPr>
      </w:pPr>
    </w:p>
    <w:p w14:paraId="7A52A188" w14:textId="77777777" w:rsidR="00F6187D" w:rsidRPr="00E6129F" w:rsidRDefault="00F6187D" w:rsidP="00F6187D">
      <w:pPr>
        <w:tabs>
          <w:tab w:val="left" w:pos="851"/>
        </w:tabs>
        <w:ind w:left="851"/>
        <w:rPr>
          <w:sz w:val="24"/>
          <w:szCs w:val="24"/>
        </w:rPr>
      </w:pPr>
      <w:proofErr w:type="spellStart"/>
      <w:r w:rsidRPr="00E6129F">
        <w:rPr>
          <w:sz w:val="24"/>
          <w:szCs w:val="24"/>
        </w:rPr>
        <w:t>Pantoprazols</w:t>
      </w:r>
      <w:proofErr w:type="spellEnd"/>
      <w:r w:rsidRPr="00E6129F">
        <w:rPr>
          <w:sz w:val="24"/>
          <w:szCs w:val="24"/>
        </w:rPr>
        <w:t xml:space="preserve"> metabolitter udskilles primært via nyrerne (omkring 80 %), mens resten udskilles med fæces. Den primære metabolit i såvel serum som urin er </w:t>
      </w:r>
      <w:proofErr w:type="spellStart"/>
      <w:r w:rsidRPr="00E6129F">
        <w:rPr>
          <w:sz w:val="24"/>
          <w:szCs w:val="24"/>
        </w:rPr>
        <w:lastRenderedPageBreak/>
        <w:t>desmethylpantoprazol</w:t>
      </w:r>
      <w:proofErr w:type="spellEnd"/>
      <w:r w:rsidRPr="00E6129F">
        <w:rPr>
          <w:sz w:val="24"/>
          <w:szCs w:val="24"/>
        </w:rPr>
        <w:t xml:space="preserve">, som konjugeres med sulfat. Halveringstiden er ikke meget længere for den primære metabolit (omkring 1,5 time) end for </w:t>
      </w:r>
      <w:proofErr w:type="spellStart"/>
      <w:r w:rsidRPr="00E6129F">
        <w:rPr>
          <w:sz w:val="24"/>
          <w:szCs w:val="24"/>
        </w:rPr>
        <w:t>pantoprazol</w:t>
      </w:r>
      <w:proofErr w:type="spellEnd"/>
      <w:r w:rsidRPr="00E6129F">
        <w:rPr>
          <w:sz w:val="24"/>
          <w:szCs w:val="24"/>
        </w:rPr>
        <w:t>.</w:t>
      </w:r>
    </w:p>
    <w:p w14:paraId="4F0BDB50" w14:textId="77777777" w:rsidR="00F6187D" w:rsidRPr="00E6129F" w:rsidRDefault="00F6187D" w:rsidP="00F6187D">
      <w:pPr>
        <w:tabs>
          <w:tab w:val="left" w:pos="851"/>
        </w:tabs>
        <w:ind w:left="851"/>
        <w:rPr>
          <w:sz w:val="24"/>
          <w:szCs w:val="24"/>
        </w:rPr>
      </w:pPr>
    </w:p>
    <w:p w14:paraId="14E95E1D" w14:textId="77777777" w:rsidR="00F6187D" w:rsidRPr="00E6129F" w:rsidRDefault="00F6187D" w:rsidP="00F6187D">
      <w:pPr>
        <w:tabs>
          <w:tab w:val="left" w:pos="851"/>
        </w:tabs>
        <w:ind w:left="851"/>
        <w:rPr>
          <w:sz w:val="24"/>
          <w:szCs w:val="24"/>
          <w:u w:val="single"/>
        </w:rPr>
      </w:pPr>
      <w:r w:rsidRPr="00E6129F">
        <w:rPr>
          <w:sz w:val="24"/>
          <w:szCs w:val="24"/>
          <w:u w:val="single"/>
        </w:rPr>
        <w:t>Specielle populationer</w:t>
      </w:r>
    </w:p>
    <w:p w14:paraId="57CC2E0A" w14:textId="77777777" w:rsidR="00F6187D" w:rsidRPr="00E6129F" w:rsidRDefault="00F6187D" w:rsidP="00F6187D">
      <w:pPr>
        <w:tabs>
          <w:tab w:val="left" w:pos="851"/>
        </w:tabs>
        <w:ind w:left="851"/>
        <w:rPr>
          <w:i/>
          <w:sz w:val="24"/>
          <w:szCs w:val="24"/>
        </w:rPr>
      </w:pPr>
      <w:r w:rsidRPr="00E6129F">
        <w:rPr>
          <w:i/>
          <w:sz w:val="24"/>
          <w:szCs w:val="24"/>
        </w:rPr>
        <w:t>Dårlig metabolisme</w:t>
      </w:r>
    </w:p>
    <w:p w14:paraId="4F0F159E" w14:textId="77777777" w:rsidR="00F6187D" w:rsidRPr="00E6129F" w:rsidRDefault="00F6187D" w:rsidP="00F6187D">
      <w:pPr>
        <w:tabs>
          <w:tab w:val="left" w:pos="851"/>
        </w:tabs>
        <w:ind w:left="851"/>
        <w:rPr>
          <w:sz w:val="24"/>
          <w:szCs w:val="24"/>
        </w:rPr>
      </w:pPr>
      <w:r w:rsidRPr="00E6129F">
        <w:rPr>
          <w:sz w:val="24"/>
          <w:szCs w:val="24"/>
        </w:rPr>
        <w:t xml:space="preserve">Ca. 3 % af befolkningen i Europa mangler et funktionelt CYP2C19-enzym og har derfor dårlig metabolisme. Hos disse individer katalyseres omsætningen af </w:t>
      </w:r>
      <w:proofErr w:type="spellStart"/>
      <w:r w:rsidRPr="00E6129F">
        <w:rPr>
          <w:sz w:val="24"/>
          <w:szCs w:val="24"/>
        </w:rPr>
        <w:t>pantoprazol</w:t>
      </w:r>
      <w:proofErr w:type="spellEnd"/>
      <w:r w:rsidRPr="00E6129F">
        <w:rPr>
          <w:sz w:val="24"/>
          <w:szCs w:val="24"/>
        </w:rPr>
        <w:t xml:space="preserve"> formentlig primært via CYP3A4. Efter administration af en enkelt dosis på 40 mg </w:t>
      </w:r>
      <w:proofErr w:type="spellStart"/>
      <w:r w:rsidRPr="00E6129F">
        <w:rPr>
          <w:sz w:val="24"/>
          <w:szCs w:val="24"/>
        </w:rPr>
        <w:t>pantoprazol</w:t>
      </w:r>
      <w:proofErr w:type="spellEnd"/>
      <w:r w:rsidRPr="00E6129F">
        <w:rPr>
          <w:sz w:val="24"/>
          <w:szCs w:val="24"/>
        </w:rPr>
        <w:t xml:space="preserve"> var det gennemsnitlige areal under kurven ca. 6 gange højere hos individer med dårlig metabolisme end hos personer med et funktionelt CYP2C19-enzym (omfattende metabolisme). Den gennemsnitlige maksimale plasmakoncentration var øget med ca. 60 %. Disse fund har ingen indflydelse på doseringen af </w:t>
      </w:r>
      <w:proofErr w:type="spellStart"/>
      <w:r w:rsidRPr="00E6129F">
        <w:rPr>
          <w:sz w:val="24"/>
          <w:szCs w:val="24"/>
        </w:rPr>
        <w:t>pantoprazol</w:t>
      </w:r>
      <w:proofErr w:type="spellEnd"/>
      <w:r w:rsidRPr="00E6129F">
        <w:rPr>
          <w:sz w:val="24"/>
          <w:szCs w:val="24"/>
        </w:rPr>
        <w:t>.</w:t>
      </w:r>
    </w:p>
    <w:p w14:paraId="10BD1C07" w14:textId="77777777" w:rsidR="00F6187D" w:rsidRPr="00E6129F" w:rsidRDefault="00F6187D" w:rsidP="00F6187D">
      <w:pPr>
        <w:tabs>
          <w:tab w:val="left" w:pos="851"/>
        </w:tabs>
        <w:ind w:left="851"/>
        <w:rPr>
          <w:sz w:val="24"/>
          <w:szCs w:val="24"/>
        </w:rPr>
      </w:pPr>
    </w:p>
    <w:p w14:paraId="41E8F2EA" w14:textId="77777777" w:rsidR="00F6187D" w:rsidRPr="00E6129F" w:rsidRDefault="00F6187D" w:rsidP="00F6187D">
      <w:pPr>
        <w:tabs>
          <w:tab w:val="left" w:pos="851"/>
        </w:tabs>
        <w:ind w:left="851"/>
        <w:rPr>
          <w:i/>
          <w:sz w:val="24"/>
          <w:szCs w:val="24"/>
        </w:rPr>
      </w:pPr>
      <w:r w:rsidRPr="00E6129F">
        <w:rPr>
          <w:i/>
          <w:sz w:val="24"/>
          <w:szCs w:val="24"/>
        </w:rPr>
        <w:t>Nedsat nyrefunktion</w:t>
      </w:r>
    </w:p>
    <w:p w14:paraId="20BBC198" w14:textId="77777777" w:rsidR="00F6187D" w:rsidRPr="00E6129F" w:rsidRDefault="00F6187D" w:rsidP="00F6187D">
      <w:pPr>
        <w:tabs>
          <w:tab w:val="left" w:pos="851"/>
        </w:tabs>
        <w:ind w:left="851"/>
        <w:rPr>
          <w:sz w:val="24"/>
          <w:szCs w:val="24"/>
        </w:rPr>
      </w:pPr>
      <w:r w:rsidRPr="00E6129F">
        <w:rPr>
          <w:sz w:val="24"/>
          <w:szCs w:val="24"/>
        </w:rPr>
        <w:t xml:space="preserve">Dosisreduktion anbefales ikke ved administration af </w:t>
      </w:r>
      <w:proofErr w:type="spellStart"/>
      <w:r w:rsidRPr="00E6129F">
        <w:rPr>
          <w:sz w:val="24"/>
          <w:szCs w:val="24"/>
        </w:rPr>
        <w:t>pantoprazol</w:t>
      </w:r>
      <w:proofErr w:type="spellEnd"/>
      <w:r w:rsidRPr="00E6129F">
        <w:rPr>
          <w:sz w:val="24"/>
          <w:szCs w:val="24"/>
        </w:rPr>
        <w:t xml:space="preserve"> til patienter med nedsat nyrefunktion (herunder dialysepatienter). Som hos raske personer er </w:t>
      </w:r>
      <w:proofErr w:type="spellStart"/>
      <w:r w:rsidRPr="00E6129F">
        <w:rPr>
          <w:sz w:val="24"/>
          <w:szCs w:val="24"/>
        </w:rPr>
        <w:t>pantoprazols</w:t>
      </w:r>
      <w:proofErr w:type="spellEnd"/>
      <w:r w:rsidRPr="00E6129F">
        <w:rPr>
          <w:sz w:val="24"/>
          <w:szCs w:val="24"/>
        </w:rPr>
        <w:t xml:space="preserve"> halveringstid kort. Kun meget små mængder </w:t>
      </w:r>
      <w:proofErr w:type="spellStart"/>
      <w:r w:rsidRPr="00E6129F">
        <w:rPr>
          <w:sz w:val="24"/>
          <w:szCs w:val="24"/>
        </w:rPr>
        <w:t>pantoprazol</w:t>
      </w:r>
      <w:proofErr w:type="spellEnd"/>
      <w:r w:rsidRPr="00E6129F">
        <w:rPr>
          <w:sz w:val="24"/>
          <w:szCs w:val="24"/>
        </w:rPr>
        <w:t xml:space="preserve"> kan fjernes ved dialyse. Selvom den primære metabolit har en moderat forlænget halveringstid (2-3 timer), er udskillelsen stadig hurtig, og akkumulation finder således ikke sted.</w:t>
      </w:r>
    </w:p>
    <w:p w14:paraId="5DFE9BBD" w14:textId="77777777" w:rsidR="00F6187D" w:rsidRPr="00E6129F" w:rsidRDefault="00F6187D" w:rsidP="00F6187D">
      <w:pPr>
        <w:tabs>
          <w:tab w:val="left" w:pos="851"/>
        </w:tabs>
        <w:ind w:left="851"/>
        <w:rPr>
          <w:sz w:val="24"/>
          <w:szCs w:val="24"/>
        </w:rPr>
      </w:pPr>
    </w:p>
    <w:p w14:paraId="0BA9925B" w14:textId="77777777" w:rsidR="00F6187D" w:rsidRPr="00E6129F" w:rsidRDefault="00F6187D" w:rsidP="00F6187D">
      <w:pPr>
        <w:tabs>
          <w:tab w:val="left" w:pos="851"/>
        </w:tabs>
        <w:ind w:left="851"/>
        <w:rPr>
          <w:i/>
          <w:sz w:val="24"/>
          <w:szCs w:val="24"/>
        </w:rPr>
      </w:pPr>
      <w:r w:rsidRPr="00E6129F">
        <w:rPr>
          <w:i/>
          <w:sz w:val="24"/>
          <w:szCs w:val="24"/>
        </w:rPr>
        <w:t>Nedsat leverfunktion</w:t>
      </w:r>
    </w:p>
    <w:p w14:paraId="036067BB" w14:textId="77777777" w:rsidR="00F6187D" w:rsidRPr="00E6129F" w:rsidRDefault="00F6187D" w:rsidP="00F6187D">
      <w:pPr>
        <w:tabs>
          <w:tab w:val="left" w:pos="851"/>
        </w:tabs>
        <w:ind w:left="851"/>
        <w:rPr>
          <w:sz w:val="24"/>
          <w:szCs w:val="24"/>
        </w:rPr>
      </w:pPr>
      <w:r w:rsidRPr="00E6129F">
        <w:rPr>
          <w:sz w:val="24"/>
          <w:szCs w:val="24"/>
        </w:rPr>
        <w:t>Selvom halveringstiden steg til 7-9 timer, og AUC-værdierne steg med faktor 5-7 hos patienter med levercirrose (klasse A og B i henhold til Child), sås kun en mindre stigning i maksimal serumkoncentration med faktor 1,5 i forhold til hos raske personer.</w:t>
      </w:r>
    </w:p>
    <w:p w14:paraId="24782D07" w14:textId="77777777" w:rsidR="00F6187D" w:rsidRPr="00E6129F" w:rsidRDefault="00F6187D" w:rsidP="00F6187D">
      <w:pPr>
        <w:tabs>
          <w:tab w:val="left" w:pos="851"/>
        </w:tabs>
        <w:ind w:left="851"/>
        <w:rPr>
          <w:sz w:val="24"/>
          <w:szCs w:val="24"/>
        </w:rPr>
      </w:pPr>
    </w:p>
    <w:p w14:paraId="316432F2" w14:textId="77777777" w:rsidR="00F6187D" w:rsidRPr="00E6129F" w:rsidRDefault="00F6187D" w:rsidP="00F6187D">
      <w:pPr>
        <w:tabs>
          <w:tab w:val="left" w:pos="851"/>
        </w:tabs>
        <w:ind w:left="851"/>
        <w:rPr>
          <w:i/>
          <w:sz w:val="24"/>
          <w:szCs w:val="24"/>
        </w:rPr>
      </w:pPr>
      <w:r w:rsidRPr="00E6129F">
        <w:rPr>
          <w:i/>
          <w:sz w:val="24"/>
          <w:szCs w:val="24"/>
        </w:rPr>
        <w:t>Ældre</w:t>
      </w:r>
    </w:p>
    <w:p w14:paraId="6C0339BD" w14:textId="77777777" w:rsidR="00F6187D" w:rsidRPr="00E6129F" w:rsidRDefault="00F6187D" w:rsidP="00F6187D">
      <w:pPr>
        <w:tabs>
          <w:tab w:val="left" w:pos="851"/>
        </w:tabs>
        <w:ind w:left="851"/>
        <w:rPr>
          <w:sz w:val="24"/>
          <w:szCs w:val="24"/>
        </w:rPr>
      </w:pPr>
      <w:r w:rsidRPr="00E6129F">
        <w:rPr>
          <w:sz w:val="24"/>
          <w:szCs w:val="24"/>
        </w:rPr>
        <w:t xml:space="preserve">En mindre stigning i AUC og </w:t>
      </w:r>
      <w:proofErr w:type="spellStart"/>
      <w:r w:rsidRPr="00E6129F">
        <w:rPr>
          <w:sz w:val="24"/>
          <w:szCs w:val="24"/>
        </w:rPr>
        <w:t>C</w:t>
      </w:r>
      <w:r w:rsidRPr="00E6129F">
        <w:rPr>
          <w:sz w:val="24"/>
          <w:szCs w:val="24"/>
          <w:vertAlign w:val="subscript"/>
        </w:rPr>
        <w:t>max</w:t>
      </w:r>
      <w:proofErr w:type="spellEnd"/>
      <w:r w:rsidRPr="00E6129F">
        <w:rPr>
          <w:sz w:val="24"/>
          <w:szCs w:val="24"/>
        </w:rPr>
        <w:t xml:space="preserve"> hos ældre frivillige personer sammenlignet med yngre har heller ingen klinisk relevans.</w:t>
      </w:r>
    </w:p>
    <w:p w14:paraId="52CB00F8" w14:textId="77777777" w:rsidR="00F6187D" w:rsidRPr="00E6129F" w:rsidRDefault="00F6187D" w:rsidP="00F6187D">
      <w:pPr>
        <w:tabs>
          <w:tab w:val="left" w:pos="851"/>
        </w:tabs>
        <w:ind w:left="851"/>
        <w:rPr>
          <w:sz w:val="24"/>
          <w:szCs w:val="24"/>
        </w:rPr>
      </w:pPr>
    </w:p>
    <w:p w14:paraId="50F106EE" w14:textId="77777777" w:rsidR="00F6187D" w:rsidRPr="00E6129F" w:rsidRDefault="00F6187D" w:rsidP="00F6187D">
      <w:pPr>
        <w:tabs>
          <w:tab w:val="left" w:pos="851"/>
        </w:tabs>
        <w:ind w:left="851"/>
        <w:rPr>
          <w:i/>
          <w:sz w:val="24"/>
          <w:szCs w:val="24"/>
        </w:rPr>
      </w:pPr>
      <w:r w:rsidRPr="00E6129F">
        <w:rPr>
          <w:i/>
          <w:sz w:val="24"/>
          <w:szCs w:val="24"/>
        </w:rPr>
        <w:t>Pædiatrisk population</w:t>
      </w:r>
    </w:p>
    <w:p w14:paraId="49A3B453" w14:textId="77777777" w:rsidR="00F6187D" w:rsidRPr="00E6129F" w:rsidRDefault="00F6187D" w:rsidP="00F6187D">
      <w:pPr>
        <w:tabs>
          <w:tab w:val="left" w:pos="851"/>
        </w:tabs>
        <w:ind w:left="851"/>
        <w:rPr>
          <w:sz w:val="24"/>
          <w:szCs w:val="24"/>
        </w:rPr>
      </w:pPr>
      <w:r w:rsidRPr="00E6129F">
        <w:rPr>
          <w:sz w:val="24"/>
          <w:szCs w:val="24"/>
        </w:rPr>
        <w:t xml:space="preserve">Efter administration af en enkelt intravenøs dosis </w:t>
      </w:r>
      <w:proofErr w:type="spellStart"/>
      <w:r w:rsidRPr="00E6129F">
        <w:rPr>
          <w:sz w:val="24"/>
          <w:szCs w:val="24"/>
        </w:rPr>
        <w:t>pantoprazol</w:t>
      </w:r>
      <w:proofErr w:type="spellEnd"/>
      <w:r w:rsidRPr="00E6129F">
        <w:rPr>
          <w:sz w:val="24"/>
          <w:szCs w:val="24"/>
        </w:rPr>
        <w:t xml:space="preserve"> på 0,8 eller 1,6 mg/kg hos børn i alderen 2-16 år sås ingen signifikant forbindelse mellem </w:t>
      </w:r>
      <w:proofErr w:type="spellStart"/>
      <w:r w:rsidRPr="00E6129F">
        <w:rPr>
          <w:sz w:val="24"/>
          <w:szCs w:val="24"/>
        </w:rPr>
        <w:t>clearance</w:t>
      </w:r>
      <w:proofErr w:type="spellEnd"/>
      <w:r w:rsidRPr="00E6129F">
        <w:rPr>
          <w:sz w:val="24"/>
          <w:szCs w:val="24"/>
        </w:rPr>
        <w:t xml:space="preserve"> af </w:t>
      </w:r>
      <w:proofErr w:type="spellStart"/>
      <w:r w:rsidRPr="00E6129F">
        <w:rPr>
          <w:sz w:val="24"/>
          <w:szCs w:val="24"/>
        </w:rPr>
        <w:t>pantoprazol</w:t>
      </w:r>
      <w:proofErr w:type="spellEnd"/>
      <w:r w:rsidRPr="00E6129F">
        <w:rPr>
          <w:sz w:val="24"/>
          <w:szCs w:val="24"/>
        </w:rPr>
        <w:t xml:space="preserve"> og alder eller vægt. AUC og fordelingsvolumen svarede til data fra voksne.</w:t>
      </w:r>
    </w:p>
    <w:p w14:paraId="4DA8BB6E" w14:textId="77777777" w:rsidR="009260DE" w:rsidRPr="00E6129F" w:rsidRDefault="009260DE" w:rsidP="009260DE">
      <w:pPr>
        <w:tabs>
          <w:tab w:val="left" w:pos="851"/>
        </w:tabs>
        <w:ind w:left="851"/>
        <w:rPr>
          <w:sz w:val="24"/>
          <w:szCs w:val="24"/>
        </w:rPr>
      </w:pPr>
    </w:p>
    <w:p w14:paraId="5D2B465F" w14:textId="0A970FF8" w:rsidR="009260DE" w:rsidRPr="00E6129F" w:rsidRDefault="009260DE" w:rsidP="009260DE">
      <w:pPr>
        <w:tabs>
          <w:tab w:val="left" w:pos="851"/>
        </w:tabs>
        <w:ind w:left="851" w:hanging="851"/>
        <w:rPr>
          <w:b/>
          <w:sz w:val="24"/>
          <w:szCs w:val="24"/>
        </w:rPr>
      </w:pPr>
      <w:r w:rsidRPr="00E6129F">
        <w:rPr>
          <w:b/>
          <w:sz w:val="24"/>
          <w:szCs w:val="24"/>
        </w:rPr>
        <w:t>5.3</w:t>
      </w:r>
      <w:r w:rsidRPr="00E6129F">
        <w:rPr>
          <w:b/>
          <w:sz w:val="24"/>
          <w:szCs w:val="24"/>
        </w:rPr>
        <w:tab/>
      </w:r>
      <w:bookmarkStart w:id="5" w:name="_Hlk121750318"/>
      <w:r w:rsidR="00D00FCC" w:rsidRPr="00BA4587">
        <w:rPr>
          <w:b/>
          <w:sz w:val="24"/>
          <w:szCs w:val="24"/>
        </w:rPr>
        <w:t>Non-kliniske sikkerhedsdata</w:t>
      </w:r>
      <w:bookmarkEnd w:id="5"/>
    </w:p>
    <w:p w14:paraId="456C6C1C" w14:textId="77777777" w:rsidR="00F6187D" w:rsidRPr="00E6129F" w:rsidRDefault="00F6187D" w:rsidP="00F6187D">
      <w:pPr>
        <w:tabs>
          <w:tab w:val="left" w:pos="851"/>
        </w:tabs>
        <w:ind w:left="851"/>
        <w:rPr>
          <w:sz w:val="24"/>
          <w:szCs w:val="24"/>
          <w:lang w:eastAsia="da-DK"/>
        </w:rPr>
      </w:pPr>
      <w:r w:rsidRPr="00E6129F">
        <w:rPr>
          <w:sz w:val="24"/>
          <w:szCs w:val="24"/>
        </w:rPr>
        <w:t>Non-kliniske data viser ingen speciel risiko for mennesker vurderet ud fra konventionelle studier af sikkerhedsfarmakologi, toksicitet efter gentagne doser og genotoksicitet.</w:t>
      </w:r>
    </w:p>
    <w:p w14:paraId="6B7C3B6C" w14:textId="77777777" w:rsidR="00F6187D" w:rsidRPr="00E6129F" w:rsidRDefault="00F6187D" w:rsidP="00F6187D">
      <w:pPr>
        <w:tabs>
          <w:tab w:val="left" w:pos="851"/>
        </w:tabs>
        <w:ind w:left="851"/>
        <w:rPr>
          <w:sz w:val="24"/>
          <w:szCs w:val="24"/>
        </w:rPr>
      </w:pPr>
    </w:p>
    <w:p w14:paraId="1800827E" w14:textId="77777777" w:rsidR="00F6187D" w:rsidRPr="00E6129F" w:rsidRDefault="00F6187D" w:rsidP="00F6187D">
      <w:pPr>
        <w:tabs>
          <w:tab w:val="left" w:pos="851"/>
        </w:tabs>
        <w:ind w:left="851"/>
        <w:rPr>
          <w:sz w:val="24"/>
          <w:szCs w:val="24"/>
        </w:rPr>
      </w:pPr>
      <w:r w:rsidRPr="00E6129F">
        <w:rPr>
          <w:sz w:val="24"/>
          <w:szCs w:val="24"/>
        </w:rPr>
        <w:t xml:space="preserve">I det toårige </w:t>
      </w:r>
      <w:proofErr w:type="spellStart"/>
      <w:r w:rsidRPr="00E6129F">
        <w:rPr>
          <w:sz w:val="24"/>
          <w:szCs w:val="24"/>
        </w:rPr>
        <w:t>karcinogenicitetsstudie</w:t>
      </w:r>
      <w:proofErr w:type="spellEnd"/>
      <w:r w:rsidRPr="00E6129F">
        <w:rPr>
          <w:sz w:val="24"/>
          <w:szCs w:val="24"/>
        </w:rPr>
        <w:t xml:space="preserve"> med rotter blev der påvist </w:t>
      </w:r>
      <w:proofErr w:type="spellStart"/>
      <w:r w:rsidRPr="00E6129F">
        <w:rPr>
          <w:sz w:val="24"/>
          <w:szCs w:val="24"/>
        </w:rPr>
        <w:t>neuroendokrine</w:t>
      </w:r>
      <w:proofErr w:type="spellEnd"/>
      <w:r w:rsidRPr="00E6129F">
        <w:rPr>
          <w:sz w:val="24"/>
          <w:szCs w:val="24"/>
        </w:rPr>
        <w:t xml:space="preserve"> neoplasmer. Desuden blev der i </w:t>
      </w:r>
      <w:proofErr w:type="spellStart"/>
      <w:r w:rsidRPr="00E6129F">
        <w:rPr>
          <w:sz w:val="24"/>
          <w:szCs w:val="24"/>
        </w:rPr>
        <w:t>formaven</w:t>
      </w:r>
      <w:proofErr w:type="spellEnd"/>
      <w:r w:rsidRPr="00E6129F">
        <w:rPr>
          <w:sz w:val="24"/>
          <w:szCs w:val="24"/>
        </w:rPr>
        <w:t xml:space="preserve"> hos rotter fundet </w:t>
      </w:r>
      <w:proofErr w:type="spellStart"/>
      <w:r w:rsidRPr="00E6129F">
        <w:rPr>
          <w:sz w:val="24"/>
          <w:szCs w:val="24"/>
        </w:rPr>
        <w:t>planocellulære</w:t>
      </w:r>
      <w:proofErr w:type="spellEnd"/>
      <w:r w:rsidRPr="00E6129F">
        <w:rPr>
          <w:sz w:val="24"/>
          <w:szCs w:val="24"/>
        </w:rPr>
        <w:t xml:space="preserve"> </w:t>
      </w:r>
      <w:proofErr w:type="spellStart"/>
      <w:r w:rsidRPr="00E6129F">
        <w:rPr>
          <w:sz w:val="24"/>
          <w:szCs w:val="24"/>
        </w:rPr>
        <w:t>papillomer</w:t>
      </w:r>
      <w:proofErr w:type="spellEnd"/>
      <w:r w:rsidRPr="00E6129F">
        <w:rPr>
          <w:sz w:val="24"/>
          <w:szCs w:val="24"/>
        </w:rPr>
        <w:t xml:space="preserve">. Den mekanisme, der bevirker, at substituerede </w:t>
      </w:r>
      <w:proofErr w:type="spellStart"/>
      <w:r w:rsidRPr="00E6129F">
        <w:rPr>
          <w:sz w:val="24"/>
          <w:szCs w:val="24"/>
        </w:rPr>
        <w:t>benzimidazoler</w:t>
      </w:r>
      <w:proofErr w:type="spellEnd"/>
      <w:r w:rsidRPr="00E6129F">
        <w:rPr>
          <w:sz w:val="24"/>
          <w:szCs w:val="24"/>
        </w:rPr>
        <w:t xml:space="preserve"> danner </w:t>
      </w:r>
      <w:proofErr w:type="spellStart"/>
      <w:r w:rsidRPr="00E6129F">
        <w:rPr>
          <w:sz w:val="24"/>
          <w:szCs w:val="24"/>
        </w:rPr>
        <w:t>ventrikelkarcinoider</w:t>
      </w:r>
      <w:proofErr w:type="spellEnd"/>
      <w:r w:rsidRPr="00E6129F">
        <w:rPr>
          <w:sz w:val="24"/>
          <w:szCs w:val="24"/>
        </w:rPr>
        <w:t xml:space="preserve">, er undersøgt nøje. Det førte til den konklusion, at det er en sekundær reaktion på de massivt forhøjede </w:t>
      </w:r>
      <w:proofErr w:type="spellStart"/>
      <w:r w:rsidRPr="00E6129F">
        <w:rPr>
          <w:sz w:val="24"/>
          <w:szCs w:val="24"/>
        </w:rPr>
        <w:t>serumgastrinkoncentrationer</w:t>
      </w:r>
      <w:proofErr w:type="spellEnd"/>
      <w:r w:rsidRPr="00E6129F">
        <w:rPr>
          <w:sz w:val="24"/>
          <w:szCs w:val="24"/>
        </w:rPr>
        <w:t xml:space="preserve">, som forekommer hos rotter under kronisk behandling med høje doser. I det toårige studie med gnavere sås en øget forekomst af levertumorer hos rotter og </w:t>
      </w:r>
      <w:proofErr w:type="spellStart"/>
      <w:r w:rsidRPr="00E6129F">
        <w:rPr>
          <w:sz w:val="24"/>
          <w:szCs w:val="24"/>
        </w:rPr>
        <w:t>hunmus</w:t>
      </w:r>
      <w:proofErr w:type="spellEnd"/>
      <w:r w:rsidRPr="00E6129F">
        <w:rPr>
          <w:sz w:val="24"/>
          <w:szCs w:val="24"/>
        </w:rPr>
        <w:t xml:space="preserve">, hvilket blev fortolket som en konsekvens af </w:t>
      </w:r>
      <w:proofErr w:type="spellStart"/>
      <w:r w:rsidRPr="00E6129F">
        <w:rPr>
          <w:sz w:val="24"/>
          <w:szCs w:val="24"/>
        </w:rPr>
        <w:t>pantoprazols</w:t>
      </w:r>
      <w:proofErr w:type="spellEnd"/>
      <w:r w:rsidRPr="00E6129F">
        <w:rPr>
          <w:sz w:val="24"/>
          <w:szCs w:val="24"/>
        </w:rPr>
        <w:t xml:space="preserve"> høje </w:t>
      </w:r>
      <w:proofErr w:type="spellStart"/>
      <w:r w:rsidRPr="00E6129F">
        <w:rPr>
          <w:sz w:val="24"/>
          <w:szCs w:val="24"/>
        </w:rPr>
        <w:t>metaboliseringshastighed</w:t>
      </w:r>
      <w:proofErr w:type="spellEnd"/>
      <w:r w:rsidRPr="00E6129F">
        <w:rPr>
          <w:sz w:val="24"/>
          <w:szCs w:val="24"/>
        </w:rPr>
        <w:t xml:space="preserve"> i leveren.</w:t>
      </w:r>
    </w:p>
    <w:p w14:paraId="669AD0BF" w14:textId="77777777" w:rsidR="00F6187D" w:rsidRPr="00E6129F" w:rsidRDefault="00F6187D" w:rsidP="00F6187D">
      <w:pPr>
        <w:tabs>
          <w:tab w:val="left" w:pos="851"/>
        </w:tabs>
        <w:ind w:left="851"/>
        <w:rPr>
          <w:sz w:val="24"/>
          <w:szCs w:val="24"/>
        </w:rPr>
      </w:pPr>
    </w:p>
    <w:p w14:paraId="5C471955" w14:textId="77777777" w:rsidR="00F6187D" w:rsidRPr="00E6129F" w:rsidRDefault="00F6187D" w:rsidP="00F6187D">
      <w:pPr>
        <w:tabs>
          <w:tab w:val="left" w:pos="851"/>
        </w:tabs>
        <w:ind w:left="851"/>
        <w:rPr>
          <w:sz w:val="24"/>
          <w:szCs w:val="24"/>
        </w:rPr>
      </w:pPr>
      <w:r w:rsidRPr="00E6129F">
        <w:rPr>
          <w:sz w:val="24"/>
          <w:szCs w:val="24"/>
        </w:rPr>
        <w:t xml:space="preserve">Hos den gruppe rotter, der fik den højeste dosis (200 mg/kg), sås en mindre stigning i neoplastiske forandringer i </w:t>
      </w:r>
      <w:proofErr w:type="spellStart"/>
      <w:r w:rsidRPr="00E6129F">
        <w:rPr>
          <w:sz w:val="24"/>
          <w:szCs w:val="24"/>
        </w:rPr>
        <w:t>thyreoidea</w:t>
      </w:r>
      <w:proofErr w:type="spellEnd"/>
      <w:r w:rsidRPr="00E6129F">
        <w:rPr>
          <w:sz w:val="24"/>
          <w:szCs w:val="24"/>
        </w:rPr>
        <w:t xml:space="preserve">. Forekomsten af disse neoplasmer sættes i forbindelse med </w:t>
      </w:r>
      <w:proofErr w:type="spellStart"/>
      <w:r w:rsidRPr="00E6129F">
        <w:rPr>
          <w:sz w:val="24"/>
          <w:szCs w:val="24"/>
        </w:rPr>
        <w:t>pantoprazolinducerede</w:t>
      </w:r>
      <w:proofErr w:type="spellEnd"/>
      <w:r w:rsidRPr="00E6129F">
        <w:rPr>
          <w:sz w:val="24"/>
          <w:szCs w:val="24"/>
        </w:rPr>
        <w:t xml:space="preserve"> forandringer i nedbrydning af </w:t>
      </w:r>
      <w:proofErr w:type="spellStart"/>
      <w:r w:rsidRPr="00E6129F">
        <w:rPr>
          <w:sz w:val="24"/>
          <w:szCs w:val="24"/>
        </w:rPr>
        <w:t>thyroxin</w:t>
      </w:r>
      <w:proofErr w:type="spellEnd"/>
      <w:r w:rsidRPr="00E6129F">
        <w:rPr>
          <w:sz w:val="24"/>
          <w:szCs w:val="24"/>
        </w:rPr>
        <w:t xml:space="preserve"> i </w:t>
      </w:r>
      <w:r w:rsidRPr="00E6129F">
        <w:rPr>
          <w:sz w:val="24"/>
          <w:szCs w:val="24"/>
        </w:rPr>
        <w:lastRenderedPageBreak/>
        <w:t xml:space="preserve">rotteleveren. Da den terapeutiske dosis hos mennesker er lav, forventes ingen skadelige virkninger på </w:t>
      </w:r>
      <w:proofErr w:type="spellStart"/>
      <w:r w:rsidRPr="00E6129F">
        <w:rPr>
          <w:sz w:val="24"/>
          <w:szCs w:val="24"/>
        </w:rPr>
        <w:t>thyreoidea</w:t>
      </w:r>
      <w:proofErr w:type="spellEnd"/>
      <w:r w:rsidRPr="00E6129F">
        <w:rPr>
          <w:sz w:val="24"/>
          <w:szCs w:val="24"/>
        </w:rPr>
        <w:t>.</w:t>
      </w:r>
    </w:p>
    <w:p w14:paraId="2EA3CBF0" w14:textId="77777777" w:rsidR="00F6187D" w:rsidRPr="00E6129F" w:rsidRDefault="00F6187D" w:rsidP="00F6187D">
      <w:pPr>
        <w:tabs>
          <w:tab w:val="left" w:pos="851"/>
        </w:tabs>
        <w:ind w:left="851"/>
        <w:rPr>
          <w:sz w:val="24"/>
          <w:szCs w:val="24"/>
        </w:rPr>
      </w:pPr>
    </w:p>
    <w:p w14:paraId="5CD38BE7" w14:textId="77777777" w:rsidR="00F6187D" w:rsidRPr="00E6129F" w:rsidRDefault="00F6187D" w:rsidP="00F6187D">
      <w:pPr>
        <w:tabs>
          <w:tab w:val="left" w:pos="851"/>
        </w:tabs>
        <w:ind w:left="851"/>
        <w:rPr>
          <w:sz w:val="24"/>
          <w:szCs w:val="24"/>
        </w:rPr>
      </w:pPr>
      <w:r w:rsidRPr="00E6129F">
        <w:rPr>
          <w:sz w:val="24"/>
          <w:szCs w:val="24"/>
        </w:rPr>
        <w:t xml:space="preserve">I et </w:t>
      </w:r>
      <w:proofErr w:type="spellStart"/>
      <w:r w:rsidRPr="00E6129F">
        <w:rPr>
          <w:sz w:val="24"/>
          <w:szCs w:val="24"/>
        </w:rPr>
        <w:t>peripostnatalt</w:t>
      </w:r>
      <w:proofErr w:type="spellEnd"/>
      <w:r w:rsidRPr="00E6129F">
        <w:rPr>
          <w:sz w:val="24"/>
          <w:szCs w:val="24"/>
        </w:rPr>
        <w:t xml:space="preserve"> reproduktionsforsøg med rotter, designet til at vurdere knogleudviklingen, blev der observeret tegn på toksicitet hos afkommet (mortalitet, lavere gennemsnitlig legemsvægtøgning og nedsat knoglevækst) ved eksponeringer (</w:t>
      </w:r>
      <w:proofErr w:type="spellStart"/>
      <w:r w:rsidRPr="00E6129F">
        <w:rPr>
          <w:sz w:val="24"/>
          <w:szCs w:val="24"/>
        </w:rPr>
        <w:t>C</w:t>
      </w:r>
      <w:r w:rsidRPr="002A7F96">
        <w:rPr>
          <w:sz w:val="24"/>
          <w:szCs w:val="24"/>
          <w:vertAlign w:val="subscript"/>
        </w:rPr>
        <w:t>max</w:t>
      </w:r>
      <w:proofErr w:type="spellEnd"/>
      <w:r w:rsidRPr="00E6129F">
        <w:rPr>
          <w:sz w:val="24"/>
          <w:szCs w:val="24"/>
        </w:rPr>
        <w:t xml:space="preserve">), der var ca. 2 x den kliniske eksponering hos mennesker. I slutningen af rekonvalescensfasen var knogleparametrene sammenlignelige for alle grupperne, og der sås også en reversibel tendens for legemsvægten efter en lægemiddelfri rekonvalescensperiode. Den øgede mortalitet er kun blevet rapporteret hos rotteafkommet inden afvænning (op til 21 dage gamle), hvilket estimeres til at svare til spædbørn op til 2 år. Relevansen af dette fund for den pædiatriske population er uklar. I et tidligere </w:t>
      </w:r>
      <w:proofErr w:type="spellStart"/>
      <w:r w:rsidRPr="00E6129F">
        <w:rPr>
          <w:sz w:val="24"/>
          <w:szCs w:val="24"/>
        </w:rPr>
        <w:t>peripostnatalt</w:t>
      </w:r>
      <w:proofErr w:type="spellEnd"/>
      <w:r w:rsidRPr="00E6129F">
        <w:rPr>
          <w:sz w:val="24"/>
          <w:szCs w:val="24"/>
        </w:rPr>
        <w:t xml:space="preserve"> forsøg med rotter med lidt lavere doser blev der ikke fundet nogen bivirkninger ved 3 mg/kg, sammenlignet med en lav dosis på 5 mg/kg i dette forsøg.</w:t>
      </w:r>
    </w:p>
    <w:p w14:paraId="3AAB1554" w14:textId="77777777" w:rsidR="00F6187D" w:rsidRPr="00E6129F" w:rsidRDefault="00F6187D" w:rsidP="00F6187D">
      <w:pPr>
        <w:tabs>
          <w:tab w:val="left" w:pos="851"/>
        </w:tabs>
        <w:ind w:left="851"/>
        <w:rPr>
          <w:sz w:val="24"/>
          <w:szCs w:val="24"/>
        </w:rPr>
      </w:pPr>
    </w:p>
    <w:p w14:paraId="505E0D62" w14:textId="77777777" w:rsidR="00F6187D" w:rsidRPr="00E6129F" w:rsidRDefault="00F6187D" w:rsidP="00F6187D">
      <w:pPr>
        <w:tabs>
          <w:tab w:val="left" w:pos="851"/>
        </w:tabs>
        <w:ind w:left="851"/>
        <w:rPr>
          <w:sz w:val="24"/>
          <w:szCs w:val="24"/>
        </w:rPr>
      </w:pPr>
      <w:r w:rsidRPr="00E6129F">
        <w:rPr>
          <w:sz w:val="24"/>
          <w:szCs w:val="24"/>
        </w:rPr>
        <w:t xml:space="preserve">Undersøgelserne påviste ikke nedsat fertilitet eller </w:t>
      </w:r>
      <w:proofErr w:type="spellStart"/>
      <w:r w:rsidRPr="00E6129F">
        <w:rPr>
          <w:sz w:val="24"/>
          <w:szCs w:val="24"/>
        </w:rPr>
        <w:t>teratogene</w:t>
      </w:r>
      <w:proofErr w:type="spellEnd"/>
      <w:r w:rsidRPr="00E6129F">
        <w:rPr>
          <w:sz w:val="24"/>
          <w:szCs w:val="24"/>
        </w:rPr>
        <w:t xml:space="preserve"> virkninger.</w:t>
      </w:r>
    </w:p>
    <w:p w14:paraId="43344896" w14:textId="77777777" w:rsidR="00F6187D" w:rsidRPr="00E6129F" w:rsidRDefault="00F6187D" w:rsidP="00F6187D">
      <w:pPr>
        <w:tabs>
          <w:tab w:val="left" w:pos="851"/>
        </w:tabs>
        <w:ind w:left="851"/>
        <w:rPr>
          <w:sz w:val="24"/>
          <w:szCs w:val="24"/>
        </w:rPr>
      </w:pPr>
    </w:p>
    <w:p w14:paraId="47D1701E" w14:textId="77777777" w:rsidR="00F6187D" w:rsidRPr="00E6129F" w:rsidRDefault="00F6187D" w:rsidP="00F6187D">
      <w:pPr>
        <w:tabs>
          <w:tab w:val="left" w:pos="851"/>
        </w:tabs>
        <w:ind w:left="851"/>
        <w:rPr>
          <w:sz w:val="24"/>
          <w:szCs w:val="24"/>
        </w:rPr>
      </w:pPr>
      <w:r w:rsidRPr="00E6129F">
        <w:rPr>
          <w:sz w:val="24"/>
          <w:szCs w:val="24"/>
        </w:rPr>
        <w:t xml:space="preserve">Passage over placenta blev undersøgt hos rotter, hvor den fandtes at stige med fremskreden drægtighed. Som følge heraf øges koncentrationen af </w:t>
      </w:r>
      <w:proofErr w:type="spellStart"/>
      <w:r w:rsidRPr="00E6129F">
        <w:rPr>
          <w:sz w:val="24"/>
          <w:szCs w:val="24"/>
        </w:rPr>
        <w:t>pantoprazol</w:t>
      </w:r>
      <w:proofErr w:type="spellEnd"/>
      <w:r w:rsidRPr="00E6129F">
        <w:rPr>
          <w:sz w:val="24"/>
          <w:szCs w:val="24"/>
        </w:rPr>
        <w:t xml:space="preserve"> hos fosteret kort før fødslen.</w:t>
      </w:r>
    </w:p>
    <w:p w14:paraId="50529A89" w14:textId="77777777" w:rsidR="009260DE" w:rsidRPr="00E6129F" w:rsidRDefault="009260DE" w:rsidP="009260DE">
      <w:pPr>
        <w:tabs>
          <w:tab w:val="left" w:pos="851"/>
        </w:tabs>
        <w:ind w:left="851"/>
        <w:rPr>
          <w:sz w:val="24"/>
          <w:szCs w:val="24"/>
        </w:rPr>
      </w:pPr>
    </w:p>
    <w:p w14:paraId="0BFF4FDE" w14:textId="77777777" w:rsidR="009260DE" w:rsidRPr="00E6129F" w:rsidRDefault="009260DE" w:rsidP="009260DE">
      <w:pPr>
        <w:tabs>
          <w:tab w:val="left" w:pos="851"/>
        </w:tabs>
        <w:ind w:left="851"/>
        <w:rPr>
          <w:sz w:val="24"/>
          <w:szCs w:val="24"/>
        </w:rPr>
      </w:pPr>
    </w:p>
    <w:p w14:paraId="5CA79FCF" w14:textId="77777777" w:rsidR="009260DE" w:rsidRPr="00E6129F" w:rsidRDefault="009260DE" w:rsidP="009260DE">
      <w:pPr>
        <w:tabs>
          <w:tab w:val="left" w:pos="851"/>
        </w:tabs>
        <w:ind w:left="851" w:hanging="851"/>
        <w:rPr>
          <w:b/>
          <w:sz w:val="24"/>
          <w:szCs w:val="24"/>
        </w:rPr>
      </w:pPr>
      <w:r w:rsidRPr="00E6129F">
        <w:rPr>
          <w:b/>
          <w:sz w:val="24"/>
          <w:szCs w:val="24"/>
        </w:rPr>
        <w:t>6.</w:t>
      </w:r>
      <w:r w:rsidRPr="00E6129F">
        <w:rPr>
          <w:b/>
          <w:sz w:val="24"/>
          <w:szCs w:val="24"/>
        </w:rPr>
        <w:tab/>
        <w:t>FARMACEUTISKE OPLYSNINGER</w:t>
      </w:r>
    </w:p>
    <w:p w14:paraId="25AAAFD4" w14:textId="77777777" w:rsidR="009260DE" w:rsidRPr="00E6129F" w:rsidRDefault="009260DE" w:rsidP="009260DE">
      <w:pPr>
        <w:tabs>
          <w:tab w:val="left" w:pos="851"/>
        </w:tabs>
        <w:ind w:left="851"/>
        <w:rPr>
          <w:sz w:val="24"/>
          <w:szCs w:val="24"/>
        </w:rPr>
      </w:pPr>
    </w:p>
    <w:p w14:paraId="20281383" w14:textId="77777777" w:rsidR="009260DE" w:rsidRPr="00E6129F" w:rsidRDefault="009260DE" w:rsidP="009260DE">
      <w:pPr>
        <w:tabs>
          <w:tab w:val="left" w:pos="851"/>
        </w:tabs>
        <w:ind w:left="851" w:hanging="851"/>
        <w:rPr>
          <w:b/>
          <w:sz w:val="24"/>
          <w:szCs w:val="24"/>
        </w:rPr>
      </w:pPr>
      <w:r w:rsidRPr="00E6129F">
        <w:rPr>
          <w:b/>
          <w:sz w:val="24"/>
          <w:szCs w:val="24"/>
        </w:rPr>
        <w:t>6.1</w:t>
      </w:r>
      <w:r w:rsidRPr="00E6129F">
        <w:rPr>
          <w:b/>
          <w:sz w:val="24"/>
          <w:szCs w:val="24"/>
        </w:rPr>
        <w:tab/>
        <w:t>Hjælpestoffer</w:t>
      </w:r>
    </w:p>
    <w:p w14:paraId="229B519B" w14:textId="77777777" w:rsidR="00F6187D" w:rsidRPr="00E6129F" w:rsidRDefault="00F6187D" w:rsidP="00F6187D">
      <w:pPr>
        <w:tabs>
          <w:tab w:val="left" w:pos="851"/>
        </w:tabs>
        <w:ind w:left="851"/>
        <w:rPr>
          <w:sz w:val="24"/>
          <w:szCs w:val="24"/>
          <w:lang w:eastAsia="da-DK"/>
        </w:rPr>
      </w:pPr>
      <w:proofErr w:type="spellStart"/>
      <w:r w:rsidRPr="00E6129F">
        <w:rPr>
          <w:sz w:val="24"/>
          <w:szCs w:val="24"/>
        </w:rPr>
        <w:t>Dinatriumedetat</w:t>
      </w:r>
      <w:proofErr w:type="spellEnd"/>
    </w:p>
    <w:p w14:paraId="3B966114" w14:textId="77777777" w:rsidR="00F6187D" w:rsidRPr="00E6129F" w:rsidRDefault="00F6187D" w:rsidP="00F6187D">
      <w:pPr>
        <w:tabs>
          <w:tab w:val="left" w:pos="851"/>
        </w:tabs>
        <w:ind w:left="851"/>
        <w:rPr>
          <w:sz w:val="24"/>
          <w:szCs w:val="24"/>
        </w:rPr>
      </w:pPr>
      <w:r w:rsidRPr="00E6129F">
        <w:rPr>
          <w:sz w:val="24"/>
          <w:szCs w:val="24"/>
        </w:rPr>
        <w:t>Natriumhydroxid (E 524) (til justering af pH)</w:t>
      </w:r>
    </w:p>
    <w:p w14:paraId="4631DB1B" w14:textId="77777777" w:rsidR="009260DE" w:rsidRPr="00E6129F" w:rsidRDefault="009260DE" w:rsidP="009260DE">
      <w:pPr>
        <w:tabs>
          <w:tab w:val="left" w:pos="851"/>
        </w:tabs>
        <w:ind w:left="851"/>
        <w:rPr>
          <w:sz w:val="24"/>
          <w:szCs w:val="24"/>
        </w:rPr>
      </w:pPr>
    </w:p>
    <w:p w14:paraId="01AF6AC3" w14:textId="77777777" w:rsidR="009260DE" w:rsidRPr="00E6129F" w:rsidRDefault="009260DE" w:rsidP="009260DE">
      <w:pPr>
        <w:tabs>
          <w:tab w:val="left" w:pos="851"/>
        </w:tabs>
        <w:ind w:left="851" w:hanging="851"/>
        <w:rPr>
          <w:b/>
          <w:sz w:val="24"/>
          <w:szCs w:val="24"/>
        </w:rPr>
      </w:pPr>
      <w:r w:rsidRPr="00E6129F">
        <w:rPr>
          <w:b/>
          <w:sz w:val="24"/>
          <w:szCs w:val="24"/>
        </w:rPr>
        <w:t>6.2</w:t>
      </w:r>
      <w:r w:rsidRPr="00E6129F">
        <w:rPr>
          <w:b/>
          <w:sz w:val="24"/>
          <w:szCs w:val="24"/>
        </w:rPr>
        <w:tab/>
        <w:t>Uforligeligheder</w:t>
      </w:r>
    </w:p>
    <w:p w14:paraId="2992BBB9" w14:textId="77777777" w:rsidR="00F6187D" w:rsidRPr="00E6129F" w:rsidRDefault="00F6187D" w:rsidP="00F6187D">
      <w:pPr>
        <w:tabs>
          <w:tab w:val="left" w:pos="851"/>
        </w:tabs>
        <w:ind w:left="851"/>
        <w:rPr>
          <w:sz w:val="24"/>
          <w:szCs w:val="24"/>
          <w:lang w:eastAsia="da-DK"/>
        </w:rPr>
      </w:pPr>
      <w:r w:rsidRPr="00E6129F">
        <w:rPr>
          <w:sz w:val="24"/>
          <w:szCs w:val="24"/>
        </w:rPr>
        <w:t>Dette lægemiddel må ikke blandes med andre lægemidler end dem, der er anført under pkt. 6.6.</w:t>
      </w:r>
    </w:p>
    <w:p w14:paraId="1B4117A6" w14:textId="77777777" w:rsidR="009260DE" w:rsidRPr="00E6129F" w:rsidRDefault="009260DE" w:rsidP="009260DE">
      <w:pPr>
        <w:tabs>
          <w:tab w:val="left" w:pos="851"/>
        </w:tabs>
        <w:ind w:left="851"/>
        <w:rPr>
          <w:sz w:val="24"/>
          <w:szCs w:val="24"/>
        </w:rPr>
      </w:pPr>
    </w:p>
    <w:p w14:paraId="2B34EF15" w14:textId="77777777" w:rsidR="009260DE" w:rsidRPr="00E6129F" w:rsidRDefault="009260DE" w:rsidP="009260DE">
      <w:pPr>
        <w:tabs>
          <w:tab w:val="left" w:pos="851"/>
        </w:tabs>
        <w:ind w:left="851" w:hanging="851"/>
        <w:rPr>
          <w:b/>
          <w:sz w:val="24"/>
          <w:szCs w:val="24"/>
        </w:rPr>
      </w:pPr>
      <w:r w:rsidRPr="00E6129F">
        <w:rPr>
          <w:b/>
          <w:sz w:val="24"/>
          <w:szCs w:val="24"/>
        </w:rPr>
        <w:t>6.3</w:t>
      </w:r>
      <w:r w:rsidRPr="00E6129F">
        <w:rPr>
          <w:b/>
          <w:sz w:val="24"/>
          <w:szCs w:val="24"/>
        </w:rPr>
        <w:tab/>
        <w:t>Opbevaringstid</w:t>
      </w:r>
    </w:p>
    <w:p w14:paraId="1373BA4E" w14:textId="68B46C96" w:rsidR="00F6187D" w:rsidRPr="00E6129F" w:rsidRDefault="00F6187D" w:rsidP="00F6187D">
      <w:pPr>
        <w:tabs>
          <w:tab w:val="left" w:pos="851"/>
        </w:tabs>
        <w:ind w:left="851"/>
        <w:rPr>
          <w:sz w:val="24"/>
          <w:szCs w:val="24"/>
          <w:lang w:eastAsia="da-DK"/>
        </w:rPr>
      </w:pPr>
      <w:r w:rsidRPr="00E6129F">
        <w:rPr>
          <w:sz w:val="24"/>
          <w:szCs w:val="24"/>
        </w:rPr>
        <w:t xml:space="preserve">Uåbnet hætteglas: </w:t>
      </w:r>
      <w:r w:rsidR="00D00FCC">
        <w:rPr>
          <w:sz w:val="24"/>
          <w:szCs w:val="24"/>
        </w:rPr>
        <w:t>3</w:t>
      </w:r>
      <w:r w:rsidRPr="00E6129F">
        <w:rPr>
          <w:sz w:val="24"/>
          <w:szCs w:val="24"/>
        </w:rPr>
        <w:t xml:space="preserve"> år</w:t>
      </w:r>
    </w:p>
    <w:p w14:paraId="59BF0086" w14:textId="77777777" w:rsidR="00F6187D" w:rsidRPr="00E6129F" w:rsidRDefault="00F6187D" w:rsidP="00F6187D">
      <w:pPr>
        <w:tabs>
          <w:tab w:val="left" w:pos="851"/>
        </w:tabs>
        <w:ind w:left="851"/>
        <w:rPr>
          <w:sz w:val="24"/>
          <w:szCs w:val="24"/>
        </w:rPr>
      </w:pPr>
    </w:p>
    <w:p w14:paraId="0F840BBE" w14:textId="77777777" w:rsidR="00F6187D" w:rsidRPr="00E6129F" w:rsidRDefault="00F6187D" w:rsidP="00F6187D">
      <w:pPr>
        <w:tabs>
          <w:tab w:val="left" w:pos="851"/>
        </w:tabs>
        <w:ind w:left="851"/>
        <w:rPr>
          <w:sz w:val="24"/>
          <w:szCs w:val="24"/>
        </w:rPr>
      </w:pPr>
      <w:r w:rsidRPr="00E6129F">
        <w:rPr>
          <w:sz w:val="24"/>
          <w:szCs w:val="24"/>
        </w:rPr>
        <w:t xml:space="preserve">Efter </w:t>
      </w:r>
      <w:proofErr w:type="spellStart"/>
      <w:r w:rsidRPr="00E6129F">
        <w:rPr>
          <w:sz w:val="24"/>
          <w:szCs w:val="24"/>
        </w:rPr>
        <w:t>rekonstitution</w:t>
      </w:r>
      <w:proofErr w:type="spellEnd"/>
      <w:r w:rsidRPr="00E6129F">
        <w:rPr>
          <w:sz w:val="24"/>
          <w:szCs w:val="24"/>
        </w:rPr>
        <w:t xml:space="preserve">, eller </w:t>
      </w:r>
      <w:proofErr w:type="spellStart"/>
      <w:r w:rsidRPr="00E6129F">
        <w:rPr>
          <w:sz w:val="24"/>
          <w:szCs w:val="24"/>
        </w:rPr>
        <w:t>rekonstitution</w:t>
      </w:r>
      <w:proofErr w:type="spellEnd"/>
      <w:r w:rsidRPr="00E6129F">
        <w:rPr>
          <w:sz w:val="24"/>
          <w:szCs w:val="24"/>
        </w:rPr>
        <w:t xml:space="preserve"> og fortynding, er der blevet påvist en kemisk og fysisk stabilitet under brug i 12 timer ved 25 ºC.</w:t>
      </w:r>
    </w:p>
    <w:p w14:paraId="57C3438D" w14:textId="77777777" w:rsidR="00F6187D" w:rsidRPr="00E6129F" w:rsidRDefault="00F6187D" w:rsidP="00F6187D">
      <w:pPr>
        <w:tabs>
          <w:tab w:val="left" w:pos="851"/>
        </w:tabs>
        <w:ind w:left="851"/>
        <w:rPr>
          <w:sz w:val="24"/>
          <w:szCs w:val="24"/>
        </w:rPr>
      </w:pPr>
    </w:p>
    <w:p w14:paraId="790355A8" w14:textId="7A9857C5" w:rsidR="00F6187D" w:rsidRPr="00E6129F" w:rsidRDefault="00F6187D" w:rsidP="00F6187D">
      <w:pPr>
        <w:tabs>
          <w:tab w:val="left" w:pos="851"/>
        </w:tabs>
        <w:ind w:left="851"/>
        <w:rPr>
          <w:sz w:val="24"/>
          <w:szCs w:val="24"/>
        </w:rPr>
      </w:pPr>
      <w:r w:rsidRPr="00E6129F">
        <w:rPr>
          <w:sz w:val="24"/>
          <w:szCs w:val="24"/>
        </w:rPr>
        <w:t>Fra et mikrobiologisk synspunkt bør produktet straks anvendes, medmindre åbnings/</w:t>
      </w:r>
      <w:proofErr w:type="spellStart"/>
      <w:r w:rsidRPr="00E6129F">
        <w:rPr>
          <w:sz w:val="24"/>
          <w:szCs w:val="24"/>
        </w:rPr>
        <w:t>rekonstitutions</w:t>
      </w:r>
      <w:proofErr w:type="spellEnd"/>
      <w:r w:rsidRPr="00E6129F">
        <w:rPr>
          <w:sz w:val="24"/>
          <w:szCs w:val="24"/>
        </w:rPr>
        <w:t>/</w:t>
      </w:r>
      <w:proofErr w:type="spellStart"/>
      <w:r w:rsidRPr="00E6129F">
        <w:rPr>
          <w:sz w:val="24"/>
          <w:szCs w:val="24"/>
        </w:rPr>
        <w:t>fortyndelsesmetoden</w:t>
      </w:r>
      <w:proofErr w:type="spellEnd"/>
      <w:r w:rsidRPr="00E6129F">
        <w:rPr>
          <w:sz w:val="24"/>
          <w:szCs w:val="24"/>
        </w:rPr>
        <w:t xml:space="preserve"> udelukker en risiko for mikrobiologisk forurening.</w:t>
      </w:r>
    </w:p>
    <w:p w14:paraId="0FF9FB48" w14:textId="77777777" w:rsidR="00F6187D" w:rsidRPr="00E6129F" w:rsidRDefault="00F6187D" w:rsidP="00F6187D">
      <w:pPr>
        <w:tabs>
          <w:tab w:val="left" w:pos="851"/>
        </w:tabs>
        <w:ind w:left="851"/>
        <w:rPr>
          <w:sz w:val="24"/>
          <w:szCs w:val="24"/>
        </w:rPr>
      </w:pPr>
    </w:p>
    <w:p w14:paraId="0429A658" w14:textId="77777777" w:rsidR="00F6187D" w:rsidRPr="00E6129F" w:rsidRDefault="00F6187D" w:rsidP="00F6187D">
      <w:pPr>
        <w:tabs>
          <w:tab w:val="left" w:pos="851"/>
        </w:tabs>
        <w:ind w:left="851"/>
        <w:rPr>
          <w:sz w:val="24"/>
          <w:szCs w:val="24"/>
        </w:rPr>
      </w:pPr>
      <w:r w:rsidRPr="00E6129F">
        <w:rPr>
          <w:sz w:val="24"/>
          <w:szCs w:val="24"/>
        </w:rPr>
        <w:t>Hvis det ikke straks anvendes, er opbevaringstiderne og forholdene under anvendelse brugerens ansvar.</w:t>
      </w:r>
    </w:p>
    <w:p w14:paraId="1EFF5778" w14:textId="77777777" w:rsidR="009260DE" w:rsidRPr="00E6129F" w:rsidRDefault="009260DE" w:rsidP="009260DE">
      <w:pPr>
        <w:tabs>
          <w:tab w:val="left" w:pos="851"/>
        </w:tabs>
        <w:ind w:left="851"/>
        <w:rPr>
          <w:sz w:val="24"/>
          <w:szCs w:val="24"/>
        </w:rPr>
      </w:pPr>
    </w:p>
    <w:p w14:paraId="44CB6651" w14:textId="77777777" w:rsidR="009260DE" w:rsidRPr="00E6129F" w:rsidRDefault="009260DE" w:rsidP="009260DE">
      <w:pPr>
        <w:tabs>
          <w:tab w:val="left" w:pos="851"/>
        </w:tabs>
        <w:ind w:left="851" w:hanging="851"/>
        <w:rPr>
          <w:b/>
          <w:sz w:val="24"/>
          <w:szCs w:val="24"/>
        </w:rPr>
      </w:pPr>
      <w:r w:rsidRPr="00E6129F">
        <w:rPr>
          <w:b/>
          <w:sz w:val="24"/>
          <w:szCs w:val="24"/>
        </w:rPr>
        <w:t>6.4</w:t>
      </w:r>
      <w:r w:rsidRPr="00E6129F">
        <w:rPr>
          <w:b/>
          <w:sz w:val="24"/>
          <w:szCs w:val="24"/>
        </w:rPr>
        <w:tab/>
        <w:t>Særlige opbevaringsforhold</w:t>
      </w:r>
    </w:p>
    <w:p w14:paraId="19FF815E" w14:textId="77777777" w:rsidR="00F6187D" w:rsidRPr="00E6129F" w:rsidRDefault="00F6187D" w:rsidP="00F6187D">
      <w:pPr>
        <w:tabs>
          <w:tab w:val="left" w:pos="851"/>
        </w:tabs>
        <w:ind w:left="851"/>
        <w:rPr>
          <w:sz w:val="24"/>
          <w:szCs w:val="24"/>
          <w:lang w:eastAsia="da-DK"/>
        </w:rPr>
      </w:pPr>
      <w:r w:rsidRPr="00E6129F">
        <w:rPr>
          <w:sz w:val="24"/>
          <w:szCs w:val="24"/>
        </w:rPr>
        <w:t>Opbevares i den ydre karton for at beskytte mod lys.</w:t>
      </w:r>
    </w:p>
    <w:p w14:paraId="7A12BD06" w14:textId="77777777" w:rsidR="00F6187D" w:rsidRPr="00E6129F" w:rsidRDefault="00F6187D" w:rsidP="00F6187D">
      <w:pPr>
        <w:tabs>
          <w:tab w:val="left" w:pos="851"/>
        </w:tabs>
        <w:ind w:left="851"/>
        <w:rPr>
          <w:sz w:val="24"/>
          <w:szCs w:val="24"/>
        </w:rPr>
      </w:pPr>
    </w:p>
    <w:p w14:paraId="3BEA9321" w14:textId="77777777" w:rsidR="00F6187D" w:rsidRPr="00E6129F" w:rsidRDefault="00F6187D" w:rsidP="00F6187D">
      <w:pPr>
        <w:tabs>
          <w:tab w:val="left" w:pos="851"/>
        </w:tabs>
        <w:ind w:left="851"/>
        <w:rPr>
          <w:sz w:val="24"/>
          <w:szCs w:val="24"/>
        </w:rPr>
      </w:pPr>
      <w:r w:rsidRPr="00E6129F">
        <w:rPr>
          <w:sz w:val="24"/>
          <w:szCs w:val="24"/>
        </w:rPr>
        <w:t>Må ikke opbevares ved temperaturer over 25 °C.</w:t>
      </w:r>
    </w:p>
    <w:p w14:paraId="311B2DE2" w14:textId="77777777" w:rsidR="00F6187D" w:rsidRPr="00E6129F" w:rsidRDefault="00F6187D" w:rsidP="00F6187D">
      <w:pPr>
        <w:tabs>
          <w:tab w:val="left" w:pos="851"/>
        </w:tabs>
        <w:ind w:left="851"/>
        <w:rPr>
          <w:sz w:val="24"/>
          <w:szCs w:val="24"/>
        </w:rPr>
      </w:pPr>
    </w:p>
    <w:p w14:paraId="7ABC0938" w14:textId="77777777" w:rsidR="00F6187D" w:rsidRPr="00E6129F" w:rsidRDefault="00F6187D" w:rsidP="00F6187D">
      <w:pPr>
        <w:tabs>
          <w:tab w:val="left" w:pos="851"/>
        </w:tabs>
        <w:ind w:left="851"/>
        <w:rPr>
          <w:sz w:val="24"/>
          <w:szCs w:val="24"/>
        </w:rPr>
      </w:pPr>
      <w:r w:rsidRPr="00E6129F">
        <w:rPr>
          <w:sz w:val="24"/>
          <w:szCs w:val="24"/>
        </w:rPr>
        <w:t xml:space="preserve">Opbevaringsforhold efter </w:t>
      </w:r>
      <w:proofErr w:type="spellStart"/>
      <w:r w:rsidRPr="00E6129F">
        <w:rPr>
          <w:sz w:val="24"/>
          <w:szCs w:val="24"/>
        </w:rPr>
        <w:t>rekonstitution</w:t>
      </w:r>
      <w:proofErr w:type="spellEnd"/>
      <w:r w:rsidRPr="00E6129F">
        <w:rPr>
          <w:sz w:val="24"/>
          <w:szCs w:val="24"/>
        </w:rPr>
        <w:t xml:space="preserve"> og fortynding af lægemidlet, se pkt. 6.3.</w:t>
      </w:r>
    </w:p>
    <w:p w14:paraId="7240EFC9" w14:textId="77777777" w:rsidR="009260DE" w:rsidRPr="00E6129F" w:rsidRDefault="009260DE" w:rsidP="009260DE">
      <w:pPr>
        <w:tabs>
          <w:tab w:val="left" w:pos="851"/>
        </w:tabs>
        <w:ind w:left="851"/>
        <w:rPr>
          <w:sz w:val="24"/>
          <w:szCs w:val="24"/>
        </w:rPr>
      </w:pPr>
    </w:p>
    <w:p w14:paraId="403BDA65" w14:textId="3DD160E1" w:rsidR="009260DE" w:rsidRPr="00E6129F" w:rsidRDefault="009260DE" w:rsidP="009260DE">
      <w:pPr>
        <w:tabs>
          <w:tab w:val="left" w:pos="851"/>
        </w:tabs>
        <w:ind w:left="851" w:hanging="851"/>
        <w:rPr>
          <w:b/>
          <w:sz w:val="24"/>
          <w:szCs w:val="24"/>
        </w:rPr>
      </w:pPr>
      <w:r w:rsidRPr="00E6129F">
        <w:rPr>
          <w:b/>
          <w:sz w:val="24"/>
          <w:szCs w:val="24"/>
        </w:rPr>
        <w:t>6.5</w:t>
      </w:r>
      <w:r w:rsidRPr="00E6129F">
        <w:rPr>
          <w:b/>
          <w:sz w:val="24"/>
          <w:szCs w:val="24"/>
        </w:rPr>
        <w:tab/>
      </w:r>
      <w:bookmarkStart w:id="6" w:name="_Hlk121743052"/>
      <w:r w:rsidR="00D00FCC">
        <w:rPr>
          <w:b/>
          <w:sz w:val="24"/>
          <w:szCs w:val="24"/>
        </w:rPr>
        <w:t>Emballagetype og pakningsstørrelser</w:t>
      </w:r>
      <w:bookmarkEnd w:id="6"/>
    </w:p>
    <w:p w14:paraId="619C0648" w14:textId="77777777" w:rsidR="00F6187D" w:rsidRPr="00E6129F" w:rsidRDefault="00F6187D" w:rsidP="00F6187D">
      <w:pPr>
        <w:tabs>
          <w:tab w:val="left" w:pos="851"/>
        </w:tabs>
        <w:ind w:left="851"/>
        <w:rPr>
          <w:sz w:val="24"/>
          <w:szCs w:val="24"/>
          <w:lang w:eastAsia="da-DK"/>
        </w:rPr>
      </w:pPr>
      <w:r w:rsidRPr="00E6129F">
        <w:rPr>
          <w:sz w:val="24"/>
          <w:szCs w:val="24"/>
        </w:rPr>
        <w:t xml:space="preserve">Farveløst hætteglas af glas med en grå, </w:t>
      </w:r>
      <w:proofErr w:type="spellStart"/>
      <w:r w:rsidRPr="00E6129F">
        <w:rPr>
          <w:sz w:val="24"/>
          <w:szCs w:val="24"/>
        </w:rPr>
        <w:t>lyofiliseret</w:t>
      </w:r>
      <w:proofErr w:type="spellEnd"/>
      <w:r w:rsidRPr="00E6129F">
        <w:rPr>
          <w:sz w:val="24"/>
          <w:szCs w:val="24"/>
        </w:rPr>
        <w:t xml:space="preserve"> </w:t>
      </w:r>
      <w:proofErr w:type="spellStart"/>
      <w:r w:rsidRPr="00E6129F">
        <w:rPr>
          <w:sz w:val="24"/>
          <w:szCs w:val="24"/>
        </w:rPr>
        <w:t>brombutylgummiprop</w:t>
      </w:r>
      <w:proofErr w:type="spellEnd"/>
      <w:r w:rsidRPr="00E6129F">
        <w:rPr>
          <w:sz w:val="24"/>
          <w:szCs w:val="24"/>
        </w:rPr>
        <w:t xml:space="preserve"> og et blåt flip-</w:t>
      </w:r>
      <w:proofErr w:type="spellStart"/>
      <w:r w:rsidRPr="00E6129F">
        <w:rPr>
          <w:sz w:val="24"/>
          <w:szCs w:val="24"/>
        </w:rPr>
        <w:t>off</w:t>
      </w:r>
      <w:proofErr w:type="spellEnd"/>
      <w:r w:rsidRPr="00E6129F">
        <w:rPr>
          <w:sz w:val="24"/>
          <w:szCs w:val="24"/>
        </w:rPr>
        <w:t>-låg, der indeholder 40 mg pulver til injektionsvæske, opløsning.</w:t>
      </w:r>
    </w:p>
    <w:p w14:paraId="39A9D8AA" w14:textId="77777777" w:rsidR="00F6187D" w:rsidRPr="00E6129F" w:rsidRDefault="00F6187D" w:rsidP="00F6187D">
      <w:pPr>
        <w:tabs>
          <w:tab w:val="left" w:pos="851"/>
        </w:tabs>
        <w:ind w:left="851"/>
        <w:rPr>
          <w:sz w:val="24"/>
          <w:szCs w:val="24"/>
        </w:rPr>
      </w:pPr>
    </w:p>
    <w:p w14:paraId="43E9C9CC" w14:textId="77777777" w:rsidR="00F6187D" w:rsidRPr="00E6129F" w:rsidRDefault="00F6187D" w:rsidP="00F6187D">
      <w:pPr>
        <w:tabs>
          <w:tab w:val="left" w:pos="851"/>
        </w:tabs>
        <w:ind w:left="851"/>
        <w:rPr>
          <w:sz w:val="24"/>
          <w:szCs w:val="24"/>
        </w:rPr>
      </w:pPr>
      <w:r w:rsidRPr="00E6129F">
        <w:rPr>
          <w:sz w:val="24"/>
          <w:szCs w:val="24"/>
        </w:rPr>
        <w:t>Pakningsstørrelse 1 hætteglas med pulver til injektionsvæske, opløsning.</w:t>
      </w:r>
    </w:p>
    <w:p w14:paraId="7AEF815B" w14:textId="77777777" w:rsidR="00F6187D" w:rsidRPr="00E6129F" w:rsidRDefault="00F6187D" w:rsidP="00F6187D">
      <w:pPr>
        <w:tabs>
          <w:tab w:val="left" w:pos="851"/>
        </w:tabs>
        <w:ind w:left="851"/>
        <w:rPr>
          <w:sz w:val="24"/>
          <w:szCs w:val="24"/>
        </w:rPr>
      </w:pPr>
    </w:p>
    <w:p w14:paraId="51426FA0" w14:textId="77777777" w:rsidR="00F6187D" w:rsidRPr="00E6129F" w:rsidRDefault="00F6187D" w:rsidP="00F6187D">
      <w:pPr>
        <w:tabs>
          <w:tab w:val="left" w:pos="851"/>
        </w:tabs>
        <w:ind w:left="851"/>
        <w:rPr>
          <w:sz w:val="24"/>
          <w:szCs w:val="24"/>
        </w:rPr>
      </w:pPr>
      <w:r w:rsidRPr="00E6129F">
        <w:rPr>
          <w:sz w:val="24"/>
          <w:szCs w:val="24"/>
        </w:rPr>
        <w:t>Ikke alle pakningsstørrelser er nødvendigvis markedsført</w:t>
      </w:r>
    </w:p>
    <w:p w14:paraId="60CC2744" w14:textId="77777777" w:rsidR="009260DE" w:rsidRPr="00E6129F" w:rsidRDefault="009260DE" w:rsidP="009260DE">
      <w:pPr>
        <w:tabs>
          <w:tab w:val="left" w:pos="851"/>
        </w:tabs>
        <w:ind w:left="851"/>
        <w:rPr>
          <w:sz w:val="24"/>
          <w:szCs w:val="24"/>
        </w:rPr>
      </w:pPr>
    </w:p>
    <w:p w14:paraId="130B4821" w14:textId="1C822214" w:rsidR="009260DE" w:rsidRPr="00E6129F" w:rsidRDefault="009260DE" w:rsidP="009260DE">
      <w:pPr>
        <w:tabs>
          <w:tab w:val="left" w:pos="851"/>
        </w:tabs>
        <w:ind w:left="851" w:hanging="851"/>
        <w:rPr>
          <w:b/>
          <w:sz w:val="24"/>
          <w:szCs w:val="24"/>
        </w:rPr>
      </w:pPr>
      <w:r w:rsidRPr="00E6129F">
        <w:rPr>
          <w:b/>
          <w:sz w:val="24"/>
          <w:szCs w:val="24"/>
        </w:rPr>
        <w:t>6.6</w:t>
      </w:r>
      <w:r w:rsidRPr="00E6129F">
        <w:rPr>
          <w:b/>
          <w:sz w:val="24"/>
          <w:szCs w:val="24"/>
        </w:rPr>
        <w:tab/>
      </w:r>
      <w:bookmarkStart w:id="7" w:name="_Hlk121754038"/>
      <w:r w:rsidR="00D00FCC">
        <w:rPr>
          <w:b/>
          <w:noProof/>
          <w:sz w:val="24"/>
          <w:szCs w:val="24"/>
        </w:rPr>
        <w:t>Regler for bortskaffelse og anden håndtering</w:t>
      </w:r>
      <w:bookmarkEnd w:id="7"/>
    </w:p>
    <w:p w14:paraId="7A39E75D" w14:textId="77777777" w:rsidR="00F6187D" w:rsidRPr="00E6129F" w:rsidRDefault="00F6187D" w:rsidP="00F6187D">
      <w:pPr>
        <w:tabs>
          <w:tab w:val="left" w:pos="851"/>
        </w:tabs>
        <w:ind w:left="851"/>
        <w:rPr>
          <w:sz w:val="24"/>
          <w:szCs w:val="24"/>
          <w:lang w:eastAsia="da-DK"/>
        </w:rPr>
      </w:pPr>
      <w:r w:rsidRPr="00E6129F">
        <w:rPr>
          <w:sz w:val="24"/>
          <w:szCs w:val="24"/>
        </w:rPr>
        <w:t xml:space="preserve">En opløsning, som er klar til brug, tilberedes ved at injicere 10 ml </w:t>
      </w:r>
      <w:proofErr w:type="spellStart"/>
      <w:r w:rsidRPr="00E6129F">
        <w:rPr>
          <w:sz w:val="24"/>
          <w:szCs w:val="24"/>
        </w:rPr>
        <w:t>natriumchlorid</w:t>
      </w:r>
      <w:proofErr w:type="spellEnd"/>
      <w:r w:rsidRPr="00E6129F">
        <w:rPr>
          <w:sz w:val="24"/>
          <w:szCs w:val="24"/>
        </w:rPr>
        <w:t xml:space="preserve"> 9 mg/ml (0,9 %) injektionsvæske, opløsning, i hætteglasset med pulveret. Efter </w:t>
      </w:r>
      <w:proofErr w:type="spellStart"/>
      <w:r w:rsidRPr="00E6129F">
        <w:rPr>
          <w:sz w:val="24"/>
          <w:szCs w:val="24"/>
        </w:rPr>
        <w:t>rekonstitution</w:t>
      </w:r>
      <w:proofErr w:type="spellEnd"/>
      <w:r w:rsidRPr="00E6129F">
        <w:rPr>
          <w:sz w:val="24"/>
          <w:szCs w:val="24"/>
        </w:rPr>
        <w:t xml:space="preserve"> fremstår præparatet som en klar, gullig opløsning. Denne opløsning kan administreres direkte, eller den kan administreres efter blanding med 100 ml </w:t>
      </w:r>
      <w:proofErr w:type="spellStart"/>
      <w:r w:rsidRPr="00E6129F">
        <w:rPr>
          <w:sz w:val="24"/>
          <w:szCs w:val="24"/>
        </w:rPr>
        <w:t>natriumchlorid</w:t>
      </w:r>
      <w:proofErr w:type="spellEnd"/>
      <w:r w:rsidRPr="00E6129F">
        <w:rPr>
          <w:sz w:val="24"/>
          <w:szCs w:val="24"/>
        </w:rPr>
        <w:t xml:space="preserve"> 9 mg/ml (0,9 %) injektionsvæske, opløsning eller </w:t>
      </w:r>
      <w:proofErr w:type="spellStart"/>
      <w:r w:rsidRPr="00E6129F">
        <w:rPr>
          <w:sz w:val="24"/>
          <w:szCs w:val="24"/>
        </w:rPr>
        <w:t>glucose</w:t>
      </w:r>
      <w:proofErr w:type="spellEnd"/>
      <w:r w:rsidRPr="00E6129F">
        <w:rPr>
          <w:sz w:val="24"/>
          <w:szCs w:val="24"/>
        </w:rPr>
        <w:t xml:space="preserve"> 55 mg/ml (5 %) injektionsvæske, opløsning. Der skal anvendes glas- eller plasticbeholdere til fortynding.</w:t>
      </w:r>
    </w:p>
    <w:p w14:paraId="1A6DD18D" w14:textId="77777777" w:rsidR="00F6187D" w:rsidRPr="00E6129F" w:rsidRDefault="00F6187D" w:rsidP="00F6187D">
      <w:pPr>
        <w:tabs>
          <w:tab w:val="left" w:pos="851"/>
        </w:tabs>
        <w:ind w:left="851"/>
        <w:rPr>
          <w:sz w:val="24"/>
          <w:szCs w:val="24"/>
        </w:rPr>
      </w:pPr>
    </w:p>
    <w:p w14:paraId="020CBDF5" w14:textId="77777777" w:rsidR="00F6187D" w:rsidRPr="00E6129F" w:rsidRDefault="00F6187D" w:rsidP="00F6187D">
      <w:pPr>
        <w:tabs>
          <w:tab w:val="left" w:pos="851"/>
        </w:tabs>
        <w:ind w:left="851"/>
        <w:rPr>
          <w:sz w:val="24"/>
          <w:szCs w:val="24"/>
        </w:rPr>
      </w:pPr>
      <w:r w:rsidRPr="00E6129F">
        <w:rPr>
          <w:sz w:val="24"/>
          <w:szCs w:val="24"/>
        </w:rPr>
        <w:t>Lægemidlet bør administreres intravenøst i løbet af 2-15 minutter.</w:t>
      </w:r>
    </w:p>
    <w:p w14:paraId="3DE0082A" w14:textId="77777777" w:rsidR="00F6187D" w:rsidRPr="00E6129F" w:rsidRDefault="00F6187D" w:rsidP="00F6187D">
      <w:pPr>
        <w:tabs>
          <w:tab w:val="left" w:pos="851"/>
        </w:tabs>
        <w:ind w:left="851"/>
        <w:rPr>
          <w:sz w:val="24"/>
          <w:szCs w:val="24"/>
        </w:rPr>
      </w:pPr>
    </w:p>
    <w:p w14:paraId="56A61AE3" w14:textId="77777777" w:rsidR="00F6187D" w:rsidRPr="00E6129F" w:rsidRDefault="00F6187D" w:rsidP="00F6187D">
      <w:pPr>
        <w:tabs>
          <w:tab w:val="left" w:pos="851"/>
        </w:tabs>
        <w:ind w:left="851"/>
        <w:rPr>
          <w:sz w:val="24"/>
          <w:szCs w:val="24"/>
        </w:rPr>
      </w:pPr>
      <w:r w:rsidRPr="00E6129F">
        <w:rPr>
          <w:sz w:val="24"/>
          <w:szCs w:val="24"/>
        </w:rPr>
        <w:t>Hætteglassets indhold er kun til engangsbrug. Alt præparat, der er tilbage i beholderen eller hvis det visuelle udseende er ændret (f.eks. hvis der observeres udfældning) skal bortskaffes i henhold til lokale krav.</w:t>
      </w:r>
    </w:p>
    <w:p w14:paraId="0E14CAE6" w14:textId="77777777" w:rsidR="009260DE" w:rsidRPr="00E6129F" w:rsidRDefault="009260DE" w:rsidP="000730CA">
      <w:pPr>
        <w:tabs>
          <w:tab w:val="left" w:pos="851"/>
        </w:tabs>
        <w:ind w:left="851"/>
        <w:rPr>
          <w:sz w:val="24"/>
          <w:szCs w:val="24"/>
        </w:rPr>
      </w:pPr>
    </w:p>
    <w:p w14:paraId="4EB8919A" w14:textId="77777777" w:rsidR="009260DE" w:rsidRPr="00E6129F" w:rsidRDefault="009260DE" w:rsidP="009260DE">
      <w:pPr>
        <w:tabs>
          <w:tab w:val="left" w:pos="851"/>
        </w:tabs>
        <w:ind w:left="851" w:hanging="851"/>
        <w:rPr>
          <w:b/>
          <w:sz w:val="24"/>
          <w:szCs w:val="24"/>
        </w:rPr>
      </w:pPr>
      <w:r w:rsidRPr="00E6129F">
        <w:rPr>
          <w:b/>
          <w:sz w:val="24"/>
          <w:szCs w:val="24"/>
        </w:rPr>
        <w:t>7.</w:t>
      </w:r>
      <w:r w:rsidRPr="00E6129F">
        <w:rPr>
          <w:b/>
          <w:sz w:val="24"/>
          <w:szCs w:val="24"/>
        </w:rPr>
        <w:tab/>
        <w:t>INDEHAVER AF MARKEDSFØRINGSTILLADELSEN</w:t>
      </w:r>
    </w:p>
    <w:p w14:paraId="2D4D055F" w14:textId="526C2BEE" w:rsidR="00F6187D" w:rsidRPr="00E6129F" w:rsidRDefault="00F6187D" w:rsidP="00F6187D">
      <w:pPr>
        <w:tabs>
          <w:tab w:val="left" w:pos="851"/>
        </w:tabs>
        <w:ind w:left="851"/>
        <w:rPr>
          <w:sz w:val="24"/>
          <w:szCs w:val="24"/>
          <w:lang w:val="de-DE" w:eastAsia="da-DK"/>
        </w:rPr>
      </w:pPr>
      <w:r w:rsidRPr="00E6129F">
        <w:rPr>
          <w:sz w:val="24"/>
          <w:szCs w:val="24"/>
          <w:lang w:val="de-DE"/>
        </w:rPr>
        <w:t>G</w:t>
      </w:r>
      <w:r w:rsidR="007C1A68">
        <w:rPr>
          <w:sz w:val="24"/>
          <w:szCs w:val="24"/>
          <w:lang w:val="de-DE"/>
        </w:rPr>
        <w:t>eni</w:t>
      </w:r>
      <w:r w:rsidR="00361767">
        <w:rPr>
          <w:sz w:val="24"/>
          <w:szCs w:val="24"/>
          <w:lang w:val="de-DE"/>
        </w:rPr>
        <w:t>lac</w:t>
      </w:r>
      <w:r w:rsidRPr="00E6129F">
        <w:rPr>
          <w:sz w:val="24"/>
          <w:szCs w:val="24"/>
          <w:lang w:val="de-DE"/>
        </w:rPr>
        <w:t xml:space="preserve"> Germany GmbH</w:t>
      </w:r>
    </w:p>
    <w:p w14:paraId="7ED3CC60" w14:textId="77777777" w:rsidR="00F6187D" w:rsidRPr="00E6129F" w:rsidRDefault="00F6187D" w:rsidP="00F6187D">
      <w:pPr>
        <w:tabs>
          <w:tab w:val="left" w:pos="851"/>
        </w:tabs>
        <w:ind w:left="851"/>
        <w:rPr>
          <w:sz w:val="24"/>
          <w:szCs w:val="24"/>
          <w:lang w:val="de-DE"/>
        </w:rPr>
      </w:pPr>
      <w:r w:rsidRPr="00E6129F">
        <w:rPr>
          <w:sz w:val="24"/>
          <w:szCs w:val="24"/>
          <w:lang w:val="de-DE"/>
        </w:rPr>
        <w:t xml:space="preserve">Am </w:t>
      </w:r>
      <w:proofErr w:type="spellStart"/>
      <w:r w:rsidRPr="00E6129F">
        <w:rPr>
          <w:sz w:val="24"/>
          <w:szCs w:val="24"/>
          <w:lang w:val="de-DE"/>
        </w:rPr>
        <w:t>Muehlfeld</w:t>
      </w:r>
      <w:proofErr w:type="spellEnd"/>
      <w:r w:rsidRPr="00E6129F">
        <w:rPr>
          <w:sz w:val="24"/>
          <w:szCs w:val="24"/>
          <w:lang w:val="de-DE"/>
        </w:rPr>
        <w:t xml:space="preserve"> 23</w:t>
      </w:r>
    </w:p>
    <w:p w14:paraId="1E5467ED" w14:textId="77777777" w:rsidR="00F6187D" w:rsidRPr="00E6129F" w:rsidRDefault="00F6187D" w:rsidP="00F6187D">
      <w:pPr>
        <w:tabs>
          <w:tab w:val="left" w:pos="851"/>
        </w:tabs>
        <w:ind w:left="851"/>
        <w:rPr>
          <w:sz w:val="24"/>
          <w:szCs w:val="24"/>
        </w:rPr>
      </w:pPr>
      <w:r w:rsidRPr="00E6129F">
        <w:rPr>
          <w:sz w:val="24"/>
          <w:szCs w:val="24"/>
        </w:rPr>
        <w:t xml:space="preserve">63849 </w:t>
      </w:r>
      <w:proofErr w:type="spellStart"/>
      <w:r w:rsidRPr="00E6129F">
        <w:rPr>
          <w:sz w:val="24"/>
          <w:szCs w:val="24"/>
        </w:rPr>
        <w:t>Leidersbach</w:t>
      </w:r>
      <w:proofErr w:type="spellEnd"/>
    </w:p>
    <w:p w14:paraId="2723BC0D" w14:textId="77777777" w:rsidR="00F6187D" w:rsidRPr="00E6129F" w:rsidRDefault="00F6187D" w:rsidP="00F6187D">
      <w:pPr>
        <w:tabs>
          <w:tab w:val="left" w:pos="851"/>
        </w:tabs>
        <w:ind w:left="851"/>
        <w:rPr>
          <w:sz w:val="24"/>
          <w:szCs w:val="24"/>
        </w:rPr>
      </w:pPr>
      <w:r w:rsidRPr="00E6129F">
        <w:rPr>
          <w:sz w:val="24"/>
          <w:szCs w:val="24"/>
        </w:rPr>
        <w:t>Tyskland</w:t>
      </w:r>
    </w:p>
    <w:p w14:paraId="0C996B7D" w14:textId="77777777" w:rsidR="009260DE" w:rsidRPr="00E6129F" w:rsidRDefault="009260DE" w:rsidP="009260DE">
      <w:pPr>
        <w:tabs>
          <w:tab w:val="left" w:pos="851"/>
        </w:tabs>
        <w:ind w:left="851"/>
        <w:rPr>
          <w:sz w:val="24"/>
          <w:szCs w:val="24"/>
        </w:rPr>
      </w:pPr>
    </w:p>
    <w:p w14:paraId="74BD591F" w14:textId="476211B0" w:rsidR="009260DE" w:rsidRPr="00E6129F" w:rsidRDefault="009260DE" w:rsidP="009260DE">
      <w:pPr>
        <w:tabs>
          <w:tab w:val="left" w:pos="851"/>
        </w:tabs>
        <w:ind w:left="851" w:hanging="851"/>
        <w:rPr>
          <w:b/>
          <w:sz w:val="24"/>
          <w:szCs w:val="24"/>
        </w:rPr>
      </w:pPr>
      <w:r w:rsidRPr="00E6129F">
        <w:rPr>
          <w:b/>
          <w:sz w:val="24"/>
          <w:szCs w:val="24"/>
        </w:rPr>
        <w:t>8.</w:t>
      </w:r>
      <w:r w:rsidRPr="00E6129F">
        <w:rPr>
          <w:b/>
          <w:sz w:val="24"/>
          <w:szCs w:val="24"/>
        </w:rPr>
        <w:tab/>
        <w:t>MARKEDSFØRINGSTILLADELSESNUMMER (</w:t>
      </w:r>
      <w:r w:rsidR="00D00FCC">
        <w:rPr>
          <w:b/>
          <w:sz w:val="24"/>
          <w:szCs w:val="24"/>
        </w:rPr>
        <w:t>-</w:t>
      </w:r>
      <w:r w:rsidRPr="00E6129F">
        <w:rPr>
          <w:b/>
          <w:sz w:val="24"/>
          <w:szCs w:val="24"/>
        </w:rPr>
        <w:t>NUMRE)</w:t>
      </w:r>
    </w:p>
    <w:p w14:paraId="1F10FBBD" w14:textId="065EB595" w:rsidR="009260DE" w:rsidRPr="00E6129F" w:rsidRDefault="00F6187D" w:rsidP="009260DE">
      <w:pPr>
        <w:tabs>
          <w:tab w:val="left" w:pos="851"/>
        </w:tabs>
        <w:ind w:left="851"/>
        <w:rPr>
          <w:sz w:val="24"/>
          <w:szCs w:val="24"/>
        </w:rPr>
      </w:pPr>
      <w:r w:rsidRPr="00E6129F">
        <w:rPr>
          <w:sz w:val="24"/>
          <w:szCs w:val="24"/>
        </w:rPr>
        <w:t>66009</w:t>
      </w:r>
    </w:p>
    <w:p w14:paraId="699656B4" w14:textId="77777777" w:rsidR="009260DE" w:rsidRPr="00E6129F" w:rsidRDefault="009260DE" w:rsidP="009260DE">
      <w:pPr>
        <w:tabs>
          <w:tab w:val="left" w:pos="851"/>
        </w:tabs>
        <w:ind w:left="851"/>
        <w:jc w:val="both"/>
        <w:rPr>
          <w:sz w:val="24"/>
          <w:szCs w:val="24"/>
        </w:rPr>
      </w:pPr>
    </w:p>
    <w:p w14:paraId="47891773" w14:textId="77777777" w:rsidR="009260DE" w:rsidRPr="00E6129F" w:rsidRDefault="009260DE" w:rsidP="009260DE">
      <w:pPr>
        <w:tabs>
          <w:tab w:val="left" w:pos="851"/>
        </w:tabs>
        <w:ind w:left="851" w:hanging="851"/>
        <w:rPr>
          <w:b/>
          <w:sz w:val="24"/>
          <w:szCs w:val="24"/>
        </w:rPr>
      </w:pPr>
      <w:r w:rsidRPr="00E6129F">
        <w:rPr>
          <w:b/>
          <w:sz w:val="24"/>
          <w:szCs w:val="24"/>
        </w:rPr>
        <w:t>9.</w:t>
      </w:r>
      <w:r w:rsidRPr="00E6129F">
        <w:rPr>
          <w:b/>
          <w:sz w:val="24"/>
          <w:szCs w:val="24"/>
        </w:rPr>
        <w:tab/>
        <w:t>DATO FOR FØRSTE MARKEDSFØRINGSTILLADELSE</w:t>
      </w:r>
    </w:p>
    <w:p w14:paraId="71556B5E" w14:textId="32130300" w:rsidR="009260DE" w:rsidRPr="00E6129F" w:rsidRDefault="002A7F96" w:rsidP="009260DE">
      <w:pPr>
        <w:tabs>
          <w:tab w:val="left" w:pos="851"/>
        </w:tabs>
        <w:ind w:left="851"/>
        <w:rPr>
          <w:sz w:val="24"/>
          <w:szCs w:val="24"/>
        </w:rPr>
      </w:pPr>
      <w:r>
        <w:rPr>
          <w:sz w:val="24"/>
          <w:szCs w:val="24"/>
        </w:rPr>
        <w:t>15. juni 2022</w:t>
      </w:r>
    </w:p>
    <w:p w14:paraId="7504F81F" w14:textId="77777777" w:rsidR="009260DE" w:rsidRPr="00E6129F" w:rsidRDefault="009260DE" w:rsidP="009260DE">
      <w:pPr>
        <w:tabs>
          <w:tab w:val="left" w:pos="851"/>
        </w:tabs>
        <w:ind w:left="851"/>
        <w:rPr>
          <w:sz w:val="24"/>
          <w:szCs w:val="24"/>
        </w:rPr>
      </w:pPr>
    </w:p>
    <w:p w14:paraId="5AAFAA95" w14:textId="77777777" w:rsidR="009260DE" w:rsidRPr="00E6129F" w:rsidRDefault="009260DE" w:rsidP="009260DE">
      <w:pPr>
        <w:tabs>
          <w:tab w:val="left" w:pos="851"/>
        </w:tabs>
        <w:ind w:left="851" w:hanging="851"/>
        <w:rPr>
          <w:b/>
          <w:sz w:val="24"/>
          <w:szCs w:val="24"/>
        </w:rPr>
      </w:pPr>
      <w:r w:rsidRPr="00E6129F">
        <w:rPr>
          <w:b/>
          <w:sz w:val="24"/>
          <w:szCs w:val="24"/>
        </w:rPr>
        <w:t>10.</w:t>
      </w:r>
      <w:r w:rsidRPr="00E6129F">
        <w:rPr>
          <w:b/>
          <w:sz w:val="24"/>
          <w:szCs w:val="24"/>
        </w:rPr>
        <w:tab/>
        <w:t>DATO FOR ÆNDRING AF TEKSTEN</w:t>
      </w:r>
    </w:p>
    <w:p w14:paraId="202FF092" w14:textId="5DF822A4" w:rsidR="009260DE" w:rsidRPr="00E6129F" w:rsidRDefault="00D00FCC" w:rsidP="009260DE">
      <w:pPr>
        <w:tabs>
          <w:tab w:val="left" w:pos="851"/>
        </w:tabs>
        <w:ind w:left="851"/>
        <w:rPr>
          <w:sz w:val="24"/>
          <w:szCs w:val="24"/>
        </w:rPr>
      </w:pPr>
      <w:r>
        <w:rPr>
          <w:sz w:val="24"/>
          <w:szCs w:val="24"/>
        </w:rPr>
        <w:t>27. februar 2023</w:t>
      </w:r>
    </w:p>
    <w:sectPr w:rsidR="009260DE" w:rsidRPr="00E6129F" w:rsidSect="00612541">
      <w:footerReference w:type="default" r:id="rId9"/>
      <w:footerReference w:type="first" r:id="rId10"/>
      <w:pgSz w:w="11906" w:h="16838" w:code="9"/>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D5C62" w14:textId="77777777" w:rsidR="00295A48" w:rsidRDefault="00295A48">
      <w:r>
        <w:separator/>
      </w:r>
    </w:p>
  </w:endnote>
  <w:endnote w:type="continuationSeparator" w:id="0">
    <w:p w14:paraId="4F9B2411" w14:textId="77777777" w:rsidR="00295A48" w:rsidRDefault="0029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996CA" w14:textId="77777777" w:rsidR="000259B9" w:rsidRDefault="000259B9">
    <w:pPr>
      <w:pStyle w:val="Sidefod"/>
      <w:pBdr>
        <w:bottom w:val="single" w:sz="6" w:space="1" w:color="auto"/>
      </w:pBdr>
    </w:pPr>
  </w:p>
  <w:p w14:paraId="2DDA92A9" w14:textId="77777777" w:rsidR="000259B9" w:rsidRDefault="000259B9" w:rsidP="00C42586">
    <w:pPr>
      <w:pStyle w:val="Sidefod"/>
      <w:tabs>
        <w:tab w:val="clear" w:pos="4819"/>
        <w:tab w:val="left" w:pos="8505"/>
      </w:tabs>
      <w:rPr>
        <w:i/>
        <w:sz w:val="18"/>
        <w:szCs w:val="18"/>
      </w:rPr>
    </w:pPr>
  </w:p>
  <w:p w14:paraId="3539179D" w14:textId="725B122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00FCC">
      <w:rPr>
        <w:i/>
        <w:noProof/>
        <w:sz w:val="18"/>
        <w:szCs w:val="18"/>
      </w:rPr>
      <w:t>Pantoprazol Genilac Germany GmbH, pulver til injektionsvæske, opløsning 40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6AC1" w14:textId="77777777" w:rsidR="00E6129F" w:rsidRDefault="00E6129F" w:rsidP="00E6129F">
    <w:pPr>
      <w:pStyle w:val="Sidefod"/>
      <w:pBdr>
        <w:bottom w:val="single" w:sz="6" w:space="1" w:color="auto"/>
      </w:pBdr>
    </w:pPr>
  </w:p>
  <w:p w14:paraId="5CE43CF0" w14:textId="77777777" w:rsidR="00E6129F" w:rsidRDefault="00E6129F" w:rsidP="00E6129F">
    <w:pPr>
      <w:pStyle w:val="Sidefod"/>
      <w:tabs>
        <w:tab w:val="clear" w:pos="4819"/>
        <w:tab w:val="left" w:pos="8505"/>
      </w:tabs>
      <w:rPr>
        <w:i/>
        <w:sz w:val="18"/>
        <w:szCs w:val="18"/>
      </w:rPr>
    </w:pPr>
  </w:p>
  <w:p w14:paraId="79E82800" w14:textId="11865090" w:rsidR="00E6129F" w:rsidRPr="00E6129F" w:rsidRDefault="00E6129F" w:rsidP="00E6129F">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00FCC">
      <w:rPr>
        <w:i/>
        <w:noProof/>
        <w:sz w:val="18"/>
        <w:szCs w:val="18"/>
      </w:rPr>
      <w:t>Pantoprazol Genilac Germany GmbH, pulver til injektionsvæske, opløsning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13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56DFA" w14:textId="77777777" w:rsidR="00295A48" w:rsidRDefault="00295A48">
      <w:r>
        <w:separator/>
      </w:r>
    </w:p>
  </w:footnote>
  <w:footnote w:type="continuationSeparator" w:id="0">
    <w:p w14:paraId="56562A83" w14:textId="77777777" w:rsidR="00295A48" w:rsidRDefault="00295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48"/>
    <w:rsid w:val="000259B9"/>
    <w:rsid w:val="00041491"/>
    <w:rsid w:val="00050D16"/>
    <w:rsid w:val="000730CA"/>
    <w:rsid w:val="00074F2A"/>
    <w:rsid w:val="00075DB1"/>
    <w:rsid w:val="000A0BB4"/>
    <w:rsid w:val="000A1CA8"/>
    <w:rsid w:val="000A466B"/>
    <w:rsid w:val="000B058C"/>
    <w:rsid w:val="000E4EE6"/>
    <w:rsid w:val="001454E2"/>
    <w:rsid w:val="00206CE8"/>
    <w:rsid w:val="0021526C"/>
    <w:rsid w:val="00283A2B"/>
    <w:rsid w:val="00295A48"/>
    <w:rsid w:val="002A7F96"/>
    <w:rsid w:val="002B30AD"/>
    <w:rsid w:val="002C2C01"/>
    <w:rsid w:val="00361767"/>
    <w:rsid w:val="003A29AE"/>
    <w:rsid w:val="003A32D7"/>
    <w:rsid w:val="003B4074"/>
    <w:rsid w:val="003C769A"/>
    <w:rsid w:val="003E726F"/>
    <w:rsid w:val="003F1838"/>
    <w:rsid w:val="0045746C"/>
    <w:rsid w:val="0049104B"/>
    <w:rsid w:val="004938CC"/>
    <w:rsid w:val="004E3B12"/>
    <w:rsid w:val="00532310"/>
    <w:rsid w:val="00565F0F"/>
    <w:rsid w:val="00594A86"/>
    <w:rsid w:val="00596D86"/>
    <w:rsid w:val="00612541"/>
    <w:rsid w:val="00637F5A"/>
    <w:rsid w:val="006560B1"/>
    <w:rsid w:val="006756DD"/>
    <w:rsid w:val="00737275"/>
    <w:rsid w:val="00740EEC"/>
    <w:rsid w:val="00745175"/>
    <w:rsid w:val="0078011A"/>
    <w:rsid w:val="00782AF4"/>
    <w:rsid w:val="00790EE7"/>
    <w:rsid w:val="007B6649"/>
    <w:rsid w:val="007C1A68"/>
    <w:rsid w:val="0082576E"/>
    <w:rsid w:val="00872256"/>
    <w:rsid w:val="008D4E23"/>
    <w:rsid w:val="00907F75"/>
    <w:rsid w:val="009260DE"/>
    <w:rsid w:val="0093258A"/>
    <w:rsid w:val="009B0F38"/>
    <w:rsid w:val="009C7BA3"/>
    <w:rsid w:val="009D1F5A"/>
    <w:rsid w:val="00A10294"/>
    <w:rsid w:val="00A97BA3"/>
    <w:rsid w:val="00B003BF"/>
    <w:rsid w:val="00B373D7"/>
    <w:rsid w:val="00B71795"/>
    <w:rsid w:val="00BE1106"/>
    <w:rsid w:val="00C36276"/>
    <w:rsid w:val="00C42586"/>
    <w:rsid w:val="00C60CCD"/>
    <w:rsid w:val="00C84483"/>
    <w:rsid w:val="00C95551"/>
    <w:rsid w:val="00CB20D7"/>
    <w:rsid w:val="00D00FCC"/>
    <w:rsid w:val="00D020B0"/>
    <w:rsid w:val="00D11748"/>
    <w:rsid w:val="00D366CF"/>
    <w:rsid w:val="00E108AA"/>
    <w:rsid w:val="00E3749A"/>
    <w:rsid w:val="00E6129F"/>
    <w:rsid w:val="00E64E24"/>
    <w:rsid w:val="00E7437F"/>
    <w:rsid w:val="00E84787"/>
    <w:rsid w:val="00E865B8"/>
    <w:rsid w:val="00EC0B9B"/>
    <w:rsid w:val="00ED1DB3"/>
    <w:rsid w:val="00ED5E9F"/>
    <w:rsid w:val="00F6187D"/>
    <w:rsid w:val="00F66D4F"/>
    <w:rsid w:val="00FB6D01"/>
    <w:rsid w:val="00FF24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A0851D"/>
  <w15:chartTrackingRefBased/>
  <w15:docId w15:val="{1C88FDC9-BD42-475D-9993-62C9F87B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0A0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07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6031713">
      <w:bodyDiv w:val="1"/>
      <w:marLeft w:val="0"/>
      <w:marRight w:val="0"/>
      <w:marTop w:val="0"/>
      <w:marBottom w:val="0"/>
      <w:divBdr>
        <w:top w:val="none" w:sz="0" w:space="0" w:color="auto"/>
        <w:left w:val="none" w:sz="0" w:space="0" w:color="auto"/>
        <w:bottom w:val="none" w:sz="0" w:space="0" w:color="auto"/>
        <w:right w:val="none" w:sz="0" w:space="0" w:color="auto"/>
      </w:divBdr>
    </w:div>
    <w:div w:id="338654924">
      <w:bodyDiv w:val="1"/>
      <w:marLeft w:val="0"/>
      <w:marRight w:val="0"/>
      <w:marTop w:val="0"/>
      <w:marBottom w:val="0"/>
      <w:divBdr>
        <w:top w:val="none" w:sz="0" w:space="0" w:color="auto"/>
        <w:left w:val="none" w:sz="0" w:space="0" w:color="auto"/>
        <w:bottom w:val="none" w:sz="0" w:space="0" w:color="auto"/>
        <w:right w:val="none" w:sz="0" w:space="0" w:color="auto"/>
      </w:divBdr>
    </w:div>
    <w:div w:id="382945604">
      <w:bodyDiv w:val="1"/>
      <w:marLeft w:val="0"/>
      <w:marRight w:val="0"/>
      <w:marTop w:val="0"/>
      <w:marBottom w:val="0"/>
      <w:divBdr>
        <w:top w:val="none" w:sz="0" w:space="0" w:color="auto"/>
        <w:left w:val="none" w:sz="0" w:space="0" w:color="auto"/>
        <w:bottom w:val="none" w:sz="0" w:space="0" w:color="auto"/>
        <w:right w:val="none" w:sz="0" w:space="0" w:color="auto"/>
      </w:divBdr>
    </w:div>
    <w:div w:id="465006904">
      <w:bodyDiv w:val="1"/>
      <w:marLeft w:val="0"/>
      <w:marRight w:val="0"/>
      <w:marTop w:val="0"/>
      <w:marBottom w:val="0"/>
      <w:divBdr>
        <w:top w:val="none" w:sz="0" w:space="0" w:color="auto"/>
        <w:left w:val="none" w:sz="0" w:space="0" w:color="auto"/>
        <w:bottom w:val="none" w:sz="0" w:space="0" w:color="auto"/>
        <w:right w:val="none" w:sz="0" w:space="0" w:color="auto"/>
      </w:divBdr>
    </w:div>
    <w:div w:id="605503407">
      <w:bodyDiv w:val="1"/>
      <w:marLeft w:val="0"/>
      <w:marRight w:val="0"/>
      <w:marTop w:val="0"/>
      <w:marBottom w:val="0"/>
      <w:divBdr>
        <w:top w:val="none" w:sz="0" w:space="0" w:color="auto"/>
        <w:left w:val="none" w:sz="0" w:space="0" w:color="auto"/>
        <w:bottom w:val="none" w:sz="0" w:space="0" w:color="auto"/>
        <w:right w:val="none" w:sz="0" w:space="0" w:color="auto"/>
      </w:divBdr>
    </w:div>
    <w:div w:id="673263822">
      <w:bodyDiv w:val="1"/>
      <w:marLeft w:val="0"/>
      <w:marRight w:val="0"/>
      <w:marTop w:val="0"/>
      <w:marBottom w:val="0"/>
      <w:divBdr>
        <w:top w:val="none" w:sz="0" w:space="0" w:color="auto"/>
        <w:left w:val="none" w:sz="0" w:space="0" w:color="auto"/>
        <w:bottom w:val="none" w:sz="0" w:space="0" w:color="auto"/>
        <w:right w:val="none" w:sz="0" w:space="0" w:color="auto"/>
      </w:divBdr>
    </w:div>
    <w:div w:id="695275039">
      <w:bodyDiv w:val="1"/>
      <w:marLeft w:val="0"/>
      <w:marRight w:val="0"/>
      <w:marTop w:val="0"/>
      <w:marBottom w:val="0"/>
      <w:divBdr>
        <w:top w:val="none" w:sz="0" w:space="0" w:color="auto"/>
        <w:left w:val="none" w:sz="0" w:space="0" w:color="auto"/>
        <w:bottom w:val="none" w:sz="0" w:space="0" w:color="auto"/>
        <w:right w:val="none" w:sz="0" w:space="0" w:color="auto"/>
      </w:divBdr>
    </w:div>
    <w:div w:id="792943168">
      <w:bodyDiv w:val="1"/>
      <w:marLeft w:val="0"/>
      <w:marRight w:val="0"/>
      <w:marTop w:val="0"/>
      <w:marBottom w:val="0"/>
      <w:divBdr>
        <w:top w:val="none" w:sz="0" w:space="0" w:color="auto"/>
        <w:left w:val="none" w:sz="0" w:space="0" w:color="auto"/>
        <w:bottom w:val="none" w:sz="0" w:space="0" w:color="auto"/>
        <w:right w:val="none" w:sz="0" w:space="0" w:color="auto"/>
      </w:divBdr>
    </w:div>
    <w:div w:id="797066417">
      <w:bodyDiv w:val="1"/>
      <w:marLeft w:val="0"/>
      <w:marRight w:val="0"/>
      <w:marTop w:val="0"/>
      <w:marBottom w:val="0"/>
      <w:divBdr>
        <w:top w:val="none" w:sz="0" w:space="0" w:color="auto"/>
        <w:left w:val="none" w:sz="0" w:space="0" w:color="auto"/>
        <w:bottom w:val="none" w:sz="0" w:space="0" w:color="auto"/>
        <w:right w:val="none" w:sz="0" w:space="0" w:color="auto"/>
      </w:divBdr>
    </w:div>
    <w:div w:id="857083171">
      <w:bodyDiv w:val="1"/>
      <w:marLeft w:val="0"/>
      <w:marRight w:val="0"/>
      <w:marTop w:val="0"/>
      <w:marBottom w:val="0"/>
      <w:divBdr>
        <w:top w:val="none" w:sz="0" w:space="0" w:color="auto"/>
        <w:left w:val="none" w:sz="0" w:space="0" w:color="auto"/>
        <w:bottom w:val="none" w:sz="0" w:space="0" w:color="auto"/>
        <w:right w:val="none" w:sz="0" w:space="0" w:color="auto"/>
      </w:divBdr>
    </w:div>
    <w:div w:id="859657885">
      <w:bodyDiv w:val="1"/>
      <w:marLeft w:val="0"/>
      <w:marRight w:val="0"/>
      <w:marTop w:val="0"/>
      <w:marBottom w:val="0"/>
      <w:divBdr>
        <w:top w:val="none" w:sz="0" w:space="0" w:color="auto"/>
        <w:left w:val="none" w:sz="0" w:space="0" w:color="auto"/>
        <w:bottom w:val="none" w:sz="0" w:space="0" w:color="auto"/>
        <w:right w:val="none" w:sz="0" w:space="0" w:color="auto"/>
      </w:divBdr>
    </w:div>
    <w:div w:id="1136949240">
      <w:bodyDiv w:val="1"/>
      <w:marLeft w:val="0"/>
      <w:marRight w:val="0"/>
      <w:marTop w:val="0"/>
      <w:marBottom w:val="0"/>
      <w:divBdr>
        <w:top w:val="none" w:sz="0" w:space="0" w:color="auto"/>
        <w:left w:val="none" w:sz="0" w:space="0" w:color="auto"/>
        <w:bottom w:val="none" w:sz="0" w:space="0" w:color="auto"/>
        <w:right w:val="none" w:sz="0" w:space="0" w:color="auto"/>
      </w:divBdr>
    </w:div>
    <w:div w:id="1180119881">
      <w:bodyDiv w:val="1"/>
      <w:marLeft w:val="0"/>
      <w:marRight w:val="0"/>
      <w:marTop w:val="0"/>
      <w:marBottom w:val="0"/>
      <w:divBdr>
        <w:top w:val="none" w:sz="0" w:space="0" w:color="auto"/>
        <w:left w:val="none" w:sz="0" w:space="0" w:color="auto"/>
        <w:bottom w:val="none" w:sz="0" w:space="0" w:color="auto"/>
        <w:right w:val="none" w:sz="0" w:space="0" w:color="auto"/>
      </w:divBdr>
    </w:div>
    <w:div w:id="1210847456">
      <w:bodyDiv w:val="1"/>
      <w:marLeft w:val="0"/>
      <w:marRight w:val="0"/>
      <w:marTop w:val="0"/>
      <w:marBottom w:val="0"/>
      <w:divBdr>
        <w:top w:val="none" w:sz="0" w:space="0" w:color="auto"/>
        <w:left w:val="none" w:sz="0" w:space="0" w:color="auto"/>
        <w:bottom w:val="none" w:sz="0" w:space="0" w:color="auto"/>
        <w:right w:val="none" w:sz="0" w:space="0" w:color="auto"/>
      </w:divBdr>
    </w:div>
    <w:div w:id="1270744834">
      <w:bodyDiv w:val="1"/>
      <w:marLeft w:val="0"/>
      <w:marRight w:val="0"/>
      <w:marTop w:val="0"/>
      <w:marBottom w:val="0"/>
      <w:divBdr>
        <w:top w:val="none" w:sz="0" w:space="0" w:color="auto"/>
        <w:left w:val="none" w:sz="0" w:space="0" w:color="auto"/>
        <w:bottom w:val="none" w:sz="0" w:space="0" w:color="auto"/>
        <w:right w:val="none" w:sz="0" w:space="0" w:color="auto"/>
      </w:divBdr>
    </w:div>
    <w:div w:id="1308585707">
      <w:bodyDiv w:val="1"/>
      <w:marLeft w:val="0"/>
      <w:marRight w:val="0"/>
      <w:marTop w:val="0"/>
      <w:marBottom w:val="0"/>
      <w:divBdr>
        <w:top w:val="none" w:sz="0" w:space="0" w:color="auto"/>
        <w:left w:val="none" w:sz="0" w:space="0" w:color="auto"/>
        <w:bottom w:val="none" w:sz="0" w:space="0" w:color="auto"/>
        <w:right w:val="none" w:sz="0" w:space="0" w:color="auto"/>
      </w:divBdr>
    </w:div>
    <w:div w:id="1438450867">
      <w:bodyDiv w:val="1"/>
      <w:marLeft w:val="0"/>
      <w:marRight w:val="0"/>
      <w:marTop w:val="0"/>
      <w:marBottom w:val="0"/>
      <w:divBdr>
        <w:top w:val="none" w:sz="0" w:space="0" w:color="auto"/>
        <w:left w:val="none" w:sz="0" w:space="0" w:color="auto"/>
        <w:bottom w:val="none" w:sz="0" w:space="0" w:color="auto"/>
        <w:right w:val="none" w:sz="0" w:space="0" w:color="auto"/>
      </w:divBdr>
    </w:div>
    <w:div w:id="1506288958">
      <w:bodyDiv w:val="1"/>
      <w:marLeft w:val="0"/>
      <w:marRight w:val="0"/>
      <w:marTop w:val="0"/>
      <w:marBottom w:val="0"/>
      <w:divBdr>
        <w:top w:val="none" w:sz="0" w:space="0" w:color="auto"/>
        <w:left w:val="none" w:sz="0" w:space="0" w:color="auto"/>
        <w:bottom w:val="none" w:sz="0" w:space="0" w:color="auto"/>
        <w:right w:val="none" w:sz="0" w:space="0" w:color="auto"/>
      </w:divBdr>
    </w:div>
    <w:div w:id="1562793731">
      <w:bodyDiv w:val="1"/>
      <w:marLeft w:val="0"/>
      <w:marRight w:val="0"/>
      <w:marTop w:val="0"/>
      <w:marBottom w:val="0"/>
      <w:divBdr>
        <w:top w:val="none" w:sz="0" w:space="0" w:color="auto"/>
        <w:left w:val="none" w:sz="0" w:space="0" w:color="auto"/>
        <w:bottom w:val="none" w:sz="0" w:space="0" w:color="auto"/>
        <w:right w:val="none" w:sz="0" w:space="0" w:color="auto"/>
      </w:divBdr>
    </w:div>
    <w:div w:id="1668707920">
      <w:bodyDiv w:val="1"/>
      <w:marLeft w:val="0"/>
      <w:marRight w:val="0"/>
      <w:marTop w:val="0"/>
      <w:marBottom w:val="0"/>
      <w:divBdr>
        <w:top w:val="none" w:sz="0" w:space="0" w:color="auto"/>
        <w:left w:val="none" w:sz="0" w:space="0" w:color="auto"/>
        <w:bottom w:val="none" w:sz="0" w:space="0" w:color="auto"/>
        <w:right w:val="none" w:sz="0" w:space="0" w:color="auto"/>
      </w:divBdr>
    </w:div>
    <w:div w:id="1827160856">
      <w:bodyDiv w:val="1"/>
      <w:marLeft w:val="0"/>
      <w:marRight w:val="0"/>
      <w:marTop w:val="0"/>
      <w:marBottom w:val="0"/>
      <w:divBdr>
        <w:top w:val="none" w:sz="0" w:space="0" w:color="auto"/>
        <w:left w:val="none" w:sz="0" w:space="0" w:color="auto"/>
        <w:bottom w:val="none" w:sz="0" w:space="0" w:color="auto"/>
        <w:right w:val="none" w:sz="0" w:space="0" w:color="auto"/>
      </w:divBdr>
    </w:div>
    <w:div w:id="1893544158">
      <w:bodyDiv w:val="1"/>
      <w:marLeft w:val="0"/>
      <w:marRight w:val="0"/>
      <w:marTop w:val="0"/>
      <w:marBottom w:val="0"/>
      <w:divBdr>
        <w:top w:val="none" w:sz="0" w:space="0" w:color="auto"/>
        <w:left w:val="none" w:sz="0" w:space="0" w:color="auto"/>
        <w:bottom w:val="none" w:sz="0" w:space="0" w:color="auto"/>
        <w:right w:val="none" w:sz="0" w:space="0" w:color="auto"/>
      </w:divBdr>
    </w:div>
    <w:div w:id="21248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3430</Words>
  <Characters>22902</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2022120585, SPC pkt. 6.3._x000d_
Ændring fra 2 år til 3 år</dc:description>
  <cp:lastModifiedBy>Kristine Skov Hansen</cp:lastModifiedBy>
  <cp:revision>2</cp:revision>
  <cp:lastPrinted>2012-08-22T08:53:00Z</cp:lastPrinted>
  <dcterms:created xsi:type="dcterms:W3CDTF">2023-02-27T10:02:00Z</dcterms:created>
  <dcterms:modified xsi:type="dcterms:W3CDTF">2023-02-27T10:02:00Z</dcterms:modified>
</cp:coreProperties>
</file>