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C9" w:rsidRPr="00D44204" w:rsidRDefault="00A171C9" w:rsidP="00A171C9">
      <w:pPr>
        <w:pStyle w:val="Titel"/>
        <w:tabs>
          <w:tab w:val="left" w:pos="7938"/>
        </w:tabs>
        <w:jc w:val="left"/>
        <w:rPr>
          <w:b w:val="0"/>
          <w:szCs w:val="24"/>
        </w:rPr>
      </w:pPr>
      <w:r w:rsidRPr="00D44204">
        <w:rPr>
          <w:b w:val="0"/>
          <w:noProof/>
          <w:szCs w:val="24"/>
        </w:rPr>
        <w:drawing>
          <wp:inline distT="0" distB="0" distL="0" distR="0" wp14:anchorId="62103429" wp14:editId="22AE0487">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171C9" w:rsidRPr="00D44204" w:rsidRDefault="00A171C9" w:rsidP="00A171C9">
      <w:pPr>
        <w:pStyle w:val="Titel"/>
        <w:tabs>
          <w:tab w:val="left" w:pos="7938"/>
        </w:tabs>
        <w:jc w:val="left"/>
        <w:rPr>
          <w:b w:val="0"/>
          <w:szCs w:val="24"/>
        </w:rPr>
      </w:pPr>
    </w:p>
    <w:p w:rsidR="00A171C9" w:rsidRPr="00D44204" w:rsidRDefault="00383C4A" w:rsidP="00A171C9">
      <w:pPr>
        <w:pStyle w:val="Titel"/>
        <w:tabs>
          <w:tab w:val="left" w:pos="6804"/>
        </w:tabs>
        <w:jc w:val="right"/>
        <w:rPr>
          <w:szCs w:val="24"/>
        </w:rPr>
      </w:pPr>
      <w:r>
        <w:rPr>
          <w:szCs w:val="24"/>
        </w:rPr>
        <w:t>24</w:t>
      </w:r>
      <w:r w:rsidR="00282D26" w:rsidRPr="00D44204">
        <w:rPr>
          <w:szCs w:val="24"/>
        </w:rPr>
        <w:t>. februar 202</w:t>
      </w:r>
      <w:r>
        <w:rPr>
          <w:szCs w:val="24"/>
        </w:rPr>
        <w:t>5</w:t>
      </w:r>
    </w:p>
    <w:p w:rsidR="00A171C9" w:rsidRPr="00D44204" w:rsidRDefault="00A171C9" w:rsidP="00A171C9">
      <w:pPr>
        <w:pStyle w:val="Titel"/>
        <w:tabs>
          <w:tab w:val="left" w:pos="8222"/>
        </w:tabs>
        <w:jc w:val="left"/>
        <w:rPr>
          <w:b w:val="0"/>
          <w:szCs w:val="24"/>
        </w:rPr>
      </w:pPr>
    </w:p>
    <w:p w:rsidR="00A171C9" w:rsidRPr="00D44204" w:rsidRDefault="00A171C9" w:rsidP="00A171C9">
      <w:pPr>
        <w:pStyle w:val="Titel"/>
        <w:jc w:val="left"/>
        <w:rPr>
          <w:b w:val="0"/>
          <w:szCs w:val="24"/>
        </w:rPr>
      </w:pPr>
    </w:p>
    <w:p w:rsidR="00282D26" w:rsidRPr="00D44204" w:rsidRDefault="00282D26" w:rsidP="00A171C9">
      <w:pPr>
        <w:pStyle w:val="Titel"/>
        <w:jc w:val="left"/>
        <w:rPr>
          <w:b w:val="0"/>
          <w:szCs w:val="24"/>
        </w:rPr>
      </w:pPr>
    </w:p>
    <w:p w:rsidR="00A171C9" w:rsidRPr="00D44204" w:rsidRDefault="00A171C9" w:rsidP="00282D26">
      <w:pPr>
        <w:jc w:val="center"/>
        <w:rPr>
          <w:b/>
          <w:sz w:val="24"/>
          <w:szCs w:val="24"/>
        </w:rPr>
      </w:pPr>
      <w:r w:rsidRPr="00D44204">
        <w:rPr>
          <w:b/>
          <w:sz w:val="24"/>
          <w:szCs w:val="24"/>
        </w:rPr>
        <w:t>PRODUKTRESUMÉ</w:t>
      </w:r>
    </w:p>
    <w:p w:rsidR="00A171C9" w:rsidRPr="00D44204" w:rsidRDefault="00A171C9" w:rsidP="00282D26">
      <w:pPr>
        <w:jc w:val="center"/>
        <w:rPr>
          <w:b/>
          <w:sz w:val="24"/>
          <w:szCs w:val="24"/>
        </w:rPr>
      </w:pPr>
    </w:p>
    <w:p w:rsidR="00A171C9" w:rsidRPr="00D44204" w:rsidRDefault="00A171C9" w:rsidP="00282D26">
      <w:pPr>
        <w:jc w:val="center"/>
        <w:rPr>
          <w:b/>
          <w:sz w:val="24"/>
          <w:szCs w:val="24"/>
        </w:rPr>
      </w:pPr>
      <w:r w:rsidRPr="00D44204">
        <w:rPr>
          <w:b/>
          <w:sz w:val="24"/>
          <w:szCs w:val="24"/>
        </w:rPr>
        <w:t>for</w:t>
      </w:r>
    </w:p>
    <w:p w:rsidR="00A171C9" w:rsidRPr="00D44204" w:rsidRDefault="00A171C9" w:rsidP="00282D26">
      <w:pPr>
        <w:jc w:val="center"/>
        <w:rPr>
          <w:b/>
          <w:sz w:val="24"/>
          <w:szCs w:val="24"/>
        </w:rPr>
      </w:pPr>
    </w:p>
    <w:p w:rsidR="00A171C9" w:rsidRPr="00D44204" w:rsidRDefault="00A171C9" w:rsidP="00282D26">
      <w:pPr>
        <w:jc w:val="center"/>
        <w:rPr>
          <w:b/>
          <w:sz w:val="24"/>
          <w:szCs w:val="24"/>
        </w:rPr>
      </w:pPr>
      <w:proofErr w:type="spellStart"/>
      <w:r w:rsidRPr="00D44204">
        <w:rPr>
          <w:b/>
          <w:sz w:val="24"/>
          <w:szCs w:val="24"/>
        </w:rPr>
        <w:t>Pantoprazol</w:t>
      </w:r>
      <w:proofErr w:type="spellEnd"/>
      <w:r w:rsidRPr="00D44204">
        <w:rPr>
          <w:b/>
          <w:sz w:val="24"/>
          <w:szCs w:val="24"/>
        </w:rPr>
        <w:t xml:space="preserve"> </w:t>
      </w:r>
      <w:r w:rsidR="00300098">
        <w:rPr>
          <w:b/>
          <w:sz w:val="24"/>
          <w:szCs w:val="24"/>
        </w:rPr>
        <w:t>"</w:t>
      </w:r>
      <w:r w:rsidRPr="00D44204">
        <w:rPr>
          <w:b/>
          <w:sz w:val="24"/>
          <w:szCs w:val="24"/>
        </w:rPr>
        <w:t>KRKA</w:t>
      </w:r>
      <w:r w:rsidR="00300098">
        <w:rPr>
          <w:b/>
          <w:sz w:val="24"/>
          <w:szCs w:val="24"/>
        </w:rPr>
        <w:t>"</w:t>
      </w:r>
      <w:r w:rsidRPr="00D44204">
        <w:rPr>
          <w:b/>
          <w:sz w:val="24"/>
          <w:szCs w:val="24"/>
        </w:rPr>
        <w:t xml:space="preserve">, </w:t>
      </w:r>
      <w:proofErr w:type="spellStart"/>
      <w:r w:rsidRPr="00D44204">
        <w:rPr>
          <w:b/>
          <w:sz w:val="24"/>
          <w:szCs w:val="24"/>
        </w:rPr>
        <w:t>enterotabletter</w:t>
      </w:r>
      <w:proofErr w:type="spellEnd"/>
      <w:r w:rsidRPr="00D44204">
        <w:rPr>
          <w:b/>
          <w:sz w:val="24"/>
          <w:szCs w:val="24"/>
        </w:rPr>
        <w:t xml:space="preserve"> 40 mg</w:t>
      </w:r>
    </w:p>
    <w:p w:rsidR="00A171C9" w:rsidRPr="00D44204" w:rsidRDefault="00A171C9" w:rsidP="00A171C9">
      <w:pPr>
        <w:jc w:val="both"/>
        <w:rPr>
          <w:sz w:val="24"/>
          <w:szCs w:val="24"/>
        </w:rPr>
      </w:pPr>
    </w:p>
    <w:p w:rsidR="00A171C9" w:rsidRPr="00D44204" w:rsidRDefault="00A171C9" w:rsidP="00A171C9">
      <w:pPr>
        <w:jc w:val="both"/>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0.</w:t>
      </w:r>
      <w:r w:rsidRPr="00D44204">
        <w:rPr>
          <w:b/>
          <w:sz w:val="24"/>
          <w:szCs w:val="24"/>
        </w:rPr>
        <w:tab/>
        <w:t>D.SP.NR.</w:t>
      </w:r>
    </w:p>
    <w:p w:rsidR="00A171C9" w:rsidRPr="00D44204" w:rsidRDefault="00A171C9" w:rsidP="00A171C9">
      <w:pPr>
        <w:tabs>
          <w:tab w:val="left" w:pos="851"/>
        </w:tabs>
        <w:rPr>
          <w:sz w:val="24"/>
          <w:szCs w:val="24"/>
        </w:rPr>
      </w:pPr>
      <w:r w:rsidRPr="00D44204">
        <w:rPr>
          <w:sz w:val="24"/>
          <w:szCs w:val="24"/>
        </w:rPr>
        <w:tab/>
        <w:t>24664</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1.</w:t>
      </w:r>
      <w:r w:rsidRPr="00D44204">
        <w:rPr>
          <w:b/>
          <w:sz w:val="24"/>
          <w:szCs w:val="24"/>
        </w:rPr>
        <w:tab/>
        <w:t>LÆGEMIDLETS NAVN</w:t>
      </w:r>
    </w:p>
    <w:p w:rsidR="00A171C9" w:rsidRPr="00D44204" w:rsidRDefault="00A171C9" w:rsidP="00A171C9">
      <w:pPr>
        <w:tabs>
          <w:tab w:val="left" w:pos="851"/>
        </w:tabs>
        <w:rPr>
          <w:sz w:val="24"/>
          <w:szCs w:val="24"/>
        </w:rPr>
      </w:pPr>
      <w:r w:rsidRPr="00D44204">
        <w:rPr>
          <w:sz w:val="24"/>
          <w:szCs w:val="24"/>
        </w:rPr>
        <w:tab/>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p>
    <w:p w:rsidR="00A171C9" w:rsidRPr="00D44204" w:rsidRDefault="00A171C9" w:rsidP="00A171C9">
      <w:pPr>
        <w:tabs>
          <w:tab w:val="left" w:pos="851"/>
        </w:tabs>
        <w:rPr>
          <w:sz w:val="24"/>
          <w:szCs w:val="24"/>
        </w:rPr>
      </w:pPr>
      <w:r w:rsidRPr="00D44204">
        <w:rPr>
          <w:sz w:val="24"/>
          <w:szCs w:val="24"/>
        </w:rPr>
        <w:tab/>
      </w:r>
    </w:p>
    <w:p w:rsidR="00E77D9E" w:rsidRPr="00D44204" w:rsidRDefault="00E77D9E" w:rsidP="00E77D9E">
      <w:pPr>
        <w:tabs>
          <w:tab w:val="left" w:pos="851"/>
        </w:tabs>
        <w:ind w:left="851" w:hanging="851"/>
        <w:rPr>
          <w:b/>
          <w:sz w:val="24"/>
          <w:szCs w:val="24"/>
        </w:rPr>
      </w:pPr>
      <w:bookmarkStart w:id="0" w:name="OLE_LINK5"/>
      <w:bookmarkStart w:id="1" w:name="OLE_LINK6"/>
      <w:r w:rsidRPr="00D44204">
        <w:rPr>
          <w:b/>
          <w:sz w:val="24"/>
          <w:szCs w:val="24"/>
        </w:rPr>
        <w:t>2.</w:t>
      </w:r>
      <w:r w:rsidRPr="00D44204">
        <w:rPr>
          <w:b/>
          <w:sz w:val="24"/>
          <w:szCs w:val="24"/>
        </w:rPr>
        <w:tab/>
        <w:t>KVALITATIV OG KVANTITATIV SAMMENSÆTNING</w:t>
      </w:r>
    </w:p>
    <w:p w:rsidR="00A171C9" w:rsidRPr="00D44204" w:rsidRDefault="00A171C9" w:rsidP="00E77D9E">
      <w:pPr>
        <w:ind w:left="851"/>
        <w:rPr>
          <w:sz w:val="24"/>
          <w:szCs w:val="24"/>
        </w:rPr>
      </w:pPr>
      <w:r w:rsidRPr="00D44204">
        <w:rPr>
          <w:sz w:val="24"/>
          <w:szCs w:val="24"/>
        </w:rPr>
        <w:t xml:space="preserve">Hver </w:t>
      </w:r>
      <w:proofErr w:type="spellStart"/>
      <w:r w:rsidRPr="00D44204">
        <w:rPr>
          <w:sz w:val="24"/>
          <w:szCs w:val="24"/>
        </w:rPr>
        <w:t>enterotablet</w:t>
      </w:r>
      <w:proofErr w:type="spellEnd"/>
      <w:r w:rsidRPr="00D44204">
        <w:rPr>
          <w:sz w:val="24"/>
          <w:szCs w:val="24"/>
        </w:rPr>
        <w:t xml:space="preserve"> indeholder 40 mg </w:t>
      </w:r>
      <w:proofErr w:type="spellStart"/>
      <w:r w:rsidRPr="00D44204">
        <w:rPr>
          <w:sz w:val="24"/>
          <w:szCs w:val="24"/>
        </w:rPr>
        <w:t>pantoprazol</w:t>
      </w:r>
      <w:proofErr w:type="spellEnd"/>
      <w:r w:rsidRPr="00D44204">
        <w:rPr>
          <w:sz w:val="24"/>
          <w:szCs w:val="24"/>
        </w:rPr>
        <w:t xml:space="preserve"> (som </w:t>
      </w:r>
      <w:proofErr w:type="spellStart"/>
      <w:r w:rsidRPr="00D44204">
        <w:rPr>
          <w:sz w:val="24"/>
          <w:szCs w:val="24"/>
        </w:rPr>
        <w:t>pantoprazolnatriumsesquihydrat</w:t>
      </w:r>
      <w:proofErr w:type="spellEnd"/>
      <w:r w:rsidRPr="00D44204">
        <w:rPr>
          <w:sz w:val="24"/>
          <w:szCs w:val="24"/>
        </w:rPr>
        <w:t>).</w:t>
      </w:r>
    </w:p>
    <w:p w:rsidR="00A171C9" w:rsidRPr="00D44204" w:rsidRDefault="00A171C9" w:rsidP="00E77D9E">
      <w:pPr>
        <w:ind w:left="851"/>
        <w:rPr>
          <w:sz w:val="24"/>
          <w:szCs w:val="24"/>
        </w:rPr>
      </w:pPr>
    </w:p>
    <w:bookmarkEnd w:id="0"/>
    <w:bookmarkEnd w:id="1"/>
    <w:p w:rsidR="00A171C9" w:rsidRPr="00D44204" w:rsidRDefault="00A171C9" w:rsidP="00E77D9E">
      <w:pPr>
        <w:ind w:left="851"/>
        <w:rPr>
          <w:sz w:val="24"/>
          <w:szCs w:val="24"/>
        </w:rPr>
      </w:pPr>
      <w:r w:rsidRPr="00D44204">
        <w:rPr>
          <w:sz w:val="24"/>
          <w:szCs w:val="24"/>
        </w:rPr>
        <w:t>Hjælpestoffer med kendt effekt:</w:t>
      </w:r>
    </w:p>
    <w:p w:rsidR="00A171C9" w:rsidRPr="00D44204" w:rsidRDefault="00A171C9" w:rsidP="00E77D9E">
      <w:pPr>
        <w:ind w:left="851"/>
        <w:rPr>
          <w:sz w:val="24"/>
          <w:szCs w:val="24"/>
        </w:rPr>
      </w:pPr>
      <w:r w:rsidRPr="00D44204">
        <w:rPr>
          <w:sz w:val="24"/>
          <w:szCs w:val="24"/>
        </w:rPr>
        <w:t xml:space="preserve">Sorbitol: 36 mg/tablet </w:t>
      </w:r>
    </w:p>
    <w:p w:rsidR="00A171C9" w:rsidRPr="00D44204" w:rsidRDefault="00A171C9" w:rsidP="00E77D9E">
      <w:pPr>
        <w:tabs>
          <w:tab w:val="left" w:pos="4307"/>
        </w:tabs>
        <w:ind w:left="851"/>
        <w:rPr>
          <w:sz w:val="24"/>
          <w:szCs w:val="24"/>
        </w:rPr>
      </w:pPr>
    </w:p>
    <w:p w:rsidR="00A171C9" w:rsidRPr="00D44204" w:rsidRDefault="00A171C9" w:rsidP="00E77D9E">
      <w:pPr>
        <w:tabs>
          <w:tab w:val="left" w:pos="851"/>
        </w:tabs>
        <w:ind w:left="851"/>
        <w:rPr>
          <w:sz w:val="24"/>
          <w:szCs w:val="24"/>
        </w:rPr>
      </w:pPr>
      <w:r w:rsidRPr="00D44204">
        <w:rPr>
          <w:sz w:val="24"/>
          <w:szCs w:val="24"/>
        </w:rPr>
        <w:t>Alle hjælpestoffer er anført under pkt. 6.1.</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3.</w:t>
      </w:r>
      <w:r w:rsidRPr="00D44204">
        <w:rPr>
          <w:b/>
          <w:sz w:val="24"/>
          <w:szCs w:val="24"/>
        </w:rPr>
        <w:tab/>
        <w:t>LÆGEMIDDELFORM</w:t>
      </w:r>
    </w:p>
    <w:p w:rsidR="00A171C9" w:rsidRPr="00D44204" w:rsidRDefault="00A171C9" w:rsidP="00A171C9">
      <w:pPr>
        <w:tabs>
          <w:tab w:val="left" w:pos="851"/>
        </w:tabs>
        <w:ind w:left="855"/>
        <w:rPr>
          <w:sz w:val="24"/>
          <w:szCs w:val="24"/>
        </w:rPr>
      </w:pPr>
      <w:proofErr w:type="spellStart"/>
      <w:r w:rsidRPr="00D44204">
        <w:rPr>
          <w:sz w:val="24"/>
          <w:szCs w:val="24"/>
        </w:rPr>
        <w:t>Enterotablet</w:t>
      </w:r>
      <w:r w:rsidR="00E77D9E" w:rsidRPr="00D44204">
        <w:rPr>
          <w:sz w:val="24"/>
          <w:szCs w:val="24"/>
        </w:rPr>
        <w:t>ter</w:t>
      </w:r>
      <w:proofErr w:type="spellEnd"/>
    </w:p>
    <w:p w:rsidR="00A171C9" w:rsidRPr="00D44204" w:rsidRDefault="00A171C9" w:rsidP="00A171C9">
      <w:pPr>
        <w:tabs>
          <w:tab w:val="left" w:pos="851"/>
        </w:tabs>
        <w:ind w:left="851" w:hanging="851"/>
        <w:rPr>
          <w:sz w:val="24"/>
          <w:szCs w:val="24"/>
        </w:rPr>
      </w:pPr>
    </w:p>
    <w:p w:rsidR="00A171C9" w:rsidRPr="00D44204" w:rsidRDefault="00A171C9" w:rsidP="00A171C9">
      <w:pPr>
        <w:ind w:firstLine="855"/>
        <w:rPr>
          <w:sz w:val="24"/>
          <w:szCs w:val="24"/>
        </w:rPr>
      </w:pPr>
      <w:r w:rsidRPr="00D44204">
        <w:rPr>
          <w:sz w:val="24"/>
          <w:szCs w:val="24"/>
        </w:rPr>
        <w:t xml:space="preserve">Lys brungul, oval og lettere </w:t>
      </w:r>
      <w:proofErr w:type="spellStart"/>
      <w:r w:rsidRPr="00D44204">
        <w:rPr>
          <w:sz w:val="24"/>
          <w:szCs w:val="24"/>
        </w:rPr>
        <w:t>bikonveks</w:t>
      </w:r>
      <w:proofErr w:type="spellEnd"/>
      <w:r w:rsidRPr="00D44204">
        <w:rPr>
          <w:sz w:val="24"/>
          <w:szCs w:val="24"/>
        </w:rPr>
        <w:t xml:space="preserve"> tablet.</w:t>
      </w:r>
    </w:p>
    <w:p w:rsidR="00A171C9" w:rsidRPr="00D44204" w:rsidRDefault="00A171C9" w:rsidP="00A171C9">
      <w:pPr>
        <w:tabs>
          <w:tab w:val="left" w:pos="851"/>
        </w:tabs>
        <w:rPr>
          <w:sz w:val="24"/>
          <w:szCs w:val="24"/>
        </w:rPr>
      </w:pP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w:t>
      </w:r>
      <w:r w:rsidRPr="00D44204">
        <w:rPr>
          <w:b/>
          <w:sz w:val="24"/>
          <w:szCs w:val="24"/>
        </w:rPr>
        <w:tab/>
        <w:t>KLINISKE OPLYSNINGER</w:t>
      </w:r>
    </w:p>
    <w:p w:rsidR="00E77D9E" w:rsidRPr="00D44204" w:rsidRDefault="00E77D9E" w:rsidP="00E77D9E">
      <w:pPr>
        <w:tabs>
          <w:tab w:val="left" w:pos="851"/>
        </w:tabs>
        <w:ind w:left="851"/>
        <w:rPr>
          <w:b/>
          <w:sz w:val="24"/>
          <w:szCs w:val="24"/>
        </w:rPr>
      </w:pPr>
    </w:p>
    <w:p w:rsidR="00E77D9E" w:rsidRPr="00D44204" w:rsidRDefault="00E77D9E" w:rsidP="00E77D9E">
      <w:pPr>
        <w:tabs>
          <w:tab w:val="left" w:pos="851"/>
        </w:tabs>
        <w:ind w:left="851" w:hanging="851"/>
        <w:rPr>
          <w:b/>
          <w:sz w:val="24"/>
          <w:szCs w:val="24"/>
          <w:u w:val="single"/>
        </w:rPr>
      </w:pPr>
      <w:r w:rsidRPr="00D44204">
        <w:rPr>
          <w:b/>
          <w:sz w:val="24"/>
          <w:szCs w:val="24"/>
        </w:rPr>
        <w:t>4.1</w:t>
      </w:r>
      <w:r w:rsidRPr="00D44204">
        <w:rPr>
          <w:b/>
          <w:sz w:val="24"/>
          <w:szCs w:val="24"/>
        </w:rPr>
        <w:tab/>
        <w:t>Terapeutiske indikationer</w:t>
      </w:r>
    </w:p>
    <w:p w:rsidR="00E77D9E" w:rsidRPr="00D44204" w:rsidRDefault="00E77D9E" w:rsidP="00A171C9">
      <w:pPr>
        <w:ind w:left="1080" w:hanging="229"/>
        <w:rPr>
          <w:i/>
          <w:sz w:val="24"/>
          <w:szCs w:val="24"/>
        </w:rPr>
      </w:pPr>
    </w:p>
    <w:p w:rsidR="00A171C9" w:rsidRPr="00D44204" w:rsidRDefault="00A171C9" w:rsidP="00A171C9">
      <w:pPr>
        <w:ind w:left="1080" w:hanging="229"/>
        <w:rPr>
          <w:noProof/>
          <w:sz w:val="24"/>
          <w:szCs w:val="24"/>
        </w:rPr>
      </w:pPr>
      <w:r w:rsidRPr="00D44204">
        <w:rPr>
          <w:i/>
          <w:sz w:val="24"/>
          <w:szCs w:val="24"/>
        </w:rPr>
        <w:t>Voksne og unge i alderen 12 år og derover</w:t>
      </w:r>
      <w:r w:rsidRPr="00D44204">
        <w:rPr>
          <w:noProof/>
          <w:sz w:val="24"/>
          <w:szCs w:val="24"/>
        </w:rPr>
        <w:t xml:space="preserve"> </w:t>
      </w:r>
    </w:p>
    <w:p w:rsidR="00A171C9" w:rsidRPr="00D44204" w:rsidRDefault="00A171C9" w:rsidP="00A171C9">
      <w:pPr>
        <w:numPr>
          <w:ilvl w:val="0"/>
          <w:numId w:val="12"/>
        </w:numPr>
        <w:rPr>
          <w:sz w:val="24"/>
          <w:szCs w:val="24"/>
        </w:rPr>
      </w:pPr>
      <w:r w:rsidRPr="00D44204">
        <w:rPr>
          <w:noProof/>
          <w:sz w:val="24"/>
          <w:szCs w:val="24"/>
        </w:rPr>
        <w:t>Refluksesofagitis</w:t>
      </w:r>
    </w:p>
    <w:p w:rsidR="00A171C9" w:rsidRPr="00D44204" w:rsidRDefault="00A171C9" w:rsidP="00A171C9">
      <w:pPr>
        <w:ind w:left="851"/>
        <w:rPr>
          <w:noProof/>
          <w:sz w:val="24"/>
          <w:szCs w:val="24"/>
        </w:rPr>
      </w:pPr>
    </w:p>
    <w:p w:rsidR="00A171C9" w:rsidRPr="00D44204" w:rsidRDefault="00A171C9" w:rsidP="00A171C9">
      <w:pPr>
        <w:ind w:left="851"/>
        <w:rPr>
          <w:i/>
          <w:noProof/>
          <w:sz w:val="24"/>
          <w:szCs w:val="24"/>
        </w:rPr>
      </w:pPr>
      <w:r w:rsidRPr="00D44204">
        <w:rPr>
          <w:i/>
          <w:noProof/>
          <w:sz w:val="24"/>
          <w:szCs w:val="24"/>
        </w:rPr>
        <w:t>Voksne</w:t>
      </w:r>
    </w:p>
    <w:p w:rsidR="00A171C9" w:rsidRPr="00D44204" w:rsidRDefault="00A171C9" w:rsidP="00A171C9">
      <w:pPr>
        <w:numPr>
          <w:ilvl w:val="0"/>
          <w:numId w:val="12"/>
        </w:numPr>
        <w:rPr>
          <w:sz w:val="24"/>
          <w:szCs w:val="24"/>
        </w:rPr>
      </w:pPr>
      <w:r w:rsidRPr="00D44204">
        <w:rPr>
          <w:noProof/>
          <w:sz w:val="24"/>
          <w:szCs w:val="24"/>
        </w:rPr>
        <w:t xml:space="preserve">Eradikation af </w:t>
      </w:r>
      <w:r w:rsidRPr="00D44204">
        <w:rPr>
          <w:i/>
          <w:iCs/>
          <w:noProof/>
          <w:sz w:val="24"/>
          <w:szCs w:val="24"/>
        </w:rPr>
        <w:t>Helicobacter pylori</w:t>
      </w:r>
      <w:r w:rsidRPr="00D44204">
        <w:rPr>
          <w:noProof/>
          <w:sz w:val="24"/>
          <w:szCs w:val="24"/>
        </w:rPr>
        <w:t xml:space="preserve"> (</w:t>
      </w:r>
      <w:r w:rsidRPr="00D44204">
        <w:rPr>
          <w:i/>
          <w:noProof/>
          <w:sz w:val="24"/>
          <w:szCs w:val="24"/>
        </w:rPr>
        <w:t>H. pylori</w:t>
      </w:r>
      <w:r w:rsidRPr="00D44204">
        <w:rPr>
          <w:noProof/>
          <w:sz w:val="24"/>
          <w:szCs w:val="24"/>
        </w:rPr>
        <w:t xml:space="preserve">) i kombination med egnet antibiotika hos patienter med </w:t>
      </w:r>
      <w:r w:rsidRPr="00D44204">
        <w:rPr>
          <w:i/>
          <w:noProof/>
          <w:sz w:val="24"/>
          <w:szCs w:val="24"/>
        </w:rPr>
        <w:t>H. Pylori</w:t>
      </w:r>
      <w:r w:rsidRPr="00D44204">
        <w:rPr>
          <w:noProof/>
          <w:sz w:val="24"/>
          <w:szCs w:val="24"/>
        </w:rPr>
        <w:t>-associerede ulcera</w:t>
      </w:r>
    </w:p>
    <w:p w:rsidR="00A171C9" w:rsidRPr="00D44204" w:rsidRDefault="00A171C9" w:rsidP="00A171C9">
      <w:pPr>
        <w:numPr>
          <w:ilvl w:val="0"/>
          <w:numId w:val="12"/>
        </w:numPr>
        <w:rPr>
          <w:sz w:val="24"/>
          <w:szCs w:val="24"/>
          <w:lang w:val="nb-NO"/>
        </w:rPr>
      </w:pPr>
      <w:r w:rsidRPr="00D44204">
        <w:rPr>
          <w:noProof/>
          <w:sz w:val="24"/>
          <w:szCs w:val="24"/>
          <w:lang w:val="nb-NO"/>
        </w:rPr>
        <w:t>Ulcus ventriculi og ulcus duodeni</w:t>
      </w:r>
    </w:p>
    <w:p w:rsidR="00A171C9" w:rsidRPr="00D44204" w:rsidRDefault="00A171C9" w:rsidP="00A171C9">
      <w:pPr>
        <w:numPr>
          <w:ilvl w:val="0"/>
          <w:numId w:val="12"/>
        </w:numPr>
        <w:rPr>
          <w:sz w:val="24"/>
          <w:szCs w:val="24"/>
        </w:rPr>
      </w:pPr>
      <w:r w:rsidRPr="00D44204">
        <w:rPr>
          <w:noProof/>
          <w:sz w:val="24"/>
          <w:szCs w:val="24"/>
        </w:rPr>
        <w:t>Zollinger-Ellisons syndrom og andre patologiske tilstande med hypersekretion.</w:t>
      </w:r>
    </w:p>
    <w:p w:rsidR="00E77D9E" w:rsidRPr="00D44204" w:rsidRDefault="00A171C9" w:rsidP="00E77D9E">
      <w:pPr>
        <w:tabs>
          <w:tab w:val="left" w:pos="851"/>
        </w:tabs>
        <w:ind w:left="851" w:hanging="851"/>
        <w:rPr>
          <w:b/>
          <w:sz w:val="24"/>
          <w:szCs w:val="24"/>
        </w:rPr>
      </w:pPr>
      <w:r w:rsidRPr="00D44204">
        <w:rPr>
          <w:b/>
          <w:sz w:val="24"/>
          <w:szCs w:val="24"/>
        </w:rPr>
        <w:br w:type="page"/>
      </w:r>
      <w:r w:rsidR="00E77D9E" w:rsidRPr="00D44204">
        <w:rPr>
          <w:b/>
          <w:sz w:val="24"/>
          <w:szCs w:val="24"/>
        </w:rPr>
        <w:lastRenderedPageBreak/>
        <w:t>4.2</w:t>
      </w:r>
      <w:r w:rsidR="00E77D9E" w:rsidRPr="00D44204">
        <w:rPr>
          <w:b/>
          <w:sz w:val="24"/>
          <w:szCs w:val="24"/>
        </w:rPr>
        <w:tab/>
        <w:t>Dosering og administration</w:t>
      </w:r>
    </w:p>
    <w:p w:rsidR="00E77D9E" w:rsidRPr="00D44204" w:rsidRDefault="00E77D9E" w:rsidP="00E77D9E">
      <w:pPr>
        <w:ind w:left="851" w:hanging="851"/>
        <w:rPr>
          <w:sz w:val="24"/>
          <w:szCs w:val="24"/>
          <w:u w:val="single"/>
        </w:rPr>
      </w:pPr>
    </w:p>
    <w:p w:rsidR="00A171C9" w:rsidRPr="00D44204" w:rsidRDefault="00A171C9" w:rsidP="00E77D9E">
      <w:pPr>
        <w:ind w:left="851"/>
        <w:rPr>
          <w:sz w:val="24"/>
          <w:szCs w:val="24"/>
          <w:u w:val="single"/>
        </w:rPr>
      </w:pPr>
      <w:r w:rsidRPr="00D44204">
        <w:rPr>
          <w:sz w:val="24"/>
          <w:szCs w:val="24"/>
          <w:u w:val="single"/>
        </w:rPr>
        <w:t>Dosering</w:t>
      </w:r>
    </w:p>
    <w:p w:rsidR="00A171C9" w:rsidRPr="00D44204" w:rsidRDefault="00A171C9" w:rsidP="00E77D9E">
      <w:pPr>
        <w:tabs>
          <w:tab w:val="left" w:pos="851"/>
        </w:tabs>
        <w:ind w:left="851" w:hanging="851"/>
        <w:rPr>
          <w:sz w:val="24"/>
          <w:szCs w:val="24"/>
        </w:rPr>
      </w:pPr>
    </w:p>
    <w:p w:rsidR="00A171C9" w:rsidRPr="00D44204" w:rsidRDefault="00A171C9" w:rsidP="00E77D9E">
      <w:pPr>
        <w:tabs>
          <w:tab w:val="left" w:pos="851"/>
        </w:tabs>
        <w:ind w:left="851" w:hanging="851"/>
        <w:rPr>
          <w:i/>
          <w:sz w:val="24"/>
          <w:szCs w:val="24"/>
        </w:rPr>
      </w:pPr>
      <w:r w:rsidRPr="00D44204">
        <w:rPr>
          <w:sz w:val="24"/>
          <w:szCs w:val="24"/>
        </w:rPr>
        <w:tab/>
      </w:r>
      <w:r w:rsidRPr="00D44204">
        <w:rPr>
          <w:i/>
          <w:sz w:val="24"/>
          <w:szCs w:val="24"/>
        </w:rPr>
        <w:t>Voksne og unge i alderen 12 år og derover</w:t>
      </w:r>
    </w:p>
    <w:p w:rsidR="00A171C9" w:rsidRPr="00D44204" w:rsidRDefault="00A171C9" w:rsidP="00E77D9E">
      <w:pPr>
        <w:tabs>
          <w:tab w:val="left" w:pos="851"/>
        </w:tabs>
        <w:ind w:left="855"/>
        <w:rPr>
          <w:sz w:val="24"/>
          <w:szCs w:val="24"/>
          <w:u w:val="single"/>
        </w:rPr>
      </w:pPr>
      <w:proofErr w:type="spellStart"/>
      <w:r w:rsidRPr="00D44204">
        <w:rPr>
          <w:sz w:val="24"/>
          <w:szCs w:val="24"/>
          <w:u w:val="single"/>
        </w:rPr>
        <w:t>R</w:t>
      </w:r>
      <w:r w:rsidRPr="00D44204">
        <w:rPr>
          <w:noProof/>
          <w:sz w:val="24"/>
          <w:szCs w:val="24"/>
          <w:u w:val="single"/>
        </w:rPr>
        <w:t>efluksesofagitis</w:t>
      </w:r>
      <w:proofErr w:type="spellEnd"/>
    </w:p>
    <w:p w:rsidR="00A171C9" w:rsidRPr="00D44204" w:rsidRDefault="00A171C9" w:rsidP="00E77D9E">
      <w:pPr>
        <w:tabs>
          <w:tab w:val="left" w:pos="851"/>
        </w:tabs>
        <w:ind w:left="851" w:hanging="851"/>
        <w:rPr>
          <w:sz w:val="24"/>
          <w:szCs w:val="24"/>
        </w:rPr>
      </w:pPr>
      <w:r w:rsidRPr="00D44204">
        <w:rPr>
          <w:sz w:val="24"/>
          <w:szCs w:val="24"/>
        </w:rPr>
        <w:tab/>
      </w:r>
      <w:r w:rsidRPr="00505145">
        <w:rPr>
          <w:sz w:val="24"/>
          <w:szCs w:val="24"/>
        </w:rPr>
        <w:t xml:space="preserve">Én tablet </w:t>
      </w:r>
      <w:proofErr w:type="spellStart"/>
      <w:r w:rsidRPr="00505145">
        <w:rPr>
          <w:sz w:val="24"/>
          <w:szCs w:val="24"/>
        </w:rPr>
        <w:t>Pantoprazol</w:t>
      </w:r>
      <w:proofErr w:type="spellEnd"/>
      <w:r w:rsidRPr="00505145">
        <w:rPr>
          <w:sz w:val="24"/>
          <w:szCs w:val="24"/>
        </w:rPr>
        <w:t xml:space="preserve"> </w:t>
      </w:r>
      <w:r w:rsidR="00300098" w:rsidRPr="00505145">
        <w:rPr>
          <w:sz w:val="24"/>
          <w:szCs w:val="24"/>
        </w:rPr>
        <w:t>"</w:t>
      </w:r>
      <w:r w:rsidRPr="00505145">
        <w:rPr>
          <w:sz w:val="24"/>
          <w:szCs w:val="24"/>
        </w:rPr>
        <w:t>KRKA</w:t>
      </w:r>
      <w:r w:rsidR="00300098" w:rsidRPr="00505145">
        <w:rPr>
          <w:sz w:val="24"/>
          <w:szCs w:val="24"/>
        </w:rPr>
        <w:t>"</w:t>
      </w:r>
      <w:r w:rsidRPr="00505145">
        <w:rPr>
          <w:sz w:val="24"/>
          <w:szCs w:val="24"/>
        </w:rPr>
        <w:t xml:space="preserve"> dagligt. </w:t>
      </w:r>
      <w:r w:rsidRPr="00D44204">
        <w:rPr>
          <w:sz w:val="24"/>
          <w:szCs w:val="24"/>
        </w:rPr>
        <w:t xml:space="preserve">I individuelle tilfælde kan dosis fordobles (øges til 2 tabletter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dagligt), især hvis der ikke har været respons på anden behandling. Ved </w:t>
      </w:r>
      <w:proofErr w:type="spellStart"/>
      <w:r w:rsidRPr="00D44204">
        <w:rPr>
          <w:sz w:val="24"/>
          <w:szCs w:val="24"/>
        </w:rPr>
        <w:t>refluksesofagitis</w:t>
      </w:r>
      <w:proofErr w:type="spellEnd"/>
      <w:r w:rsidRPr="00D44204">
        <w:rPr>
          <w:sz w:val="24"/>
          <w:szCs w:val="24"/>
        </w:rPr>
        <w:t xml:space="preserve"> kræves som regel en 4-ugers behandlingsperiode. Hvis dette ikke er tilstrækkeligt, opnås heling som regel i løbet af yderligere 4 uger.</w:t>
      </w:r>
    </w:p>
    <w:p w:rsidR="00A171C9" w:rsidRPr="00D44204" w:rsidRDefault="00A171C9" w:rsidP="00E77D9E">
      <w:pPr>
        <w:tabs>
          <w:tab w:val="left" w:pos="851"/>
        </w:tabs>
        <w:ind w:left="851" w:hanging="851"/>
        <w:rPr>
          <w:sz w:val="24"/>
          <w:szCs w:val="24"/>
        </w:rPr>
      </w:pPr>
      <w:r w:rsidRPr="00D44204">
        <w:rPr>
          <w:sz w:val="24"/>
          <w:szCs w:val="24"/>
        </w:rPr>
        <w:tab/>
      </w:r>
    </w:p>
    <w:p w:rsidR="00A171C9" w:rsidRPr="00D44204" w:rsidRDefault="00A171C9" w:rsidP="00E77D9E">
      <w:pPr>
        <w:tabs>
          <w:tab w:val="left" w:pos="851"/>
        </w:tabs>
        <w:ind w:left="851"/>
        <w:rPr>
          <w:i/>
          <w:sz w:val="24"/>
          <w:szCs w:val="24"/>
        </w:rPr>
      </w:pPr>
      <w:r w:rsidRPr="00D44204">
        <w:rPr>
          <w:i/>
          <w:sz w:val="24"/>
          <w:szCs w:val="24"/>
        </w:rPr>
        <w:t>Voksne</w:t>
      </w:r>
    </w:p>
    <w:p w:rsidR="00A171C9" w:rsidRPr="00D44204" w:rsidRDefault="00A171C9" w:rsidP="00E77D9E">
      <w:pPr>
        <w:tabs>
          <w:tab w:val="left" w:pos="851"/>
        </w:tabs>
        <w:ind w:left="851"/>
        <w:rPr>
          <w:iCs/>
          <w:sz w:val="24"/>
          <w:szCs w:val="24"/>
          <w:u w:val="single"/>
        </w:rPr>
      </w:pPr>
      <w:proofErr w:type="spellStart"/>
      <w:r w:rsidRPr="00D44204">
        <w:rPr>
          <w:sz w:val="24"/>
          <w:szCs w:val="24"/>
          <w:u w:val="single"/>
        </w:rPr>
        <w:t>Eradikation</w:t>
      </w:r>
      <w:proofErr w:type="spellEnd"/>
      <w:r w:rsidRPr="00D44204">
        <w:rPr>
          <w:sz w:val="24"/>
          <w:szCs w:val="24"/>
          <w:u w:val="single"/>
        </w:rPr>
        <w:t xml:space="preserve"> af</w:t>
      </w:r>
      <w:r w:rsidRPr="00D44204">
        <w:rPr>
          <w:i/>
          <w:iCs/>
          <w:sz w:val="24"/>
          <w:szCs w:val="24"/>
          <w:u w:val="single"/>
        </w:rPr>
        <w:t xml:space="preserve"> H. </w:t>
      </w:r>
      <w:proofErr w:type="spellStart"/>
      <w:r w:rsidRPr="00D44204">
        <w:rPr>
          <w:i/>
          <w:iCs/>
          <w:sz w:val="24"/>
          <w:szCs w:val="24"/>
          <w:u w:val="single"/>
        </w:rPr>
        <w:t>pylori</w:t>
      </w:r>
      <w:proofErr w:type="spellEnd"/>
      <w:r w:rsidRPr="00D44204">
        <w:rPr>
          <w:i/>
          <w:iCs/>
          <w:sz w:val="24"/>
          <w:szCs w:val="24"/>
          <w:u w:val="single"/>
        </w:rPr>
        <w:t xml:space="preserve"> </w:t>
      </w:r>
      <w:r w:rsidRPr="00D44204">
        <w:rPr>
          <w:iCs/>
          <w:sz w:val="24"/>
          <w:szCs w:val="24"/>
          <w:u w:val="single"/>
        </w:rPr>
        <w:t>i kombination med to egnede antibiotika</w:t>
      </w:r>
    </w:p>
    <w:p w:rsidR="00A171C9" w:rsidRPr="00D44204" w:rsidRDefault="00A171C9" w:rsidP="00E77D9E">
      <w:pPr>
        <w:tabs>
          <w:tab w:val="left" w:pos="851"/>
        </w:tabs>
        <w:ind w:left="851" w:hanging="851"/>
        <w:rPr>
          <w:sz w:val="24"/>
          <w:szCs w:val="24"/>
        </w:rPr>
      </w:pPr>
      <w:r w:rsidRPr="00D44204">
        <w:rPr>
          <w:iCs/>
          <w:sz w:val="24"/>
          <w:szCs w:val="24"/>
        </w:rPr>
        <w:tab/>
        <w:t xml:space="preserve">Hos patienter med ulcus </w:t>
      </w:r>
      <w:proofErr w:type="spellStart"/>
      <w:r w:rsidRPr="00D44204">
        <w:rPr>
          <w:iCs/>
          <w:sz w:val="24"/>
          <w:szCs w:val="24"/>
        </w:rPr>
        <w:t>ventriculi</w:t>
      </w:r>
      <w:proofErr w:type="spellEnd"/>
      <w:r w:rsidRPr="00D44204">
        <w:rPr>
          <w:iCs/>
          <w:sz w:val="24"/>
          <w:szCs w:val="24"/>
        </w:rPr>
        <w:t xml:space="preserve"> og ulcus </w:t>
      </w:r>
      <w:proofErr w:type="spellStart"/>
      <w:r w:rsidRPr="00D44204">
        <w:rPr>
          <w:iCs/>
          <w:sz w:val="24"/>
          <w:szCs w:val="24"/>
        </w:rPr>
        <w:t>duodeni</w:t>
      </w:r>
      <w:proofErr w:type="spellEnd"/>
      <w:r w:rsidRPr="00D44204">
        <w:rPr>
          <w:iCs/>
          <w:sz w:val="24"/>
          <w:szCs w:val="24"/>
        </w:rPr>
        <w:t xml:space="preserve">, der er </w:t>
      </w:r>
      <w:r w:rsidRPr="00D44204">
        <w:rPr>
          <w:i/>
          <w:iCs/>
          <w:sz w:val="24"/>
          <w:szCs w:val="24"/>
        </w:rPr>
        <w:t xml:space="preserve">H. </w:t>
      </w:r>
      <w:proofErr w:type="spellStart"/>
      <w:r w:rsidRPr="00D44204">
        <w:rPr>
          <w:i/>
          <w:iCs/>
          <w:sz w:val="24"/>
          <w:szCs w:val="24"/>
        </w:rPr>
        <w:t>pylori</w:t>
      </w:r>
      <w:proofErr w:type="spellEnd"/>
      <w:r w:rsidRPr="00D44204">
        <w:rPr>
          <w:iCs/>
          <w:sz w:val="24"/>
          <w:szCs w:val="24"/>
        </w:rPr>
        <w:t>-positive, er det</w:t>
      </w:r>
      <w:r w:rsidRPr="00D44204">
        <w:rPr>
          <w:iCs/>
          <w:sz w:val="24"/>
          <w:szCs w:val="24"/>
          <w:u w:val="single"/>
        </w:rPr>
        <w:t xml:space="preserve"> </w:t>
      </w:r>
      <w:r w:rsidRPr="00D44204">
        <w:rPr>
          <w:iCs/>
          <w:sz w:val="24"/>
          <w:szCs w:val="24"/>
        </w:rPr>
        <w:t>muligt at udrydde</w:t>
      </w:r>
      <w:r w:rsidRPr="00D44204">
        <w:rPr>
          <w:iCs/>
          <w:sz w:val="24"/>
          <w:szCs w:val="24"/>
          <w:u w:val="single"/>
        </w:rPr>
        <w:t xml:space="preserve"> </w:t>
      </w:r>
      <w:r w:rsidRPr="00D44204">
        <w:rPr>
          <w:iCs/>
          <w:sz w:val="24"/>
          <w:szCs w:val="24"/>
        </w:rPr>
        <w:t xml:space="preserve">bakterien med kombinationsterapi. </w:t>
      </w:r>
      <w:r w:rsidRPr="00D44204">
        <w:rPr>
          <w:sz w:val="24"/>
          <w:szCs w:val="24"/>
        </w:rPr>
        <w:t xml:space="preserve">Der skal tages hensyn til den officielle lokale vejledning (f.eks. nationale rekommandationer) i forhold til bakteriel resistens, korrekt anvendelse og ordination af antibakterielle midler. Afhængigt af resistensmønstret kan følgende kombinationer anbefales til </w:t>
      </w:r>
      <w:proofErr w:type="spellStart"/>
      <w:r w:rsidRPr="00D44204">
        <w:rPr>
          <w:sz w:val="24"/>
          <w:szCs w:val="24"/>
        </w:rPr>
        <w:t>eradikation</w:t>
      </w:r>
      <w:proofErr w:type="spellEnd"/>
      <w:r w:rsidRPr="00D44204">
        <w:rPr>
          <w:sz w:val="24"/>
          <w:szCs w:val="24"/>
        </w:rPr>
        <w:t xml:space="preserve"> af </w:t>
      </w:r>
      <w:r w:rsidRPr="00D44204">
        <w:rPr>
          <w:i/>
          <w:sz w:val="24"/>
          <w:szCs w:val="24"/>
        </w:rPr>
        <w:t xml:space="preserve">H. </w:t>
      </w:r>
      <w:proofErr w:type="spellStart"/>
      <w:r w:rsidRPr="00D44204">
        <w:rPr>
          <w:i/>
          <w:sz w:val="24"/>
          <w:szCs w:val="24"/>
        </w:rPr>
        <w:t>pylori</w:t>
      </w:r>
      <w:proofErr w:type="spellEnd"/>
      <w:r w:rsidRPr="00D44204">
        <w:rPr>
          <w:sz w:val="24"/>
          <w:szCs w:val="24"/>
        </w:rPr>
        <w:t>:</w:t>
      </w:r>
    </w:p>
    <w:p w:rsidR="00A171C9" w:rsidRPr="00D44204" w:rsidRDefault="00A171C9" w:rsidP="00E77D9E">
      <w:pPr>
        <w:tabs>
          <w:tab w:val="left" w:pos="851"/>
        </w:tabs>
        <w:ind w:left="851"/>
        <w:rPr>
          <w:sz w:val="24"/>
          <w:szCs w:val="24"/>
        </w:rPr>
      </w:pPr>
    </w:p>
    <w:p w:rsidR="00A171C9" w:rsidRPr="00D44204" w:rsidRDefault="00A171C9" w:rsidP="00E77D9E">
      <w:pPr>
        <w:numPr>
          <w:ilvl w:val="0"/>
          <w:numId w:val="11"/>
        </w:numPr>
        <w:tabs>
          <w:tab w:val="clear" w:pos="2152"/>
        </w:tabs>
        <w:ind w:left="1276" w:hanging="425"/>
        <w:rPr>
          <w:sz w:val="24"/>
          <w:szCs w:val="24"/>
        </w:rPr>
      </w:pPr>
      <w:r w:rsidRPr="00D44204">
        <w:rPr>
          <w:sz w:val="24"/>
          <w:szCs w:val="24"/>
        </w:rPr>
        <w:t xml:space="preserve">1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to gange dagligt</w:t>
      </w:r>
    </w:p>
    <w:p w:rsidR="00A171C9" w:rsidRPr="00D44204" w:rsidRDefault="00A171C9" w:rsidP="00E77D9E">
      <w:pPr>
        <w:ind w:left="1276"/>
        <w:rPr>
          <w:sz w:val="24"/>
          <w:szCs w:val="24"/>
        </w:rPr>
      </w:pPr>
      <w:r w:rsidRPr="00D44204">
        <w:rPr>
          <w:sz w:val="24"/>
          <w:szCs w:val="24"/>
        </w:rPr>
        <w:t xml:space="preserve">+ 1000 mg </w:t>
      </w:r>
      <w:proofErr w:type="spellStart"/>
      <w:r w:rsidRPr="00D44204">
        <w:rPr>
          <w:sz w:val="24"/>
          <w:szCs w:val="24"/>
        </w:rPr>
        <w:t>amoxicillin</w:t>
      </w:r>
      <w:proofErr w:type="spellEnd"/>
      <w:r w:rsidRPr="00D44204">
        <w:rPr>
          <w:sz w:val="24"/>
          <w:szCs w:val="24"/>
        </w:rPr>
        <w:t xml:space="preserve"> to gange dagligt  </w:t>
      </w:r>
    </w:p>
    <w:p w:rsidR="00A171C9" w:rsidRPr="00D44204" w:rsidRDefault="00A171C9" w:rsidP="00E77D9E">
      <w:pPr>
        <w:ind w:left="1276"/>
        <w:rPr>
          <w:sz w:val="24"/>
          <w:szCs w:val="24"/>
        </w:rPr>
      </w:pPr>
      <w:r w:rsidRPr="00D44204">
        <w:rPr>
          <w:sz w:val="24"/>
          <w:szCs w:val="24"/>
        </w:rPr>
        <w:t xml:space="preserve">+ 500 mg </w:t>
      </w:r>
      <w:proofErr w:type="spellStart"/>
      <w:r w:rsidRPr="00D44204">
        <w:rPr>
          <w:sz w:val="24"/>
          <w:szCs w:val="24"/>
        </w:rPr>
        <w:t>clarithromycin</w:t>
      </w:r>
      <w:proofErr w:type="spellEnd"/>
      <w:r w:rsidRPr="00D44204">
        <w:rPr>
          <w:sz w:val="24"/>
          <w:szCs w:val="24"/>
        </w:rPr>
        <w:t xml:space="preserve"> to gange dagligt</w:t>
      </w:r>
    </w:p>
    <w:p w:rsidR="00A171C9" w:rsidRPr="00D44204" w:rsidRDefault="00A171C9" w:rsidP="00E77D9E">
      <w:pPr>
        <w:ind w:left="1080"/>
        <w:rPr>
          <w:sz w:val="24"/>
          <w:szCs w:val="24"/>
        </w:rPr>
      </w:pPr>
    </w:p>
    <w:p w:rsidR="00A171C9" w:rsidRPr="00D44204" w:rsidRDefault="00A171C9" w:rsidP="00E77D9E">
      <w:pPr>
        <w:numPr>
          <w:ilvl w:val="0"/>
          <w:numId w:val="11"/>
        </w:numPr>
        <w:tabs>
          <w:tab w:val="clear" w:pos="2152"/>
        </w:tabs>
        <w:ind w:left="1276" w:hanging="425"/>
        <w:rPr>
          <w:sz w:val="24"/>
          <w:szCs w:val="24"/>
        </w:rPr>
      </w:pPr>
      <w:r w:rsidRPr="00D44204">
        <w:rPr>
          <w:sz w:val="24"/>
          <w:szCs w:val="24"/>
        </w:rPr>
        <w:t xml:space="preserve">1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to gange dagligt</w:t>
      </w:r>
    </w:p>
    <w:p w:rsidR="00A171C9" w:rsidRPr="00D44204" w:rsidRDefault="00A171C9" w:rsidP="00E77D9E">
      <w:pPr>
        <w:ind w:left="1304"/>
        <w:rPr>
          <w:sz w:val="24"/>
          <w:szCs w:val="24"/>
        </w:rPr>
      </w:pPr>
      <w:r w:rsidRPr="00D44204">
        <w:rPr>
          <w:sz w:val="24"/>
          <w:szCs w:val="24"/>
        </w:rPr>
        <w:t xml:space="preserve">+ 400-500 mg </w:t>
      </w:r>
      <w:proofErr w:type="spellStart"/>
      <w:r w:rsidRPr="00D44204">
        <w:rPr>
          <w:sz w:val="24"/>
          <w:szCs w:val="24"/>
        </w:rPr>
        <w:t>metronidazol</w:t>
      </w:r>
      <w:proofErr w:type="spellEnd"/>
      <w:r w:rsidRPr="00D44204">
        <w:rPr>
          <w:sz w:val="24"/>
          <w:szCs w:val="24"/>
        </w:rPr>
        <w:t xml:space="preserve"> to gange dagligt (eller 500 mg </w:t>
      </w:r>
      <w:proofErr w:type="spellStart"/>
      <w:r w:rsidRPr="00D44204">
        <w:rPr>
          <w:sz w:val="24"/>
          <w:szCs w:val="24"/>
        </w:rPr>
        <w:t>tinidazol</w:t>
      </w:r>
      <w:proofErr w:type="spellEnd"/>
      <w:r w:rsidRPr="00D44204">
        <w:rPr>
          <w:sz w:val="24"/>
          <w:szCs w:val="24"/>
        </w:rPr>
        <w:t>)</w:t>
      </w:r>
    </w:p>
    <w:p w:rsidR="00A171C9" w:rsidRPr="00D44204" w:rsidRDefault="00A171C9" w:rsidP="00E77D9E">
      <w:pPr>
        <w:ind w:left="1304"/>
        <w:rPr>
          <w:sz w:val="24"/>
          <w:szCs w:val="24"/>
        </w:rPr>
      </w:pPr>
      <w:r w:rsidRPr="00D44204">
        <w:rPr>
          <w:sz w:val="24"/>
          <w:szCs w:val="24"/>
        </w:rPr>
        <w:t xml:space="preserve">+ 250-500 mg </w:t>
      </w:r>
      <w:proofErr w:type="spellStart"/>
      <w:r w:rsidRPr="00D44204">
        <w:rPr>
          <w:sz w:val="24"/>
          <w:szCs w:val="24"/>
        </w:rPr>
        <w:t>clarithromycin</w:t>
      </w:r>
      <w:proofErr w:type="spellEnd"/>
      <w:r w:rsidRPr="00D44204">
        <w:rPr>
          <w:sz w:val="24"/>
          <w:szCs w:val="24"/>
        </w:rPr>
        <w:t xml:space="preserve"> to gange dagligt</w:t>
      </w:r>
    </w:p>
    <w:p w:rsidR="00A171C9" w:rsidRPr="00D44204" w:rsidRDefault="00A171C9" w:rsidP="00E77D9E">
      <w:pPr>
        <w:rPr>
          <w:sz w:val="24"/>
          <w:szCs w:val="24"/>
        </w:rPr>
      </w:pPr>
    </w:p>
    <w:p w:rsidR="00A171C9" w:rsidRPr="00D44204" w:rsidRDefault="00A171C9" w:rsidP="00E77D9E">
      <w:pPr>
        <w:numPr>
          <w:ilvl w:val="0"/>
          <w:numId w:val="11"/>
        </w:numPr>
        <w:tabs>
          <w:tab w:val="clear" w:pos="2152"/>
        </w:tabs>
        <w:ind w:left="1276" w:hanging="425"/>
        <w:rPr>
          <w:sz w:val="24"/>
          <w:szCs w:val="24"/>
        </w:rPr>
      </w:pPr>
      <w:r w:rsidRPr="00D44204">
        <w:rPr>
          <w:sz w:val="24"/>
          <w:szCs w:val="24"/>
        </w:rPr>
        <w:t xml:space="preserve">1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to gange dagligt</w:t>
      </w:r>
    </w:p>
    <w:p w:rsidR="00A171C9" w:rsidRPr="00D44204" w:rsidRDefault="00A171C9" w:rsidP="00E77D9E">
      <w:pPr>
        <w:ind w:left="1304"/>
        <w:rPr>
          <w:sz w:val="24"/>
          <w:szCs w:val="24"/>
        </w:rPr>
      </w:pPr>
      <w:r w:rsidRPr="00D44204">
        <w:rPr>
          <w:sz w:val="24"/>
          <w:szCs w:val="24"/>
        </w:rPr>
        <w:t xml:space="preserve">+ 1000 mg </w:t>
      </w:r>
      <w:proofErr w:type="spellStart"/>
      <w:r w:rsidRPr="00D44204">
        <w:rPr>
          <w:sz w:val="24"/>
          <w:szCs w:val="24"/>
        </w:rPr>
        <w:t>amoxillin</w:t>
      </w:r>
      <w:proofErr w:type="spellEnd"/>
      <w:r w:rsidRPr="00D44204">
        <w:rPr>
          <w:sz w:val="24"/>
          <w:szCs w:val="24"/>
        </w:rPr>
        <w:t xml:space="preserve"> to gange dagligt</w:t>
      </w:r>
    </w:p>
    <w:p w:rsidR="00A171C9" w:rsidRPr="00D44204" w:rsidRDefault="00A171C9" w:rsidP="00E77D9E">
      <w:pPr>
        <w:ind w:left="1304"/>
        <w:rPr>
          <w:sz w:val="24"/>
          <w:szCs w:val="24"/>
        </w:rPr>
      </w:pPr>
      <w:r w:rsidRPr="00D44204">
        <w:rPr>
          <w:sz w:val="24"/>
          <w:szCs w:val="24"/>
        </w:rPr>
        <w:t xml:space="preserve">+ 400-500 mg </w:t>
      </w:r>
      <w:proofErr w:type="spellStart"/>
      <w:r w:rsidRPr="00D44204">
        <w:rPr>
          <w:sz w:val="24"/>
          <w:szCs w:val="24"/>
        </w:rPr>
        <w:t>metronidazol</w:t>
      </w:r>
      <w:proofErr w:type="spellEnd"/>
      <w:r w:rsidRPr="00D44204">
        <w:rPr>
          <w:sz w:val="24"/>
          <w:szCs w:val="24"/>
        </w:rPr>
        <w:t xml:space="preserve"> to gange dagligt (eller 500 mg </w:t>
      </w:r>
      <w:proofErr w:type="spellStart"/>
      <w:r w:rsidRPr="00D44204">
        <w:rPr>
          <w:sz w:val="24"/>
          <w:szCs w:val="24"/>
        </w:rPr>
        <w:t>tinidazol</w:t>
      </w:r>
      <w:proofErr w:type="spellEnd"/>
      <w:r w:rsidRPr="00D44204">
        <w:rPr>
          <w:sz w:val="24"/>
          <w:szCs w:val="24"/>
        </w:rPr>
        <w:t>)</w:t>
      </w:r>
    </w:p>
    <w:p w:rsidR="00A171C9" w:rsidRPr="00D44204" w:rsidRDefault="00A171C9" w:rsidP="00E77D9E">
      <w:pPr>
        <w:ind w:left="1304"/>
        <w:rPr>
          <w:sz w:val="24"/>
          <w:szCs w:val="24"/>
        </w:rPr>
      </w:pPr>
    </w:p>
    <w:p w:rsidR="00A171C9" w:rsidRPr="00D44204" w:rsidRDefault="00A171C9" w:rsidP="00E77D9E">
      <w:pPr>
        <w:ind w:left="851"/>
        <w:rPr>
          <w:sz w:val="24"/>
          <w:szCs w:val="24"/>
        </w:rPr>
      </w:pPr>
      <w:r w:rsidRPr="00D44204">
        <w:rPr>
          <w:sz w:val="24"/>
          <w:szCs w:val="24"/>
        </w:rPr>
        <w:t xml:space="preserve">Ved kombinationsbehandling for </w:t>
      </w:r>
      <w:proofErr w:type="spellStart"/>
      <w:r w:rsidRPr="00D44204">
        <w:rPr>
          <w:sz w:val="24"/>
          <w:szCs w:val="24"/>
        </w:rPr>
        <w:t>eradikation</w:t>
      </w:r>
      <w:proofErr w:type="spellEnd"/>
      <w:r w:rsidRPr="00D44204">
        <w:rPr>
          <w:sz w:val="24"/>
          <w:szCs w:val="24"/>
        </w:rPr>
        <w:t xml:space="preserve"> af infektion med </w:t>
      </w:r>
      <w:r w:rsidRPr="00D44204">
        <w:rPr>
          <w:i/>
          <w:iCs/>
          <w:sz w:val="24"/>
          <w:szCs w:val="24"/>
        </w:rPr>
        <w:t xml:space="preserve">H. </w:t>
      </w:r>
      <w:proofErr w:type="spellStart"/>
      <w:r w:rsidRPr="00D44204">
        <w:rPr>
          <w:i/>
          <w:iCs/>
          <w:sz w:val="24"/>
          <w:szCs w:val="24"/>
        </w:rPr>
        <w:t>pylori</w:t>
      </w:r>
      <w:proofErr w:type="spellEnd"/>
      <w:r w:rsidRPr="00D44204">
        <w:rPr>
          <w:i/>
          <w:iCs/>
          <w:sz w:val="24"/>
          <w:szCs w:val="24"/>
        </w:rPr>
        <w:t xml:space="preserve"> </w:t>
      </w:r>
      <w:r w:rsidRPr="00D44204">
        <w:rPr>
          <w:iCs/>
          <w:sz w:val="24"/>
          <w:szCs w:val="24"/>
        </w:rPr>
        <w:t xml:space="preserve">skal den anden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 xml:space="preserve">KRKA-tablet tages 1 time før aftensmåltidet. Kombinationsbehandlingen skal gives i 7 dage i de fleste tilfælde, men kan forlænges med 7 dage til en samlet varighed på to uger. Hvis yderligere behandling med </w:t>
      </w:r>
      <w:proofErr w:type="spellStart"/>
      <w:r w:rsidRPr="00D44204">
        <w:rPr>
          <w:sz w:val="24"/>
          <w:szCs w:val="24"/>
        </w:rPr>
        <w:t>pantoprazol</w:t>
      </w:r>
      <w:proofErr w:type="spellEnd"/>
      <w:r w:rsidRPr="00D44204">
        <w:rPr>
          <w:sz w:val="24"/>
          <w:szCs w:val="24"/>
        </w:rPr>
        <w:t xml:space="preserve"> er indiceret for at sikre heling af </w:t>
      </w:r>
      <w:proofErr w:type="spellStart"/>
      <w:r w:rsidRPr="00D44204">
        <w:rPr>
          <w:sz w:val="24"/>
          <w:szCs w:val="24"/>
        </w:rPr>
        <w:t>ulcera</w:t>
      </w:r>
      <w:proofErr w:type="spellEnd"/>
      <w:r w:rsidRPr="00D44204">
        <w:rPr>
          <w:sz w:val="24"/>
          <w:szCs w:val="24"/>
        </w:rPr>
        <w:t xml:space="preserve">, bør dosisrekommandationerne for ulcus </w:t>
      </w:r>
      <w:proofErr w:type="spellStart"/>
      <w:r w:rsidRPr="00D44204">
        <w:rPr>
          <w:sz w:val="24"/>
          <w:szCs w:val="24"/>
        </w:rPr>
        <w:t>duodeni</w:t>
      </w:r>
      <w:proofErr w:type="spellEnd"/>
      <w:r w:rsidRPr="00D44204">
        <w:rPr>
          <w:sz w:val="24"/>
          <w:szCs w:val="24"/>
        </w:rPr>
        <w:t xml:space="preserve"> og ulcus </w:t>
      </w:r>
      <w:proofErr w:type="spellStart"/>
      <w:r w:rsidRPr="00D44204">
        <w:rPr>
          <w:sz w:val="24"/>
          <w:szCs w:val="24"/>
        </w:rPr>
        <w:t>ventriculi</w:t>
      </w:r>
      <w:proofErr w:type="spellEnd"/>
      <w:r w:rsidRPr="00D44204">
        <w:rPr>
          <w:sz w:val="24"/>
          <w:szCs w:val="24"/>
        </w:rPr>
        <w:t xml:space="preserve"> overvejes.</w:t>
      </w:r>
    </w:p>
    <w:p w:rsidR="00A171C9" w:rsidRPr="00D44204" w:rsidRDefault="00A171C9" w:rsidP="00E77D9E">
      <w:pPr>
        <w:ind w:left="851"/>
        <w:rPr>
          <w:sz w:val="24"/>
          <w:szCs w:val="24"/>
        </w:rPr>
      </w:pPr>
    </w:p>
    <w:p w:rsidR="00A171C9" w:rsidRPr="00D44204" w:rsidRDefault="00A171C9" w:rsidP="00E77D9E">
      <w:pPr>
        <w:ind w:left="851"/>
        <w:rPr>
          <w:sz w:val="24"/>
          <w:szCs w:val="24"/>
        </w:rPr>
      </w:pPr>
      <w:r w:rsidRPr="00D44204">
        <w:rPr>
          <w:sz w:val="24"/>
          <w:szCs w:val="24"/>
        </w:rPr>
        <w:t xml:space="preserve">Hvis kombinationsbehandling ikke er en mulighed, f.eks. hvis patienten er testet negativ for </w:t>
      </w:r>
      <w:r w:rsidRPr="00D44204">
        <w:rPr>
          <w:i/>
          <w:sz w:val="24"/>
          <w:szCs w:val="24"/>
        </w:rPr>
        <w:t xml:space="preserve">H. </w:t>
      </w:r>
      <w:proofErr w:type="spellStart"/>
      <w:r w:rsidRPr="00D44204">
        <w:rPr>
          <w:i/>
          <w:sz w:val="24"/>
          <w:szCs w:val="24"/>
        </w:rPr>
        <w:t>pylori</w:t>
      </w:r>
      <w:proofErr w:type="spellEnd"/>
      <w:r w:rsidRPr="00D44204">
        <w:rPr>
          <w:i/>
          <w:sz w:val="24"/>
          <w:szCs w:val="24"/>
        </w:rPr>
        <w:t xml:space="preserve">, </w:t>
      </w:r>
      <w:proofErr w:type="spellStart"/>
      <w:r w:rsidRPr="00D44204">
        <w:rPr>
          <w:i/>
          <w:sz w:val="24"/>
          <w:szCs w:val="24"/>
        </w:rPr>
        <w:t>i</w:t>
      </w:r>
      <w:r w:rsidRPr="00D44204">
        <w:rPr>
          <w:sz w:val="24"/>
          <w:szCs w:val="24"/>
        </w:rPr>
        <w:t>gælder</w:t>
      </w:r>
      <w:proofErr w:type="spellEnd"/>
      <w:r w:rsidRPr="00D44204">
        <w:rPr>
          <w:sz w:val="24"/>
          <w:szCs w:val="24"/>
        </w:rPr>
        <w:t xml:space="preserve"> følgende dosisvejledning for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monoterapi:</w:t>
      </w:r>
    </w:p>
    <w:p w:rsidR="00A171C9" w:rsidRPr="00D44204" w:rsidRDefault="00A171C9" w:rsidP="00E77D9E">
      <w:pPr>
        <w:ind w:left="851"/>
        <w:rPr>
          <w:sz w:val="24"/>
          <w:szCs w:val="24"/>
        </w:rPr>
      </w:pPr>
    </w:p>
    <w:p w:rsidR="00A171C9" w:rsidRPr="00D44204" w:rsidRDefault="00A171C9" w:rsidP="00E77D9E">
      <w:pPr>
        <w:tabs>
          <w:tab w:val="left" w:pos="851"/>
        </w:tabs>
        <w:ind w:left="851"/>
        <w:rPr>
          <w:sz w:val="24"/>
          <w:szCs w:val="24"/>
          <w:u w:val="single"/>
        </w:rPr>
      </w:pPr>
      <w:r w:rsidRPr="00D44204">
        <w:rPr>
          <w:sz w:val="24"/>
          <w:szCs w:val="24"/>
          <w:u w:val="single"/>
        </w:rPr>
        <w:t xml:space="preserve">Behandling af ulcus </w:t>
      </w:r>
      <w:proofErr w:type="spellStart"/>
      <w:r w:rsidRPr="00D44204">
        <w:rPr>
          <w:sz w:val="24"/>
          <w:szCs w:val="24"/>
          <w:u w:val="single"/>
        </w:rPr>
        <w:t>ventriculi</w:t>
      </w:r>
      <w:proofErr w:type="spellEnd"/>
    </w:p>
    <w:p w:rsidR="00A171C9" w:rsidRPr="00D44204" w:rsidRDefault="00A171C9" w:rsidP="00E77D9E">
      <w:pPr>
        <w:tabs>
          <w:tab w:val="left" w:pos="851"/>
        </w:tabs>
        <w:ind w:left="851" w:hanging="851"/>
        <w:rPr>
          <w:sz w:val="24"/>
          <w:szCs w:val="24"/>
        </w:rPr>
      </w:pPr>
      <w:r w:rsidRPr="00D44204">
        <w:rPr>
          <w:sz w:val="24"/>
          <w:szCs w:val="24"/>
        </w:rPr>
        <w:tab/>
        <w:t xml:space="preserve">Én tablet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dagligt. I individuelle tilfælde kan dosis fordobles (øges til 2 tabletter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dagligt), især hvis der ikke har været respons på anden behandling. Ved ulcus </w:t>
      </w:r>
      <w:proofErr w:type="spellStart"/>
      <w:r w:rsidRPr="00D44204">
        <w:rPr>
          <w:sz w:val="24"/>
          <w:szCs w:val="24"/>
        </w:rPr>
        <w:t>ventriculi</w:t>
      </w:r>
      <w:proofErr w:type="spellEnd"/>
      <w:r w:rsidRPr="00D44204">
        <w:rPr>
          <w:sz w:val="24"/>
          <w:szCs w:val="24"/>
        </w:rPr>
        <w:t xml:space="preserve"> kræves som regel en 4-ugers behandlingsperiode. Hvis dette ikke er tilstrækkeligt, opnås heling som regel i løbet af yderligere 4 uger.</w:t>
      </w:r>
    </w:p>
    <w:p w:rsidR="00A171C9" w:rsidRPr="00D44204" w:rsidRDefault="00A171C9" w:rsidP="00E77D9E">
      <w:pPr>
        <w:tabs>
          <w:tab w:val="left" w:pos="851"/>
        </w:tabs>
        <w:ind w:left="851" w:hanging="851"/>
        <w:rPr>
          <w:sz w:val="24"/>
          <w:szCs w:val="24"/>
        </w:rPr>
      </w:pPr>
    </w:p>
    <w:p w:rsidR="00A171C9" w:rsidRPr="00D44204" w:rsidRDefault="00A171C9" w:rsidP="00E77D9E">
      <w:pPr>
        <w:tabs>
          <w:tab w:val="left" w:pos="851"/>
        </w:tabs>
        <w:rPr>
          <w:sz w:val="24"/>
          <w:szCs w:val="24"/>
          <w:u w:val="single"/>
        </w:rPr>
      </w:pPr>
      <w:r w:rsidRPr="00D44204">
        <w:rPr>
          <w:sz w:val="24"/>
          <w:szCs w:val="24"/>
        </w:rPr>
        <w:tab/>
      </w:r>
      <w:r w:rsidRPr="00D44204">
        <w:rPr>
          <w:sz w:val="24"/>
          <w:szCs w:val="24"/>
          <w:u w:val="single"/>
        </w:rPr>
        <w:t xml:space="preserve">Behandling af ulcus </w:t>
      </w:r>
      <w:proofErr w:type="spellStart"/>
      <w:r w:rsidRPr="00D44204">
        <w:rPr>
          <w:sz w:val="24"/>
          <w:szCs w:val="24"/>
          <w:u w:val="single"/>
        </w:rPr>
        <w:t>duodeni</w:t>
      </w:r>
      <w:proofErr w:type="spellEnd"/>
    </w:p>
    <w:p w:rsidR="00A171C9" w:rsidRPr="00D44204" w:rsidRDefault="00A171C9" w:rsidP="00E77D9E">
      <w:pPr>
        <w:tabs>
          <w:tab w:val="left" w:pos="851"/>
        </w:tabs>
        <w:ind w:left="851" w:hanging="851"/>
        <w:rPr>
          <w:sz w:val="24"/>
          <w:szCs w:val="24"/>
        </w:rPr>
      </w:pPr>
      <w:r w:rsidRPr="00D44204">
        <w:rPr>
          <w:sz w:val="24"/>
          <w:szCs w:val="24"/>
        </w:rPr>
        <w:tab/>
      </w:r>
      <w:r w:rsidRPr="00505145">
        <w:rPr>
          <w:sz w:val="24"/>
          <w:szCs w:val="24"/>
        </w:rPr>
        <w:t xml:space="preserve">Én tablet </w:t>
      </w:r>
      <w:proofErr w:type="spellStart"/>
      <w:r w:rsidRPr="00505145">
        <w:rPr>
          <w:sz w:val="24"/>
          <w:szCs w:val="24"/>
        </w:rPr>
        <w:t>Pantoprazol</w:t>
      </w:r>
      <w:proofErr w:type="spellEnd"/>
      <w:r w:rsidRPr="00505145">
        <w:rPr>
          <w:sz w:val="24"/>
          <w:szCs w:val="24"/>
        </w:rPr>
        <w:t xml:space="preserve"> </w:t>
      </w:r>
      <w:r w:rsidR="00300098" w:rsidRPr="00505145">
        <w:rPr>
          <w:sz w:val="24"/>
          <w:szCs w:val="24"/>
        </w:rPr>
        <w:t>"</w:t>
      </w:r>
      <w:r w:rsidRPr="00505145">
        <w:rPr>
          <w:sz w:val="24"/>
          <w:szCs w:val="24"/>
        </w:rPr>
        <w:t>KRKA</w:t>
      </w:r>
      <w:r w:rsidR="00300098" w:rsidRPr="00505145">
        <w:rPr>
          <w:sz w:val="24"/>
          <w:szCs w:val="24"/>
        </w:rPr>
        <w:t>"</w:t>
      </w:r>
      <w:r w:rsidRPr="00505145">
        <w:rPr>
          <w:sz w:val="24"/>
          <w:szCs w:val="24"/>
        </w:rPr>
        <w:t xml:space="preserve"> dagligt. </w:t>
      </w:r>
      <w:r w:rsidRPr="00D44204">
        <w:rPr>
          <w:sz w:val="24"/>
          <w:szCs w:val="24"/>
        </w:rPr>
        <w:t xml:space="preserve">I individuelle tilfælde kan dosis fordobles (øges til 2 tabletter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dagligt), især hvis der ikke har været respons på anden behandling. Ved ulcus </w:t>
      </w:r>
      <w:proofErr w:type="spellStart"/>
      <w:r w:rsidRPr="00D44204">
        <w:rPr>
          <w:sz w:val="24"/>
          <w:szCs w:val="24"/>
        </w:rPr>
        <w:t>duodeni</w:t>
      </w:r>
      <w:proofErr w:type="spellEnd"/>
      <w:r w:rsidRPr="00D44204">
        <w:rPr>
          <w:sz w:val="24"/>
          <w:szCs w:val="24"/>
        </w:rPr>
        <w:t xml:space="preserve"> kræves som regel en 2-ugers behandlingsperiode. Hvis dette ikke er tilstrækkeligt, opnås heling som regel i løbet af yderligere 2 uger.</w:t>
      </w:r>
    </w:p>
    <w:p w:rsidR="00A171C9" w:rsidRPr="00D44204" w:rsidRDefault="00A171C9" w:rsidP="00E77D9E">
      <w:pPr>
        <w:tabs>
          <w:tab w:val="left" w:pos="851"/>
        </w:tabs>
        <w:rPr>
          <w:sz w:val="24"/>
          <w:szCs w:val="24"/>
        </w:rPr>
      </w:pPr>
    </w:p>
    <w:p w:rsidR="00A171C9" w:rsidRPr="00D44204" w:rsidRDefault="00A171C9" w:rsidP="00E77D9E">
      <w:pPr>
        <w:tabs>
          <w:tab w:val="left" w:pos="851"/>
        </w:tabs>
        <w:ind w:left="851"/>
        <w:rPr>
          <w:sz w:val="24"/>
          <w:szCs w:val="24"/>
          <w:u w:val="single"/>
        </w:rPr>
      </w:pPr>
      <w:proofErr w:type="spellStart"/>
      <w:r w:rsidRPr="00D44204">
        <w:rPr>
          <w:sz w:val="24"/>
          <w:szCs w:val="24"/>
          <w:u w:val="single"/>
        </w:rPr>
        <w:t>Zollinger-Ellisons</w:t>
      </w:r>
      <w:proofErr w:type="spellEnd"/>
      <w:r w:rsidRPr="00D44204">
        <w:rPr>
          <w:sz w:val="24"/>
          <w:szCs w:val="24"/>
          <w:u w:val="single"/>
        </w:rPr>
        <w:t xml:space="preserve"> syndrom og andre patologiske tilstande med </w:t>
      </w:r>
      <w:proofErr w:type="spellStart"/>
      <w:r w:rsidRPr="00D44204">
        <w:rPr>
          <w:sz w:val="24"/>
          <w:szCs w:val="24"/>
          <w:u w:val="single"/>
        </w:rPr>
        <w:t>hypersekretion</w:t>
      </w:r>
      <w:proofErr w:type="spellEnd"/>
    </w:p>
    <w:p w:rsidR="00A171C9" w:rsidRPr="00D44204" w:rsidRDefault="00A171C9" w:rsidP="00E77D9E">
      <w:pPr>
        <w:tabs>
          <w:tab w:val="left" w:pos="851"/>
        </w:tabs>
        <w:ind w:left="851" w:hanging="851"/>
        <w:rPr>
          <w:sz w:val="24"/>
          <w:szCs w:val="24"/>
        </w:rPr>
      </w:pPr>
      <w:r w:rsidRPr="00D44204">
        <w:rPr>
          <w:sz w:val="24"/>
          <w:szCs w:val="24"/>
        </w:rPr>
        <w:tab/>
        <w:t xml:space="preserve">Til langtidsbehandling af </w:t>
      </w:r>
      <w:proofErr w:type="spellStart"/>
      <w:r w:rsidRPr="00D44204">
        <w:rPr>
          <w:sz w:val="24"/>
          <w:szCs w:val="24"/>
        </w:rPr>
        <w:t>Zollinger-Ellisons</w:t>
      </w:r>
      <w:proofErr w:type="spellEnd"/>
      <w:r w:rsidRPr="00D44204">
        <w:rPr>
          <w:sz w:val="24"/>
          <w:szCs w:val="24"/>
        </w:rPr>
        <w:t xml:space="preserve"> syndrom og andre patologiske tilstande med </w:t>
      </w:r>
      <w:proofErr w:type="spellStart"/>
      <w:r w:rsidRPr="00D44204">
        <w:rPr>
          <w:sz w:val="24"/>
          <w:szCs w:val="24"/>
        </w:rPr>
        <w:t>hypersekretion</w:t>
      </w:r>
      <w:proofErr w:type="spellEnd"/>
      <w:r w:rsidRPr="00D44204">
        <w:rPr>
          <w:sz w:val="24"/>
          <w:szCs w:val="24"/>
        </w:rPr>
        <w:t xml:space="preserve"> bør patienter påbegynde behandlingen med en daglig dosis på 80 mg (2 tabletter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40 mg). Derefter kan dosis øges eller nedsættes efter behov baseret på måling af mavesyresekretion. Ved døgndoser over 80 mg gives lægemidlet i delte doser to gange dagligt. Dosis kan øges midlertidigt til over 160 mg </w:t>
      </w:r>
      <w:proofErr w:type="spellStart"/>
      <w:r w:rsidRPr="00D44204">
        <w:rPr>
          <w:sz w:val="24"/>
          <w:szCs w:val="24"/>
        </w:rPr>
        <w:t>pantoprazol</w:t>
      </w:r>
      <w:proofErr w:type="spellEnd"/>
      <w:r w:rsidRPr="00D44204">
        <w:rPr>
          <w:sz w:val="24"/>
          <w:szCs w:val="24"/>
        </w:rPr>
        <w:t xml:space="preserve">, men må ikke anvendes længere end nødvendigt for at opnå passende syrekontrol. Behandlingsvarigheden ved </w:t>
      </w:r>
      <w:proofErr w:type="spellStart"/>
      <w:r w:rsidRPr="00D44204">
        <w:rPr>
          <w:sz w:val="24"/>
          <w:szCs w:val="24"/>
        </w:rPr>
        <w:t>Zollinger-Ellisons</w:t>
      </w:r>
      <w:proofErr w:type="spellEnd"/>
      <w:r w:rsidRPr="00D44204">
        <w:rPr>
          <w:sz w:val="24"/>
          <w:szCs w:val="24"/>
        </w:rPr>
        <w:t xml:space="preserve"> syndrom og andre patologiske tilstande med </w:t>
      </w:r>
      <w:proofErr w:type="spellStart"/>
      <w:r w:rsidRPr="00D44204">
        <w:rPr>
          <w:sz w:val="24"/>
          <w:szCs w:val="24"/>
        </w:rPr>
        <w:t>hypersekretion</w:t>
      </w:r>
      <w:proofErr w:type="spellEnd"/>
      <w:r w:rsidRPr="00D44204">
        <w:rPr>
          <w:sz w:val="24"/>
          <w:szCs w:val="24"/>
        </w:rPr>
        <w:t xml:space="preserve"> er ikke begrænset og bør tilpasses de kliniske behov.</w:t>
      </w:r>
    </w:p>
    <w:p w:rsidR="00A171C9" w:rsidRPr="00D44204" w:rsidRDefault="00A171C9" w:rsidP="00E77D9E">
      <w:pPr>
        <w:tabs>
          <w:tab w:val="left" w:pos="851"/>
        </w:tabs>
        <w:ind w:left="851" w:hanging="851"/>
        <w:rPr>
          <w:sz w:val="24"/>
          <w:szCs w:val="24"/>
        </w:rPr>
      </w:pPr>
    </w:p>
    <w:p w:rsidR="00A171C9" w:rsidRPr="00D44204" w:rsidRDefault="00A171C9" w:rsidP="00E77D9E">
      <w:pPr>
        <w:tabs>
          <w:tab w:val="left" w:pos="851"/>
        </w:tabs>
        <w:ind w:left="851"/>
        <w:rPr>
          <w:i/>
          <w:sz w:val="24"/>
          <w:szCs w:val="24"/>
          <w:u w:val="single"/>
        </w:rPr>
      </w:pPr>
      <w:r w:rsidRPr="00D44204">
        <w:rPr>
          <w:i/>
          <w:sz w:val="24"/>
          <w:szCs w:val="24"/>
          <w:u w:val="single"/>
        </w:rPr>
        <w:t>Særlige patientgrupper</w:t>
      </w:r>
    </w:p>
    <w:p w:rsidR="00A171C9" w:rsidRPr="00D44204" w:rsidRDefault="00A171C9" w:rsidP="00E77D9E">
      <w:pPr>
        <w:tabs>
          <w:tab w:val="left" w:pos="851"/>
        </w:tabs>
        <w:ind w:left="851"/>
        <w:rPr>
          <w:sz w:val="24"/>
          <w:szCs w:val="24"/>
          <w:u w:val="single"/>
        </w:rPr>
      </w:pPr>
    </w:p>
    <w:p w:rsidR="00A171C9" w:rsidRPr="00D44204" w:rsidRDefault="00A171C9" w:rsidP="00E77D9E">
      <w:pPr>
        <w:tabs>
          <w:tab w:val="left" w:pos="851"/>
        </w:tabs>
        <w:ind w:left="851"/>
        <w:rPr>
          <w:i/>
          <w:sz w:val="24"/>
          <w:szCs w:val="24"/>
        </w:rPr>
      </w:pPr>
      <w:r w:rsidRPr="00D44204">
        <w:rPr>
          <w:i/>
          <w:sz w:val="24"/>
          <w:szCs w:val="24"/>
        </w:rPr>
        <w:t>Ældre</w:t>
      </w:r>
    </w:p>
    <w:p w:rsidR="00A171C9" w:rsidRPr="00D44204" w:rsidRDefault="00A171C9" w:rsidP="00E77D9E">
      <w:pPr>
        <w:tabs>
          <w:tab w:val="left" w:pos="851"/>
        </w:tabs>
        <w:ind w:left="851" w:hanging="851"/>
        <w:rPr>
          <w:sz w:val="24"/>
          <w:szCs w:val="24"/>
        </w:rPr>
      </w:pPr>
      <w:r w:rsidRPr="00D44204">
        <w:rPr>
          <w:sz w:val="24"/>
          <w:szCs w:val="24"/>
        </w:rPr>
        <w:tab/>
        <w:t>Det er ikke nødvendigt at justere dosis hos ældre.</w:t>
      </w:r>
    </w:p>
    <w:p w:rsidR="00A171C9" w:rsidRPr="00D44204" w:rsidRDefault="00A171C9" w:rsidP="00E77D9E">
      <w:pPr>
        <w:tabs>
          <w:tab w:val="left" w:pos="851"/>
        </w:tabs>
        <w:ind w:left="851"/>
        <w:rPr>
          <w:sz w:val="24"/>
          <w:szCs w:val="24"/>
          <w:u w:val="single"/>
        </w:rPr>
      </w:pPr>
    </w:p>
    <w:p w:rsidR="00A171C9" w:rsidRPr="00D44204" w:rsidRDefault="00A171C9" w:rsidP="00E77D9E">
      <w:pPr>
        <w:tabs>
          <w:tab w:val="left" w:pos="851"/>
        </w:tabs>
        <w:ind w:left="851"/>
        <w:rPr>
          <w:i/>
          <w:sz w:val="24"/>
          <w:szCs w:val="24"/>
        </w:rPr>
      </w:pPr>
      <w:r w:rsidRPr="00D44204">
        <w:rPr>
          <w:i/>
          <w:sz w:val="24"/>
          <w:szCs w:val="24"/>
        </w:rPr>
        <w:t>Nedsat leverfunktion</w:t>
      </w:r>
    </w:p>
    <w:p w:rsidR="00A171C9" w:rsidRPr="00D44204" w:rsidRDefault="00A171C9" w:rsidP="00E77D9E">
      <w:pPr>
        <w:tabs>
          <w:tab w:val="left" w:pos="851"/>
        </w:tabs>
        <w:ind w:left="851" w:hanging="851"/>
        <w:rPr>
          <w:sz w:val="24"/>
          <w:szCs w:val="24"/>
        </w:rPr>
      </w:pPr>
      <w:r w:rsidRPr="00D44204">
        <w:rPr>
          <w:sz w:val="24"/>
          <w:szCs w:val="24"/>
        </w:rPr>
        <w:tab/>
        <w:t xml:space="preserve">Hos patienter med alvorligt nedsat leverfunktion bør en daglig dosis på 20 mg </w:t>
      </w:r>
      <w:proofErr w:type="spellStart"/>
      <w:r w:rsidRPr="00D44204">
        <w:rPr>
          <w:sz w:val="24"/>
          <w:szCs w:val="24"/>
        </w:rPr>
        <w:t>pantoprazol</w:t>
      </w:r>
      <w:proofErr w:type="spellEnd"/>
      <w:r w:rsidRPr="00D44204">
        <w:rPr>
          <w:sz w:val="24"/>
          <w:szCs w:val="24"/>
        </w:rPr>
        <w:t xml:space="preserve"> (1 tablet på 20 mg </w:t>
      </w:r>
      <w:proofErr w:type="spellStart"/>
      <w:r w:rsidRPr="00D44204">
        <w:rPr>
          <w:sz w:val="24"/>
          <w:szCs w:val="24"/>
        </w:rPr>
        <w:t>pantoprazol</w:t>
      </w:r>
      <w:proofErr w:type="spellEnd"/>
      <w:r w:rsidRPr="00D44204">
        <w:rPr>
          <w:sz w:val="24"/>
          <w:szCs w:val="24"/>
        </w:rPr>
        <w:t xml:space="preserve">) ikke overskrides. Da der for øjeblikket ikke er tilgængelige data om virkning og sikkerhed om kombinationsbehandling hos patienter med moderat til alvorlig nedsat leverfunktion, må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ikke anvendes til kombinationsbehandling for at udrydde </w:t>
      </w:r>
      <w:r w:rsidRPr="00D44204">
        <w:rPr>
          <w:i/>
          <w:sz w:val="24"/>
          <w:szCs w:val="24"/>
        </w:rPr>
        <w:t xml:space="preserve">H. </w:t>
      </w:r>
      <w:proofErr w:type="spellStart"/>
      <w:r w:rsidRPr="00D44204">
        <w:rPr>
          <w:i/>
          <w:sz w:val="24"/>
          <w:szCs w:val="24"/>
        </w:rPr>
        <w:t>pylori</w:t>
      </w:r>
      <w:proofErr w:type="spellEnd"/>
      <w:r w:rsidRPr="00D44204">
        <w:rPr>
          <w:sz w:val="24"/>
          <w:szCs w:val="24"/>
        </w:rPr>
        <w:t xml:space="preserve"> hos disse patienter</w:t>
      </w:r>
      <w:r w:rsidRPr="00D44204">
        <w:rPr>
          <w:i/>
          <w:sz w:val="24"/>
          <w:szCs w:val="24"/>
        </w:rPr>
        <w:t xml:space="preserve"> </w:t>
      </w:r>
      <w:r w:rsidRPr="00D44204">
        <w:rPr>
          <w:sz w:val="24"/>
          <w:szCs w:val="24"/>
        </w:rPr>
        <w:t>(se pkt. 4.4).</w:t>
      </w:r>
    </w:p>
    <w:p w:rsidR="00A171C9" w:rsidRPr="00D44204" w:rsidRDefault="00A171C9" w:rsidP="00E77D9E">
      <w:pPr>
        <w:tabs>
          <w:tab w:val="left" w:pos="851"/>
        </w:tabs>
        <w:ind w:left="851"/>
        <w:rPr>
          <w:sz w:val="24"/>
          <w:szCs w:val="24"/>
          <w:u w:val="single"/>
        </w:rPr>
      </w:pPr>
    </w:p>
    <w:p w:rsidR="00A171C9" w:rsidRPr="00D44204" w:rsidRDefault="00A171C9" w:rsidP="00E77D9E">
      <w:pPr>
        <w:tabs>
          <w:tab w:val="left" w:pos="851"/>
        </w:tabs>
        <w:ind w:left="851"/>
        <w:rPr>
          <w:i/>
          <w:sz w:val="24"/>
          <w:szCs w:val="24"/>
        </w:rPr>
      </w:pPr>
      <w:r w:rsidRPr="00D44204">
        <w:rPr>
          <w:i/>
          <w:sz w:val="24"/>
          <w:szCs w:val="24"/>
        </w:rPr>
        <w:t>Nedsat nyrefunktion</w:t>
      </w:r>
    </w:p>
    <w:p w:rsidR="00A171C9" w:rsidRPr="00D44204" w:rsidRDefault="00A171C9" w:rsidP="00E77D9E">
      <w:pPr>
        <w:tabs>
          <w:tab w:val="left" w:pos="851"/>
        </w:tabs>
        <w:ind w:left="851" w:hanging="851"/>
        <w:rPr>
          <w:sz w:val="24"/>
          <w:szCs w:val="24"/>
        </w:rPr>
      </w:pPr>
      <w:r w:rsidRPr="00D44204">
        <w:rPr>
          <w:sz w:val="24"/>
          <w:szCs w:val="24"/>
        </w:rPr>
        <w:tab/>
        <w:t xml:space="preserve">Det er ikke nødvendigt at justere dosis hos patienter med nedsat nyrefunktion. Da der for øjeblikket ikke er tilgængelige data om virkning og sikkerhed om kombinationsbehandling hos patienter med nedsat nyrefunktion, må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ikke anvendes til kombinationsbehandling for at udrydde </w:t>
      </w:r>
      <w:r w:rsidRPr="00D44204">
        <w:rPr>
          <w:i/>
          <w:sz w:val="24"/>
          <w:szCs w:val="24"/>
        </w:rPr>
        <w:t xml:space="preserve">H. </w:t>
      </w:r>
      <w:proofErr w:type="spellStart"/>
      <w:r w:rsidRPr="00D44204">
        <w:rPr>
          <w:i/>
          <w:sz w:val="24"/>
          <w:szCs w:val="24"/>
        </w:rPr>
        <w:t>pylori</w:t>
      </w:r>
      <w:proofErr w:type="spellEnd"/>
      <w:r w:rsidRPr="00D44204">
        <w:rPr>
          <w:sz w:val="24"/>
          <w:szCs w:val="24"/>
        </w:rPr>
        <w:t xml:space="preserve"> hos disse patienter</w:t>
      </w:r>
      <w:r w:rsidRPr="00D44204">
        <w:rPr>
          <w:i/>
          <w:sz w:val="24"/>
          <w:szCs w:val="24"/>
        </w:rPr>
        <w:t>.</w:t>
      </w:r>
    </w:p>
    <w:p w:rsidR="00A171C9" w:rsidRPr="00D44204" w:rsidRDefault="00A171C9" w:rsidP="00E77D9E">
      <w:pPr>
        <w:tabs>
          <w:tab w:val="left" w:pos="851"/>
        </w:tabs>
        <w:ind w:left="851"/>
        <w:rPr>
          <w:i/>
          <w:sz w:val="24"/>
          <w:szCs w:val="24"/>
        </w:rPr>
      </w:pPr>
    </w:p>
    <w:p w:rsidR="00A171C9" w:rsidRPr="00D44204" w:rsidRDefault="00A171C9" w:rsidP="00E77D9E">
      <w:pPr>
        <w:tabs>
          <w:tab w:val="left" w:pos="851"/>
        </w:tabs>
        <w:ind w:left="851"/>
        <w:rPr>
          <w:i/>
          <w:sz w:val="24"/>
          <w:szCs w:val="24"/>
        </w:rPr>
      </w:pPr>
      <w:r w:rsidRPr="00D44204">
        <w:rPr>
          <w:i/>
          <w:sz w:val="24"/>
          <w:szCs w:val="24"/>
        </w:rPr>
        <w:t xml:space="preserve">Pædiatrisk population </w:t>
      </w:r>
    </w:p>
    <w:p w:rsidR="00A171C9" w:rsidRPr="00D44204" w:rsidRDefault="00A171C9" w:rsidP="00E77D9E">
      <w:pPr>
        <w:tabs>
          <w:tab w:val="left" w:pos="851"/>
        </w:tabs>
        <w:ind w:left="851"/>
        <w:rPr>
          <w:i/>
          <w:sz w:val="24"/>
          <w:szCs w:val="24"/>
        </w:rPr>
      </w:pPr>
      <w:r w:rsidRPr="00D44204">
        <w:rPr>
          <w:i/>
          <w:sz w:val="24"/>
          <w:szCs w:val="24"/>
        </w:rPr>
        <w:t>Børn under 12 år</w:t>
      </w:r>
    </w:p>
    <w:p w:rsidR="00A171C9" w:rsidRPr="00D44204" w:rsidRDefault="00A171C9" w:rsidP="00E77D9E">
      <w:pPr>
        <w:tabs>
          <w:tab w:val="left" w:pos="851"/>
        </w:tabs>
        <w:ind w:left="851"/>
        <w:rPr>
          <w:sz w:val="24"/>
          <w:szCs w:val="24"/>
          <w:u w:val="single"/>
        </w:rPr>
      </w:pP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u w:val="single"/>
        </w:rPr>
        <w:t xml:space="preserve"> frarådes</w:t>
      </w:r>
      <w:r w:rsidRPr="00D44204">
        <w:rPr>
          <w:sz w:val="24"/>
          <w:szCs w:val="24"/>
        </w:rPr>
        <w:t xml:space="preserve"> til børn under 12 år på grund af manglende data om sikkerhed og virkning for denne aldersgruppe.</w:t>
      </w:r>
    </w:p>
    <w:p w:rsidR="00A171C9" w:rsidRPr="00D44204" w:rsidRDefault="00A171C9" w:rsidP="00E77D9E">
      <w:pPr>
        <w:tabs>
          <w:tab w:val="left" w:pos="851"/>
        </w:tabs>
        <w:ind w:left="851"/>
        <w:rPr>
          <w:sz w:val="24"/>
          <w:szCs w:val="24"/>
          <w:u w:val="single"/>
        </w:rPr>
      </w:pPr>
    </w:p>
    <w:p w:rsidR="00A171C9" w:rsidRPr="00D44204" w:rsidRDefault="00A171C9" w:rsidP="00E77D9E">
      <w:pPr>
        <w:tabs>
          <w:tab w:val="left" w:pos="851"/>
        </w:tabs>
        <w:ind w:left="851"/>
        <w:rPr>
          <w:sz w:val="24"/>
          <w:szCs w:val="24"/>
          <w:u w:val="single"/>
        </w:rPr>
      </w:pPr>
      <w:r w:rsidRPr="00D44204">
        <w:rPr>
          <w:sz w:val="24"/>
          <w:szCs w:val="24"/>
          <w:u w:val="single"/>
        </w:rPr>
        <w:t>Administration</w:t>
      </w:r>
    </w:p>
    <w:p w:rsidR="00A171C9" w:rsidRPr="00D44204" w:rsidRDefault="00A171C9" w:rsidP="00E77D9E">
      <w:pPr>
        <w:tabs>
          <w:tab w:val="left" w:pos="851"/>
        </w:tabs>
        <w:ind w:left="855"/>
        <w:rPr>
          <w:sz w:val="24"/>
          <w:szCs w:val="24"/>
        </w:rPr>
      </w:pPr>
      <w:r w:rsidRPr="00D44204">
        <w:rPr>
          <w:sz w:val="24"/>
          <w:szCs w:val="24"/>
        </w:rPr>
        <w:t>Tabletterne må ikke tygges eller knuses, og skal synkes hele med noget vand 1 time før et måltid.</w:t>
      </w:r>
    </w:p>
    <w:p w:rsidR="00A171C9" w:rsidRPr="00D44204" w:rsidRDefault="00A171C9" w:rsidP="00A171C9">
      <w:pPr>
        <w:tabs>
          <w:tab w:val="left" w:pos="851"/>
        </w:tabs>
        <w:ind w:left="851" w:hanging="851"/>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4.3</w:t>
      </w:r>
      <w:r w:rsidRPr="00D44204">
        <w:rPr>
          <w:b/>
          <w:sz w:val="24"/>
          <w:szCs w:val="24"/>
        </w:rPr>
        <w:tab/>
        <w:t>Kontraindikationer</w:t>
      </w:r>
    </w:p>
    <w:p w:rsidR="00A171C9" w:rsidRPr="00D44204" w:rsidRDefault="00A171C9" w:rsidP="00A171C9">
      <w:pPr>
        <w:tabs>
          <w:tab w:val="left" w:pos="851"/>
        </w:tabs>
        <w:ind w:left="851" w:hanging="851"/>
        <w:rPr>
          <w:sz w:val="24"/>
          <w:szCs w:val="24"/>
        </w:rPr>
      </w:pPr>
      <w:r w:rsidRPr="00D44204">
        <w:rPr>
          <w:sz w:val="24"/>
          <w:szCs w:val="24"/>
        </w:rPr>
        <w:tab/>
        <w:t xml:space="preserve">Overfølsomhed over for det aktive stof, substituerede </w:t>
      </w:r>
      <w:proofErr w:type="spellStart"/>
      <w:r w:rsidRPr="00D44204">
        <w:rPr>
          <w:sz w:val="24"/>
          <w:szCs w:val="24"/>
        </w:rPr>
        <w:t>benzimidazoler</w:t>
      </w:r>
      <w:proofErr w:type="spellEnd"/>
      <w:r w:rsidRPr="00D44204">
        <w:rPr>
          <w:sz w:val="24"/>
          <w:szCs w:val="24"/>
        </w:rPr>
        <w:t>, sorbitol eller over for et eller flere af hjælpestofferne anført i pkt. 6.1.</w:t>
      </w:r>
    </w:p>
    <w:p w:rsidR="00A171C9" w:rsidRPr="00D44204" w:rsidRDefault="00A171C9" w:rsidP="00A171C9">
      <w:pPr>
        <w:tabs>
          <w:tab w:val="left" w:pos="851"/>
        </w:tabs>
        <w:ind w:left="851" w:hanging="851"/>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4.4</w:t>
      </w:r>
      <w:r w:rsidRPr="00D44204">
        <w:rPr>
          <w:b/>
          <w:sz w:val="24"/>
          <w:szCs w:val="24"/>
        </w:rPr>
        <w:tab/>
        <w:t>Særlige advarsler og forsigtighedsregler vedrørende brugen</w:t>
      </w:r>
    </w:p>
    <w:p w:rsidR="00E77D9E" w:rsidRPr="00D44204" w:rsidRDefault="00E77D9E"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r w:rsidRPr="00D44204">
        <w:rPr>
          <w:i/>
          <w:sz w:val="24"/>
          <w:szCs w:val="24"/>
        </w:rPr>
        <w:t>Nedsat leverfunktion</w:t>
      </w:r>
      <w:r w:rsidRPr="00D44204">
        <w:rPr>
          <w:sz w:val="24"/>
          <w:szCs w:val="24"/>
        </w:rPr>
        <w:t xml:space="preserve"> </w:t>
      </w:r>
    </w:p>
    <w:p w:rsidR="00A171C9" w:rsidRPr="00D44204" w:rsidRDefault="00A171C9" w:rsidP="00A171C9">
      <w:pPr>
        <w:tabs>
          <w:tab w:val="left" w:pos="851"/>
        </w:tabs>
        <w:ind w:left="851" w:hanging="851"/>
        <w:rPr>
          <w:sz w:val="24"/>
          <w:szCs w:val="24"/>
        </w:rPr>
      </w:pPr>
      <w:r w:rsidRPr="00D44204">
        <w:rPr>
          <w:sz w:val="24"/>
          <w:szCs w:val="24"/>
        </w:rPr>
        <w:tab/>
        <w:t xml:space="preserve">Hos patienter med alvorlig nedsat leverfunktion bør leverenzymer kontrolleres regelmæssigt under behandling med </w:t>
      </w:r>
      <w:proofErr w:type="spellStart"/>
      <w:r w:rsidRPr="00D44204">
        <w:rPr>
          <w:sz w:val="24"/>
          <w:szCs w:val="24"/>
        </w:rPr>
        <w:t>pantoprazol</w:t>
      </w:r>
      <w:proofErr w:type="spellEnd"/>
      <w:r w:rsidRPr="00D44204">
        <w:rPr>
          <w:sz w:val="24"/>
          <w:szCs w:val="24"/>
        </w:rPr>
        <w:t xml:space="preserve">, specielt ved langtidsbrug. I tilfælde af en stigning i leverenzymer skal </w:t>
      </w:r>
      <w:proofErr w:type="spellStart"/>
      <w:r w:rsidRPr="00D44204">
        <w:rPr>
          <w:sz w:val="24"/>
          <w:szCs w:val="24"/>
        </w:rPr>
        <w:t>pantoprazol</w:t>
      </w:r>
      <w:proofErr w:type="spellEnd"/>
      <w:r w:rsidRPr="00D44204">
        <w:rPr>
          <w:sz w:val="24"/>
          <w:szCs w:val="24"/>
        </w:rPr>
        <w:t xml:space="preserve"> seponeres (se </w:t>
      </w:r>
      <w:r w:rsidR="003D1088">
        <w:rPr>
          <w:sz w:val="24"/>
          <w:szCs w:val="24"/>
        </w:rPr>
        <w:t>pkt.</w:t>
      </w:r>
      <w:r w:rsidRPr="00D44204">
        <w:rPr>
          <w:sz w:val="24"/>
          <w:szCs w:val="24"/>
        </w:rPr>
        <w:t xml:space="preserve"> 4.2).</w:t>
      </w:r>
    </w:p>
    <w:p w:rsidR="00300098" w:rsidRDefault="00300098">
      <w:pPr>
        <w:rPr>
          <w:sz w:val="24"/>
          <w:szCs w:val="24"/>
        </w:rPr>
      </w:pPr>
      <w:r>
        <w:rPr>
          <w:sz w:val="24"/>
          <w:szCs w:val="24"/>
        </w:rPr>
        <w:br w:type="page"/>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r w:rsidRPr="00D44204">
        <w:rPr>
          <w:i/>
          <w:sz w:val="24"/>
          <w:szCs w:val="24"/>
        </w:rPr>
        <w:t>Kombinationsbehandling</w:t>
      </w:r>
      <w:r w:rsidRPr="00D44204">
        <w:rPr>
          <w:sz w:val="24"/>
          <w:szCs w:val="24"/>
        </w:rPr>
        <w:t xml:space="preserve"> </w:t>
      </w:r>
    </w:p>
    <w:p w:rsidR="00A171C9" w:rsidRPr="00D44204" w:rsidRDefault="00A171C9" w:rsidP="00A171C9">
      <w:pPr>
        <w:tabs>
          <w:tab w:val="left" w:pos="851"/>
        </w:tabs>
        <w:ind w:left="851"/>
        <w:rPr>
          <w:sz w:val="24"/>
          <w:szCs w:val="24"/>
        </w:rPr>
      </w:pPr>
      <w:r w:rsidRPr="00D44204">
        <w:rPr>
          <w:sz w:val="24"/>
          <w:szCs w:val="24"/>
        </w:rPr>
        <w:t>Ved kombinationsbehandling skal der tages højde for alle de indgående lægemidlers produkt</w:t>
      </w:r>
      <w:r w:rsidRPr="00D44204">
        <w:rPr>
          <w:sz w:val="24"/>
          <w:szCs w:val="24"/>
        </w:rPr>
        <w:softHyphen/>
        <w:t>resuméer.</w:t>
      </w:r>
    </w:p>
    <w:p w:rsidR="00A171C9" w:rsidRPr="00D44204" w:rsidRDefault="00A171C9" w:rsidP="00A171C9">
      <w:pPr>
        <w:tabs>
          <w:tab w:val="left" w:pos="851"/>
        </w:tabs>
        <w:rPr>
          <w:i/>
          <w:sz w:val="24"/>
          <w:szCs w:val="24"/>
        </w:rPr>
      </w:pPr>
    </w:p>
    <w:p w:rsidR="00A171C9" w:rsidRPr="00D44204" w:rsidRDefault="00A171C9" w:rsidP="00A171C9">
      <w:pPr>
        <w:tabs>
          <w:tab w:val="left" w:pos="851"/>
        </w:tabs>
        <w:ind w:left="851" w:hanging="851"/>
        <w:rPr>
          <w:sz w:val="24"/>
          <w:szCs w:val="24"/>
        </w:rPr>
      </w:pPr>
      <w:r w:rsidRPr="00D44204">
        <w:rPr>
          <w:i/>
          <w:sz w:val="24"/>
          <w:szCs w:val="24"/>
        </w:rPr>
        <w:tab/>
        <w:t xml:space="preserve">Gastrisk </w:t>
      </w:r>
      <w:proofErr w:type="spellStart"/>
      <w:r w:rsidRPr="00D44204">
        <w:rPr>
          <w:i/>
          <w:sz w:val="24"/>
          <w:szCs w:val="24"/>
        </w:rPr>
        <w:t>malignitet</w:t>
      </w:r>
      <w:proofErr w:type="spellEnd"/>
    </w:p>
    <w:p w:rsidR="00A171C9" w:rsidRPr="00D44204" w:rsidRDefault="00A171C9" w:rsidP="00A171C9">
      <w:pPr>
        <w:tabs>
          <w:tab w:val="left" w:pos="851"/>
        </w:tabs>
        <w:ind w:left="851" w:hanging="851"/>
        <w:rPr>
          <w:sz w:val="24"/>
          <w:szCs w:val="24"/>
        </w:rPr>
      </w:pPr>
      <w:r w:rsidRPr="00D44204">
        <w:rPr>
          <w:sz w:val="24"/>
          <w:szCs w:val="24"/>
        </w:rPr>
        <w:tab/>
        <w:t xml:space="preserve">Symptomatisk reaktion på </w:t>
      </w:r>
      <w:proofErr w:type="spellStart"/>
      <w:r w:rsidRPr="00D44204">
        <w:rPr>
          <w:sz w:val="24"/>
          <w:szCs w:val="24"/>
        </w:rPr>
        <w:t>pantoprazol</w:t>
      </w:r>
      <w:proofErr w:type="spellEnd"/>
      <w:r w:rsidRPr="00D44204">
        <w:rPr>
          <w:sz w:val="24"/>
          <w:szCs w:val="24"/>
        </w:rPr>
        <w:t xml:space="preserve"> kan maskere symptomerne på gastrisk </w:t>
      </w:r>
      <w:proofErr w:type="spellStart"/>
      <w:r w:rsidRPr="00D44204">
        <w:rPr>
          <w:sz w:val="24"/>
          <w:szCs w:val="24"/>
        </w:rPr>
        <w:t>malignitet</w:t>
      </w:r>
      <w:proofErr w:type="spellEnd"/>
      <w:r w:rsidRPr="00D44204">
        <w:rPr>
          <w:sz w:val="24"/>
          <w:szCs w:val="24"/>
        </w:rPr>
        <w:t xml:space="preserve"> og kan forsinke diagnosen. Hvis der forekommer advarselssymptomer (f.eks. større utilsigtet vægttab, gentagne opkastninger, </w:t>
      </w:r>
      <w:proofErr w:type="spellStart"/>
      <w:r w:rsidRPr="00D44204">
        <w:rPr>
          <w:sz w:val="24"/>
          <w:szCs w:val="24"/>
        </w:rPr>
        <w:t>dysphagi</w:t>
      </w:r>
      <w:proofErr w:type="spellEnd"/>
      <w:r w:rsidRPr="00D44204">
        <w:rPr>
          <w:sz w:val="24"/>
          <w:szCs w:val="24"/>
        </w:rPr>
        <w:t xml:space="preserve">, </w:t>
      </w:r>
      <w:proofErr w:type="spellStart"/>
      <w:r w:rsidRPr="00D44204">
        <w:rPr>
          <w:sz w:val="24"/>
          <w:szCs w:val="24"/>
        </w:rPr>
        <w:t>hæmatemese</w:t>
      </w:r>
      <w:proofErr w:type="spellEnd"/>
      <w:r w:rsidRPr="00D44204">
        <w:rPr>
          <w:sz w:val="24"/>
          <w:szCs w:val="24"/>
        </w:rPr>
        <w:t xml:space="preserve">, anæmi eller </w:t>
      </w:r>
      <w:proofErr w:type="spellStart"/>
      <w:r w:rsidRPr="00D44204">
        <w:rPr>
          <w:sz w:val="24"/>
          <w:szCs w:val="24"/>
        </w:rPr>
        <w:t>melæna</w:t>
      </w:r>
      <w:proofErr w:type="spellEnd"/>
      <w:r w:rsidRPr="00D44204">
        <w:rPr>
          <w:sz w:val="24"/>
          <w:szCs w:val="24"/>
        </w:rPr>
        <w:t>), og ved formodet eller eksisterende mavesår, skal malign lidelse udelukkes.</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t xml:space="preserve">Hvis symptomerne vedvarer på trods af adækvat behandling, bør yderligere undersøgelser overvejes. </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i/>
          <w:sz w:val="24"/>
          <w:szCs w:val="24"/>
        </w:rPr>
      </w:pPr>
      <w:r w:rsidRPr="00D44204">
        <w:rPr>
          <w:sz w:val="24"/>
          <w:szCs w:val="24"/>
        </w:rPr>
        <w:tab/>
      </w:r>
      <w:r w:rsidRPr="00D44204">
        <w:rPr>
          <w:i/>
          <w:sz w:val="24"/>
          <w:szCs w:val="24"/>
        </w:rPr>
        <w:t xml:space="preserve">Samtidig behandling med HIV </w:t>
      </w:r>
      <w:proofErr w:type="spellStart"/>
      <w:r w:rsidRPr="00D44204">
        <w:rPr>
          <w:i/>
          <w:sz w:val="24"/>
          <w:szCs w:val="24"/>
        </w:rPr>
        <w:t>protease-hæmmere</w:t>
      </w:r>
      <w:proofErr w:type="spellEnd"/>
      <w:r w:rsidRPr="00D44204">
        <w:rPr>
          <w:i/>
          <w:sz w:val="24"/>
          <w:szCs w:val="24"/>
        </w:rPr>
        <w:t xml:space="preserve"> </w:t>
      </w:r>
    </w:p>
    <w:p w:rsidR="00A171C9" w:rsidRPr="00D44204" w:rsidRDefault="00A171C9" w:rsidP="00A171C9">
      <w:pPr>
        <w:tabs>
          <w:tab w:val="left" w:pos="851"/>
        </w:tabs>
        <w:ind w:left="851"/>
        <w:rPr>
          <w:sz w:val="24"/>
          <w:szCs w:val="24"/>
        </w:rPr>
      </w:pPr>
      <w:r w:rsidRPr="00D44204">
        <w:rPr>
          <w:sz w:val="24"/>
          <w:szCs w:val="24"/>
        </w:rPr>
        <w:t xml:space="preserve">Samtidig administration af HIV </w:t>
      </w:r>
      <w:proofErr w:type="spellStart"/>
      <w:r w:rsidRPr="00D44204">
        <w:rPr>
          <w:sz w:val="24"/>
          <w:szCs w:val="24"/>
        </w:rPr>
        <w:t>protease-hæmmere</w:t>
      </w:r>
      <w:proofErr w:type="spellEnd"/>
      <w:r w:rsidRPr="00D44204">
        <w:rPr>
          <w:sz w:val="24"/>
          <w:szCs w:val="24"/>
        </w:rPr>
        <w:t xml:space="preserve">, hvis absorption er afhængig af intragastrisk pH (som </w:t>
      </w:r>
      <w:proofErr w:type="spellStart"/>
      <w:r w:rsidRPr="00D44204">
        <w:rPr>
          <w:sz w:val="24"/>
          <w:szCs w:val="24"/>
        </w:rPr>
        <w:t>atazanavir</w:t>
      </w:r>
      <w:proofErr w:type="spellEnd"/>
      <w:r w:rsidRPr="00D44204">
        <w:rPr>
          <w:sz w:val="24"/>
          <w:szCs w:val="24"/>
        </w:rPr>
        <w:t xml:space="preserve">) og </w:t>
      </w:r>
      <w:proofErr w:type="spellStart"/>
      <w:r w:rsidRPr="00D44204">
        <w:rPr>
          <w:sz w:val="24"/>
          <w:szCs w:val="24"/>
        </w:rPr>
        <w:t>pantoprazol</w:t>
      </w:r>
      <w:proofErr w:type="spellEnd"/>
      <w:r w:rsidRPr="00D44204">
        <w:rPr>
          <w:sz w:val="24"/>
          <w:szCs w:val="24"/>
        </w:rPr>
        <w:t xml:space="preserve">, frarådes grundet en signifikant reduktion af disses biotilgængelighed (se pkt. 4.5). </w:t>
      </w:r>
    </w:p>
    <w:p w:rsidR="00A171C9" w:rsidRPr="00D44204" w:rsidRDefault="00A171C9" w:rsidP="00A171C9">
      <w:pPr>
        <w:tabs>
          <w:tab w:val="left" w:pos="851"/>
        </w:tabs>
        <w:ind w:left="851" w:hanging="851"/>
        <w:rPr>
          <w:sz w:val="24"/>
          <w:szCs w:val="24"/>
        </w:rPr>
      </w:pPr>
      <w:r w:rsidRPr="00D44204">
        <w:rPr>
          <w:sz w:val="24"/>
          <w:szCs w:val="24"/>
        </w:rPr>
        <w:tab/>
      </w:r>
    </w:p>
    <w:p w:rsidR="00A171C9" w:rsidRPr="00D44204" w:rsidRDefault="00A171C9" w:rsidP="00A171C9">
      <w:pPr>
        <w:tabs>
          <w:tab w:val="left" w:pos="851"/>
        </w:tabs>
        <w:ind w:left="851" w:hanging="851"/>
        <w:rPr>
          <w:i/>
          <w:sz w:val="24"/>
          <w:szCs w:val="24"/>
        </w:rPr>
      </w:pPr>
      <w:r w:rsidRPr="00D44204">
        <w:rPr>
          <w:sz w:val="24"/>
          <w:szCs w:val="24"/>
        </w:rPr>
        <w:tab/>
      </w:r>
      <w:r w:rsidRPr="00D44204">
        <w:rPr>
          <w:i/>
          <w:sz w:val="24"/>
          <w:szCs w:val="24"/>
        </w:rPr>
        <w:t>Påvirkning på absorption af B12-vitamin</w:t>
      </w:r>
    </w:p>
    <w:p w:rsidR="00A171C9" w:rsidRPr="00D44204" w:rsidRDefault="00A171C9" w:rsidP="00A171C9">
      <w:pPr>
        <w:tabs>
          <w:tab w:val="left" w:pos="851"/>
        </w:tabs>
        <w:ind w:left="851"/>
        <w:rPr>
          <w:sz w:val="24"/>
          <w:szCs w:val="24"/>
        </w:rPr>
      </w:pPr>
      <w:proofErr w:type="spellStart"/>
      <w:r w:rsidRPr="00D44204">
        <w:rPr>
          <w:sz w:val="24"/>
          <w:szCs w:val="24"/>
        </w:rPr>
        <w:t>Pantoprazol</w:t>
      </w:r>
      <w:proofErr w:type="spellEnd"/>
      <w:r w:rsidRPr="00D44204">
        <w:rPr>
          <w:sz w:val="24"/>
          <w:szCs w:val="24"/>
        </w:rPr>
        <w:t xml:space="preserve"> i lighed med alle syrehæmmende lægemidler, kan reducere absorption af vitamin B</w:t>
      </w:r>
      <w:r w:rsidRPr="00D44204">
        <w:rPr>
          <w:sz w:val="24"/>
          <w:szCs w:val="24"/>
          <w:vertAlign w:val="subscript"/>
        </w:rPr>
        <w:t>12</w:t>
      </w:r>
      <w:r w:rsidRPr="00D44204">
        <w:rPr>
          <w:sz w:val="24"/>
          <w:szCs w:val="24"/>
        </w:rPr>
        <w:t xml:space="preserve"> (</w:t>
      </w:r>
      <w:proofErr w:type="spellStart"/>
      <w:r w:rsidRPr="00D44204">
        <w:rPr>
          <w:sz w:val="24"/>
          <w:szCs w:val="24"/>
        </w:rPr>
        <w:t>cyanocobalamin</w:t>
      </w:r>
      <w:proofErr w:type="spellEnd"/>
      <w:r w:rsidRPr="00D44204">
        <w:rPr>
          <w:sz w:val="24"/>
          <w:szCs w:val="24"/>
        </w:rPr>
        <w:t xml:space="preserve">) på grund af </w:t>
      </w:r>
      <w:proofErr w:type="spellStart"/>
      <w:r w:rsidRPr="00D44204">
        <w:rPr>
          <w:sz w:val="24"/>
          <w:szCs w:val="24"/>
        </w:rPr>
        <w:t>hypo</w:t>
      </w:r>
      <w:proofErr w:type="spellEnd"/>
      <w:r w:rsidRPr="00D44204">
        <w:rPr>
          <w:sz w:val="24"/>
          <w:szCs w:val="24"/>
        </w:rPr>
        <w:t xml:space="preserve">- eller </w:t>
      </w:r>
      <w:proofErr w:type="spellStart"/>
      <w:r w:rsidRPr="00D44204">
        <w:rPr>
          <w:sz w:val="24"/>
          <w:szCs w:val="24"/>
        </w:rPr>
        <w:t>achlorhydri</w:t>
      </w:r>
      <w:proofErr w:type="spellEnd"/>
      <w:r w:rsidRPr="00D44204">
        <w:rPr>
          <w:sz w:val="24"/>
          <w:szCs w:val="24"/>
        </w:rPr>
        <w:t>. Dette bør tages i betragtning ved langtidsbehandling eller hos patienter, hvor der observeres kliniske symptomer, og som har vitamin B</w:t>
      </w:r>
      <w:r w:rsidRPr="00D44204">
        <w:rPr>
          <w:sz w:val="24"/>
          <w:szCs w:val="24"/>
          <w:vertAlign w:val="subscript"/>
        </w:rPr>
        <w:t>12</w:t>
      </w:r>
      <w:r w:rsidRPr="00D44204">
        <w:rPr>
          <w:sz w:val="24"/>
          <w:szCs w:val="24"/>
        </w:rPr>
        <w:t>-mangel eller som har risikofaktorer for nedsat absorption af vitamin B</w:t>
      </w:r>
      <w:r w:rsidRPr="00D44204">
        <w:rPr>
          <w:sz w:val="24"/>
          <w:szCs w:val="24"/>
          <w:vertAlign w:val="subscript"/>
        </w:rPr>
        <w:t>12</w:t>
      </w:r>
      <w:r w:rsidRPr="00D44204">
        <w:rPr>
          <w:sz w:val="24"/>
          <w:szCs w:val="24"/>
        </w:rPr>
        <w:t>.</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r w:rsidRPr="00D44204">
        <w:rPr>
          <w:i/>
          <w:sz w:val="24"/>
          <w:szCs w:val="24"/>
        </w:rPr>
        <w:t>Langtidsbehandling</w:t>
      </w:r>
    </w:p>
    <w:p w:rsidR="00A171C9" w:rsidRPr="00D44204" w:rsidRDefault="00A171C9" w:rsidP="00A171C9">
      <w:pPr>
        <w:tabs>
          <w:tab w:val="left" w:pos="851"/>
        </w:tabs>
        <w:ind w:left="851" w:hanging="851"/>
        <w:rPr>
          <w:sz w:val="24"/>
          <w:szCs w:val="24"/>
        </w:rPr>
      </w:pPr>
      <w:r w:rsidRPr="00D44204">
        <w:rPr>
          <w:sz w:val="24"/>
          <w:szCs w:val="24"/>
        </w:rPr>
        <w:tab/>
        <w:t>Ved langtidsbehandling, især hvor behandlingsperioden varer mere end et år, bør patienterne regelmæssigt kontrolleres.</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r w:rsidRPr="00D44204">
        <w:rPr>
          <w:i/>
          <w:sz w:val="24"/>
          <w:szCs w:val="24"/>
        </w:rPr>
        <w:t>Infektioner i mave-tarm-kanalen, der skyldes bakterier</w:t>
      </w:r>
    </w:p>
    <w:p w:rsidR="00A171C9" w:rsidRPr="00D44204" w:rsidRDefault="00A171C9" w:rsidP="00A171C9">
      <w:pPr>
        <w:tabs>
          <w:tab w:val="left" w:pos="851"/>
        </w:tabs>
        <w:ind w:left="851" w:hanging="851"/>
        <w:rPr>
          <w:sz w:val="24"/>
          <w:szCs w:val="24"/>
        </w:rPr>
      </w:pPr>
      <w:r w:rsidRPr="00D44204">
        <w:rPr>
          <w:sz w:val="24"/>
          <w:szCs w:val="24"/>
        </w:rPr>
        <w:tab/>
        <w:t xml:space="preserve">Behandling med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kan medføre en let øget risiko for infektioner i mave-tarm-kanalen, der skyldes bakterier som </w:t>
      </w:r>
      <w:r w:rsidRPr="00D44204">
        <w:rPr>
          <w:i/>
          <w:iCs/>
          <w:sz w:val="24"/>
          <w:szCs w:val="24"/>
        </w:rPr>
        <w:t>Salmonella,</w:t>
      </w:r>
      <w:r w:rsidRPr="00D44204">
        <w:rPr>
          <w:sz w:val="24"/>
          <w:szCs w:val="24"/>
        </w:rPr>
        <w:t xml:space="preserve"> </w:t>
      </w:r>
      <w:r w:rsidRPr="00D44204">
        <w:rPr>
          <w:i/>
          <w:iCs/>
          <w:sz w:val="24"/>
          <w:szCs w:val="24"/>
        </w:rPr>
        <w:t>Campylobacter og C. difficile</w:t>
      </w:r>
      <w:r w:rsidRPr="00D44204">
        <w:rPr>
          <w:sz w:val="24"/>
          <w:szCs w:val="24"/>
        </w:rPr>
        <w:t>.</w:t>
      </w:r>
    </w:p>
    <w:p w:rsidR="00A171C9" w:rsidRPr="00D44204" w:rsidRDefault="00A171C9" w:rsidP="00A171C9">
      <w:pPr>
        <w:tabs>
          <w:tab w:val="left" w:pos="851"/>
        </w:tabs>
        <w:ind w:left="851" w:hanging="851"/>
        <w:rPr>
          <w:sz w:val="24"/>
          <w:szCs w:val="24"/>
        </w:rPr>
      </w:pPr>
      <w:r w:rsidRPr="00D44204">
        <w:rPr>
          <w:sz w:val="24"/>
          <w:szCs w:val="24"/>
        </w:rPr>
        <w:tab/>
      </w:r>
    </w:p>
    <w:p w:rsidR="00A171C9" w:rsidRPr="00D44204" w:rsidRDefault="00A171C9" w:rsidP="00A171C9">
      <w:pPr>
        <w:ind w:left="851"/>
        <w:rPr>
          <w:i/>
          <w:sz w:val="24"/>
          <w:szCs w:val="24"/>
        </w:rPr>
      </w:pPr>
      <w:proofErr w:type="spellStart"/>
      <w:r w:rsidRPr="00D44204">
        <w:rPr>
          <w:i/>
          <w:sz w:val="24"/>
          <w:szCs w:val="24"/>
        </w:rPr>
        <w:t>Hypomagnesiæmi</w:t>
      </w:r>
      <w:proofErr w:type="spellEnd"/>
    </w:p>
    <w:p w:rsidR="000F5E32" w:rsidRPr="00D44204" w:rsidRDefault="000F5E32" w:rsidP="000F5E32">
      <w:pPr>
        <w:ind w:left="851"/>
        <w:rPr>
          <w:sz w:val="24"/>
          <w:szCs w:val="24"/>
        </w:rPr>
      </w:pPr>
      <w:r w:rsidRPr="00D44204">
        <w:rPr>
          <w:sz w:val="24"/>
          <w:szCs w:val="24"/>
        </w:rPr>
        <w:t xml:space="preserve">Alvorlig </w:t>
      </w:r>
      <w:proofErr w:type="spellStart"/>
      <w:r w:rsidRPr="00D44204">
        <w:rPr>
          <w:sz w:val="24"/>
          <w:szCs w:val="24"/>
        </w:rPr>
        <w:t>hypomagnesiæmi</w:t>
      </w:r>
      <w:proofErr w:type="spellEnd"/>
      <w:r w:rsidRPr="00D44204">
        <w:rPr>
          <w:sz w:val="24"/>
          <w:szCs w:val="24"/>
        </w:rPr>
        <w:t xml:space="preserve"> har være rapporteret med hyppigheden sjælden hos patienter behandlet med </w:t>
      </w:r>
      <w:proofErr w:type="spellStart"/>
      <w:r w:rsidRPr="00D44204">
        <w:rPr>
          <w:sz w:val="24"/>
          <w:szCs w:val="24"/>
        </w:rPr>
        <w:t>protonpumpehæmmere</w:t>
      </w:r>
      <w:proofErr w:type="spellEnd"/>
      <w:r w:rsidRPr="00D44204">
        <w:rPr>
          <w:sz w:val="24"/>
          <w:szCs w:val="24"/>
        </w:rPr>
        <w:t xml:space="preserve"> (PPI), såsom </w:t>
      </w:r>
      <w:proofErr w:type="spellStart"/>
      <w:r w:rsidRPr="00D44204">
        <w:rPr>
          <w:sz w:val="24"/>
          <w:szCs w:val="24"/>
        </w:rPr>
        <w:t>pantoprazol</w:t>
      </w:r>
      <w:proofErr w:type="spellEnd"/>
      <w:r w:rsidRPr="00D44204">
        <w:rPr>
          <w:sz w:val="24"/>
          <w:szCs w:val="24"/>
        </w:rPr>
        <w:t xml:space="preserve">, i mindst tre måneder og i de fleste tilfælde i et år. Alvorlige manifestationer af </w:t>
      </w:r>
      <w:proofErr w:type="spellStart"/>
      <w:r w:rsidRPr="00D44204">
        <w:rPr>
          <w:sz w:val="24"/>
          <w:szCs w:val="24"/>
        </w:rPr>
        <w:t>hypomagnesiæmi</w:t>
      </w:r>
      <w:proofErr w:type="spellEnd"/>
      <w:r w:rsidRPr="00D44204">
        <w:rPr>
          <w:sz w:val="24"/>
          <w:szCs w:val="24"/>
        </w:rPr>
        <w:t xml:space="preserve"> som træthed, tetani, delirium, kramper, svimmelhed og </w:t>
      </w:r>
      <w:proofErr w:type="spellStart"/>
      <w:r w:rsidRPr="00D44204">
        <w:rPr>
          <w:sz w:val="24"/>
          <w:szCs w:val="24"/>
        </w:rPr>
        <w:t>ventrikulær</w:t>
      </w:r>
      <w:proofErr w:type="spellEnd"/>
      <w:r w:rsidRPr="00D44204">
        <w:rPr>
          <w:sz w:val="24"/>
          <w:szCs w:val="24"/>
        </w:rPr>
        <w:t xml:space="preserve"> </w:t>
      </w:r>
      <w:proofErr w:type="spellStart"/>
      <w:r w:rsidRPr="00D44204">
        <w:rPr>
          <w:sz w:val="24"/>
          <w:szCs w:val="24"/>
        </w:rPr>
        <w:t>arytmi</w:t>
      </w:r>
      <w:proofErr w:type="spellEnd"/>
      <w:r w:rsidRPr="00D44204">
        <w:rPr>
          <w:sz w:val="24"/>
          <w:szCs w:val="24"/>
        </w:rPr>
        <w:t xml:space="preserve"> kan forekomme, men kan begynde stille og kan blive overset. </w:t>
      </w:r>
      <w:proofErr w:type="spellStart"/>
      <w:r w:rsidRPr="00D44204">
        <w:rPr>
          <w:sz w:val="24"/>
          <w:szCs w:val="24"/>
        </w:rPr>
        <w:t>Hypomagnesiæmi</w:t>
      </w:r>
      <w:proofErr w:type="spellEnd"/>
      <w:r w:rsidRPr="00D44204">
        <w:rPr>
          <w:sz w:val="24"/>
          <w:szCs w:val="24"/>
        </w:rPr>
        <w:t xml:space="preserve"> kan føre til </w:t>
      </w:r>
      <w:proofErr w:type="spellStart"/>
      <w:r w:rsidRPr="00D44204">
        <w:rPr>
          <w:sz w:val="24"/>
          <w:szCs w:val="24"/>
        </w:rPr>
        <w:t>hypocalcæmi</w:t>
      </w:r>
      <w:proofErr w:type="spellEnd"/>
      <w:r w:rsidRPr="00D44204">
        <w:rPr>
          <w:sz w:val="24"/>
          <w:szCs w:val="24"/>
        </w:rPr>
        <w:t xml:space="preserve"> og/eller </w:t>
      </w:r>
      <w:proofErr w:type="spellStart"/>
      <w:r w:rsidRPr="00D44204">
        <w:rPr>
          <w:sz w:val="24"/>
          <w:szCs w:val="24"/>
        </w:rPr>
        <w:t>hypokaliæmi</w:t>
      </w:r>
      <w:proofErr w:type="spellEnd"/>
      <w:r w:rsidRPr="00D44204">
        <w:rPr>
          <w:sz w:val="24"/>
          <w:szCs w:val="24"/>
        </w:rPr>
        <w:t xml:space="preserve"> (se pkt. 4.8). Hos de fleste patienter bedredes deres </w:t>
      </w:r>
      <w:proofErr w:type="spellStart"/>
      <w:r w:rsidRPr="00D44204">
        <w:rPr>
          <w:sz w:val="24"/>
          <w:szCs w:val="24"/>
        </w:rPr>
        <w:t>hypomagnesiӕmi</w:t>
      </w:r>
      <w:proofErr w:type="spellEnd"/>
      <w:r w:rsidRPr="00D44204">
        <w:rPr>
          <w:sz w:val="24"/>
          <w:szCs w:val="24"/>
        </w:rPr>
        <w:t xml:space="preserve"> (og </w:t>
      </w:r>
      <w:proofErr w:type="spellStart"/>
      <w:r w:rsidRPr="00D44204">
        <w:rPr>
          <w:sz w:val="24"/>
          <w:szCs w:val="24"/>
        </w:rPr>
        <w:t>hypomagnesiæmi</w:t>
      </w:r>
      <w:proofErr w:type="spellEnd"/>
      <w:r w:rsidRPr="00D44204">
        <w:rPr>
          <w:sz w:val="24"/>
          <w:szCs w:val="24"/>
        </w:rPr>
        <w:t xml:space="preserve">-associeret </w:t>
      </w:r>
      <w:proofErr w:type="spellStart"/>
      <w:r w:rsidRPr="00D44204">
        <w:rPr>
          <w:sz w:val="24"/>
          <w:szCs w:val="24"/>
        </w:rPr>
        <w:t>hypocalcæmi</w:t>
      </w:r>
      <w:proofErr w:type="spellEnd"/>
      <w:r w:rsidRPr="00D44204">
        <w:rPr>
          <w:sz w:val="24"/>
          <w:szCs w:val="24"/>
        </w:rPr>
        <w:t xml:space="preserve"> og/eller </w:t>
      </w:r>
      <w:proofErr w:type="spellStart"/>
      <w:r w:rsidRPr="00D44204">
        <w:rPr>
          <w:sz w:val="24"/>
          <w:szCs w:val="24"/>
        </w:rPr>
        <w:t>hypokaliæmi</w:t>
      </w:r>
      <w:proofErr w:type="spellEnd"/>
      <w:r w:rsidRPr="00D44204">
        <w:rPr>
          <w:sz w:val="24"/>
          <w:szCs w:val="24"/>
        </w:rPr>
        <w:t xml:space="preserve">) efter magnesium erstatning og </w:t>
      </w:r>
      <w:proofErr w:type="spellStart"/>
      <w:r w:rsidRPr="00D44204">
        <w:rPr>
          <w:sz w:val="24"/>
          <w:szCs w:val="24"/>
        </w:rPr>
        <w:t>seponering</w:t>
      </w:r>
      <w:proofErr w:type="spellEnd"/>
      <w:r w:rsidRPr="00D44204">
        <w:rPr>
          <w:sz w:val="24"/>
          <w:szCs w:val="24"/>
        </w:rPr>
        <w:t xml:space="preserve"> af PPI.</w:t>
      </w:r>
    </w:p>
    <w:p w:rsidR="00A171C9" w:rsidRPr="00D44204" w:rsidRDefault="00A171C9" w:rsidP="00A171C9">
      <w:pPr>
        <w:ind w:left="851"/>
        <w:rPr>
          <w:sz w:val="24"/>
          <w:szCs w:val="24"/>
        </w:rPr>
      </w:pPr>
    </w:p>
    <w:p w:rsidR="00A171C9" w:rsidRPr="00D44204" w:rsidRDefault="00A171C9" w:rsidP="00A171C9">
      <w:pPr>
        <w:ind w:left="851"/>
        <w:rPr>
          <w:sz w:val="24"/>
          <w:szCs w:val="24"/>
        </w:rPr>
      </w:pPr>
      <w:r w:rsidRPr="00D44204">
        <w:rPr>
          <w:sz w:val="24"/>
          <w:szCs w:val="24"/>
        </w:rPr>
        <w:t xml:space="preserve">Det bør overvejes at måle serummagnesium før opstart af </w:t>
      </w:r>
      <w:proofErr w:type="gramStart"/>
      <w:r w:rsidRPr="00D44204">
        <w:rPr>
          <w:sz w:val="24"/>
          <w:szCs w:val="24"/>
        </w:rPr>
        <w:t>PPI behandling</w:t>
      </w:r>
      <w:proofErr w:type="gramEnd"/>
      <w:r w:rsidRPr="00D44204">
        <w:rPr>
          <w:sz w:val="24"/>
          <w:szCs w:val="24"/>
        </w:rPr>
        <w:t xml:space="preserve"> og regelmæssigt under behandlingen hos patienter, der forventes at være i langvarig behandling eller tager </w:t>
      </w:r>
      <w:proofErr w:type="spellStart"/>
      <w:r w:rsidRPr="00D44204">
        <w:rPr>
          <w:sz w:val="24"/>
          <w:szCs w:val="24"/>
        </w:rPr>
        <w:t>PPI’er</w:t>
      </w:r>
      <w:proofErr w:type="spellEnd"/>
      <w:r w:rsidRPr="00D44204">
        <w:rPr>
          <w:sz w:val="24"/>
          <w:szCs w:val="24"/>
        </w:rPr>
        <w:t xml:space="preserve"> samtidigt med </w:t>
      </w:r>
      <w:proofErr w:type="spellStart"/>
      <w:r w:rsidRPr="00D44204">
        <w:rPr>
          <w:sz w:val="24"/>
          <w:szCs w:val="24"/>
        </w:rPr>
        <w:t>digoxin</w:t>
      </w:r>
      <w:proofErr w:type="spellEnd"/>
      <w:r w:rsidRPr="00D44204">
        <w:rPr>
          <w:sz w:val="24"/>
          <w:szCs w:val="24"/>
        </w:rPr>
        <w:t xml:space="preserve"> eller andre lægemidler, der kan forårsage </w:t>
      </w:r>
      <w:proofErr w:type="spellStart"/>
      <w:r w:rsidRPr="00D44204">
        <w:rPr>
          <w:sz w:val="24"/>
          <w:szCs w:val="24"/>
        </w:rPr>
        <w:t>hypomagnesiæmi</w:t>
      </w:r>
      <w:proofErr w:type="spellEnd"/>
      <w:r w:rsidRPr="00D44204">
        <w:rPr>
          <w:sz w:val="24"/>
          <w:szCs w:val="24"/>
        </w:rPr>
        <w:t xml:space="preserve"> (</w:t>
      </w:r>
      <w:r w:rsidR="00300098">
        <w:rPr>
          <w:sz w:val="24"/>
          <w:szCs w:val="24"/>
        </w:rPr>
        <w:t>f.eks.</w:t>
      </w:r>
      <w:r w:rsidRPr="00D44204">
        <w:rPr>
          <w:sz w:val="24"/>
          <w:szCs w:val="24"/>
        </w:rPr>
        <w:t xml:space="preserve"> </w:t>
      </w:r>
      <w:proofErr w:type="spellStart"/>
      <w:r w:rsidRPr="00D44204">
        <w:rPr>
          <w:sz w:val="24"/>
          <w:szCs w:val="24"/>
        </w:rPr>
        <w:t>diuretika</w:t>
      </w:r>
      <w:proofErr w:type="spellEnd"/>
      <w:r w:rsidRPr="00D44204">
        <w:rPr>
          <w:sz w:val="24"/>
          <w:szCs w:val="24"/>
        </w:rPr>
        <w:t>).</w:t>
      </w:r>
    </w:p>
    <w:p w:rsidR="00300098" w:rsidRDefault="00300098">
      <w:pPr>
        <w:rPr>
          <w:i/>
          <w:sz w:val="24"/>
          <w:szCs w:val="24"/>
        </w:rPr>
      </w:pPr>
      <w:r>
        <w:rPr>
          <w:i/>
          <w:sz w:val="24"/>
          <w:szCs w:val="24"/>
        </w:rPr>
        <w:br w:type="page"/>
      </w:r>
    </w:p>
    <w:p w:rsidR="00A171C9" w:rsidRPr="00D44204" w:rsidRDefault="00A171C9" w:rsidP="00A171C9">
      <w:pPr>
        <w:ind w:left="851"/>
        <w:rPr>
          <w:i/>
          <w:sz w:val="24"/>
          <w:szCs w:val="24"/>
        </w:rPr>
      </w:pPr>
    </w:p>
    <w:p w:rsidR="00A171C9" w:rsidRPr="00D44204" w:rsidRDefault="00A171C9" w:rsidP="00A171C9">
      <w:pPr>
        <w:ind w:left="851"/>
        <w:rPr>
          <w:i/>
          <w:sz w:val="24"/>
          <w:szCs w:val="24"/>
        </w:rPr>
      </w:pPr>
      <w:r w:rsidRPr="00D44204">
        <w:rPr>
          <w:i/>
          <w:sz w:val="24"/>
          <w:szCs w:val="24"/>
        </w:rPr>
        <w:t xml:space="preserve">Knoglefrakturer </w:t>
      </w:r>
    </w:p>
    <w:p w:rsidR="00A171C9" w:rsidRDefault="00A171C9" w:rsidP="00A171C9">
      <w:pPr>
        <w:ind w:left="851"/>
        <w:rPr>
          <w:sz w:val="24"/>
          <w:szCs w:val="24"/>
        </w:rPr>
      </w:pPr>
      <w:proofErr w:type="spellStart"/>
      <w:r w:rsidRPr="00D44204">
        <w:rPr>
          <w:sz w:val="24"/>
          <w:szCs w:val="24"/>
        </w:rPr>
        <w:t>Protonpumpehæmmere</w:t>
      </w:r>
      <w:proofErr w:type="spellEnd"/>
      <w:r w:rsidRPr="00D44204">
        <w:rPr>
          <w:sz w:val="24"/>
          <w:szCs w:val="24"/>
        </w:rPr>
        <w:t xml:space="preserve"> kan øge risikoen for hofte-, håndleds-, og rygfrakturer beskedent, hovedsageligt hos ældre eller ved tilstedeværelse af andre kendte risikofaktorer især hvis det bruges i høje doser og over lange behandlingsperioder (&gt;1 år). Observationsstudier antyder, at </w:t>
      </w:r>
      <w:proofErr w:type="spellStart"/>
      <w:r w:rsidRPr="00D44204">
        <w:rPr>
          <w:sz w:val="24"/>
          <w:szCs w:val="24"/>
        </w:rPr>
        <w:t>protonpumpehæmmere</w:t>
      </w:r>
      <w:proofErr w:type="spellEnd"/>
      <w:r w:rsidRPr="00D44204">
        <w:rPr>
          <w:sz w:val="24"/>
          <w:szCs w:val="24"/>
        </w:rPr>
        <w:t xml:space="preserve"> kan øge den overordnede risiko for fraktur med 10-40</w:t>
      </w:r>
      <w:r w:rsidR="00300098">
        <w:rPr>
          <w:sz w:val="24"/>
          <w:szCs w:val="24"/>
        </w:rPr>
        <w:t xml:space="preserve"> %</w:t>
      </w:r>
      <w:r w:rsidRPr="00D44204">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A82F54" w:rsidRDefault="00A82F54" w:rsidP="00A171C9">
      <w:pPr>
        <w:ind w:left="851"/>
        <w:rPr>
          <w:sz w:val="24"/>
          <w:szCs w:val="24"/>
        </w:rPr>
      </w:pPr>
    </w:p>
    <w:p w:rsidR="00A82F54" w:rsidRPr="00A82F54" w:rsidRDefault="00A82F54" w:rsidP="00A82F54">
      <w:pPr>
        <w:ind w:left="851"/>
        <w:rPr>
          <w:i/>
          <w:iCs/>
          <w:sz w:val="24"/>
          <w:szCs w:val="24"/>
        </w:rPr>
      </w:pPr>
      <w:r w:rsidRPr="00A82F54">
        <w:rPr>
          <w:i/>
          <w:iCs/>
          <w:sz w:val="24"/>
          <w:szCs w:val="24"/>
        </w:rPr>
        <w:t xml:space="preserve">Alvorlige </w:t>
      </w:r>
      <w:proofErr w:type="spellStart"/>
      <w:r w:rsidRPr="00A82F54">
        <w:rPr>
          <w:i/>
          <w:iCs/>
          <w:sz w:val="24"/>
          <w:szCs w:val="24"/>
        </w:rPr>
        <w:t>kutane</w:t>
      </w:r>
      <w:proofErr w:type="spellEnd"/>
      <w:r w:rsidRPr="00A82F54">
        <w:rPr>
          <w:i/>
          <w:iCs/>
          <w:sz w:val="24"/>
          <w:szCs w:val="24"/>
        </w:rPr>
        <w:t xml:space="preserve"> bivirkninger (SCAR)</w:t>
      </w:r>
    </w:p>
    <w:p w:rsidR="00A82F54" w:rsidRDefault="00A82F54" w:rsidP="00A82F54">
      <w:pPr>
        <w:ind w:left="851"/>
        <w:rPr>
          <w:sz w:val="24"/>
          <w:szCs w:val="24"/>
        </w:rPr>
      </w:pPr>
      <w:r>
        <w:rPr>
          <w:sz w:val="24"/>
          <w:szCs w:val="24"/>
        </w:rPr>
        <w:t xml:space="preserve">Tilfælde af alvorlige </w:t>
      </w:r>
      <w:proofErr w:type="spellStart"/>
      <w:r>
        <w:rPr>
          <w:sz w:val="24"/>
          <w:szCs w:val="24"/>
        </w:rPr>
        <w:t>kutane</w:t>
      </w:r>
      <w:proofErr w:type="spellEnd"/>
      <w:r>
        <w:rPr>
          <w:sz w:val="24"/>
          <w:szCs w:val="24"/>
        </w:rPr>
        <w:t xml:space="preserve"> bivirkninger (SCAR) herunder </w:t>
      </w:r>
      <w:proofErr w:type="spellStart"/>
      <w:r>
        <w:rPr>
          <w:sz w:val="24"/>
          <w:szCs w:val="24"/>
        </w:rPr>
        <w:t>erythema</w:t>
      </w:r>
      <w:proofErr w:type="spellEnd"/>
      <w:r>
        <w:rPr>
          <w:sz w:val="24"/>
          <w:szCs w:val="24"/>
        </w:rPr>
        <w:t xml:space="preserve"> multiforme,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lægemiddelrelateret reaktion med </w:t>
      </w:r>
      <w:proofErr w:type="spellStart"/>
      <w:r>
        <w:rPr>
          <w:sz w:val="24"/>
          <w:szCs w:val="24"/>
        </w:rPr>
        <w:t>eosinofili</w:t>
      </w:r>
      <w:proofErr w:type="spellEnd"/>
      <w:r>
        <w:rPr>
          <w:sz w:val="24"/>
          <w:szCs w:val="24"/>
        </w:rPr>
        <w:t xml:space="preserve"> og systemiske symptomer (DRESS), som kan være livstruende eller dødelig, er rapporteret i forbindelse med </w:t>
      </w:r>
      <w:proofErr w:type="spellStart"/>
      <w:r>
        <w:rPr>
          <w:sz w:val="24"/>
          <w:szCs w:val="24"/>
        </w:rPr>
        <w:t>pantoprazol</w:t>
      </w:r>
      <w:proofErr w:type="spellEnd"/>
      <w:r>
        <w:rPr>
          <w:sz w:val="24"/>
          <w:szCs w:val="24"/>
        </w:rPr>
        <w:t xml:space="preserve"> med hyppigheden ikke kendt (se pkt. 4.8).</w:t>
      </w:r>
    </w:p>
    <w:p w:rsidR="00A82F54" w:rsidRDefault="00A82F54" w:rsidP="00A82F54">
      <w:pPr>
        <w:ind w:left="851"/>
        <w:rPr>
          <w:sz w:val="24"/>
          <w:szCs w:val="24"/>
        </w:rPr>
      </w:pPr>
      <w:r>
        <w:rPr>
          <w:sz w:val="24"/>
          <w:szCs w:val="24"/>
        </w:rPr>
        <w:t xml:space="preserve">Patienten skal informeres om tegn og symptomer og monitoreres nøje for hudreaktioner. Hvis der opstår tegn og symptomer på disse reaktioner, skal </w:t>
      </w:r>
      <w:proofErr w:type="spellStart"/>
      <w:r>
        <w:rPr>
          <w:sz w:val="24"/>
          <w:szCs w:val="24"/>
        </w:rPr>
        <w:t>pantoprazol</w:t>
      </w:r>
      <w:proofErr w:type="spellEnd"/>
      <w:r>
        <w:rPr>
          <w:sz w:val="24"/>
          <w:szCs w:val="24"/>
        </w:rPr>
        <w:t xml:space="preserve"> seponeres med det samme og en alternativ behandling overvejes.</w:t>
      </w:r>
    </w:p>
    <w:p w:rsidR="00A171C9" w:rsidRPr="00D44204" w:rsidRDefault="00A171C9" w:rsidP="00A171C9">
      <w:pPr>
        <w:tabs>
          <w:tab w:val="left" w:pos="851"/>
        </w:tabs>
        <w:ind w:left="851" w:hanging="851"/>
        <w:rPr>
          <w:sz w:val="24"/>
          <w:szCs w:val="24"/>
        </w:rPr>
      </w:pPr>
    </w:p>
    <w:p w:rsidR="00A171C9" w:rsidRPr="00505145" w:rsidRDefault="00A171C9" w:rsidP="00A171C9">
      <w:pPr>
        <w:ind w:left="851"/>
        <w:rPr>
          <w:i/>
          <w:sz w:val="24"/>
          <w:szCs w:val="24"/>
        </w:rPr>
      </w:pPr>
      <w:proofErr w:type="spellStart"/>
      <w:r w:rsidRPr="00505145">
        <w:rPr>
          <w:i/>
          <w:sz w:val="24"/>
          <w:szCs w:val="24"/>
        </w:rPr>
        <w:t>Subakut</w:t>
      </w:r>
      <w:proofErr w:type="spellEnd"/>
      <w:r w:rsidRPr="00505145">
        <w:rPr>
          <w:i/>
          <w:sz w:val="24"/>
          <w:szCs w:val="24"/>
        </w:rPr>
        <w:t xml:space="preserve"> </w:t>
      </w:r>
      <w:proofErr w:type="spellStart"/>
      <w:r w:rsidRPr="00505145">
        <w:rPr>
          <w:i/>
          <w:sz w:val="24"/>
          <w:szCs w:val="24"/>
        </w:rPr>
        <w:t>kutan</w:t>
      </w:r>
      <w:proofErr w:type="spellEnd"/>
      <w:r w:rsidRPr="00505145">
        <w:rPr>
          <w:i/>
          <w:sz w:val="24"/>
          <w:szCs w:val="24"/>
        </w:rPr>
        <w:t xml:space="preserve"> lupus </w:t>
      </w:r>
      <w:proofErr w:type="spellStart"/>
      <w:r w:rsidRPr="00505145">
        <w:rPr>
          <w:i/>
          <w:sz w:val="24"/>
          <w:szCs w:val="24"/>
        </w:rPr>
        <w:t>erythematosus</w:t>
      </w:r>
      <w:proofErr w:type="spellEnd"/>
      <w:r w:rsidRPr="00505145">
        <w:rPr>
          <w:i/>
          <w:sz w:val="24"/>
          <w:szCs w:val="24"/>
        </w:rPr>
        <w:t xml:space="preserve"> (SCLE)</w:t>
      </w:r>
    </w:p>
    <w:p w:rsidR="00A171C9" w:rsidRPr="00D44204" w:rsidRDefault="00A171C9" w:rsidP="00A171C9">
      <w:pPr>
        <w:ind w:left="851"/>
        <w:rPr>
          <w:sz w:val="24"/>
          <w:szCs w:val="24"/>
        </w:rPr>
      </w:pPr>
      <w:proofErr w:type="spellStart"/>
      <w:r w:rsidRPr="00D44204">
        <w:rPr>
          <w:sz w:val="24"/>
          <w:szCs w:val="24"/>
        </w:rPr>
        <w:t>Protonpumpehæmmere</w:t>
      </w:r>
      <w:proofErr w:type="spellEnd"/>
      <w:r w:rsidRPr="00D44204">
        <w:rPr>
          <w:sz w:val="24"/>
          <w:szCs w:val="24"/>
        </w:rPr>
        <w:t xml:space="preserve"> er forbundet med meget sjældne tilfælde af SCLE. Hvis sådanne hudreaktioner optræder, navnlig på hudområder udsat for sol, og er ledsaget af </w:t>
      </w:r>
      <w:proofErr w:type="spellStart"/>
      <w:r w:rsidRPr="00D44204">
        <w:rPr>
          <w:sz w:val="24"/>
          <w:szCs w:val="24"/>
        </w:rPr>
        <w:t>artralgi</w:t>
      </w:r>
      <w:proofErr w:type="spellEnd"/>
      <w:r w:rsidRPr="00D44204">
        <w:rPr>
          <w:sz w:val="24"/>
          <w:szCs w:val="24"/>
        </w:rPr>
        <w:t xml:space="preserve">, bør patienten straks søge læge, og lægen bør overveje at seponere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SCLE efter tidligere behandling med en protonpumpehæmmer kan øge risikoen for SCLE med andre </w:t>
      </w:r>
      <w:proofErr w:type="spellStart"/>
      <w:r w:rsidRPr="00D44204">
        <w:rPr>
          <w:sz w:val="24"/>
          <w:szCs w:val="24"/>
        </w:rPr>
        <w:t>protonpumpehæmmere</w:t>
      </w:r>
      <w:proofErr w:type="spellEnd"/>
      <w:r w:rsidRPr="00D44204">
        <w:rPr>
          <w:sz w:val="24"/>
          <w:szCs w:val="24"/>
        </w:rPr>
        <w:t>.</w:t>
      </w:r>
    </w:p>
    <w:p w:rsidR="00A171C9" w:rsidRPr="00D44204" w:rsidRDefault="00A171C9" w:rsidP="00A171C9">
      <w:pPr>
        <w:ind w:left="851"/>
        <w:rPr>
          <w:sz w:val="24"/>
          <w:szCs w:val="24"/>
        </w:rPr>
      </w:pPr>
    </w:p>
    <w:p w:rsidR="00A403E8" w:rsidRPr="00D44204" w:rsidRDefault="00A403E8" w:rsidP="00A403E8">
      <w:pPr>
        <w:ind w:left="851"/>
        <w:rPr>
          <w:i/>
          <w:sz w:val="24"/>
          <w:szCs w:val="24"/>
        </w:rPr>
      </w:pPr>
      <w:r w:rsidRPr="00D44204">
        <w:rPr>
          <w:i/>
          <w:sz w:val="24"/>
          <w:szCs w:val="24"/>
        </w:rPr>
        <w:t xml:space="preserve">Interferens med laboratorieprøver </w:t>
      </w:r>
    </w:p>
    <w:p w:rsidR="00A403E8" w:rsidRPr="00D44204" w:rsidRDefault="00A403E8" w:rsidP="00A403E8">
      <w:pPr>
        <w:ind w:left="851"/>
        <w:rPr>
          <w:sz w:val="24"/>
          <w:szCs w:val="24"/>
        </w:rPr>
      </w:pPr>
      <w:r w:rsidRPr="00D44204">
        <w:rPr>
          <w:sz w:val="24"/>
          <w:szCs w:val="24"/>
        </w:rPr>
        <w:t xml:space="preserve">Forhøjet </w:t>
      </w:r>
      <w:proofErr w:type="spellStart"/>
      <w:r w:rsidRPr="00D44204">
        <w:rPr>
          <w:sz w:val="24"/>
          <w:szCs w:val="24"/>
        </w:rPr>
        <w:t>chromogranin</w:t>
      </w:r>
      <w:proofErr w:type="spellEnd"/>
      <w:r w:rsidRPr="00D44204">
        <w:rPr>
          <w:sz w:val="24"/>
          <w:szCs w:val="24"/>
        </w:rPr>
        <w:t xml:space="preserve"> A (</w:t>
      </w:r>
      <w:proofErr w:type="spellStart"/>
      <w:r w:rsidRPr="00D44204">
        <w:rPr>
          <w:sz w:val="24"/>
          <w:szCs w:val="24"/>
        </w:rPr>
        <w:t>CgA</w:t>
      </w:r>
      <w:proofErr w:type="spellEnd"/>
      <w:r w:rsidRPr="00D44204">
        <w:rPr>
          <w:sz w:val="24"/>
          <w:szCs w:val="24"/>
        </w:rPr>
        <w:t xml:space="preserve">) kan interferere med undersøgelser for </w:t>
      </w:r>
      <w:proofErr w:type="spellStart"/>
      <w:r w:rsidRPr="00D44204">
        <w:rPr>
          <w:sz w:val="24"/>
          <w:szCs w:val="24"/>
        </w:rPr>
        <w:t>neuroendokrine</w:t>
      </w:r>
      <w:proofErr w:type="spellEnd"/>
      <w:r w:rsidRPr="00D44204">
        <w:rPr>
          <w:sz w:val="24"/>
          <w:szCs w:val="24"/>
        </w:rPr>
        <w:t xml:space="preserve"> tumorer. For at undgå denne interferens bør </w:t>
      </w:r>
      <w:proofErr w:type="spellStart"/>
      <w:r w:rsidRPr="00D44204">
        <w:rPr>
          <w:sz w:val="24"/>
          <w:szCs w:val="24"/>
        </w:rPr>
        <w:t>Pantoprazol</w:t>
      </w:r>
      <w:proofErr w:type="spellEnd"/>
      <w:r w:rsidRPr="00D44204">
        <w:rPr>
          <w:sz w:val="24"/>
          <w:szCs w:val="24"/>
        </w:rPr>
        <w:t xml:space="preserve"> </w:t>
      </w:r>
      <w:r w:rsidR="00300098">
        <w:rPr>
          <w:sz w:val="24"/>
          <w:szCs w:val="24"/>
        </w:rPr>
        <w:t>"</w:t>
      </w:r>
      <w:r w:rsidRPr="00D44204">
        <w:rPr>
          <w:sz w:val="24"/>
          <w:szCs w:val="24"/>
        </w:rPr>
        <w:t>KRKA</w:t>
      </w:r>
      <w:r w:rsidR="00300098">
        <w:rPr>
          <w:sz w:val="24"/>
          <w:szCs w:val="24"/>
        </w:rPr>
        <w:t>"</w:t>
      </w:r>
      <w:r w:rsidRPr="00D44204">
        <w:rPr>
          <w:sz w:val="24"/>
          <w:szCs w:val="24"/>
        </w:rPr>
        <w:t xml:space="preserve"> seponeres mindst 5 dage inden måling af </w:t>
      </w:r>
      <w:proofErr w:type="spellStart"/>
      <w:r w:rsidRPr="00D44204">
        <w:rPr>
          <w:sz w:val="24"/>
          <w:szCs w:val="24"/>
        </w:rPr>
        <w:t>CgA</w:t>
      </w:r>
      <w:proofErr w:type="spellEnd"/>
      <w:r w:rsidRPr="00D44204">
        <w:rPr>
          <w:sz w:val="24"/>
          <w:szCs w:val="24"/>
        </w:rPr>
        <w:t xml:space="preserve"> (se pkt. 5.1). Hvis indholdet af </w:t>
      </w:r>
      <w:proofErr w:type="spellStart"/>
      <w:r w:rsidRPr="00D44204">
        <w:rPr>
          <w:sz w:val="24"/>
          <w:szCs w:val="24"/>
        </w:rPr>
        <w:t>CgA</w:t>
      </w:r>
      <w:proofErr w:type="spellEnd"/>
      <w:r w:rsidRPr="00D44204">
        <w:rPr>
          <w:sz w:val="24"/>
          <w:szCs w:val="24"/>
        </w:rPr>
        <w:t xml:space="preserve"> og gastrin ikke er returneret til referenceområdet ved den første måling, bør målingen gentages 14 dage efter </w:t>
      </w:r>
      <w:proofErr w:type="spellStart"/>
      <w:r w:rsidRPr="00D44204">
        <w:rPr>
          <w:sz w:val="24"/>
          <w:szCs w:val="24"/>
        </w:rPr>
        <w:t>seponering</w:t>
      </w:r>
      <w:proofErr w:type="spellEnd"/>
      <w:r w:rsidRPr="00D44204">
        <w:rPr>
          <w:sz w:val="24"/>
          <w:szCs w:val="24"/>
        </w:rPr>
        <w:t xml:space="preserve"> af protonpumpehæmmeren.</w:t>
      </w:r>
    </w:p>
    <w:p w:rsidR="00A403E8" w:rsidRPr="00D44204" w:rsidRDefault="00A403E8" w:rsidP="00A403E8">
      <w:pPr>
        <w:tabs>
          <w:tab w:val="left" w:pos="851"/>
        </w:tabs>
        <w:ind w:left="851" w:hanging="851"/>
        <w:rPr>
          <w:sz w:val="24"/>
          <w:szCs w:val="24"/>
        </w:rPr>
      </w:pPr>
    </w:p>
    <w:p w:rsidR="00A403E8" w:rsidRPr="00D44204" w:rsidRDefault="00A403E8" w:rsidP="00A403E8">
      <w:pPr>
        <w:ind w:left="851"/>
        <w:rPr>
          <w:noProof/>
          <w:sz w:val="24"/>
          <w:szCs w:val="24"/>
        </w:rPr>
      </w:pPr>
      <w:r w:rsidRPr="00D44204">
        <w:rPr>
          <w:i/>
          <w:noProof/>
          <w:sz w:val="24"/>
          <w:szCs w:val="24"/>
        </w:rPr>
        <w:t xml:space="preserve">Pantoprazol </w:t>
      </w:r>
      <w:r w:rsidR="00300098">
        <w:rPr>
          <w:i/>
          <w:noProof/>
          <w:sz w:val="24"/>
          <w:szCs w:val="24"/>
        </w:rPr>
        <w:t>"</w:t>
      </w:r>
      <w:r w:rsidRPr="00D44204">
        <w:rPr>
          <w:i/>
          <w:noProof/>
          <w:sz w:val="24"/>
          <w:szCs w:val="24"/>
        </w:rPr>
        <w:t>KRKA</w:t>
      </w:r>
      <w:r w:rsidR="00300098">
        <w:rPr>
          <w:i/>
          <w:noProof/>
          <w:sz w:val="24"/>
          <w:szCs w:val="24"/>
        </w:rPr>
        <w:t>"</w:t>
      </w:r>
      <w:r w:rsidRPr="00D44204">
        <w:rPr>
          <w:i/>
          <w:noProof/>
          <w:sz w:val="24"/>
          <w:szCs w:val="24"/>
        </w:rPr>
        <w:t xml:space="preserve"> indeholder sorbitol og natrium</w:t>
      </w:r>
    </w:p>
    <w:p w:rsidR="00A403E8" w:rsidRPr="00D44204" w:rsidRDefault="00A403E8" w:rsidP="00A403E8">
      <w:pPr>
        <w:ind w:left="851"/>
        <w:rPr>
          <w:noProof/>
          <w:sz w:val="24"/>
          <w:szCs w:val="24"/>
        </w:rPr>
      </w:pPr>
      <w:r w:rsidRPr="00D44204">
        <w:rPr>
          <w:noProof/>
          <w:sz w:val="24"/>
          <w:szCs w:val="24"/>
        </w:rPr>
        <w:t>Dette lægemiddel indeholder 36 mg sorbitol pr. tablet.</w:t>
      </w:r>
    </w:p>
    <w:p w:rsidR="00A403E8" w:rsidRPr="00D44204" w:rsidRDefault="00A403E8" w:rsidP="00A403E8">
      <w:pPr>
        <w:ind w:left="851"/>
        <w:rPr>
          <w:noProof/>
          <w:sz w:val="24"/>
          <w:szCs w:val="24"/>
        </w:rPr>
      </w:pPr>
      <w:r w:rsidRPr="00D44204">
        <w:rPr>
          <w:noProof/>
          <w:sz w:val="24"/>
          <w:szCs w:val="24"/>
        </w:rPr>
        <w:t>Den additive virkning af samtidig administrerede produkter indeholdende sorbitol (eller fructose) og indtagelse af sorbitol (eller fructose) i kosten bør tages i betragtning.</w:t>
      </w:r>
    </w:p>
    <w:p w:rsidR="00A403E8" w:rsidRPr="00D44204" w:rsidRDefault="00A403E8" w:rsidP="00A403E8">
      <w:pPr>
        <w:ind w:left="851"/>
        <w:rPr>
          <w:noProof/>
          <w:sz w:val="24"/>
          <w:szCs w:val="24"/>
        </w:rPr>
      </w:pPr>
      <w:r w:rsidRPr="00D44204">
        <w:rPr>
          <w:noProof/>
          <w:sz w:val="24"/>
          <w:szCs w:val="24"/>
        </w:rPr>
        <w:t>Indholdet af sorbitol i lægemidler til oral brug kan påvirke biotilgængeligheden af andre lægemidler til oral brug hvis indgivet samtidig.</w:t>
      </w:r>
    </w:p>
    <w:p w:rsidR="00A403E8" w:rsidRPr="00D44204" w:rsidRDefault="00A403E8" w:rsidP="00A403E8">
      <w:pPr>
        <w:ind w:left="851"/>
        <w:rPr>
          <w:noProof/>
          <w:sz w:val="24"/>
          <w:szCs w:val="24"/>
        </w:rPr>
      </w:pPr>
    </w:p>
    <w:p w:rsidR="00A403E8" w:rsidRPr="00D44204" w:rsidRDefault="00A403E8" w:rsidP="00A403E8">
      <w:pPr>
        <w:tabs>
          <w:tab w:val="left" w:pos="851"/>
        </w:tabs>
        <w:ind w:left="851"/>
        <w:rPr>
          <w:noProof/>
          <w:sz w:val="24"/>
          <w:szCs w:val="24"/>
        </w:rPr>
      </w:pPr>
      <w:r w:rsidRPr="00D44204">
        <w:rPr>
          <w:noProof/>
          <w:sz w:val="24"/>
          <w:szCs w:val="24"/>
        </w:rPr>
        <w:t>Dette lægemiddel indeholder mindre end 1 mmol (23 mg) natrium pr. tablet, dvs. den er i det væsentlige natriumfri.</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4.5</w:t>
      </w:r>
      <w:r w:rsidRPr="00D44204">
        <w:rPr>
          <w:b/>
          <w:sz w:val="24"/>
          <w:szCs w:val="24"/>
        </w:rPr>
        <w:tab/>
        <w:t>Interaktion med andre lægemidler og andre former for interaktion</w:t>
      </w:r>
    </w:p>
    <w:p w:rsidR="00E77D9E" w:rsidRPr="00D44204" w:rsidRDefault="00E77D9E" w:rsidP="00A171C9">
      <w:pPr>
        <w:tabs>
          <w:tab w:val="left" w:pos="851"/>
        </w:tabs>
        <w:rPr>
          <w:sz w:val="24"/>
          <w:szCs w:val="24"/>
        </w:rPr>
      </w:pPr>
    </w:p>
    <w:p w:rsidR="00A171C9" w:rsidRPr="00D44204" w:rsidRDefault="00A171C9" w:rsidP="00A171C9">
      <w:pPr>
        <w:tabs>
          <w:tab w:val="left" w:pos="851"/>
        </w:tabs>
        <w:rPr>
          <w:sz w:val="24"/>
          <w:szCs w:val="24"/>
          <w:u w:val="single"/>
        </w:rPr>
      </w:pPr>
      <w:r w:rsidRPr="00D44204">
        <w:rPr>
          <w:sz w:val="24"/>
          <w:szCs w:val="24"/>
        </w:rPr>
        <w:tab/>
      </w:r>
      <w:r w:rsidRPr="00D44204">
        <w:rPr>
          <w:i/>
          <w:sz w:val="24"/>
          <w:szCs w:val="24"/>
          <w:u w:val="single"/>
        </w:rPr>
        <w:t>Lægemidler med pH-afhængig absorptionsfarmakokinetik</w:t>
      </w:r>
    </w:p>
    <w:p w:rsidR="00A171C9" w:rsidRPr="00D44204" w:rsidRDefault="00A171C9" w:rsidP="00A171C9">
      <w:pPr>
        <w:ind w:left="851"/>
        <w:rPr>
          <w:noProof/>
          <w:sz w:val="24"/>
          <w:szCs w:val="24"/>
        </w:rPr>
      </w:pPr>
      <w:r w:rsidRPr="00D44204">
        <w:rPr>
          <w:noProof/>
          <w:sz w:val="24"/>
          <w:szCs w:val="24"/>
        </w:rPr>
        <w:t>På grund af den markante og langvarige hæmming af mavesyresekretionen, kan pantoprazol påvirke absorptionen af andre lægemidler, hvor biotilgængelighed er afhængig af gastrisk pH. Dette gælder f.eks. nogle azol-svampemidler, som ketoconazol, itraconazol, posaconazol og anden medicin som erlotinib.</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i/>
          <w:noProof/>
          <w:sz w:val="24"/>
          <w:szCs w:val="24"/>
          <w:u w:val="single"/>
        </w:rPr>
        <w:t>HIV protease-hæmmere</w:t>
      </w:r>
    </w:p>
    <w:p w:rsidR="00A171C9" w:rsidRPr="00D44204" w:rsidRDefault="00A171C9" w:rsidP="00A171C9">
      <w:pPr>
        <w:ind w:left="851"/>
        <w:rPr>
          <w:sz w:val="24"/>
          <w:szCs w:val="24"/>
        </w:rPr>
      </w:pPr>
      <w:r w:rsidRPr="00D44204">
        <w:rPr>
          <w:sz w:val="24"/>
          <w:szCs w:val="24"/>
        </w:rPr>
        <w:t xml:space="preserve">Samtidig administration af HIV </w:t>
      </w:r>
      <w:proofErr w:type="spellStart"/>
      <w:r w:rsidRPr="00D44204">
        <w:rPr>
          <w:sz w:val="24"/>
          <w:szCs w:val="24"/>
        </w:rPr>
        <w:t>protease-hæmmere</w:t>
      </w:r>
      <w:proofErr w:type="spellEnd"/>
      <w:r w:rsidRPr="00D44204">
        <w:rPr>
          <w:sz w:val="24"/>
          <w:szCs w:val="24"/>
        </w:rPr>
        <w:t xml:space="preserve">, hvis absorption er afhængig af intragastrisk pH (som </w:t>
      </w:r>
      <w:proofErr w:type="spellStart"/>
      <w:r w:rsidRPr="00D44204">
        <w:rPr>
          <w:sz w:val="24"/>
          <w:szCs w:val="24"/>
        </w:rPr>
        <w:t>atazanavir</w:t>
      </w:r>
      <w:proofErr w:type="spellEnd"/>
      <w:r w:rsidRPr="00D44204">
        <w:rPr>
          <w:sz w:val="24"/>
          <w:szCs w:val="24"/>
        </w:rPr>
        <w:t xml:space="preserve">) og </w:t>
      </w:r>
      <w:proofErr w:type="spellStart"/>
      <w:r w:rsidRPr="00D44204">
        <w:rPr>
          <w:sz w:val="24"/>
          <w:szCs w:val="24"/>
        </w:rPr>
        <w:t>pantoprazol</w:t>
      </w:r>
      <w:proofErr w:type="spellEnd"/>
      <w:r w:rsidRPr="00D44204">
        <w:rPr>
          <w:sz w:val="24"/>
          <w:szCs w:val="24"/>
        </w:rPr>
        <w:t xml:space="preserve">, frarådes grundet en signifikant reduktion i disses biotilgængelighed (se pkt. 4.4). </w:t>
      </w:r>
    </w:p>
    <w:p w:rsidR="00A171C9" w:rsidRPr="00D44204" w:rsidRDefault="00A171C9" w:rsidP="00A171C9">
      <w:pPr>
        <w:ind w:left="851"/>
        <w:rPr>
          <w:sz w:val="24"/>
          <w:szCs w:val="24"/>
        </w:rPr>
      </w:pPr>
    </w:p>
    <w:p w:rsidR="00A171C9" w:rsidRPr="00D44204" w:rsidRDefault="00A171C9" w:rsidP="00A171C9">
      <w:pPr>
        <w:tabs>
          <w:tab w:val="left" w:pos="851"/>
        </w:tabs>
        <w:ind w:left="851" w:hanging="851"/>
        <w:rPr>
          <w:rStyle w:val="hps"/>
          <w:color w:val="222222"/>
          <w:sz w:val="24"/>
          <w:szCs w:val="24"/>
        </w:rPr>
      </w:pPr>
      <w:r w:rsidRPr="00D44204">
        <w:rPr>
          <w:rStyle w:val="hps"/>
          <w:color w:val="222222"/>
          <w:sz w:val="24"/>
          <w:szCs w:val="24"/>
        </w:rPr>
        <w:tab/>
        <w:t>Hvis kombinationen</w:t>
      </w:r>
      <w:r w:rsidRPr="00D44204">
        <w:rPr>
          <w:color w:val="222222"/>
          <w:sz w:val="24"/>
          <w:szCs w:val="24"/>
        </w:rPr>
        <w:t xml:space="preserve"> </w:t>
      </w:r>
      <w:r w:rsidRPr="00D44204">
        <w:rPr>
          <w:rStyle w:val="hps"/>
          <w:color w:val="222222"/>
          <w:sz w:val="24"/>
          <w:szCs w:val="24"/>
        </w:rPr>
        <w:t>af HIV</w:t>
      </w:r>
      <w:r w:rsidRPr="00D44204">
        <w:rPr>
          <w:color w:val="222222"/>
          <w:sz w:val="24"/>
          <w:szCs w:val="24"/>
        </w:rPr>
        <w:t xml:space="preserve"> </w:t>
      </w:r>
      <w:proofErr w:type="spellStart"/>
      <w:r w:rsidRPr="00D44204">
        <w:rPr>
          <w:rStyle w:val="hps"/>
          <w:color w:val="222222"/>
          <w:sz w:val="24"/>
          <w:szCs w:val="24"/>
        </w:rPr>
        <w:t>protease-hæmmere</w:t>
      </w:r>
      <w:proofErr w:type="spellEnd"/>
      <w:r w:rsidRPr="00D44204">
        <w:rPr>
          <w:color w:val="222222"/>
          <w:sz w:val="24"/>
          <w:szCs w:val="24"/>
        </w:rPr>
        <w:t xml:space="preserve"> og </w:t>
      </w:r>
      <w:r w:rsidRPr="00D44204">
        <w:rPr>
          <w:rStyle w:val="hps"/>
          <w:color w:val="222222"/>
          <w:sz w:val="24"/>
          <w:szCs w:val="24"/>
        </w:rPr>
        <w:t>en protonpumpehæmmer</w:t>
      </w:r>
      <w:r w:rsidRPr="00D44204">
        <w:rPr>
          <w:color w:val="222222"/>
          <w:sz w:val="24"/>
          <w:szCs w:val="24"/>
        </w:rPr>
        <w:t xml:space="preserve"> </w:t>
      </w:r>
      <w:r w:rsidRPr="00D44204">
        <w:rPr>
          <w:rStyle w:val="hps"/>
          <w:color w:val="222222"/>
          <w:sz w:val="24"/>
          <w:szCs w:val="24"/>
        </w:rPr>
        <w:t>vurderes at være uundgåelig</w:t>
      </w:r>
      <w:r w:rsidRPr="00D44204">
        <w:rPr>
          <w:color w:val="222222"/>
          <w:sz w:val="24"/>
          <w:szCs w:val="24"/>
        </w:rPr>
        <w:t xml:space="preserve">, </w:t>
      </w:r>
      <w:r w:rsidRPr="00D44204">
        <w:rPr>
          <w:rStyle w:val="hps"/>
          <w:color w:val="222222"/>
          <w:sz w:val="24"/>
          <w:szCs w:val="24"/>
        </w:rPr>
        <w:t>anbefales tæt klinisk</w:t>
      </w:r>
      <w:r w:rsidRPr="00D44204">
        <w:rPr>
          <w:color w:val="222222"/>
          <w:sz w:val="24"/>
          <w:szCs w:val="24"/>
        </w:rPr>
        <w:t xml:space="preserve"> </w:t>
      </w:r>
      <w:r w:rsidRPr="00D44204">
        <w:rPr>
          <w:rStyle w:val="hps"/>
          <w:color w:val="222222"/>
          <w:sz w:val="24"/>
          <w:szCs w:val="24"/>
        </w:rPr>
        <w:t>monitorering</w:t>
      </w:r>
      <w:r w:rsidRPr="00D44204">
        <w:rPr>
          <w:color w:val="222222"/>
          <w:sz w:val="24"/>
          <w:szCs w:val="24"/>
        </w:rPr>
        <w:t xml:space="preserve"> </w:t>
      </w:r>
      <w:r w:rsidRPr="00D44204">
        <w:rPr>
          <w:rStyle w:val="hps"/>
          <w:color w:val="222222"/>
          <w:sz w:val="24"/>
          <w:szCs w:val="24"/>
        </w:rPr>
        <w:t>(f.eks.</w:t>
      </w:r>
      <w:r w:rsidRPr="00D44204">
        <w:rPr>
          <w:color w:val="222222"/>
          <w:sz w:val="24"/>
          <w:szCs w:val="24"/>
        </w:rPr>
        <w:t xml:space="preserve"> </w:t>
      </w:r>
      <w:r w:rsidRPr="00D44204">
        <w:rPr>
          <w:rStyle w:val="hps"/>
          <w:sz w:val="24"/>
          <w:szCs w:val="24"/>
        </w:rPr>
        <w:t>virusbelastning</w:t>
      </w:r>
      <w:r w:rsidRPr="00D44204">
        <w:rPr>
          <w:sz w:val="24"/>
          <w:szCs w:val="24"/>
        </w:rPr>
        <w:t>).</w:t>
      </w:r>
      <w:r w:rsidRPr="00D44204">
        <w:rPr>
          <w:color w:val="222222"/>
          <w:sz w:val="24"/>
          <w:szCs w:val="24"/>
        </w:rPr>
        <w:t xml:space="preserve"> </w:t>
      </w:r>
      <w:r w:rsidRPr="00D44204">
        <w:rPr>
          <w:rStyle w:val="hps"/>
          <w:color w:val="222222"/>
          <w:sz w:val="24"/>
          <w:szCs w:val="24"/>
        </w:rPr>
        <w:t>En</w:t>
      </w:r>
      <w:r w:rsidRPr="00D44204">
        <w:rPr>
          <w:color w:val="222222"/>
          <w:sz w:val="24"/>
          <w:szCs w:val="24"/>
        </w:rPr>
        <w:t xml:space="preserve"> daglig </w:t>
      </w:r>
      <w:r w:rsidRPr="00D44204">
        <w:rPr>
          <w:rStyle w:val="hps"/>
          <w:color w:val="222222"/>
          <w:sz w:val="24"/>
          <w:szCs w:val="24"/>
        </w:rPr>
        <w:t xml:space="preserve">dosis </w:t>
      </w:r>
      <w:proofErr w:type="spellStart"/>
      <w:r w:rsidRPr="00D44204">
        <w:rPr>
          <w:rStyle w:val="hps"/>
          <w:color w:val="222222"/>
          <w:sz w:val="24"/>
          <w:szCs w:val="24"/>
        </w:rPr>
        <w:t>pantoprazol</w:t>
      </w:r>
      <w:proofErr w:type="spellEnd"/>
      <w:r w:rsidRPr="00D44204">
        <w:rPr>
          <w:rStyle w:val="hps"/>
          <w:color w:val="222222"/>
          <w:sz w:val="24"/>
          <w:szCs w:val="24"/>
        </w:rPr>
        <w:t xml:space="preserve"> på</w:t>
      </w:r>
      <w:r w:rsidRPr="00D44204">
        <w:rPr>
          <w:color w:val="222222"/>
          <w:sz w:val="24"/>
          <w:szCs w:val="24"/>
        </w:rPr>
        <w:t xml:space="preserve"> </w:t>
      </w:r>
      <w:r w:rsidRPr="00D44204">
        <w:rPr>
          <w:rStyle w:val="hps"/>
          <w:color w:val="222222"/>
          <w:sz w:val="24"/>
          <w:szCs w:val="24"/>
        </w:rPr>
        <w:t>20 mg bør ikke overskrides</w:t>
      </w:r>
      <w:r w:rsidRPr="00D44204">
        <w:rPr>
          <w:color w:val="222222"/>
          <w:sz w:val="24"/>
          <w:szCs w:val="24"/>
        </w:rPr>
        <w:t xml:space="preserve">. Det kan være nødvendigt at justere dosis </w:t>
      </w:r>
      <w:r w:rsidRPr="00D44204">
        <w:rPr>
          <w:rStyle w:val="hps"/>
          <w:color w:val="222222"/>
          <w:sz w:val="24"/>
          <w:szCs w:val="24"/>
        </w:rPr>
        <w:t>af</w:t>
      </w:r>
      <w:r w:rsidRPr="00D44204">
        <w:rPr>
          <w:color w:val="222222"/>
          <w:sz w:val="24"/>
          <w:szCs w:val="24"/>
        </w:rPr>
        <w:t xml:space="preserve"> </w:t>
      </w:r>
      <w:r w:rsidRPr="00D44204">
        <w:rPr>
          <w:rStyle w:val="hps"/>
          <w:color w:val="222222"/>
          <w:sz w:val="24"/>
          <w:szCs w:val="24"/>
        </w:rPr>
        <w:t xml:space="preserve">HIV </w:t>
      </w:r>
      <w:proofErr w:type="spellStart"/>
      <w:r w:rsidRPr="00D44204">
        <w:rPr>
          <w:rStyle w:val="hps"/>
          <w:color w:val="222222"/>
          <w:sz w:val="24"/>
          <w:szCs w:val="24"/>
        </w:rPr>
        <w:t>protease-hæmmeren</w:t>
      </w:r>
      <w:proofErr w:type="spellEnd"/>
      <w:r w:rsidRPr="00D44204">
        <w:rPr>
          <w:rStyle w:val="hps"/>
          <w:color w:val="222222"/>
          <w:sz w:val="24"/>
          <w:szCs w:val="24"/>
        </w:rPr>
        <w:t>.</w:t>
      </w:r>
    </w:p>
    <w:p w:rsidR="00A171C9" w:rsidRPr="00D44204" w:rsidRDefault="00A171C9" w:rsidP="00A171C9">
      <w:pPr>
        <w:tabs>
          <w:tab w:val="left" w:pos="851"/>
        </w:tabs>
        <w:ind w:left="851"/>
        <w:rPr>
          <w:sz w:val="24"/>
          <w:szCs w:val="24"/>
        </w:rPr>
      </w:pPr>
    </w:p>
    <w:p w:rsidR="00A171C9" w:rsidRPr="00505145" w:rsidRDefault="00A171C9" w:rsidP="00A171C9">
      <w:pPr>
        <w:tabs>
          <w:tab w:val="left" w:pos="851"/>
        </w:tabs>
        <w:ind w:left="851"/>
        <w:rPr>
          <w:sz w:val="24"/>
          <w:szCs w:val="24"/>
          <w:lang w:val="en-US"/>
        </w:rPr>
      </w:pPr>
      <w:proofErr w:type="spellStart"/>
      <w:r w:rsidRPr="00505145">
        <w:rPr>
          <w:i/>
          <w:sz w:val="24"/>
          <w:szCs w:val="24"/>
          <w:u w:val="single"/>
          <w:lang w:val="en-US"/>
        </w:rPr>
        <w:t>Coumarine</w:t>
      </w:r>
      <w:proofErr w:type="spellEnd"/>
      <w:r w:rsidRPr="00505145">
        <w:rPr>
          <w:i/>
          <w:sz w:val="24"/>
          <w:szCs w:val="24"/>
          <w:u w:val="single"/>
          <w:lang w:val="en-US"/>
        </w:rPr>
        <w:t xml:space="preserve"> </w:t>
      </w:r>
      <w:proofErr w:type="spellStart"/>
      <w:r w:rsidRPr="00505145">
        <w:rPr>
          <w:i/>
          <w:sz w:val="24"/>
          <w:szCs w:val="24"/>
          <w:u w:val="single"/>
          <w:lang w:val="en-US"/>
        </w:rPr>
        <w:t>antikoagulantia</w:t>
      </w:r>
      <w:proofErr w:type="spellEnd"/>
      <w:r w:rsidRPr="00505145">
        <w:rPr>
          <w:i/>
          <w:sz w:val="24"/>
          <w:szCs w:val="24"/>
          <w:u w:val="single"/>
          <w:lang w:val="en-US"/>
        </w:rPr>
        <w:t xml:space="preserve"> (</w:t>
      </w:r>
      <w:proofErr w:type="spellStart"/>
      <w:r w:rsidRPr="00505145">
        <w:rPr>
          <w:i/>
          <w:sz w:val="24"/>
          <w:szCs w:val="24"/>
          <w:u w:val="single"/>
          <w:lang w:val="en-US"/>
        </w:rPr>
        <w:t>phenprocoumon</w:t>
      </w:r>
      <w:proofErr w:type="spellEnd"/>
      <w:r w:rsidRPr="00505145">
        <w:rPr>
          <w:i/>
          <w:sz w:val="24"/>
          <w:szCs w:val="24"/>
          <w:u w:val="single"/>
          <w:lang w:val="en-US"/>
        </w:rPr>
        <w:t xml:space="preserve"> </w:t>
      </w:r>
      <w:proofErr w:type="spellStart"/>
      <w:r w:rsidRPr="00505145">
        <w:rPr>
          <w:i/>
          <w:sz w:val="24"/>
          <w:szCs w:val="24"/>
          <w:u w:val="single"/>
          <w:lang w:val="en-US"/>
        </w:rPr>
        <w:t>eller</w:t>
      </w:r>
      <w:proofErr w:type="spellEnd"/>
      <w:r w:rsidRPr="00505145">
        <w:rPr>
          <w:i/>
          <w:sz w:val="24"/>
          <w:szCs w:val="24"/>
          <w:u w:val="single"/>
          <w:lang w:val="en-US"/>
        </w:rPr>
        <w:t xml:space="preserve"> warfarin)</w:t>
      </w:r>
    </w:p>
    <w:p w:rsidR="00A171C9" w:rsidRPr="00D44204" w:rsidRDefault="00A171C9" w:rsidP="00A171C9">
      <w:pPr>
        <w:tabs>
          <w:tab w:val="left" w:pos="851"/>
        </w:tabs>
        <w:ind w:left="851"/>
        <w:rPr>
          <w:sz w:val="24"/>
          <w:szCs w:val="24"/>
        </w:rPr>
      </w:pPr>
      <w:r w:rsidRPr="00D44204">
        <w:rPr>
          <w:noProof/>
          <w:sz w:val="24"/>
          <w:szCs w:val="24"/>
        </w:rPr>
        <w:t>Samtidig administration af pantoprazol med warfarin eller phenprocoumon påvirkede ikke pharmakokinetikken af warfarin, phenprocoumon eller INR. Der har dog været rapporter om øget INR og protrombintid hos patienter, der modtog PPI og warfarin eller phenprocoumon samtidigt.</w:t>
      </w:r>
      <w:r w:rsidRPr="00D44204">
        <w:rPr>
          <w:color w:val="222222"/>
          <w:sz w:val="24"/>
          <w:szCs w:val="24"/>
        </w:rPr>
        <w:t xml:space="preserve"> </w:t>
      </w:r>
      <w:r w:rsidRPr="00D44204">
        <w:rPr>
          <w:rStyle w:val="hps"/>
          <w:color w:val="222222"/>
          <w:sz w:val="24"/>
          <w:szCs w:val="24"/>
        </w:rPr>
        <w:t>Stigninger i</w:t>
      </w:r>
      <w:r w:rsidRPr="00D44204">
        <w:rPr>
          <w:color w:val="222222"/>
          <w:sz w:val="24"/>
          <w:szCs w:val="24"/>
        </w:rPr>
        <w:t xml:space="preserve"> </w:t>
      </w:r>
      <w:r w:rsidRPr="00D44204">
        <w:rPr>
          <w:rStyle w:val="hps"/>
          <w:color w:val="222222"/>
          <w:sz w:val="24"/>
          <w:szCs w:val="24"/>
        </w:rPr>
        <w:t>INR</w:t>
      </w:r>
      <w:r w:rsidRPr="00D44204">
        <w:rPr>
          <w:color w:val="222222"/>
          <w:sz w:val="24"/>
          <w:szCs w:val="24"/>
        </w:rPr>
        <w:t xml:space="preserve"> </w:t>
      </w:r>
      <w:r w:rsidRPr="00D44204">
        <w:rPr>
          <w:rStyle w:val="hps"/>
          <w:color w:val="222222"/>
          <w:sz w:val="24"/>
          <w:szCs w:val="24"/>
        </w:rPr>
        <w:t>og</w:t>
      </w:r>
      <w:r w:rsidRPr="00D44204">
        <w:rPr>
          <w:color w:val="222222"/>
          <w:sz w:val="24"/>
          <w:szCs w:val="24"/>
        </w:rPr>
        <w:t xml:space="preserve"> </w:t>
      </w:r>
      <w:proofErr w:type="spellStart"/>
      <w:r w:rsidRPr="00D44204">
        <w:rPr>
          <w:rStyle w:val="hps"/>
          <w:color w:val="222222"/>
          <w:sz w:val="24"/>
          <w:szCs w:val="24"/>
        </w:rPr>
        <w:t>protrombintid</w:t>
      </w:r>
      <w:proofErr w:type="spellEnd"/>
      <w:r w:rsidRPr="00D44204">
        <w:rPr>
          <w:color w:val="222222"/>
          <w:sz w:val="24"/>
          <w:szCs w:val="24"/>
        </w:rPr>
        <w:t xml:space="preserve"> </w:t>
      </w:r>
      <w:r w:rsidRPr="00D44204">
        <w:rPr>
          <w:rStyle w:val="hps"/>
          <w:color w:val="222222"/>
          <w:sz w:val="24"/>
          <w:szCs w:val="24"/>
        </w:rPr>
        <w:t>kan føre til</w:t>
      </w:r>
      <w:r w:rsidRPr="00D44204">
        <w:rPr>
          <w:color w:val="222222"/>
          <w:sz w:val="24"/>
          <w:szCs w:val="24"/>
        </w:rPr>
        <w:t xml:space="preserve"> </w:t>
      </w:r>
      <w:r w:rsidRPr="00D44204">
        <w:rPr>
          <w:rStyle w:val="hps"/>
          <w:color w:val="222222"/>
          <w:sz w:val="24"/>
          <w:szCs w:val="24"/>
        </w:rPr>
        <w:t>unormal blødning</w:t>
      </w:r>
      <w:r w:rsidRPr="00D44204">
        <w:rPr>
          <w:color w:val="222222"/>
          <w:sz w:val="24"/>
          <w:szCs w:val="24"/>
        </w:rPr>
        <w:t xml:space="preserve">, </w:t>
      </w:r>
      <w:r w:rsidRPr="00D44204">
        <w:rPr>
          <w:rStyle w:val="hps"/>
          <w:color w:val="222222"/>
          <w:sz w:val="24"/>
          <w:szCs w:val="24"/>
        </w:rPr>
        <w:t>og endda død</w:t>
      </w:r>
      <w:r w:rsidRPr="00D44204">
        <w:rPr>
          <w:color w:val="222222"/>
          <w:sz w:val="24"/>
          <w:szCs w:val="24"/>
        </w:rPr>
        <w:t>. Hos p</w:t>
      </w:r>
      <w:r w:rsidRPr="00D44204">
        <w:rPr>
          <w:rStyle w:val="hps"/>
          <w:color w:val="222222"/>
          <w:sz w:val="24"/>
          <w:szCs w:val="24"/>
        </w:rPr>
        <w:t>atienter, der behandles med</w:t>
      </w:r>
      <w:r w:rsidRPr="00D44204">
        <w:rPr>
          <w:color w:val="222222"/>
          <w:sz w:val="24"/>
          <w:szCs w:val="24"/>
        </w:rPr>
        <w:t xml:space="preserve"> </w:t>
      </w:r>
      <w:proofErr w:type="spellStart"/>
      <w:r w:rsidRPr="00D44204">
        <w:rPr>
          <w:rStyle w:val="hps"/>
          <w:color w:val="222222"/>
          <w:sz w:val="24"/>
          <w:szCs w:val="24"/>
        </w:rPr>
        <w:t>pantoprazol</w:t>
      </w:r>
      <w:proofErr w:type="spellEnd"/>
      <w:r w:rsidRPr="00D44204">
        <w:rPr>
          <w:color w:val="222222"/>
          <w:sz w:val="24"/>
          <w:szCs w:val="24"/>
        </w:rPr>
        <w:t xml:space="preserve"> </w:t>
      </w:r>
      <w:r w:rsidRPr="00D44204">
        <w:rPr>
          <w:rStyle w:val="hps"/>
          <w:color w:val="222222"/>
          <w:sz w:val="24"/>
          <w:szCs w:val="24"/>
        </w:rPr>
        <w:t>og</w:t>
      </w:r>
      <w:r w:rsidRPr="00D44204">
        <w:rPr>
          <w:color w:val="222222"/>
          <w:sz w:val="24"/>
          <w:szCs w:val="24"/>
        </w:rPr>
        <w:t xml:space="preserve"> </w:t>
      </w:r>
      <w:proofErr w:type="spellStart"/>
      <w:r w:rsidRPr="00D44204">
        <w:rPr>
          <w:rStyle w:val="hps"/>
          <w:color w:val="222222"/>
          <w:sz w:val="24"/>
          <w:szCs w:val="24"/>
        </w:rPr>
        <w:t>warfarin</w:t>
      </w:r>
      <w:proofErr w:type="spellEnd"/>
      <w:r w:rsidRPr="00D44204">
        <w:rPr>
          <w:rStyle w:val="hps"/>
          <w:color w:val="222222"/>
          <w:sz w:val="24"/>
          <w:szCs w:val="24"/>
        </w:rPr>
        <w:t xml:space="preserve"> eller</w:t>
      </w:r>
      <w:r w:rsidRPr="00D44204">
        <w:rPr>
          <w:color w:val="222222"/>
          <w:sz w:val="24"/>
          <w:szCs w:val="24"/>
        </w:rPr>
        <w:t xml:space="preserve"> </w:t>
      </w:r>
      <w:proofErr w:type="spellStart"/>
      <w:r w:rsidRPr="00D44204">
        <w:rPr>
          <w:rStyle w:val="hps"/>
          <w:color w:val="222222"/>
          <w:sz w:val="24"/>
          <w:szCs w:val="24"/>
        </w:rPr>
        <w:t>phenprocoumon</w:t>
      </w:r>
      <w:proofErr w:type="spellEnd"/>
      <w:r w:rsidRPr="00D44204">
        <w:rPr>
          <w:rStyle w:val="hps"/>
          <w:color w:val="222222"/>
          <w:sz w:val="24"/>
          <w:szCs w:val="24"/>
        </w:rPr>
        <w:t>,</w:t>
      </w:r>
      <w:r w:rsidRPr="00D44204">
        <w:rPr>
          <w:color w:val="222222"/>
          <w:sz w:val="24"/>
          <w:szCs w:val="24"/>
        </w:rPr>
        <w:t xml:space="preserve"> kan det være nødvendigt at </w:t>
      </w:r>
      <w:r w:rsidRPr="00D44204">
        <w:rPr>
          <w:rStyle w:val="hps"/>
          <w:color w:val="222222"/>
          <w:sz w:val="24"/>
          <w:szCs w:val="24"/>
        </w:rPr>
        <w:t>overvåge</w:t>
      </w:r>
      <w:r w:rsidRPr="00D44204">
        <w:rPr>
          <w:color w:val="222222"/>
          <w:sz w:val="24"/>
          <w:szCs w:val="24"/>
        </w:rPr>
        <w:t xml:space="preserve"> for </w:t>
      </w:r>
      <w:r w:rsidRPr="00D44204">
        <w:rPr>
          <w:rStyle w:val="hps"/>
          <w:color w:val="222222"/>
          <w:sz w:val="24"/>
          <w:szCs w:val="24"/>
        </w:rPr>
        <w:t>stigninger i</w:t>
      </w:r>
      <w:r w:rsidRPr="00D44204">
        <w:rPr>
          <w:color w:val="222222"/>
          <w:sz w:val="24"/>
          <w:szCs w:val="24"/>
        </w:rPr>
        <w:t xml:space="preserve"> </w:t>
      </w:r>
      <w:r w:rsidRPr="00D44204">
        <w:rPr>
          <w:rStyle w:val="hps"/>
          <w:color w:val="222222"/>
          <w:sz w:val="24"/>
          <w:szCs w:val="24"/>
        </w:rPr>
        <w:t>INR</w:t>
      </w:r>
      <w:r w:rsidRPr="00D44204">
        <w:rPr>
          <w:color w:val="222222"/>
          <w:sz w:val="24"/>
          <w:szCs w:val="24"/>
        </w:rPr>
        <w:t xml:space="preserve"> </w:t>
      </w:r>
      <w:r w:rsidRPr="00D44204">
        <w:rPr>
          <w:rStyle w:val="hps"/>
          <w:color w:val="222222"/>
          <w:sz w:val="24"/>
          <w:szCs w:val="24"/>
        </w:rPr>
        <w:t>og</w:t>
      </w:r>
      <w:r w:rsidRPr="00D44204">
        <w:rPr>
          <w:color w:val="222222"/>
          <w:sz w:val="24"/>
          <w:szCs w:val="24"/>
        </w:rPr>
        <w:t xml:space="preserve"> </w:t>
      </w:r>
      <w:proofErr w:type="spellStart"/>
      <w:r w:rsidRPr="00D44204">
        <w:rPr>
          <w:rStyle w:val="hps"/>
          <w:color w:val="222222"/>
          <w:sz w:val="24"/>
          <w:szCs w:val="24"/>
        </w:rPr>
        <w:t>protrombintid</w:t>
      </w:r>
      <w:proofErr w:type="spellEnd"/>
      <w:r w:rsidRPr="00D44204">
        <w:rPr>
          <w:color w:val="222222"/>
          <w:sz w:val="24"/>
          <w:szCs w:val="24"/>
        </w:rPr>
        <w:t>.</w:t>
      </w:r>
    </w:p>
    <w:p w:rsidR="00A171C9" w:rsidRPr="00D44204" w:rsidRDefault="00A171C9" w:rsidP="00A171C9">
      <w:pPr>
        <w:tabs>
          <w:tab w:val="left" w:pos="851"/>
        </w:tabs>
        <w:ind w:left="851"/>
        <w:rPr>
          <w:sz w:val="24"/>
          <w:szCs w:val="24"/>
        </w:rPr>
      </w:pPr>
    </w:p>
    <w:p w:rsidR="00A171C9" w:rsidRPr="00D44204" w:rsidRDefault="00A171C9" w:rsidP="00E77D9E">
      <w:pPr>
        <w:ind w:left="851"/>
        <w:rPr>
          <w:i/>
          <w:sz w:val="24"/>
          <w:szCs w:val="24"/>
          <w:u w:val="single"/>
        </w:rPr>
      </w:pPr>
      <w:proofErr w:type="spellStart"/>
      <w:r w:rsidRPr="00D44204">
        <w:rPr>
          <w:i/>
          <w:sz w:val="24"/>
          <w:szCs w:val="24"/>
          <w:u w:val="single"/>
        </w:rPr>
        <w:t>Methotrexat</w:t>
      </w:r>
      <w:proofErr w:type="spellEnd"/>
    </w:p>
    <w:p w:rsidR="00A171C9" w:rsidRPr="00D44204" w:rsidRDefault="00A171C9" w:rsidP="00A171C9">
      <w:pPr>
        <w:tabs>
          <w:tab w:val="left" w:pos="851"/>
        </w:tabs>
        <w:ind w:left="851"/>
        <w:rPr>
          <w:sz w:val="24"/>
          <w:szCs w:val="24"/>
        </w:rPr>
      </w:pPr>
      <w:r w:rsidRPr="00D44204">
        <w:rPr>
          <w:sz w:val="24"/>
          <w:szCs w:val="24"/>
        </w:rPr>
        <w:t xml:space="preserve">Ved samtidig administration af høje doser </w:t>
      </w:r>
      <w:proofErr w:type="spellStart"/>
      <w:r w:rsidRPr="00D44204">
        <w:rPr>
          <w:sz w:val="24"/>
          <w:szCs w:val="24"/>
        </w:rPr>
        <w:t>methotrexat</w:t>
      </w:r>
      <w:proofErr w:type="spellEnd"/>
      <w:r w:rsidRPr="00D44204">
        <w:rPr>
          <w:sz w:val="24"/>
          <w:szCs w:val="24"/>
        </w:rPr>
        <w:t xml:space="preserve"> (f.eks. 300 mg) og </w:t>
      </w:r>
      <w:proofErr w:type="spellStart"/>
      <w:r w:rsidRPr="00D44204">
        <w:rPr>
          <w:sz w:val="24"/>
          <w:szCs w:val="24"/>
        </w:rPr>
        <w:t>protonpumpehæmmere</w:t>
      </w:r>
      <w:proofErr w:type="spellEnd"/>
      <w:r w:rsidRPr="00D44204">
        <w:rPr>
          <w:sz w:val="24"/>
          <w:szCs w:val="24"/>
        </w:rPr>
        <w:t xml:space="preserve"> er der hos nogle patienter rapporteret et øget </w:t>
      </w:r>
      <w:proofErr w:type="spellStart"/>
      <w:r w:rsidRPr="00D44204">
        <w:rPr>
          <w:sz w:val="24"/>
          <w:szCs w:val="24"/>
        </w:rPr>
        <w:t>methotrexat</w:t>
      </w:r>
      <w:proofErr w:type="spellEnd"/>
      <w:r w:rsidRPr="00D44204">
        <w:rPr>
          <w:sz w:val="24"/>
          <w:szCs w:val="24"/>
        </w:rPr>
        <w:t xml:space="preserve"> niveau. Det anbefales derfor at overveje en midlertidig pause med </w:t>
      </w:r>
      <w:proofErr w:type="spellStart"/>
      <w:r w:rsidRPr="00D44204">
        <w:rPr>
          <w:sz w:val="24"/>
          <w:szCs w:val="24"/>
        </w:rPr>
        <w:t>pantoprazol</w:t>
      </w:r>
      <w:proofErr w:type="spellEnd"/>
      <w:r w:rsidRPr="00D44204">
        <w:rPr>
          <w:sz w:val="24"/>
          <w:szCs w:val="24"/>
        </w:rPr>
        <w:t xml:space="preserve">, hvis der administreres høje doser </w:t>
      </w:r>
      <w:proofErr w:type="spellStart"/>
      <w:r w:rsidRPr="00D44204">
        <w:rPr>
          <w:sz w:val="24"/>
          <w:szCs w:val="24"/>
        </w:rPr>
        <w:t>methotrexat</w:t>
      </w:r>
      <w:proofErr w:type="spellEnd"/>
      <w:r w:rsidRPr="00D44204">
        <w:rPr>
          <w:sz w:val="24"/>
          <w:szCs w:val="24"/>
        </w:rPr>
        <w:t xml:space="preserve"> som ved f.eks. cancer eller psoriasis.</w:t>
      </w:r>
    </w:p>
    <w:p w:rsidR="00A171C9" w:rsidRPr="00D44204" w:rsidRDefault="00A171C9" w:rsidP="00A171C9">
      <w:pPr>
        <w:tabs>
          <w:tab w:val="left" w:pos="851"/>
        </w:tabs>
        <w:ind w:left="851"/>
        <w:rPr>
          <w:sz w:val="24"/>
          <w:szCs w:val="24"/>
          <w:u w:val="single"/>
        </w:rPr>
      </w:pPr>
    </w:p>
    <w:p w:rsidR="00A171C9" w:rsidRPr="00D44204" w:rsidRDefault="00A171C9" w:rsidP="00E77D9E">
      <w:pPr>
        <w:ind w:left="851"/>
        <w:rPr>
          <w:i/>
          <w:sz w:val="24"/>
          <w:szCs w:val="24"/>
          <w:u w:val="single"/>
        </w:rPr>
      </w:pPr>
      <w:r w:rsidRPr="00D44204">
        <w:rPr>
          <w:i/>
          <w:sz w:val="24"/>
          <w:szCs w:val="24"/>
          <w:u w:val="single"/>
        </w:rPr>
        <w:t>Andre interaktionsundersøgelser</w:t>
      </w:r>
    </w:p>
    <w:p w:rsidR="00A171C9" w:rsidRPr="00D44204" w:rsidRDefault="00A171C9" w:rsidP="00A171C9">
      <w:pPr>
        <w:tabs>
          <w:tab w:val="left" w:pos="851"/>
        </w:tabs>
        <w:ind w:left="851"/>
        <w:rPr>
          <w:sz w:val="24"/>
          <w:szCs w:val="24"/>
        </w:rPr>
      </w:pPr>
      <w:proofErr w:type="spellStart"/>
      <w:r w:rsidRPr="00D44204">
        <w:rPr>
          <w:sz w:val="24"/>
          <w:szCs w:val="24"/>
        </w:rPr>
        <w:t>Pantoprazol</w:t>
      </w:r>
      <w:proofErr w:type="spellEnd"/>
      <w:r w:rsidRPr="00D44204">
        <w:rPr>
          <w:sz w:val="24"/>
          <w:szCs w:val="24"/>
        </w:rPr>
        <w:t xml:space="preserve"> </w:t>
      </w:r>
      <w:proofErr w:type="spellStart"/>
      <w:r w:rsidRPr="00D44204">
        <w:rPr>
          <w:sz w:val="24"/>
          <w:szCs w:val="24"/>
        </w:rPr>
        <w:t>metaboliseres</w:t>
      </w:r>
      <w:proofErr w:type="spellEnd"/>
      <w:r w:rsidRPr="00D44204">
        <w:rPr>
          <w:sz w:val="24"/>
          <w:szCs w:val="24"/>
        </w:rPr>
        <w:t xml:space="preserve"> ekstensivt i leveren via </w:t>
      </w:r>
      <w:proofErr w:type="spellStart"/>
      <w:r w:rsidRPr="00D44204">
        <w:rPr>
          <w:sz w:val="24"/>
          <w:szCs w:val="24"/>
        </w:rPr>
        <w:t>cytochrom</w:t>
      </w:r>
      <w:proofErr w:type="spellEnd"/>
      <w:r w:rsidRPr="00D44204">
        <w:rPr>
          <w:sz w:val="24"/>
          <w:szCs w:val="24"/>
        </w:rPr>
        <w:t xml:space="preserve"> P450-enzymsystemet. </w:t>
      </w:r>
      <w:proofErr w:type="spellStart"/>
      <w:r w:rsidRPr="00D44204">
        <w:rPr>
          <w:sz w:val="24"/>
          <w:szCs w:val="24"/>
        </w:rPr>
        <w:t>Metaboliseringen</w:t>
      </w:r>
      <w:proofErr w:type="spellEnd"/>
      <w:r w:rsidRPr="00D44204">
        <w:rPr>
          <w:sz w:val="24"/>
          <w:szCs w:val="24"/>
        </w:rPr>
        <w:t xml:space="preserve"> sker overvejende ved </w:t>
      </w:r>
      <w:proofErr w:type="spellStart"/>
      <w:r w:rsidRPr="00D44204">
        <w:rPr>
          <w:sz w:val="24"/>
          <w:szCs w:val="24"/>
        </w:rPr>
        <w:t>demethylering</w:t>
      </w:r>
      <w:proofErr w:type="spellEnd"/>
      <w:r w:rsidRPr="00D44204">
        <w:rPr>
          <w:sz w:val="24"/>
          <w:szCs w:val="24"/>
        </w:rPr>
        <w:t xml:space="preserve"> via CYP2C19 og anden </w:t>
      </w:r>
      <w:proofErr w:type="spellStart"/>
      <w:r w:rsidRPr="00D44204">
        <w:rPr>
          <w:sz w:val="24"/>
          <w:szCs w:val="24"/>
        </w:rPr>
        <w:t>metabolisering</w:t>
      </w:r>
      <w:proofErr w:type="spellEnd"/>
      <w:r w:rsidRPr="00D44204">
        <w:rPr>
          <w:sz w:val="24"/>
          <w:szCs w:val="24"/>
        </w:rPr>
        <w:t xml:space="preserve">, herunder oxidering via CYP3A4. </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sz w:val="24"/>
          <w:szCs w:val="24"/>
        </w:rPr>
        <w:t xml:space="preserve">Interaktionsundersøgelser af lægemidler, der også </w:t>
      </w:r>
      <w:proofErr w:type="spellStart"/>
      <w:r w:rsidRPr="00D44204">
        <w:rPr>
          <w:sz w:val="24"/>
          <w:szCs w:val="24"/>
        </w:rPr>
        <w:t>metaboliseres</w:t>
      </w:r>
      <w:proofErr w:type="spellEnd"/>
      <w:r w:rsidRPr="00D44204">
        <w:rPr>
          <w:sz w:val="24"/>
          <w:szCs w:val="24"/>
        </w:rPr>
        <w:t xml:space="preserve"> på samme måde, såsom </w:t>
      </w:r>
      <w:proofErr w:type="spellStart"/>
      <w:r w:rsidRPr="00D44204">
        <w:rPr>
          <w:sz w:val="24"/>
          <w:szCs w:val="24"/>
        </w:rPr>
        <w:t>carbamarzepin</w:t>
      </w:r>
      <w:proofErr w:type="spellEnd"/>
      <w:r w:rsidRPr="00D44204">
        <w:rPr>
          <w:sz w:val="24"/>
          <w:szCs w:val="24"/>
        </w:rPr>
        <w:t xml:space="preserve">, </w:t>
      </w:r>
      <w:proofErr w:type="spellStart"/>
      <w:r w:rsidRPr="00D44204">
        <w:rPr>
          <w:sz w:val="24"/>
          <w:szCs w:val="24"/>
        </w:rPr>
        <w:t>diazepin</w:t>
      </w:r>
      <w:proofErr w:type="spellEnd"/>
      <w:r w:rsidRPr="00D44204">
        <w:rPr>
          <w:sz w:val="24"/>
          <w:szCs w:val="24"/>
        </w:rPr>
        <w:t xml:space="preserve">, </w:t>
      </w:r>
      <w:proofErr w:type="spellStart"/>
      <w:r w:rsidRPr="00D44204">
        <w:rPr>
          <w:sz w:val="24"/>
          <w:szCs w:val="24"/>
        </w:rPr>
        <w:t>glibenclamid</w:t>
      </w:r>
      <w:proofErr w:type="spellEnd"/>
      <w:r w:rsidRPr="00D44204">
        <w:rPr>
          <w:sz w:val="24"/>
          <w:szCs w:val="24"/>
        </w:rPr>
        <w:t xml:space="preserve">, </w:t>
      </w:r>
      <w:proofErr w:type="spellStart"/>
      <w:r w:rsidRPr="00D44204">
        <w:rPr>
          <w:sz w:val="24"/>
          <w:szCs w:val="24"/>
        </w:rPr>
        <w:t>nifedipin</w:t>
      </w:r>
      <w:proofErr w:type="spellEnd"/>
      <w:r w:rsidRPr="00D44204">
        <w:rPr>
          <w:sz w:val="24"/>
          <w:szCs w:val="24"/>
        </w:rPr>
        <w:t xml:space="preserve"> og P-piller, der indeholder </w:t>
      </w:r>
      <w:proofErr w:type="spellStart"/>
      <w:r w:rsidRPr="00D44204">
        <w:rPr>
          <w:sz w:val="24"/>
          <w:szCs w:val="24"/>
        </w:rPr>
        <w:t>levonorgestrel</w:t>
      </w:r>
      <w:proofErr w:type="spellEnd"/>
      <w:r w:rsidRPr="00D44204">
        <w:rPr>
          <w:sz w:val="24"/>
          <w:szCs w:val="24"/>
        </w:rPr>
        <w:t xml:space="preserve"> og </w:t>
      </w:r>
      <w:proofErr w:type="spellStart"/>
      <w:r w:rsidRPr="00D44204">
        <w:rPr>
          <w:sz w:val="24"/>
          <w:szCs w:val="24"/>
        </w:rPr>
        <w:t>ethinylestradiol</w:t>
      </w:r>
      <w:proofErr w:type="spellEnd"/>
      <w:r w:rsidRPr="00D44204">
        <w:rPr>
          <w:sz w:val="24"/>
          <w:szCs w:val="24"/>
        </w:rPr>
        <w:t>, viste ikke klinisk signifikant interaktion.</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sz w:val="24"/>
          <w:szCs w:val="24"/>
        </w:rPr>
        <w:t xml:space="preserve">En interaktion af </w:t>
      </w:r>
      <w:proofErr w:type="spellStart"/>
      <w:r w:rsidRPr="00D44204">
        <w:rPr>
          <w:sz w:val="24"/>
          <w:szCs w:val="24"/>
        </w:rPr>
        <w:t>pantoprazol</w:t>
      </w:r>
      <w:proofErr w:type="spellEnd"/>
      <w:r w:rsidRPr="00D44204">
        <w:rPr>
          <w:sz w:val="24"/>
          <w:szCs w:val="24"/>
        </w:rPr>
        <w:t xml:space="preserve"> med andre lægemidler eller forbindelser, som </w:t>
      </w:r>
      <w:proofErr w:type="spellStart"/>
      <w:r w:rsidRPr="00D44204">
        <w:rPr>
          <w:sz w:val="24"/>
          <w:szCs w:val="24"/>
        </w:rPr>
        <w:t>metaboliseres</w:t>
      </w:r>
      <w:proofErr w:type="spellEnd"/>
      <w:r w:rsidRPr="00D44204">
        <w:rPr>
          <w:sz w:val="24"/>
          <w:szCs w:val="24"/>
        </w:rPr>
        <w:t xml:space="preserve"> af det samme enzymsystem, kan ikke udelukkes.</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sz w:val="24"/>
          <w:szCs w:val="24"/>
        </w:rPr>
        <w:t xml:space="preserve">Resultater fra en række interaktionsundersøgelser viser, at </w:t>
      </w:r>
      <w:proofErr w:type="spellStart"/>
      <w:r w:rsidRPr="00D44204">
        <w:rPr>
          <w:sz w:val="24"/>
          <w:szCs w:val="24"/>
        </w:rPr>
        <w:t>pantoprazol</w:t>
      </w:r>
      <w:proofErr w:type="spellEnd"/>
      <w:r w:rsidRPr="00D44204">
        <w:rPr>
          <w:sz w:val="24"/>
          <w:szCs w:val="24"/>
        </w:rPr>
        <w:t xml:space="preserve"> ikke påvirker </w:t>
      </w:r>
      <w:proofErr w:type="spellStart"/>
      <w:r w:rsidRPr="00D44204">
        <w:rPr>
          <w:sz w:val="24"/>
          <w:szCs w:val="24"/>
        </w:rPr>
        <w:t>metaboliseringen</w:t>
      </w:r>
      <w:proofErr w:type="spellEnd"/>
      <w:r w:rsidRPr="00D44204">
        <w:rPr>
          <w:sz w:val="24"/>
          <w:szCs w:val="24"/>
        </w:rPr>
        <w:t xml:space="preserve"> af aktive stoffer, der </w:t>
      </w:r>
      <w:proofErr w:type="spellStart"/>
      <w:r w:rsidRPr="00D44204">
        <w:rPr>
          <w:sz w:val="24"/>
          <w:szCs w:val="24"/>
        </w:rPr>
        <w:t>metaboliseres</w:t>
      </w:r>
      <w:proofErr w:type="spellEnd"/>
      <w:r w:rsidRPr="00D44204">
        <w:rPr>
          <w:sz w:val="24"/>
          <w:szCs w:val="24"/>
        </w:rPr>
        <w:t xml:space="preserve"> via CYP1A2 (såsom </w:t>
      </w:r>
      <w:proofErr w:type="spellStart"/>
      <w:r w:rsidRPr="00D44204">
        <w:rPr>
          <w:sz w:val="24"/>
          <w:szCs w:val="24"/>
        </w:rPr>
        <w:t>coffein</w:t>
      </w:r>
      <w:proofErr w:type="spellEnd"/>
      <w:r w:rsidRPr="00D44204">
        <w:rPr>
          <w:sz w:val="24"/>
          <w:szCs w:val="24"/>
        </w:rPr>
        <w:t xml:space="preserve">, </w:t>
      </w:r>
      <w:proofErr w:type="spellStart"/>
      <w:r w:rsidRPr="00D44204">
        <w:rPr>
          <w:sz w:val="24"/>
          <w:szCs w:val="24"/>
        </w:rPr>
        <w:t>theophyllin</w:t>
      </w:r>
      <w:proofErr w:type="spellEnd"/>
      <w:r w:rsidRPr="00D44204">
        <w:rPr>
          <w:sz w:val="24"/>
          <w:szCs w:val="24"/>
        </w:rPr>
        <w:t xml:space="preserve">), CYP2C9 (såsom </w:t>
      </w:r>
      <w:proofErr w:type="spellStart"/>
      <w:r w:rsidRPr="00D44204">
        <w:rPr>
          <w:sz w:val="24"/>
          <w:szCs w:val="24"/>
        </w:rPr>
        <w:t>piroxicam</w:t>
      </w:r>
      <w:proofErr w:type="spellEnd"/>
      <w:r w:rsidRPr="00D44204">
        <w:rPr>
          <w:sz w:val="24"/>
          <w:szCs w:val="24"/>
        </w:rPr>
        <w:t xml:space="preserve">, </w:t>
      </w:r>
      <w:proofErr w:type="spellStart"/>
      <w:r w:rsidRPr="00D44204">
        <w:rPr>
          <w:sz w:val="24"/>
          <w:szCs w:val="24"/>
        </w:rPr>
        <w:t>diclofenac</w:t>
      </w:r>
      <w:proofErr w:type="spellEnd"/>
      <w:r w:rsidRPr="00D44204">
        <w:rPr>
          <w:sz w:val="24"/>
          <w:szCs w:val="24"/>
        </w:rPr>
        <w:t xml:space="preserve">, </w:t>
      </w:r>
      <w:proofErr w:type="spellStart"/>
      <w:r w:rsidRPr="00D44204">
        <w:rPr>
          <w:sz w:val="24"/>
          <w:szCs w:val="24"/>
        </w:rPr>
        <w:t>naproxen</w:t>
      </w:r>
      <w:proofErr w:type="spellEnd"/>
      <w:r w:rsidRPr="00D44204">
        <w:rPr>
          <w:sz w:val="24"/>
          <w:szCs w:val="24"/>
        </w:rPr>
        <w:t xml:space="preserve">), CYP2D6 (såsom </w:t>
      </w:r>
      <w:proofErr w:type="spellStart"/>
      <w:r w:rsidRPr="00D44204">
        <w:rPr>
          <w:sz w:val="24"/>
          <w:szCs w:val="24"/>
        </w:rPr>
        <w:t>metoprolol</w:t>
      </w:r>
      <w:proofErr w:type="spellEnd"/>
      <w:r w:rsidRPr="00D44204">
        <w:rPr>
          <w:sz w:val="24"/>
          <w:szCs w:val="24"/>
        </w:rPr>
        <w:t xml:space="preserve">), CYP2E1 (såsom </w:t>
      </w:r>
      <w:proofErr w:type="spellStart"/>
      <w:r w:rsidRPr="00D44204">
        <w:rPr>
          <w:sz w:val="24"/>
          <w:szCs w:val="24"/>
        </w:rPr>
        <w:t>ethanol</w:t>
      </w:r>
      <w:proofErr w:type="spellEnd"/>
      <w:r w:rsidRPr="00D44204">
        <w:rPr>
          <w:sz w:val="24"/>
          <w:szCs w:val="24"/>
        </w:rPr>
        <w:t>) eller interfererer med p-</w:t>
      </w:r>
      <w:proofErr w:type="spellStart"/>
      <w:r w:rsidRPr="00D44204">
        <w:rPr>
          <w:sz w:val="24"/>
          <w:szCs w:val="24"/>
        </w:rPr>
        <w:t>glycoproteinrelateret</w:t>
      </w:r>
      <w:proofErr w:type="spellEnd"/>
      <w:r w:rsidRPr="00D44204">
        <w:rPr>
          <w:sz w:val="24"/>
          <w:szCs w:val="24"/>
        </w:rPr>
        <w:t xml:space="preserve"> absorption af </w:t>
      </w:r>
      <w:proofErr w:type="spellStart"/>
      <w:r w:rsidRPr="00D44204">
        <w:rPr>
          <w:sz w:val="24"/>
          <w:szCs w:val="24"/>
        </w:rPr>
        <w:t>digoxin</w:t>
      </w:r>
      <w:proofErr w:type="spellEnd"/>
      <w:r w:rsidRPr="00D44204">
        <w:rPr>
          <w:sz w:val="24"/>
          <w:szCs w:val="24"/>
        </w:rPr>
        <w:t>.</w:t>
      </w:r>
    </w:p>
    <w:p w:rsidR="00A171C9" w:rsidRPr="00D44204" w:rsidRDefault="00A171C9" w:rsidP="00A171C9">
      <w:pPr>
        <w:tabs>
          <w:tab w:val="left" w:pos="851"/>
        </w:tabs>
        <w:ind w:left="851"/>
        <w:rPr>
          <w:sz w:val="24"/>
          <w:szCs w:val="24"/>
        </w:rPr>
      </w:pPr>
      <w:r w:rsidRPr="00D44204">
        <w:rPr>
          <w:sz w:val="24"/>
          <w:szCs w:val="24"/>
        </w:rPr>
        <w:t xml:space="preserve">Der var ingen interaktioner med samtidigt administrerede </w:t>
      </w:r>
      <w:proofErr w:type="spellStart"/>
      <w:r w:rsidRPr="00D44204">
        <w:rPr>
          <w:sz w:val="24"/>
          <w:szCs w:val="24"/>
        </w:rPr>
        <w:t>antacida</w:t>
      </w:r>
      <w:proofErr w:type="spellEnd"/>
      <w:r w:rsidRPr="00D44204">
        <w:rPr>
          <w:sz w:val="24"/>
          <w:szCs w:val="24"/>
        </w:rPr>
        <w:t>.</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sz w:val="24"/>
          <w:szCs w:val="24"/>
        </w:rPr>
        <w:t xml:space="preserve">Der er også foretaget interaktionsundersøgelser med samtidig administration af </w:t>
      </w:r>
      <w:proofErr w:type="spellStart"/>
      <w:r w:rsidRPr="00D44204">
        <w:rPr>
          <w:sz w:val="24"/>
          <w:szCs w:val="24"/>
        </w:rPr>
        <w:t>pantoprazol</w:t>
      </w:r>
      <w:proofErr w:type="spellEnd"/>
      <w:r w:rsidRPr="00D44204">
        <w:rPr>
          <w:sz w:val="24"/>
          <w:szCs w:val="24"/>
        </w:rPr>
        <w:t xml:space="preserve"> og de respektive antibiotika (</w:t>
      </w:r>
      <w:proofErr w:type="spellStart"/>
      <w:r w:rsidRPr="00D44204">
        <w:rPr>
          <w:sz w:val="24"/>
          <w:szCs w:val="24"/>
        </w:rPr>
        <w:t>clarithromycin</w:t>
      </w:r>
      <w:proofErr w:type="spellEnd"/>
      <w:r w:rsidRPr="00D44204">
        <w:rPr>
          <w:sz w:val="24"/>
          <w:szCs w:val="24"/>
        </w:rPr>
        <w:t xml:space="preserve">, </w:t>
      </w:r>
      <w:proofErr w:type="spellStart"/>
      <w:r w:rsidRPr="00D44204">
        <w:rPr>
          <w:sz w:val="24"/>
          <w:szCs w:val="24"/>
        </w:rPr>
        <w:t>metronidazol</w:t>
      </w:r>
      <w:proofErr w:type="spellEnd"/>
      <w:r w:rsidRPr="00D44204">
        <w:rPr>
          <w:sz w:val="24"/>
          <w:szCs w:val="24"/>
        </w:rPr>
        <w:t xml:space="preserve">, </w:t>
      </w:r>
      <w:proofErr w:type="spellStart"/>
      <w:r w:rsidRPr="00D44204">
        <w:rPr>
          <w:sz w:val="24"/>
          <w:szCs w:val="24"/>
        </w:rPr>
        <w:t>amoxillin</w:t>
      </w:r>
      <w:proofErr w:type="spellEnd"/>
      <w:r w:rsidRPr="00D44204">
        <w:rPr>
          <w:sz w:val="24"/>
          <w:szCs w:val="24"/>
        </w:rPr>
        <w:t>). Der blev ikke fundet klinisk relevante interaktioner.</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i/>
          <w:sz w:val="24"/>
          <w:szCs w:val="24"/>
          <w:u w:val="single"/>
        </w:rPr>
        <w:t>Lægemidler, der hæmmer eller inducerer CYP2C19:</w:t>
      </w:r>
    </w:p>
    <w:p w:rsidR="00A171C9" w:rsidRPr="00D44204" w:rsidRDefault="00A171C9" w:rsidP="00A171C9">
      <w:pPr>
        <w:ind w:left="850"/>
        <w:rPr>
          <w:rStyle w:val="hps"/>
          <w:color w:val="222222"/>
          <w:sz w:val="24"/>
          <w:szCs w:val="24"/>
        </w:rPr>
      </w:pPr>
      <w:proofErr w:type="spellStart"/>
      <w:r w:rsidRPr="00D44204">
        <w:rPr>
          <w:rStyle w:val="hps"/>
          <w:color w:val="222222"/>
          <w:sz w:val="24"/>
          <w:szCs w:val="24"/>
        </w:rPr>
        <w:t>Hæmmere</w:t>
      </w:r>
      <w:proofErr w:type="spellEnd"/>
      <w:r w:rsidRPr="00D44204">
        <w:rPr>
          <w:rStyle w:val="hps"/>
          <w:color w:val="222222"/>
          <w:sz w:val="24"/>
          <w:szCs w:val="24"/>
        </w:rPr>
        <w:t xml:space="preserve"> af</w:t>
      </w:r>
      <w:r w:rsidRPr="00D44204">
        <w:rPr>
          <w:color w:val="222222"/>
          <w:sz w:val="24"/>
          <w:szCs w:val="24"/>
        </w:rPr>
        <w:t xml:space="preserve"> </w:t>
      </w:r>
      <w:r w:rsidRPr="00D44204">
        <w:rPr>
          <w:rStyle w:val="hps"/>
          <w:color w:val="222222"/>
          <w:sz w:val="24"/>
          <w:szCs w:val="24"/>
        </w:rPr>
        <w:t>CYP2C19</w:t>
      </w:r>
      <w:r w:rsidRPr="00D44204">
        <w:rPr>
          <w:color w:val="222222"/>
          <w:sz w:val="24"/>
          <w:szCs w:val="24"/>
        </w:rPr>
        <w:t xml:space="preserve"> </w:t>
      </w:r>
      <w:r w:rsidRPr="00D44204">
        <w:rPr>
          <w:rStyle w:val="hps"/>
          <w:color w:val="222222"/>
          <w:sz w:val="24"/>
          <w:szCs w:val="24"/>
        </w:rPr>
        <w:t>såsom</w:t>
      </w:r>
      <w:r w:rsidRPr="00D44204">
        <w:rPr>
          <w:color w:val="222222"/>
          <w:sz w:val="24"/>
          <w:szCs w:val="24"/>
        </w:rPr>
        <w:t xml:space="preserve"> </w:t>
      </w:r>
      <w:proofErr w:type="spellStart"/>
      <w:r w:rsidRPr="00D44204">
        <w:rPr>
          <w:rStyle w:val="hps"/>
          <w:color w:val="222222"/>
          <w:sz w:val="24"/>
          <w:szCs w:val="24"/>
        </w:rPr>
        <w:t>fluvoxamin</w:t>
      </w:r>
      <w:proofErr w:type="spellEnd"/>
      <w:r w:rsidRPr="00D44204">
        <w:rPr>
          <w:color w:val="222222"/>
          <w:sz w:val="24"/>
          <w:szCs w:val="24"/>
        </w:rPr>
        <w:t xml:space="preserve"> </w:t>
      </w:r>
      <w:r w:rsidRPr="00D44204">
        <w:rPr>
          <w:rStyle w:val="hps"/>
          <w:color w:val="222222"/>
          <w:sz w:val="24"/>
          <w:szCs w:val="24"/>
        </w:rPr>
        <w:t>kan øge</w:t>
      </w:r>
      <w:r w:rsidRPr="00D44204">
        <w:rPr>
          <w:color w:val="222222"/>
          <w:sz w:val="24"/>
          <w:szCs w:val="24"/>
        </w:rPr>
        <w:t xml:space="preserve"> </w:t>
      </w:r>
      <w:r w:rsidRPr="00D44204">
        <w:rPr>
          <w:rStyle w:val="hps"/>
          <w:color w:val="222222"/>
          <w:sz w:val="24"/>
          <w:szCs w:val="24"/>
        </w:rPr>
        <w:t>den systemiske eksponering</w:t>
      </w:r>
      <w:r w:rsidRPr="00D44204">
        <w:rPr>
          <w:color w:val="222222"/>
          <w:sz w:val="24"/>
          <w:szCs w:val="24"/>
        </w:rPr>
        <w:t xml:space="preserve"> </w:t>
      </w:r>
      <w:r w:rsidRPr="00D44204">
        <w:rPr>
          <w:rStyle w:val="hps"/>
          <w:color w:val="222222"/>
          <w:sz w:val="24"/>
          <w:szCs w:val="24"/>
        </w:rPr>
        <w:t xml:space="preserve">af </w:t>
      </w:r>
      <w:proofErr w:type="spellStart"/>
      <w:r w:rsidRPr="00D44204">
        <w:rPr>
          <w:rStyle w:val="hps"/>
          <w:color w:val="222222"/>
          <w:sz w:val="24"/>
          <w:szCs w:val="24"/>
        </w:rPr>
        <w:t>pantoprazol</w:t>
      </w:r>
      <w:proofErr w:type="spellEnd"/>
      <w:r w:rsidRPr="00D44204">
        <w:rPr>
          <w:color w:val="222222"/>
          <w:sz w:val="24"/>
          <w:szCs w:val="24"/>
        </w:rPr>
        <w:t xml:space="preserve">. </w:t>
      </w:r>
      <w:r w:rsidRPr="00D44204">
        <w:rPr>
          <w:rStyle w:val="hps"/>
          <w:color w:val="222222"/>
          <w:sz w:val="24"/>
          <w:szCs w:val="24"/>
        </w:rPr>
        <w:t>En</w:t>
      </w:r>
      <w:r w:rsidRPr="00D44204">
        <w:rPr>
          <w:color w:val="222222"/>
          <w:sz w:val="24"/>
          <w:szCs w:val="24"/>
        </w:rPr>
        <w:t xml:space="preserve"> </w:t>
      </w:r>
      <w:r w:rsidRPr="00D44204">
        <w:rPr>
          <w:rStyle w:val="hps"/>
          <w:color w:val="222222"/>
          <w:sz w:val="24"/>
          <w:szCs w:val="24"/>
        </w:rPr>
        <w:t>reduktion af dosis</w:t>
      </w:r>
      <w:r w:rsidRPr="00D44204">
        <w:rPr>
          <w:color w:val="222222"/>
          <w:sz w:val="24"/>
          <w:szCs w:val="24"/>
        </w:rPr>
        <w:t xml:space="preserve"> </w:t>
      </w:r>
      <w:r w:rsidRPr="00D44204">
        <w:rPr>
          <w:rStyle w:val="hps"/>
          <w:color w:val="222222"/>
          <w:sz w:val="24"/>
          <w:szCs w:val="24"/>
        </w:rPr>
        <w:t>kan overvejes til</w:t>
      </w:r>
      <w:r w:rsidRPr="00D44204">
        <w:rPr>
          <w:color w:val="222222"/>
          <w:sz w:val="24"/>
          <w:szCs w:val="24"/>
        </w:rPr>
        <w:t xml:space="preserve"> </w:t>
      </w:r>
      <w:r w:rsidRPr="00D44204">
        <w:rPr>
          <w:rStyle w:val="hps"/>
          <w:color w:val="222222"/>
          <w:sz w:val="24"/>
          <w:szCs w:val="24"/>
        </w:rPr>
        <w:t>patienter, der er i langvarig behandling med høje doser af</w:t>
      </w:r>
      <w:r w:rsidRPr="00D44204">
        <w:rPr>
          <w:color w:val="222222"/>
          <w:sz w:val="24"/>
          <w:szCs w:val="24"/>
        </w:rPr>
        <w:t xml:space="preserve"> </w:t>
      </w:r>
      <w:proofErr w:type="spellStart"/>
      <w:r w:rsidRPr="00D44204">
        <w:rPr>
          <w:rStyle w:val="hps"/>
          <w:color w:val="222222"/>
          <w:sz w:val="24"/>
          <w:szCs w:val="24"/>
        </w:rPr>
        <w:t>pantoprazol</w:t>
      </w:r>
      <w:proofErr w:type="spellEnd"/>
      <w:r w:rsidRPr="00D44204">
        <w:rPr>
          <w:color w:val="222222"/>
          <w:sz w:val="24"/>
          <w:szCs w:val="24"/>
        </w:rPr>
        <w:t xml:space="preserve">, eller har </w:t>
      </w:r>
      <w:r w:rsidRPr="00D44204">
        <w:rPr>
          <w:rStyle w:val="hps"/>
          <w:color w:val="222222"/>
          <w:sz w:val="24"/>
          <w:szCs w:val="24"/>
        </w:rPr>
        <w:t>nedsat leverfunktion.</w:t>
      </w:r>
    </w:p>
    <w:p w:rsidR="00A171C9" w:rsidRPr="00D44204" w:rsidRDefault="00A171C9" w:rsidP="00A171C9">
      <w:pPr>
        <w:ind w:left="850"/>
        <w:rPr>
          <w:rStyle w:val="hps"/>
          <w:color w:val="222222"/>
          <w:sz w:val="24"/>
          <w:szCs w:val="24"/>
        </w:rPr>
      </w:pPr>
    </w:p>
    <w:p w:rsidR="00A171C9" w:rsidRDefault="00A171C9" w:rsidP="00A171C9">
      <w:pPr>
        <w:ind w:left="851"/>
        <w:rPr>
          <w:sz w:val="24"/>
          <w:szCs w:val="24"/>
        </w:rPr>
      </w:pPr>
      <w:r w:rsidRPr="00D44204">
        <w:rPr>
          <w:rStyle w:val="hps"/>
          <w:color w:val="222222"/>
          <w:sz w:val="24"/>
          <w:szCs w:val="24"/>
        </w:rPr>
        <w:t>Enzyminducere, der påvirker</w:t>
      </w:r>
      <w:r w:rsidRPr="00D44204">
        <w:rPr>
          <w:color w:val="222222"/>
          <w:sz w:val="24"/>
          <w:szCs w:val="24"/>
        </w:rPr>
        <w:t xml:space="preserve"> </w:t>
      </w:r>
      <w:r w:rsidRPr="00D44204">
        <w:rPr>
          <w:rStyle w:val="hps"/>
          <w:color w:val="222222"/>
          <w:sz w:val="24"/>
          <w:szCs w:val="24"/>
        </w:rPr>
        <w:t>CYP2C19 og CYP3A4</w:t>
      </w:r>
      <w:r w:rsidRPr="00D44204">
        <w:rPr>
          <w:color w:val="222222"/>
          <w:sz w:val="24"/>
          <w:szCs w:val="24"/>
        </w:rPr>
        <w:t xml:space="preserve">, såsom </w:t>
      </w:r>
      <w:proofErr w:type="spellStart"/>
      <w:r w:rsidRPr="00D44204">
        <w:rPr>
          <w:rStyle w:val="hps"/>
          <w:color w:val="222222"/>
          <w:sz w:val="24"/>
          <w:szCs w:val="24"/>
        </w:rPr>
        <w:t>rifampicin</w:t>
      </w:r>
      <w:proofErr w:type="spellEnd"/>
      <w:r w:rsidRPr="00D44204">
        <w:rPr>
          <w:rStyle w:val="hps"/>
          <w:color w:val="222222"/>
          <w:sz w:val="24"/>
          <w:szCs w:val="24"/>
        </w:rPr>
        <w:t xml:space="preserve"> og</w:t>
      </w:r>
      <w:r w:rsidRPr="00D44204">
        <w:rPr>
          <w:color w:val="222222"/>
          <w:sz w:val="24"/>
          <w:szCs w:val="24"/>
        </w:rPr>
        <w:t xml:space="preserve"> </w:t>
      </w:r>
      <w:r w:rsidRPr="00D44204">
        <w:rPr>
          <w:rStyle w:val="hps"/>
          <w:color w:val="222222"/>
          <w:sz w:val="24"/>
          <w:szCs w:val="24"/>
        </w:rPr>
        <w:t>prikbladet</w:t>
      </w:r>
      <w:r w:rsidRPr="00D44204">
        <w:rPr>
          <w:color w:val="222222"/>
          <w:sz w:val="24"/>
          <w:szCs w:val="24"/>
        </w:rPr>
        <w:t xml:space="preserve"> </w:t>
      </w:r>
      <w:r w:rsidRPr="00D44204">
        <w:rPr>
          <w:rStyle w:val="hps"/>
          <w:color w:val="222222"/>
          <w:sz w:val="24"/>
          <w:szCs w:val="24"/>
        </w:rPr>
        <w:t>perikum</w:t>
      </w:r>
      <w:r w:rsidRPr="00D44204">
        <w:rPr>
          <w:color w:val="222222"/>
          <w:sz w:val="24"/>
          <w:szCs w:val="24"/>
        </w:rPr>
        <w:t xml:space="preserve"> </w:t>
      </w:r>
      <w:r w:rsidRPr="00D44204">
        <w:rPr>
          <w:rStyle w:val="hps"/>
          <w:color w:val="222222"/>
          <w:sz w:val="24"/>
          <w:szCs w:val="24"/>
        </w:rPr>
        <w:t>(</w:t>
      </w:r>
      <w:r w:rsidRPr="00D44204">
        <w:rPr>
          <w:rStyle w:val="hps"/>
          <w:i/>
          <w:color w:val="222222"/>
          <w:sz w:val="24"/>
          <w:szCs w:val="24"/>
        </w:rPr>
        <w:t xml:space="preserve">Hypericum </w:t>
      </w:r>
      <w:proofErr w:type="spellStart"/>
      <w:r w:rsidRPr="00D44204">
        <w:rPr>
          <w:rStyle w:val="hps"/>
          <w:i/>
          <w:color w:val="222222"/>
          <w:sz w:val="24"/>
          <w:szCs w:val="24"/>
        </w:rPr>
        <w:t>perforatum</w:t>
      </w:r>
      <w:proofErr w:type="spellEnd"/>
      <w:r w:rsidRPr="00D44204">
        <w:rPr>
          <w:rStyle w:val="hps"/>
          <w:color w:val="222222"/>
          <w:sz w:val="24"/>
          <w:szCs w:val="24"/>
        </w:rPr>
        <w:t>)</w:t>
      </w:r>
      <w:r w:rsidRPr="00D44204">
        <w:rPr>
          <w:color w:val="222222"/>
          <w:sz w:val="24"/>
          <w:szCs w:val="24"/>
        </w:rPr>
        <w:t xml:space="preserve"> </w:t>
      </w:r>
      <w:r w:rsidRPr="00D44204">
        <w:rPr>
          <w:rStyle w:val="hps"/>
          <w:color w:val="222222"/>
          <w:sz w:val="24"/>
          <w:szCs w:val="24"/>
        </w:rPr>
        <w:t>kan reducere</w:t>
      </w:r>
      <w:r w:rsidRPr="00D44204">
        <w:rPr>
          <w:color w:val="222222"/>
          <w:sz w:val="24"/>
          <w:szCs w:val="24"/>
        </w:rPr>
        <w:t xml:space="preserve"> </w:t>
      </w:r>
      <w:r w:rsidRPr="00D44204">
        <w:rPr>
          <w:rStyle w:val="hps"/>
          <w:color w:val="222222"/>
          <w:sz w:val="24"/>
          <w:szCs w:val="24"/>
        </w:rPr>
        <w:t>plasmakoncentrationerne af</w:t>
      </w:r>
      <w:r w:rsidRPr="00D44204">
        <w:rPr>
          <w:color w:val="222222"/>
          <w:sz w:val="24"/>
          <w:szCs w:val="24"/>
        </w:rPr>
        <w:t xml:space="preserve"> </w:t>
      </w:r>
      <w:r w:rsidRPr="00D44204">
        <w:rPr>
          <w:rStyle w:val="hps"/>
          <w:color w:val="222222"/>
          <w:sz w:val="24"/>
          <w:szCs w:val="24"/>
        </w:rPr>
        <w:t>PPI</w:t>
      </w:r>
      <w:r w:rsidRPr="00D44204">
        <w:rPr>
          <w:color w:val="222222"/>
          <w:sz w:val="24"/>
          <w:szCs w:val="24"/>
        </w:rPr>
        <w:t xml:space="preserve">, der </w:t>
      </w:r>
      <w:proofErr w:type="spellStart"/>
      <w:r w:rsidRPr="00D44204">
        <w:rPr>
          <w:color w:val="222222"/>
          <w:sz w:val="24"/>
          <w:szCs w:val="24"/>
        </w:rPr>
        <w:t>metaboliseres</w:t>
      </w:r>
      <w:proofErr w:type="spellEnd"/>
      <w:r w:rsidRPr="00D44204">
        <w:rPr>
          <w:color w:val="222222"/>
          <w:sz w:val="24"/>
          <w:szCs w:val="24"/>
        </w:rPr>
        <w:t xml:space="preserve"> </w:t>
      </w:r>
      <w:r w:rsidRPr="00D44204">
        <w:rPr>
          <w:rStyle w:val="hps"/>
          <w:color w:val="222222"/>
          <w:sz w:val="24"/>
          <w:szCs w:val="24"/>
        </w:rPr>
        <w:t>via</w:t>
      </w:r>
      <w:r w:rsidRPr="00D44204">
        <w:rPr>
          <w:color w:val="222222"/>
          <w:sz w:val="24"/>
          <w:szCs w:val="24"/>
        </w:rPr>
        <w:t xml:space="preserve"> </w:t>
      </w:r>
      <w:r w:rsidRPr="00D44204">
        <w:rPr>
          <w:rStyle w:val="hps"/>
          <w:color w:val="222222"/>
          <w:sz w:val="24"/>
          <w:szCs w:val="24"/>
        </w:rPr>
        <w:t>disse</w:t>
      </w:r>
      <w:r w:rsidRPr="00D44204">
        <w:rPr>
          <w:color w:val="222222"/>
          <w:sz w:val="24"/>
          <w:szCs w:val="24"/>
        </w:rPr>
        <w:t xml:space="preserve"> </w:t>
      </w:r>
      <w:r w:rsidRPr="00D44204">
        <w:rPr>
          <w:rStyle w:val="hps"/>
          <w:color w:val="222222"/>
          <w:sz w:val="24"/>
          <w:szCs w:val="24"/>
        </w:rPr>
        <w:t>enzymsystemer</w:t>
      </w:r>
      <w:r w:rsidRPr="00D44204">
        <w:rPr>
          <w:color w:val="222222"/>
          <w:sz w:val="24"/>
          <w:szCs w:val="24"/>
        </w:rPr>
        <w:t>.</w:t>
      </w:r>
      <w:r w:rsidRPr="00D44204">
        <w:rPr>
          <w:sz w:val="24"/>
          <w:szCs w:val="24"/>
        </w:rPr>
        <w:t xml:space="preserve"> </w:t>
      </w:r>
    </w:p>
    <w:p w:rsidR="00A82F54" w:rsidRDefault="00A82F54" w:rsidP="00A171C9">
      <w:pPr>
        <w:ind w:left="851"/>
        <w:rPr>
          <w:sz w:val="24"/>
          <w:szCs w:val="24"/>
        </w:rPr>
      </w:pPr>
    </w:p>
    <w:p w:rsidR="00A82F54" w:rsidRPr="00A82F54" w:rsidRDefault="00A82F54" w:rsidP="00A82F54">
      <w:pPr>
        <w:ind w:left="851"/>
        <w:rPr>
          <w:i/>
          <w:iCs/>
          <w:sz w:val="24"/>
          <w:szCs w:val="24"/>
          <w:u w:val="single"/>
        </w:rPr>
      </w:pPr>
      <w:r w:rsidRPr="00A82F54">
        <w:rPr>
          <w:i/>
          <w:iCs/>
          <w:sz w:val="24"/>
          <w:szCs w:val="24"/>
          <w:u w:val="single"/>
        </w:rPr>
        <w:t>Interaktioner med lægemiddel-laboratorietests</w:t>
      </w:r>
    </w:p>
    <w:p w:rsidR="00A82F54" w:rsidRDefault="00A82F54" w:rsidP="00A82F54">
      <w:pPr>
        <w:ind w:left="851"/>
        <w:rPr>
          <w:sz w:val="24"/>
          <w:szCs w:val="24"/>
        </w:rPr>
      </w:pPr>
      <w:r>
        <w:rPr>
          <w:sz w:val="24"/>
          <w:szCs w:val="24"/>
        </w:rPr>
        <w:t xml:space="preserve">Der er rapporteret falsk-positive resultater af nogle urinscreeningtests for </w:t>
      </w:r>
      <w:proofErr w:type="spellStart"/>
      <w:r>
        <w:rPr>
          <w:sz w:val="24"/>
          <w:szCs w:val="24"/>
        </w:rPr>
        <w:t>tetrahydrocannabinol</w:t>
      </w:r>
      <w:proofErr w:type="spellEnd"/>
      <w:r>
        <w:rPr>
          <w:sz w:val="24"/>
          <w:szCs w:val="24"/>
        </w:rPr>
        <w:t xml:space="preserve"> (THC) hos patienter, der fik </w:t>
      </w:r>
      <w:proofErr w:type="spellStart"/>
      <w:r>
        <w:rPr>
          <w:sz w:val="24"/>
          <w:szCs w:val="24"/>
        </w:rPr>
        <w:t>pantoprazol</w:t>
      </w:r>
      <w:proofErr w:type="spellEnd"/>
      <w:r>
        <w:rPr>
          <w:sz w:val="24"/>
          <w:szCs w:val="24"/>
        </w:rPr>
        <w:t>. Der bør overvejes en alternativ metode til at verificere positive resultater.</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4.6</w:t>
      </w:r>
      <w:r w:rsidRPr="00D44204">
        <w:rPr>
          <w:b/>
          <w:sz w:val="24"/>
          <w:szCs w:val="24"/>
        </w:rPr>
        <w:tab/>
        <w:t>Fertilitet, graviditet og amning</w:t>
      </w:r>
    </w:p>
    <w:p w:rsidR="00E77D9E" w:rsidRPr="00D44204" w:rsidRDefault="00E77D9E" w:rsidP="00A171C9">
      <w:pPr>
        <w:tabs>
          <w:tab w:val="left" w:pos="709"/>
        </w:tabs>
        <w:ind w:left="851"/>
        <w:rPr>
          <w:i/>
          <w:sz w:val="24"/>
          <w:szCs w:val="24"/>
          <w:u w:val="single"/>
        </w:rPr>
      </w:pPr>
    </w:p>
    <w:p w:rsidR="00A171C9" w:rsidRPr="00D44204" w:rsidRDefault="00A171C9" w:rsidP="00A171C9">
      <w:pPr>
        <w:tabs>
          <w:tab w:val="left" w:pos="709"/>
        </w:tabs>
        <w:ind w:left="851"/>
        <w:rPr>
          <w:i/>
          <w:sz w:val="24"/>
          <w:szCs w:val="24"/>
          <w:u w:val="single"/>
        </w:rPr>
      </w:pPr>
      <w:r w:rsidRPr="00D44204">
        <w:rPr>
          <w:i/>
          <w:sz w:val="24"/>
          <w:szCs w:val="24"/>
          <w:u w:val="single"/>
        </w:rPr>
        <w:t>Graviditet</w:t>
      </w:r>
    </w:p>
    <w:p w:rsidR="00A171C9" w:rsidRPr="00D44204" w:rsidRDefault="00A171C9" w:rsidP="00A171C9">
      <w:pPr>
        <w:tabs>
          <w:tab w:val="left" w:pos="851"/>
        </w:tabs>
        <w:ind w:left="851"/>
        <w:rPr>
          <w:rStyle w:val="hps"/>
          <w:color w:val="222222"/>
          <w:sz w:val="24"/>
          <w:szCs w:val="24"/>
        </w:rPr>
      </w:pPr>
      <w:r w:rsidRPr="00D44204">
        <w:rPr>
          <w:rStyle w:val="hps"/>
          <w:color w:val="222222"/>
          <w:sz w:val="24"/>
          <w:szCs w:val="24"/>
        </w:rPr>
        <w:t>En</w:t>
      </w:r>
      <w:r w:rsidRPr="00D44204">
        <w:rPr>
          <w:color w:val="222222"/>
          <w:sz w:val="24"/>
          <w:szCs w:val="24"/>
        </w:rPr>
        <w:t xml:space="preserve"> </w:t>
      </w:r>
      <w:r w:rsidRPr="00D44204">
        <w:rPr>
          <w:rStyle w:val="hps"/>
          <w:color w:val="222222"/>
          <w:sz w:val="24"/>
          <w:szCs w:val="24"/>
        </w:rPr>
        <w:t>moderat mængde</w:t>
      </w:r>
      <w:r w:rsidRPr="00D44204">
        <w:rPr>
          <w:color w:val="222222"/>
          <w:sz w:val="24"/>
          <w:szCs w:val="24"/>
        </w:rPr>
        <w:t xml:space="preserve"> </w:t>
      </w:r>
      <w:r w:rsidRPr="00D44204">
        <w:rPr>
          <w:rStyle w:val="hps"/>
          <w:color w:val="222222"/>
          <w:sz w:val="24"/>
          <w:szCs w:val="24"/>
        </w:rPr>
        <w:t>data om</w:t>
      </w:r>
      <w:r w:rsidRPr="00D44204">
        <w:rPr>
          <w:color w:val="222222"/>
          <w:sz w:val="24"/>
          <w:szCs w:val="24"/>
        </w:rPr>
        <w:t xml:space="preserve"> </w:t>
      </w:r>
      <w:r w:rsidRPr="00D44204">
        <w:rPr>
          <w:rStyle w:val="hps"/>
          <w:color w:val="222222"/>
          <w:sz w:val="24"/>
          <w:szCs w:val="24"/>
        </w:rPr>
        <w:t>gravide kvinder</w:t>
      </w:r>
      <w:r w:rsidRPr="00D44204">
        <w:rPr>
          <w:color w:val="222222"/>
          <w:sz w:val="24"/>
          <w:szCs w:val="24"/>
        </w:rPr>
        <w:t xml:space="preserve"> </w:t>
      </w:r>
      <w:r w:rsidRPr="00D44204">
        <w:rPr>
          <w:rStyle w:val="hps"/>
          <w:color w:val="222222"/>
          <w:sz w:val="24"/>
          <w:szCs w:val="24"/>
        </w:rPr>
        <w:t>(mellem</w:t>
      </w:r>
      <w:r w:rsidRPr="00D44204">
        <w:rPr>
          <w:color w:val="222222"/>
          <w:sz w:val="24"/>
          <w:szCs w:val="24"/>
        </w:rPr>
        <w:t xml:space="preserve"> </w:t>
      </w:r>
      <w:r w:rsidRPr="00D44204">
        <w:rPr>
          <w:rStyle w:val="hps"/>
          <w:color w:val="222222"/>
          <w:sz w:val="24"/>
          <w:szCs w:val="24"/>
        </w:rPr>
        <w:t>300-1000</w:t>
      </w:r>
      <w:r w:rsidRPr="00D44204">
        <w:rPr>
          <w:color w:val="222222"/>
          <w:sz w:val="24"/>
          <w:szCs w:val="24"/>
        </w:rPr>
        <w:t xml:space="preserve"> </w:t>
      </w:r>
      <w:r w:rsidRPr="00D44204">
        <w:rPr>
          <w:rStyle w:val="hps"/>
          <w:color w:val="222222"/>
          <w:sz w:val="24"/>
          <w:szCs w:val="24"/>
        </w:rPr>
        <w:t>graviditeter</w:t>
      </w:r>
      <w:r w:rsidRPr="00D44204">
        <w:rPr>
          <w:color w:val="222222"/>
          <w:sz w:val="24"/>
          <w:szCs w:val="24"/>
        </w:rPr>
        <w:t xml:space="preserve">) indikerer </w:t>
      </w:r>
      <w:r w:rsidRPr="00D44204">
        <w:rPr>
          <w:rStyle w:val="hps"/>
          <w:color w:val="222222"/>
          <w:sz w:val="24"/>
          <w:szCs w:val="24"/>
        </w:rPr>
        <w:t>ingen misdannelser</w:t>
      </w:r>
      <w:r w:rsidRPr="00D44204">
        <w:rPr>
          <w:color w:val="222222"/>
          <w:sz w:val="24"/>
          <w:szCs w:val="24"/>
        </w:rPr>
        <w:t xml:space="preserve"> </w:t>
      </w:r>
      <w:r w:rsidRPr="00D44204">
        <w:rPr>
          <w:rStyle w:val="hps"/>
          <w:color w:val="222222"/>
          <w:sz w:val="24"/>
          <w:szCs w:val="24"/>
        </w:rPr>
        <w:t>eller</w:t>
      </w:r>
      <w:r w:rsidRPr="00D44204">
        <w:rPr>
          <w:color w:val="222222"/>
          <w:sz w:val="24"/>
          <w:szCs w:val="24"/>
        </w:rPr>
        <w:t xml:space="preserve"> </w:t>
      </w:r>
      <w:proofErr w:type="spellStart"/>
      <w:r w:rsidRPr="00D44204">
        <w:rPr>
          <w:rStyle w:val="hps"/>
          <w:color w:val="222222"/>
          <w:sz w:val="24"/>
          <w:szCs w:val="24"/>
        </w:rPr>
        <w:t>føtal</w:t>
      </w:r>
      <w:proofErr w:type="spellEnd"/>
      <w:r w:rsidRPr="00D44204">
        <w:rPr>
          <w:rStyle w:val="hps"/>
          <w:color w:val="222222"/>
          <w:sz w:val="24"/>
          <w:szCs w:val="24"/>
        </w:rPr>
        <w:t>/</w:t>
      </w:r>
      <w:r w:rsidRPr="00D44204">
        <w:rPr>
          <w:color w:val="222222"/>
          <w:sz w:val="24"/>
          <w:szCs w:val="24"/>
        </w:rPr>
        <w:t xml:space="preserve"> </w:t>
      </w:r>
      <w:r w:rsidRPr="00D44204">
        <w:rPr>
          <w:rStyle w:val="hps"/>
          <w:color w:val="222222"/>
          <w:sz w:val="24"/>
          <w:szCs w:val="24"/>
        </w:rPr>
        <w:t>neonatal toksicitet</w:t>
      </w:r>
      <w:r w:rsidRPr="00D44204">
        <w:rPr>
          <w:color w:val="222222"/>
          <w:sz w:val="24"/>
          <w:szCs w:val="24"/>
        </w:rPr>
        <w:t xml:space="preserve"> </w:t>
      </w:r>
      <w:r w:rsidRPr="00D44204">
        <w:rPr>
          <w:rStyle w:val="hps"/>
          <w:color w:val="222222"/>
          <w:sz w:val="24"/>
          <w:szCs w:val="24"/>
        </w:rPr>
        <w:t xml:space="preserve">af </w:t>
      </w:r>
      <w:proofErr w:type="spellStart"/>
      <w:r w:rsidRPr="00D44204">
        <w:rPr>
          <w:rStyle w:val="hps"/>
          <w:color w:val="222222"/>
          <w:sz w:val="24"/>
          <w:szCs w:val="24"/>
        </w:rPr>
        <w:t>pantoprazol</w:t>
      </w:r>
      <w:proofErr w:type="spellEnd"/>
      <w:r w:rsidRPr="00D44204">
        <w:rPr>
          <w:rStyle w:val="hps"/>
          <w:color w:val="222222"/>
          <w:sz w:val="24"/>
          <w:szCs w:val="24"/>
        </w:rPr>
        <w:t>.</w:t>
      </w:r>
    </w:p>
    <w:p w:rsidR="00A171C9" w:rsidRPr="00D44204" w:rsidRDefault="00A171C9" w:rsidP="00A171C9">
      <w:pPr>
        <w:tabs>
          <w:tab w:val="left" w:pos="851"/>
        </w:tabs>
        <w:ind w:left="851"/>
        <w:rPr>
          <w:rStyle w:val="hps"/>
          <w:color w:val="222222"/>
          <w:sz w:val="24"/>
          <w:szCs w:val="24"/>
        </w:rPr>
      </w:pPr>
      <w:r w:rsidRPr="00D44204">
        <w:rPr>
          <w:rStyle w:val="hps"/>
          <w:color w:val="222222"/>
          <w:sz w:val="24"/>
          <w:szCs w:val="24"/>
        </w:rPr>
        <w:t>Dyreforsøg har vist</w:t>
      </w:r>
      <w:r w:rsidRPr="00D44204">
        <w:rPr>
          <w:color w:val="222222"/>
          <w:sz w:val="24"/>
          <w:szCs w:val="24"/>
        </w:rPr>
        <w:t xml:space="preserve"> </w:t>
      </w:r>
      <w:r w:rsidRPr="00D44204">
        <w:rPr>
          <w:rStyle w:val="hps"/>
          <w:color w:val="222222"/>
          <w:sz w:val="24"/>
          <w:szCs w:val="24"/>
        </w:rPr>
        <w:t>reproduktionstoksicitet (se</w:t>
      </w:r>
      <w:r w:rsidRPr="00D44204">
        <w:rPr>
          <w:color w:val="222222"/>
          <w:sz w:val="24"/>
          <w:szCs w:val="24"/>
        </w:rPr>
        <w:t xml:space="preserve"> </w:t>
      </w:r>
      <w:r w:rsidR="003D1088">
        <w:rPr>
          <w:color w:val="222222"/>
          <w:sz w:val="24"/>
          <w:szCs w:val="24"/>
        </w:rPr>
        <w:t>pkt.</w:t>
      </w:r>
      <w:r w:rsidRPr="00D44204">
        <w:rPr>
          <w:rStyle w:val="hps"/>
          <w:color w:val="222222"/>
          <w:sz w:val="24"/>
          <w:szCs w:val="24"/>
        </w:rPr>
        <w:t xml:space="preserve"> 5.3).</w:t>
      </w:r>
    </w:p>
    <w:p w:rsidR="00A171C9" w:rsidRPr="00D44204" w:rsidRDefault="00A171C9" w:rsidP="00A171C9">
      <w:pPr>
        <w:tabs>
          <w:tab w:val="left" w:pos="851"/>
        </w:tabs>
        <w:ind w:left="851"/>
        <w:rPr>
          <w:sz w:val="24"/>
          <w:szCs w:val="24"/>
        </w:rPr>
      </w:pPr>
      <w:r w:rsidRPr="00D44204">
        <w:rPr>
          <w:rStyle w:val="hps"/>
          <w:color w:val="222222"/>
          <w:sz w:val="24"/>
          <w:szCs w:val="24"/>
        </w:rPr>
        <w:t>Som</w:t>
      </w:r>
      <w:r w:rsidRPr="00D44204">
        <w:rPr>
          <w:color w:val="222222"/>
          <w:sz w:val="24"/>
          <w:szCs w:val="24"/>
        </w:rPr>
        <w:t xml:space="preserve"> </w:t>
      </w:r>
      <w:r w:rsidRPr="00D44204">
        <w:rPr>
          <w:rStyle w:val="hps"/>
          <w:color w:val="222222"/>
          <w:sz w:val="24"/>
          <w:szCs w:val="24"/>
        </w:rPr>
        <w:t>en sikkerhedsforanstaltning</w:t>
      </w:r>
      <w:r w:rsidRPr="00D44204">
        <w:rPr>
          <w:color w:val="222222"/>
          <w:sz w:val="24"/>
          <w:szCs w:val="24"/>
        </w:rPr>
        <w:t xml:space="preserve">, </w:t>
      </w:r>
      <w:r w:rsidRPr="00D44204">
        <w:rPr>
          <w:rStyle w:val="hps"/>
          <w:color w:val="222222"/>
          <w:sz w:val="24"/>
          <w:szCs w:val="24"/>
        </w:rPr>
        <w:t>er det at foretrække at</w:t>
      </w:r>
      <w:r w:rsidRPr="00D44204">
        <w:rPr>
          <w:color w:val="222222"/>
          <w:sz w:val="24"/>
          <w:szCs w:val="24"/>
        </w:rPr>
        <w:t xml:space="preserve"> </w:t>
      </w:r>
      <w:r w:rsidRPr="00D44204">
        <w:rPr>
          <w:rStyle w:val="hps"/>
          <w:color w:val="222222"/>
          <w:sz w:val="24"/>
          <w:szCs w:val="24"/>
        </w:rPr>
        <w:t>undgå brug af</w:t>
      </w:r>
      <w:r w:rsidRPr="00D44204">
        <w:rPr>
          <w:color w:val="222222"/>
          <w:sz w:val="24"/>
          <w:szCs w:val="24"/>
        </w:rPr>
        <w:t xml:space="preserve"> </w:t>
      </w:r>
      <w:proofErr w:type="spellStart"/>
      <w:r w:rsidRPr="00D44204">
        <w:rPr>
          <w:rStyle w:val="hps"/>
          <w:color w:val="222222"/>
          <w:sz w:val="24"/>
          <w:szCs w:val="24"/>
        </w:rPr>
        <w:t>Pantoprazol</w:t>
      </w:r>
      <w:proofErr w:type="spellEnd"/>
      <w:r w:rsidRPr="00D44204">
        <w:rPr>
          <w:rStyle w:val="hps"/>
          <w:color w:val="222222"/>
          <w:sz w:val="24"/>
          <w:szCs w:val="24"/>
        </w:rPr>
        <w:t xml:space="preserve"> </w:t>
      </w:r>
      <w:r w:rsidR="00300098">
        <w:rPr>
          <w:rStyle w:val="hps"/>
          <w:color w:val="222222"/>
          <w:sz w:val="24"/>
          <w:szCs w:val="24"/>
        </w:rPr>
        <w:t>"</w:t>
      </w:r>
      <w:r w:rsidRPr="00D44204">
        <w:rPr>
          <w:rStyle w:val="hps"/>
          <w:color w:val="222222"/>
          <w:sz w:val="24"/>
          <w:szCs w:val="24"/>
        </w:rPr>
        <w:t>KRKA</w:t>
      </w:r>
      <w:r w:rsidR="00300098">
        <w:rPr>
          <w:rStyle w:val="hps"/>
          <w:color w:val="222222"/>
          <w:sz w:val="24"/>
          <w:szCs w:val="24"/>
        </w:rPr>
        <w:t>"</w:t>
      </w:r>
      <w:r w:rsidRPr="00D44204">
        <w:rPr>
          <w:color w:val="222222"/>
          <w:sz w:val="24"/>
          <w:szCs w:val="24"/>
        </w:rPr>
        <w:t xml:space="preserve"> </w:t>
      </w:r>
      <w:r w:rsidRPr="00D44204">
        <w:rPr>
          <w:rStyle w:val="hps"/>
          <w:color w:val="222222"/>
          <w:sz w:val="24"/>
          <w:szCs w:val="24"/>
        </w:rPr>
        <w:t>under graviditet.</w:t>
      </w:r>
    </w:p>
    <w:p w:rsidR="00A171C9" w:rsidRPr="00D44204" w:rsidRDefault="00A171C9" w:rsidP="00A171C9">
      <w:pPr>
        <w:tabs>
          <w:tab w:val="left" w:pos="709"/>
        </w:tabs>
        <w:ind w:left="851"/>
        <w:rPr>
          <w:sz w:val="24"/>
          <w:szCs w:val="24"/>
        </w:rPr>
      </w:pPr>
    </w:p>
    <w:p w:rsidR="00A171C9" w:rsidRPr="00D44204" w:rsidRDefault="00A171C9" w:rsidP="00A171C9">
      <w:pPr>
        <w:tabs>
          <w:tab w:val="left" w:pos="709"/>
        </w:tabs>
        <w:ind w:left="851"/>
        <w:rPr>
          <w:i/>
          <w:sz w:val="24"/>
          <w:szCs w:val="24"/>
          <w:u w:val="single"/>
        </w:rPr>
      </w:pPr>
      <w:r w:rsidRPr="00D44204">
        <w:rPr>
          <w:i/>
          <w:sz w:val="24"/>
          <w:szCs w:val="24"/>
          <w:u w:val="single"/>
        </w:rPr>
        <w:t>Amning</w:t>
      </w:r>
    </w:p>
    <w:p w:rsidR="00A171C9" w:rsidRPr="00D44204" w:rsidRDefault="00A171C9" w:rsidP="00A171C9">
      <w:pPr>
        <w:tabs>
          <w:tab w:val="left" w:pos="709"/>
        </w:tabs>
        <w:ind w:left="851"/>
        <w:rPr>
          <w:spacing w:val="-3"/>
          <w:sz w:val="24"/>
          <w:szCs w:val="24"/>
        </w:rPr>
      </w:pPr>
      <w:r w:rsidRPr="00D44204">
        <w:rPr>
          <w:spacing w:val="-3"/>
          <w:sz w:val="24"/>
          <w:szCs w:val="24"/>
        </w:rPr>
        <w:t xml:space="preserve">Dyreforsøg har vist, at </w:t>
      </w:r>
      <w:proofErr w:type="spellStart"/>
      <w:r w:rsidRPr="00D44204">
        <w:rPr>
          <w:spacing w:val="-3"/>
          <w:sz w:val="24"/>
          <w:szCs w:val="24"/>
        </w:rPr>
        <w:t>pantoprazol</w:t>
      </w:r>
      <w:proofErr w:type="spellEnd"/>
      <w:r w:rsidRPr="00D44204">
        <w:rPr>
          <w:spacing w:val="-3"/>
          <w:sz w:val="24"/>
          <w:szCs w:val="24"/>
        </w:rPr>
        <w:t xml:space="preserve"> udskilles i brystmælk. </w:t>
      </w:r>
      <w:r w:rsidRPr="00D44204">
        <w:rPr>
          <w:sz w:val="24"/>
          <w:szCs w:val="24"/>
        </w:rPr>
        <w:t xml:space="preserve">Det er uvist, om </w:t>
      </w:r>
      <w:proofErr w:type="spellStart"/>
      <w:r w:rsidRPr="00D44204">
        <w:rPr>
          <w:sz w:val="24"/>
          <w:szCs w:val="24"/>
        </w:rPr>
        <w:t>pantoprazol</w:t>
      </w:r>
      <w:proofErr w:type="spellEnd"/>
      <w:r w:rsidRPr="00D44204">
        <w:rPr>
          <w:sz w:val="24"/>
          <w:szCs w:val="24"/>
        </w:rPr>
        <w:t xml:space="preserve"> udskilles i modermælk hos mennesker, men det er rapporteret.</w:t>
      </w:r>
      <w:r w:rsidRPr="00D44204">
        <w:rPr>
          <w:spacing w:val="-3"/>
          <w:sz w:val="24"/>
          <w:szCs w:val="24"/>
        </w:rPr>
        <w:t xml:space="preserve"> </w:t>
      </w:r>
      <w:r w:rsidRPr="00D44204">
        <w:rPr>
          <w:sz w:val="24"/>
          <w:szCs w:val="24"/>
        </w:rPr>
        <w:t xml:space="preserve">En risiko for nyfødte / spædbørn kan ikke udelukkes. </w:t>
      </w:r>
      <w:r w:rsidRPr="00D44204">
        <w:rPr>
          <w:spacing w:val="-3"/>
          <w:sz w:val="24"/>
          <w:szCs w:val="24"/>
        </w:rPr>
        <w:t xml:space="preserve">Beslutningen om enten at afslutte amning eller at afslutte/afstå fra </w:t>
      </w:r>
      <w:proofErr w:type="spellStart"/>
      <w:r w:rsidRPr="00D44204">
        <w:rPr>
          <w:spacing w:val="-3"/>
          <w:sz w:val="24"/>
          <w:szCs w:val="24"/>
        </w:rPr>
        <w:t>Pantoprazol</w:t>
      </w:r>
      <w:proofErr w:type="spellEnd"/>
      <w:r w:rsidRPr="00D44204">
        <w:rPr>
          <w:spacing w:val="-3"/>
          <w:sz w:val="24"/>
          <w:szCs w:val="24"/>
        </w:rPr>
        <w:t xml:space="preserve"> </w:t>
      </w:r>
      <w:proofErr w:type="gramStart"/>
      <w:r w:rsidR="00300098">
        <w:rPr>
          <w:spacing w:val="-3"/>
          <w:sz w:val="24"/>
          <w:szCs w:val="24"/>
        </w:rPr>
        <w:t>"</w:t>
      </w:r>
      <w:r w:rsidRPr="00D44204">
        <w:rPr>
          <w:spacing w:val="-3"/>
          <w:sz w:val="24"/>
          <w:szCs w:val="24"/>
        </w:rPr>
        <w:t>KRKA</w:t>
      </w:r>
      <w:r w:rsidR="00300098">
        <w:rPr>
          <w:spacing w:val="-3"/>
          <w:sz w:val="24"/>
          <w:szCs w:val="24"/>
        </w:rPr>
        <w:t>"</w:t>
      </w:r>
      <w:r w:rsidRPr="00D44204">
        <w:rPr>
          <w:spacing w:val="-3"/>
          <w:sz w:val="24"/>
          <w:szCs w:val="24"/>
        </w:rPr>
        <w:t xml:space="preserve"> behandling</w:t>
      </w:r>
      <w:proofErr w:type="gramEnd"/>
      <w:r w:rsidRPr="00D44204">
        <w:rPr>
          <w:spacing w:val="-3"/>
          <w:sz w:val="24"/>
          <w:szCs w:val="24"/>
        </w:rPr>
        <w:t xml:space="preserve">, skal vurderes ved at opgøre fordelen ved amning for barnet overfor fordelen af </w:t>
      </w:r>
      <w:proofErr w:type="spellStart"/>
      <w:r w:rsidRPr="00D44204">
        <w:rPr>
          <w:spacing w:val="-3"/>
          <w:sz w:val="24"/>
          <w:szCs w:val="24"/>
        </w:rPr>
        <w:t>Pantoprazol</w:t>
      </w:r>
      <w:proofErr w:type="spellEnd"/>
      <w:r w:rsidRPr="00D44204">
        <w:rPr>
          <w:spacing w:val="-3"/>
          <w:sz w:val="24"/>
          <w:szCs w:val="24"/>
        </w:rPr>
        <w:t xml:space="preserve"> </w:t>
      </w:r>
      <w:r w:rsidR="00300098">
        <w:rPr>
          <w:spacing w:val="-3"/>
          <w:sz w:val="24"/>
          <w:szCs w:val="24"/>
        </w:rPr>
        <w:t>"</w:t>
      </w:r>
      <w:r w:rsidRPr="00D44204">
        <w:rPr>
          <w:spacing w:val="-3"/>
          <w:sz w:val="24"/>
          <w:szCs w:val="24"/>
        </w:rPr>
        <w:t>KRKA</w:t>
      </w:r>
      <w:r w:rsidR="00300098">
        <w:rPr>
          <w:spacing w:val="-3"/>
          <w:sz w:val="24"/>
          <w:szCs w:val="24"/>
        </w:rPr>
        <w:t>"</w:t>
      </w:r>
      <w:r w:rsidRPr="00D44204">
        <w:rPr>
          <w:spacing w:val="-3"/>
          <w:sz w:val="24"/>
          <w:szCs w:val="24"/>
        </w:rPr>
        <w:t xml:space="preserve"> behandling for kvinden. </w:t>
      </w:r>
    </w:p>
    <w:p w:rsidR="00A171C9" w:rsidRPr="00D44204" w:rsidRDefault="00A171C9" w:rsidP="00A171C9">
      <w:pPr>
        <w:tabs>
          <w:tab w:val="left" w:pos="709"/>
        </w:tabs>
        <w:ind w:left="851"/>
        <w:rPr>
          <w:sz w:val="24"/>
          <w:szCs w:val="24"/>
        </w:rPr>
      </w:pPr>
    </w:p>
    <w:p w:rsidR="00A171C9" w:rsidRPr="00D44204" w:rsidRDefault="00A171C9" w:rsidP="00A171C9">
      <w:pPr>
        <w:tabs>
          <w:tab w:val="left" w:pos="851"/>
        </w:tabs>
        <w:ind w:left="851"/>
        <w:rPr>
          <w:i/>
          <w:spacing w:val="-3"/>
          <w:sz w:val="24"/>
          <w:szCs w:val="24"/>
          <w:u w:val="single"/>
        </w:rPr>
      </w:pPr>
      <w:r w:rsidRPr="00D44204">
        <w:rPr>
          <w:i/>
          <w:spacing w:val="-3"/>
          <w:sz w:val="24"/>
          <w:szCs w:val="24"/>
          <w:u w:val="single"/>
        </w:rPr>
        <w:t>Fertilitet</w:t>
      </w:r>
    </w:p>
    <w:p w:rsidR="00A171C9" w:rsidRPr="00D44204" w:rsidRDefault="00A171C9" w:rsidP="00A171C9">
      <w:pPr>
        <w:tabs>
          <w:tab w:val="left" w:pos="851"/>
        </w:tabs>
        <w:ind w:left="851"/>
        <w:rPr>
          <w:color w:val="222222"/>
          <w:sz w:val="24"/>
          <w:szCs w:val="24"/>
        </w:rPr>
      </w:pPr>
      <w:r w:rsidRPr="00D44204">
        <w:rPr>
          <w:rStyle w:val="hps"/>
          <w:color w:val="222222"/>
          <w:sz w:val="24"/>
          <w:szCs w:val="24"/>
        </w:rPr>
        <w:t>Der var</w:t>
      </w:r>
      <w:r w:rsidRPr="00D44204">
        <w:rPr>
          <w:color w:val="222222"/>
          <w:sz w:val="24"/>
          <w:szCs w:val="24"/>
        </w:rPr>
        <w:t xml:space="preserve"> </w:t>
      </w:r>
      <w:r w:rsidRPr="00D44204">
        <w:rPr>
          <w:rStyle w:val="hps"/>
          <w:color w:val="222222"/>
          <w:sz w:val="24"/>
          <w:szCs w:val="24"/>
        </w:rPr>
        <w:t>ingen tegn på</w:t>
      </w:r>
      <w:r w:rsidRPr="00D44204">
        <w:rPr>
          <w:color w:val="222222"/>
          <w:sz w:val="24"/>
          <w:szCs w:val="24"/>
        </w:rPr>
        <w:t xml:space="preserve"> </w:t>
      </w:r>
      <w:r w:rsidRPr="00D44204">
        <w:rPr>
          <w:rStyle w:val="hps"/>
          <w:color w:val="222222"/>
          <w:sz w:val="24"/>
          <w:szCs w:val="24"/>
        </w:rPr>
        <w:t>nedsat fertilitet</w:t>
      </w:r>
      <w:r w:rsidRPr="00D44204">
        <w:rPr>
          <w:color w:val="222222"/>
          <w:sz w:val="24"/>
          <w:szCs w:val="24"/>
        </w:rPr>
        <w:t xml:space="preserve"> </w:t>
      </w:r>
      <w:r w:rsidRPr="00D44204">
        <w:rPr>
          <w:rStyle w:val="hps"/>
          <w:color w:val="222222"/>
          <w:sz w:val="24"/>
          <w:szCs w:val="24"/>
        </w:rPr>
        <w:t>efter administration af</w:t>
      </w:r>
      <w:r w:rsidRPr="00D44204">
        <w:rPr>
          <w:color w:val="222222"/>
          <w:sz w:val="24"/>
          <w:szCs w:val="24"/>
        </w:rPr>
        <w:t xml:space="preserve"> </w:t>
      </w:r>
      <w:proofErr w:type="spellStart"/>
      <w:r w:rsidRPr="00D44204">
        <w:rPr>
          <w:rStyle w:val="hps"/>
          <w:color w:val="222222"/>
          <w:sz w:val="24"/>
          <w:szCs w:val="24"/>
        </w:rPr>
        <w:t>pantoprazol</w:t>
      </w:r>
      <w:proofErr w:type="spellEnd"/>
      <w:r w:rsidRPr="00D44204">
        <w:rPr>
          <w:color w:val="222222"/>
          <w:sz w:val="24"/>
          <w:szCs w:val="24"/>
        </w:rPr>
        <w:t xml:space="preserve"> </w:t>
      </w:r>
      <w:r w:rsidRPr="00D44204">
        <w:rPr>
          <w:rStyle w:val="hps"/>
          <w:color w:val="222222"/>
          <w:sz w:val="24"/>
          <w:szCs w:val="24"/>
        </w:rPr>
        <w:t>i dyreforsøg</w:t>
      </w:r>
      <w:r w:rsidRPr="00D44204">
        <w:rPr>
          <w:color w:val="222222"/>
          <w:sz w:val="24"/>
          <w:szCs w:val="24"/>
        </w:rPr>
        <w:t xml:space="preserve"> </w:t>
      </w:r>
      <w:r w:rsidRPr="00D44204">
        <w:rPr>
          <w:rStyle w:val="hps"/>
          <w:color w:val="222222"/>
          <w:sz w:val="24"/>
          <w:szCs w:val="24"/>
        </w:rPr>
        <w:t>(</w:t>
      </w:r>
      <w:r w:rsidRPr="00D44204">
        <w:rPr>
          <w:color w:val="222222"/>
          <w:sz w:val="24"/>
          <w:szCs w:val="24"/>
        </w:rPr>
        <w:t xml:space="preserve">se </w:t>
      </w:r>
      <w:r w:rsidR="003D1088">
        <w:rPr>
          <w:color w:val="222222"/>
          <w:sz w:val="24"/>
          <w:szCs w:val="24"/>
        </w:rPr>
        <w:t>pkt.</w:t>
      </w:r>
      <w:r w:rsidRPr="00D44204">
        <w:rPr>
          <w:color w:val="222222"/>
          <w:sz w:val="24"/>
          <w:szCs w:val="24"/>
        </w:rPr>
        <w:t xml:space="preserve"> 5.3).</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4.7</w:t>
      </w:r>
      <w:r w:rsidRPr="00D44204">
        <w:rPr>
          <w:b/>
          <w:sz w:val="24"/>
          <w:szCs w:val="24"/>
        </w:rPr>
        <w:tab/>
        <w:t>Virkning på evnen til at føre motorkøretøj og betjene maskiner</w:t>
      </w:r>
    </w:p>
    <w:p w:rsidR="00A171C9" w:rsidRPr="00D44204" w:rsidRDefault="00A171C9" w:rsidP="00A171C9">
      <w:pPr>
        <w:tabs>
          <w:tab w:val="left" w:pos="851"/>
        </w:tabs>
        <w:ind w:left="855"/>
        <w:rPr>
          <w:sz w:val="24"/>
          <w:szCs w:val="24"/>
        </w:rPr>
      </w:pPr>
      <w:r w:rsidRPr="00D44204">
        <w:rPr>
          <w:sz w:val="24"/>
          <w:szCs w:val="24"/>
        </w:rPr>
        <w:t>Ikke mærkning.</w:t>
      </w:r>
    </w:p>
    <w:p w:rsidR="00A171C9" w:rsidRPr="00D44204" w:rsidRDefault="00A171C9" w:rsidP="00A171C9">
      <w:pPr>
        <w:tabs>
          <w:tab w:val="left" w:pos="851"/>
        </w:tabs>
        <w:ind w:left="851" w:hanging="851"/>
        <w:rPr>
          <w:sz w:val="24"/>
          <w:szCs w:val="24"/>
        </w:rPr>
      </w:pPr>
      <w:r w:rsidRPr="00D44204">
        <w:rPr>
          <w:sz w:val="24"/>
          <w:szCs w:val="24"/>
        </w:rPr>
        <w:tab/>
      </w:r>
      <w:proofErr w:type="spellStart"/>
      <w:r w:rsidRPr="00D44204">
        <w:rPr>
          <w:sz w:val="24"/>
          <w:szCs w:val="24"/>
        </w:rPr>
        <w:t>Pantoprazol</w:t>
      </w:r>
      <w:proofErr w:type="spellEnd"/>
      <w:r w:rsidRPr="00D44204">
        <w:rPr>
          <w:sz w:val="24"/>
          <w:szCs w:val="24"/>
        </w:rPr>
        <w:t xml:space="preserve"> påvirker ikke eller kun i ubetydelig grad evnen til at føre motorkøretøj og betjene maskiner. Der kan forekomme bivirkninger i form af svimmelhed og synsforstyrrelser (se pkt. 4.8). Patienter, der er påvirket heraf, bør ikke føre motorkøretøj eller betjene maskiner.</w:t>
      </w:r>
    </w:p>
    <w:p w:rsidR="00A171C9" w:rsidRPr="00D44204" w:rsidRDefault="00A171C9" w:rsidP="00A171C9">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4.8</w:t>
      </w:r>
      <w:r w:rsidRPr="00D44204">
        <w:rPr>
          <w:b/>
          <w:sz w:val="24"/>
          <w:szCs w:val="24"/>
        </w:rPr>
        <w:tab/>
        <w:t>Bivirkninger</w:t>
      </w:r>
    </w:p>
    <w:p w:rsidR="000F5E32" w:rsidRPr="00D44204" w:rsidRDefault="000F5E32" w:rsidP="000F5E32">
      <w:pPr>
        <w:ind w:left="855"/>
        <w:rPr>
          <w:sz w:val="24"/>
          <w:szCs w:val="24"/>
        </w:rPr>
      </w:pPr>
      <w:r w:rsidRPr="00D44204">
        <w:rPr>
          <w:sz w:val="24"/>
          <w:szCs w:val="24"/>
        </w:rPr>
        <w:t>Ca. 5</w:t>
      </w:r>
      <w:r w:rsidR="00300098">
        <w:rPr>
          <w:sz w:val="24"/>
          <w:szCs w:val="24"/>
        </w:rPr>
        <w:t xml:space="preserve"> %</w:t>
      </w:r>
      <w:r w:rsidRPr="00D44204">
        <w:rPr>
          <w:sz w:val="24"/>
          <w:szCs w:val="24"/>
        </w:rPr>
        <w:t xml:space="preserve"> af patienterne kan forvente at få bivirkninger.</w:t>
      </w:r>
    </w:p>
    <w:p w:rsidR="00A171C9" w:rsidRPr="00D44204" w:rsidRDefault="00A171C9" w:rsidP="00A171C9">
      <w:pPr>
        <w:ind w:left="855"/>
        <w:rPr>
          <w:sz w:val="24"/>
          <w:szCs w:val="24"/>
        </w:rPr>
      </w:pPr>
    </w:p>
    <w:p w:rsidR="00A171C9" w:rsidRPr="00D44204" w:rsidRDefault="00A171C9" w:rsidP="00A171C9">
      <w:pPr>
        <w:ind w:left="855"/>
        <w:rPr>
          <w:sz w:val="24"/>
          <w:szCs w:val="24"/>
        </w:rPr>
      </w:pPr>
      <w:r w:rsidRPr="00D44204">
        <w:rPr>
          <w:sz w:val="24"/>
          <w:szCs w:val="24"/>
        </w:rPr>
        <w:t xml:space="preserve">I tabellen nedenfor er de rapporterede bivirkninger med </w:t>
      </w:r>
      <w:proofErr w:type="spellStart"/>
      <w:r w:rsidRPr="00D44204">
        <w:rPr>
          <w:sz w:val="24"/>
          <w:szCs w:val="24"/>
        </w:rPr>
        <w:t>pantoprazol</w:t>
      </w:r>
      <w:proofErr w:type="spellEnd"/>
      <w:r w:rsidRPr="00D44204">
        <w:rPr>
          <w:sz w:val="24"/>
          <w:szCs w:val="24"/>
        </w:rPr>
        <w:t xml:space="preserve"> opført efter følgende frekvenskategorier:</w:t>
      </w:r>
    </w:p>
    <w:p w:rsidR="00A171C9" w:rsidRPr="00D44204" w:rsidRDefault="00A171C9" w:rsidP="00A171C9">
      <w:pPr>
        <w:ind w:left="855"/>
        <w:rPr>
          <w:sz w:val="24"/>
          <w:szCs w:val="24"/>
        </w:rPr>
      </w:pPr>
    </w:p>
    <w:p w:rsidR="00A171C9" w:rsidRPr="00D44204" w:rsidRDefault="00A171C9" w:rsidP="00E77D9E">
      <w:pPr>
        <w:ind w:left="851"/>
        <w:rPr>
          <w:sz w:val="24"/>
          <w:szCs w:val="24"/>
        </w:rPr>
      </w:pPr>
      <w:r w:rsidRPr="00D44204">
        <w:rPr>
          <w:sz w:val="24"/>
          <w:szCs w:val="24"/>
        </w:rPr>
        <w:t>Meget almindelig (≥1/10)</w:t>
      </w:r>
    </w:p>
    <w:p w:rsidR="00A171C9" w:rsidRPr="00D44204" w:rsidRDefault="00A171C9" w:rsidP="00E77D9E">
      <w:pPr>
        <w:ind w:left="851"/>
        <w:rPr>
          <w:sz w:val="24"/>
          <w:szCs w:val="24"/>
        </w:rPr>
      </w:pPr>
      <w:r w:rsidRPr="00D44204">
        <w:rPr>
          <w:sz w:val="24"/>
          <w:szCs w:val="24"/>
        </w:rPr>
        <w:t xml:space="preserve">Almindelig (≥1/100 til &lt;1/10) </w:t>
      </w:r>
    </w:p>
    <w:p w:rsidR="00A171C9" w:rsidRPr="00D44204" w:rsidRDefault="00A171C9" w:rsidP="00E77D9E">
      <w:pPr>
        <w:ind w:left="851"/>
        <w:rPr>
          <w:sz w:val="24"/>
          <w:szCs w:val="24"/>
        </w:rPr>
      </w:pPr>
      <w:r w:rsidRPr="00D44204">
        <w:rPr>
          <w:sz w:val="24"/>
          <w:szCs w:val="24"/>
        </w:rPr>
        <w:t xml:space="preserve">Ikke almindelig (≥1/1.000 til &lt;1/100) </w:t>
      </w:r>
    </w:p>
    <w:p w:rsidR="00A171C9" w:rsidRPr="00D44204" w:rsidRDefault="00A171C9" w:rsidP="00E77D9E">
      <w:pPr>
        <w:ind w:left="851"/>
        <w:rPr>
          <w:sz w:val="24"/>
          <w:szCs w:val="24"/>
        </w:rPr>
      </w:pPr>
      <w:r w:rsidRPr="00D44204">
        <w:rPr>
          <w:sz w:val="24"/>
          <w:szCs w:val="24"/>
        </w:rPr>
        <w:t>Sj</w:t>
      </w:r>
      <w:r w:rsidRPr="00D44204">
        <w:rPr>
          <w:sz w:val="24"/>
          <w:szCs w:val="24"/>
          <w:lang w:val="el-GR"/>
        </w:rPr>
        <w:t>æ</w:t>
      </w:r>
      <w:proofErr w:type="spellStart"/>
      <w:r w:rsidRPr="00D44204">
        <w:rPr>
          <w:sz w:val="24"/>
          <w:szCs w:val="24"/>
        </w:rPr>
        <w:t>lden</w:t>
      </w:r>
      <w:proofErr w:type="spellEnd"/>
      <w:r w:rsidRPr="00D44204">
        <w:rPr>
          <w:sz w:val="24"/>
          <w:szCs w:val="24"/>
        </w:rPr>
        <w:t xml:space="preserve"> </w:t>
      </w:r>
      <w:r w:rsidRPr="00D44204">
        <w:rPr>
          <w:sz w:val="24"/>
          <w:szCs w:val="24"/>
          <w:lang w:val="el-GR"/>
        </w:rPr>
        <w:t>(</w:t>
      </w:r>
      <w:r w:rsidRPr="00D44204">
        <w:rPr>
          <w:sz w:val="24"/>
          <w:szCs w:val="24"/>
        </w:rPr>
        <w:t>≥</w:t>
      </w:r>
      <w:r w:rsidRPr="00D44204">
        <w:rPr>
          <w:sz w:val="24"/>
          <w:szCs w:val="24"/>
          <w:lang w:val="el-GR"/>
        </w:rPr>
        <w:t>1/10</w:t>
      </w:r>
      <w:r w:rsidRPr="00D44204">
        <w:rPr>
          <w:sz w:val="24"/>
          <w:szCs w:val="24"/>
        </w:rPr>
        <w:t>.</w:t>
      </w:r>
      <w:r w:rsidRPr="00D44204">
        <w:rPr>
          <w:sz w:val="24"/>
          <w:szCs w:val="24"/>
          <w:lang w:val="el-GR"/>
        </w:rPr>
        <w:t>000</w:t>
      </w:r>
      <w:r w:rsidRPr="00D44204">
        <w:rPr>
          <w:sz w:val="24"/>
          <w:szCs w:val="24"/>
        </w:rPr>
        <w:t xml:space="preserve"> til</w:t>
      </w:r>
      <w:r w:rsidRPr="00D44204">
        <w:rPr>
          <w:sz w:val="24"/>
          <w:szCs w:val="24"/>
          <w:lang w:val="el-GR"/>
        </w:rPr>
        <w:t xml:space="preserve"> </w:t>
      </w:r>
      <w:r w:rsidRPr="00D44204">
        <w:rPr>
          <w:sz w:val="24"/>
          <w:szCs w:val="24"/>
        </w:rPr>
        <w:t>&lt;</w:t>
      </w:r>
      <w:r w:rsidRPr="00D44204">
        <w:rPr>
          <w:sz w:val="24"/>
          <w:szCs w:val="24"/>
          <w:lang w:val="el-GR"/>
        </w:rPr>
        <w:t>1/1</w:t>
      </w:r>
      <w:r w:rsidRPr="00D44204">
        <w:rPr>
          <w:sz w:val="24"/>
          <w:szCs w:val="24"/>
        </w:rPr>
        <w:t>.</w:t>
      </w:r>
      <w:r w:rsidRPr="00D44204">
        <w:rPr>
          <w:sz w:val="24"/>
          <w:szCs w:val="24"/>
          <w:lang w:val="el-GR"/>
        </w:rPr>
        <w:t>000)</w:t>
      </w:r>
    </w:p>
    <w:p w:rsidR="00A171C9" w:rsidRPr="00D44204" w:rsidRDefault="00A171C9" w:rsidP="00E77D9E">
      <w:pPr>
        <w:ind w:left="851"/>
        <w:rPr>
          <w:sz w:val="24"/>
          <w:szCs w:val="24"/>
        </w:rPr>
      </w:pPr>
      <w:r w:rsidRPr="00D44204">
        <w:rPr>
          <w:sz w:val="24"/>
          <w:szCs w:val="24"/>
        </w:rPr>
        <w:t>Meget sjælden (&lt;1/10.000)</w:t>
      </w:r>
    </w:p>
    <w:p w:rsidR="00A171C9" w:rsidRPr="00D44204" w:rsidRDefault="00A171C9" w:rsidP="00E77D9E">
      <w:pPr>
        <w:ind w:left="851"/>
        <w:rPr>
          <w:sz w:val="24"/>
          <w:szCs w:val="24"/>
        </w:rPr>
      </w:pPr>
      <w:r w:rsidRPr="00D44204">
        <w:rPr>
          <w:sz w:val="24"/>
          <w:szCs w:val="24"/>
        </w:rPr>
        <w:t>Ikke kendt (kan ikke estimeres ud fra forhåndenværende data).</w:t>
      </w:r>
    </w:p>
    <w:p w:rsidR="00A171C9" w:rsidRPr="00D44204" w:rsidRDefault="00A171C9" w:rsidP="00A171C9">
      <w:pPr>
        <w:ind w:left="855"/>
        <w:rPr>
          <w:sz w:val="24"/>
          <w:szCs w:val="24"/>
        </w:rPr>
      </w:pPr>
    </w:p>
    <w:p w:rsidR="00A171C9" w:rsidRPr="00D44204" w:rsidRDefault="00A171C9" w:rsidP="00A171C9">
      <w:pPr>
        <w:ind w:left="855"/>
        <w:rPr>
          <w:sz w:val="24"/>
          <w:szCs w:val="24"/>
        </w:rPr>
      </w:pPr>
      <w:r w:rsidRPr="00D44204">
        <w:rPr>
          <w:sz w:val="24"/>
          <w:szCs w:val="24"/>
        </w:rPr>
        <w:t xml:space="preserve">For alle bivirkninger, der er rapporteret efter markedsføring, er det ikke muligt at fastsætte hyppighed. De er derfor alle nævnt med frekvensen </w:t>
      </w:r>
      <w:r w:rsidR="00300098">
        <w:rPr>
          <w:sz w:val="24"/>
          <w:szCs w:val="24"/>
        </w:rPr>
        <w:t>"</w:t>
      </w:r>
      <w:r w:rsidRPr="00D44204">
        <w:rPr>
          <w:sz w:val="24"/>
          <w:szCs w:val="24"/>
        </w:rPr>
        <w:t>ikke kendt</w:t>
      </w:r>
      <w:r w:rsidR="00300098">
        <w:rPr>
          <w:sz w:val="24"/>
          <w:szCs w:val="24"/>
        </w:rPr>
        <w:t>"</w:t>
      </w:r>
      <w:r w:rsidRPr="00D44204">
        <w:rPr>
          <w:sz w:val="24"/>
          <w:szCs w:val="24"/>
        </w:rPr>
        <w:t>.</w:t>
      </w:r>
    </w:p>
    <w:p w:rsidR="00A171C9" w:rsidRPr="00D44204" w:rsidRDefault="00A171C9" w:rsidP="00A171C9">
      <w:pPr>
        <w:ind w:left="855"/>
        <w:rPr>
          <w:sz w:val="24"/>
          <w:szCs w:val="24"/>
        </w:rPr>
      </w:pPr>
    </w:p>
    <w:p w:rsidR="00A171C9" w:rsidRPr="00D44204" w:rsidRDefault="00A171C9" w:rsidP="00A171C9">
      <w:pPr>
        <w:ind w:left="855"/>
        <w:rPr>
          <w:noProof/>
          <w:sz w:val="24"/>
          <w:szCs w:val="24"/>
        </w:rPr>
      </w:pPr>
      <w:r w:rsidRPr="00D44204">
        <w:rPr>
          <w:noProof/>
          <w:sz w:val="24"/>
          <w:szCs w:val="24"/>
        </w:rPr>
        <w:t xml:space="preserve">Inden for hver </w:t>
      </w:r>
      <w:r w:rsidRPr="00D44204">
        <w:rPr>
          <w:iCs/>
          <w:sz w:val="24"/>
          <w:szCs w:val="24"/>
        </w:rPr>
        <w:t>enkelt frekvensgruppe</w:t>
      </w:r>
      <w:r w:rsidRPr="00D44204">
        <w:rPr>
          <w:noProof/>
          <w:sz w:val="24"/>
          <w:szCs w:val="24"/>
        </w:rPr>
        <w:t xml:space="preserve"> er bivirkningerne opstillet efter, hvor alvorlige de er. De </w:t>
      </w:r>
      <w:r w:rsidRPr="00D44204">
        <w:rPr>
          <w:iCs/>
          <w:sz w:val="24"/>
          <w:szCs w:val="24"/>
        </w:rPr>
        <w:t>alvorligste bivirkninger</w:t>
      </w:r>
      <w:r w:rsidRPr="00D44204">
        <w:rPr>
          <w:noProof/>
          <w:sz w:val="24"/>
          <w:szCs w:val="24"/>
        </w:rPr>
        <w:t xml:space="preserve"> er anført først.</w:t>
      </w:r>
    </w:p>
    <w:p w:rsidR="00A171C9" w:rsidRPr="00D44204" w:rsidRDefault="00A171C9" w:rsidP="00A171C9">
      <w:pPr>
        <w:ind w:left="855"/>
        <w:rPr>
          <w:sz w:val="24"/>
          <w:szCs w:val="24"/>
        </w:rPr>
      </w:pPr>
    </w:p>
    <w:p w:rsidR="00A171C9" w:rsidRPr="003D1088" w:rsidRDefault="00A171C9" w:rsidP="00A171C9">
      <w:pPr>
        <w:ind w:left="855"/>
        <w:rPr>
          <w:sz w:val="24"/>
          <w:szCs w:val="24"/>
          <w:u w:val="single"/>
        </w:rPr>
      </w:pPr>
      <w:r w:rsidRPr="003D1088">
        <w:rPr>
          <w:sz w:val="24"/>
          <w:szCs w:val="24"/>
          <w:u w:val="single"/>
        </w:rPr>
        <w:t>Tabel over bivirkninger</w:t>
      </w:r>
    </w:p>
    <w:p w:rsidR="00A171C9" w:rsidRPr="00D44204" w:rsidRDefault="00A171C9" w:rsidP="00A171C9">
      <w:pPr>
        <w:ind w:left="855"/>
        <w:rPr>
          <w:sz w:val="24"/>
          <w:szCs w:val="24"/>
        </w:rPr>
      </w:pPr>
    </w:p>
    <w:p w:rsidR="00A171C9" w:rsidRPr="003D1088" w:rsidRDefault="00A171C9" w:rsidP="003D1088">
      <w:pPr>
        <w:rPr>
          <w:b/>
          <w:sz w:val="24"/>
          <w:szCs w:val="24"/>
        </w:rPr>
      </w:pPr>
      <w:r w:rsidRPr="003D1088">
        <w:rPr>
          <w:b/>
          <w:sz w:val="24"/>
          <w:szCs w:val="24"/>
        </w:rPr>
        <w:t xml:space="preserve">Tabel 1. Bivirkninger med </w:t>
      </w:r>
      <w:proofErr w:type="spellStart"/>
      <w:r w:rsidRPr="003D1088">
        <w:rPr>
          <w:b/>
          <w:sz w:val="24"/>
          <w:szCs w:val="24"/>
        </w:rPr>
        <w:t>pantoprazol</w:t>
      </w:r>
      <w:proofErr w:type="spellEnd"/>
      <w:r w:rsidRPr="003D1088">
        <w:rPr>
          <w:b/>
          <w:sz w:val="24"/>
          <w:szCs w:val="24"/>
        </w:rPr>
        <w:t xml:space="preserve"> i kliniske undersøgelser og efter markedsføring.</w:t>
      </w:r>
    </w:p>
    <w:p w:rsidR="00A171C9" w:rsidRPr="00D44204" w:rsidRDefault="00A171C9" w:rsidP="00A171C9">
      <w:pPr>
        <w:ind w:firstLine="851"/>
        <w:rPr>
          <w:sz w:val="24"/>
          <w:szCs w:val="24"/>
        </w:rPr>
      </w:pPr>
    </w:p>
    <w:tbl>
      <w:tblPr>
        <w:tblStyle w:val="Tabel-Gitter"/>
        <w:tblW w:w="5021" w:type="pct"/>
        <w:tblInd w:w="0" w:type="dxa"/>
        <w:tblLayout w:type="fixed"/>
        <w:tblLook w:val="04A0" w:firstRow="1" w:lastRow="0" w:firstColumn="1" w:lastColumn="0" w:noHBand="0" w:noVBand="1"/>
      </w:tblPr>
      <w:tblGrid>
        <w:gridCol w:w="1838"/>
        <w:gridCol w:w="1256"/>
        <w:gridCol w:w="1756"/>
        <w:gridCol w:w="1937"/>
        <w:gridCol w:w="1524"/>
        <w:gridCol w:w="1357"/>
      </w:tblGrid>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Hyppighed</w:t>
            </w:r>
          </w:p>
        </w:tc>
        <w:tc>
          <w:tcPr>
            <w:tcW w:w="649"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b/>
                <w:bCs/>
                <w:noProof/>
                <w:sz w:val="22"/>
                <w:szCs w:val="22"/>
              </w:rPr>
            </w:pPr>
            <w:r w:rsidRPr="003D1088">
              <w:rPr>
                <w:b/>
                <w:sz w:val="22"/>
                <w:szCs w:val="22"/>
              </w:rPr>
              <w:t>Almindelig</w:t>
            </w: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Ikke almindelig</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Sjælden</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Meget sjælden</w:t>
            </w: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Ikke kendt</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
                <w:bCs/>
                <w:noProof/>
                <w:sz w:val="22"/>
                <w:szCs w:val="22"/>
              </w:rPr>
              <w:t>Systemorgan</w:t>
            </w:r>
            <w:r w:rsidR="003D1088">
              <w:rPr>
                <w:b/>
                <w:bCs/>
                <w:noProof/>
                <w:sz w:val="22"/>
                <w:szCs w:val="22"/>
              </w:rPr>
              <w:softHyphen/>
            </w:r>
            <w:r w:rsidRPr="003D1088">
              <w:rPr>
                <w:b/>
                <w:bCs/>
                <w:noProof/>
                <w:sz w:val="22"/>
                <w:szCs w:val="22"/>
              </w:rPr>
              <w:t>klasse</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bCs/>
                <w:noProof/>
                <w:sz w:val="22"/>
                <w:szCs w:val="22"/>
              </w:rPr>
              <w:t>Blod og lymfesystem</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proofErr w:type="spellStart"/>
            <w:r w:rsidRPr="003D1088">
              <w:rPr>
                <w:sz w:val="22"/>
                <w:szCs w:val="22"/>
              </w:rPr>
              <w:t>Agranulocytose</w:t>
            </w:r>
            <w:proofErr w:type="spellEnd"/>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noProof/>
                <w:sz w:val="22"/>
                <w:szCs w:val="22"/>
              </w:rPr>
            </w:pPr>
            <w:r w:rsidRPr="003D1088">
              <w:rPr>
                <w:noProof/>
                <w:sz w:val="22"/>
                <w:szCs w:val="22"/>
              </w:rPr>
              <w:t>Trombo</w:t>
            </w:r>
            <w:r w:rsidRPr="003D1088">
              <w:rPr>
                <w:noProof/>
                <w:sz w:val="22"/>
                <w:szCs w:val="22"/>
              </w:rPr>
              <w:softHyphen/>
              <w:t>cytopeni,</w:t>
            </w:r>
          </w:p>
          <w:p w:rsidR="00A403E8" w:rsidRPr="003D1088" w:rsidRDefault="00A403E8" w:rsidP="003D1088">
            <w:pPr>
              <w:tabs>
                <w:tab w:val="left" w:pos="540"/>
              </w:tabs>
              <w:rPr>
                <w:noProof/>
                <w:sz w:val="22"/>
                <w:szCs w:val="22"/>
              </w:rPr>
            </w:pPr>
            <w:r w:rsidRPr="003D1088">
              <w:rPr>
                <w:noProof/>
                <w:sz w:val="22"/>
                <w:szCs w:val="22"/>
              </w:rPr>
              <w:t>Leukopeni,</w:t>
            </w:r>
          </w:p>
          <w:p w:rsidR="00A403E8" w:rsidRPr="003D1088" w:rsidRDefault="00A403E8" w:rsidP="003D1088">
            <w:pPr>
              <w:tabs>
                <w:tab w:val="left" w:pos="540"/>
              </w:tabs>
              <w:rPr>
                <w:sz w:val="22"/>
                <w:szCs w:val="22"/>
              </w:rPr>
            </w:pPr>
            <w:r w:rsidRPr="003D1088">
              <w:rPr>
                <w:noProof/>
                <w:sz w:val="22"/>
                <w:szCs w:val="22"/>
              </w:rPr>
              <w:t>pancytopeni</w:t>
            </w:r>
          </w:p>
        </w:tc>
        <w:tc>
          <w:tcPr>
            <w:tcW w:w="7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Immunsystemet</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xml:space="preserve">Hypersensitivitet (inklusive </w:t>
            </w:r>
            <w:proofErr w:type="spellStart"/>
            <w:r w:rsidRPr="003D1088">
              <w:rPr>
                <w:color w:val="000000"/>
                <w:sz w:val="22"/>
                <w:szCs w:val="22"/>
              </w:rPr>
              <w:t>anafylaktiske</w:t>
            </w:r>
            <w:proofErr w:type="spellEnd"/>
            <w:r w:rsidRPr="003D1088">
              <w:rPr>
                <w:color w:val="000000"/>
                <w:sz w:val="22"/>
                <w:szCs w:val="22"/>
              </w:rPr>
              <w:t xml:space="preserve"> reaktioner og </w:t>
            </w:r>
            <w:proofErr w:type="spellStart"/>
            <w:r w:rsidRPr="003D1088">
              <w:rPr>
                <w:color w:val="000000"/>
                <w:sz w:val="22"/>
                <w:szCs w:val="22"/>
              </w:rPr>
              <w:t>anafylaktisk</w:t>
            </w:r>
            <w:proofErr w:type="spellEnd"/>
            <w:r w:rsidRPr="003D1088">
              <w:rPr>
                <w:color w:val="000000"/>
                <w:sz w:val="22"/>
                <w:szCs w:val="22"/>
              </w:rPr>
              <w:t xml:space="preserve"> </w:t>
            </w:r>
            <w:proofErr w:type="spellStart"/>
            <w:r w:rsidRPr="003D1088">
              <w:rPr>
                <w:color w:val="000000"/>
                <w:sz w:val="22"/>
                <w:szCs w:val="22"/>
              </w:rPr>
              <w:t>shock</w:t>
            </w:r>
            <w:proofErr w:type="spellEnd"/>
            <w:r w:rsidRPr="003D1088">
              <w:rPr>
                <w:color w:val="000000"/>
                <w:sz w:val="22"/>
                <w:szCs w:val="22"/>
              </w:rPr>
              <w:t>)</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noProof/>
                <w:sz w:val="22"/>
                <w:szCs w:val="22"/>
              </w:rPr>
            </w:pPr>
            <w:r w:rsidRPr="003D1088">
              <w:rPr>
                <w:noProof/>
                <w:sz w:val="22"/>
                <w:szCs w:val="22"/>
              </w:rPr>
              <w:t>Metabolisme og ernæring</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color w:val="000000"/>
                <w:sz w:val="22"/>
                <w:szCs w:val="22"/>
              </w:rPr>
            </w:pPr>
            <w:proofErr w:type="spellStart"/>
            <w:r w:rsidRPr="003D1088">
              <w:rPr>
                <w:color w:val="000000"/>
                <w:sz w:val="22"/>
                <w:szCs w:val="22"/>
              </w:rPr>
              <w:t>Hyperlipidæmi</w:t>
            </w:r>
            <w:proofErr w:type="spellEnd"/>
            <w:r w:rsidRPr="003D1088">
              <w:rPr>
                <w:color w:val="000000"/>
                <w:sz w:val="22"/>
                <w:szCs w:val="22"/>
              </w:rPr>
              <w:t xml:space="preserve"> og øget lipid (triglycerid, </w:t>
            </w:r>
            <w:proofErr w:type="spellStart"/>
            <w:r w:rsidRPr="003D1088">
              <w:rPr>
                <w:color w:val="000000"/>
                <w:sz w:val="22"/>
                <w:szCs w:val="22"/>
              </w:rPr>
              <w:t>cholesterol</w:t>
            </w:r>
            <w:proofErr w:type="spellEnd"/>
            <w:r w:rsidRPr="003D1088">
              <w:rPr>
                <w:color w:val="000000"/>
                <w:sz w:val="22"/>
                <w:szCs w:val="22"/>
              </w:rPr>
              <w:t>), vægtændringer</w:t>
            </w:r>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noProof/>
                <w:sz w:val="22"/>
                <w:szCs w:val="22"/>
              </w:rPr>
            </w:pPr>
            <w:r w:rsidRPr="003D1088">
              <w:rPr>
                <w:noProof/>
                <w:sz w:val="22"/>
                <w:szCs w:val="22"/>
              </w:rPr>
              <w:t>Hyponatri</w:t>
            </w:r>
            <w:r w:rsidR="003D1088">
              <w:rPr>
                <w:noProof/>
                <w:sz w:val="22"/>
                <w:szCs w:val="22"/>
              </w:rPr>
              <w:softHyphen/>
            </w:r>
            <w:r w:rsidRPr="003D1088">
              <w:rPr>
                <w:noProof/>
                <w:sz w:val="22"/>
                <w:szCs w:val="22"/>
              </w:rPr>
              <w:t>æmi,</w:t>
            </w:r>
          </w:p>
          <w:p w:rsidR="00A403E8" w:rsidRPr="003D1088" w:rsidRDefault="00A403E8" w:rsidP="003D1088">
            <w:pPr>
              <w:tabs>
                <w:tab w:val="left" w:pos="540"/>
              </w:tabs>
              <w:rPr>
                <w:sz w:val="22"/>
                <w:szCs w:val="22"/>
              </w:rPr>
            </w:pPr>
            <w:proofErr w:type="spellStart"/>
            <w:r w:rsidRPr="003D1088">
              <w:rPr>
                <w:sz w:val="22"/>
                <w:szCs w:val="22"/>
              </w:rPr>
              <w:t>hypomagnesiæmi</w:t>
            </w:r>
            <w:proofErr w:type="spellEnd"/>
            <w:r w:rsidRPr="003D1088">
              <w:rPr>
                <w:sz w:val="22"/>
                <w:szCs w:val="22"/>
              </w:rPr>
              <w:t xml:space="preserve"> (se pkt. 4.4),</w:t>
            </w:r>
          </w:p>
          <w:p w:rsidR="00A403E8" w:rsidRPr="003D1088" w:rsidRDefault="00A403E8" w:rsidP="003D1088">
            <w:pPr>
              <w:tabs>
                <w:tab w:val="left" w:pos="540"/>
              </w:tabs>
              <w:rPr>
                <w:noProof/>
                <w:sz w:val="22"/>
                <w:szCs w:val="22"/>
              </w:rPr>
            </w:pPr>
            <w:r w:rsidRPr="003D1088">
              <w:rPr>
                <w:sz w:val="22"/>
                <w:szCs w:val="22"/>
              </w:rPr>
              <w:t>hypocalcæmi</w:t>
            </w:r>
            <w:r w:rsidRPr="003D1088">
              <w:rPr>
                <w:noProof/>
                <w:sz w:val="22"/>
                <w:szCs w:val="22"/>
                <w:vertAlign w:val="superscript"/>
              </w:rPr>
              <w:t>1</w:t>
            </w:r>
            <w:r w:rsidRPr="003D1088">
              <w:rPr>
                <w:noProof/>
                <w:sz w:val="22"/>
                <w:szCs w:val="22"/>
              </w:rPr>
              <w:t>,</w:t>
            </w:r>
          </w:p>
          <w:p w:rsidR="00A403E8" w:rsidRPr="003D1088" w:rsidRDefault="00A403E8" w:rsidP="003D1088">
            <w:pPr>
              <w:tabs>
                <w:tab w:val="left" w:pos="540"/>
              </w:tabs>
              <w:rPr>
                <w:noProof/>
                <w:sz w:val="22"/>
                <w:szCs w:val="22"/>
              </w:rPr>
            </w:pPr>
            <w:r w:rsidRPr="003D1088">
              <w:rPr>
                <w:noProof/>
                <w:sz w:val="22"/>
                <w:szCs w:val="22"/>
              </w:rPr>
              <w:t>hypokaliæ</w:t>
            </w:r>
            <w:r w:rsidR="003D1088">
              <w:rPr>
                <w:noProof/>
                <w:sz w:val="22"/>
                <w:szCs w:val="22"/>
              </w:rPr>
              <w:softHyphen/>
            </w:r>
            <w:r w:rsidRPr="003D1088">
              <w:rPr>
                <w:noProof/>
                <w:sz w:val="22"/>
                <w:szCs w:val="22"/>
              </w:rPr>
              <w:t>mi</w:t>
            </w:r>
            <w:r w:rsidR="000F5E32" w:rsidRPr="003D1088">
              <w:rPr>
                <w:noProof/>
                <w:sz w:val="22"/>
                <w:szCs w:val="22"/>
                <w:vertAlign w:val="superscript"/>
              </w:rPr>
              <w:t>1</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Psykiske forstyrrelser</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Søvn</w:t>
            </w:r>
            <w:r w:rsidRPr="003D1088">
              <w:rPr>
                <w:noProof/>
                <w:sz w:val="22"/>
                <w:szCs w:val="22"/>
              </w:rPr>
              <w:softHyphen/>
            </w:r>
            <w:r w:rsidRPr="003D1088">
              <w:rPr>
                <w:color w:val="000000"/>
                <w:sz w:val="22"/>
                <w:szCs w:val="22"/>
              </w:rPr>
              <w:t>forstyrrelser</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Depression (og alle forværringer)</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xml:space="preserve">Desorientering (og alle forværringer) </w:t>
            </w: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sz w:val="22"/>
                <w:szCs w:val="22"/>
              </w:rPr>
              <w:t>Hallucinationer,</w:t>
            </w:r>
          </w:p>
          <w:p w:rsidR="00A403E8" w:rsidRPr="003D1088" w:rsidRDefault="00A403E8" w:rsidP="003D1088">
            <w:pPr>
              <w:tabs>
                <w:tab w:val="left" w:pos="540"/>
              </w:tabs>
              <w:rPr>
                <w:sz w:val="22"/>
                <w:szCs w:val="22"/>
              </w:rPr>
            </w:pPr>
            <w:r w:rsidRPr="003D1088">
              <w:rPr>
                <w:sz w:val="22"/>
                <w:szCs w:val="22"/>
              </w:rPr>
              <w:t>konfusion (især hos prædisponerede patienter, samt forværring af disse symptomer ved præeksisterende tilfælde)</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Nervesystemet</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noProof/>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Hovedpine, svimmelhed</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sz w:val="22"/>
                <w:szCs w:val="22"/>
              </w:rPr>
              <w:t>Smags</w:t>
            </w:r>
            <w:r w:rsidRPr="003D1088">
              <w:rPr>
                <w:noProof/>
                <w:sz w:val="22"/>
                <w:szCs w:val="22"/>
              </w:rPr>
              <w:softHyphen/>
            </w:r>
            <w:r w:rsidRPr="003D1088">
              <w:rPr>
                <w:sz w:val="22"/>
                <w:szCs w:val="22"/>
              </w:rPr>
              <w:t>forstyrrelser</w:t>
            </w:r>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color w:val="000000"/>
                <w:sz w:val="22"/>
                <w:szCs w:val="22"/>
              </w:rPr>
            </w:pPr>
            <w:proofErr w:type="spellStart"/>
            <w:r w:rsidRPr="003D1088">
              <w:rPr>
                <w:color w:val="000000"/>
                <w:sz w:val="22"/>
                <w:szCs w:val="22"/>
              </w:rPr>
              <w:t>Paræstesier</w:t>
            </w:r>
            <w:proofErr w:type="spellEnd"/>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noProof/>
                <w:sz w:val="22"/>
                <w:szCs w:val="22"/>
              </w:rPr>
            </w:pPr>
            <w:r w:rsidRPr="003D1088">
              <w:rPr>
                <w:noProof/>
                <w:sz w:val="22"/>
                <w:szCs w:val="22"/>
              </w:rPr>
              <w:t>Øjne</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noProof/>
                <w:sz w:val="22"/>
                <w:szCs w:val="22"/>
              </w:rPr>
            </w:pPr>
          </w:p>
        </w:tc>
        <w:tc>
          <w:tcPr>
            <w:tcW w:w="90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noProof/>
                <w:sz w:val="22"/>
                <w:szCs w:val="22"/>
              </w:rPr>
            </w:pPr>
          </w:p>
        </w:tc>
        <w:tc>
          <w:tcPr>
            <w:tcW w:w="1002" w:type="pct"/>
            <w:tcBorders>
              <w:top w:val="single" w:sz="4" w:space="0" w:color="auto"/>
              <w:left w:val="single" w:sz="4" w:space="0" w:color="auto"/>
              <w:bottom w:val="single" w:sz="4" w:space="0" w:color="auto"/>
              <w:right w:val="single" w:sz="4" w:space="0" w:color="auto"/>
            </w:tcBorders>
            <w:hideMark/>
          </w:tcPr>
          <w:p w:rsidR="003D1088" w:rsidRDefault="00A403E8" w:rsidP="003D1088">
            <w:pPr>
              <w:tabs>
                <w:tab w:val="left" w:pos="540"/>
              </w:tabs>
              <w:rPr>
                <w:noProof/>
                <w:sz w:val="22"/>
                <w:szCs w:val="22"/>
              </w:rPr>
            </w:pPr>
            <w:r w:rsidRPr="003D1088">
              <w:rPr>
                <w:noProof/>
                <w:sz w:val="22"/>
                <w:szCs w:val="22"/>
              </w:rPr>
              <w:t>Synsforstyrrelser/</w:t>
            </w:r>
          </w:p>
          <w:p w:rsidR="00A403E8" w:rsidRPr="003D1088" w:rsidRDefault="00A403E8" w:rsidP="003D1088">
            <w:pPr>
              <w:tabs>
                <w:tab w:val="left" w:pos="540"/>
              </w:tabs>
              <w:rPr>
                <w:noProof/>
                <w:sz w:val="22"/>
                <w:szCs w:val="22"/>
              </w:rPr>
            </w:pPr>
            <w:r w:rsidRPr="003D1088">
              <w:rPr>
                <w:noProof/>
                <w:sz w:val="22"/>
                <w:szCs w:val="22"/>
              </w:rPr>
              <w:t>sløret syn</w:t>
            </w:r>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c>
          <w:tcPr>
            <w:tcW w:w="7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noProof/>
                <w:sz w:val="22"/>
                <w:szCs w:val="22"/>
              </w:rPr>
              <w:t xml:space="preserve">Mave-tarm-kanalen   </w:t>
            </w:r>
          </w:p>
        </w:tc>
        <w:tc>
          <w:tcPr>
            <w:tcW w:w="649"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noProof/>
                <w:sz w:val="22"/>
                <w:szCs w:val="22"/>
              </w:rPr>
            </w:pPr>
            <w:r w:rsidRPr="003D1088">
              <w:rPr>
                <w:sz w:val="22"/>
                <w:szCs w:val="22"/>
              </w:rPr>
              <w:t>Benigne gastriske polypper</w:t>
            </w: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noProof/>
                <w:sz w:val="22"/>
                <w:szCs w:val="22"/>
              </w:rPr>
              <w:t>Diarré, kvalme/opkastning, udspilet og opsvulmet abdomen, obstipation, mundtørhed, smerter og ubehag i abdomen</w:t>
            </w:r>
          </w:p>
        </w:tc>
        <w:tc>
          <w:tcPr>
            <w:tcW w:w="10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rPr>
                <w:sz w:val="22"/>
                <w:szCs w:val="22"/>
              </w:rPr>
            </w:pPr>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rPr>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Mikroskopisk colitis</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noProof/>
                <w:sz w:val="22"/>
                <w:szCs w:val="22"/>
              </w:rPr>
              <w:t>Lever og galdeveje</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Øgede leverenzymer (</w:t>
            </w:r>
            <w:proofErr w:type="spellStart"/>
            <w:r w:rsidRPr="003D1088">
              <w:rPr>
                <w:color w:val="000000"/>
                <w:sz w:val="22"/>
                <w:szCs w:val="22"/>
              </w:rPr>
              <w:t>trans</w:t>
            </w:r>
            <w:r w:rsidRPr="003D1088">
              <w:rPr>
                <w:noProof/>
                <w:sz w:val="22"/>
                <w:szCs w:val="22"/>
              </w:rPr>
              <w:softHyphen/>
            </w:r>
            <w:r w:rsidRPr="003D1088">
              <w:rPr>
                <w:color w:val="000000"/>
                <w:sz w:val="22"/>
                <w:szCs w:val="22"/>
              </w:rPr>
              <w:t>aminaser</w:t>
            </w:r>
            <w:proofErr w:type="spellEnd"/>
            <w:r w:rsidRPr="003D1088">
              <w:rPr>
                <w:color w:val="000000"/>
                <w:sz w:val="22"/>
                <w:szCs w:val="22"/>
              </w:rPr>
              <w:t>, γ-GT)</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Øget bilirubin</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noProof/>
                <w:sz w:val="22"/>
                <w:szCs w:val="22"/>
              </w:rPr>
              <w:t>Hepatocellulære skader, icterus,  leversvigt</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Hud og subkutane væv</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color w:val="000000"/>
                <w:sz w:val="22"/>
                <w:szCs w:val="22"/>
              </w:rPr>
            </w:pPr>
            <w:r w:rsidRPr="003D1088">
              <w:rPr>
                <w:color w:val="000000"/>
                <w:sz w:val="22"/>
                <w:szCs w:val="22"/>
              </w:rPr>
              <w:t>Udslæt/</w:t>
            </w:r>
            <w:proofErr w:type="spellStart"/>
            <w:r w:rsidRPr="003D1088">
              <w:rPr>
                <w:color w:val="000000"/>
                <w:sz w:val="22"/>
                <w:szCs w:val="22"/>
              </w:rPr>
              <w:t>eksanthem</w:t>
            </w:r>
            <w:proofErr w:type="spellEnd"/>
            <w:r w:rsidRPr="003D1088">
              <w:rPr>
                <w:color w:val="000000"/>
                <w:sz w:val="22"/>
                <w:szCs w:val="22"/>
              </w:rPr>
              <w:t xml:space="preserve">/eruption, </w:t>
            </w:r>
          </w:p>
          <w:p w:rsidR="00A403E8" w:rsidRPr="003D1088" w:rsidRDefault="00A403E8" w:rsidP="003D1088">
            <w:pPr>
              <w:tabs>
                <w:tab w:val="left" w:pos="540"/>
              </w:tabs>
              <w:rPr>
                <w:sz w:val="22"/>
                <w:szCs w:val="22"/>
              </w:rPr>
            </w:pPr>
            <w:proofErr w:type="spellStart"/>
            <w:r w:rsidRPr="003D1088">
              <w:rPr>
                <w:color w:val="000000"/>
                <w:sz w:val="22"/>
                <w:szCs w:val="22"/>
              </w:rPr>
              <w:t>pruritus</w:t>
            </w:r>
            <w:proofErr w:type="spellEnd"/>
          </w:p>
        </w:tc>
        <w:tc>
          <w:tcPr>
            <w:tcW w:w="10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noProof/>
                <w:sz w:val="22"/>
                <w:szCs w:val="22"/>
              </w:rPr>
            </w:pPr>
            <w:r w:rsidRPr="003D1088">
              <w:rPr>
                <w:noProof/>
                <w:sz w:val="22"/>
                <w:szCs w:val="22"/>
              </w:rPr>
              <w:t>Urticaria, angioødem</w:t>
            </w:r>
          </w:p>
          <w:p w:rsidR="00A403E8" w:rsidRPr="003D1088" w:rsidRDefault="00A403E8" w:rsidP="003D1088">
            <w:pPr>
              <w:tabs>
                <w:tab w:val="left" w:pos="540"/>
              </w:tabs>
              <w:rPr>
                <w:sz w:val="22"/>
                <w:szCs w:val="22"/>
              </w:rPr>
            </w:pP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hideMark/>
          </w:tcPr>
          <w:p w:rsidR="00A82F54" w:rsidRDefault="00A82F54" w:rsidP="00A82F54">
            <w:pPr>
              <w:rPr>
                <w:noProof/>
                <w:sz w:val="22"/>
                <w:szCs w:val="22"/>
              </w:rPr>
            </w:pPr>
            <w:r>
              <w:rPr>
                <w:noProof/>
                <w:sz w:val="22"/>
                <w:szCs w:val="22"/>
              </w:rPr>
              <w:t xml:space="preserve">Stevens-Johnson syndrom, </w:t>
            </w:r>
            <w:r>
              <w:rPr>
                <w:noProof/>
                <w:sz w:val="22"/>
                <w:szCs w:val="22"/>
              </w:rPr>
              <w:br/>
              <w:t>Lyells syndrom (TEN), Lægemidde-lrelateret reaktion med eosinofili og systemiske symptomer (DRESS), erythema multiforme, fotosensitivitet,</w:t>
            </w:r>
            <w:r>
              <w:rPr>
                <w:sz w:val="22"/>
                <w:szCs w:val="22"/>
              </w:rPr>
              <w:t xml:space="preserve"> </w:t>
            </w:r>
            <w:proofErr w:type="spellStart"/>
            <w:r>
              <w:rPr>
                <w:sz w:val="22"/>
                <w:szCs w:val="22"/>
              </w:rPr>
              <w:t>subakut</w:t>
            </w:r>
            <w:proofErr w:type="spellEnd"/>
            <w:r>
              <w:rPr>
                <w:sz w:val="22"/>
                <w:szCs w:val="22"/>
              </w:rPr>
              <w:t xml:space="preserve"> </w:t>
            </w:r>
            <w:proofErr w:type="spellStart"/>
            <w:r>
              <w:rPr>
                <w:sz w:val="22"/>
                <w:szCs w:val="22"/>
              </w:rPr>
              <w:t>kutan</w:t>
            </w:r>
            <w:proofErr w:type="spellEnd"/>
            <w:r>
              <w:rPr>
                <w:sz w:val="22"/>
                <w:szCs w:val="22"/>
              </w:rPr>
              <w:t xml:space="preserve"> lupus </w:t>
            </w:r>
            <w:proofErr w:type="spellStart"/>
            <w:r>
              <w:rPr>
                <w:sz w:val="22"/>
                <w:szCs w:val="22"/>
              </w:rPr>
              <w:t>erythematosus</w:t>
            </w:r>
            <w:proofErr w:type="spellEnd"/>
            <w:r>
              <w:rPr>
                <w:sz w:val="22"/>
                <w:szCs w:val="22"/>
              </w:rPr>
              <w:t xml:space="preserve"> (se pkt. 4.4)</w:t>
            </w:r>
          </w:p>
          <w:p w:rsidR="00A403E8" w:rsidRPr="003D1088" w:rsidRDefault="00A403E8" w:rsidP="003D1088">
            <w:pPr>
              <w:rPr>
                <w:noProof/>
                <w:sz w:val="22"/>
                <w:szCs w:val="22"/>
              </w:rPr>
            </w:pP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Knogler, led, muskler og bindevæv</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Fraktur på </w:t>
            </w:r>
            <w:r w:rsidRPr="003D1088">
              <w:rPr>
                <w:sz w:val="22"/>
                <w:szCs w:val="22"/>
              </w:rPr>
              <w:t>hofte, håndled- eller rygrad (se pkt. 4.4)</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Artralgi, myalgi</w:t>
            </w:r>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0F5E32" w:rsidP="003D1088">
            <w:pPr>
              <w:tabs>
                <w:tab w:val="left" w:pos="540"/>
              </w:tabs>
              <w:rPr>
                <w:sz w:val="22"/>
                <w:szCs w:val="22"/>
              </w:rPr>
            </w:pPr>
            <w:r w:rsidRPr="003D1088">
              <w:rPr>
                <w:sz w:val="22"/>
                <w:szCs w:val="22"/>
              </w:rPr>
              <w:t>Muskel spasmer</w:t>
            </w:r>
            <w:r w:rsidRPr="003D1088">
              <w:rPr>
                <w:sz w:val="22"/>
                <w:szCs w:val="22"/>
                <w:vertAlign w:val="superscript"/>
              </w:rPr>
              <w:t>2</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noProof/>
                <w:sz w:val="22"/>
                <w:szCs w:val="22"/>
              </w:rPr>
              <w:t>Nyrer og urinveje</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 </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 </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hideMark/>
          </w:tcPr>
          <w:p w:rsidR="00A403E8" w:rsidRPr="003D1088" w:rsidRDefault="000F5E32" w:rsidP="003D1088">
            <w:pPr>
              <w:rPr>
                <w:sz w:val="22"/>
                <w:szCs w:val="22"/>
              </w:rPr>
            </w:pPr>
            <w:r w:rsidRPr="003D1088">
              <w:rPr>
                <w:noProof/>
                <w:sz w:val="22"/>
                <w:szCs w:val="22"/>
              </w:rPr>
              <w:t>Tubulointerstitiel nefritis (TIN) (med mulighed for progression til nyresvigt)</w:t>
            </w: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noProof/>
                <w:sz w:val="22"/>
                <w:szCs w:val="22"/>
              </w:rPr>
            </w:pPr>
            <w:r w:rsidRPr="003D1088">
              <w:rPr>
                <w:noProof/>
                <w:sz w:val="22"/>
                <w:szCs w:val="22"/>
              </w:rPr>
              <w:t>Det reproduktive system og mammae</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color w:val="000000"/>
                <w:sz w:val="22"/>
                <w:szCs w:val="22"/>
              </w:rPr>
            </w:pPr>
            <w:proofErr w:type="spellStart"/>
            <w:r w:rsidRPr="003D1088">
              <w:rPr>
                <w:color w:val="000000"/>
                <w:sz w:val="22"/>
                <w:szCs w:val="22"/>
              </w:rPr>
              <w:t>Gynækomasti</w:t>
            </w:r>
            <w:proofErr w:type="spellEnd"/>
          </w:p>
        </w:tc>
        <w:tc>
          <w:tcPr>
            <w:tcW w:w="788"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7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noProof/>
                <w:sz w:val="22"/>
                <w:szCs w:val="22"/>
              </w:rPr>
            </w:pPr>
          </w:p>
        </w:tc>
      </w:tr>
      <w:tr w:rsidR="003D1088" w:rsidRPr="003D1088" w:rsidTr="003D1088">
        <w:tc>
          <w:tcPr>
            <w:tcW w:w="950"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noProof/>
                <w:sz w:val="22"/>
                <w:szCs w:val="22"/>
              </w:rPr>
              <w:t>Almene symptomer og reaktioner på administrationsstedet</w:t>
            </w:r>
          </w:p>
        </w:tc>
        <w:tc>
          <w:tcPr>
            <w:tcW w:w="649"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color w:val="000000"/>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Asteni, træthed og utilpashed</w:t>
            </w:r>
          </w:p>
        </w:tc>
        <w:tc>
          <w:tcPr>
            <w:tcW w:w="1002"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Øget legems</w:t>
            </w:r>
            <w:r w:rsidRPr="003D1088">
              <w:rPr>
                <w:noProof/>
                <w:sz w:val="22"/>
                <w:szCs w:val="22"/>
              </w:rPr>
              <w:softHyphen/>
            </w:r>
            <w:r w:rsidRPr="003D1088">
              <w:rPr>
                <w:color w:val="000000"/>
                <w:sz w:val="22"/>
                <w:szCs w:val="22"/>
              </w:rPr>
              <w:t>temperatur, perifert ødem</w:t>
            </w:r>
          </w:p>
        </w:tc>
        <w:tc>
          <w:tcPr>
            <w:tcW w:w="788" w:type="pct"/>
            <w:tcBorders>
              <w:top w:val="single" w:sz="4" w:space="0" w:color="auto"/>
              <w:left w:val="single" w:sz="4" w:space="0" w:color="auto"/>
              <w:bottom w:val="single" w:sz="4" w:space="0" w:color="auto"/>
              <w:right w:val="single" w:sz="4" w:space="0" w:color="auto"/>
            </w:tcBorders>
            <w:hideMark/>
          </w:tcPr>
          <w:p w:rsidR="00A403E8" w:rsidRPr="003D1088" w:rsidRDefault="00A403E8" w:rsidP="003D1088">
            <w:pPr>
              <w:tabs>
                <w:tab w:val="left" w:pos="540"/>
              </w:tabs>
              <w:rPr>
                <w:sz w:val="22"/>
                <w:szCs w:val="22"/>
              </w:rPr>
            </w:pPr>
            <w:r w:rsidRPr="003D1088">
              <w:rPr>
                <w:color w:val="000000"/>
                <w:sz w:val="22"/>
                <w:szCs w:val="22"/>
              </w:rPr>
              <w:t> </w:t>
            </w:r>
          </w:p>
        </w:tc>
        <w:tc>
          <w:tcPr>
            <w:tcW w:w="702" w:type="pct"/>
            <w:tcBorders>
              <w:top w:val="single" w:sz="4" w:space="0" w:color="auto"/>
              <w:left w:val="single" w:sz="4" w:space="0" w:color="auto"/>
              <w:bottom w:val="single" w:sz="4" w:space="0" w:color="auto"/>
              <w:right w:val="single" w:sz="4" w:space="0" w:color="auto"/>
            </w:tcBorders>
          </w:tcPr>
          <w:p w:rsidR="00A403E8" w:rsidRPr="003D1088" w:rsidRDefault="00A403E8" w:rsidP="003D1088">
            <w:pPr>
              <w:tabs>
                <w:tab w:val="left" w:pos="540"/>
              </w:tabs>
              <w:rPr>
                <w:sz w:val="22"/>
                <w:szCs w:val="22"/>
              </w:rPr>
            </w:pPr>
          </w:p>
        </w:tc>
      </w:tr>
    </w:tbl>
    <w:p w:rsidR="000F5E32" w:rsidRPr="00300098" w:rsidRDefault="000F5E32" w:rsidP="003D1088">
      <w:pPr>
        <w:ind w:left="142" w:hanging="142"/>
        <w:rPr>
          <w:noProof/>
          <w:sz w:val="20"/>
        </w:rPr>
      </w:pPr>
      <w:r w:rsidRPr="00300098">
        <w:rPr>
          <w:sz w:val="20"/>
          <w:vertAlign w:val="superscript"/>
        </w:rPr>
        <w:t>1.</w:t>
      </w:r>
      <w:r w:rsidR="00E77D9E" w:rsidRPr="00300098">
        <w:rPr>
          <w:sz w:val="20"/>
          <w:vertAlign w:val="superscript"/>
        </w:rPr>
        <w:tab/>
      </w:r>
      <w:proofErr w:type="spellStart"/>
      <w:r w:rsidRPr="00300098">
        <w:rPr>
          <w:sz w:val="20"/>
        </w:rPr>
        <w:t>Hypocalcæmi</w:t>
      </w:r>
      <w:proofErr w:type="spellEnd"/>
      <w:r w:rsidRPr="00300098">
        <w:rPr>
          <w:sz w:val="20"/>
        </w:rPr>
        <w:t xml:space="preserve"> </w:t>
      </w:r>
      <w:r w:rsidRPr="00300098">
        <w:rPr>
          <w:noProof/>
          <w:sz w:val="20"/>
        </w:rPr>
        <w:t>og/eller hypokaliӕmi kan vӕre relateret til forekomsten av hypomagnesiӕmi (se pkt. 4.4)</w:t>
      </w:r>
    </w:p>
    <w:p w:rsidR="000F5E32" w:rsidRPr="00300098" w:rsidRDefault="000F5E32" w:rsidP="003D1088">
      <w:pPr>
        <w:ind w:left="142" w:hanging="142"/>
        <w:rPr>
          <w:noProof/>
          <w:sz w:val="20"/>
        </w:rPr>
      </w:pPr>
      <w:r w:rsidRPr="00300098">
        <w:rPr>
          <w:noProof/>
          <w:sz w:val="20"/>
          <w:vertAlign w:val="superscript"/>
        </w:rPr>
        <w:t>2.</w:t>
      </w:r>
      <w:r w:rsidR="00E77D9E" w:rsidRPr="00300098">
        <w:rPr>
          <w:noProof/>
          <w:sz w:val="20"/>
          <w:vertAlign w:val="superscript"/>
        </w:rPr>
        <w:tab/>
      </w:r>
      <w:r w:rsidRPr="00300098">
        <w:rPr>
          <w:noProof/>
          <w:sz w:val="20"/>
        </w:rPr>
        <w:t>Muskelspasmer som følge af elektrolytforstyrrelser</w:t>
      </w:r>
      <w:r w:rsidRPr="00300098">
        <w:rPr>
          <w:sz w:val="20"/>
          <w:vertAlign w:val="superscript"/>
        </w:rPr>
        <w:t xml:space="preserve"> </w:t>
      </w:r>
    </w:p>
    <w:p w:rsidR="00A403E8" w:rsidRPr="00D44204" w:rsidRDefault="00A403E8" w:rsidP="00A403E8">
      <w:pPr>
        <w:widowControl w:val="0"/>
        <w:tabs>
          <w:tab w:val="left" w:pos="851"/>
        </w:tabs>
        <w:autoSpaceDE w:val="0"/>
        <w:autoSpaceDN w:val="0"/>
        <w:adjustRightInd w:val="0"/>
        <w:ind w:left="851"/>
        <w:rPr>
          <w:sz w:val="24"/>
          <w:szCs w:val="24"/>
        </w:rPr>
      </w:pPr>
    </w:p>
    <w:p w:rsidR="00A403E8" w:rsidRPr="00D44204" w:rsidRDefault="00A403E8" w:rsidP="00A403E8">
      <w:pPr>
        <w:widowControl w:val="0"/>
        <w:tabs>
          <w:tab w:val="left" w:pos="851"/>
        </w:tabs>
        <w:autoSpaceDE w:val="0"/>
        <w:autoSpaceDN w:val="0"/>
        <w:adjustRightInd w:val="0"/>
        <w:ind w:left="851"/>
        <w:rPr>
          <w:sz w:val="24"/>
          <w:szCs w:val="24"/>
          <w:u w:val="single"/>
        </w:rPr>
      </w:pPr>
      <w:r w:rsidRPr="00D44204">
        <w:rPr>
          <w:sz w:val="24"/>
          <w:szCs w:val="24"/>
          <w:u w:val="single"/>
        </w:rPr>
        <w:t>Indberetning af formodede bivirkninger</w:t>
      </w:r>
    </w:p>
    <w:p w:rsidR="00A403E8" w:rsidRPr="00D44204" w:rsidRDefault="00A403E8" w:rsidP="00A403E8">
      <w:pPr>
        <w:widowControl w:val="0"/>
        <w:tabs>
          <w:tab w:val="left" w:pos="851"/>
        </w:tabs>
        <w:autoSpaceDE w:val="0"/>
        <w:autoSpaceDN w:val="0"/>
        <w:adjustRightInd w:val="0"/>
        <w:ind w:left="851"/>
        <w:rPr>
          <w:sz w:val="24"/>
          <w:szCs w:val="24"/>
        </w:rPr>
      </w:pPr>
      <w:r w:rsidRPr="00D44204">
        <w:rPr>
          <w:sz w:val="24"/>
          <w:szCs w:val="24"/>
        </w:rPr>
        <w:t>Når lægemidlet er godkendt, er indberetning af formodede bivirkninger vigtig. Det muliggør løbende overvågning af benefit/</w:t>
      </w:r>
      <w:proofErr w:type="spellStart"/>
      <w:r w:rsidRPr="00D44204">
        <w:rPr>
          <w:sz w:val="24"/>
          <w:szCs w:val="24"/>
        </w:rPr>
        <w:t>risk</w:t>
      </w:r>
      <w:proofErr w:type="spellEnd"/>
      <w:r w:rsidRPr="00D44204">
        <w:rPr>
          <w:sz w:val="24"/>
          <w:szCs w:val="24"/>
        </w:rPr>
        <w:t xml:space="preserve">-forholdet for lægemidlet. </w:t>
      </w:r>
      <w:r w:rsidR="00E77D9E" w:rsidRPr="00D44204">
        <w:rPr>
          <w:sz w:val="24"/>
          <w:szCs w:val="24"/>
        </w:rPr>
        <w:t>S</w:t>
      </w:r>
      <w:r w:rsidRPr="00D44204">
        <w:rPr>
          <w:sz w:val="24"/>
          <w:szCs w:val="24"/>
        </w:rPr>
        <w:t>undhedsperson</w:t>
      </w:r>
      <w:r w:rsidR="00E77D9E" w:rsidRPr="00D44204">
        <w:rPr>
          <w:sz w:val="24"/>
          <w:szCs w:val="24"/>
        </w:rPr>
        <w:t>er</w:t>
      </w:r>
      <w:r w:rsidRPr="00D44204">
        <w:rPr>
          <w:sz w:val="24"/>
          <w:szCs w:val="24"/>
        </w:rPr>
        <w:t xml:space="preserve"> anmodes om at indberette alle formodede bivirkninger via:</w:t>
      </w:r>
    </w:p>
    <w:p w:rsidR="00A403E8" w:rsidRPr="00D44204" w:rsidRDefault="00A403E8" w:rsidP="00A403E8">
      <w:pPr>
        <w:widowControl w:val="0"/>
        <w:tabs>
          <w:tab w:val="left" w:pos="851"/>
        </w:tabs>
        <w:autoSpaceDE w:val="0"/>
        <w:autoSpaceDN w:val="0"/>
        <w:adjustRightInd w:val="0"/>
        <w:ind w:left="851"/>
        <w:rPr>
          <w:sz w:val="24"/>
          <w:szCs w:val="24"/>
        </w:rPr>
      </w:pPr>
    </w:p>
    <w:p w:rsidR="00A403E8" w:rsidRPr="00D44204" w:rsidRDefault="00A403E8" w:rsidP="00A403E8">
      <w:pPr>
        <w:widowControl w:val="0"/>
        <w:tabs>
          <w:tab w:val="left" w:pos="851"/>
        </w:tabs>
        <w:autoSpaceDE w:val="0"/>
        <w:autoSpaceDN w:val="0"/>
        <w:adjustRightInd w:val="0"/>
        <w:ind w:left="851"/>
        <w:rPr>
          <w:sz w:val="24"/>
          <w:szCs w:val="24"/>
        </w:rPr>
      </w:pPr>
      <w:r w:rsidRPr="00D44204">
        <w:rPr>
          <w:sz w:val="24"/>
          <w:szCs w:val="24"/>
        </w:rPr>
        <w:t>Lægemiddelstyrelsen</w:t>
      </w:r>
    </w:p>
    <w:p w:rsidR="00A403E8" w:rsidRPr="00D44204" w:rsidRDefault="00A403E8" w:rsidP="00A403E8">
      <w:pPr>
        <w:widowControl w:val="0"/>
        <w:tabs>
          <w:tab w:val="left" w:pos="851"/>
        </w:tabs>
        <w:autoSpaceDE w:val="0"/>
        <w:autoSpaceDN w:val="0"/>
        <w:adjustRightInd w:val="0"/>
        <w:ind w:left="851"/>
        <w:rPr>
          <w:sz w:val="24"/>
          <w:szCs w:val="24"/>
        </w:rPr>
      </w:pPr>
      <w:r w:rsidRPr="00D44204">
        <w:rPr>
          <w:sz w:val="24"/>
          <w:szCs w:val="24"/>
        </w:rPr>
        <w:t>Axel Heides Gade 1</w:t>
      </w:r>
    </w:p>
    <w:p w:rsidR="00A403E8" w:rsidRPr="00D44204" w:rsidRDefault="00A403E8" w:rsidP="00A403E8">
      <w:pPr>
        <w:widowControl w:val="0"/>
        <w:tabs>
          <w:tab w:val="left" w:pos="851"/>
        </w:tabs>
        <w:autoSpaceDE w:val="0"/>
        <w:autoSpaceDN w:val="0"/>
        <w:adjustRightInd w:val="0"/>
        <w:ind w:left="851"/>
        <w:rPr>
          <w:sz w:val="24"/>
          <w:szCs w:val="24"/>
        </w:rPr>
      </w:pPr>
      <w:r w:rsidRPr="00D44204">
        <w:rPr>
          <w:sz w:val="24"/>
          <w:szCs w:val="24"/>
        </w:rPr>
        <w:t>DK-2300 København S</w:t>
      </w:r>
    </w:p>
    <w:p w:rsidR="00A403E8" w:rsidRPr="00A86105" w:rsidRDefault="00A403E8" w:rsidP="00A403E8">
      <w:pPr>
        <w:widowControl w:val="0"/>
        <w:tabs>
          <w:tab w:val="left" w:pos="851"/>
        </w:tabs>
        <w:autoSpaceDE w:val="0"/>
        <w:autoSpaceDN w:val="0"/>
        <w:adjustRightInd w:val="0"/>
        <w:ind w:left="851"/>
        <w:rPr>
          <w:sz w:val="24"/>
          <w:szCs w:val="24"/>
        </w:rPr>
      </w:pPr>
      <w:r w:rsidRPr="00A86105">
        <w:rPr>
          <w:sz w:val="24"/>
          <w:szCs w:val="24"/>
        </w:rPr>
        <w:t xml:space="preserve">Websted: </w:t>
      </w:r>
      <w:hyperlink r:id="rId8" w:history="1">
        <w:r w:rsidRPr="00A86105">
          <w:rPr>
            <w:rStyle w:val="Hyperlink"/>
            <w:sz w:val="24"/>
            <w:szCs w:val="24"/>
          </w:rPr>
          <w:t>www.meldenbivirkning.dk</w:t>
        </w:r>
      </w:hyperlink>
    </w:p>
    <w:p w:rsidR="00A171C9" w:rsidRPr="00A86105" w:rsidRDefault="00A171C9" w:rsidP="00A171C9">
      <w:pPr>
        <w:pStyle w:val="Sidehoved"/>
        <w:tabs>
          <w:tab w:val="clear" w:pos="4819"/>
          <w:tab w:val="clear" w:pos="9638"/>
          <w:tab w:val="left" w:pos="851"/>
        </w:tabs>
        <w:rPr>
          <w:szCs w:val="24"/>
        </w:rPr>
      </w:pPr>
    </w:p>
    <w:p w:rsidR="00E77D9E" w:rsidRPr="00D44204" w:rsidRDefault="00E77D9E" w:rsidP="00E77D9E">
      <w:pPr>
        <w:tabs>
          <w:tab w:val="left" w:pos="851"/>
        </w:tabs>
        <w:ind w:left="851" w:hanging="851"/>
        <w:rPr>
          <w:b/>
          <w:sz w:val="24"/>
          <w:szCs w:val="24"/>
        </w:rPr>
      </w:pPr>
      <w:r w:rsidRPr="00D44204">
        <w:rPr>
          <w:b/>
          <w:sz w:val="24"/>
          <w:szCs w:val="24"/>
        </w:rPr>
        <w:t>4.9</w:t>
      </w:r>
      <w:r w:rsidRPr="00D44204">
        <w:rPr>
          <w:b/>
          <w:sz w:val="24"/>
          <w:szCs w:val="24"/>
        </w:rPr>
        <w:tab/>
        <w:t>Overdosering</w:t>
      </w:r>
    </w:p>
    <w:p w:rsidR="00E77D9E" w:rsidRPr="00D44204" w:rsidRDefault="00E77D9E" w:rsidP="00A171C9">
      <w:pPr>
        <w:tabs>
          <w:tab w:val="left" w:pos="851"/>
        </w:tabs>
        <w:ind w:left="851"/>
        <w:rPr>
          <w:noProof/>
          <w:sz w:val="24"/>
          <w:szCs w:val="24"/>
          <w:u w:val="single"/>
        </w:rPr>
      </w:pPr>
    </w:p>
    <w:p w:rsidR="00A171C9" w:rsidRPr="00D44204" w:rsidRDefault="00A171C9" w:rsidP="003D1088">
      <w:pPr>
        <w:tabs>
          <w:tab w:val="left" w:pos="851"/>
        </w:tabs>
        <w:ind w:left="851"/>
        <w:rPr>
          <w:noProof/>
          <w:sz w:val="24"/>
          <w:szCs w:val="24"/>
          <w:u w:val="single"/>
        </w:rPr>
      </w:pPr>
      <w:r w:rsidRPr="00D44204">
        <w:rPr>
          <w:noProof/>
          <w:sz w:val="24"/>
          <w:szCs w:val="24"/>
          <w:u w:val="single"/>
        </w:rPr>
        <w:t>Symptomer</w:t>
      </w:r>
    </w:p>
    <w:p w:rsidR="00A171C9" w:rsidRPr="00D44204" w:rsidRDefault="00A171C9" w:rsidP="003D1088">
      <w:pPr>
        <w:tabs>
          <w:tab w:val="left" w:pos="851"/>
        </w:tabs>
        <w:ind w:left="851"/>
        <w:rPr>
          <w:sz w:val="24"/>
          <w:szCs w:val="24"/>
        </w:rPr>
      </w:pPr>
      <w:r w:rsidRPr="00D44204">
        <w:rPr>
          <w:noProof/>
          <w:sz w:val="24"/>
          <w:szCs w:val="24"/>
        </w:rPr>
        <w:t>Der er ingen kendte symptomer på overdosis hos mennesker.</w:t>
      </w:r>
    </w:p>
    <w:p w:rsidR="00A171C9" w:rsidRPr="00D44204" w:rsidRDefault="00A171C9" w:rsidP="003D1088">
      <w:pPr>
        <w:tabs>
          <w:tab w:val="left" w:pos="851"/>
        </w:tabs>
        <w:ind w:left="851"/>
        <w:rPr>
          <w:sz w:val="24"/>
          <w:szCs w:val="24"/>
        </w:rPr>
      </w:pPr>
      <w:r w:rsidRPr="00D44204">
        <w:rPr>
          <w:noProof/>
          <w:sz w:val="24"/>
          <w:szCs w:val="24"/>
        </w:rPr>
        <w:t>Systemisk eksponering på op til 240 mg administreret intravenøst over 2 minutter tåltes godt.</w:t>
      </w:r>
      <w:r w:rsidRPr="00D44204">
        <w:rPr>
          <w:sz w:val="24"/>
          <w:szCs w:val="24"/>
        </w:rPr>
        <w:t xml:space="preserve"> </w:t>
      </w:r>
    </w:p>
    <w:p w:rsidR="00A171C9" w:rsidRPr="00D44204" w:rsidRDefault="00A171C9" w:rsidP="003D1088">
      <w:pPr>
        <w:tabs>
          <w:tab w:val="left" w:pos="851"/>
        </w:tabs>
        <w:ind w:left="851"/>
        <w:rPr>
          <w:noProof/>
          <w:sz w:val="24"/>
          <w:szCs w:val="24"/>
        </w:rPr>
      </w:pPr>
    </w:p>
    <w:p w:rsidR="00A171C9" w:rsidRPr="00D44204" w:rsidRDefault="00A171C9" w:rsidP="003D1088">
      <w:pPr>
        <w:tabs>
          <w:tab w:val="left" w:pos="851"/>
        </w:tabs>
        <w:ind w:left="851"/>
        <w:rPr>
          <w:noProof/>
          <w:sz w:val="24"/>
          <w:szCs w:val="24"/>
          <w:u w:val="single"/>
        </w:rPr>
      </w:pPr>
      <w:r w:rsidRPr="00D44204">
        <w:rPr>
          <w:noProof/>
          <w:sz w:val="24"/>
          <w:szCs w:val="24"/>
          <w:u w:val="single"/>
        </w:rPr>
        <w:t>Behandling</w:t>
      </w:r>
    </w:p>
    <w:p w:rsidR="00A171C9" w:rsidRPr="00D44204" w:rsidRDefault="00A171C9" w:rsidP="003D1088">
      <w:pPr>
        <w:tabs>
          <w:tab w:val="left" w:pos="851"/>
        </w:tabs>
        <w:ind w:left="851"/>
        <w:rPr>
          <w:noProof/>
          <w:sz w:val="24"/>
          <w:szCs w:val="24"/>
        </w:rPr>
      </w:pPr>
      <w:r w:rsidRPr="00D44204">
        <w:rPr>
          <w:noProof/>
          <w:sz w:val="24"/>
          <w:szCs w:val="24"/>
        </w:rPr>
        <w:t>Da pantoprazol i væsentlig grad bindes til protein, er det ikke umiddelbart dialyserbart.</w:t>
      </w:r>
    </w:p>
    <w:p w:rsidR="00A171C9" w:rsidRPr="00D44204" w:rsidRDefault="00A171C9" w:rsidP="003D1088">
      <w:pPr>
        <w:tabs>
          <w:tab w:val="left" w:pos="851"/>
        </w:tabs>
        <w:ind w:left="851"/>
        <w:rPr>
          <w:sz w:val="24"/>
          <w:szCs w:val="24"/>
        </w:rPr>
      </w:pPr>
    </w:p>
    <w:p w:rsidR="00A171C9" w:rsidRPr="00D44204" w:rsidRDefault="00A171C9" w:rsidP="003D1088">
      <w:pPr>
        <w:tabs>
          <w:tab w:val="left" w:pos="851"/>
        </w:tabs>
        <w:ind w:left="851"/>
        <w:rPr>
          <w:sz w:val="24"/>
          <w:szCs w:val="24"/>
        </w:rPr>
      </w:pPr>
      <w:r w:rsidRPr="00D44204">
        <w:rPr>
          <w:noProof/>
          <w:sz w:val="24"/>
          <w:szCs w:val="24"/>
        </w:rPr>
        <w:t xml:space="preserve">I tilfælde af overdosis med kliniske tegn på intoksikation, er der, bortset fra symptomatisk og understøttende behandling, ingen særlige behandlingsmæssige rekommandationer. </w:t>
      </w:r>
    </w:p>
    <w:p w:rsidR="00A171C9" w:rsidRPr="00D44204" w:rsidRDefault="00A171C9" w:rsidP="003D1088">
      <w:pPr>
        <w:tabs>
          <w:tab w:val="left" w:pos="851"/>
        </w:tabs>
        <w:rPr>
          <w:sz w:val="24"/>
          <w:szCs w:val="24"/>
        </w:rPr>
      </w:pPr>
    </w:p>
    <w:p w:rsidR="00E77D9E" w:rsidRPr="00D44204" w:rsidRDefault="00E77D9E" w:rsidP="00E77D9E">
      <w:pPr>
        <w:tabs>
          <w:tab w:val="left" w:pos="851"/>
        </w:tabs>
        <w:ind w:left="851" w:hanging="851"/>
        <w:rPr>
          <w:b/>
          <w:sz w:val="24"/>
          <w:szCs w:val="24"/>
        </w:rPr>
      </w:pPr>
      <w:r w:rsidRPr="00D44204">
        <w:rPr>
          <w:b/>
          <w:sz w:val="24"/>
          <w:szCs w:val="24"/>
        </w:rPr>
        <w:t>4.10</w:t>
      </w:r>
      <w:r w:rsidRPr="00D44204">
        <w:rPr>
          <w:b/>
          <w:sz w:val="24"/>
          <w:szCs w:val="24"/>
        </w:rPr>
        <w:tab/>
        <w:t>Udlevering</w:t>
      </w:r>
    </w:p>
    <w:p w:rsidR="00A171C9" w:rsidRPr="00D44204" w:rsidRDefault="00A171C9" w:rsidP="00A171C9">
      <w:pPr>
        <w:tabs>
          <w:tab w:val="left" w:pos="851"/>
        </w:tabs>
        <w:ind w:left="851" w:hanging="851"/>
        <w:rPr>
          <w:sz w:val="24"/>
          <w:szCs w:val="24"/>
        </w:rPr>
      </w:pPr>
      <w:r w:rsidRPr="00D44204">
        <w:rPr>
          <w:sz w:val="24"/>
          <w:szCs w:val="24"/>
        </w:rPr>
        <w:tab/>
        <w:t>B</w:t>
      </w:r>
    </w:p>
    <w:p w:rsidR="00A171C9" w:rsidRPr="00D44204" w:rsidRDefault="00A171C9" w:rsidP="00A171C9">
      <w:pPr>
        <w:tabs>
          <w:tab w:val="left" w:pos="851"/>
        </w:tabs>
        <w:rPr>
          <w:sz w:val="24"/>
          <w:szCs w:val="24"/>
        </w:rPr>
      </w:pP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5.</w:t>
      </w:r>
      <w:r w:rsidRPr="00D44204">
        <w:rPr>
          <w:b/>
          <w:sz w:val="24"/>
          <w:szCs w:val="24"/>
        </w:rPr>
        <w:tab/>
        <w:t>FARMAKOLOGISKE EGENSKABER</w:t>
      </w:r>
    </w:p>
    <w:p w:rsidR="00D44204" w:rsidRPr="00D44204" w:rsidRDefault="00D44204" w:rsidP="00D44204">
      <w:pPr>
        <w:tabs>
          <w:tab w:val="left" w:pos="851"/>
        </w:tabs>
        <w:ind w:left="851"/>
        <w:rPr>
          <w:sz w:val="24"/>
          <w:szCs w:val="24"/>
        </w:rPr>
      </w:pPr>
    </w:p>
    <w:p w:rsidR="00D44204" w:rsidRPr="00D44204" w:rsidRDefault="00D44204" w:rsidP="00D44204">
      <w:pPr>
        <w:tabs>
          <w:tab w:val="num" w:pos="851"/>
        </w:tabs>
        <w:ind w:left="851" w:hanging="851"/>
        <w:rPr>
          <w:b/>
          <w:sz w:val="24"/>
          <w:szCs w:val="24"/>
        </w:rPr>
      </w:pPr>
      <w:r w:rsidRPr="00D44204">
        <w:rPr>
          <w:b/>
          <w:sz w:val="24"/>
          <w:szCs w:val="24"/>
        </w:rPr>
        <w:t>5.1</w:t>
      </w:r>
      <w:r w:rsidRPr="00D44204">
        <w:rPr>
          <w:b/>
          <w:sz w:val="24"/>
          <w:szCs w:val="24"/>
        </w:rPr>
        <w:tab/>
      </w:r>
      <w:proofErr w:type="spellStart"/>
      <w:r w:rsidRPr="00D44204">
        <w:rPr>
          <w:b/>
          <w:sz w:val="24"/>
          <w:szCs w:val="24"/>
        </w:rPr>
        <w:t>Farmakodynamiske</w:t>
      </w:r>
      <w:proofErr w:type="spellEnd"/>
      <w:r w:rsidRPr="00D44204">
        <w:rPr>
          <w:b/>
          <w:sz w:val="24"/>
          <w:szCs w:val="24"/>
        </w:rPr>
        <w:t xml:space="preserve"> egenskaber</w:t>
      </w:r>
    </w:p>
    <w:p w:rsidR="00D44204" w:rsidRPr="00D44204" w:rsidRDefault="00D44204" w:rsidP="00D44204">
      <w:pPr>
        <w:tabs>
          <w:tab w:val="left" w:pos="851"/>
        </w:tabs>
        <w:ind w:left="851"/>
        <w:rPr>
          <w:sz w:val="24"/>
          <w:szCs w:val="24"/>
        </w:rPr>
      </w:pPr>
      <w:bookmarkStart w:id="2" w:name="OLE_LINK1"/>
      <w:proofErr w:type="spellStart"/>
      <w:r w:rsidRPr="00D44204">
        <w:rPr>
          <w:sz w:val="24"/>
          <w:szCs w:val="24"/>
        </w:rPr>
        <w:t>Farmakoterapeutisk</w:t>
      </w:r>
      <w:proofErr w:type="spellEnd"/>
      <w:r w:rsidRPr="00D44204">
        <w:rPr>
          <w:sz w:val="24"/>
          <w:szCs w:val="24"/>
        </w:rPr>
        <w:t xml:space="preserve"> klassifikation: </w:t>
      </w:r>
      <w:proofErr w:type="spellStart"/>
      <w:r w:rsidRPr="00D44204">
        <w:rPr>
          <w:sz w:val="24"/>
          <w:szCs w:val="24"/>
        </w:rPr>
        <w:t>Protonpumpehæmmere</w:t>
      </w:r>
      <w:proofErr w:type="spellEnd"/>
      <w:r w:rsidR="003D1088">
        <w:rPr>
          <w:sz w:val="24"/>
          <w:szCs w:val="24"/>
        </w:rPr>
        <w:t xml:space="preserve">, </w:t>
      </w:r>
      <w:r w:rsidRPr="00D44204">
        <w:rPr>
          <w:sz w:val="24"/>
          <w:szCs w:val="24"/>
        </w:rPr>
        <w:t>ATC-kode: A02BC02</w:t>
      </w:r>
      <w:r w:rsidR="003D1088">
        <w:rPr>
          <w:sz w:val="24"/>
          <w:szCs w:val="24"/>
        </w:rPr>
        <w:t>.</w:t>
      </w:r>
    </w:p>
    <w:p w:rsidR="00D44204" w:rsidRPr="00D44204" w:rsidRDefault="00D44204" w:rsidP="00D44204">
      <w:pPr>
        <w:ind w:left="851"/>
        <w:rPr>
          <w:i/>
          <w:sz w:val="24"/>
          <w:szCs w:val="24"/>
          <w:u w:val="single"/>
        </w:rPr>
      </w:pPr>
    </w:p>
    <w:p w:rsidR="00A171C9" w:rsidRPr="00D44204" w:rsidRDefault="00A171C9" w:rsidP="00D44204">
      <w:pPr>
        <w:ind w:left="851"/>
        <w:rPr>
          <w:i/>
          <w:sz w:val="24"/>
          <w:szCs w:val="24"/>
          <w:u w:val="single"/>
        </w:rPr>
      </w:pPr>
      <w:r w:rsidRPr="00D44204">
        <w:rPr>
          <w:i/>
          <w:sz w:val="24"/>
          <w:szCs w:val="24"/>
          <w:u w:val="single"/>
        </w:rPr>
        <w:t>Virkningsmekanisme</w:t>
      </w:r>
    </w:p>
    <w:p w:rsidR="00A171C9" w:rsidRPr="00D44204" w:rsidRDefault="00A171C9" w:rsidP="00A171C9">
      <w:pPr>
        <w:tabs>
          <w:tab w:val="left" w:pos="851"/>
        </w:tabs>
        <w:ind w:left="851" w:hanging="851"/>
        <w:rPr>
          <w:sz w:val="24"/>
          <w:szCs w:val="24"/>
        </w:rPr>
      </w:pPr>
      <w:r w:rsidRPr="00D44204">
        <w:rPr>
          <w:sz w:val="24"/>
          <w:szCs w:val="24"/>
        </w:rPr>
        <w:tab/>
      </w:r>
      <w:proofErr w:type="spellStart"/>
      <w:r w:rsidRPr="00D44204">
        <w:rPr>
          <w:sz w:val="24"/>
          <w:szCs w:val="24"/>
        </w:rPr>
        <w:t>Pantoprazol</w:t>
      </w:r>
      <w:proofErr w:type="spellEnd"/>
      <w:r w:rsidRPr="00D44204">
        <w:rPr>
          <w:sz w:val="24"/>
          <w:szCs w:val="24"/>
        </w:rPr>
        <w:t xml:space="preserve"> er et substitueret </w:t>
      </w:r>
      <w:proofErr w:type="spellStart"/>
      <w:r w:rsidRPr="00D44204">
        <w:rPr>
          <w:sz w:val="24"/>
          <w:szCs w:val="24"/>
        </w:rPr>
        <w:t>benzimidazol</w:t>
      </w:r>
      <w:proofErr w:type="spellEnd"/>
      <w:r w:rsidRPr="00D44204">
        <w:rPr>
          <w:sz w:val="24"/>
          <w:szCs w:val="24"/>
        </w:rPr>
        <w:t xml:space="preserve">, som hæmmer sekretion af saltsyre i maven ved specifik blokering af </w:t>
      </w:r>
      <w:proofErr w:type="spellStart"/>
      <w:r w:rsidRPr="00D44204">
        <w:rPr>
          <w:sz w:val="24"/>
          <w:szCs w:val="24"/>
        </w:rPr>
        <w:t>parietalcellernes</w:t>
      </w:r>
      <w:proofErr w:type="spellEnd"/>
      <w:r w:rsidRPr="00D44204">
        <w:rPr>
          <w:sz w:val="24"/>
          <w:szCs w:val="24"/>
        </w:rPr>
        <w:t xml:space="preserve"> protonpumper.</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proofErr w:type="spellStart"/>
      <w:r w:rsidRPr="00D44204">
        <w:rPr>
          <w:sz w:val="24"/>
          <w:szCs w:val="24"/>
        </w:rPr>
        <w:t>Pantoprazol</w:t>
      </w:r>
      <w:proofErr w:type="spellEnd"/>
      <w:r w:rsidRPr="00D44204">
        <w:rPr>
          <w:sz w:val="24"/>
          <w:szCs w:val="24"/>
        </w:rPr>
        <w:t xml:space="preserve"> konverteres til den aktive form i </w:t>
      </w:r>
      <w:proofErr w:type="spellStart"/>
      <w:r w:rsidRPr="00D44204">
        <w:rPr>
          <w:sz w:val="24"/>
          <w:szCs w:val="24"/>
        </w:rPr>
        <w:t>parietalcellernes</w:t>
      </w:r>
      <w:proofErr w:type="spellEnd"/>
      <w:r w:rsidRPr="00D44204">
        <w:rPr>
          <w:sz w:val="24"/>
          <w:szCs w:val="24"/>
        </w:rPr>
        <w:t xml:space="preserve"> sure miljø, hvor det hæmmer K+H+-ATPasen, dvs. slutstadiet i ventriklens produktion af saltsyre. Hæmningen er dosisafhængig og berører såvel basal som stimuleret syresekretion. De fleste patienter opnår symptomfrihed inden for 2 uger. I lighed med behandling med andre </w:t>
      </w:r>
      <w:proofErr w:type="spellStart"/>
      <w:r w:rsidRPr="00D44204">
        <w:rPr>
          <w:sz w:val="24"/>
          <w:szCs w:val="24"/>
        </w:rPr>
        <w:t>protonpumpehæmmere</w:t>
      </w:r>
      <w:proofErr w:type="spellEnd"/>
      <w:r w:rsidRPr="00D44204">
        <w:rPr>
          <w:sz w:val="24"/>
          <w:szCs w:val="24"/>
        </w:rPr>
        <w:t xml:space="preserve"> og H</w:t>
      </w:r>
      <w:r w:rsidRPr="00D44204">
        <w:rPr>
          <w:sz w:val="24"/>
          <w:szCs w:val="24"/>
          <w:vertAlign w:val="subscript"/>
        </w:rPr>
        <w:t>2</w:t>
      </w:r>
      <w:r w:rsidRPr="00D44204">
        <w:rPr>
          <w:sz w:val="24"/>
          <w:szCs w:val="24"/>
        </w:rPr>
        <w:t xml:space="preserve">-receptorantagonister nedsætter </w:t>
      </w:r>
      <w:proofErr w:type="spellStart"/>
      <w:r w:rsidRPr="00D44204">
        <w:rPr>
          <w:sz w:val="24"/>
          <w:szCs w:val="24"/>
        </w:rPr>
        <w:t>pantoprazol</w:t>
      </w:r>
      <w:proofErr w:type="spellEnd"/>
      <w:r w:rsidRPr="00D44204">
        <w:rPr>
          <w:sz w:val="24"/>
          <w:szCs w:val="24"/>
        </w:rPr>
        <w:t xml:space="preserve"> surhedsgraden i ventriklen, hvorved forekomsten af gastrin øges proportionalt med reduktionen i surhed. Stigningen i gastrin er reversibel. Da </w:t>
      </w:r>
      <w:proofErr w:type="spellStart"/>
      <w:r w:rsidRPr="00D44204">
        <w:rPr>
          <w:sz w:val="24"/>
          <w:szCs w:val="24"/>
        </w:rPr>
        <w:t>pantoprazol</w:t>
      </w:r>
      <w:proofErr w:type="spellEnd"/>
      <w:r w:rsidRPr="00D44204">
        <w:rPr>
          <w:sz w:val="24"/>
          <w:szCs w:val="24"/>
        </w:rPr>
        <w:t xml:space="preserve"> binder til enzymet </w:t>
      </w:r>
      <w:proofErr w:type="spellStart"/>
      <w:r w:rsidRPr="00D44204">
        <w:rPr>
          <w:sz w:val="24"/>
          <w:szCs w:val="24"/>
        </w:rPr>
        <w:t>distalt</w:t>
      </w:r>
      <w:proofErr w:type="spellEnd"/>
      <w:r w:rsidRPr="00D44204">
        <w:rPr>
          <w:sz w:val="24"/>
          <w:szCs w:val="24"/>
        </w:rPr>
        <w:t xml:space="preserve"> for cellereceptorniveauet, kan det hæmme saltsyresekretionen uafhængigt af stimulationen fra andre stoffer (</w:t>
      </w:r>
      <w:proofErr w:type="spellStart"/>
      <w:r w:rsidRPr="00D44204">
        <w:rPr>
          <w:sz w:val="24"/>
          <w:szCs w:val="24"/>
        </w:rPr>
        <w:t>acetylcholin</w:t>
      </w:r>
      <w:proofErr w:type="spellEnd"/>
      <w:r w:rsidRPr="00D44204">
        <w:rPr>
          <w:sz w:val="24"/>
          <w:szCs w:val="24"/>
        </w:rPr>
        <w:t>, histamin, gastrin). Virkningen er den samme, uanset om produktet gives peroralt eller intravenøst.</w:t>
      </w:r>
    </w:p>
    <w:p w:rsidR="00A171C9" w:rsidRPr="00D44204" w:rsidRDefault="00A171C9" w:rsidP="00A171C9">
      <w:pPr>
        <w:tabs>
          <w:tab w:val="left" w:pos="851"/>
        </w:tabs>
        <w:ind w:left="851" w:hanging="851"/>
        <w:rPr>
          <w:sz w:val="24"/>
          <w:szCs w:val="24"/>
        </w:rPr>
      </w:pPr>
      <w:r w:rsidRPr="00D44204">
        <w:rPr>
          <w:sz w:val="24"/>
          <w:szCs w:val="24"/>
        </w:rPr>
        <w:tab/>
      </w:r>
    </w:p>
    <w:p w:rsidR="000F5E32" w:rsidRPr="00D44204" w:rsidRDefault="00A171C9" w:rsidP="000F5E32">
      <w:pPr>
        <w:tabs>
          <w:tab w:val="left" w:pos="851"/>
        </w:tabs>
        <w:ind w:left="851" w:hanging="851"/>
        <w:rPr>
          <w:sz w:val="24"/>
          <w:szCs w:val="24"/>
        </w:rPr>
      </w:pPr>
      <w:r w:rsidRPr="00D44204">
        <w:rPr>
          <w:sz w:val="24"/>
          <w:szCs w:val="24"/>
        </w:rPr>
        <w:tab/>
      </w:r>
      <w:proofErr w:type="spellStart"/>
      <w:r w:rsidR="000F5E32" w:rsidRPr="00D44204">
        <w:rPr>
          <w:i/>
          <w:sz w:val="24"/>
          <w:szCs w:val="24"/>
          <w:u w:val="single"/>
        </w:rPr>
        <w:t>Farmakodynamiske</w:t>
      </w:r>
      <w:proofErr w:type="spellEnd"/>
      <w:r w:rsidR="000F5E32" w:rsidRPr="00D44204">
        <w:rPr>
          <w:i/>
          <w:sz w:val="24"/>
          <w:szCs w:val="24"/>
          <w:u w:val="single"/>
        </w:rPr>
        <w:t xml:space="preserve"> virkninger</w:t>
      </w:r>
    </w:p>
    <w:p w:rsidR="00A171C9" w:rsidRPr="00D44204" w:rsidRDefault="00D44204" w:rsidP="00A171C9">
      <w:pPr>
        <w:tabs>
          <w:tab w:val="left" w:pos="851"/>
        </w:tabs>
        <w:ind w:left="851" w:hanging="851"/>
        <w:rPr>
          <w:sz w:val="24"/>
          <w:szCs w:val="24"/>
        </w:rPr>
      </w:pPr>
      <w:r w:rsidRPr="00D44204">
        <w:rPr>
          <w:sz w:val="24"/>
          <w:szCs w:val="24"/>
        </w:rPr>
        <w:tab/>
      </w:r>
      <w:r w:rsidR="00A171C9" w:rsidRPr="00D44204">
        <w:rPr>
          <w:sz w:val="24"/>
          <w:szCs w:val="24"/>
        </w:rPr>
        <w:t xml:space="preserve">De fastende gastrinværdier stiger under </w:t>
      </w:r>
      <w:proofErr w:type="spellStart"/>
      <w:r w:rsidR="00A171C9" w:rsidRPr="00D44204">
        <w:rPr>
          <w:sz w:val="24"/>
          <w:szCs w:val="24"/>
        </w:rPr>
        <w:t>pantoprazolbehandlingen</w:t>
      </w:r>
      <w:proofErr w:type="spellEnd"/>
      <w:r w:rsidR="00A171C9" w:rsidRPr="00D44204">
        <w:rPr>
          <w:sz w:val="24"/>
          <w:szCs w:val="24"/>
        </w:rPr>
        <w:t xml:space="preserve">. Ved kortvarig behandling vil de i de fleste tilfælde ikke overstige øvre normalgrænse. Under langtidsbehandling fordobles gastrinværdierne i de fleste tilfælde. En voldsom stigning forekommer dog kun i enkeltstående tilfælde. Som følge heraf er en let til moderat stigning i antallet af specifikke endokrine (ECL)-celler i maven observeret hos et mindretal af patienterne under langtidsbehandling (simpel til </w:t>
      </w:r>
      <w:proofErr w:type="spellStart"/>
      <w:r w:rsidR="00A171C9" w:rsidRPr="00D44204">
        <w:rPr>
          <w:sz w:val="24"/>
          <w:szCs w:val="24"/>
        </w:rPr>
        <w:t>adenomatoid</w:t>
      </w:r>
      <w:proofErr w:type="spellEnd"/>
      <w:r w:rsidR="00A171C9" w:rsidRPr="00D44204">
        <w:rPr>
          <w:sz w:val="24"/>
          <w:szCs w:val="24"/>
        </w:rPr>
        <w:t xml:space="preserve"> </w:t>
      </w:r>
      <w:proofErr w:type="spellStart"/>
      <w:r w:rsidR="00A171C9" w:rsidRPr="00D44204">
        <w:rPr>
          <w:sz w:val="24"/>
          <w:szCs w:val="24"/>
        </w:rPr>
        <w:t>hyperplasi</w:t>
      </w:r>
      <w:proofErr w:type="spellEnd"/>
      <w:r w:rsidR="00A171C9" w:rsidRPr="00D44204">
        <w:rPr>
          <w:sz w:val="24"/>
          <w:szCs w:val="24"/>
        </w:rPr>
        <w:t xml:space="preserve">). Dannelsen af </w:t>
      </w:r>
      <w:proofErr w:type="spellStart"/>
      <w:r w:rsidR="00A171C9" w:rsidRPr="00D44204">
        <w:rPr>
          <w:sz w:val="24"/>
          <w:szCs w:val="24"/>
        </w:rPr>
        <w:t>karcinoide</w:t>
      </w:r>
      <w:proofErr w:type="spellEnd"/>
      <w:r w:rsidR="00A171C9" w:rsidRPr="00D44204">
        <w:rPr>
          <w:sz w:val="24"/>
          <w:szCs w:val="24"/>
        </w:rPr>
        <w:t xml:space="preserve"> forstadier (atypisk </w:t>
      </w:r>
      <w:proofErr w:type="spellStart"/>
      <w:r w:rsidR="00A171C9" w:rsidRPr="00D44204">
        <w:rPr>
          <w:sz w:val="24"/>
          <w:szCs w:val="24"/>
        </w:rPr>
        <w:t>hyperplasi</w:t>
      </w:r>
      <w:proofErr w:type="spellEnd"/>
      <w:r w:rsidR="00A171C9" w:rsidRPr="00D44204">
        <w:rPr>
          <w:sz w:val="24"/>
          <w:szCs w:val="24"/>
        </w:rPr>
        <w:t xml:space="preserve">) eller </w:t>
      </w:r>
      <w:proofErr w:type="spellStart"/>
      <w:r w:rsidR="00A171C9" w:rsidRPr="00D44204">
        <w:rPr>
          <w:sz w:val="24"/>
          <w:szCs w:val="24"/>
        </w:rPr>
        <w:t>ventrikelkarcinoider</w:t>
      </w:r>
      <w:proofErr w:type="spellEnd"/>
      <w:r w:rsidR="00A171C9" w:rsidRPr="00D44204">
        <w:rPr>
          <w:sz w:val="24"/>
          <w:szCs w:val="24"/>
        </w:rPr>
        <w:t>, som blev fundet i dyreforsøg (se pkt. 5.3), er ikke observeret hos mennesker.</w:t>
      </w:r>
    </w:p>
    <w:p w:rsidR="00A171C9" w:rsidRPr="00D44204" w:rsidRDefault="00A171C9" w:rsidP="00A171C9">
      <w:pPr>
        <w:tabs>
          <w:tab w:val="left" w:pos="851"/>
        </w:tabs>
        <w:ind w:left="851" w:hanging="851"/>
        <w:rPr>
          <w:sz w:val="24"/>
          <w:szCs w:val="24"/>
        </w:rPr>
      </w:pPr>
    </w:p>
    <w:p w:rsidR="00A171C9" w:rsidRPr="00D44204" w:rsidRDefault="00A171C9" w:rsidP="00A171C9">
      <w:pPr>
        <w:ind w:left="851"/>
        <w:rPr>
          <w:sz w:val="24"/>
          <w:szCs w:val="24"/>
        </w:rPr>
      </w:pPr>
      <w:r w:rsidRPr="00D44204">
        <w:rPr>
          <w:sz w:val="24"/>
          <w:szCs w:val="24"/>
        </w:rPr>
        <w:t xml:space="preserve">Under behandling med sekretionshæmmende lægemidler stiger indholdet af gastrin i serum som reaktion på den nedsatte syresekretion. Også indholdet af </w:t>
      </w:r>
      <w:proofErr w:type="spellStart"/>
      <w:r w:rsidRPr="00D44204">
        <w:rPr>
          <w:sz w:val="24"/>
          <w:szCs w:val="24"/>
        </w:rPr>
        <w:t>CgA</w:t>
      </w:r>
      <w:proofErr w:type="spellEnd"/>
      <w:r w:rsidRPr="00D44204">
        <w:rPr>
          <w:sz w:val="24"/>
          <w:szCs w:val="24"/>
        </w:rPr>
        <w:t xml:space="preserve"> stiger på grund af den nedsatte gastriske </w:t>
      </w:r>
      <w:proofErr w:type="spellStart"/>
      <w:r w:rsidRPr="00D44204">
        <w:rPr>
          <w:sz w:val="24"/>
          <w:szCs w:val="24"/>
        </w:rPr>
        <w:t>aciditet</w:t>
      </w:r>
      <w:proofErr w:type="spellEnd"/>
      <w:r w:rsidRPr="00D44204">
        <w:rPr>
          <w:sz w:val="24"/>
          <w:szCs w:val="24"/>
        </w:rPr>
        <w:t xml:space="preserve">. Det forhøjede indhold af </w:t>
      </w:r>
      <w:proofErr w:type="spellStart"/>
      <w:r w:rsidRPr="00D44204">
        <w:rPr>
          <w:sz w:val="24"/>
          <w:szCs w:val="24"/>
        </w:rPr>
        <w:t>CgA</w:t>
      </w:r>
      <w:proofErr w:type="spellEnd"/>
      <w:r w:rsidRPr="00D44204">
        <w:rPr>
          <w:sz w:val="24"/>
          <w:szCs w:val="24"/>
        </w:rPr>
        <w:t xml:space="preserve"> kan interferere med undersøgelser for </w:t>
      </w:r>
      <w:proofErr w:type="spellStart"/>
      <w:r w:rsidRPr="00D44204">
        <w:rPr>
          <w:sz w:val="24"/>
          <w:szCs w:val="24"/>
        </w:rPr>
        <w:t>neuroendokrine</w:t>
      </w:r>
      <w:proofErr w:type="spellEnd"/>
      <w:r w:rsidRPr="00D44204">
        <w:rPr>
          <w:sz w:val="24"/>
          <w:szCs w:val="24"/>
        </w:rPr>
        <w:t xml:space="preserve"> tumorer.</w:t>
      </w:r>
    </w:p>
    <w:p w:rsidR="00A171C9" w:rsidRPr="00D44204" w:rsidRDefault="00A171C9" w:rsidP="00A171C9">
      <w:pPr>
        <w:ind w:left="851"/>
        <w:rPr>
          <w:sz w:val="24"/>
          <w:szCs w:val="24"/>
        </w:rPr>
      </w:pPr>
    </w:p>
    <w:p w:rsidR="00A171C9" w:rsidRPr="00D44204" w:rsidRDefault="00A171C9" w:rsidP="00A171C9">
      <w:pPr>
        <w:ind w:left="851"/>
        <w:rPr>
          <w:sz w:val="24"/>
          <w:szCs w:val="24"/>
        </w:rPr>
      </w:pPr>
      <w:r w:rsidRPr="00D44204">
        <w:rPr>
          <w:sz w:val="24"/>
          <w:szCs w:val="24"/>
        </w:rPr>
        <w:t xml:space="preserve">Den foreliggende publicerede dokumentation antyder, at </w:t>
      </w:r>
      <w:proofErr w:type="spellStart"/>
      <w:r w:rsidRPr="00D44204">
        <w:rPr>
          <w:sz w:val="24"/>
          <w:szCs w:val="24"/>
        </w:rPr>
        <w:t>protonpumpehæmmere</w:t>
      </w:r>
      <w:proofErr w:type="spellEnd"/>
      <w:r w:rsidRPr="00D44204">
        <w:rPr>
          <w:sz w:val="24"/>
          <w:szCs w:val="24"/>
        </w:rPr>
        <w:t xml:space="preserve"> bør seponeres mellem 5 dage og 2 uger før måling af </w:t>
      </w:r>
      <w:proofErr w:type="spellStart"/>
      <w:r w:rsidRPr="00D44204">
        <w:rPr>
          <w:sz w:val="24"/>
          <w:szCs w:val="24"/>
        </w:rPr>
        <w:t>CgA</w:t>
      </w:r>
      <w:proofErr w:type="spellEnd"/>
      <w:r w:rsidRPr="00D44204">
        <w:rPr>
          <w:sz w:val="24"/>
          <w:szCs w:val="24"/>
        </w:rPr>
        <w:t xml:space="preserve">. Dette er for at eventuelle falskt forhøjede værdier af </w:t>
      </w:r>
      <w:proofErr w:type="spellStart"/>
      <w:r w:rsidRPr="00D44204">
        <w:rPr>
          <w:sz w:val="24"/>
          <w:szCs w:val="24"/>
        </w:rPr>
        <w:t>CgA</w:t>
      </w:r>
      <w:proofErr w:type="spellEnd"/>
      <w:r w:rsidRPr="00D44204">
        <w:rPr>
          <w:sz w:val="24"/>
          <w:szCs w:val="24"/>
        </w:rPr>
        <w:t xml:space="preserve"> i forbindelse med behandling med </w:t>
      </w:r>
      <w:proofErr w:type="spellStart"/>
      <w:r w:rsidRPr="00D44204">
        <w:rPr>
          <w:sz w:val="24"/>
          <w:szCs w:val="24"/>
        </w:rPr>
        <w:t>protonpumpehæmmere</w:t>
      </w:r>
      <w:proofErr w:type="spellEnd"/>
      <w:r w:rsidRPr="00D44204">
        <w:rPr>
          <w:sz w:val="24"/>
          <w:szCs w:val="24"/>
        </w:rPr>
        <w:t xml:space="preserve"> kan vende tilbage til referenceområdet.</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t xml:space="preserve">Dyreforsøg har vist, at det ikke helt kan udelukkes, at langtidsbehandling med </w:t>
      </w:r>
      <w:proofErr w:type="spellStart"/>
      <w:r w:rsidRPr="00D44204">
        <w:rPr>
          <w:sz w:val="24"/>
          <w:szCs w:val="24"/>
        </w:rPr>
        <w:t>pantoprazol</w:t>
      </w:r>
      <w:proofErr w:type="spellEnd"/>
      <w:r w:rsidRPr="00D44204">
        <w:rPr>
          <w:sz w:val="24"/>
          <w:szCs w:val="24"/>
        </w:rPr>
        <w:t xml:space="preserve"> af over et års varighed indvirker på skjoldbruskkirtlens endokrine parametre.</w:t>
      </w:r>
    </w:p>
    <w:bookmarkEnd w:id="2"/>
    <w:p w:rsidR="00A171C9" w:rsidRPr="00D44204" w:rsidRDefault="00A171C9" w:rsidP="00A171C9">
      <w:pPr>
        <w:tabs>
          <w:tab w:val="left" w:pos="851"/>
        </w:tabs>
        <w:ind w:left="851" w:hanging="851"/>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5.2</w:t>
      </w:r>
      <w:r w:rsidRPr="00D44204">
        <w:rPr>
          <w:b/>
          <w:sz w:val="24"/>
          <w:szCs w:val="24"/>
        </w:rPr>
        <w:tab/>
      </w:r>
      <w:proofErr w:type="spellStart"/>
      <w:r w:rsidRPr="00D44204">
        <w:rPr>
          <w:b/>
          <w:sz w:val="24"/>
          <w:szCs w:val="24"/>
        </w:rPr>
        <w:t>Farmakokinetiske</w:t>
      </w:r>
      <w:proofErr w:type="spellEnd"/>
      <w:r w:rsidRPr="00D44204">
        <w:rPr>
          <w:b/>
          <w:sz w:val="24"/>
          <w:szCs w:val="24"/>
        </w:rPr>
        <w:t xml:space="preserve"> egenskaber</w:t>
      </w:r>
    </w:p>
    <w:p w:rsidR="00D44204" w:rsidRPr="00D44204" w:rsidRDefault="00D44204" w:rsidP="00A171C9">
      <w:pPr>
        <w:tabs>
          <w:tab w:val="left" w:pos="851"/>
        </w:tabs>
        <w:ind w:left="851" w:hanging="851"/>
        <w:rPr>
          <w:sz w:val="24"/>
          <w:szCs w:val="24"/>
        </w:rPr>
      </w:pPr>
    </w:p>
    <w:p w:rsidR="00A171C9" w:rsidRPr="00D44204" w:rsidRDefault="00A171C9" w:rsidP="00A171C9">
      <w:pPr>
        <w:tabs>
          <w:tab w:val="left" w:pos="851"/>
        </w:tabs>
        <w:ind w:left="851" w:hanging="851"/>
        <w:rPr>
          <w:i/>
          <w:sz w:val="24"/>
          <w:szCs w:val="24"/>
          <w:u w:val="single"/>
        </w:rPr>
      </w:pPr>
      <w:r w:rsidRPr="00D44204">
        <w:rPr>
          <w:sz w:val="24"/>
          <w:szCs w:val="24"/>
        </w:rPr>
        <w:tab/>
      </w:r>
      <w:r w:rsidRPr="00D44204">
        <w:rPr>
          <w:i/>
          <w:sz w:val="24"/>
          <w:szCs w:val="24"/>
          <w:u w:val="single"/>
        </w:rPr>
        <w:t>Absorption</w:t>
      </w:r>
    </w:p>
    <w:p w:rsidR="00A171C9" w:rsidRPr="00D44204" w:rsidRDefault="00A171C9" w:rsidP="00A171C9">
      <w:pPr>
        <w:tabs>
          <w:tab w:val="left" w:pos="851"/>
        </w:tabs>
        <w:ind w:left="851" w:hanging="851"/>
        <w:rPr>
          <w:sz w:val="24"/>
          <w:szCs w:val="24"/>
        </w:rPr>
      </w:pPr>
      <w:r w:rsidRPr="00D44204">
        <w:rPr>
          <w:sz w:val="24"/>
          <w:szCs w:val="24"/>
        </w:rPr>
        <w:tab/>
      </w:r>
      <w:proofErr w:type="spellStart"/>
      <w:r w:rsidRPr="00D44204">
        <w:rPr>
          <w:sz w:val="24"/>
          <w:szCs w:val="24"/>
        </w:rPr>
        <w:t>Pantoprazol</w:t>
      </w:r>
      <w:proofErr w:type="spellEnd"/>
      <w:r w:rsidRPr="00D44204">
        <w:rPr>
          <w:sz w:val="24"/>
          <w:szCs w:val="24"/>
        </w:rPr>
        <w:t xml:space="preserve"> absorberes hurtigt, og maksimal plasmakoncentration nås selv efter en enkelt oral dosis på 40 mg. I gennemsnit nås maksimale serum</w:t>
      </w:r>
      <w:r w:rsidRPr="00D44204">
        <w:rPr>
          <w:sz w:val="24"/>
          <w:szCs w:val="24"/>
        </w:rPr>
        <w:softHyphen/>
        <w:t xml:space="preserve">koncentrationer på 2-3 </w:t>
      </w:r>
      <w:proofErr w:type="spellStart"/>
      <w:r w:rsidRPr="00D44204">
        <w:rPr>
          <w:sz w:val="24"/>
          <w:szCs w:val="24"/>
        </w:rPr>
        <w:t>μg</w:t>
      </w:r>
      <w:proofErr w:type="spellEnd"/>
      <w:r w:rsidRPr="00D44204">
        <w:rPr>
          <w:sz w:val="24"/>
          <w:szCs w:val="24"/>
        </w:rPr>
        <w:t xml:space="preserve">/ml omkring 2,5 timer efter administration, og værdierne forbliver konstante efter gentagne doser. </w:t>
      </w:r>
    </w:p>
    <w:p w:rsidR="00A171C9" w:rsidRPr="00D44204" w:rsidRDefault="00A171C9" w:rsidP="00A171C9">
      <w:pPr>
        <w:tabs>
          <w:tab w:val="left" w:pos="851"/>
        </w:tabs>
        <w:ind w:left="851" w:hanging="851"/>
        <w:rPr>
          <w:sz w:val="24"/>
          <w:szCs w:val="24"/>
        </w:rPr>
      </w:pPr>
      <w:r w:rsidRPr="00D44204">
        <w:rPr>
          <w:sz w:val="24"/>
          <w:szCs w:val="24"/>
        </w:rPr>
        <w:tab/>
        <w:t xml:space="preserve">Farmakokinetikken ændres ikke efter enkelt eller gentagen administration. I dosisområdet 10-80 mg er </w:t>
      </w:r>
      <w:proofErr w:type="spellStart"/>
      <w:r w:rsidRPr="00D44204">
        <w:rPr>
          <w:sz w:val="24"/>
          <w:szCs w:val="24"/>
        </w:rPr>
        <w:t>pantoprazols</w:t>
      </w:r>
      <w:proofErr w:type="spellEnd"/>
      <w:r w:rsidRPr="00D44204">
        <w:rPr>
          <w:sz w:val="24"/>
          <w:szCs w:val="24"/>
        </w:rPr>
        <w:t xml:space="preserve"> plasmakinetik lineær efter såvel peroral som intravenøs administration.</w:t>
      </w:r>
    </w:p>
    <w:p w:rsidR="00A171C9" w:rsidRPr="00D44204" w:rsidRDefault="00A171C9" w:rsidP="00A171C9">
      <w:pPr>
        <w:tabs>
          <w:tab w:val="left" w:pos="851"/>
        </w:tabs>
        <w:ind w:left="851"/>
        <w:rPr>
          <w:sz w:val="24"/>
          <w:szCs w:val="24"/>
        </w:rPr>
      </w:pPr>
    </w:p>
    <w:p w:rsidR="00A171C9" w:rsidRPr="00D44204" w:rsidRDefault="00A171C9" w:rsidP="00A171C9">
      <w:pPr>
        <w:tabs>
          <w:tab w:val="left" w:pos="851"/>
        </w:tabs>
        <w:ind w:left="851"/>
        <w:rPr>
          <w:sz w:val="24"/>
          <w:szCs w:val="24"/>
        </w:rPr>
      </w:pPr>
      <w:r w:rsidRPr="00D44204">
        <w:rPr>
          <w:sz w:val="24"/>
          <w:szCs w:val="24"/>
        </w:rPr>
        <w:t>Den totale biotilgængelighed fra tabletten er ca. 77</w:t>
      </w:r>
      <w:r w:rsidR="00300098">
        <w:rPr>
          <w:sz w:val="24"/>
          <w:szCs w:val="24"/>
        </w:rPr>
        <w:t xml:space="preserve"> %</w:t>
      </w:r>
      <w:r w:rsidRPr="00D44204">
        <w:rPr>
          <w:sz w:val="24"/>
          <w:szCs w:val="24"/>
        </w:rPr>
        <w:t xml:space="preserve">. Samtidig fødeindtagelse havde ingen indflydelse på AUC, maksimal serumkoncentration og således heller ikke på biotilgængeligheden. </w:t>
      </w:r>
    </w:p>
    <w:p w:rsidR="00A171C9" w:rsidRPr="00D44204" w:rsidRDefault="00A171C9" w:rsidP="00A171C9">
      <w:pPr>
        <w:tabs>
          <w:tab w:val="left" w:pos="851"/>
        </w:tabs>
        <w:ind w:left="851" w:hanging="851"/>
        <w:rPr>
          <w:sz w:val="24"/>
          <w:szCs w:val="24"/>
        </w:rPr>
      </w:pPr>
      <w:r w:rsidRPr="00D44204">
        <w:rPr>
          <w:sz w:val="24"/>
          <w:szCs w:val="24"/>
        </w:rPr>
        <w:tab/>
        <w:t>Kun udsving i latenstiden øges ved samtidig fødeindtagelse.</w:t>
      </w:r>
    </w:p>
    <w:p w:rsidR="00A171C9" w:rsidRPr="00D44204" w:rsidRDefault="00A171C9" w:rsidP="00A171C9">
      <w:pPr>
        <w:tabs>
          <w:tab w:val="left" w:pos="851"/>
        </w:tabs>
        <w:ind w:left="851" w:hanging="851"/>
        <w:rPr>
          <w:sz w:val="24"/>
          <w:szCs w:val="24"/>
        </w:rPr>
      </w:pPr>
    </w:p>
    <w:p w:rsidR="00A171C9" w:rsidRPr="00D44204" w:rsidRDefault="00A171C9" w:rsidP="00D44204">
      <w:pPr>
        <w:ind w:left="851"/>
        <w:rPr>
          <w:i/>
          <w:sz w:val="24"/>
          <w:szCs w:val="24"/>
          <w:u w:val="single"/>
        </w:rPr>
      </w:pPr>
      <w:r w:rsidRPr="00D44204">
        <w:rPr>
          <w:i/>
          <w:sz w:val="24"/>
          <w:szCs w:val="24"/>
          <w:u w:val="single"/>
        </w:rPr>
        <w:t>Distribution</w:t>
      </w:r>
    </w:p>
    <w:p w:rsidR="00A82F54" w:rsidRDefault="00A82F54" w:rsidP="00A82F54">
      <w:pPr>
        <w:ind w:left="851"/>
        <w:rPr>
          <w:sz w:val="24"/>
          <w:szCs w:val="24"/>
        </w:rPr>
      </w:pPr>
      <w:proofErr w:type="spellStart"/>
      <w:r>
        <w:rPr>
          <w:sz w:val="24"/>
          <w:szCs w:val="24"/>
        </w:rPr>
        <w:t>Pantoprazols</w:t>
      </w:r>
      <w:proofErr w:type="spellEnd"/>
      <w:r>
        <w:rPr>
          <w:sz w:val="24"/>
          <w:szCs w:val="24"/>
        </w:rPr>
        <w:t xml:space="preserve"> proteinbinding i serum er omkring 98 %. Fordelingsvolumen er ca. 0,15 l/kg.</w:t>
      </w:r>
    </w:p>
    <w:p w:rsidR="00A171C9" w:rsidRPr="00D44204" w:rsidRDefault="00A171C9" w:rsidP="00D44204">
      <w:pPr>
        <w:ind w:left="851"/>
        <w:rPr>
          <w:sz w:val="24"/>
          <w:szCs w:val="24"/>
        </w:rPr>
      </w:pPr>
    </w:p>
    <w:p w:rsidR="000F5E32" w:rsidRPr="00D44204" w:rsidRDefault="000F5E32" w:rsidP="00D44204">
      <w:pPr>
        <w:ind w:left="851"/>
        <w:rPr>
          <w:sz w:val="24"/>
          <w:szCs w:val="24"/>
        </w:rPr>
      </w:pPr>
      <w:r w:rsidRPr="00D44204">
        <w:rPr>
          <w:i/>
          <w:sz w:val="24"/>
          <w:szCs w:val="24"/>
          <w:u w:val="single"/>
        </w:rPr>
        <w:t>Biotransformation</w:t>
      </w:r>
      <w:r w:rsidRPr="00D44204">
        <w:rPr>
          <w:i/>
          <w:sz w:val="24"/>
          <w:szCs w:val="24"/>
          <w:u w:val="single"/>
        </w:rPr>
        <w:br/>
      </w:r>
      <w:r w:rsidRPr="00D44204">
        <w:rPr>
          <w:sz w:val="24"/>
          <w:szCs w:val="24"/>
        </w:rPr>
        <w:t xml:space="preserve">Stoffet </w:t>
      </w:r>
      <w:proofErr w:type="spellStart"/>
      <w:r w:rsidRPr="00D44204">
        <w:rPr>
          <w:sz w:val="24"/>
          <w:szCs w:val="24"/>
        </w:rPr>
        <w:t>metaboliseres</w:t>
      </w:r>
      <w:proofErr w:type="spellEnd"/>
      <w:r w:rsidRPr="00D44204">
        <w:rPr>
          <w:sz w:val="24"/>
          <w:szCs w:val="24"/>
        </w:rPr>
        <w:t xml:space="preserve"> næsten udelukkende i leveren. </w:t>
      </w:r>
      <w:proofErr w:type="spellStart"/>
      <w:r w:rsidRPr="00D44204">
        <w:rPr>
          <w:sz w:val="24"/>
          <w:szCs w:val="24"/>
        </w:rPr>
        <w:t>Metaboliseringen</w:t>
      </w:r>
      <w:proofErr w:type="spellEnd"/>
      <w:r w:rsidRPr="00D44204">
        <w:rPr>
          <w:sz w:val="24"/>
          <w:szCs w:val="24"/>
        </w:rPr>
        <w:t xml:space="preserve"> sker overvejende ved </w:t>
      </w:r>
      <w:proofErr w:type="spellStart"/>
      <w:r w:rsidRPr="00D44204">
        <w:rPr>
          <w:sz w:val="24"/>
          <w:szCs w:val="24"/>
        </w:rPr>
        <w:t>demethylering</w:t>
      </w:r>
      <w:proofErr w:type="spellEnd"/>
      <w:r w:rsidRPr="00D44204">
        <w:rPr>
          <w:sz w:val="24"/>
          <w:szCs w:val="24"/>
        </w:rPr>
        <w:t xml:space="preserve"> via CYP2C19 med efterfølgende </w:t>
      </w:r>
      <w:proofErr w:type="spellStart"/>
      <w:r w:rsidRPr="00D44204">
        <w:rPr>
          <w:sz w:val="24"/>
          <w:szCs w:val="24"/>
        </w:rPr>
        <w:t>sulfatkonjugering</w:t>
      </w:r>
      <w:proofErr w:type="spellEnd"/>
      <w:r w:rsidRPr="00D44204">
        <w:rPr>
          <w:sz w:val="24"/>
          <w:szCs w:val="24"/>
        </w:rPr>
        <w:t xml:space="preserve">, anden </w:t>
      </w:r>
      <w:proofErr w:type="spellStart"/>
      <w:r w:rsidRPr="00D44204">
        <w:rPr>
          <w:sz w:val="24"/>
          <w:szCs w:val="24"/>
        </w:rPr>
        <w:t>metabolisering</w:t>
      </w:r>
      <w:proofErr w:type="spellEnd"/>
      <w:r w:rsidRPr="00D44204">
        <w:rPr>
          <w:sz w:val="24"/>
          <w:szCs w:val="24"/>
        </w:rPr>
        <w:t xml:space="preserve"> omfatter oxidering via CYP3A4.</w:t>
      </w:r>
    </w:p>
    <w:p w:rsidR="000F5E32" w:rsidRPr="00D44204" w:rsidRDefault="000F5E32" w:rsidP="000F5E32">
      <w:pPr>
        <w:tabs>
          <w:tab w:val="left" w:pos="851"/>
        </w:tabs>
        <w:ind w:left="851" w:hanging="851"/>
        <w:rPr>
          <w:sz w:val="24"/>
          <w:szCs w:val="24"/>
        </w:rPr>
      </w:pPr>
      <w:r w:rsidRPr="00D44204">
        <w:rPr>
          <w:sz w:val="24"/>
          <w:szCs w:val="24"/>
        </w:rPr>
        <w:tab/>
      </w:r>
    </w:p>
    <w:p w:rsidR="000F5E32" w:rsidRPr="00D44204" w:rsidRDefault="000F5E32" w:rsidP="000F5E32">
      <w:pPr>
        <w:tabs>
          <w:tab w:val="left" w:pos="851"/>
        </w:tabs>
        <w:ind w:left="851" w:hanging="851"/>
        <w:rPr>
          <w:i/>
          <w:sz w:val="24"/>
          <w:szCs w:val="24"/>
          <w:u w:val="single"/>
        </w:rPr>
      </w:pPr>
      <w:r w:rsidRPr="00D44204">
        <w:rPr>
          <w:sz w:val="24"/>
          <w:szCs w:val="24"/>
        </w:rPr>
        <w:tab/>
      </w:r>
      <w:r w:rsidRPr="00D44204">
        <w:rPr>
          <w:i/>
          <w:sz w:val="24"/>
          <w:szCs w:val="24"/>
          <w:u w:val="single"/>
        </w:rPr>
        <w:t>Elimination</w:t>
      </w:r>
    </w:p>
    <w:p w:rsidR="000F5E32" w:rsidRPr="00D44204" w:rsidRDefault="000F5E32" w:rsidP="000F5E32">
      <w:pPr>
        <w:tabs>
          <w:tab w:val="left" w:pos="851"/>
        </w:tabs>
        <w:ind w:left="851"/>
        <w:rPr>
          <w:sz w:val="24"/>
          <w:szCs w:val="24"/>
        </w:rPr>
      </w:pPr>
      <w:r w:rsidRPr="00D44204">
        <w:rPr>
          <w:sz w:val="24"/>
          <w:szCs w:val="24"/>
        </w:rPr>
        <w:t xml:space="preserve">Den terminale halveringstid er ca. 1 time og </w:t>
      </w:r>
      <w:proofErr w:type="spellStart"/>
      <w:r w:rsidRPr="00D44204">
        <w:rPr>
          <w:sz w:val="24"/>
          <w:szCs w:val="24"/>
        </w:rPr>
        <w:t>clearance</w:t>
      </w:r>
      <w:proofErr w:type="spellEnd"/>
      <w:r w:rsidRPr="00D44204">
        <w:rPr>
          <w:sz w:val="24"/>
          <w:szCs w:val="24"/>
        </w:rPr>
        <w:t xml:space="preserve"> er 0,1 l/t/kg. </w:t>
      </w:r>
    </w:p>
    <w:p w:rsidR="00A171C9" w:rsidRPr="00D44204" w:rsidRDefault="00A171C9" w:rsidP="00A171C9">
      <w:pPr>
        <w:tabs>
          <w:tab w:val="left" w:pos="851"/>
        </w:tabs>
        <w:ind w:left="851"/>
        <w:rPr>
          <w:sz w:val="24"/>
          <w:szCs w:val="24"/>
        </w:rPr>
      </w:pPr>
      <w:r w:rsidRPr="00D44204">
        <w:rPr>
          <w:sz w:val="24"/>
          <w:szCs w:val="24"/>
        </w:rPr>
        <w:t xml:space="preserve">Hos enkelte forekom forsinket elimination. På grund af </w:t>
      </w:r>
      <w:proofErr w:type="spellStart"/>
      <w:r w:rsidRPr="00D44204">
        <w:rPr>
          <w:sz w:val="24"/>
          <w:szCs w:val="24"/>
        </w:rPr>
        <w:t>pantoprazols</w:t>
      </w:r>
      <w:proofErr w:type="spellEnd"/>
      <w:r w:rsidRPr="00D44204">
        <w:rPr>
          <w:sz w:val="24"/>
          <w:szCs w:val="24"/>
        </w:rPr>
        <w:t xml:space="preserve"> specifikke binding til </w:t>
      </w:r>
      <w:proofErr w:type="spellStart"/>
      <w:r w:rsidRPr="00D44204">
        <w:rPr>
          <w:sz w:val="24"/>
          <w:szCs w:val="24"/>
        </w:rPr>
        <w:t>parietalcellernes</w:t>
      </w:r>
      <w:proofErr w:type="spellEnd"/>
      <w:r w:rsidRPr="00D44204">
        <w:rPr>
          <w:sz w:val="24"/>
          <w:szCs w:val="24"/>
        </w:rPr>
        <w:t xml:space="preserve"> protonpumper svarer halveringstiden ikke til den meget længere virkningsvarighed (hæmning af syresekretion).</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r>
      <w:proofErr w:type="spellStart"/>
      <w:r w:rsidR="00A82F54">
        <w:rPr>
          <w:sz w:val="24"/>
          <w:szCs w:val="24"/>
        </w:rPr>
        <w:t>Pantoprazols</w:t>
      </w:r>
      <w:proofErr w:type="spellEnd"/>
      <w:r w:rsidR="00A82F54">
        <w:rPr>
          <w:sz w:val="24"/>
          <w:szCs w:val="24"/>
        </w:rPr>
        <w:t xml:space="preserve"> </w:t>
      </w:r>
      <w:r w:rsidRPr="00D44204">
        <w:rPr>
          <w:sz w:val="24"/>
          <w:szCs w:val="24"/>
        </w:rPr>
        <w:t>metabolitter udskilles primært via nyrerne (omkring 80</w:t>
      </w:r>
      <w:r w:rsidR="00300098">
        <w:rPr>
          <w:sz w:val="24"/>
          <w:szCs w:val="24"/>
        </w:rPr>
        <w:t xml:space="preserve"> %</w:t>
      </w:r>
      <w:r w:rsidRPr="00D44204">
        <w:rPr>
          <w:sz w:val="24"/>
          <w:szCs w:val="24"/>
        </w:rPr>
        <w:t xml:space="preserve">), mens resten udskilles med fæces. Hovedmetabolitten i såvel serum som urin er </w:t>
      </w:r>
      <w:proofErr w:type="spellStart"/>
      <w:r w:rsidRPr="00D44204">
        <w:rPr>
          <w:sz w:val="24"/>
          <w:szCs w:val="24"/>
        </w:rPr>
        <w:t>desmethylpantoprazol</w:t>
      </w:r>
      <w:proofErr w:type="spellEnd"/>
      <w:r w:rsidRPr="00D44204">
        <w:rPr>
          <w:sz w:val="24"/>
          <w:szCs w:val="24"/>
        </w:rPr>
        <w:t xml:space="preserve">, som konjugeres med sulfat. Halveringstiden er ikke meget længere for hovedmetabolitten (omkring 1,5 time) end for </w:t>
      </w:r>
      <w:proofErr w:type="spellStart"/>
      <w:r w:rsidRPr="00D44204">
        <w:rPr>
          <w:sz w:val="24"/>
          <w:szCs w:val="24"/>
        </w:rPr>
        <w:t>pantoprazol</w:t>
      </w:r>
      <w:proofErr w:type="spellEnd"/>
      <w:r w:rsidRPr="00D44204">
        <w:rPr>
          <w:sz w:val="24"/>
          <w:szCs w:val="24"/>
        </w:rPr>
        <w:t>.</w:t>
      </w:r>
    </w:p>
    <w:p w:rsidR="00A171C9" w:rsidRPr="00D44204" w:rsidRDefault="00A171C9" w:rsidP="00A171C9">
      <w:pPr>
        <w:tabs>
          <w:tab w:val="left" w:pos="851"/>
        </w:tabs>
        <w:ind w:left="851" w:hanging="851"/>
        <w:rPr>
          <w:sz w:val="24"/>
          <w:szCs w:val="24"/>
        </w:rPr>
      </w:pPr>
    </w:p>
    <w:p w:rsidR="000F5E32" w:rsidRPr="00D44204" w:rsidRDefault="000F5E32" w:rsidP="000F5E32">
      <w:pPr>
        <w:tabs>
          <w:tab w:val="left" w:pos="851"/>
        </w:tabs>
        <w:ind w:left="851"/>
        <w:rPr>
          <w:i/>
          <w:sz w:val="24"/>
          <w:szCs w:val="24"/>
          <w:u w:val="single"/>
        </w:rPr>
      </w:pPr>
      <w:r w:rsidRPr="00D44204">
        <w:rPr>
          <w:i/>
          <w:sz w:val="24"/>
          <w:szCs w:val="24"/>
          <w:u w:val="single"/>
        </w:rPr>
        <w:t>Særlige patientpopulationer</w:t>
      </w:r>
    </w:p>
    <w:p w:rsidR="000F5E32" w:rsidRPr="00D44204" w:rsidRDefault="000F5E32" w:rsidP="000F5E32">
      <w:pPr>
        <w:tabs>
          <w:tab w:val="left" w:pos="851"/>
        </w:tabs>
        <w:ind w:left="851"/>
        <w:rPr>
          <w:i/>
          <w:sz w:val="24"/>
          <w:szCs w:val="24"/>
          <w:u w:val="single"/>
        </w:rPr>
      </w:pPr>
      <w:r w:rsidRPr="00D44204">
        <w:rPr>
          <w:sz w:val="24"/>
          <w:szCs w:val="24"/>
        </w:rPr>
        <w:tab/>
      </w:r>
    </w:p>
    <w:p w:rsidR="000F5E32" w:rsidRPr="00D44204" w:rsidRDefault="000F5E32" w:rsidP="000F5E32">
      <w:pPr>
        <w:tabs>
          <w:tab w:val="left" w:pos="851"/>
        </w:tabs>
        <w:ind w:left="851" w:hanging="851"/>
        <w:rPr>
          <w:sz w:val="24"/>
          <w:szCs w:val="24"/>
          <w:u w:val="single"/>
        </w:rPr>
      </w:pPr>
      <w:r w:rsidRPr="00D44204">
        <w:rPr>
          <w:sz w:val="24"/>
          <w:szCs w:val="24"/>
        </w:rPr>
        <w:tab/>
      </w:r>
      <w:r w:rsidRPr="00D44204">
        <w:rPr>
          <w:sz w:val="24"/>
          <w:szCs w:val="24"/>
          <w:u w:val="single"/>
        </w:rPr>
        <w:t>Nedsat nyrefunktion</w:t>
      </w:r>
    </w:p>
    <w:p w:rsidR="00A171C9" w:rsidRPr="00D44204" w:rsidRDefault="00A171C9" w:rsidP="00A171C9">
      <w:pPr>
        <w:tabs>
          <w:tab w:val="left" w:pos="851"/>
        </w:tabs>
        <w:ind w:left="851" w:hanging="851"/>
        <w:rPr>
          <w:sz w:val="24"/>
          <w:szCs w:val="24"/>
        </w:rPr>
      </w:pPr>
      <w:r w:rsidRPr="00D44204">
        <w:rPr>
          <w:sz w:val="24"/>
          <w:szCs w:val="24"/>
        </w:rPr>
        <w:tab/>
        <w:t xml:space="preserve">Dosisreduktion er ikke nødvendigt ved administration af </w:t>
      </w:r>
      <w:proofErr w:type="spellStart"/>
      <w:r w:rsidRPr="00D44204">
        <w:rPr>
          <w:sz w:val="24"/>
          <w:szCs w:val="24"/>
        </w:rPr>
        <w:t>pantoprazol</w:t>
      </w:r>
      <w:proofErr w:type="spellEnd"/>
      <w:r w:rsidRPr="00D44204">
        <w:rPr>
          <w:sz w:val="24"/>
          <w:szCs w:val="24"/>
        </w:rPr>
        <w:t xml:space="preserve"> til patienter med nedsat nyrefunktion (inklusive dialysepatienter). Som hos raske personer, er </w:t>
      </w:r>
      <w:proofErr w:type="spellStart"/>
      <w:r w:rsidRPr="00D44204">
        <w:rPr>
          <w:sz w:val="24"/>
          <w:szCs w:val="24"/>
        </w:rPr>
        <w:t>pantoprazols</w:t>
      </w:r>
      <w:proofErr w:type="spellEnd"/>
      <w:r w:rsidRPr="00D44204">
        <w:rPr>
          <w:sz w:val="24"/>
          <w:szCs w:val="24"/>
        </w:rPr>
        <w:t xml:space="preserve"> halveringstid kort. Kun meget små mængder </w:t>
      </w:r>
      <w:proofErr w:type="spellStart"/>
      <w:r w:rsidRPr="00D44204">
        <w:rPr>
          <w:sz w:val="24"/>
          <w:szCs w:val="24"/>
        </w:rPr>
        <w:t>pantoprazol</w:t>
      </w:r>
      <w:proofErr w:type="spellEnd"/>
      <w:r w:rsidRPr="00D44204">
        <w:rPr>
          <w:sz w:val="24"/>
          <w:szCs w:val="24"/>
        </w:rPr>
        <w:t xml:space="preserve"> kan fjernes ved dialyse. Selv om hovedmetabolitten har en moderat forlænget halveringstid (2-3 timer), er udskillelsen stadig hurtig, og akkumulation finder således ikke sted. </w:t>
      </w:r>
    </w:p>
    <w:p w:rsidR="00A171C9" w:rsidRPr="00D44204" w:rsidRDefault="00A171C9" w:rsidP="00A171C9">
      <w:pPr>
        <w:tabs>
          <w:tab w:val="left" w:pos="851"/>
        </w:tabs>
        <w:ind w:left="851" w:hanging="851"/>
        <w:rPr>
          <w:sz w:val="24"/>
          <w:szCs w:val="24"/>
        </w:rPr>
      </w:pPr>
    </w:p>
    <w:p w:rsidR="00A171C9" w:rsidRPr="00D44204" w:rsidRDefault="000F5E32" w:rsidP="00A171C9">
      <w:pPr>
        <w:tabs>
          <w:tab w:val="left" w:pos="851"/>
        </w:tabs>
        <w:ind w:left="851"/>
        <w:rPr>
          <w:sz w:val="24"/>
          <w:szCs w:val="24"/>
        </w:rPr>
      </w:pPr>
      <w:r w:rsidRPr="00D44204">
        <w:rPr>
          <w:sz w:val="24"/>
          <w:szCs w:val="24"/>
          <w:u w:val="single"/>
        </w:rPr>
        <w:t>Nedsat leverfunktion</w:t>
      </w:r>
      <w:r w:rsidRPr="00D44204">
        <w:rPr>
          <w:sz w:val="24"/>
          <w:szCs w:val="24"/>
        </w:rPr>
        <w:br/>
      </w:r>
      <w:r w:rsidR="00A171C9" w:rsidRPr="00D44204">
        <w:rPr>
          <w:sz w:val="24"/>
          <w:szCs w:val="24"/>
        </w:rPr>
        <w:t>Selv om halveringstiden voksede til 7-9 timer, og AUC-værdierne steg med faktor 5-7 hos patienter med lever</w:t>
      </w:r>
      <w:r w:rsidR="00A171C9" w:rsidRPr="00D44204">
        <w:rPr>
          <w:sz w:val="24"/>
          <w:szCs w:val="24"/>
        </w:rPr>
        <w:softHyphen/>
        <w:t xml:space="preserve">cirrose (klasse A og B i henhold til </w:t>
      </w:r>
      <w:r w:rsidR="00A171C9" w:rsidRPr="00D44204">
        <w:rPr>
          <w:iCs/>
          <w:sz w:val="24"/>
          <w:szCs w:val="24"/>
        </w:rPr>
        <w:t>Child</w:t>
      </w:r>
      <w:r w:rsidR="00A171C9" w:rsidRPr="00D44204">
        <w:rPr>
          <w:sz w:val="24"/>
          <w:szCs w:val="24"/>
        </w:rPr>
        <w:t>), sås kun en mindre stigning i maksimal serumkoncentration med faktor 1,5 i forhold til hos raske forsøgspersoner.</w:t>
      </w:r>
    </w:p>
    <w:p w:rsidR="003D1088" w:rsidRDefault="00A171C9" w:rsidP="00A171C9">
      <w:pPr>
        <w:tabs>
          <w:tab w:val="left" w:pos="851"/>
        </w:tabs>
        <w:ind w:left="851" w:hanging="851"/>
        <w:rPr>
          <w:sz w:val="24"/>
          <w:szCs w:val="24"/>
        </w:rPr>
      </w:pPr>
      <w:r w:rsidRPr="00D44204">
        <w:rPr>
          <w:sz w:val="24"/>
          <w:szCs w:val="24"/>
        </w:rPr>
        <w:tab/>
      </w:r>
    </w:p>
    <w:p w:rsidR="00A171C9" w:rsidRPr="00D44204" w:rsidRDefault="00A171C9" w:rsidP="00A171C9">
      <w:pPr>
        <w:tabs>
          <w:tab w:val="left" w:pos="851"/>
        </w:tabs>
        <w:ind w:left="851" w:hanging="851"/>
        <w:rPr>
          <w:i/>
          <w:sz w:val="24"/>
          <w:szCs w:val="24"/>
        </w:rPr>
      </w:pPr>
      <w:r w:rsidRPr="00D44204">
        <w:rPr>
          <w:sz w:val="24"/>
          <w:szCs w:val="24"/>
        </w:rPr>
        <w:tab/>
      </w:r>
      <w:r w:rsidRPr="00D44204">
        <w:rPr>
          <w:i/>
          <w:sz w:val="24"/>
          <w:szCs w:val="24"/>
        </w:rPr>
        <w:t>Ældre</w:t>
      </w:r>
    </w:p>
    <w:p w:rsidR="00A171C9" w:rsidRPr="00D44204" w:rsidRDefault="00A171C9" w:rsidP="00A171C9">
      <w:pPr>
        <w:tabs>
          <w:tab w:val="left" w:pos="851"/>
        </w:tabs>
        <w:ind w:left="851" w:hanging="851"/>
        <w:rPr>
          <w:sz w:val="24"/>
          <w:szCs w:val="24"/>
        </w:rPr>
      </w:pPr>
      <w:r w:rsidRPr="00D44204">
        <w:rPr>
          <w:sz w:val="24"/>
          <w:szCs w:val="24"/>
        </w:rPr>
        <w:tab/>
        <w:t xml:space="preserve">En mindre stigning i AUC og </w:t>
      </w:r>
      <w:proofErr w:type="spellStart"/>
      <w:r w:rsidRPr="00D44204">
        <w:rPr>
          <w:sz w:val="24"/>
          <w:szCs w:val="24"/>
        </w:rPr>
        <w:t>C</w:t>
      </w:r>
      <w:r w:rsidRPr="00D44204">
        <w:rPr>
          <w:sz w:val="24"/>
          <w:szCs w:val="24"/>
          <w:vertAlign w:val="subscript"/>
        </w:rPr>
        <w:t>max</w:t>
      </w:r>
      <w:proofErr w:type="spellEnd"/>
      <w:r w:rsidRPr="00D44204">
        <w:rPr>
          <w:sz w:val="24"/>
          <w:szCs w:val="24"/>
        </w:rPr>
        <w:t xml:space="preserve"> hos ældre forsøgspersoner sammenlignet med yngre har heller ingen klinisk betydning.</w:t>
      </w:r>
    </w:p>
    <w:p w:rsidR="00A171C9" w:rsidRPr="00D44204" w:rsidRDefault="00A171C9" w:rsidP="00A171C9">
      <w:pPr>
        <w:tabs>
          <w:tab w:val="left" w:pos="851"/>
        </w:tabs>
        <w:ind w:left="851" w:hanging="851"/>
        <w:rPr>
          <w:sz w:val="24"/>
          <w:szCs w:val="24"/>
        </w:rPr>
      </w:pPr>
    </w:p>
    <w:p w:rsidR="000F5E32" w:rsidRPr="00D44204" w:rsidRDefault="000F5E32" w:rsidP="00D44204">
      <w:pPr>
        <w:ind w:left="851"/>
        <w:rPr>
          <w:sz w:val="24"/>
          <w:szCs w:val="24"/>
          <w:u w:val="single"/>
        </w:rPr>
      </w:pPr>
      <w:r w:rsidRPr="00D44204">
        <w:rPr>
          <w:sz w:val="24"/>
          <w:szCs w:val="24"/>
          <w:u w:val="single"/>
        </w:rPr>
        <w:t xml:space="preserve">Dårlige </w:t>
      </w:r>
      <w:proofErr w:type="spellStart"/>
      <w:r w:rsidRPr="00D44204">
        <w:rPr>
          <w:sz w:val="24"/>
          <w:szCs w:val="24"/>
          <w:u w:val="single"/>
        </w:rPr>
        <w:t>omsӕttere</w:t>
      </w:r>
      <w:proofErr w:type="spellEnd"/>
    </w:p>
    <w:p w:rsidR="00A171C9" w:rsidRPr="00D44204" w:rsidRDefault="00A171C9" w:rsidP="00A171C9">
      <w:pPr>
        <w:tabs>
          <w:tab w:val="left" w:pos="851"/>
        </w:tabs>
        <w:ind w:left="851" w:hanging="851"/>
        <w:rPr>
          <w:sz w:val="24"/>
          <w:szCs w:val="24"/>
        </w:rPr>
      </w:pPr>
      <w:r w:rsidRPr="00D44204">
        <w:rPr>
          <w:sz w:val="24"/>
          <w:szCs w:val="24"/>
        </w:rPr>
        <w:tab/>
        <w:t>Ca. 3</w:t>
      </w:r>
      <w:r w:rsidR="00300098">
        <w:rPr>
          <w:sz w:val="24"/>
          <w:szCs w:val="24"/>
        </w:rPr>
        <w:t xml:space="preserve"> %</w:t>
      </w:r>
      <w:r w:rsidRPr="00D44204">
        <w:rPr>
          <w:sz w:val="24"/>
          <w:szCs w:val="24"/>
        </w:rPr>
        <w:t xml:space="preserve"> af den europæiske befolkning mangler et funktionelt CYP2C19-enzym og kaldes dårlige </w:t>
      </w:r>
      <w:proofErr w:type="spellStart"/>
      <w:r w:rsidRPr="00D44204">
        <w:rPr>
          <w:sz w:val="24"/>
          <w:szCs w:val="24"/>
        </w:rPr>
        <w:t>omsættere</w:t>
      </w:r>
      <w:proofErr w:type="spellEnd"/>
      <w:r w:rsidRPr="00D44204">
        <w:rPr>
          <w:sz w:val="24"/>
          <w:szCs w:val="24"/>
        </w:rPr>
        <w:t xml:space="preserve">. Hos disse personer er metabolismen af </w:t>
      </w:r>
      <w:proofErr w:type="spellStart"/>
      <w:r w:rsidRPr="00D44204">
        <w:rPr>
          <w:sz w:val="24"/>
          <w:szCs w:val="24"/>
        </w:rPr>
        <w:t>pantoprazol</w:t>
      </w:r>
      <w:proofErr w:type="spellEnd"/>
      <w:r w:rsidRPr="00D44204">
        <w:rPr>
          <w:sz w:val="24"/>
          <w:szCs w:val="24"/>
        </w:rPr>
        <w:t xml:space="preserve"> formentlig overvejende katalyseret via CYP3A4. Efter administration af en enkelt dosis på 40 mg </w:t>
      </w:r>
      <w:proofErr w:type="spellStart"/>
      <w:r w:rsidRPr="00D44204">
        <w:rPr>
          <w:sz w:val="24"/>
          <w:szCs w:val="24"/>
        </w:rPr>
        <w:t>pantoprazol</w:t>
      </w:r>
      <w:proofErr w:type="spellEnd"/>
      <w:r w:rsidRPr="00D44204">
        <w:rPr>
          <w:sz w:val="24"/>
          <w:szCs w:val="24"/>
        </w:rPr>
        <w:t xml:space="preserve"> er det gennemsnitlige areal under plasma-koncentrationskurven ca. 6 gange større hos dårlige </w:t>
      </w:r>
      <w:proofErr w:type="spellStart"/>
      <w:r w:rsidRPr="00D44204">
        <w:rPr>
          <w:sz w:val="24"/>
          <w:szCs w:val="24"/>
        </w:rPr>
        <w:t>omsættere</w:t>
      </w:r>
      <w:proofErr w:type="spellEnd"/>
      <w:r w:rsidRPr="00D44204">
        <w:rPr>
          <w:sz w:val="24"/>
          <w:szCs w:val="24"/>
        </w:rPr>
        <w:t xml:space="preserve"> end hos personer med et funktionelt CYP2C19-enzym (gode </w:t>
      </w:r>
      <w:proofErr w:type="spellStart"/>
      <w:r w:rsidRPr="00D44204">
        <w:rPr>
          <w:sz w:val="24"/>
          <w:szCs w:val="24"/>
        </w:rPr>
        <w:t>omsættere</w:t>
      </w:r>
      <w:proofErr w:type="spellEnd"/>
      <w:r w:rsidRPr="00D44204">
        <w:rPr>
          <w:sz w:val="24"/>
          <w:szCs w:val="24"/>
        </w:rPr>
        <w:t>). Gennemsnitlige middelplasmakoncentrationer steg med ca. 60</w:t>
      </w:r>
      <w:r w:rsidR="00300098">
        <w:rPr>
          <w:sz w:val="24"/>
          <w:szCs w:val="24"/>
        </w:rPr>
        <w:t xml:space="preserve"> %</w:t>
      </w:r>
      <w:r w:rsidRPr="00D44204">
        <w:rPr>
          <w:sz w:val="24"/>
          <w:szCs w:val="24"/>
        </w:rPr>
        <w:t xml:space="preserve">. Disse fund har ingen indflydelse på doseringen af </w:t>
      </w:r>
      <w:proofErr w:type="spellStart"/>
      <w:r w:rsidRPr="00D44204">
        <w:rPr>
          <w:sz w:val="24"/>
          <w:szCs w:val="24"/>
        </w:rPr>
        <w:t>pantoprazol</w:t>
      </w:r>
      <w:proofErr w:type="spellEnd"/>
      <w:r w:rsidRPr="00D44204">
        <w:rPr>
          <w:sz w:val="24"/>
          <w:szCs w:val="24"/>
        </w:rPr>
        <w:t>.</w:t>
      </w:r>
    </w:p>
    <w:p w:rsidR="00A171C9" w:rsidRPr="00D44204" w:rsidRDefault="00A171C9" w:rsidP="00A171C9">
      <w:pPr>
        <w:tabs>
          <w:tab w:val="left" w:pos="851"/>
        </w:tabs>
        <w:rPr>
          <w:sz w:val="24"/>
          <w:szCs w:val="24"/>
        </w:rPr>
      </w:pPr>
    </w:p>
    <w:p w:rsidR="00A171C9" w:rsidRPr="00D44204" w:rsidRDefault="00A171C9" w:rsidP="00D44204">
      <w:pPr>
        <w:ind w:left="851"/>
        <w:rPr>
          <w:i/>
          <w:sz w:val="24"/>
          <w:szCs w:val="24"/>
        </w:rPr>
      </w:pPr>
      <w:r w:rsidRPr="00D44204">
        <w:rPr>
          <w:i/>
          <w:sz w:val="24"/>
          <w:szCs w:val="24"/>
        </w:rPr>
        <w:t>Pædiatrisk population</w:t>
      </w:r>
    </w:p>
    <w:p w:rsidR="00A171C9" w:rsidRPr="00D44204" w:rsidRDefault="00A171C9" w:rsidP="00A171C9">
      <w:pPr>
        <w:tabs>
          <w:tab w:val="left" w:pos="851"/>
        </w:tabs>
        <w:ind w:left="851" w:hanging="851"/>
        <w:rPr>
          <w:sz w:val="24"/>
          <w:szCs w:val="24"/>
        </w:rPr>
      </w:pPr>
      <w:r w:rsidRPr="00D44204">
        <w:rPr>
          <w:sz w:val="24"/>
          <w:szCs w:val="24"/>
        </w:rPr>
        <w:tab/>
        <w:t xml:space="preserve">Efter administration af orale enkeltdoser </w:t>
      </w:r>
      <w:proofErr w:type="spellStart"/>
      <w:r w:rsidRPr="00D44204">
        <w:rPr>
          <w:sz w:val="24"/>
          <w:szCs w:val="24"/>
        </w:rPr>
        <w:t>pantoprazol</w:t>
      </w:r>
      <w:proofErr w:type="spellEnd"/>
      <w:r w:rsidRPr="00D44204">
        <w:rPr>
          <w:sz w:val="24"/>
          <w:szCs w:val="24"/>
        </w:rPr>
        <w:t xml:space="preserve"> på 20 eller 40 mg til børn i alderen 5-16 år var AUC og </w:t>
      </w:r>
      <w:proofErr w:type="spellStart"/>
      <w:r w:rsidRPr="00D44204">
        <w:rPr>
          <w:sz w:val="24"/>
          <w:szCs w:val="24"/>
        </w:rPr>
        <w:t>C</w:t>
      </w:r>
      <w:r w:rsidRPr="00D44204">
        <w:rPr>
          <w:sz w:val="24"/>
          <w:szCs w:val="24"/>
          <w:vertAlign w:val="subscript"/>
        </w:rPr>
        <w:t>max</w:t>
      </w:r>
      <w:proofErr w:type="spellEnd"/>
      <w:r w:rsidRPr="00D44204">
        <w:rPr>
          <w:sz w:val="24"/>
          <w:szCs w:val="24"/>
        </w:rPr>
        <w:t xml:space="preserve"> i området, der svarede til værdierne hos voksne. Efter administration af </w:t>
      </w:r>
      <w:proofErr w:type="spellStart"/>
      <w:r w:rsidRPr="00D44204">
        <w:rPr>
          <w:sz w:val="24"/>
          <w:szCs w:val="24"/>
        </w:rPr>
        <w:t>i.v</w:t>
      </w:r>
      <w:proofErr w:type="spellEnd"/>
      <w:r w:rsidRPr="00D44204">
        <w:rPr>
          <w:sz w:val="24"/>
          <w:szCs w:val="24"/>
        </w:rPr>
        <w:t xml:space="preserve">. enkeltdoser </w:t>
      </w:r>
      <w:proofErr w:type="spellStart"/>
      <w:r w:rsidRPr="00D44204">
        <w:rPr>
          <w:sz w:val="24"/>
          <w:szCs w:val="24"/>
        </w:rPr>
        <w:t>pantoprazol</w:t>
      </w:r>
      <w:proofErr w:type="spellEnd"/>
      <w:r w:rsidRPr="00D44204">
        <w:rPr>
          <w:sz w:val="24"/>
          <w:szCs w:val="24"/>
        </w:rPr>
        <w:t xml:space="preserve"> på 0,8 eller 1,6 mg/kg til børn i alderen 2-16 år var der ingen tydelig sammenhæng mellem </w:t>
      </w:r>
      <w:proofErr w:type="spellStart"/>
      <w:r w:rsidRPr="00D44204">
        <w:rPr>
          <w:sz w:val="24"/>
          <w:szCs w:val="24"/>
        </w:rPr>
        <w:t>pantoprazolclearance</w:t>
      </w:r>
      <w:proofErr w:type="spellEnd"/>
      <w:r w:rsidRPr="00D44204">
        <w:rPr>
          <w:sz w:val="24"/>
          <w:szCs w:val="24"/>
        </w:rPr>
        <w:t xml:space="preserve"> og alder eller vægt. AUC og fordelingsvolumen var svarende til data fra voksne.</w:t>
      </w:r>
    </w:p>
    <w:p w:rsidR="00A171C9" w:rsidRPr="00D44204" w:rsidRDefault="00A171C9" w:rsidP="00A171C9">
      <w:pPr>
        <w:tabs>
          <w:tab w:val="left" w:pos="851"/>
        </w:tabs>
        <w:ind w:left="851" w:hanging="851"/>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5.3</w:t>
      </w:r>
      <w:r w:rsidRPr="00D44204">
        <w:rPr>
          <w:b/>
          <w:sz w:val="24"/>
          <w:szCs w:val="24"/>
        </w:rPr>
        <w:tab/>
        <w:t>Non-kliniske sikkerhedsdata</w:t>
      </w:r>
    </w:p>
    <w:p w:rsidR="00A171C9" w:rsidRPr="00D44204" w:rsidRDefault="00A171C9" w:rsidP="00A171C9">
      <w:pPr>
        <w:tabs>
          <w:tab w:val="left" w:pos="851"/>
        </w:tabs>
        <w:ind w:left="851" w:hanging="851"/>
        <w:rPr>
          <w:sz w:val="24"/>
          <w:szCs w:val="24"/>
        </w:rPr>
      </w:pPr>
      <w:r w:rsidRPr="00D44204">
        <w:rPr>
          <w:sz w:val="24"/>
          <w:szCs w:val="24"/>
        </w:rPr>
        <w:tab/>
        <w:t>De prækliniske data viser ingen særlig fare for mennesker vurderet ud fra konventionelle undersøgelser af sikkerhedsfarmakologi, toksicitet efter gentagne doser og genotoksicitet.</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t xml:space="preserve">I de toårige </w:t>
      </w:r>
      <w:proofErr w:type="spellStart"/>
      <w:r w:rsidRPr="00D44204">
        <w:rPr>
          <w:sz w:val="24"/>
          <w:szCs w:val="24"/>
        </w:rPr>
        <w:t>karcinogenicitetsforsøg</w:t>
      </w:r>
      <w:proofErr w:type="spellEnd"/>
      <w:r w:rsidRPr="00D44204">
        <w:rPr>
          <w:sz w:val="24"/>
          <w:szCs w:val="24"/>
        </w:rPr>
        <w:t xml:space="preserve"> med rotter fandt man </w:t>
      </w:r>
      <w:proofErr w:type="spellStart"/>
      <w:r w:rsidRPr="00D44204">
        <w:rPr>
          <w:sz w:val="24"/>
          <w:szCs w:val="24"/>
        </w:rPr>
        <w:t>neuroendokrin</w:t>
      </w:r>
      <w:proofErr w:type="spellEnd"/>
      <w:r w:rsidRPr="00D44204">
        <w:rPr>
          <w:sz w:val="24"/>
          <w:szCs w:val="24"/>
        </w:rPr>
        <w:t xml:space="preserve"> </w:t>
      </w:r>
      <w:proofErr w:type="spellStart"/>
      <w:r w:rsidRPr="00D44204">
        <w:rPr>
          <w:sz w:val="24"/>
          <w:szCs w:val="24"/>
        </w:rPr>
        <w:t>neoplasi</w:t>
      </w:r>
      <w:proofErr w:type="spellEnd"/>
      <w:r w:rsidRPr="00D44204">
        <w:rPr>
          <w:sz w:val="24"/>
          <w:szCs w:val="24"/>
        </w:rPr>
        <w:t xml:space="preserve">. Desuden blev der i </w:t>
      </w:r>
      <w:proofErr w:type="spellStart"/>
      <w:r w:rsidRPr="00D44204">
        <w:rPr>
          <w:sz w:val="24"/>
          <w:szCs w:val="24"/>
        </w:rPr>
        <w:t>formaven</w:t>
      </w:r>
      <w:proofErr w:type="spellEnd"/>
      <w:r w:rsidRPr="00D44204">
        <w:rPr>
          <w:sz w:val="24"/>
          <w:szCs w:val="24"/>
        </w:rPr>
        <w:t xml:space="preserve"> hos rotter fundet </w:t>
      </w:r>
      <w:proofErr w:type="spellStart"/>
      <w:r w:rsidRPr="00D44204">
        <w:rPr>
          <w:sz w:val="24"/>
          <w:szCs w:val="24"/>
        </w:rPr>
        <w:t>planocellulære</w:t>
      </w:r>
      <w:proofErr w:type="spellEnd"/>
      <w:r w:rsidRPr="00D44204">
        <w:rPr>
          <w:sz w:val="24"/>
          <w:szCs w:val="24"/>
        </w:rPr>
        <w:t xml:space="preserve"> </w:t>
      </w:r>
      <w:proofErr w:type="spellStart"/>
      <w:r w:rsidRPr="00D44204">
        <w:rPr>
          <w:sz w:val="24"/>
          <w:szCs w:val="24"/>
        </w:rPr>
        <w:t>papillomer</w:t>
      </w:r>
      <w:proofErr w:type="spellEnd"/>
      <w:r w:rsidRPr="00D44204">
        <w:rPr>
          <w:sz w:val="24"/>
          <w:szCs w:val="24"/>
        </w:rPr>
        <w:t xml:space="preserve">. Den mekanisme, der bevirker, at substituerede </w:t>
      </w:r>
      <w:proofErr w:type="spellStart"/>
      <w:r w:rsidRPr="00D44204">
        <w:rPr>
          <w:sz w:val="24"/>
          <w:szCs w:val="24"/>
        </w:rPr>
        <w:t>benzimidazoler</w:t>
      </w:r>
      <w:proofErr w:type="spellEnd"/>
      <w:r w:rsidRPr="00D44204">
        <w:rPr>
          <w:sz w:val="24"/>
          <w:szCs w:val="24"/>
        </w:rPr>
        <w:t xml:space="preserve"> danner </w:t>
      </w:r>
      <w:proofErr w:type="spellStart"/>
      <w:r w:rsidRPr="00D44204">
        <w:rPr>
          <w:sz w:val="24"/>
          <w:szCs w:val="24"/>
        </w:rPr>
        <w:t>ventrikelkarcinoider</w:t>
      </w:r>
      <w:proofErr w:type="spellEnd"/>
      <w:r w:rsidRPr="00D44204">
        <w:rPr>
          <w:sz w:val="24"/>
          <w:szCs w:val="24"/>
        </w:rPr>
        <w:t xml:space="preserve">, er undersøgt nøje. Det førte til den konklusion, at det er en sekundær reaktion på de stærkt forhøjede </w:t>
      </w:r>
      <w:proofErr w:type="spellStart"/>
      <w:r w:rsidRPr="00D44204">
        <w:rPr>
          <w:sz w:val="24"/>
          <w:szCs w:val="24"/>
        </w:rPr>
        <w:t>serum</w:t>
      </w:r>
      <w:r w:rsidRPr="00D44204">
        <w:rPr>
          <w:sz w:val="24"/>
          <w:szCs w:val="24"/>
        </w:rPr>
        <w:softHyphen/>
        <w:t>gastrin</w:t>
      </w:r>
      <w:r w:rsidRPr="00D44204">
        <w:rPr>
          <w:sz w:val="24"/>
          <w:szCs w:val="24"/>
        </w:rPr>
        <w:softHyphen/>
        <w:t>koncentrationer</w:t>
      </w:r>
      <w:proofErr w:type="spellEnd"/>
      <w:r w:rsidRPr="00D44204">
        <w:rPr>
          <w:sz w:val="24"/>
          <w:szCs w:val="24"/>
        </w:rPr>
        <w:t>, som forekommer hos rotter under kronisk højdosis behandling.</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t xml:space="preserve">I de toårige forsøg med gnavere sås en øget forekomst af levertumorer hos rotter samt hos </w:t>
      </w:r>
      <w:proofErr w:type="spellStart"/>
      <w:r w:rsidRPr="00D44204">
        <w:rPr>
          <w:sz w:val="24"/>
          <w:szCs w:val="24"/>
        </w:rPr>
        <w:t>hunmus</w:t>
      </w:r>
      <w:proofErr w:type="spellEnd"/>
      <w:r w:rsidRPr="00D44204">
        <w:rPr>
          <w:sz w:val="24"/>
          <w:szCs w:val="24"/>
        </w:rPr>
        <w:t xml:space="preserve">, hvilket blev tolket som en konsekvens af </w:t>
      </w:r>
      <w:proofErr w:type="spellStart"/>
      <w:r w:rsidRPr="00D44204">
        <w:rPr>
          <w:sz w:val="24"/>
          <w:szCs w:val="24"/>
        </w:rPr>
        <w:t>pantoprazols</w:t>
      </w:r>
      <w:proofErr w:type="spellEnd"/>
      <w:r w:rsidRPr="00D44204">
        <w:rPr>
          <w:sz w:val="24"/>
          <w:szCs w:val="24"/>
        </w:rPr>
        <w:t xml:space="preserve"> høje metaboliske omsætning i leveren.</w:t>
      </w:r>
    </w:p>
    <w:p w:rsidR="00A171C9" w:rsidRPr="00D44204" w:rsidRDefault="00A171C9" w:rsidP="00A171C9">
      <w:pPr>
        <w:tabs>
          <w:tab w:val="left" w:pos="851"/>
        </w:tabs>
        <w:ind w:left="851" w:hanging="851"/>
        <w:rPr>
          <w:sz w:val="24"/>
          <w:szCs w:val="24"/>
        </w:rPr>
      </w:pPr>
    </w:p>
    <w:p w:rsidR="00A171C9" w:rsidRPr="00D44204" w:rsidRDefault="00A171C9" w:rsidP="00A171C9">
      <w:pPr>
        <w:tabs>
          <w:tab w:val="left" w:pos="851"/>
        </w:tabs>
        <w:ind w:left="851" w:hanging="851"/>
        <w:rPr>
          <w:sz w:val="24"/>
          <w:szCs w:val="24"/>
        </w:rPr>
      </w:pPr>
      <w:r w:rsidRPr="00D44204">
        <w:rPr>
          <w:sz w:val="24"/>
          <w:szCs w:val="24"/>
        </w:rPr>
        <w:tab/>
        <w:t xml:space="preserve">En mindre stigning i forekomsten af neoplastiske forandringer i skjoldbruskkirtlen sås hos den gruppe rotter, der fik den højeste dosis (200 mg/kg). Forekomsten af disse neoplastiske ændringer sættes i forbindelse med </w:t>
      </w:r>
      <w:proofErr w:type="spellStart"/>
      <w:r w:rsidRPr="00D44204">
        <w:rPr>
          <w:sz w:val="24"/>
          <w:szCs w:val="24"/>
        </w:rPr>
        <w:t>pantoprazolinducerede</w:t>
      </w:r>
      <w:proofErr w:type="spellEnd"/>
      <w:r w:rsidRPr="00D44204">
        <w:rPr>
          <w:sz w:val="24"/>
          <w:szCs w:val="24"/>
        </w:rPr>
        <w:t xml:space="preserve"> forandringer i nedbrydning af </w:t>
      </w:r>
      <w:proofErr w:type="spellStart"/>
      <w:r w:rsidRPr="00D44204">
        <w:rPr>
          <w:sz w:val="24"/>
          <w:szCs w:val="24"/>
        </w:rPr>
        <w:t>thyroxin</w:t>
      </w:r>
      <w:proofErr w:type="spellEnd"/>
      <w:r w:rsidRPr="00D44204">
        <w:rPr>
          <w:sz w:val="24"/>
          <w:szCs w:val="24"/>
        </w:rPr>
        <w:t xml:space="preserve"> i rotteleveren. Da den terapeutiske dosis hos mennesker er lav, forventes ingen skadelige virkninger på skjoldbruskkirtlen.</w:t>
      </w:r>
    </w:p>
    <w:p w:rsidR="00A171C9" w:rsidRPr="00D44204" w:rsidRDefault="00A171C9" w:rsidP="00A171C9">
      <w:pPr>
        <w:tabs>
          <w:tab w:val="left" w:pos="851"/>
        </w:tabs>
        <w:ind w:left="851" w:hanging="851"/>
        <w:rPr>
          <w:sz w:val="24"/>
          <w:szCs w:val="24"/>
        </w:rPr>
      </w:pPr>
    </w:p>
    <w:p w:rsidR="000F5E32" w:rsidRPr="00D44204" w:rsidRDefault="000F5E32" w:rsidP="000F5E32">
      <w:pPr>
        <w:ind w:left="851"/>
        <w:rPr>
          <w:spacing w:val="-3"/>
          <w:sz w:val="24"/>
          <w:szCs w:val="24"/>
        </w:rPr>
      </w:pPr>
      <w:r w:rsidRPr="00D44204">
        <w:rPr>
          <w:spacing w:val="-3"/>
          <w:sz w:val="24"/>
          <w:szCs w:val="24"/>
        </w:rPr>
        <w:t xml:space="preserve">I et </w:t>
      </w:r>
      <w:proofErr w:type="spellStart"/>
      <w:r w:rsidRPr="00D44204">
        <w:rPr>
          <w:spacing w:val="-3"/>
          <w:sz w:val="24"/>
          <w:szCs w:val="24"/>
        </w:rPr>
        <w:t>peri-postnatalt</w:t>
      </w:r>
      <w:proofErr w:type="spellEnd"/>
      <w:r w:rsidRPr="00D44204">
        <w:rPr>
          <w:spacing w:val="-3"/>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sidRPr="00D44204">
        <w:rPr>
          <w:spacing w:val="-3"/>
          <w:sz w:val="24"/>
          <w:szCs w:val="24"/>
        </w:rPr>
        <w:t>C</w:t>
      </w:r>
      <w:r w:rsidRPr="00D44204">
        <w:rPr>
          <w:spacing w:val="-3"/>
          <w:sz w:val="24"/>
          <w:szCs w:val="24"/>
          <w:vertAlign w:val="subscript"/>
        </w:rPr>
        <w:t>max</w:t>
      </w:r>
      <w:proofErr w:type="spellEnd"/>
      <w:r w:rsidRPr="00D44204">
        <w:rPr>
          <w:spacing w:val="-3"/>
          <w:sz w:val="24"/>
          <w:szCs w:val="24"/>
        </w:rPr>
        <w:t xml:space="preserve">) på omtrent 2 gange den kliniske eksponering hos mennesker. Ved udgangen af rekonvalescensperioden var knogleparametrene ens i alle grupper, og der var desuden en tendens mod </w:t>
      </w:r>
      <w:proofErr w:type="spellStart"/>
      <w:r w:rsidRPr="00D44204">
        <w:rPr>
          <w:spacing w:val="-3"/>
          <w:sz w:val="24"/>
          <w:szCs w:val="24"/>
        </w:rPr>
        <w:t>reversabilitet</w:t>
      </w:r>
      <w:proofErr w:type="spellEnd"/>
      <w:r w:rsidRPr="00D44204">
        <w:rPr>
          <w:spacing w:val="-3"/>
          <w:sz w:val="24"/>
          <w:szCs w:val="24"/>
        </w:rPr>
        <w:t xml:space="preserve"> for legemsvægt efter en rekonvalescensperiode uden lægemidler. Den øgede mortalitet er kun blevet rapporteret for rotteunger inden afvænning (op til 21 dage gamle), hvilket anslås at korrespondere med spædbørn op til 2 år. Relevansen af dette fund for den pædiatriske population er uklar. Et tidligere </w:t>
      </w:r>
      <w:proofErr w:type="spellStart"/>
      <w:r w:rsidRPr="00D44204">
        <w:rPr>
          <w:spacing w:val="-3"/>
          <w:sz w:val="24"/>
          <w:szCs w:val="24"/>
        </w:rPr>
        <w:t>peri-postnatalt</w:t>
      </w:r>
      <w:proofErr w:type="spellEnd"/>
      <w:r w:rsidRPr="00D44204">
        <w:rPr>
          <w:spacing w:val="-3"/>
          <w:sz w:val="24"/>
          <w:szCs w:val="24"/>
        </w:rPr>
        <w:t xml:space="preserve"> studie med rotter, som fik lidt lavere doser, fandt ingen bivirkninger ved 3 mg/kg sammenlignet med en lav dosis på 5 mg/kg i dette studie.</w:t>
      </w:r>
    </w:p>
    <w:p w:rsidR="000F5E32" w:rsidRPr="00D44204" w:rsidRDefault="000F5E32" w:rsidP="000F5E32">
      <w:pPr>
        <w:tabs>
          <w:tab w:val="left" w:pos="851"/>
        </w:tabs>
        <w:rPr>
          <w:sz w:val="24"/>
          <w:szCs w:val="24"/>
        </w:rPr>
      </w:pPr>
    </w:p>
    <w:p w:rsidR="000F5E32" w:rsidRPr="00D44204" w:rsidRDefault="000F5E32" w:rsidP="000F5E32">
      <w:pPr>
        <w:tabs>
          <w:tab w:val="left" w:pos="851"/>
        </w:tabs>
        <w:ind w:left="851" w:hanging="851"/>
        <w:rPr>
          <w:sz w:val="24"/>
          <w:szCs w:val="24"/>
        </w:rPr>
      </w:pPr>
      <w:r w:rsidRPr="00D44204">
        <w:rPr>
          <w:sz w:val="24"/>
          <w:szCs w:val="24"/>
        </w:rPr>
        <w:tab/>
        <w:t xml:space="preserve">Undersøgelser kunne ikke påvise nedsat fertilitet eller </w:t>
      </w:r>
      <w:proofErr w:type="spellStart"/>
      <w:r w:rsidRPr="00D44204">
        <w:rPr>
          <w:sz w:val="24"/>
          <w:szCs w:val="24"/>
        </w:rPr>
        <w:t>teratogen</w:t>
      </w:r>
      <w:proofErr w:type="spellEnd"/>
      <w:r w:rsidRPr="00D44204">
        <w:rPr>
          <w:sz w:val="24"/>
          <w:szCs w:val="24"/>
        </w:rPr>
        <w:t xml:space="preserve"> effekt. Penetration af placenta blev undersøgt hos rotter, hvor den fandtes at stige med fremskreden drægtighed. Som følge heraf øges koncentrationen af </w:t>
      </w:r>
      <w:proofErr w:type="spellStart"/>
      <w:r w:rsidRPr="00D44204">
        <w:rPr>
          <w:sz w:val="24"/>
          <w:szCs w:val="24"/>
        </w:rPr>
        <w:t>pantoprazol</w:t>
      </w:r>
      <w:proofErr w:type="spellEnd"/>
      <w:r w:rsidRPr="00D44204">
        <w:rPr>
          <w:sz w:val="24"/>
          <w:szCs w:val="24"/>
        </w:rPr>
        <w:t xml:space="preserve"> hos fostret kort før fødslen.</w:t>
      </w:r>
    </w:p>
    <w:p w:rsidR="00A171C9" w:rsidRPr="00D44204" w:rsidRDefault="00A171C9" w:rsidP="00A171C9">
      <w:pPr>
        <w:tabs>
          <w:tab w:val="left" w:pos="851"/>
        </w:tabs>
        <w:rPr>
          <w:sz w:val="24"/>
          <w:szCs w:val="24"/>
        </w:rPr>
      </w:pP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w:t>
      </w:r>
      <w:r w:rsidRPr="00D44204">
        <w:rPr>
          <w:b/>
          <w:sz w:val="24"/>
          <w:szCs w:val="24"/>
        </w:rPr>
        <w:tab/>
        <w:t>FARMACEUTISKE OPLYSNINGER</w:t>
      </w:r>
    </w:p>
    <w:p w:rsidR="00D44204" w:rsidRPr="00D44204" w:rsidRDefault="00D44204" w:rsidP="00D44204">
      <w:pPr>
        <w:tabs>
          <w:tab w:val="left" w:pos="851"/>
        </w:tabs>
        <w:ind w:left="851"/>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6.1</w:t>
      </w:r>
      <w:r w:rsidRPr="00D44204">
        <w:rPr>
          <w:b/>
          <w:sz w:val="24"/>
          <w:szCs w:val="24"/>
        </w:rPr>
        <w:tab/>
        <w:t>Hjælpestoffer</w:t>
      </w:r>
    </w:p>
    <w:p w:rsidR="00D44204" w:rsidRPr="00D44204" w:rsidRDefault="00D44204" w:rsidP="00A403E8">
      <w:pPr>
        <w:ind w:left="851"/>
        <w:rPr>
          <w:sz w:val="24"/>
          <w:szCs w:val="24"/>
          <w:u w:val="single"/>
        </w:rPr>
      </w:pPr>
    </w:p>
    <w:p w:rsidR="00A403E8" w:rsidRPr="00D44204" w:rsidRDefault="00A403E8" w:rsidP="00A403E8">
      <w:pPr>
        <w:ind w:left="851"/>
        <w:rPr>
          <w:sz w:val="24"/>
          <w:szCs w:val="24"/>
          <w:u w:val="single"/>
        </w:rPr>
      </w:pPr>
      <w:r w:rsidRPr="00D44204">
        <w:rPr>
          <w:sz w:val="24"/>
          <w:szCs w:val="24"/>
          <w:u w:val="single"/>
        </w:rPr>
        <w:t>Tabletkerne</w:t>
      </w:r>
    </w:p>
    <w:p w:rsidR="00A403E8" w:rsidRPr="00D44204" w:rsidRDefault="00A403E8" w:rsidP="00A403E8">
      <w:pPr>
        <w:ind w:left="851"/>
        <w:rPr>
          <w:sz w:val="24"/>
          <w:szCs w:val="24"/>
        </w:rPr>
      </w:pPr>
      <w:proofErr w:type="spellStart"/>
      <w:r w:rsidRPr="00D44204">
        <w:rPr>
          <w:sz w:val="24"/>
          <w:szCs w:val="24"/>
        </w:rPr>
        <w:t>Mannitol</w:t>
      </w:r>
      <w:proofErr w:type="spellEnd"/>
    </w:p>
    <w:p w:rsidR="00A403E8" w:rsidRPr="00A86105" w:rsidRDefault="00A403E8" w:rsidP="00A403E8">
      <w:pPr>
        <w:ind w:left="851"/>
        <w:rPr>
          <w:sz w:val="24"/>
          <w:szCs w:val="24"/>
        </w:rPr>
      </w:pPr>
      <w:proofErr w:type="spellStart"/>
      <w:r w:rsidRPr="00A86105">
        <w:rPr>
          <w:sz w:val="24"/>
          <w:szCs w:val="24"/>
        </w:rPr>
        <w:t>Crospovidon</w:t>
      </w:r>
      <w:proofErr w:type="spellEnd"/>
      <w:r w:rsidRPr="00A86105">
        <w:rPr>
          <w:sz w:val="24"/>
          <w:szCs w:val="24"/>
        </w:rPr>
        <w:t xml:space="preserve"> (type A,</w:t>
      </w:r>
      <w:r w:rsidR="003D1088" w:rsidRPr="00A86105">
        <w:rPr>
          <w:sz w:val="24"/>
          <w:szCs w:val="24"/>
        </w:rPr>
        <w:t xml:space="preserve"> </w:t>
      </w:r>
      <w:r w:rsidRPr="00A86105">
        <w:rPr>
          <w:sz w:val="24"/>
          <w:szCs w:val="24"/>
        </w:rPr>
        <w:t>type B)</w:t>
      </w:r>
    </w:p>
    <w:p w:rsidR="00A403E8" w:rsidRPr="00505145" w:rsidRDefault="00A403E8" w:rsidP="00A403E8">
      <w:pPr>
        <w:ind w:left="851"/>
        <w:rPr>
          <w:sz w:val="24"/>
          <w:szCs w:val="24"/>
          <w:lang w:val="en-US"/>
        </w:rPr>
      </w:pPr>
      <w:proofErr w:type="spellStart"/>
      <w:r w:rsidRPr="00505145">
        <w:rPr>
          <w:sz w:val="24"/>
          <w:szCs w:val="24"/>
          <w:lang w:val="en-US"/>
        </w:rPr>
        <w:t>Natriumcarbonat</w:t>
      </w:r>
      <w:proofErr w:type="spellEnd"/>
    </w:p>
    <w:p w:rsidR="000F5E32" w:rsidRPr="00505145" w:rsidRDefault="000F5E32" w:rsidP="000F5E32">
      <w:pPr>
        <w:ind w:left="851"/>
        <w:rPr>
          <w:sz w:val="24"/>
          <w:szCs w:val="24"/>
          <w:lang w:val="en-US"/>
        </w:rPr>
      </w:pPr>
      <w:r w:rsidRPr="00505145">
        <w:rPr>
          <w:sz w:val="24"/>
          <w:szCs w:val="24"/>
          <w:lang w:val="en-US"/>
        </w:rPr>
        <w:t>Sorbitol (E420)</w:t>
      </w:r>
    </w:p>
    <w:p w:rsidR="00A403E8" w:rsidRPr="00505145" w:rsidRDefault="00A403E8" w:rsidP="00A403E8">
      <w:pPr>
        <w:ind w:left="851"/>
        <w:rPr>
          <w:sz w:val="24"/>
          <w:szCs w:val="24"/>
          <w:lang w:val="en-US"/>
        </w:rPr>
      </w:pPr>
      <w:proofErr w:type="spellStart"/>
      <w:r w:rsidRPr="00505145">
        <w:rPr>
          <w:sz w:val="24"/>
          <w:szCs w:val="24"/>
          <w:lang w:val="en-US"/>
        </w:rPr>
        <w:t>Calciumstearat</w:t>
      </w:r>
      <w:proofErr w:type="spellEnd"/>
    </w:p>
    <w:p w:rsidR="00A403E8" w:rsidRPr="00505145" w:rsidRDefault="00A403E8" w:rsidP="00A403E8">
      <w:pPr>
        <w:ind w:left="851"/>
        <w:rPr>
          <w:sz w:val="24"/>
          <w:szCs w:val="24"/>
          <w:lang w:val="en-US"/>
        </w:rPr>
      </w:pPr>
    </w:p>
    <w:p w:rsidR="00A403E8" w:rsidRPr="00505145" w:rsidRDefault="00A403E8" w:rsidP="00A403E8">
      <w:pPr>
        <w:ind w:left="851"/>
        <w:rPr>
          <w:sz w:val="24"/>
          <w:szCs w:val="24"/>
          <w:u w:val="single"/>
          <w:lang w:val="en-US"/>
        </w:rPr>
      </w:pPr>
      <w:proofErr w:type="spellStart"/>
      <w:r w:rsidRPr="00505145">
        <w:rPr>
          <w:sz w:val="24"/>
          <w:szCs w:val="24"/>
          <w:u w:val="single"/>
          <w:lang w:val="en-US"/>
        </w:rPr>
        <w:t>Filmovertræk</w:t>
      </w:r>
      <w:proofErr w:type="spellEnd"/>
    </w:p>
    <w:p w:rsidR="00A403E8" w:rsidRPr="00505145" w:rsidRDefault="00A403E8" w:rsidP="00A403E8">
      <w:pPr>
        <w:ind w:left="851"/>
        <w:rPr>
          <w:sz w:val="24"/>
          <w:szCs w:val="24"/>
          <w:lang w:val="en-US"/>
        </w:rPr>
      </w:pPr>
      <w:r w:rsidRPr="00505145">
        <w:rPr>
          <w:sz w:val="24"/>
          <w:szCs w:val="24"/>
          <w:lang w:val="en-US"/>
        </w:rPr>
        <w:t>Hypromellose</w:t>
      </w:r>
    </w:p>
    <w:p w:rsidR="00A403E8" w:rsidRPr="00505145" w:rsidRDefault="00A403E8" w:rsidP="00A403E8">
      <w:pPr>
        <w:ind w:left="851"/>
        <w:rPr>
          <w:sz w:val="24"/>
          <w:szCs w:val="24"/>
          <w:lang w:val="en-US"/>
        </w:rPr>
      </w:pPr>
      <w:proofErr w:type="spellStart"/>
      <w:r w:rsidRPr="00505145">
        <w:rPr>
          <w:sz w:val="24"/>
          <w:szCs w:val="24"/>
          <w:lang w:val="en-US"/>
        </w:rPr>
        <w:t>Povidon</w:t>
      </w:r>
      <w:proofErr w:type="spellEnd"/>
      <w:r w:rsidRPr="00505145">
        <w:rPr>
          <w:sz w:val="24"/>
          <w:szCs w:val="24"/>
          <w:lang w:val="en-US"/>
        </w:rPr>
        <w:t xml:space="preserve"> (K25)</w:t>
      </w:r>
    </w:p>
    <w:p w:rsidR="00A403E8" w:rsidRPr="00505145" w:rsidRDefault="00A403E8" w:rsidP="00A403E8">
      <w:pPr>
        <w:ind w:left="851"/>
        <w:rPr>
          <w:sz w:val="24"/>
          <w:szCs w:val="24"/>
          <w:lang w:val="en-US"/>
        </w:rPr>
      </w:pPr>
      <w:proofErr w:type="spellStart"/>
      <w:r w:rsidRPr="00505145">
        <w:rPr>
          <w:sz w:val="24"/>
          <w:szCs w:val="24"/>
          <w:lang w:val="en-US"/>
        </w:rPr>
        <w:t>Titandioxid</w:t>
      </w:r>
      <w:proofErr w:type="spellEnd"/>
      <w:r w:rsidRPr="00505145">
        <w:rPr>
          <w:sz w:val="24"/>
          <w:szCs w:val="24"/>
          <w:lang w:val="en-US"/>
        </w:rPr>
        <w:t xml:space="preserve"> (E171)</w:t>
      </w:r>
    </w:p>
    <w:p w:rsidR="00A403E8" w:rsidRPr="00505145" w:rsidRDefault="00A403E8" w:rsidP="00A403E8">
      <w:pPr>
        <w:ind w:left="851"/>
        <w:rPr>
          <w:sz w:val="24"/>
          <w:szCs w:val="24"/>
          <w:lang w:val="en-US"/>
        </w:rPr>
      </w:pPr>
      <w:r w:rsidRPr="00505145">
        <w:rPr>
          <w:sz w:val="24"/>
          <w:szCs w:val="24"/>
          <w:lang w:val="en-US"/>
        </w:rPr>
        <w:t xml:space="preserve">Gul </w:t>
      </w:r>
      <w:proofErr w:type="spellStart"/>
      <w:r w:rsidRPr="00505145">
        <w:rPr>
          <w:sz w:val="24"/>
          <w:szCs w:val="24"/>
          <w:lang w:val="en-US"/>
        </w:rPr>
        <w:t>jernoxid</w:t>
      </w:r>
      <w:proofErr w:type="spellEnd"/>
      <w:r w:rsidRPr="00505145">
        <w:rPr>
          <w:sz w:val="24"/>
          <w:szCs w:val="24"/>
          <w:lang w:val="en-US"/>
        </w:rPr>
        <w:t xml:space="preserve"> (E172)</w:t>
      </w:r>
    </w:p>
    <w:p w:rsidR="00A82F54" w:rsidRPr="00A82F54" w:rsidRDefault="00A82F54" w:rsidP="00A82F54">
      <w:pPr>
        <w:ind w:left="851"/>
        <w:rPr>
          <w:sz w:val="24"/>
          <w:szCs w:val="24"/>
          <w:lang w:val="en-US"/>
        </w:rPr>
      </w:pPr>
      <w:proofErr w:type="spellStart"/>
      <w:r w:rsidRPr="00A82F54">
        <w:rPr>
          <w:sz w:val="24"/>
          <w:szCs w:val="24"/>
          <w:lang w:val="en-US"/>
        </w:rPr>
        <w:t>Propylenglycol</w:t>
      </w:r>
      <w:proofErr w:type="spellEnd"/>
    </w:p>
    <w:p w:rsidR="00A82F54" w:rsidRPr="00A82F54" w:rsidRDefault="00A82F54" w:rsidP="00A82F54">
      <w:pPr>
        <w:ind w:left="851"/>
        <w:rPr>
          <w:sz w:val="24"/>
          <w:szCs w:val="24"/>
          <w:lang w:val="en-US"/>
        </w:rPr>
      </w:pPr>
      <w:proofErr w:type="spellStart"/>
      <w:r w:rsidRPr="00A82F54">
        <w:rPr>
          <w:sz w:val="24"/>
          <w:szCs w:val="24"/>
          <w:lang w:val="en-US"/>
        </w:rPr>
        <w:t>Methacrylsyre</w:t>
      </w:r>
      <w:proofErr w:type="spellEnd"/>
      <w:r w:rsidRPr="00A82F54">
        <w:rPr>
          <w:sz w:val="24"/>
          <w:szCs w:val="24"/>
          <w:lang w:val="en-US"/>
        </w:rPr>
        <w:t xml:space="preserve"> – </w:t>
      </w:r>
      <w:proofErr w:type="spellStart"/>
      <w:r w:rsidRPr="00A82F54">
        <w:rPr>
          <w:sz w:val="24"/>
          <w:szCs w:val="24"/>
          <w:lang w:val="en-US"/>
        </w:rPr>
        <w:t>ethylakrylat</w:t>
      </w:r>
      <w:proofErr w:type="spellEnd"/>
      <w:r w:rsidRPr="00A82F54">
        <w:rPr>
          <w:sz w:val="24"/>
          <w:szCs w:val="24"/>
          <w:lang w:val="en-US"/>
        </w:rPr>
        <w:t xml:space="preserve"> copolymer</w:t>
      </w:r>
    </w:p>
    <w:p w:rsidR="00A403E8" w:rsidRPr="00A86105" w:rsidRDefault="00A403E8" w:rsidP="00A403E8">
      <w:pPr>
        <w:ind w:left="851"/>
        <w:rPr>
          <w:sz w:val="24"/>
          <w:szCs w:val="24"/>
        </w:rPr>
      </w:pPr>
      <w:bookmarkStart w:id="3" w:name="_GoBack"/>
      <w:bookmarkEnd w:id="3"/>
      <w:proofErr w:type="spellStart"/>
      <w:r w:rsidRPr="00A86105">
        <w:rPr>
          <w:sz w:val="24"/>
          <w:szCs w:val="24"/>
        </w:rPr>
        <w:t>Natriumlaurilsulfat</w:t>
      </w:r>
      <w:proofErr w:type="spellEnd"/>
    </w:p>
    <w:p w:rsidR="00A403E8" w:rsidRPr="00A86105" w:rsidRDefault="00A403E8" w:rsidP="00A403E8">
      <w:pPr>
        <w:ind w:left="851"/>
        <w:rPr>
          <w:sz w:val="24"/>
          <w:szCs w:val="24"/>
        </w:rPr>
      </w:pPr>
      <w:proofErr w:type="spellStart"/>
      <w:r w:rsidRPr="00A86105">
        <w:rPr>
          <w:sz w:val="24"/>
          <w:szCs w:val="24"/>
        </w:rPr>
        <w:t>Polysorbat</w:t>
      </w:r>
      <w:proofErr w:type="spellEnd"/>
      <w:r w:rsidRPr="00A86105">
        <w:rPr>
          <w:sz w:val="24"/>
          <w:szCs w:val="24"/>
        </w:rPr>
        <w:t xml:space="preserve"> 80</w:t>
      </w:r>
    </w:p>
    <w:p w:rsidR="00A403E8" w:rsidRPr="00D44204" w:rsidRDefault="00A403E8" w:rsidP="00A403E8">
      <w:pPr>
        <w:ind w:left="851"/>
        <w:rPr>
          <w:sz w:val="24"/>
          <w:szCs w:val="24"/>
        </w:rPr>
      </w:pPr>
      <w:proofErr w:type="spellStart"/>
      <w:r w:rsidRPr="00D44204">
        <w:rPr>
          <w:sz w:val="24"/>
          <w:szCs w:val="24"/>
        </w:rPr>
        <w:t>Macrogol</w:t>
      </w:r>
      <w:proofErr w:type="spellEnd"/>
      <w:r w:rsidRPr="00D44204">
        <w:rPr>
          <w:sz w:val="24"/>
          <w:szCs w:val="24"/>
        </w:rPr>
        <w:t xml:space="preserve"> 6000</w:t>
      </w:r>
    </w:p>
    <w:p w:rsidR="00A403E8" w:rsidRPr="00D44204" w:rsidRDefault="00A403E8" w:rsidP="00A403E8">
      <w:pPr>
        <w:ind w:left="851"/>
        <w:rPr>
          <w:sz w:val="24"/>
          <w:szCs w:val="24"/>
        </w:rPr>
      </w:pPr>
      <w:proofErr w:type="spellStart"/>
      <w:r w:rsidRPr="00D44204">
        <w:rPr>
          <w:sz w:val="24"/>
          <w:szCs w:val="24"/>
        </w:rPr>
        <w:t>Talcum</w:t>
      </w:r>
      <w:proofErr w:type="spellEnd"/>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6.2</w:t>
      </w:r>
      <w:r w:rsidRPr="00D44204">
        <w:rPr>
          <w:b/>
          <w:sz w:val="24"/>
          <w:szCs w:val="24"/>
        </w:rPr>
        <w:tab/>
        <w:t>Uforligeligheder</w:t>
      </w:r>
    </w:p>
    <w:p w:rsidR="00A171C9" w:rsidRPr="00D44204" w:rsidRDefault="00A171C9" w:rsidP="00A171C9">
      <w:pPr>
        <w:tabs>
          <w:tab w:val="left" w:pos="851"/>
        </w:tabs>
        <w:ind w:left="851" w:hanging="851"/>
        <w:rPr>
          <w:sz w:val="24"/>
          <w:szCs w:val="24"/>
        </w:rPr>
      </w:pPr>
      <w:r w:rsidRPr="00D44204">
        <w:rPr>
          <w:sz w:val="24"/>
          <w:szCs w:val="24"/>
        </w:rPr>
        <w:tab/>
      </w:r>
      <w:r w:rsidRPr="00D44204">
        <w:rPr>
          <w:noProof/>
          <w:sz w:val="24"/>
          <w:szCs w:val="24"/>
        </w:rPr>
        <w:t>Ikke relevant.</w:t>
      </w: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6.3</w:t>
      </w:r>
      <w:r w:rsidRPr="00D44204">
        <w:rPr>
          <w:b/>
          <w:sz w:val="24"/>
          <w:szCs w:val="24"/>
        </w:rPr>
        <w:tab/>
        <w:t>Opbevaringstid</w:t>
      </w:r>
    </w:p>
    <w:p w:rsidR="00A171C9" w:rsidRPr="00D44204" w:rsidRDefault="00A171C9" w:rsidP="00A171C9">
      <w:pPr>
        <w:tabs>
          <w:tab w:val="left" w:pos="851"/>
        </w:tabs>
        <w:ind w:left="851" w:hanging="851"/>
        <w:rPr>
          <w:noProof/>
          <w:sz w:val="24"/>
          <w:szCs w:val="24"/>
        </w:rPr>
      </w:pPr>
      <w:r w:rsidRPr="00D44204">
        <w:rPr>
          <w:sz w:val="24"/>
          <w:szCs w:val="24"/>
        </w:rPr>
        <w:tab/>
        <w:t>5</w:t>
      </w:r>
      <w:r w:rsidRPr="00D44204">
        <w:rPr>
          <w:noProof/>
          <w:sz w:val="24"/>
          <w:szCs w:val="24"/>
        </w:rPr>
        <w:t xml:space="preserve"> år.</w:t>
      </w:r>
    </w:p>
    <w:p w:rsidR="00A171C9" w:rsidRPr="00D44204" w:rsidRDefault="00A171C9" w:rsidP="00A171C9">
      <w:pPr>
        <w:tabs>
          <w:tab w:val="left" w:pos="851"/>
        </w:tabs>
        <w:ind w:left="851" w:hanging="851"/>
        <w:rPr>
          <w:noProof/>
          <w:sz w:val="24"/>
          <w:szCs w:val="24"/>
        </w:rPr>
      </w:pPr>
    </w:p>
    <w:p w:rsidR="00A171C9" w:rsidRPr="00A86105" w:rsidRDefault="00A171C9" w:rsidP="00A171C9">
      <w:pPr>
        <w:tabs>
          <w:tab w:val="left" w:pos="851"/>
        </w:tabs>
        <w:ind w:left="851" w:hanging="851"/>
        <w:rPr>
          <w:i/>
          <w:noProof/>
          <w:sz w:val="24"/>
          <w:szCs w:val="24"/>
        </w:rPr>
      </w:pPr>
      <w:r w:rsidRPr="00A86105">
        <w:rPr>
          <w:i/>
          <w:noProof/>
          <w:sz w:val="24"/>
          <w:szCs w:val="24"/>
        </w:rPr>
        <w:tab/>
        <w:t>HDPE</w:t>
      </w:r>
      <w:r w:rsidR="00A86105" w:rsidRPr="00A86105">
        <w:rPr>
          <w:i/>
          <w:noProof/>
          <w:sz w:val="24"/>
          <w:szCs w:val="24"/>
        </w:rPr>
        <w:t>-</w:t>
      </w:r>
      <w:r w:rsidRPr="00A86105">
        <w:rPr>
          <w:i/>
          <w:noProof/>
          <w:sz w:val="24"/>
          <w:szCs w:val="24"/>
        </w:rPr>
        <w:t>beholdere</w:t>
      </w:r>
    </w:p>
    <w:p w:rsidR="00A171C9" w:rsidRPr="00D44204" w:rsidRDefault="00A171C9" w:rsidP="00A171C9">
      <w:pPr>
        <w:tabs>
          <w:tab w:val="left" w:pos="851"/>
        </w:tabs>
        <w:ind w:left="851" w:hanging="851"/>
        <w:rPr>
          <w:sz w:val="24"/>
          <w:szCs w:val="24"/>
        </w:rPr>
      </w:pPr>
      <w:r w:rsidRPr="00D44204">
        <w:rPr>
          <w:noProof/>
          <w:sz w:val="24"/>
          <w:szCs w:val="24"/>
        </w:rPr>
        <w:tab/>
        <w:t xml:space="preserve">Holdbarhed efter åbning af beholderen er 3 måneder. </w:t>
      </w: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6.4</w:t>
      </w:r>
      <w:r w:rsidRPr="00D44204">
        <w:rPr>
          <w:b/>
          <w:sz w:val="24"/>
          <w:szCs w:val="24"/>
        </w:rPr>
        <w:tab/>
        <w:t>Særlige opbevaringsforhold</w:t>
      </w:r>
    </w:p>
    <w:p w:rsidR="00A171C9" w:rsidRPr="00D44204" w:rsidRDefault="00A171C9" w:rsidP="00A171C9">
      <w:pPr>
        <w:ind w:left="855"/>
        <w:rPr>
          <w:sz w:val="24"/>
          <w:szCs w:val="24"/>
        </w:rPr>
      </w:pPr>
      <w:r w:rsidRPr="00D44204">
        <w:rPr>
          <w:sz w:val="24"/>
          <w:szCs w:val="24"/>
        </w:rPr>
        <w:t>Der er ingen særlige krav vedrørende opbevaringstemperaturer for dette lægemiddel.</w:t>
      </w:r>
    </w:p>
    <w:p w:rsidR="00A171C9" w:rsidRPr="00D44204" w:rsidRDefault="00A171C9" w:rsidP="00A171C9">
      <w:pPr>
        <w:ind w:left="855"/>
        <w:rPr>
          <w:sz w:val="24"/>
          <w:szCs w:val="24"/>
        </w:rPr>
      </w:pPr>
      <w:r w:rsidRPr="00D44204">
        <w:rPr>
          <w:sz w:val="24"/>
          <w:szCs w:val="24"/>
        </w:rPr>
        <w:t>Blisterpakning: Opbevares i den originale pakning for at beskytte mod fugt.</w:t>
      </w:r>
    </w:p>
    <w:p w:rsidR="00A171C9" w:rsidRPr="00D44204" w:rsidRDefault="00A171C9" w:rsidP="00A171C9">
      <w:pPr>
        <w:ind w:left="855"/>
        <w:rPr>
          <w:sz w:val="24"/>
          <w:szCs w:val="24"/>
        </w:rPr>
      </w:pPr>
      <w:r w:rsidRPr="00D44204">
        <w:rPr>
          <w:sz w:val="24"/>
          <w:szCs w:val="24"/>
        </w:rPr>
        <w:t>Beholder: Hold beholderen tæt lukket for at undgå fugt.</w:t>
      </w: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6.5</w:t>
      </w:r>
      <w:r w:rsidRPr="00D44204">
        <w:rPr>
          <w:b/>
          <w:sz w:val="24"/>
          <w:szCs w:val="24"/>
        </w:rPr>
        <w:tab/>
        <w:t>Emballagetype og pakningsstørrelser</w:t>
      </w:r>
    </w:p>
    <w:p w:rsidR="00A171C9" w:rsidRPr="00D44204" w:rsidRDefault="00A171C9" w:rsidP="00A171C9">
      <w:pPr>
        <w:ind w:left="855"/>
        <w:rPr>
          <w:sz w:val="24"/>
          <w:szCs w:val="24"/>
        </w:rPr>
      </w:pPr>
      <w:r w:rsidRPr="00D44204">
        <w:rPr>
          <w:sz w:val="24"/>
          <w:szCs w:val="24"/>
        </w:rPr>
        <w:t>Blisterpakning (OPA/</w:t>
      </w:r>
      <w:r w:rsidR="00A86105" w:rsidRPr="00D44204">
        <w:rPr>
          <w:sz w:val="24"/>
          <w:szCs w:val="24"/>
        </w:rPr>
        <w:t>Aluminium/PVC-film</w:t>
      </w:r>
      <w:r w:rsidRPr="00D44204">
        <w:rPr>
          <w:sz w:val="24"/>
          <w:szCs w:val="24"/>
        </w:rPr>
        <w:t xml:space="preserve"> og aluminiumsfolie) i papæske.</w:t>
      </w:r>
    </w:p>
    <w:p w:rsidR="00A171C9" w:rsidRPr="00D44204" w:rsidRDefault="00A171C9" w:rsidP="00A171C9">
      <w:pPr>
        <w:ind w:left="855"/>
        <w:rPr>
          <w:sz w:val="24"/>
          <w:szCs w:val="24"/>
        </w:rPr>
      </w:pPr>
      <w:r w:rsidRPr="00D44204">
        <w:rPr>
          <w:sz w:val="24"/>
          <w:szCs w:val="24"/>
        </w:rPr>
        <w:t>Pakningsstørrelser: 7, 14, 15, 20, 28, 30, 50, 50</w:t>
      </w:r>
      <w:r w:rsidR="00D55E80">
        <w:rPr>
          <w:sz w:val="24"/>
          <w:szCs w:val="24"/>
        </w:rPr>
        <w:t>×</w:t>
      </w:r>
      <w:r w:rsidRPr="00D44204">
        <w:rPr>
          <w:sz w:val="24"/>
          <w:szCs w:val="24"/>
        </w:rPr>
        <w:t>1, 56, 60, 84, 90, 98, 100, 100</w:t>
      </w:r>
      <w:r w:rsidR="00D55E80">
        <w:rPr>
          <w:sz w:val="24"/>
          <w:szCs w:val="24"/>
        </w:rPr>
        <w:t>×</w:t>
      </w:r>
      <w:r w:rsidRPr="00D44204">
        <w:rPr>
          <w:sz w:val="24"/>
          <w:szCs w:val="24"/>
        </w:rPr>
        <w:t xml:space="preserve">1, 112 eller 140 </w:t>
      </w:r>
      <w:proofErr w:type="spellStart"/>
      <w:r w:rsidRPr="00D44204">
        <w:rPr>
          <w:sz w:val="24"/>
          <w:szCs w:val="24"/>
        </w:rPr>
        <w:t>enterotabletter</w:t>
      </w:r>
      <w:proofErr w:type="spellEnd"/>
      <w:r w:rsidRPr="00D44204">
        <w:rPr>
          <w:sz w:val="24"/>
          <w:szCs w:val="24"/>
        </w:rPr>
        <w:t>.</w:t>
      </w:r>
    </w:p>
    <w:p w:rsidR="00A171C9" w:rsidRPr="00D44204" w:rsidRDefault="00A171C9" w:rsidP="00A171C9">
      <w:pPr>
        <w:ind w:left="855"/>
        <w:rPr>
          <w:sz w:val="24"/>
          <w:szCs w:val="24"/>
        </w:rPr>
      </w:pPr>
    </w:p>
    <w:p w:rsidR="00A171C9" w:rsidRPr="00D44204" w:rsidRDefault="00D55E80" w:rsidP="00A171C9">
      <w:pPr>
        <w:ind w:left="855"/>
        <w:rPr>
          <w:sz w:val="24"/>
          <w:szCs w:val="24"/>
        </w:rPr>
      </w:pPr>
      <w:r w:rsidRPr="00D44204">
        <w:rPr>
          <w:sz w:val="24"/>
          <w:szCs w:val="24"/>
        </w:rPr>
        <w:t>HDPE-beholdere</w:t>
      </w:r>
      <w:r w:rsidR="00A171C9" w:rsidRPr="00D44204">
        <w:rPr>
          <w:sz w:val="24"/>
          <w:szCs w:val="24"/>
        </w:rPr>
        <w:t xml:space="preserve"> med tørremiddel (</w:t>
      </w:r>
      <w:proofErr w:type="spellStart"/>
      <w:r w:rsidR="00A171C9" w:rsidRPr="00D44204">
        <w:rPr>
          <w:sz w:val="24"/>
          <w:szCs w:val="24"/>
        </w:rPr>
        <w:t>silicagel</w:t>
      </w:r>
      <w:proofErr w:type="spellEnd"/>
      <w:r w:rsidR="00A171C9" w:rsidRPr="00D44204">
        <w:rPr>
          <w:sz w:val="24"/>
          <w:szCs w:val="24"/>
        </w:rPr>
        <w:t>) og PP-skruelåg.</w:t>
      </w:r>
    </w:p>
    <w:p w:rsidR="00A171C9" w:rsidRPr="00D44204" w:rsidRDefault="00A171C9" w:rsidP="00A171C9">
      <w:pPr>
        <w:ind w:left="855"/>
        <w:rPr>
          <w:sz w:val="24"/>
          <w:szCs w:val="24"/>
        </w:rPr>
      </w:pPr>
      <w:r w:rsidRPr="00D44204">
        <w:rPr>
          <w:sz w:val="24"/>
          <w:szCs w:val="24"/>
        </w:rPr>
        <w:t xml:space="preserve">Pakningsstørrelser: 100 og 250 </w:t>
      </w:r>
      <w:proofErr w:type="spellStart"/>
      <w:r w:rsidRPr="00D44204">
        <w:rPr>
          <w:sz w:val="24"/>
          <w:szCs w:val="24"/>
        </w:rPr>
        <w:t>enterotabletter</w:t>
      </w:r>
      <w:proofErr w:type="spellEnd"/>
      <w:r w:rsidRPr="00D44204">
        <w:rPr>
          <w:sz w:val="24"/>
          <w:szCs w:val="24"/>
        </w:rPr>
        <w:t>.</w:t>
      </w:r>
    </w:p>
    <w:p w:rsidR="00A171C9" w:rsidRPr="00D44204" w:rsidRDefault="00A171C9" w:rsidP="00A171C9">
      <w:pPr>
        <w:ind w:left="855"/>
        <w:rPr>
          <w:sz w:val="24"/>
          <w:szCs w:val="24"/>
        </w:rPr>
      </w:pPr>
    </w:p>
    <w:p w:rsidR="00A171C9" w:rsidRPr="00D44204" w:rsidRDefault="00A171C9" w:rsidP="00A171C9">
      <w:pPr>
        <w:ind w:left="855"/>
        <w:rPr>
          <w:sz w:val="24"/>
          <w:szCs w:val="24"/>
        </w:rPr>
      </w:pPr>
      <w:r w:rsidRPr="00D44204">
        <w:rPr>
          <w:sz w:val="24"/>
          <w:szCs w:val="24"/>
        </w:rPr>
        <w:t>Ikke alle pakningsstørrelser er nødvendigvis markedsført.</w:t>
      </w:r>
    </w:p>
    <w:p w:rsidR="00A171C9" w:rsidRPr="00D44204" w:rsidRDefault="00A171C9" w:rsidP="00A171C9">
      <w:pPr>
        <w:tabs>
          <w:tab w:val="left" w:pos="851"/>
          <w:tab w:val="left" w:pos="900"/>
        </w:tabs>
        <w:ind w:left="900"/>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6.6</w:t>
      </w:r>
      <w:r w:rsidRPr="00D44204">
        <w:rPr>
          <w:b/>
          <w:sz w:val="24"/>
          <w:szCs w:val="24"/>
        </w:rPr>
        <w:tab/>
        <w:t>Regler for bortskaffelse og anden håndtering</w:t>
      </w:r>
    </w:p>
    <w:p w:rsidR="00A171C9" w:rsidRPr="00D44204" w:rsidRDefault="00A171C9" w:rsidP="00A171C9">
      <w:pPr>
        <w:tabs>
          <w:tab w:val="left" w:pos="851"/>
        </w:tabs>
        <w:ind w:left="851"/>
        <w:jc w:val="both"/>
        <w:rPr>
          <w:sz w:val="24"/>
          <w:szCs w:val="24"/>
        </w:rPr>
      </w:pPr>
      <w:r w:rsidRPr="00D44204">
        <w:rPr>
          <w:sz w:val="24"/>
          <w:szCs w:val="24"/>
        </w:rPr>
        <w:t>Ingen særlige forholdsregler.</w:t>
      </w:r>
    </w:p>
    <w:p w:rsidR="00A171C9" w:rsidRPr="00D44204" w:rsidRDefault="00A171C9" w:rsidP="00A171C9">
      <w:pPr>
        <w:tabs>
          <w:tab w:val="left" w:pos="851"/>
        </w:tabs>
        <w:jc w:val="both"/>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7.</w:t>
      </w:r>
      <w:r w:rsidRPr="00D44204">
        <w:rPr>
          <w:b/>
          <w:sz w:val="24"/>
          <w:szCs w:val="24"/>
        </w:rPr>
        <w:tab/>
        <w:t>INDEHAVER AF MARKEDSFØRINGSTILLADELSEN</w:t>
      </w:r>
    </w:p>
    <w:p w:rsidR="00A171C9" w:rsidRPr="00D44204" w:rsidRDefault="00A171C9" w:rsidP="00A171C9">
      <w:pPr>
        <w:tabs>
          <w:tab w:val="left" w:pos="851"/>
        </w:tabs>
        <w:ind w:left="851" w:hanging="851"/>
        <w:rPr>
          <w:sz w:val="24"/>
          <w:szCs w:val="24"/>
          <w:lang w:val="fi-FI"/>
        </w:rPr>
      </w:pPr>
      <w:r w:rsidRPr="00D44204">
        <w:rPr>
          <w:sz w:val="24"/>
          <w:szCs w:val="24"/>
        </w:rPr>
        <w:tab/>
      </w:r>
      <w:r w:rsidRPr="00505145">
        <w:rPr>
          <w:sz w:val="24"/>
          <w:szCs w:val="24"/>
          <w:lang w:val="sv-SE"/>
        </w:rPr>
        <w:t>KRKA Sverige AB</w:t>
      </w:r>
      <w:r w:rsidRPr="00D44204">
        <w:rPr>
          <w:sz w:val="24"/>
          <w:szCs w:val="24"/>
          <w:lang w:val="fi-FI"/>
        </w:rPr>
        <w:t xml:space="preserve"> </w:t>
      </w:r>
    </w:p>
    <w:p w:rsidR="00A171C9" w:rsidRPr="00D44204" w:rsidRDefault="00A171C9" w:rsidP="00A171C9">
      <w:pPr>
        <w:tabs>
          <w:tab w:val="left" w:pos="851"/>
        </w:tabs>
        <w:ind w:left="851" w:hanging="851"/>
        <w:rPr>
          <w:sz w:val="24"/>
          <w:szCs w:val="24"/>
          <w:lang w:val="fi-FI"/>
        </w:rPr>
      </w:pPr>
      <w:r w:rsidRPr="00D44204">
        <w:rPr>
          <w:sz w:val="24"/>
          <w:szCs w:val="24"/>
          <w:lang w:val="fi-FI"/>
        </w:rPr>
        <w:tab/>
        <w:t>Göta Ark 175</w:t>
      </w:r>
    </w:p>
    <w:p w:rsidR="00A171C9" w:rsidRPr="00D44204" w:rsidRDefault="00A171C9" w:rsidP="00A171C9">
      <w:pPr>
        <w:tabs>
          <w:tab w:val="left" w:pos="851"/>
        </w:tabs>
        <w:ind w:left="851" w:hanging="851"/>
        <w:rPr>
          <w:sz w:val="24"/>
          <w:szCs w:val="24"/>
          <w:lang w:val="fi-FI"/>
        </w:rPr>
      </w:pPr>
      <w:r w:rsidRPr="00D44204">
        <w:rPr>
          <w:sz w:val="24"/>
          <w:szCs w:val="24"/>
          <w:lang w:val="fi-FI"/>
        </w:rPr>
        <w:tab/>
        <w:t xml:space="preserve">118 72 Stockholm </w:t>
      </w:r>
    </w:p>
    <w:p w:rsidR="00A171C9" w:rsidRPr="00D44204" w:rsidRDefault="00A171C9" w:rsidP="00A171C9">
      <w:pPr>
        <w:tabs>
          <w:tab w:val="left" w:pos="851"/>
        </w:tabs>
        <w:ind w:left="851" w:hanging="851"/>
        <w:rPr>
          <w:sz w:val="24"/>
          <w:szCs w:val="24"/>
        </w:rPr>
      </w:pPr>
      <w:r w:rsidRPr="00D44204">
        <w:rPr>
          <w:sz w:val="24"/>
          <w:szCs w:val="24"/>
          <w:lang w:val="fi-FI"/>
        </w:rPr>
        <w:tab/>
        <w:t>Sverige</w:t>
      </w:r>
    </w:p>
    <w:p w:rsidR="00A171C9" w:rsidRPr="00D44204" w:rsidRDefault="00A171C9" w:rsidP="00A171C9">
      <w:pPr>
        <w:tabs>
          <w:tab w:val="left" w:pos="851"/>
        </w:tabs>
        <w:rPr>
          <w:b/>
          <w:sz w:val="24"/>
          <w:szCs w:val="24"/>
        </w:rPr>
      </w:pPr>
    </w:p>
    <w:p w:rsidR="00D44204" w:rsidRPr="00D44204" w:rsidRDefault="00D44204" w:rsidP="00D44204">
      <w:pPr>
        <w:tabs>
          <w:tab w:val="left" w:pos="851"/>
        </w:tabs>
        <w:ind w:left="851" w:hanging="851"/>
        <w:rPr>
          <w:b/>
          <w:sz w:val="24"/>
          <w:szCs w:val="24"/>
        </w:rPr>
      </w:pPr>
      <w:r w:rsidRPr="00D44204">
        <w:rPr>
          <w:b/>
          <w:sz w:val="24"/>
          <w:szCs w:val="24"/>
        </w:rPr>
        <w:t>8.</w:t>
      </w:r>
      <w:r w:rsidRPr="00D44204">
        <w:rPr>
          <w:b/>
          <w:sz w:val="24"/>
          <w:szCs w:val="24"/>
        </w:rPr>
        <w:tab/>
        <w:t>MARKEDSFØRINGSTILLADELSESNUMMER (-NUMRE)</w:t>
      </w:r>
    </w:p>
    <w:p w:rsidR="00A171C9" w:rsidRPr="00D44204" w:rsidRDefault="00A171C9" w:rsidP="00A171C9">
      <w:pPr>
        <w:tabs>
          <w:tab w:val="left" w:pos="851"/>
        </w:tabs>
        <w:ind w:left="851" w:hanging="851"/>
        <w:rPr>
          <w:sz w:val="24"/>
          <w:szCs w:val="24"/>
        </w:rPr>
      </w:pPr>
      <w:r w:rsidRPr="00D44204">
        <w:rPr>
          <w:sz w:val="24"/>
          <w:szCs w:val="24"/>
        </w:rPr>
        <w:tab/>
        <w:t>40 mg: 39704</w:t>
      </w:r>
    </w:p>
    <w:p w:rsidR="00A171C9" w:rsidRPr="00D44204" w:rsidRDefault="00A171C9" w:rsidP="00A171C9">
      <w:pPr>
        <w:tabs>
          <w:tab w:val="left" w:pos="851"/>
        </w:tabs>
        <w:jc w:val="both"/>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9.</w:t>
      </w:r>
      <w:r w:rsidRPr="00D44204">
        <w:rPr>
          <w:b/>
          <w:sz w:val="24"/>
          <w:szCs w:val="24"/>
        </w:rPr>
        <w:tab/>
        <w:t>DATO FOR FØRSTE MARKEDSFØRINGSTILLADELSE</w:t>
      </w:r>
    </w:p>
    <w:p w:rsidR="00A171C9" w:rsidRPr="00D44204" w:rsidRDefault="00A171C9" w:rsidP="00A171C9">
      <w:pPr>
        <w:tabs>
          <w:tab w:val="left" w:pos="851"/>
        </w:tabs>
        <w:rPr>
          <w:sz w:val="24"/>
          <w:szCs w:val="24"/>
        </w:rPr>
      </w:pPr>
      <w:r w:rsidRPr="00D44204">
        <w:rPr>
          <w:sz w:val="24"/>
          <w:szCs w:val="24"/>
        </w:rPr>
        <w:tab/>
        <w:t>17. august 2007</w:t>
      </w:r>
    </w:p>
    <w:p w:rsidR="00A171C9" w:rsidRPr="00D44204" w:rsidRDefault="00A171C9" w:rsidP="00A171C9">
      <w:pPr>
        <w:tabs>
          <w:tab w:val="left" w:pos="851"/>
        </w:tabs>
        <w:rPr>
          <w:sz w:val="24"/>
          <w:szCs w:val="24"/>
        </w:rPr>
      </w:pPr>
    </w:p>
    <w:p w:rsidR="00D44204" w:rsidRPr="00D44204" w:rsidRDefault="00D44204" w:rsidP="00D44204">
      <w:pPr>
        <w:tabs>
          <w:tab w:val="left" w:pos="851"/>
        </w:tabs>
        <w:ind w:left="851" w:hanging="851"/>
        <w:rPr>
          <w:b/>
          <w:sz w:val="24"/>
          <w:szCs w:val="24"/>
        </w:rPr>
      </w:pPr>
      <w:r w:rsidRPr="00D44204">
        <w:rPr>
          <w:b/>
          <w:sz w:val="24"/>
          <w:szCs w:val="24"/>
        </w:rPr>
        <w:t>10.</w:t>
      </w:r>
      <w:r w:rsidRPr="00D44204">
        <w:rPr>
          <w:b/>
          <w:sz w:val="24"/>
          <w:szCs w:val="24"/>
        </w:rPr>
        <w:tab/>
        <w:t>DATO FOR ÆNDRING AF TEKSTEN</w:t>
      </w:r>
    </w:p>
    <w:p w:rsidR="009260DE" w:rsidRPr="00D44204" w:rsidRDefault="00A171C9" w:rsidP="00D44204">
      <w:pPr>
        <w:tabs>
          <w:tab w:val="left" w:pos="851"/>
        </w:tabs>
        <w:rPr>
          <w:sz w:val="24"/>
          <w:szCs w:val="24"/>
        </w:rPr>
      </w:pPr>
      <w:r w:rsidRPr="00D44204">
        <w:rPr>
          <w:sz w:val="24"/>
          <w:szCs w:val="24"/>
        </w:rPr>
        <w:tab/>
      </w:r>
      <w:r w:rsidR="00383C4A">
        <w:rPr>
          <w:sz w:val="24"/>
          <w:szCs w:val="24"/>
        </w:rPr>
        <w:t>24</w:t>
      </w:r>
      <w:r w:rsidR="00D44204" w:rsidRPr="00D44204">
        <w:rPr>
          <w:sz w:val="24"/>
          <w:szCs w:val="24"/>
        </w:rPr>
        <w:t>. februar 202</w:t>
      </w:r>
      <w:r w:rsidR="00383C4A">
        <w:rPr>
          <w:sz w:val="24"/>
          <w:szCs w:val="24"/>
        </w:rPr>
        <w:t>5</w:t>
      </w:r>
    </w:p>
    <w:sectPr w:rsidR="009260DE" w:rsidRPr="00D4420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1C9" w:rsidRDefault="00A171C9">
      <w:r>
        <w:separator/>
      </w:r>
    </w:p>
  </w:endnote>
  <w:endnote w:type="continuationSeparator" w:id="0">
    <w:p w:rsidR="00A171C9" w:rsidRDefault="00A1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D1088">
      <w:rPr>
        <w:i/>
        <w:noProof/>
        <w:sz w:val="18"/>
        <w:szCs w:val="18"/>
      </w:rPr>
      <w:t>Pantoprazol KRKA, enterotabletter 40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1C9" w:rsidRDefault="00A171C9">
      <w:r>
        <w:separator/>
      </w:r>
    </w:p>
  </w:footnote>
  <w:footnote w:type="continuationSeparator" w:id="0">
    <w:p w:rsidR="00A171C9" w:rsidRDefault="00A1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1B542F"/>
    <w:multiLevelType w:val="multilevel"/>
    <w:tmpl w:val="CB02A88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B2363F"/>
    <w:multiLevelType w:val="hybridMultilevel"/>
    <w:tmpl w:val="489ACDFE"/>
    <w:lvl w:ilvl="0" w:tplc="6DA01AA4">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211"/>
        </w:tabs>
        <w:ind w:left="1211" w:hanging="360"/>
      </w:pPr>
      <w:rPr>
        <w:rFonts w:ascii="Courier New" w:hAnsi="Courier New" w:cs="Courier New" w:hint="default"/>
      </w:rPr>
    </w:lvl>
    <w:lvl w:ilvl="2" w:tplc="04090005" w:tentative="1">
      <w:start w:val="1"/>
      <w:numFmt w:val="bullet"/>
      <w:lvlText w:val=""/>
      <w:lvlJc w:val="left"/>
      <w:pPr>
        <w:tabs>
          <w:tab w:val="num" w:pos="1931"/>
        </w:tabs>
        <w:ind w:left="1931" w:hanging="360"/>
      </w:pPr>
      <w:rPr>
        <w:rFonts w:ascii="Wingdings" w:hAnsi="Wingdings" w:hint="default"/>
      </w:rPr>
    </w:lvl>
    <w:lvl w:ilvl="3" w:tplc="04090001" w:tentative="1">
      <w:start w:val="1"/>
      <w:numFmt w:val="bullet"/>
      <w:lvlText w:val=""/>
      <w:lvlJc w:val="left"/>
      <w:pPr>
        <w:tabs>
          <w:tab w:val="num" w:pos="2651"/>
        </w:tabs>
        <w:ind w:left="2651" w:hanging="360"/>
      </w:pPr>
      <w:rPr>
        <w:rFonts w:ascii="Symbol" w:hAnsi="Symbol" w:hint="default"/>
      </w:rPr>
    </w:lvl>
    <w:lvl w:ilvl="4" w:tplc="04090003" w:tentative="1">
      <w:start w:val="1"/>
      <w:numFmt w:val="bullet"/>
      <w:lvlText w:val="o"/>
      <w:lvlJc w:val="left"/>
      <w:pPr>
        <w:tabs>
          <w:tab w:val="num" w:pos="3371"/>
        </w:tabs>
        <w:ind w:left="3371" w:hanging="360"/>
      </w:pPr>
      <w:rPr>
        <w:rFonts w:ascii="Courier New" w:hAnsi="Courier New" w:cs="Courier New" w:hint="default"/>
      </w:rPr>
    </w:lvl>
    <w:lvl w:ilvl="5" w:tplc="04090005" w:tentative="1">
      <w:start w:val="1"/>
      <w:numFmt w:val="bullet"/>
      <w:lvlText w:val=""/>
      <w:lvlJc w:val="left"/>
      <w:pPr>
        <w:tabs>
          <w:tab w:val="num" w:pos="4091"/>
        </w:tabs>
        <w:ind w:left="4091" w:hanging="360"/>
      </w:pPr>
      <w:rPr>
        <w:rFonts w:ascii="Wingdings" w:hAnsi="Wingdings" w:hint="default"/>
      </w:rPr>
    </w:lvl>
    <w:lvl w:ilvl="6" w:tplc="04090001" w:tentative="1">
      <w:start w:val="1"/>
      <w:numFmt w:val="bullet"/>
      <w:lvlText w:val=""/>
      <w:lvlJc w:val="left"/>
      <w:pPr>
        <w:tabs>
          <w:tab w:val="num" w:pos="4811"/>
        </w:tabs>
        <w:ind w:left="4811" w:hanging="360"/>
      </w:pPr>
      <w:rPr>
        <w:rFonts w:ascii="Symbol" w:hAnsi="Symbol" w:hint="default"/>
      </w:rPr>
    </w:lvl>
    <w:lvl w:ilvl="7" w:tplc="04090003" w:tentative="1">
      <w:start w:val="1"/>
      <w:numFmt w:val="bullet"/>
      <w:lvlText w:val="o"/>
      <w:lvlJc w:val="left"/>
      <w:pPr>
        <w:tabs>
          <w:tab w:val="num" w:pos="5531"/>
        </w:tabs>
        <w:ind w:left="5531" w:hanging="360"/>
      </w:pPr>
      <w:rPr>
        <w:rFonts w:ascii="Courier New" w:hAnsi="Courier New" w:cs="Courier New" w:hint="default"/>
      </w:rPr>
    </w:lvl>
    <w:lvl w:ilvl="8" w:tplc="04090005" w:tentative="1">
      <w:start w:val="1"/>
      <w:numFmt w:val="bullet"/>
      <w:lvlText w:val=""/>
      <w:lvlJc w:val="left"/>
      <w:pPr>
        <w:tabs>
          <w:tab w:val="num" w:pos="6251"/>
        </w:tabs>
        <w:ind w:left="625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3984C68"/>
    <w:multiLevelType w:val="hybridMultilevel"/>
    <w:tmpl w:val="C0BA454C"/>
    <w:lvl w:ilvl="0" w:tplc="30EC5650">
      <w:start w:val="1"/>
      <w:numFmt w:val="lowerLetter"/>
      <w:lvlText w:val="%1)"/>
      <w:lvlJc w:val="left"/>
      <w:pPr>
        <w:tabs>
          <w:tab w:val="num" w:pos="2152"/>
        </w:tabs>
        <w:ind w:left="2152" w:hanging="450"/>
      </w:pPr>
      <w:rPr>
        <w:rFonts w:hint="default"/>
      </w:rPr>
    </w:lvl>
    <w:lvl w:ilvl="1" w:tplc="04060019" w:tentative="1">
      <w:start w:val="1"/>
      <w:numFmt w:val="lowerLetter"/>
      <w:lvlText w:val="%2."/>
      <w:lvlJc w:val="left"/>
      <w:pPr>
        <w:tabs>
          <w:tab w:val="num" w:pos="2291"/>
        </w:tabs>
        <w:ind w:left="2291" w:hanging="360"/>
      </w:pPr>
    </w:lvl>
    <w:lvl w:ilvl="2" w:tplc="0406001B" w:tentative="1">
      <w:start w:val="1"/>
      <w:numFmt w:val="lowerRoman"/>
      <w:lvlText w:val="%3."/>
      <w:lvlJc w:val="right"/>
      <w:pPr>
        <w:tabs>
          <w:tab w:val="num" w:pos="3011"/>
        </w:tabs>
        <w:ind w:left="3011" w:hanging="180"/>
      </w:pPr>
    </w:lvl>
    <w:lvl w:ilvl="3" w:tplc="0406000F" w:tentative="1">
      <w:start w:val="1"/>
      <w:numFmt w:val="decimal"/>
      <w:lvlText w:val="%4."/>
      <w:lvlJc w:val="left"/>
      <w:pPr>
        <w:tabs>
          <w:tab w:val="num" w:pos="3731"/>
        </w:tabs>
        <w:ind w:left="3731" w:hanging="360"/>
      </w:pPr>
    </w:lvl>
    <w:lvl w:ilvl="4" w:tplc="04060019" w:tentative="1">
      <w:start w:val="1"/>
      <w:numFmt w:val="lowerLetter"/>
      <w:lvlText w:val="%5."/>
      <w:lvlJc w:val="left"/>
      <w:pPr>
        <w:tabs>
          <w:tab w:val="num" w:pos="4451"/>
        </w:tabs>
        <w:ind w:left="4451" w:hanging="360"/>
      </w:pPr>
    </w:lvl>
    <w:lvl w:ilvl="5" w:tplc="0406001B" w:tentative="1">
      <w:start w:val="1"/>
      <w:numFmt w:val="lowerRoman"/>
      <w:lvlText w:val="%6."/>
      <w:lvlJc w:val="right"/>
      <w:pPr>
        <w:tabs>
          <w:tab w:val="num" w:pos="5171"/>
        </w:tabs>
        <w:ind w:left="5171" w:hanging="180"/>
      </w:pPr>
    </w:lvl>
    <w:lvl w:ilvl="6" w:tplc="0406000F" w:tentative="1">
      <w:start w:val="1"/>
      <w:numFmt w:val="decimal"/>
      <w:lvlText w:val="%7."/>
      <w:lvlJc w:val="left"/>
      <w:pPr>
        <w:tabs>
          <w:tab w:val="num" w:pos="5891"/>
        </w:tabs>
        <w:ind w:left="5891" w:hanging="360"/>
      </w:pPr>
    </w:lvl>
    <w:lvl w:ilvl="7" w:tplc="04060019" w:tentative="1">
      <w:start w:val="1"/>
      <w:numFmt w:val="lowerLetter"/>
      <w:lvlText w:val="%8."/>
      <w:lvlJc w:val="left"/>
      <w:pPr>
        <w:tabs>
          <w:tab w:val="num" w:pos="6611"/>
        </w:tabs>
        <w:ind w:left="6611" w:hanging="360"/>
      </w:pPr>
    </w:lvl>
    <w:lvl w:ilvl="8" w:tplc="0406001B" w:tentative="1">
      <w:start w:val="1"/>
      <w:numFmt w:val="lowerRoman"/>
      <w:lvlText w:val="%9."/>
      <w:lvlJc w:val="right"/>
      <w:pPr>
        <w:tabs>
          <w:tab w:val="num" w:pos="7331"/>
        </w:tabs>
        <w:ind w:left="733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1"/>
  </w:num>
  <w:num w:numId="10">
    <w:abstractNumId w:val="0"/>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C9"/>
    <w:rsid w:val="00000DDA"/>
    <w:rsid w:val="000259B9"/>
    <w:rsid w:val="00041491"/>
    <w:rsid w:val="00050D16"/>
    <w:rsid w:val="00074F2A"/>
    <w:rsid w:val="000A1CA8"/>
    <w:rsid w:val="000A466B"/>
    <w:rsid w:val="000B058C"/>
    <w:rsid w:val="000E4EE6"/>
    <w:rsid w:val="000F5E32"/>
    <w:rsid w:val="001454E2"/>
    <w:rsid w:val="00206CE8"/>
    <w:rsid w:val="002073E3"/>
    <w:rsid w:val="0021526C"/>
    <w:rsid w:val="00220931"/>
    <w:rsid w:val="00282D26"/>
    <w:rsid w:val="00283A2B"/>
    <w:rsid w:val="002B30AD"/>
    <w:rsid w:val="002C2C01"/>
    <w:rsid w:val="002E6351"/>
    <w:rsid w:val="00300098"/>
    <w:rsid w:val="00383C4A"/>
    <w:rsid w:val="003A29AE"/>
    <w:rsid w:val="003A32D7"/>
    <w:rsid w:val="003B4074"/>
    <w:rsid w:val="003C769A"/>
    <w:rsid w:val="003D1088"/>
    <w:rsid w:val="003E5794"/>
    <w:rsid w:val="003F1838"/>
    <w:rsid w:val="0045746C"/>
    <w:rsid w:val="0049104B"/>
    <w:rsid w:val="004E3B12"/>
    <w:rsid w:val="00505145"/>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9209D"/>
    <w:rsid w:val="00907F75"/>
    <w:rsid w:val="009260DE"/>
    <w:rsid w:val="0093258A"/>
    <w:rsid w:val="009C7BA3"/>
    <w:rsid w:val="009D1F5A"/>
    <w:rsid w:val="00A0751B"/>
    <w:rsid w:val="00A171C9"/>
    <w:rsid w:val="00A403E8"/>
    <w:rsid w:val="00A82F54"/>
    <w:rsid w:val="00A86105"/>
    <w:rsid w:val="00B003BF"/>
    <w:rsid w:val="00B373D7"/>
    <w:rsid w:val="00C36276"/>
    <w:rsid w:val="00C42586"/>
    <w:rsid w:val="00C60CCD"/>
    <w:rsid w:val="00C84483"/>
    <w:rsid w:val="00C95551"/>
    <w:rsid w:val="00CB20D7"/>
    <w:rsid w:val="00D020B0"/>
    <w:rsid w:val="00D11748"/>
    <w:rsid w:val="00D366CF"/>
    <w:rsid w:val="00D44204"/>
    <w:rsid w:val="00D55E80"/>
    <w:rsid w:val="00E108AA"/>
    <w:rsid w:val="00E31812"/>
    <w:rsid w:val="00E3749A"/>
    <w:rsid w:val="00E7437F"/>
    <w:rsid w:val="00E77D9E"/>
    <w:rsid w:val="00E865B8"/>
    <w:rsid w:val="00EC0B9B"/>
    <w:rsid w:val="00ED5E9F"/>
    <w:rsid w:val="00F259F0"/>
    <w:rsid w:val="00F66D4F"/>
    <w:rsid w:val="00F7175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5B7E3"/>
  <w15:chartTrackingRefBased/>
  <w15:docId w15:val="{DDB0ED95-BF5A-41B0-9B5F-DC273744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171C9"/>
    <w:pPr>
      <w:ind w:left="720"/>
      <w:contextualSpacing/>
    </w:pPr>
    <w:rPr>
      <w:sz w:val="24"/>
      <w:lang w:eastAsia="da-DK"/>
    </w:rPr>
  </w:style>
  <w:style w:type="character" w:customStyle="1" w:styleId="hps">
    <w:name w:val="hps"/>
    <w:rsid w:val="00A171C9"/>
  </w:style>
  <w:style w:type="character" w:styleId="Hyperlink">
    <w:name w:val="Hyperlink"/>
    <w:uiPriority w:val="99"/>
    <w:semiHidden/>
    <w:unhideWhenUsed/>
    <w:rsid w:val="00A171C9"/>
    <w:rPr>
      <w:color w:val="0000FF"/>
      <w:u w:val="single"/>
    </w:rPr>
  </w:style>
  <w:style w:type="table" w:styleId="Tabel-Gitter">
    <w:name w:val="Table Grid"/>
    <w:basedOn w:val="Tabel-Normal"/>
    <w:uiPriority w:val="59"/>
    <w:rsid w:val="00A171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7990">
      <w:bodyDiv w:val="1"/>
      <w:marLeft w:val="0"/>
      <w:marRight w:val="0"/>
      <w:marTop w:val="0"/>
      <w:marBottom w:val="0"/>
      <w:divBdr>
        <w:top w:val="none" w:sz="0" w:space="0" w:color="auto"/>
        <w:left w:val="none" w:sz="0" w:space="0" w:color="auto"/>
        <w:bottom w:val="none" w:sz="0" w:space="0" w:color="auto"/>
        <w:right w:val="none" w:sz="0" w:space="0" w:color="auto"/>
      </w:divBdr>
    </w:div>
    <w:div w:id="79454822">
      <w:bodyDiv w:val="1"/>
      <w:marLeft w:val="0"/>
      <w:marRight w:val="0"/>
      <w:marTop w:val="0"/>
      <w:marBottom w:val="0"/>
      <w:divBdr>
        <w:top w:val="none" w:sz="0" w:space="0" w:color="auto"/>
        <w:left w:val="none" w:sz="0" w:space="0" w:color="auto"/>
        <w:bottom w:val="none" w:sz="0" w:space="0" w:color="auto"/>
        <w:right w:val="none" w:sz="0" w:space="0" w:color="auto"/>
      </w:divBdr>
    </w:div>
    <w:div w:id="1579671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598249">
      <w:bodyDiv w:val="1"/>
      <w:marLeft w:val="0"/>
      <w:marRight w:val="0"/>
      <w:marTop w:val="0"/>
      <w:marBottom w:val="0"/>
      <w:divBdr>
        <w:top w:val="none" w:sz="0" w:space="0" w:color="auto"/>
        <w:left w:val="none" w:sz="0" w:space="0" w:color="auto"/>
        <w:bottom w:val="none" w:sz="0" w:space="0" w:color="auto"/>
        <w:right w:val="none" w:sz="0" w:space="0" w:color="auto"/>
      </w:divBdr>
    </w:div>
    <w:div w:id="376856425">
      <w:bodyDiv w:val="1"/>
      <w:marLeft w:val="0"/>
      <w:marRight w:val="0"/>
      <w:marTop w:val="0"/>
      <w:marBottom w:val="0"/>
      <w:divBdr>
        <w:top w:val="none" w:sz="0" w:space="0" w:color="auto"/>
        <w:left w:val="none" w:sz="0" w:space="0" w:color="auto"/>
        <w:bottom w:val="none" w:sz="0" w:space="0" w:color="auto"/>
        <w:right w:val="none" w:sz="0" w:space="0" w:color="auto"/>
      </w:divBdr>
    </w:div>
    <w:div w:id="841311616">
      <w:bodyDiv w:val="1"/>
      <w:marLeft w:val="0"/>
      <w:marRight w:val="0"/>
      <w:marTop w:val="0"/>
      <w:marBottom w:val="0"/>
      <w:divBdr>
        <w:top w:val="none" w:sz="0" w:space="0" w:color="auto"/>
        <w:left w:val="none" w:sz="0" w:space="0" w:color="auto"/>
        <w:bottom w:val="none" w:sz="0" w:space="0" w:color="auto"/>
        <w:right w:val="none" w:sz="0" w:space="0" w:color="auto"/>
      </w:divBdr>
    </w:div>
    <w:div w:id="1065496108">
      <w:bodyDiv w:val="1"/>
      <w:marLeft w:val="0"/>
      <w:marRight w:val="0"/>
      <w:marTop w:val="0"/>
      <w:marBottom w:val="0"/>
      <w:divBdr>
        <w:top w:val="none" w:sz="0" w:space="0" w:color="auto"/>
        <w:left w:val="none" w:sz="0" w:space="0" w:color="auto"/>
        <w:bottom w:val="none" w:sz="0" w:space="0" w:color="auto"/>
        <w:right w:val="none" w:sz="0" w:space="0" w:color="auto"/>
      </w:divBdr>
    </w:div>
    <w:div w:id="1155491095">
      <w:bodyDiv w:val="1"/>
      <w:marLeft w:val="0"/>
      <w:marRight w:val="0"/>
      <w:marTop w:val="0"/>
      <w:marBottom w:val="0"/>
      <w:divBdr>
        <w:top w:val="none" w:sz="0" w:space="0" w:color="auto"/>
        <w:left w:val="none" w:sz="0" w:space="0" w:color="auto"/>
        <w:bottom w:val="none" w:sz="0" w:space="0" w:color="auto"/>
        <w:right w:val="none" w:sz="0" w:space="0" w:color="auto"/>
      </w:divBdr>
    </w:div>
    <w:div w:id="1183592826">
      <w:bodyDiv w:val="1"/>
      <w:marLeft w:val="0"/>
      <w:marRight w:val="0"/>
      <w:marTop w:val="0"/>
      <w:marBottom w:val="0"/>
      <w:divBdr>
        <w:top w:val="none" w:sz="0" w:space="0" w:color="auto"/>
        <w:left w:val="none" w:sz="0" w:space="0" w:color="auto"/>
        <w:bottom w:val="none" w:sz="0" w:space="0" w:color="auto"/>
        <w:right w:val="none" w:sz="0" w:space="0" w:color="auto"/>
      </w:divBdr>
    </w:div>
    <w:div w:id="1205291264">
      <w:bodyDiv w:val="1"/>
      <w:marLeft w:val="0"/>
      <w:marRight w:val="0"/>
      <w:marTop w:val="0"/>
      <w:marBottom w:val="0"/>
      <w:divBdr>
        <w:top w:val="none" w:sz="0" w:space="0" w:color="auto"/>
        <w:left w:val="none" w:sz="0" w:space="0" w:color="auto"/>
        <w:bottom w:val="none" w:sz="0" w:space="0" w:color="auto"/>
        <w:right w:val="none" w:sz="0" w:space="0" w:color="auto"/>
      </w:divBdr>
    </w:div>
    <w:div w:id="1276673642">
      <w:bodyDiv w:val="1"/>
      <w:marLeft w:val="0"/>
      <w:marRight w:val="0"/>
      <w:marTop w:val="0"/>
      <w:marBottom w:val="0"/>
      <w:divBdr>
        <w:top w:val="none" w:sz="0" w:space="0" w:color="auto"/>
        <w:left w:val="none" w:sz="0" w:space="0" w:color="auto"/>
        <w:bottom w:val="none" w:sz="0" w:space="0" w:color="auto"/>
        <w:right w:val="none" w:sz="0" w:space="0" w:color="auto"/>
      </w:divBdr>
    </w:div>
    <w:div w:id="1528955167">
      <w:bodyDiv w:val="1"/>
      <w:marLeft w:val="0"/>
      <w:marRight w:val="0"/>
      <w:marTop w:val="0"/>
      <w:marBottom w:val="0"/>
      <w:divBdr>
        <w:top w:val="none" w:sz="0" w:space="0" w:color="auto"/>
        <w:left w:val="none" w:sz="0" w:space="0" w:color="auto"/>
        <w:bottom w:val="none" w:sz="0" w:space="0" w:color="auto"/>
        <w:right w:val="none" w:sz="0" w:space="0" w:color="auto"/>
      </w:divBdr>
    </w:div>
    <w:div w:id="1644042469">
      <w:bodyDiv w:val="1"/>
      <w:marLeft w:val="0"/>
      <w:marRight w:val="0"/>
      <w:marTop w:val="0"/>
      <w:marBottom w:val="0"/>
      <w:divBdr>
        <w:top w:val="none" w:sz="0" w:space="0" w:color="auto"/>
        <w:left w:val="none" w:sz="0" w:space="0" w:color="auto"/>
        <w:bottom w:val="none" w:sz="0" w:space="0" w:color="auto"/>
        <w:right w:val="none" w:sz="0" w:space="0" w:color="auto"/>
      </w:divBdr>
    </w:div>
    <w:div w:id="1866481434">
      <w:bodyDiv w:val="1"/>
      <w:marLeft w:val="0"/>
      <w:marRight w:val="0"/>
      <w:marTop w:val="0"/>
      <w:marBottom w:val="0"/>
      <w:divBdr>
        <w:top w:val="none" w:sz="0" w:space="0" w:color="auto"/>
        <w:left w:val="none" w:sz="0" w:space="0" w:color="auto"/>
        <w:bottom w:val="none" w:sz="0" w:space="0" w:color="auto"/>
        <w:right w:val="none" w:sz="0" w:space="0" w:color="auto"/>
      </w:divBdr>
    </w:div>
    <w:div w:id="18908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3895</Words>
  <Characters>26010</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2024090990 pkt. 4.2, 4.4, 4.5, 4.8, 5.2, 6.1</dc:description>
  <cp:lastModifiedBy>Gitte Ronnovius</cp:lastModifiedBy>
  <cp:revision>3</cp:revision>
  <cp:lastPrinted>2012-08-22T08:53:00Z</cp:lastPrinted>
  <dcterms:created xsi:type="dcterms:W3CDTF">2025-02-19T13:46:00Z</dcterms:created>
  <dcterms:modified xsi:type="dcterms:W3CDTF">2025-02-19T13:54:00Z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