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57565"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1C7AC86" wp14:editId="643236B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C757511" w14:textId="77777777" w:rsidR="009260DE" w:rsidRPr="00C84483" w:rsidRDefault="009260DE" w:rsidP="009260DE">
      <w:pPr>
        <w:pStyle w:val="Titel"/>
        <w:tabs>
          <w:tab w:val="right" w:pos="9356"/>
        </w:tabs>
        <w:jc w:val="left"/>
        <w:rPr>
          <w:b w:val="0"/>
          <w:szCs w:val="24"/>
          <w:lang w:eastAsia="en-US"/>
        </w:rPr>
      </w:pPr>
    </w:p>
    <w:p w14:paraId="3118CAB1" w14:textId="3D798D5D"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15EAE">
        <w:rPr>
          <w:szCs w:val="24"/>
        </w:rPr>
        <w:t>30. juni 2023</w:t>
      </w:r>
    </w:p>
    <w:p w14:paraId="1F24C703" w14:textId="77777777" w:rsidR="009260DE" w:rsidRPr="00C84483" w:rsidRDefault="009260DE" w:rsidP="009260DE">
      <w:pPr>
        <w:pStyle w:val="Titel"/>
        <w:tabs>
          <w:tab w:val="left" w:pos="8222"/>
        </w:tabs>
        <w:jc w:val="left"/>
        <w:rPr>
          <w:b w:val="0"/>
          <w:szCs w:val="24"/>
        </w:rPr>
      </w:pPr>
    </w:p>
    <w:p w14:paraId="60F38858" w14:textId="77777777" w:rsidR="009260DE" w:rsidRPr="00C84483" w:rsidRDefault="009260DE" w:rsidP="009260DE">
      <w:pPr>
        <w:pStyle w:val="Titel"/>
        <w:jc w:val="left"/>
        <w:rPr>
          <w:b w:val="0"/>
          <w:szCs w:val="24"/>
        </w:rPr>
      </w:pPr>
    </w:p>
    <w:p w14:paraId="79C27208" w14:textId="77777777" w:rsidR="009260DE" w:rsidRPr="00C84483" w:rsidRDefault="009260DE" w:rsidP="009260DE">
      <w:pPr>
        <w:pStyle w:val="Titel"/>
        <w:jc w:val="left"/>
        <w:rPr>
          <w:b w:val="0"/>
          <w:szCs w:val="24"/>
        </w:rPr>
      </w:pPr>
    </w:p>
    <w:p w14:paraId="339D837C" w14:textId="77777777" w:rsidR="009260DE" w:rsidRPr="00C84483" w:rsidRDefault="009260DE" w:rsidP="009260DE">
      <w:pPr>
        <w:jc w:val="center"/>
        <w:rPr>
          <w:b/>
          <w:sz w:val="24"/>
          <w:szCs w:val="24"/>
        </w:rPr>
      </w:pPr>
      <w:r w:rsidRPr="00C84483">
        <w:rPr>
          <w:b/>
          <w:sz w:val="24"/>
          <w:szCs w:val="24"/>
        </w:rPr>
        <w:t>PRODUKTRESUMÉ</w:t>
      </w:r>
    </w:p>
    <w:p w14:paraId="3CC9F926" w14:textId="77777777" w:rsidR="009260DE" w:rsidRPr="00C84483" w:rsidRDefault="009260DE" w:rsidP="009260DE">
      <w:pPr>
        <w:jc w:val="center"/>
        <w:rPr>
          <w:b/>
          <w:sz w:val="24"/>
          <w:szCs w:val="24"/>
        </w:rPr>
      </w:pPr>
    </w:p>
    <w:p w14:paraId="2B67FD20" w14:textId="77777777" w:rsidR="009260DE" w:rsidRDefault="009260DE" w:rsidP="009260DE">
      <w:pPr>
        <w:jc w:val="center"/>
        <w:rPr>
          <w:b/>
          <w:sz w:val="24"/>
          <w:szCs w:val="24"/>
        </w:rPr>
      </w:pPr>
      <w:r w:rsidRPr="00C84483">
        <w:rPr>
          <w:b/>
          <w:sz w:val="24"/>
          <w:szCs w:val="24"/>
        </w:rPr>
        <w:t>for</w:t>
      </w:r>
    </w:p>
    <w:p w14:paraId="4F6671B1" w14:textId="77777777" w:rsidR="000B058C" w:rsidRPr="00C84483" w:rsidRDefault="000B058C" w:rsidP="009260DE">
      <w:pPr>
        <w:jc w:val="center"/>
        <w:rPr>
          <w:b/>
          <w:sz w:val="24"/>
          <w:szCs w:val="24"/>
        </w:rPr>
      </w:pPr>
    </w:p>
    <w:p w14:paraId="28246E91" w14:textId="77777777" w:rsidR="009260DE" w:rsidRPr="00C84483" w:rsidRDefault="00EA53B3" w:rsidP="009260DE">
      <w:pPr>
        <w:jc w:val="center"/>
        <w:rPr>
          <w:b/>
          <w:sz w:val="24"/>
          <w:szCs w:val="24"/>
        </w:rPr>
      </w:pPr>
      <w:r>
        <w:rPr>
          <w:b/>
          <w:sz w:val="24"/>
          <w:szCs w:val="24"/>
        </w:rPr>
        <w:t>Pantoprazol "Kalceks", pulver til injektionsvæske, opløsning</w:t>
      </w:r>
    </w:p>
    <w:p w14:paraId="18B26D4C" w14:textId="77777777" w:rsidR="009260DE" w:rsidRPr="00C84483" w:rsidRDefault="009260DE" w:rsidP="009260DE">
      <w:pPr>
        <w:jc w:val="both"/>
        <w:rPr>
          <w:sz w:val="24"/>
          <w:szCs w:val="24"/>
        </w:rPr>
      </w:pPr>
    </w:p>
    <w:p w14:paraId="1017AE11" w14:textId="77777777" w:rsidR="009260DE" w:rsidRPr="00C84483" w:rsidRDefault="009260DE" w:rsidP="009260DE">
      <w:pPr>
        <w:jc w:val="both"/>
        <w:rPr>
          <w:sz w:val="24"/>
          <w:szCs w:val="24"/>
        </w:rPr>
      </w:pPr>
    </w:p>
    <w:p w14:paraId="777D712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26AE11A" w14:textId="198BFA44" w:rsidR="009260DE" w:rsidRPr="00C84483" w:rsidRDefault="006648BE" w:rsidP="009260DE">
      <w:pPr>
        <w:tabs>
          <w:tab w:val="left" w:pos="851"/>
        </w:tabs>
        <w:ind w:left="851"/>
        <w:rPr>
          <w:sz w:val="24"/>
          <w:szCs w:val="24"/>
        </w:rPr>
      </w:pPr>
      <w:r>
        <w:rPr>
          <w:sz w:val="24"/>
          <w:szCs w:val="24"/>
        </w:rPr>
        <w:t>32783</w:t>
      </w:r>
    </w:p>
    <w:p w14:paraId="794A66B4" w14:textId="77777777" w:rsidR="009260DE" w:rsidRPr="00C84483" w:rsidRDefault="009260DE" w:rsidP="009260DE">
      <w:pPr>
        <w:tabs>
          <w:tab w:val="left" w:pos="851"/>
        </w:tabs>
        <w:ind w:left="851"/>
        <w:rPr>
          <w:sz w:val="24"/>
          <w:szCs w:val="24"/>
        </w:rPr>
      </w:pPr>
    </w:p>
    <w:p w14:paraId="3652F370"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751E6D5" w14:textId="2CE176A5" w:rsidR="009260DE" w:rsidRPr="00C84483" w:rsidRDefault="006648BE" w:rsidP="009260DE">
      <w:pPr>
        <w:tabs>
          <w:tab w:val="left" w:pos="851"/>
        </w:tabs>
        <w:ind w:left="851"/>
        <w:rPr>
          <w:sz w:val="24"/>
          <w:szCs w:val="24"/>
        </w:rPr>
      </w:pPr>
      <w:r>
        <w:rPr>
          <w:sz w:val="24"/>
          <w:szCs w:val="24"/>
        </w:rPr>
        <w:t>Pantoprazol "Kalceks"</w:t>
      </w:r>
    </w:p>
    <w:p w14:paraId="0C113660" w14:textId="77777777" w:rsidR="009260DE" w:rsidRPr="00C84483" w:rsidRDefault="009260DE" w:rsidP="009260DE">
      <w:pPr>
        <w:tabs>
          <w:tab w:val="left" w:pos="851"/>
        </w:tabs>
        <w:ind w:left="851"/>
        <w:rPr>
          <w:sz w:val="24"/>
          <w:szCs w:val="24"/>
        </w:rPr>
      </w:pPr>
    </w:p>
    <w:p w14:paraId="0B5FAEC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3D14C1E" w14:textId="77777777" w:rsidR="006648BE" w:rsidRPr="00BF507E" w:rsidRDefault="006648BE" w:rsidP="006648BE">
      <w:pPr>
        <w:ind w:left="851"/>
        <w:rPr>
          <w:sz w:val="24"/>
          <w:szCs w:val="24"/>
        </w:rPr>
      </w:pPr>
      <w:bookmarkStart w:id="1" w:name="_Hlk87008171"/>
      <w:r w:rsidRPr="00BF507E">
        <w:rPr>
          <w:sz w:val="24"/>
          <w:szCs w:val="24"/>
        </w:rPr>
        <w:t>Hvert hætteglas indeholder 40 mg pantoprazol (som natriumsesquihydrat).</w:t>
      </w:r>
    </w:p>
    <w:bookmarkEnd w:id="1"/>
    <w:p w14:paraId="2F61E8D3" w14:textId="77777777" w:rsidR="006648BE" w:rsidRPr="00BF507E" w:rsidRDefault="006648BE" w:rsidP="006648BE">
      <w:pPr>
        <w:ind w:left="851"/>
        <w:rPr>
          <w:sz w:val="24"/>
          <w:szCs w:val="24"/>
        </w:rPr>
      </w:pPr>
    </w:p>
    <w:p w14:paraId="5A2DBCE5" w14:textId="77777777" w:rsidR="006648BE" w:rsidRPr="00BF507E" w:rsidRDefault="006648BE" w:rsidP="006648BE">
      <w:pPr>
        <w:pStyle w:val="Default"/>
        <w:ind w:left="851"/>
      </w:pPr>
      <w:r w:rsidRPr="00BF507E">
        <w:t>Alle hjælpestoffer er anført under pkt. 6.1.</w:t>
      </w:r>
    </w:p>
    <w:p w14:paraId="5CEAFDA1" w14:textId="77777777" w:rsidR="009260DE" w:rsidRPr="00C84483" w:rsidRDefault="009260DE" w:rsidP="009260DE">
      <w:pPr>
        <w:tabs>
          <w:tab w:val="left" w:pos="851"/>
        </w:tabs>
        <w:ind w:left="851"/>
        <w:rPr>
          <w:sz w:val="24"/>
          <w:szCs w:val="24"/>
        </w:rPr>
      </w:pPr>
    </w:p>
    <w:p w14:paraId="3E10E26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8FF6454" w14:textId="338B2625" w:rsidR="006648BE" w:rsidRDefault="006648BE" w:rsidP="006648BE">
      <w:pPr>
        <w:ind w:left="851"/>
        <w:rPr>
          <w:sz w:val="24"/>
          <w:szCs w:val="24"/>
        </w:rPr>
      </w:pPr>
      <w:r w:rsidRPr="00BF507E">
        <w:rPr>
          <w:sz w:val="24"/>
          <w:szCs w:val="24"/>
        </w:rPr>
        <w:t>Pulver til injektionsvæske, opløsning.</w:t>
      </w:r>
    </w:p>
    <w:p w14:paraId="7C432D22" w14:textId="77777777" w:rsidR="006648BE" w:rsidRPr="00BF507E" w:rsidRDefault="006648BE" w:rsidP="006648BE">
      <w:pPr>
        <w:ind w:left="851"/>
        <w:rPr>
          <w:sz w:val="24"/>
          <w:szCs w:val="24"/>
        </w:rPr>
      </w:pPr>
    </w:p>
    <w:p w14:paraId="08B8C5DB" w14:textId="66CA363D" w:rsidR="006648BE" w:rsidRPr="00BF507E" w:rsidRDefault="006648BE" w:rsidP="006648BE">
      <w:pPr>
        <w:ind w:left="851"/>
        <w:rPr>
          <w:sz w:val="24"/>
          <w:szCs w:val="24"/>
        </w:rPr>
      </w:pPr>
      <w:r w:rsidRPr="00BF507E">
        <w:rPr>
          <w:sz w:val="24"/>
          <w:szCs w:val="24"/>
        </w:rPr>
        <w:t>Hvid eller næsten hvid ensartet</w:t>
      </w:r>
      <w:r w:rsidR="00CC44F3">
        <w:rPr>
          <w:sz w:val="24"/>
          <w:szCs w:val="24"/>
        </w:rPr>
        <w:t>,</w:t>
      </w:r>
      <w:r w:rsidRPr="00BF507E">
        <w:rPr>
          <w:sz w:val="24"/>
          <w:szCs w:val="24"/>
        </w:rPr>
        <w:t xml:space="preserve"> porøs kage.</w:t>
      </w:r>
    </w:p>
    <w:p w14:paraId="1D4B1724" w14:textId="77777777" w:rsidR="009260DE" w:rsidRPr="00C84483" w:rsidRDefault="009260DE" w:rsidP="009260DE">
      <w:pPr>
        <w:tabs>
          <w:tab w:val="left" w:pos="851"/>
        </w:tabs>
        <w:ind w:left="851"/>
        <w:rPr>
          <w:sz w:val="24"/>
          <w:szCs w:val="24"/>
        </w:rPr>
      </w:pPr>
    </w:p>
    <w:p w14:paraId="64C389CE" w14:textId="77777777" w:rsidR="009260DE" w:rsidRPr="00C84483" w:rsidRDefault="009260DE" w:rsidP="009260DE">
      <w:pPr>
        <w:tabs>
          <w:tab w:val="left" w:pos="851"/>
        </w:tabs>
        <w:ind w:left="851"/>
        <w:rPr>
          <w:sz w:val="24"/>
          <w:szCs w:val="24"/>
        </w:rPr>
      </w:pPr>
    </w:p>
    <w:p w14:paraId="3C8A99D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C3CF6E5" w14:textId="77777777" w:rsidR="009260DE" w:rsidRPr="00C84483" w:rsidRDefault="009260DE" w:rsidP="009260DE">
      <w:pPr>
        <w:tabs>
          <w:tab w:val="left" w:pos="851"/>
        </w:tabs>
        <w:ind w:left="851"/>
        <w:rPr>
          <w:b/>
          <w:sz w:val="24"/>
          <w:szCs w:val="24"/>
        </w:rPr>
      </w:pPr>
    </w:p>
    <w:p w14:paraId="39D8799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E0D10A7" w14:textId="77777777" w:rsidR="00CC44F3" w:rsidRPr="00BF507E" w:rsidRDefault="00CC44F3" w:rsidP="00CC44F3">
      <w:pPr>
        <w:ind w:left="851"/>
        <w:rPr>
          <w:sz w:val="24"/>
          <w:szCs w:val="24"/>
        </w:rPr>
      </w:pPr>
      <w:r w:rsidRPr="00BF507E">
        <w:rPr>
          <w:sz w:val="24"/>
          <w:szCs w:val="24"/>
        </w:rPr>
        <w:t>Pantoprazol er indiceret til voksne til:</w:t>
      </w:r>
    </w:p>
    <w:p w14:paraId="76449588" w14:textId="77777777" w:rsidR="00CC44F3" w:rsidRPr="00BF507E" w:rsidRDefault="00CC44F3" w:rsidP="00CC44F3">
      <w:pPr>
        <w:numPr>
          <w:ilvl w:val="0"/>
          <w:numId w:val="6"/>
        </w:numPr>
        <w:ind w:left="1134" w:hanging="283"/>
        <w:rPr>
          <w:sz w:val="24"/>
          <w:szCs w:val="24"/>
        </w:rPr>
      </w:pPr>
      <w:r w:rsidRPr="00BF507E">
        <w:rPr>
          <w:sz w:val="24"/>
          <w:szCs w:val="24"/>
        </w:rPr>
        <w:t>refluksøsofagitis.</w:t>
      </w:r>
    </w:p>
    <w:p w14:paraId="40296B75" w14:textId="77777777" w:rsidR="00CC44F3" w:rsidRPr="00BF507E" w:rsidRDefault="00CC44F3" w:rsidP="00CC44F3">
      <w:pPr>
        <w:numPr>
          <w:ilvl w:val="0"/>
          <w:numId w:val="6"/>
        </w:numPr>
        <w:tabs>
          <w:tab w:val="left" w:pos="567"/>
        </w:tabs>
        <w:ind w:left="1134" w:hanging="283"/>
        <w:rPr>
          <w:sz w:val="24"/>
          <w:szCs w:val="24"/>
        </w:rPr>
      </w:pPr>
      <w:r w:rsidRPr="00BF507E">
        <w:rPr>
          <w:sz w:val="24"/>
          <w:szCs w:val="24"/>
        </w:rPr>
        <w:t>ulcus ventriculi og ulcus duodeni.</w:t>
      </w:r>
    </w:p>
    <w:p w14:paraId="100C3475" w14:textId="77777777" w:rsidR="00CC44F3" w:rsidRPr="00BF507E" w:rsidRDefault="00CC44F3" w:rsidP="00CC44F3">
      <w:pPr>
        <w:numPr>
          <w:ilvl w:val="0"/>
          <w:numId w:val="6"/>
        </w:numPr>
        <w:tabs>
          <w:tab w:val="left" w:pos="567"/>
        </w:tabs>
        <w:ind w:left="1134" w:hanging="283"/>
        <w:rPr>
          <w:sz w:val="24"/>
          <w:szCs w:val="24"/>
        </w:rPr>
      </w:pPr>
      <w:r w:rsidRPr="00BF507E">
        <w:rPr>
          <w:sz w:val="24"/>
          <w:szCs w:val="24"/>
        </w:rPr>
        <w:t>Zollinger-Ellisons syndrom og andre patologiske hypersekretoriske tilstande.</w:t>
      </w:r>
    </w:p>
    <w:p w14:paraId="4651D6AE" w14:textId="77777777" w:rsidR="009260DE" w:rsidRPr="00C84483" w:rsidRDefault="009260DE" w:rsidP="009260DE">
      <w:pPr>
        <w:tabs>
          <w:tab w:val="left" w:pos="851"/>
        </w:tabs>
        <w:ind w:left="851"/>
        <w:rPr>
          <w:sz w:val="24"/>
          <w:szCs w:val="24"/>
        </w:rPr>
      </w:pPr>
    </w:p>
    <w:p w14:paraId="4CA59EFC"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5ADB141" w14:textId="77777777" w:rsidR="00CC44F3" w:rsidRPr="00BF507E" w:rsidRDefault="00CC44F3" w:rsidP="00CC44F3">
      <w:pPr>
        <w:ind w:left="851"/>
        <w:rPr>
          <w:sz w:val="24"/>
          <w:szCs w:val="24"/>
        </w:rPr>
      </w:pPr>
      <w:r w:rsidRPr="00BF507E">
        <w:rPr>
          <w:sz w:val="24"/>
          <w:szCs w:val="24"/>
        </w:rPr>
        <w:t>Dette lægemiddel kal administreres af sundhedspersonale og under passende lægelig supervision.</w:t>
      </w:r>
    </w:p>
    <w:p w14:paraId="0375E282" w14:textId="77777777" w:rsidR="00CC44F3" w:rsidRPr="00BF507E" w:rsidRDefault="00CC44F3" w:rsidP="00CC44F3">
      <w:pPr>
        <w:ind w:left="851"/>
        <w:rPr>
          <w:sz w:val="24"/>
          <w:szCs w:val="24"/>
        </w:rPr>
      </w:pPr>
    </w:p>
    <w:p w14:paraId="5C7F4B2C" w14:textId="77777777" w:rsidR="00CC44F3" w:rsidRPr="00BF507E" w:rsidRDefault="00CC44F3" w:rsidP="00CC44F3">
      <w:pPr>
        <w:ind w:left="851"/>
        <w:rPr>
          <w:sz w:val="24"/>
          <w:szCs w:val="24"/>
        </w:rPr>
      </w:pPr>
      <w:r w:rsidRPr="00BF507E">
        <w:rPr>
          <w:sz w:val="24"/>
          <w:szCs w:val="24"/>
        </w:rPr>
        <w:t>Pantoprazol anbefales kun, hvis oral administration ikke er hensigtsmæssig. Der foreligger data for intravenøs anvendelse i op til 7 dage. Intravenøs behandling med pantoprazol skal derfor seponeres og erstattes af 40 mg pantoprazol peroralt, så snart det er muligt.</w:t>
      </w:r>
    </w:p>
    <w:p w14:paraId="1A73CECC" w14:textId="443658DC" w:rsidR="00CC44F3" w:rsidRDefault="00CC44F3">
      <w:pPr>
        <w:rPr>
          <w:sz w:val="24"/>
          <w:szCs w:val="24"/>
        </w:rPr>
      </w:pPr>
      <w:r>
        <w:rPr>
          <w:sz w:val="24"/>
          <w:szCs w:val="24"/>
        </w:rPr>
        <w:br w:type="page"/>
      </w:r>
    </w:p>
    <w:p w14:paraId="73FBD7C5" w14:textId="77777777" w:rsidR="00CC44F3" w:rsidRPr="00BF507E" w:rsidRDefault="00CC44F3" w:rsidP="00CC44F3">
      <w:pPr>
        <w:ind w:left="851"/>
        <w:rPr>
          <w:sz w:val="24"/>
          <w:szCs w:val="24"/>
        </w:rPr>
      </w:pPr>
    </w:p>
    <w:p w14:paraId="67D12C97" w14:textId="77777777" w:rsidR="00CC44F3" w:rsidRPr="0050311F" w:rsidRDefault="00CC44F3" w:rsidP="00CC44F3">
      <w:pPr>
        <w:ind w:left="851"/>
        <w:rPr>
          <w:b/>
          <w:sz w:val="24"/>
          <w:szCs w:val="24"/>
        </w:rPr>
      </w:pPr>
      <w:r w:rsidRPr="0050311F">
        <w:rPr>
          <w:b/>
          <w:sz w:val="24"/>
          <w:szCs w:val="24"/>
        </w:rPr>
        <w:t>Dosering</w:t>
      </w:r>
    </w:p>
    <w:p w14:paraId="5EA89DCE" w14:textId="77777777" w:rsidR="00CC44F3" w:rsidRPr="00BF507E" w:rsidRDefault="00CC44F3" w:rsidP="00CC44F3">
      <w:pPr>
        <w:ind w:left="851"/>
        <w:rPr>
          <w:sz w:val="24"/>
          <w:szCs w:val="24"/>
          <w:u w:val="single"/>
        </w:rPr>
      </w:pPr>
    </w:p>
    <w:p w14:paraId="05BAD8D5" w14:textId="77777777" w:rsidR="00CC44F3" w:rsidRPr="00BF507E" w:rsidRDefault="00CC44F3" w:rsidP="00CC44F3">
      <w:pPr>
        <w:ind w:left="851"/>
        <w:rPr>
          <w:i/>
          <w:sz w:val="24"/>
          <w:szCs w:val="24"/>
        </w:rPr>
      </w:pPr>
      <w:r w:rsidRPr="00BF507E">
        <w:rPr>
          <w:i/>
          <w:sz w:val="24"/>
          <w:szCs w:val="24"/>
        </w:rPr>
        <w:t>Ulcus ventriculi og ulcus duodeni, refluksøsofagitis</w:t>
      </w:r>
    </w:p>
    <w:p w14:paraId="6C1D138E" w14:textId="0A02E1EE" w:rsidR="00CC44F3" w:rsidRPr="00BF507E" w:rsidRDefault="00CC44F3" w:rsidP="00CC44F3">
      <w:pPr>
        <w:ind w:left="851"/>
        <w:rPr>
          <w:sz w:val="24"/>
          <w:szCs w:val="24"/>
        </w:rPr>
      </w:pPr>
      <w:r w:rsidRPr="00BF507E">
        <w:rPr>
          <w:sz w:val="24"/>
          <w:szCs w:val="24"/>
        </w:rPr>
        <w:t xml:space="preserve">Den anbefalede dosis er 40 mg pantoprazol </w:t>
      </w:r>
      <w:r w:rsidR="0050311F">
        <w:rPr>
          <w:sz w:val="24"/>
          <w:szCs w:val="24"/>
        </w:rPr>
        <w:t>daglig</w:t>
      </w:r>
      <w:r w:rsidRPr="00BF507E">
        <w:rPr>
          <w:sz w:val="24"/>
          <w:szCs w:val="24"/>
        </w:rPr>
        <w:t>.</w:t>
      </w:r>
    </w:p>
    <w:p w14:paraId="328426EC" w14:textId="77777777" w:rsidR="00CC44F3" w:rsidRPr="00BF507E" w:rsidRDefault="00CC44F3" w:rsidP="00CC44F3">
      <w:pPr>
        <w:ind w:left="851"/>
        <w:rPr>
          <w:sz w:val="24"/>
          <w:szCs w:val="24"/>
        </w:rPr>
      </w:pPr>
    </w:p>
    <w:p w14:paraId="12D5FAC9" w14:textId="77777777" w:rsidR="00CC44F3" w:rsidRPr="00BF507E" w:rsidRDefault="00CC44F3" w:rsidP="00CC44F3">
      <w:pPr>
        <w:ind w:left="851"/>
        <w:rPr>
          <w:i/>
          <w:sz w:val="24"/>
          <w:szCs w:val="24"/>
        </w:rPr>
      </w:pPr>
      <w:r w:rsidRPr="00BF507E">
        <w:rPr>
          <w:i/>
          <w:sz w:val="24"/>
          <w:szCs w:val="24"/>
        </w:rPr>
        <w:t>Zollinger-Ellisons syndrom og andre patologiske hypersekretoriske tilstande</w:t>
      </w:r>
    </w:p>
    <w:p w14:paraId="3602BCB3" w14:textId="03804B6B" w:rsidR="00CC44F3" w:rsidRPr="00BF507E" w:rsidRDefault="00CC44F3" w:rsidP="00CC44F3">
      <w:pPr>
        <w:ind w:left="851"/>
        <w:rPr>
          <w:sz w:val="24"/>
          <w:szCs w:val="24"/>
        </w:rPr>
      </w:pPr>
      <w:r w:rsidRPr="00BF507E">
        <w:rPr>
          <w:sz w:val="24"/>
          <w:szCs w:val="24"/>
        </w:rPr>
        <w:t xml:space="preserve">Ved langtidsbehandling af Zollinger-Ellisons syndrom og andre patologiske hypersekretoriske tilstande er den anbefalede startdosis 80 mg pantoprazol </w:t>
      </w:r>
      <w:r w:rsidR="0050311F">
        <w:rPr>
          <w:sz w:val="24"/>
          <w:szCs w:val="24"/>
        </w:rPr>
        <w:t>daglig</w:t>
      </w:r>
      <w:r w:rsidRPr="00BF507E">
        <w:rPr>
          <w:sz w:val="24"/>
          <w:szCs w:val="24"/>
        </w:rPr>
        <w:t>. Herefter kan dosis op- eller nedtitreres afhængig af den målte mavesyresekretion. Daglige doser på over 80 mg bør deles og gives som to daglige administrationer. En midlertidig forøgelse af dosis til over 160 mg pantoprazol er mulig, men bør ikke anvendes længere end nødvendigt for at sikre tilstrækkelig regulering af mavesyren.</w:t>
      </w:r>
    </w:p>
    <w:p w14:paraId="220DE40A" w14:textId="77777777" w:rsidR="00CC44F3" w:rsidRPr="00BF507E" w:rsidRDefault="00CC44F3" w:rsidP="00CC44F3">
      <w:pPr>
        <w:ind w:left="851"/>
        <w:rPr>
          <w:sz w:val="24"/>
          <w:szCs w:val="24"/>
        </w:rPr>
      </w:pPr>
    </w:p>
    <w:p w14:paraId="09F21247" w14:textId="77777777" w:rsidR="00CC44F3" w:rsidRPr="00BF507E" w:rsidRDefault="00CC44F3" w:rsidP="00CC44F3">
      <w:pPr>
        <w:ind w:left="851"/>
        <w:rPr>
          <w:sz w:val="24"/>
          <w:szCs w:val="24"/>
        </w:rPr>
      </w:pPr>
      <w:r w:rsidRPr="00BF507E">
        <w:rPr>
          <w:sz w:val="24"/>
          <w:szCs w:val="24"/>
        </w:rPr>
        <w:t>Hvis der er behov for en hurtig regulering af mavesyreniveauet, vil en startdosis på 2 x 80 mg pantoprazol være tilstrækkelig til at nedsætte syreproduktionen til målniveauet (&lt; 10 mEq/time) i løbet af en time hos de fleste patienter.</w:t>
      </w:r>
    </w:p>
    <w:p w14:paraId="26B3DB93" w14:textId="77777777" w:rsidR="00CC44F3" w:rsidRPr="00BF507E" w:rsidRDefault="00CC44F3" w:rsidP="00CC44F3">
      <w:pPr>
        <w:ind w:left="851"/>
        <w:rPr>
          <w:sz w:val="24"/>
          <w:szCs w:val="24"/>
        </w:rPr>
      </w:pPr>
    </w:p>
    <w:p w14:paraId="5CFB6F91" w14:textId="77777777" w:rsidR="00CC44F3" w:rsidRPr="00BF507E" w:rsidRDefault="00CC44F3" w:rsidP="00CC44F3">
      <w:pPr>
        <w:pStyle w:val="Ingenafstand"/>
        <w:ind w:left="851"/>
        <w:rPr>
          <w:sz w:val="24"/>
          <w:szCs w:val="24"/>
          <w:u w:val="single"/>
        </w:rPr>
      </w:pPr>
      <w:r w:rsidRPr="00BF507E">
        <w:rPr>
          <w:sz w:val="24"/>
          <w:szCs w:val="24"/>
          <w:u w:val="single"/>
        </w:rPr>
        <w:t>Særlige populationer</w:t>
      </w:r>
    </w:p>
    <w:p w14:paraId="34F3ED5C" w14:textId="77777777" w:rsidR="00CC44F3" w:rsidRPr="00BF507E" w:rsidRDefault="00CC44F3" w:rsidP="00CC44F3">
      <w:pPr>
        <w:ind w:left="851"/>
        <w:rPr>
          <w:i/>
          <w:sz w:val="24"/>
          <w:szCs w:val="24"/>
        </w:rPr>
      </w:pPr>
    </w:p>
    <w:p w14:paraId="0CE5BA8A" w14:textId="77777777" w:rsidR="00CC44F3" w:rsidRPr="00BF507E" w:rsidRDefault="00CC44F3" w:rsidP="00CC44F3">
      <w:pPr>
        <w:ind w:left="851"/>
        <w:rPr>
          <w:bCs/>
          <w:i/>
          <w:sz w:val="24"/>
          <w:szCs w:val="24"/>
        </w:rPr>
      </w:pPr>
      <w:r w:rsidRPr="00BF507E">
        <w:rPr>
          <w:i/>
          <w:sz w:val="24"/>
          <w:szCs w:val="24"/>
        </w:rPr>
        <w:t>Patienter med nedsat leverfunktion</w:t>
      </w:r>
    </w:p>
    <w:p w14:paraId="64320AFC" w14:textId="77777777" w:rsidR="00CC44F3" w:rsidRPr="00BF507E" w:rsidRDefault="00CC44F3" w:rsidP="00CC44F3">
      <w:pPr>
        <w:ind w:left="851"/>
        <w:rPr>
          <w:sz w:val="24"/>
          <w:szCs w:val="24"/>
        </w:rPr>
      </w:pPr>
      <w:r w:rsidRPr="00BF507E">
        <w:rPr>
          <w:sz w:val="24"/>
          <w:szCs w:val="24"/>
        </w:rPr>
        <w:t>Den daglige dosis bør ikke overstige 20 mg pantoprazol hos patienter, der lider af svært nedsat leverfunktion (se pkt. 4.4).</w:t>
      </w:r>
    </w:p>
    <w:p w14:paraId="6EDC50FE" w14:textId="77777777" w:rsidR="00CC44F3" w:rsidRPr="00BF507E" w:rsidRDefault="00CC44F3" w:rsidP="00CC44F3">
      <w:pPr>
        <w:ind w:left="851"/>
        <w:rPr>
          <w:iCs/>
          <w:sz w:val="24"/>
          <w:szCs w:val="24"/>
        </w:rPr>
      </w:pPr>
    </w:p>
    <w:p w14:paraId="151C0C40" w14:textId="77777777" w:rsidR="00CC44F3" w:rsidRPr="00BF507E" w:rsidRDefault="00CC44F3" w:rsidP="00CC44F3">
      <w:pPr>
        <w:ind w:left="851"/>
        <w:rPr>
          <w:bCs/>
          <w:i/>
          <w:sz w:val="24"/>
          <w:szCs w:val="24"/>
        </w:rPr>
      </w:pPr>
      <w:r w:rsidRPr="00BF507E">
        <w:rPr>
          <w:i/>
          <w:sz w:val="24"/>
          <w:szCs w:val="24"/>
        </w:rPr>
        <w:t>Patienter med nedsat nyrefunktion</w:t>
      </w:r>
    </w:p>
    <w:p w14:paraId="700E9CFC" w14:textId="77777777" w:rsidR="00CC44F3" w:rsidRPr="00BF507E" w:rsidRDefault="00CC44F3" w:rsidP="00CC44F3">
      <w:pPr>
        <w:ind w:left="851"/>
        <w:rPr>
          <w:sz w:val="24"/>
          <w:szCs w:val="24"/>
        </w:rPr>
      </w:pPr>
      <w:r w:rsidRPr="00BF507E">
        <w:rPr>
          <w:sz w:val="24"/>
          <w:szCs w:val="24"/>
        </w:rPr>
        <w:t>Der kræves ingen dosisjustering hos patienter med nedsat nyrefunktion (se pkt. 5.2).</w:t>
      </w:r>
    </w:p>
    <w:p w14:paraId="7BA9500D" w14:textId="77777777" w:rsidR="00CC44F3" w:rsidRPr="00BF507E" w:rsidRDefault="00CC44F3" w:rsidP="00CC44F3">
      <w:pPr>
        <w:ind w:left="851"/>
        <w:rPr>
          <w:i/>
          <w:sz w:val="24"/>
          <w:szCs w:val="24"/>
        </w:rPr>
      </w:pPr>
    </w:p>
    <w:p w14:paraId="29710121" w14:textId="77777777" w:rsidR="00CC44F3" w:rsidRPr="00BF507E" w:rsidRDefault="00CC44F3" w:rsidP="00CC44F3">
      <w:pPr>
        <w:ind w:left="851"/>
        <w:rPr>
          <w:i/>
          <w:sz w:val="24"/>
          <w:szCs w:val="24"/>
        </w:rPr>
      </w:pPr>
      <w:r w:rsidRPr="00BF507E">
        <w:rPr>
          <w:i/>
          <w:sz w:val="24"/>
          <w:szCs w:val="24"/>
        </w:rPr>
        <w:t>Ældre</w:t>
      </w:r>
    </w:p>
    <w:p w14:paraId="6F4512F2" w14:textId="77777777" w:rsidR="00CC44F3" w:rsidRPr="00BF507E" w:rsidRDefault="00CC44F3" w:rsidP="00CC44F3">
      <w:pPr>
        <w:ind w:left="851"/>
        <w:rPr>
          <w:sz w:val="24"/>
          <w:szCs w:val="24"/>
        </w:rPr>
      </w:pPr>
      <w:r w:rsidRPr="00BF507E">
        <w:rPr>
          <w:sz w:val="24"/>
          <w:szCs w:val="24"/>
        </w:rPr>
        <w:t>Der kræves ingen dosisjustering hos ældre patienter (se pkt. 5.2).</w:t>
      </w:r>
    </w:p>
    <w:p w14:paraId="47F4C473" w14:textId="77777777" w:rsidR="00CC44F3" w:rsidRPr="00BF507E" w:rsidRDefault="00CC44F3" w:rsidP="00CC44F3">
      <w:pPr>
        <w:ind w:left="851"/>
        <w:rPr>
          <w:sz w:val="24"/>
          <w:szCs w:val="24"/>
        </w:rPr>
      </w:pPr>
    </w:p>
    <w:p w14:paraId="14215768" w14:textId="77777777" w:rsidR="00CC44F3" w:rsidRPr="00BF507E" w:rsidRDefault="00CC44F3" w:rsidP="00CC44F3">
      <w:pPr>
        <w:ind w:left="851"/>
        <w:rPr>
          <w:i/>
          <w:sz w:val="24"/>
          <w:szCs w:val="24"/>
        </w:rPr>
      </w:pPr>
      <w:r w:rsidRPr="00BF507E">
        <w:rPr>
          <w:i/>
          <w:sz w:val="24"/>
          <w:szCs w:val="24"/>
        </w:rPr>
        <w:t>Pædiatrisk population</w:t>
      </w:r>
    </w:p>
    <w:p w14:paraId="5E22EC46" w14:textId="77777777" w:rsidR="00CC44F3" w:rsidRPr="00BF507E" w:rsidRDefault="00CC44F3" w:rsidP="00CC44F3">
      <w:pPr>
        <w:ind w:left="851"/>
        <w:rPr>
          <w:sz w:val="24"/>
          <w:szCs w:val="24"/>
        </w:rPr>
      </w:pPr>
      <w:r w:rsidRPr="00BF507E">
        <w:rPr>
          <w:sz w:val="24"/>
          <w:szCs w:val="24"/>
        </w:rPr>
        <w:t>Pantoprazols</w:t>
      </w:r>
      <w:bookmarkStart w:id="2" w:name="_Hlk87339777"/>
      <w:r w:rsidRPr="00BF507E">
        <w:rPr>
          <w:sz w:val="24"/>
          <w:szCs w:val="24"/>
        </w:rPr>
        <w:t xml:space="preserve"> sikkerhed og virkning</w:t>
      </w:r>
      <w:bookmarkEnd w:id="2"/>
      <w:r w:rsidRPr="00BF507E">
        <w:rPr>
          <w:sz w:val="24"/>
          <w:szCs w:val="24"/>
        </w:rPr>
        <w:t xml:space="preserve"> administreret intravenøst hos børn i alderen under 18 år</w:t>
      </w:r>
      <w:bookmarkStart w:id="3" w:name="_Hlk87339782"/>
      <w:r w:rsidRPr="00BF507E">
        <w:rPr>
          <w:sz w:val="24"/>
          <w:szCs w:val="24"/>
        </w:rPr>
        <w:t xml:space="preserve"> er ikke klarlagt.</w:t>
      </w:r>
      <w:bookmarkEnd w:id="3"/>
      <w:r w:rsidRPr="00BF507E">
        <w:rPr>
          <w:sz w:val="24"/>
          <w:szCs w:val="24"/>
        </w:rPr>
        <w:t xml:space="preserve"> Pantoprazol bør derfor ikke anvendes til børn i alderen under 18 år. De foreliggende data er beskrevet i pkt. 5.2, men der kan ikke gives nogen anbefalinger vedrørende dosering.</w:t>
      </w:r>
    </w:p>
    <w:p w14:paraId="7CCF1BCF" w14:textId="77777777" w:rsidR="00CC44F3" w:rsidRPr="00BF507E" w:rsidRDefault="00CC44F3" w:rsidP="00CC44F3">
      <w:pPr>
        <w:ind w:left="851"/>
        <w:rPr>
          <w:sz w:val="24"/>
          <w:szCs w:val="24"/>
        </w:rPr>
      </w:pPr>
    </w:p>
    <w:p w14:paraId="306AC0FF" w14:textId="77777777" w:rsidR="00CC44F3" w:rsidRPr="0050311F" w:rsidRDefault="00CC44F3" w:rsidP="00CC44F3">
      <w:pPr>
        <w:ind w:left="851"/>
        <w:rPr>
          <w:b/>
          <w:sz w:val="24"/>
          <w:szCs w:val="24"/>
        </w:rPr>
      </w:pPr>
      <w:r w:rsidRPr="0050311F">
        <w:rPr>
          <w:b/>
          <w:sz w:val="24"/>
          <w:szCs w:val="24"/>
        </w:rPr>
        <w:t>Administration</w:t>
      </w:r>
    </w:p>
    <w:p w14:paraId="23213B11" w14:textId="77777777" w:rsidR="00CC44F3" w:rsidRPr="00BF507E" w:rsidRDefault="00CC44F3" w:rsidP="00CC44F3">
      <w:pPr>
        <w:ind w:left="851"/>
        <w:rPr>
          <w:sz w:val="24"/>
          <w:szCs w:val="24"/>
        </w:rPr>
      </w:pPr>
      <w:r w:rsidRPr="00BF507E">
        <w:rPr>
          <w:sz w:val="24"/>
          <w:szCs w:val="24"/>
        </w:rPr>
        <w:t>Intravenøs anvendelse.</w:t>
      </w:r>
    </w:p>
    <w:p w14:paraId="4CE3B518" w14:textId="77777777" w:rsidR="00CC44F3" w:rsidRPr="00BF507E" w:rsidRDefault="00CC44F3" w:rsidP="00CC44F3">
      <w:pPr>
        <w:ind w:left="851"/>
        <w:rPr>
          <w:sz w:val="24"/>
          <w:szCs w:val="24"/>
        </w:rPr>
      </w:pPr>
    </w:p>
    <w:p w14:paraId="56A74337" w14:textId="77777777" w:rsidR="00CC44F3" w:rsidRPr="00BF507E" w:rsidRDefault="00CC44F3" w:rsidP="00CC44F3">
      <w:pPr>
        <w:ind w:left="851"/>
        <w:rPr>
          <w:sz w:val="24"/>
          <w:szCs w:val="24"/>
        </w:rPr>
      </w:pPr>
      <w:r w:rsidRPr="00BF507E">
        <w:rPr>
          <w:sz w:val="24"/>
          <w:szCs w:val="24"/>
        </w:rPr>
        <w:t>Dette lægemiddel skal rekonstitueres eller rekonstitueres og fortyndes før brug. Det skal administreres intravenøst over 2-15 minutter.</w:t>
      </w:r>
    </w:p>
    <w:p w14:paraId="69CA8B97" w14:textId="77777777" w:rsidR="00CC44F3" w:rsidRPr="00BF507E" w:rsidRDefault="00CC44F3" w:rsidP="00CC44F3">
      <w:pPr>
        <w:ind w:left="851"/>
        <w:rPr>
          <w:sz w:val="24"/>
          <w:szCs w:val="24"/>
        </w:rPr>
      </w:pPr>
    </w:p>
    <w:p w14:paraId="1A5A0E4D" w14:textId="77777777" w:rsidR="00CC44F3" w:rsidRPr="00BF507E" w:rsidRDefault="00CC44F3" w:rsidP="00CC44F3">
      <w:pPr>
        <w:ind w:left="851"/>
        <w:rPr>
          <w:sz w:val="24"/>
          <w:szCs w:val="24"/>
        </w:rPr>
      </w:pPr>
      <w:r w:rsidRPr="00BF507E">
        <w:rPr>
          <w:sz w:val="24"/>
          <w:szCs w:val="24"/>
        </w:rPr>
        <w:t>For instruktioner om rekonstitution eller rekonstitution og fortynding af lægemidlet før administration, se pkt. 6.6.</w:t>
      </w:r>
    </w:p>
    <w:p w14:paraId="0BE36FC6" w14:textId="77777777" w:rsidR="00CC44F3" w:rsidRPr="00BF507E" w:rsidRDefault="00CC44F3" w:rsidP="00CC44F3">
      <w:pPr>
        <w:ind w:left="851"/>
        <w:rPr>
          <w:sz w:val="24"/>
          <w:szCs w:val="24"/>
        </w:rPr>
      </w:pPr>
    </w:p>
    <w:p w14:paraId="47C44A3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AF803C7" w14:textId="77777777" w:rsidR="00165A34" w:rsidRPr="00165A34" w:rsidRDefault="00165A34" w:rsidP="00165A34">
      <w:pPr>
        <w:tabs>
          <w:tab w:val="left" w:pos="851"/>
        </w:tabs>
        <w:ind w:left="851"/>
        <w:rPr>
          <w:sz w:val="24"/>
          <w:szCs w:val="24"/>
        </w:rPr>
      </w:pPr>
      <w:r w:rsidRPr="00165A34">
        <w:rPr>
          <w:sz w:val="24"/>
          <w:szCs w:val="24"/>
        </w:rPr>
        <w:t>Overfølsomhed over for det aktive stof, substituerede benzimidazoler eller over for et eller flere af hjælpestofferne anført i pkt. 6.1.</w:t>
      </w:r>
    </w:p>
    <w:p w14:paraId="67B58F34" w14:textId="496AA9CC" w:rsidR="00165A34" w:rsidRDefault="00165A34">
      <w:pPr>
        <w:rPr>
          <w:sz w:val="24"/>
          <w:szCs w:val="24"/>
        </w:rPr>
      </w:pPr>
      <w:r>
        <w:rPr>
          <w:sz w:val="24"/>
          <w:szCs w:val="24"/>
        </w:rPr>
        <w:br w:type="page"/>
      </w:r>
    </w:p>
    <w:p w14:paraId="1C00E2C9" w14:textId="77777777" w:rsidR="00165A34" w:rsidRPr="00165A34" w:rsidRDefault="00165A34" w:rsidP="00165A34">
      <w:pPr>
        <w:tabs>
          <w:tab w:val="left" w:pos="851"/>
        </w:tabs>
        <w:ind w:left="851"/>
        <w:rPr>
          <w:sz w:val="24"/>
          <w:szCs w:val="24"/>
        </w:rPr>
      </w:pPr>
    </w:p>
    <w:p w14:paraId="14AF73A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7BD689A" w14:textId="77777777" w:rsidR="00165A34" w:rsidRPr="00BF507E" w:rsidRDefault="00165A34" w:rsidP="00165A34">
      <w:pPr>
        <w:ind w:left="851"/>
        <w:rPr>
          <w:sz w:val="24"/>
          <w:szCs w:val="24"/>
        </w:rPr>
      </w:pPr>
    </w:p>
    <w:p w14:paraId="7862A885" w14:textId="77777777" w:rsidR="00165A34" w:rsidRPr="00BF507E" w:rsidRDefault="00165A34" w:rsidP="00165A34">
      <w:pPr>
        <w:ind w:left="851"/>
        <w:rPr>
          <w:sz w:val="24"/>
          <w:szCs w:val="24"/>
          <w:u w:val="single"/>
        </w:rPr>
      </w:pPr>
      <w:r w:rsidRPr="00BF507E">
        <w:rPr>
          <w:sz w:val="24"/>
          <w:szCs w:val="24"/>
          <w:u w:val="single"/>
        </w:rPr>
        <w:t>Gastrisk malignitet</w:t>
      </w:r>
    </w:p>
    <w:p w14:paraId="7BE7E894" w14:textId="77777777" w:rsidR="00165A34" w:rsidRPr="00BF507E" w:rsidRDefault="00165A34" w:rsidP="00165A34">
      <w:pPr>
        <w:ind w:left="851"/>
        <w:rPr>
          <w:sz w:val="24"/>
          <w:szCs w:val="24"/>
        </w:rPr>
      </w:pPr>
      <w:r w:rsidRPr="00BF507E">
        <w:rPr>
          <w:sz w:val="24"/>
          <w:szCs w:val="24"/>
        </w:rPr>
        <w:t>Symptomatisk respons på pantoprazol kan maskere symptomerne på gastrisk malignitet og derved forsinke diagnosen. Ved tilstedeværelsen af alarmerende symptomer (f.eks. væsentligt og utilsigtet vægttab, tilbagevendende opkastning, dysfagi, hæmatemese, anæmi eller melæna) samt ved formodet eller påvist ulcus ventriculi skal malign sygdom udelukkes.</w:t>
      </w:r>
    </w:p>
    <w:p w14:paraId="0AD2761F" w14:textId="77777777" w:rsidR="00165A34" w:rsidRPr="00BF507E" w:rsidRDefault="00165A34" w:rsidP="00165A34">
      <w:pPr>
        <w:ind w:left="851"/>
        <w:rPr>
          <w:sz w:val="24"/>
          <w:szCs w:val="24"/>
        </w:rPr>
      </w:pPr>
      <w:r w:rsidRPr="00BF507E">
        <w:rPr>
          <w:sz w:val="24"/>
          <w:szCs w:val="24"/>
        </w:rPr>
        <w:t>Hvis symptomerne trods adækvat behandling varer ved, skal yderligere udredning overvejes.</w:t>
      </w:r>
    </w:p>
    <w:p w14:paraId="470A3C95" w14:textId="77777777" w:rsidR="00165A34" w:rsidRPr="00BF507E" w:rsidRDefault="00165A34" w:rsidP="00165A34">
      <w:pPr>
        <w:ind w:left="851"/>
        <w:rPr>
          <w:sz w:val="24"/>
          <w:szCs w:val="24"/>
        </w:rPr>
      </w:pPr>
    </w:p>
    <w:p w14:paraId="6EC2F83E" w14:textId="77777777" w:rsidR="00165A34" w:rsidRPr="00BF507E" w:rsidRDefault="00165A34" w:rsidP="00165A34">
      <w:pPr>
        <w:ind w:left="851"/>
        <w:rPr>
          <w:sz w:val="24"/>
          <w:szCs w:val="24"/>
          <w:u w:val="single"/>
        </w:rPr>
      </w:pPr>
      <w:r w:rsidRPr="00BF507E">
        <w:rPr>
          <w:sz w:val="24"/>
          <w:szCs w:val="24"/>
          <w:u w:val="single"/>
        </w:rPr>
        <w:t>Nedsat leverfunktion</w:t>
      </w:r>
    </w:p>
    <w:p w14:paraId="48BA53BD" w14:textId="77777777" w:rsidR="00165A34" w:rsidRPr="00BF507E" w:rsidRDefault="00165A34" w:rsidP="00165A34">
      <w:pPr>
        <w:ind w:left="851"/>
        <w:rPr>
          <w:sz w:val="24"/>
          <w:szCs w:val="24"/>
        </w:rPr>
      </w:pPr>
      <w:r w:rsidRPr="00BF507E">
        <w:rPr>
          <w:sz w:val="24"/>
          <w:szCs w:val="24"/>
        </w:rPr>
        <w:t>Hos patienter med svært nedsat leverfunktion bør leverenzymerne monitoreres under behandlingen. Hvis antallet af leverenzymer stiger, skal behandlingen seponeres (se pkt. 4.2).</w:t>
      </w:r>
    </w:p>
    <w:p w14:paraId="2F2B652F" w14:textId="77777777" w:rsidR="00165A34" w:rsidRPr="00BF507E" w:rsidRDefault="00165A34" w:rsidP="00165A34">
      <w:pPr>
        <w:ind w:left="851"/>
        <w:rPr>
          <w:sz w:val="24"/>
          <w:szCs w:val="24"/>
        </w:rPr>
      </w:pPr>
    </w:p>
    <w:p w14:paraId="2ED588A7" w14:textId="77777777" w:rsidR="00165A34" w:rsidRPr="00BF507E" w:rsidRDefault="00165A34" w:rsidP="00165A34">
      <w:pPr>
        <w:ind w:left="851"/>
        <w:rPr>
          <w:sz w:val="24"/>
          <w:szCs w:val="24"/>
          <w:u w:val="single"/>
        </w:rPr>
      </w:pPr>
      <w:r w:rsidRPr="00BF507E">
        <w:rPr>
          <w:sz w:val="24"/>
          <w:szCs w:val="24"/>
          <w:u w:val="single"/>
        </w:rPr>
        <w:t>Samtidig behandling med HIV-proteasehæmmere</w:t>
      </w:r>
    </w:p>
    <w:p w14:paraId="50E83A92" w14:textId="77777777" w:rsidR="00165A34" w:rsidRPr="00BF507E" w:rsidRDefault="00165A34" w:rsidP="00165A34">
      <w:pPr>
        <w:ind w:left="851"/>
        <w:rPr>
          <w:sz w:val="24"/>
          <w:szCs w:val="24"/>
        </w:rPr>
      </w:pPr>
      <w:r w:rsidRPr="00BF507E">
        <w:rPr>
          <w:sz w:val="24"/>
          <w:szCs w:val="24"/>
        </w:rPr>
        <w:t>Samtidig behandling med pantoprazol og HIV-proteasehæmmere (som f.eks. atazanavir), hvis absorbtion er afhængig af en lav mavesyre-pH, frarådes på grund af den kraftigt reducerede biotilgængelighed (se pkt. 4.5).</w:t>
      </w:r>
    </w:p>
    <w:p w14:paraId="781BCCF3" w14:textId="77777777" w:rsidR="00165A34" w:rsidRPr="00BF507E" w:rsidRDefault="00165A34" w:rsidP="00165A34">
      <w:pPr>
        <w:ind w:left="851"/>
        <w:rPr>
          <w:sz w:val="24"/>
          <w:szCs w:val="24"/>
        </w:rPr>
      </w:pPr>
    </w:p>
    <w:p w14:paraId="5D928548" w14:textId="77777777" w:rsidR="00165A34" w:rsidRPr="00BF507E" w:rsidRDefault="00165A34" w:rsidP="00165A34">
      <w:pPr>
        <w:ind w:left="851"/>
        <w:rPr>
          <w:sz w:val="24"/>
          <w:szCs w:val="24"/>
          <w:u w:val="single"/>
        </w:rPr>
      </w:pPr>
      <w:r w:rsidRPr="00BF507E">
        <w:rPr>
          <w:sz w:val="24"/>
          <w:szCs w:val="24"/>
          <w:u w:val="single"/>
        </w:rPr>
        <w:t>Gastroenteritis forårsaget af bakterier</w:t>
      </w:r>
    </w:p>
    <w:p w14:paraId="590FF080" w14:textId="77777777" w:rsidR="00165A34" w:rsidRPr="00BF507E" w:rsidRDefault="00165A34" w:rsidP="00165A34">
      <w:pPr>
        <w:ind w:left="851"/>
        <w:rPr>
          <w:sz w:val="24"/>
          <w:szCs w:val="24"/>
        </w:rPr>
      </w:pPr>
      <w:r w:rsidRPr="00BF507E">
        <w:rPr>
          <w:sz w:val="24"/>
          <w:szCs w:val="24"/>
        </w:rPr>
        <w:t xml:space="preserve">Behandling med pantoprazol kan føre til en let øget risiko for gastroenteritis forårsaget af bakterier som Salmonella, Campylobaktor eller </w:t>
      </w:r>
      <w:r w:rsidRPr="00BF507E">
        <w:rPr>
          <w:i/>
          <w:sz w:val="24"/>
          <w:szCs w:val="24"/>
        </w:rPr>
        <w:t>C. difficile</w:t>
      </w:r>
      <w:r w:rsidRPr="00BF507E">
        <w:rPr>
          <w:sz w:val="24"/>
          <w:szCs w:val="24"/>
        </w:rPr>
        <w:t>.</w:t>
      </w:r>
    </w:p>
    <w:p w14:paraId="538A3411" w14:textId="77777777" w:rsidR="00165A34" w:rsidRPr="00BF507E" w:rsidRDefault="00165A34" w:rsidP="00165A34">
      <w:pPr>
        <w:ind w:left="851"/>
        <w:rPr>
          <w:sz w:val="24"/>
          <w:szCs w:val="24"/>
        </w:rPr>
      </w:pPr>
    </w:p>
    <w:p w14:paraId="77FC5AA5" w14:textId="77777777" w:rsidR="00165A34" w:rsidRPr="00BF507E" w:rsidRDefault="00165A34" w:rsidP="00165A34">
      <w:pPr>
        <w:ind w:left="851"/>
        <w:rPr>
          <w:sz w:val="24"/>
          <w:szCs w:val="24"/>
          <w:u w:val="single"/>
        </w:rPr>
      </w:pPr>
      <w:r w:rsidRPr="00BF507E">
        <w:rPr>
          <w:sz w:val="24"/>
          <w:szCs w:val="24"/>
          <w:u w:val="single"/>
        </w:rPr>
        <w:t>Hypomagnesiæmi</w:t>
      </w:r>
    </w:p>
    <w:p w14:paraId="272E706B" w14:textId="77777777" w:rsidR="00165A34" w:rsidRPr="00BF507E" w:rsidRDefault="00165A34" w:rsidP="00165A34">
      <w:pPr>
        <w:ind w:left="851"/>
        <w:rPr>
          <w:sz w:val="24"/>
          <w:szCs w:val="24"/>
        </w:rPr>
      </w:pPr>
      <w:r w:rsidRPr="00BF507E">
        <w:rPr>
          <w:sz w:val="24"/>
          <w:szCs w:val="24"/>
        </w:rPr>
        <w:t>Der er kun sjældent rapporteret om alvorlig hypomagnesiæmi hos patienter, der er blevet behandlet med protonpumpehæmmere (PPI’er), som f.eks for pantoprazol, i mindst tre måneder, men i de fleste tilfælde i et år. Alvorlige tegn på hypomagnesiæmi, som f.eks. træthed, tetani, delirium, kramper, svimmelhed og ventrikulær arytmi, kan forekomme, men disse kan komme snigende og let blive overset. Hypomagnesiæmi kan føre til hypokalcæmi og/eller hypokaliæmi (se pkt. 4.8). Hos de fleste patienter forbedres hypomagnesiæmien (og hypomagnesiæmi-associeret hypokalcæmi og/eller hypokaliæmi) efter magnesiumtilskud og seponering af PPI.</w:t>
      </w:r>
    </w:p>
    <w:p w14:paraId="3B9B71BE" w14:textId="77777777" w:rsidR="00165A34" w:rsidRPr="00BF507E" w:rsidRDefault="00165A34" w:rsidP="00165A34">
      <w:pPr>
        <w:ind w:left="851"/>
        <w:rPr>
          <w:sz w:val="24"/>
          <w:szCs w:val="24"/>
        </w:rPr>
      </w:pPr>
      <w:r w:rsidRPr="00BF507E">
        <w:rPr>
          <w:sz w:val="24"/>
          <w:szCs w:val="24"/>
        </w:rPr>
        <w:t>Hos patienter, som forventes at være i behandling over længere tid, eller som tager PPI’er sammen med digoxin eller lægemidler, der kan forårsage hypomagnesiæmi (f.eks. diuretika), bør det overvejes at måle magnesiumniveauet, inden behandlingen med PPI’er påbegyndes, samt regelmæssigt i løbet af behandlingen.</w:t>
      </w:r>
    </w:p>
    <w:p w14:paraId="55675AB1" w14:textId="77777777" w:rsidR="00165A34" w:rsidRPr="00BF507E" w:rsidRDefault="00165A34" w:rsidP="00165A34">
      <w:pPr>
        <w:ind w:left="851"/>
        <w:rPr>
          <w:sz w:val="24"/>
          <w:szCs w:val="24"/>
        </w:rPr>
      </w:pPr>
    </w:p>
    <w:p w14:paraId="790F1BE1" w14:textId="77777777" w:rsidR="00165A34" w:rsidRPr="00BF507E" w:rsidRDefault="00165A34" w:rsidP="00165A34">
      <w:pPr>
        <w:ind w:left="851"/>
        <w:rPr>
          <w:sz w:val="24"/>
          <w:szCs w:val="24"/>
          <w:u w:val="single"/>
        </w:rPr>
      </w:pPr>
      <w:r w:rsidRPr="00BF507E">
        <w:rPr>
          <w:sz w:val="24"/>
          <w:szCs w:val="24"/>
          <w:u w:val="single"/>
        </w:rPr>
        <w:t>Knoglefrakturer</w:t>
      </w:r>
    </w:p>
    <w:p w14:paraId="53AD6FF0" w14:textId="77777777" w:rsidR="00165A34" w:rsidRPr="00BF507E" w:rsidRDefault="00165A34" w:rsidP="00165A34">
      <w:pPr>
        <w:ind w:left="851"/>
        <w:rPr>
          <w:sz w:val="24"/>
          <w:szCs w:val="24"/>
        </w:rPr>
      </w:pPr>
      <w:r w:rsidRPr="00BF507E">
        <w:rPr>
          <w:sz w:val="24"/>
          <w:szCs w:val="24"/>
        </w:rPr>
        <w:t>Protonpumpehæmmere kan, især ved langtidsbehandling med høje doser (over 1 år), i mindre grad øge risikoen for hofte-, håndleds- og rygsøjlefrakturer hos især ældre eller ved tilstedeværelsen af andre kendte risikofaktorer. Observationsstudier indikerer, at protonpumpehæmmere kan øge den samlede risiko for fraktur med 10</w:t>
      </w:r>
      <w:r w:rsidRPr="00BF507E">
        <w:rPr>
          <w:sz w:val="24"/>
          <w:szCs w:val="24"/>
        </w:rPr>
        <w:noBreakHyphen/>
        <w:t>40 %. En del af denne risikoforøgelse kan skyldes andre risikofaktorer. Patienter med risiko for osteoporose skal behandles i henhold til de gældende kliniske retningslinjer, og de bør have et tilstrækkeligt indtag af vitamin D og calcium.</w:t>
      </w:r>
    </w:p>
    <w:p w14:paraId="3FAC24ED" w14:textId="6908ED2B" w:rsidR="00165A34" w:rsidRDefault="00165A34">
      <w:pPr>
        <w:rPr>
          <w:sz w:val="24"/>
          <w:szCs w:val="24"/>
        </w:rPr>
      </w:pPr>
      <w:r>
        <w:rPr>
          <w:sz w:val="24"/>
          <w:szCs w:val="24"/>
        </w:rPr>
        <w:br w:type="page"/>
      </w:r>
    </w:p>
    <w:p w14:paraId="167F74A6" w14:textId="77777777" w:rsidR="00165A34" w:rsidRPr="00BF507E" w:rsidRDefault="00165A34" w:rsidP="00165A34">
      <w:pPr>
        <w:ind w:left="851"/>
        <w:rPr>
          <w:sz w:val="24"/>
          <w:szCs w:val="24"/>
        </w:rPr>
      </w:pPr>
    </w:p>
    <w:p w14:paraId="4A1170AA" w14:textId="77777777" w:rsidR="00165A34" w:rsidRPr="00BF507E" w:rsidRDefault="00165A34" w:rsidP="00165A34">
      <w:pPr>
        <w:ind w:left="851"/>
        <w:rPr>
          <w:sz w:val="24"/>
          <w:szCs w:val="24"/>
          <w:u w:val="single"/>
          <w:lang w:val="fi-FI"/>
        </w:rPr>
      </w:pPr>
      <w:r w:rsidRPr="00BF507E">
        <w:rPr>
          <w:sz w:val="24"/>
          <w:szCs w:val="24"/>
          <w:u w:val="single"/>
          <w:lang w:val="fi-FI"/>
        </w:rPr>
        <w:t>Subakut kutan lupus erythematosus (SCLE)</w:t>
      </w:r>
    </w:p>
    <w:p w14:paraId="1A1BF80F" w14:textId="77777777" w:rsidR="00165A34" w:rsidRPr="00BF507E" w:rsidRDefault="00165A34" w:rsidP="00165A34">
      <w:pPr>
        <w:ind w:left="851"/>
        <w:rPr>
          <w:sz w:val="24"/>
          <w:szCs w:val="24"/>
        </w:rPr>
      </w:pPr>
      <w:r w:rsidRPr="00BF507E">
        <w:rPr>
          <w:sz w:val="24"/>
          <w:szCs w:val="24"/>
        </w:rPr>
        <w:t xml:space="preserve">Protonpumpehæmmere er forbundet med meget sjældne tilfælde af SCLE. Hvis der optræder læsioner, navnlig på hudområder, som er udsat for sol, og disse er ledsaget af artralgi, skal patienten straks søge læge, som bør overveje at seponere </w:t>
      </w:r>
      <w:r>
        <w:rPr>
          <w:sz w:val="24"/>
          <w:szCs w:val="24"/>
        </w:rPr>
        <w:t>Pantoprazol "Kalceks"</w:t>
      </w:r>
      <w:r w:rsidRPr="00BF507E">
        <w:rPr>
          <w:sz w:val="24"/>
          <w:szCs w:val="24"/>
        </w:rPr>
        <w:t>. SCLE, der er opstået efter tidligere behandling med en protonpumpehæmmer, kan øge risikoen for SCLE med andre protonpumpehæmmere.</w:t>
      </w:r>
    </w:p>
    <w:p w14:paraId="3E082A2C" w14:textId="77777777" w:rsidR="00165A34" w:rsidRPr="00BF507E" w:rsidRDefault="00165A34" w:rsidP="00165A34">
      <w:pPr>
        <w:ind w:left="851"/>
        <w:rPr>
          <w:sz w:val="24"/>
          <w:szCs w:val="24"/>
        </w:rPr>
      </w:pPr>
    </w:p>
    <w:p w14:paraId="5A46A1D7" w14:textId="77777777" w:rsidR="00165A34" w:rsidRPr="00BF507E" w:rsidRDefault="00165A34" w:rsidP="00165A34">
      <w:pPr>
        <w:ind w:left="851"/>
        <w:rPr>
          <w:sz w:val="24"/>
          <w:szCs w:val="24"/>
          <w:u w:val="single"/>
        </w:rPr>
      </w:pPr>
      <w:r w:rsidRPr="00BF507E">
        <w:rPr>
          <w:sz w:val="24"/>
          <w:szCs w:val="24"/>
          <w:u w:val="single"/>
        </w:rPr>
        <w:t>Interferens med laboratorieprøver</w:t>
      </w:r>
    </w:p>
    <w:p w14:paraId="62BB965C" w14:textId="77777777" w:rsidR="00165A34" w:rsidRPr="00BF507E" w:rsidRDefault="00165A34" w:rsidP="00165A34">
      <w:pPr>
        <w:ind w:left="851"/>
        <w:rPr>
          <w:sz w:val="24"/>
          <w:szCs w:val="24"/>
        </w:rPr>
      </w:pPr>
      <w:r w:rsidRPr="00BF507E">
        <w:rPr>
          <w:sz w:val="24"/>
          <w:szCs w:val="24"/>
        </w:rPr>
        <w:t xml:space="preserve">Et forhøjet chromogranin A (CgA)-niveau kan interferere med undersøgelser for neuroendokrine tumorer. For at undgå denne interferens bør behandlingen med </w:t>
      </w:r>
      <w:r>
        <w:rPr>
          <w:sz w:val="24"/>
          <w:szCs w:val="24"/>
        </w:rPr>
        <w:t>Pantoprazol "Kalceks"</w:t>
      </w:r>
      <w:r w:rsidRPr="00BF507E">
        <w:rPr>
          <w:sz w:val="24"/>
          <w:szCs w:val="24"/>
        </w:rPr>
        <w:t xml:space="preserve"> afbrydes mindst 5 dage inden måling af CgA (se pkt. 5.1). Hvis CgA- og gastrin-niveauet ikke er vendt tilbage til referenceområdet efter den første måling, bør målingen gentages 14 dage efter seponering af behandlingen med protonpumpehæmmeren.</w:t>
      </w:r>
    </w:p>
    <w:p w14:paraId="51843EC8" w14:textId="77777777" w:rsidR="00165A34" w:rsidRPr="00BF507E" w:rsidRDefault="00165A34" w:rsidP="00165A34">
      <w:pPr>
        <w:ind w:left="851"/>
        <w:rPr>
          <w:sz w:val="24"/>
          <w:szCs w:val="24"/>
        </w:rPr>
      </w:pPr>
    </w:p>
    <w:p w14:paraId="5969660E" w14:textId="77777777" w:rsidR="00165A34" w:rsidRPr="00BF507E" w:rsidRDefault="00165A34" w:rsidP="00165A34">
      <w:pPr>
        <w:ind w:left="851"/>
        <w:rPr>
          <w:sz w:val="24"/>
          <w:szCs w:val="24"/>
          <w:u w:val="single"/>
        </w:rPr>
      </w:pPr>
      <w:r w:rsidRPr="00BF507E">
        <w:rPr>
          <w:sz w:val="24"/>
          <w:szCs w:val="24"/>
          <w:u w:val="single"/>
        </w:rPr>
        <w:t>Hjælpestoffer</w:t>
      </w:r>
    </w:p>
    <w:p w14:paraId="3B7D1A67" w14:textId="6B50AD8B" w:rsidR="00165A34" w:rsidRPr="00BF507E" w:rsidRDefault="00165A34" w:rsidP="00165A34">
      <w:pPr>
        <w:ind w:left="851"/>
        <w:rPr>
          <w:sz w:val="24"/>
          <w:szCs w:val="24"/>
        </w:rPr>
      </w:pPr>
      <w:r w:rsidRPr="00BF507E">
        <w:rPr>
          <w:sz w:val="24"/>
          <w:szCs w:val="24"/>
        </w:rPr>
        <w:t>Dette lægemiddel indeholder mindre end 1 mmol (23 mg) natrium pr. hætteglas, dvs. de</w:t>
      </w:r>
      <w:r w:rsidR="00781309">
        <w:rPr>
          <w:sz w:val="24"/>
          <w:szCs w:val="24"/>
        </w:rPr>
        <w:t>t</w:t>
      </w:r>
      <w:r w:rsidRPr="00BF507E">
        <w:rPr>
          <w:sz w:val="24"/>
          <w:szCs w:val="24"/>
        </w:rPr>
        <w:t xml:space="preserve"> er i det væsentlige natriumfrit.</w:t>
      </w:r>
    </w:p>
    <w:p w14:paraId="22A6CA27" w14:textId="77777777" w:rsidR="009260DE" w:rsidRPr="00C84483" w:rsidRDefault="009260DE" w:rsidP="009260DE">
      <w:pPr>
        <w:tabs>
          <w:tab w:val="left" w:pos="851"/>
        </w:tabs>
        <w:ind w:left="851"/>
        <w:rPr>
          <w:sz w:val="24"/>
          <w:szCs w:val="24"/>
        </w:rPr>
      </w:pPr>
    </w:p>
    <w:p w14:paraId="73A5F97B"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8267FEB" w14:textId="77777777" w:rsidR="00302FC8" w:rsidRPr="00BF507E" w:rsidRDefault="00302FC8" w:rsidP="00302FC8">
      <w:pPr>
        <w:ind w:left="851"/>
        <w:rPr>
          <w:sz w:val="24"/>
          <w:szCs w:val="24"/>
        </w:rPr>
      </w:pPr>
    </w:p>
    <w:p w14:paraId="380619F3" w14:textId="77777777" w:rsidR="00302FC8" w:rsidRPr="00BF507E" w:rsidRDefault="00302FC8" w:rsidP="00302FC8">
      <w:pPr>
        <w:ind w:left="851"/>
        <w:rPr>
          <w:sz w:val="24"/>
          <w:szCs w:val="24"/>
          <w:u w:val="single"/>
        </w:rPr>
      </w:pPr>
      <w:r w:rsidRPr="00BF507E">
        <w:rPr>
          <w:sz w:val="24"/>
          <w:szCs w:val="24"/>
          <w:u w:val="single"/>
        </w:rPr>
        <w:t>Lægemidler med pH-afhængig absorptionsfarmakokinetik</w:t>
      </w:r>
    </w:p>
    <w:p w14:paraId="5D1E4AA7" w14:textId="77777777" w:rsidR="00302FC8" w:rsidRPr="00BF507E" w:rsidRDefault="00302FC8" w:rsidP="00302FC8">
      <w:pPr>
        <w:ind w:left="851"/>
        <w:rPr>
          <w:sz w:val="24"/>
          <w:szCs w:val="24"/>
        </w:rPr>
      </w:pPr>
      <w:r w:rsidRPr="00BF507E">
        <w:rPr>
          <w:sz w:val="24"/>
          <w:szCs w:val="24"/>
        </w:rPr>
        <w:t>På grund af omfattende og langvarig hæmning af mavesyresekretionen kan pantoprazol reducere absorptionen af lægemidler, hvis orale biotilgængelighed beror på en lav mavesyre-pH (f.eks. visse antimykotika af azoltypen som ketoconazol, itraconazol, posaconazol og andre lægemidler, f.eks erlotinib).</w:t>
      </w:r>
    </w:p>
    <w:p w14:paraId="6E22DE87" w14:textId="77777777" w:rsidR="00302FC8" w:rsidRPr="00BF507E" w:rsidRDefault="00302FC8" w:rsidP="00302FC8">
      <w:pPr>
        <w:ind w:left="851"/>
        <w:rPr>
          <w:sz w:val="24"/>
          <w:szCs w:val="24"/>
        </w:rPr>
      </w:pPr>
    </w:p>
    <w:p w14:paraId="4ABFD688" w14:textId="77777777" w:rsidR="00302FC8" w:rsidRPr="00BF507E" w:rsidRDefault="00302FC8" w:rsidP="00302FC8">
      <w:pPr>
        <w:ind w:left="851"/>
        <w:rPr>
          <w:sz w:val="24"/>
          <w:szCs w:val="24"/>
          <w:u w:val="single"/>
        </w:rPr>
      </w:pPr>
      <w:r w:rsidRPr="00BF507E">
        <w:rPr>
          <w:sz w:val="24"/>
          <w:szCs w:val="24"/>
          <w:u w:val="single"/>
        </w:rPr>
        <w:t>HIV-proteasehæmmere</w:t>
      </w:r>
    </w:p>
    <w:p w14:paraId="3C95F20D" w14:textId="77777777" w:rsidR="00302FC8" w:rsidRPr="00BF507E" w:rsidRDefault="00302FC8" w:rsidP="00302FC8">
      <w:pPr>
        <w:ind w:left="851"/>
        <w:rPr>
          <w:sz w:val="24"/>
          <w:szCs w:val="24"/>
        </w:rPr>
      </w:pPr>
      <w:r w:rsidRPr="00BF507E">
        <w:rPr>
          <w:sz w:val="24"/>
          <w:szCs w:val="24"/>
        </w:rPr>
        <w:t>Samtidig behandling med pantoprazol og HIV-proteasehæmmere (som f.eks. atazanavir), hvis absorbtion er afhængig af en lav mavesyre-pH, frarådes på grund af den kraftigt reducerede biotilgængelighed (se pkt. 4.4). Hvis atazanavir i kombination med en HIV-protonpumpehæmmer ikke kan undgås, bør behandlingen gives under nøje klinisk monitorering (f.eks. viral load). Dosis må ikke overstige 20 mg pantoprazol pr. dag. Det kan være nødvendigt at justere dosis af HIV</w:t>
      </w:r>
      <w:r w:rsidRPr="00BF507E">
        <w:rPr>
          <w:sz w:val="24"/>
          <w:szCs w:val="24"/>
        </w:rPr>
        <w:noBreakHyphen/>
        <w:t>proteasehæmmere.</w:t>
      </w:r>
    </w:p>
    <w:p w14:paraId="5F73C3F9" w14:textId="77777777" w:rsidR="00302FC8" w:rsidRPr="00BF507E" w:rsidRDefault="00302FC8" w:rsidP="00302FC8">
      <w:pPr>
        <w:ind w:left="851"/>
        <w:rPr>
          <w:sz w:val="24"/>
          <w:szCs w:val="24"/>
        </w:rPr>
      </w:pPr>
    </w:p>
    <w:p w14:paraId="77320CD5" w14:textId="77777777" w:rsidR="00302FC8" w:rsidRPr="00302FC8" w:rsidRDefault="00302FC8" w:rsidP="00302FC8">
      <w:pPr>
        <w:ind w:left="851"/>
        <w:rPr>
          <w:sz w:val="24"/>
          <w:szCs w:val="24"/>
          <w:u w:val="single"/>
          <w:lang w:val="en-US"/>
        </w:rPr>
      </w:pPr>
      <w:r w:rsidRPr="00302FC8">
        <w:rPr>
          <w:sz w:val="24"/>
          <w:szCs w:val="24"/>
          <w:u w:val="single"/>
          <w:lang w:val="en-US"/>
        </w:rPr>
        <w:t>Coumarin-antikoagulantia (phenprocoumon eller warfarin)</w:t>
      </w:r>
    </w:p>
    <w:p w14:paraId="56233E5D" w14:textId="77777777" w:rsidR="00302FC8" w:rsidRPr="00BF507E" w:rsidRDefault="00302FC8" w:rsidP="00302FC8">
      <w:pPr>
        <w:ind w:left="851"/>
        <w:rPr>
          <w:sz w:val="24"/>
          <w:szCs w:val="24"/>
        </w:rPr>
      </w:pPr>
      <w:r w:rsidRPr="00BF507E">
        <w:rPr>
          <w:sz w:val="24"/>
          <w:szCs w:val="24"/>
        </w:rPr>
        <w:t>Samtidig administration af pantoprazol med warfarin eller phenprocoumon havde ingen indflydelse på farmakokinetikken af warfarin, phenprocoumon eller International Normalised Ratio (INR). Der er dog blevet rapporteret om enkeltstående tilfælde af stigning i INR og protrombintid hos patienter, der modtag PPI’er og warfarin eller phenprocoumon samtidigt. Stigninger i INR og protrombintid kan føre til unormal blødning og endda død. Patienter, der behandles med pantoprazol og warfarin eller phenprocoumon, skal muligvis overvåges for stigninger i INR og protrombintid.</w:t>
      </w:r>
    </w:p>
    <w:p w14:paraId="211C60B6" w14:textId="77777777" w:rsidR="00302FC8" w:rsidRPr="00BF507E" w:rsidRDefault="00302FC8" w:rsidP="00302FC8">
      <w:pPr>
        <w:ind w:left="851"/>
        <w:rPr>
          <w:sz w:val="24"/>
          <w:szCs w:val="24"/>
        </w:rPr>
      </w:pPr>
    </w:p>
    <w:p w14:paraId="58B6E14F" w14:textId="77777777" w:rsidR="00302FC8" w:rsidRPr="00BF507E" w:rsidRDefault="00302FC8" w:rsidP="00302FC8">
      <w:pPr>
        <w:ind w:left="851"/>
        <w:rPr>
          <w:sz w:val="24"/>
          <w:szCs w:val="24"/>
          <w:u w:val="single"/>
        </w:rPr>
      </w:pPr>
      <w:r w:rsidRPr="00BF507E">
        <w:rPr>
          <w:sz w:val="24"/>
          <w:szCs w:val="24"/>
          <w:u w:val="single"/>
        </w:rPr>
        <w:t>Methotrexat</w:t>
      </w:r>
    </w:p>
    <w:p w14:paraId="7AEE8091" w14:textId="77777777" w:rsidR="00302FC8" w:rsidRPr="00BF507E" w:rsidRDefault="00302FC8" w:rsidP="00302FC8">
      <w:pPr>
        <w:ind w:left="851"/>
        <w:rPr>
          <w:sz w:val="24"/>
          <w:szCs w:val="24"/>
        </w:rPr>
      </w:pPr>
      <w:r w:rsidRPr="00BF507E">
        <w:rPr>
          <w:sz w:val="24"/>
          <w:szCs w:val="24"/>
        </w:rPr>
        <w:t>Det er blevet rapporteret at samtidig brug af højer doser methotrexat (f.eks. 300 mg) og protonpumpehæmmere kan hæve methotrexatniveauet hos visse patienter. Derfor bør midlertidig afbrydelse af behandlingen med pantoprazol overvejes, når der anvendes højde doser methotrexat, f.eks. til behandling af cancer og psoriasis.</w:t>
      </w:r>
    </w:p>
    <w:p w14:paraId="2AC737F5" w14:textId="77777777" w:rsidR="00302FC8" w:rsidRPr="00BF507E" w:rsidRDefault="00302FC8" w:rsidP="00302FC8">
      <w:pPr>
        <w:ind w:left="851"/>
        <w:rPr>
          <w:sz w:val="24"/>
          <w:szCs w:val="24"/>
        </w:rPr>
      </w:pPr>
    </w:p>
    <w:p w14:paraId="37BA8074" w14:textId="77777777" w:rsidR="00302FC8" w:rsidRPr="00BF507E" w:rsidRDefault="00302FC8" w:rsidP="00302FC8">
      <w:pPr>
        <w:ind w:left="851"/>
        <w:rPr>
          <w:sz w:val="24"/>
          <w:szCs w:val="24"/>
          <w:u w:val="single"/>
        </w:rPr>
      </w:pPr>
      <w:r w:rsidRPr="00BF507E">
        <w:rPr>
          <w:sz w:val="24"/>
          <w:szCs w:val="24"/>
          <w:u w:val="single"/>
        </w:rPr>
        <w:lastRenderedPageBreak/>
        <w:t>Andre interaktionsstudier</w:t>
      </w:r>
    </w:p>
    <w:p w14:paraId="08DEC2CD" w14:textId="77777777" w:rsidR="00302FC8" w:rsidRPr="00BF507E" w:rsidRDefault="00302FC8" w:rsidP="00302FC8">
      <w:pPr>
        <w:ind w:left="851"/>
        <w:rPr>
          <w:sz w:val="24"/>
          <w:szCs w:val="24"/>
        </w:rPr>
      </w:pPr>
      <w:r w:rsidRPr="00BF507E">
        <w:rPr>
          <w:sz w:val="24"/>
          <w:szCs w:val="24"/>
        </w:rPr>
        <w:t>Pantoprazol metaboliseres overvejende i leveren via cytokrom P450-enzymsystemet. Den primære metaboliseringsvej er CYP2C19-katalyseret demetylering. Andre metaboliseringsveje indbefatter oxidation katalyseret af CYP3A4.</w:t>
      </w:r>
    </w:p>
    <w:p w14:paraId="64E3F216" w14:textId="77777777" w:rsidR="00302FC8" w:rsidRPr="00BF507E" w:rsidRDefault="00302FC8" w:rsidP="00302FC8">
      <w:pPr>
        <w:ind w:left="851"/>
        <w:rPr>
          <w:sz w:val="24"/>
          <w:szCs w:val="24"/>
        </w:rPr>
      </w:pPr>
      <w:r w:rsidRPr="00BF507E">
        <w:rPr>
          <w:sz w:val="24"/>
          <w:szCs w:val="24"/>
        </w:rPr>
        <w:t>Interaktionsstudier med lægemidler, der også metaboliseres ad disse veje, såsom carbamazepin, diazepam, glibenclamid, nifedipin og et oralt kontraceptivum indeholdende levonorgestrel og ethinylestradiol, viste ingen klinisk signifikante interaktioner.</w:t>
      </w:r>
    </w:p>
    <w:p w14:paraId="17CB1800" w14:textId="77777777" w:rsidR="00302FC8" w:rsidRPr="00BF507E" w:rsidRDefault="00302FC8" w:rsidP="00302FC8">
      <w:pPr>
        <w:ind w:left="851"/>
        <w:rPr>
          <w:sz w:val="24"/>
          <w:szCs w:val="24"/>
        </w:rPr>
      </w:pPr>
      <w:r w:rsidRPr="00BF507E">
        <w:rPr>
          <w:sz w:val="24"/>
          <w:szCs w:val="24"/>
        </w:rPr>
        <w:t>Interaktion mellem pantoprazol og andre lægemidler eller præparater, der metaboliseres via det samme enzymsystem, kan ikke udelukkes.</w:t>
      </w:r>
    </w:p>
    <w:p w14:paraId="656481F4" w14:textId="77777777" w:rsidR="00302FC8" w:rsidRPr="00BF507E" w:rsidRDefault="00302FC8" w:rsidP="00302FC8">
      <w:pPr>
        <w:ind w:left="851"/>
        <w:rPr>
          <w:sz w:val="24"/>
          <w:szCs w:val="24"/>
        </w:rPr>
      </w:pPr>
    </w:p>
    <w:p w14:paraId="5BDA5231" w14:textId="77777777" w:rsidR="00302FC8" w:rsidRPr="00BF507E" w:rsidRDefault="00302FC8" w:rsidP="00302FC8">
      <w:pPr>
        <w:ind w:left="851"/>
        <w:rPr>
          <w:sz w:val="24"/>
          <w:szCs w:val="24"/>
        </w:rPr>
      </w:pPr>
      <w:r w:rsidRPr="00BF507E">
        <w:rPr>
          <w:sz w:val="24"/>
          <w:szCs w:val="24"/>
        </w:rPr>
        <w:t>Resultater fra en række interaktionsstudier har vist, at pantoprazol ikke påvirker metaboliseringen af aktive stoffer, der metaboliseres af CYP1A2 (såsom koffein, theophyllin), CYP2C9 (såsom piroxicam, diclofenac, naproxen), CYP2D6 (såsom metoprolol), CYP2E1 (såsom ethanol), eller interfererer med p-glycoproteinrelateret absorption af digoxin.</w:t>
      </w:r>
    </w:p>
    <w:p w14:paraId="619018DC" w14:textId="77777777" w:rsidR="00302FC8" w:rsidRPr="00BF507E" w:rsidRDefault="00302FC8" w:rsidP="00302FC8">
      <w:pPr>
        <w:ind w:left="851"/>
        <w:rPr>
          <w:sz w:val="24"/>
          <w:szCs w:val="24"/>
        </w:rPr>
      </w:pPr>
    </w:p>
    <w:p w14:paraId="7016A1CF" w14:textId="77777777" w:rsidR="00302FC8" w:rsidRPr="00BF507E" w:rsidRDefault="00302FC8" w:rsidP="00302FC8">
      <w:pPr>
        <w:ind w:left="851"/>
        <w:rPr>
          <w:sz w:val="24"/>
          <w:szCs w:val="24"/>
        </w:rPr>
      </w:pPr>
      <w:r w:rsidRPr="00BF507E">
        <w:rPr>
          <w:sz w:val="24"/>
          <w:szCs w:val="24"/>
        </w:rPr>
        <w:t>Der er ikke blevet konstateret interaktion med samtidigt administrerede antacida.</w:t>
      </w:r>
    </w:p>
    <w:p w14:paraId="2F4A8600" w14:textId="77777777" w:rsidR="00302FC8" w:rsidRPr="00BF507E" w:rsidRDefault="00302FC8" w:rsidP="00302FC8">
      <w:pPr>
        <w:ind w:left="851"/>
        <w:rPr>
          <w:sz w:val="24"/>
          <w:szCs w:val="24"/>
        </w:rPr>
      </w:pPr>
    </w:p>
    <w:p w14:paraId="590374F5" w14:textId="77777777" w:rsidR="00302FC8" w:rsidRPr="00BF507E" w:rsidRDefault="00302FC8" w:rsidP="00302FC8">
      <w:pPr>
        <w:ind w:left="851"/>
        <w:rPr>
          <w:sz w:val="24"/>
          <w:szCs w:val="24"/>
        </w:rPr>
      </w:pPr>
      <w:r w:rsidRPr="00BF507E">
        <w:rPr>
          <w:sz w:val="24"/>
          <w:szCs w:val="24"/>
        </w:rPr>
        <w:t>I interaktionsstudier med samtidig administration af pantoprazol og et af de respektive antibiotika (clarithromycin, metronidazol, amoxicillin) blev der ikke fundet klinisk relevante interaktioner.</w:t>
      </w:r>
    </w:p>
    <w:p w14:paraId="74AAB55D" w14:textId="77777777" w:rsidR="00302FC8" w:rsidRPr="00BF507E" w:rsidRDefault="00302FC8" w:rsidP="00302FC8">
      <w:pPr>
        <w:ind w:left="851"/>
        <w:rPr>
          <w:sz w:val="24"/>
          <w:szCs w:val="24"/>
          <w:u w:val="single"/>
        </w:rPr>
      </w:pPr>
    </w:p>
    <w:p w14:paraId="53FCB33C" w14:textId="77777777" w:rsidR="00302FC8" w:rsidRPr="00BF507E" w:rsidRDefault="00302FC8" w:rsidP="00302FC8">
      <w:pPr>
        <w:ind w:left="851"/>
        <w:rPr>
          <w:sz w:val="24"/>
          <w:szCs w:val="24"/>
          <w:u w:val="single"/>
        </w:rPr>
      </w:pPr>
      <w:r w:rsidRPr="00BF507E">
        <w:rPr>
          <w:sz w:val="24"/>
          <w:szCs w:val="24"/>
          <w:u w:val="single"/>
        </w:rPr>
        <w:t>Lægemidler der hæmmer eller inducerer CYP2C19</w:t>
      </w:r>
    </w:p>
    <w:p w14:paraId="2074E7C8" w14:textId="77777777" w:rsidR="00302FC8" w:rsidRPr="00BF507E" w:rsidRDefault="00302FC8" w:rsidP="00302FC8">
      <w:pPr>
        <w:ind w:left="851"/>
        <w:rPr>
          <w:sz w:val="24"/>
          <w:szCs w:val="24"/>
        </w:rPr>
      </w:pPr>
      <w:r w:rsidRPr="00BF507E">
        <w:rPr>
          <w:sz w:val="24"/>
          <w:szCs w:val="24"/>
        </w:rPr>
        <w:t>CYP2C19-hæmmere, såsom fluvoxamin, kan øge den systemiske eksponering af pantoprazol. En reduktion af dosis bør overvejes hos patienter, der er i langvarig behandling med høje doser af pantoprazol, eller har nedsat leverfunktion.</w:t>
      </w:r>
    </w:p>
    <w:p w14:paraId="3FEC951C" w14:textId="77777777" w:rsidR="00302FC8" w:rsidRPr="00BF507E" w:rsidRDefault="00302FC8" w:rsidP="00302FC8">
      <w:pPr>
        <w:ind w:left="851"/>
        <w:rPr>
          <w:sz w:val="24"/>
          <w:szCs w:val="24"/>
        </w:rPr>
      </w:pPr>
      <w:r w:rsidRPr="00BF507E">
        <w:rPr>
          <w:sz w:val="24"/>
          <w:szCs w:val="24"/>
        </w:rPr>
        <w:t>Enzyminducere, der påvirker CYP2C19 og CYP3A4, såsom rifampicin og perikon (</w:t>
      </w:r>
      <w:r w:rsidRPr="00BF507E">
        <w:rPr>
          <w:i/>
          <w:sz w:val="24"/>
          <w:szCs w:val="24"/>
        </w:rPr>
        <w:t>Hypericum perforatum</w:t>
      </w:r>
      <w:r w:rsidRPr="00BF507E">
        <w:rPr>
          <w:sz w:val="24"/>
          <w:szCs w:val="24"/>
        </w:rPr>
        <w:t>) kan reducere plasmakoncentrationerne af PPI’er, som metaboliseres via disse enzymsystemer.</w:t>
      </w:r>
    </w:p>
    <w:p w14:paraId="72212883" w14:textId="77777777" w:rsidR="00302FC8" w:rsidRPr="00BF507E" w:rsidRDefault="00302FC8" w:rsidP="00302FC8">
      <w:pPr>
        <w:ind w:left="851"/>
        <w:rPr>
          <w:sz w:val="24"/>
          <w:szCs w:val="24"/>
        </w:rPr>
      </w:pPr>
    </w:p>
    <w:p w14:paraId="5E2C47D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1C8FA56" w14:textId="77777777" w:rsidR="00302FC8" w:rsidRDefault="00302FC8" w:rsidP="00302FC8">
      <w:pPr>
        <w:ind w:left="851"/>
        <w:rPr>
          <w:sz w:val="24"/>
          <w:szCs w:val="24"/>
          <w:u w:val="single"/>
        </w:rPr>
      </w:pPr>
    </w:p>
    <w:p w14:paraId="654DBC07" w14:textId="36E45CCD" w:rsidR="00302FC8" w:rsidRPr="00BF507E" w:rsidRDefault="00302FC8" w:rsidP="00302FC8">
      <w:pPr>
        <w:ind w:left="851"/>
        <w:rPr>
          <w:sz w:val="24"/>
          <w:szCs w:val="24"/>
          <w:u w:val="single"/>
        </w:rPr>
      </w:pPr>
      <w:r w:rsidRPr="00BF507E">
        <w:rPr>
          <w:sz w:val="24"/>
          <w:szCs w:val="24"/>
          <w:u w:val="single"/>
        </w:rPr>
        <w:t>Graviditet</w:t>
      </w:r>
    </w:p>
    <w:p w14:paraId="72334DCE" w14:textId="77777777" w:rsidR="00302FC8" w:rsidRPr="00BF507E" w:rsidRDefault="00302FC8" w:rsidP="00302FC8">
      <w:pPr>
        <w:ind w:left="851"/>
        <w:rPr>
          <w:sz w:val="24"/>
          <w:szCs w:val="24"/>
        </w:rPr>
      </w:pPr>
      <w:r w:rsidRPr="00BF507E">
        <w:rPr>
          <w:sz w:val="24"/>
          <w:szCs w:val="24"/>
        </w:rPr>
        <w:t>Data fra anvendelse af pantoprazol hos et begrænset antal gravide kvinder (mellem 300 og 1 000) indikerer ingen misdannelser eller føtal/neonatal toksicitet af pantoprazol. Dyreforsøg har påvist reproduktionstoksicitet (se pkt 5.3). For en sikkerheds skyld bør pantoprazol undgås under graviditeten.</w:t>
      </w:r>
    </w:p>
    <w:p w14:paraId="353CBBF1" w14:textId="77777777" w:rsidR="00302FC8" w:rsidRPr="00BF507E" w:rsidRDefault="00302FC8" w:rsidP="00302FC8">
      <w:pPr>
        <w:ind w:left="851"/>
        <w:rPr>
          <w:sz w:val="24"/>
          <w:szCs w:val="24"/>
        </w:rPr>
      </w:pPr>
    </w:p>
    <w:p w14:paraId="7602D9CD" w14:textId="77777777" w:rsidR="00302FC8" w:rsidRPr="00BF507E" w:rsidRDefault="00302FC8" w:rsidP="00302FC8">
      <w:pPr>
        <w:ind w:left="851"/>
        <w:rPr>
          <w:sz w:val="24"/>
          <w:szCs w:val="24"/>
          <w:u w:val="single"/>
        </w:rPr>
      </w:pPr>
      <w:r w:rsidRPr="00BF507E">
        <w:rPr>
          <w:sz w:val="24"/>
          <w:szCs w:val="24"/>
          <w:u w:val="single"/>
        </w:rPr>
        <w:t>Amning</w:t>
      </w:r>
    </w:p>
    <w:p w14:paraId="666A71BA" w14:textId="77777777" w:rsidR="00302FC8" w:rsidRPr="00BF507E" w:rsidRDefault="00302FC8" w:rsidP="00302FC8">
      <w:pPr>
        <w:autoSpaceDE w:val="0"/>
        <w:autoSpaceDN w:val="0"/>
        <w:adjustRightInd w:val="0"/>
        <w:ind w:left="851"/>
        <w:rPr>
          <w:sz w:val="24"/>
          <w:szCs w:val="24"/>
        </w:rPr>
      </w:pPr>
      <w:r w:rsidRPr="00BF507E">
        <w:rPr>
          <w:sz w:val="24"/>
          <w:szCs w:val="24"/>
        </w:rPr>
        <w:t>De tilgængelige data fra dyreforsøg viser, at pantoprazol/metabolitter udskilles i mælk. Data for udskillelse af pantoprazol/metabolitter i human mælk er utilstrækkelige. Udskillelse i human mælk er dog blevet rapporteret. En risiko for nyfødte/spædbørn kan ikke udelukkes. Det skal besluttes, om amning eller behandling med pantoprazol skal ophøre, idet der tages højde for fordelene ved amning for barnet i forhold til de terapeutiske fordele for moderen.</w:t>
      </w:r>
    </w:p>
    <w:p w14:paraId="1C99C7E9" w14:textId="77777777" w:rsidR="00302FC8" w:rsidRPr="00BF507E" w:rsidRDefault="00302FC8" w:rsidP="00302FC8">
      <w:pPr>
        <w:ind w:left="851"/>
        <w:rPr>
          <w:sz w:val="24"/>
          <w:szCs w:val="24"/>
        </w:rPr>
      </w:pPr>
    </w:p>
    <w:p w14:paraId="5296F93B" w14:textId="77777777" w:rsidR="00302FC8" w:rsidRPr="00BF507E" w:rsidRDefault="00302FC8" w:rsidP="00302FC8">
      <w:pPr>
        <w:ind w:left="851"/>
        <w:rPr>
          <w:sz w:val="24"/>
          <w:szCs w:val="24"/>
          <w:u w:val="single"/>
        </w:rPr>
      </w:pPr>
      <w:r w:rsidRPr="00BF507E">
        <w:rPr>
          <w:sz w:val="24"/>
          <w:szCs w:val="24"/>
          <w:u w:val="single"/>
        </w:rPr>
        <w:t>Fertilitet</w:t>
      </w:r>
    </w:p>
    <w:p w14:paraId="3EB167B5" w14:textId="77777777" w:rsidR="00302FC8" w:rsidRPr="00BF507E" w:rsidRDefault="00302FC8" w:rsidP="00302FC8">
      <w:pPr>
        <w:ind w:left="851"/>
        <w:rPr>
          <w:sz w:val="24"/>
          <w:szCs w:val="24"/>
        </w:rPr>
      </w:pPr>
      <w:r w:rsidRPr="00BF507E">
        <w:rPr>
          <w:sz w:val="24"/>
          <w:szCs w:val="24"/>
        </w:rPr>
        <w:t>Der var ingen tegn på nedsat fertilitet efter administration af pantoprazol i dyreforsøg (se pkt 5.3).</w:t>
      </w:r>
    </w:p>
    <w:p w14:paraId="62C16DF9" w14:textId="4638BB97" w:rsidR="00302FC8" w:rsidRDefault="00302FC8">
      <w:pPr>
        <w:rPr>
          <w:sz w:val="24"/>
          <w:szCs w:val="24"/>
        </w:rPr>
      </w:pPr>
      <w:r>
        <w:rPr>
          <w:sz w:val="24"/>
          <w:szCs w:val="24"/>
        </w:rPr>
        <w:br w:type="page"/>
      </w:r>
    </w:p>
    <w:p w14:paraId="09815D8F" w14:textId="77777777" w:rsidR="009260DE" w:rsidRPr="00C84483" w:rsidRDefault="009260DE" w:rsidP="009260DE">
      <w:pPr>
        <w:tabs>
          <w:tab w:val="left" w:pos="851"/>
        </w:tabs>
        <w:ind w:left="851"/>
        <w:rPr>
          <w:sz w:val="24"/>
          <w:szCs w:val="24"/>
        </w:rPr>
      </w:pPr>
    </w:p>
    <w:p w14:paraId="31A4E5C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4B7F158" w14:textId="77777777" w:rsidR="00302FC8" w:rsidRPr="00BF507E" w:rsidRDefault="00302FC8" w:rsidP="00302FC8">
      <w:pPr>
        <w:ind w:left="851"/>
        <w:rPr>
          <w:sz w:val="24"/>
          <w:szCs w:val="24"/>
        </w:rPr>
      </w:pPr>
      <w:r w:rsidRPr="00BF507E">
        <w:rPr>
          <w:sz w:val="24"/>
          <w:szCs w:val="24"/>
        </w:rPr>
        <w:t>Pantoprazol påvirker ikke eller kun i ubetydelig grad evnen til at føre motorkøretøj og betjene maskiner. Der kan forekomme bivirkninger i form af svimmelhed og synsforstyrrelser (se pkt. 4.8). Hvis patienten oplever disse, må denne ikke føre motorkøretøj eller betjene maskiner.</w:t>
      </w:r>
    </w:p>
    <w:p w14:paraId="4C9B4540" w14:textId="77777777" w:rsidR="009260DE" w:rsidRPr="00C84483" w:rsidRDefault="009260DE" w:rsidP="009260DE">
      <w:pPr>
        <w:tabs>
          <w:tab w:val="left" w:pos="851"/>
        </w:tabs>
        <w:ind w:left="851"/>
        <w:rPr>
          <w:sz w:val="24"/>
          <w:szCs w:val="24"/>
        </w:rPr>
      </w:pPr>
    </w:p>
    <w:p w14:paraId="7BBC895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4917D40" w14:textId="77777777" w:rsidR="004F12A5" w:rsidRPr="00BF507E" w:rsidRDefault="004F12A5" w:rsidP="004F12A5">
      <w:pPr>
        <w:ind w:left="851"/>
        <w:rPr>
          <w:sz w:val="24"/>
          <w:szCs w:val="24"/>
        </w:rPr>
      </w:pPr>
      <w:r w:rsidRPr="00BF507E">
        <w:rPr>
          <w:sz w:val="24"/>
          <w:szCs w:val="24"/>
        </w:rPr>
        <w:t>Cirka 5 % af patienterne kan forvente at få bivirkninger.</w:t>
      </w:r>
    </w:p>
    <w:p w14:paraId="4C7EDEBC" w14:textId="55466836" w:rsidR="004F12A5" w:rsidRPr="00BF507E" w:rsidRDefault="004F12A5" w:rsidP="004F12A5">
      <w:pPr>
        <w:ind w:left="851"/>
        <w:rPr>
          <w:sz w:val="24"/>
          <w:szCs w:val="24"/>
        </w:rPr>
      </w:pPr>
      <w:r w:rsidRPr="00BF507E">
        <w:rPr>
          <w:sz w:val="24"/>
          <w:szCs w:val="24"/>
        </w:rPr>
        <w:t xml:space="preserve">De bivirkninger, som er indberettet for pantoprazol, fremgår af tabellen nedenfor og er inddelt efter hyppighed i henhold til MedDRA-konventionen som følger: </w:t>
      </w:r>
      <w:r>
        <w:rPr>
          <w:sz w:val="24"/>
          <w:szCs w:val="24"/>
        </w:rPr>
        <w:t>A</w:t>
      </w:r>
      <w:r w:rsidRPr="00BF507E">
        <w:rPr>
          <w:sz w:val="24"/>
          <w:szCs w:val="24"/>
        </w:rPr>
        <w:t>lmindelig (≥ 1/100 til &lt; 1/10), ikke almindelig (≥ 1/1 000 til &lt; 1/100), sjælden (≥ 1/10 000 til &lt; 1/1 000), meget sjælden (&lt; 1/10 000), ikke kendt (kan ikke estimeres ud fra forhåndenværende data).</w:t>
      </w:r>
    </w:p>
    <w:p w14:paraId="3A33AE03" w14:textId="77777777" w:rsidR="004F12A5" w:rsidRPr="00BF507E" w:rsidRDefault="004F12A5" w:rsidP="004F12A5">
      <w:pPr>
        <w:ind w:left="851"/>
        <w:rPr>
          <w:sz w:val="24"/>
          <w:szCs w:val="24"/>
        </w:rPr>
      </w:pPr>
    </w:p>
    <w:p w14:paraId="6BA76927" w14:textId="798BE69B" w:rsidR="004F12A5" w:rsidRPr="00BF507E" w:rsidRDefault="004F12A5" w:rsidP="004F12A5">
      <w:pPr>
        <w:autoSpaceDE w:val="0"/>
        <w:autoSpaceDN w:val="0"/>
        <w:adjustRightInd w:val="0"/>
        <w:ind w:left="851"/>
        <w:rPr>
          <w:sz w:val="24"/>
          <w:szCs w:val="24"/>
        </w:rPr>
      </w:pPr>
      <w:r w:rsidRPr="00BF507E">
        <w:rPr>
          <w:sz w:val="24"/>
          <w:szCs w:val="24"/>
        </w:rPr>
        <w:t xml:space="preserve">For bivirkninger, der er indberettet efter markedsføring, er det ikke muligt at angive hyppigheden, og de er derfor nævnt med hyppigheden </w:t>
      </w:r>
      <w:r>
        <w:rPr>
          <w:sz w:val="24"/>
          <w:szCs w:val="24"/>
        </w:rPr>
        <w:t>"</w:t>
      </w:r>
      <w:r w:rsidRPr="00BF507E">
        <w:rPr>
          <w:sz w:val="24"/>
          <w:szCs w:val="24"/>
        </w:rPr>
        <w:t>ikke kendt</w:t>
      </w:r>
      <w:r>
        <w:rPr>
          <w:sz w:val="24"/>
          <w:szCs w:val="24"/>
        </w:rPr>
        <w:t>"</w:t>
      </w:r>
      <w:r w:rsidRPr="00BF507E">
        <w:rPr>
          <w:sz w:val="24"/>
          <w:szCs w:val="24"/>
        </w:rPr>
        <w:t>.</w:t>
      </w:r>
    </w:p>
    <w:p w14:paraId="1079E2A0" w14:textId="77777777" w:rsidR="004F12A5" w:rsidRPr="00BF507E" w:rsidRDefault="004F12A5" w:rsidP="004F12A5">
      <w:pPr>
        <w:ind w:left="851"/>
        <w:rPr>
          <w:sz w:val="24"/>
          <w:szCs w:val="24"/>
        </w:rPr>
      </w:pPr>
    </w:p>
    <w:p w14:paraId="2EF7C581" w14:textId="77777777" w:rsidR="004F12A5" w:rsidRPr="00BF507E" w:rsidRDefault="004F12A5" w:rsidP="004F12A5">
      <w:pPr>
        <w:ind w:left="851"/>
        <w:rPr>
          <w:sz w:val="24"/>
          <w:szCs w:val="24"/>
        </w:rPr>
      </w:pPr>
      <w:r w:rsidRPr="00BF507E">
        <w:rPr>
          <w:sz w:val="24"/>
          <w:szCs w:val="24"/>
        </w:rPr>
        <w:t>Inden for hver hyppighedsgruppe er bivirkningerne anført med faldende sværhedsgrad.</w:t>
      </w:r>
    </w:p>
    <w:p w14:paraId="7260B43C" w14:textId="77777777" w:rsidR="004F12A5" w:rsidRPr="0099469E" w:rsidRDefault="004F12A5" w:rsidP="004F12A5">
      <w:pPr>
        <w:tabs>
          <w:tab w:val="left" w:pos="7371"/>
        </w:tabs>
        <w:rPr>
          <w:sz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1603"/>
        <w:gridCol w:w="1659"/>
        <w:gridCol w:w="1658"/>
        <w:gridCol w:w="1659"/>
        <w:gridCol w:w="1828"/>
      </w:tblGrid>
      <w:tr w:rsidR="004F12A5" w14:paraId="403F8408" w14:textId="77777777" w:rsidTr="00C549FA">
        <w:trPr>
          <w:cantSplit/>
          <w:trHeight w:val="1327"/>
          <w:tblHeader/>
        </w:trPr>
        <w:tc>
          <w:tcPr>
            <w:tcW w:w="1658" w:type="dxa"/>
            <w:tcBorders>
              <w:tl2br w:val="single" w:sz="4" w:space="0" w:color="auto"/>
            </w:tcBorders>
          </w:tcPr>
          <w:p w14:paraId="02EF61DA" w14:textId="77777777" w:rsidR="004F12A5" w:rsidRPr="00CE6325" w:rsidRDefault="004F12A5" w:rsidP="00C549FA">
            <w:pPr>
              <w:widowControl w:val="0"/>
              <w:tabs>
                <w:tab w:val="left" w:pos="7371"/>
              </w:tabs>
              <w:ind w:firstLine="284"/>
              <w:rPr>
                <w:b/>
                <w:sz w:val="20"/>
              </w:rPr>
            </w:pPr>
            <w:r>
              <w:rPr>
                <w:b/>
                <w:sz w:val="20"/>
              </w:rPr>
              <w:t>Hyppighed</w:t>
            </w:r>
          </w:p>
          <w:p w14:paraId="3489AC02" w14:textId="77777777" w:rsidR="004F12A5" w:rsidRPr="00CE6325" w:rsidRDefault="004F12A5" w:rsidP="00C549FA">
            <w:pPr>
              <w:widowControl w:val="0"/>
              <w:tabs>
                <w:tab w:val="left" w:pos="7371"/>
              </w:tabs>
              <w:rPr>
                <w:b/>
                <w:sz w:val="20"/>
                <w:lang w:val="en-GB" w:eastAsia="en-GB"/>
              </w:rPr>
            </w:pPr>
          </w:p>
          <w:p w14:paraId="2962DD26" w14:textId="77777777" w:rsidR="004F12A5" w:rsidRDefault="004F12A5" w:rsidP="00C549FA">
            <w:pPr>
              <w:widowControl w:val="0"/>
              <w:tabs>
                <w:tab w:val="left" w:pos="7371"/>
              </w:tabs>
              <w:ind w:right="567"/>
              <w:rPr>
                <w:b/>
                <w:sz w:val="20"/>
              </w:rPr>
            </w:pPr>
          </w:p>
          <w:p w14:paraId="743F3FAE" w14:textId="77777777" w:rsidR="004F12A5" w:rsidRDefault="004F12A5" w:rsidP="00C549FA">
            <w:pPr>
              <w:widowControl w:val="0"/>
              <w:tabs>
                <w:tab w:val="left" w:pos="7371"/>
              </w:tabs>
              <w:ind w:right="567"/>
              <w:rPr>
                <w:b/>
                <w:sz w:val="20"/>
              </w:rPr>
            </w:pPr>
          </w:p>
          <w:p w14:paraId="20988AF8" w14:textId="04D92DF1" w:rsidR="004F12A5" w:rsidRPr="00CE6325" w:rsidRDefault="004F12A5" w:rsidP="004F12A5">
            <w:pPr>
              <w:widowControl w:val="0"/>
              <w:tabs>
                <w:tab w:val="left" w:pos="7371"/>
              </w:tabs>
              <w:ind w:right="242"/>
              <w:rPr>
                <w:b/>
                <w:sz w:val="20"/>
              </w:rPr>
            </w:pPr>
            <w:r>
              <w:rPr>
                <w:b/>
                <w:sz w:val="20"/>
              </w:rPr>
              <w:t xml:space="preserve">System-organklasse </w:t>
            </w:r>
          </w:p>
        </w:tc>
        <w:tc>
          <w:tcPr>
            <w:tcW w:w="1603" w:type="dxa"/>
          </w:tcPr>
          <w:p w14:paraId="17180617" w14:textId="77777777" w:rsidR="004F12A5" w:rsidRPr="00CE6325" w:rsidRDefault="004F12A5" w:rsidP="00C549FA">
            <w:pPr>
              <w:widowControl w:val="0"/>
              <w:tabs>
                <w:tab w:val="left" w:pos="7371"/>
              </w:tabs>
              <w:rPr>
                <w:b/>
                <w:sz w:val="20"/>
              </w:rPr>
            </w:pPr>
            <w:r>
              <w:rPr>
                <w:b/>
                <w:sz w:val="20"/>
              </w:rPr>
              <w:t>Almindelig</w:t>
            </w:r>
          </w:p>
        </w:tc>
        <w:tc>
          <w:tcPr>
            <w:tcW w:w="1659" w:type="dxa"/>
          </w:tcPr>
          <w:p w14:paraId="0FAE6A76" w14:textId="77777777" w:rsidR="004F12A5" w:rsidRPr="00CE6325" w:rsidRDefault="004F12A5" w:rsidP="00C549FA">
            <w:pPr>
              <w:widowControl w:val="0"/>
              <w:tabs>
                <w:tab w:val="left" w:pos="7371"/>
              </w:tabs>
              <w:autoSpaceDE w:val="0"/>
              <w:autoSpaceDN w:val="0"/>
              <w:adjustRightInd w:val="0"/>
              <w:rPr>
                <w:b/>
                <w:sz w:val="20"/>
              </w:rPr>
            </w:pPr>
            <w:r>
              <w:rPr>
                <w:b/>
                <w:sz w:val="20"/>
              </w:rPr>
              <w:t>Ikke almindelig</w:t>
            </w:r>
          </w:p>
        </w:tc>
        <w:tc>
          <w:tcPr>
            <w:tcW w:w="1658" w:type="dxa"/>
          </w:tcPr>
          <w:p w14:paraId="3136FCFF" w14:textId="77777777" w:rsidR="004F12A5" w:rsidRPr="00CE6325" w:rsidRDefault="004F12A5" w:rsidP="00C549FA">
            <w:pPr>
              <w:widowControl w:val="0"/>
              <w:tabs>
                <w:tab w:val="left" w:pos="7371"/>
              </w:tabs>
              <w:autoSpaceDE w:val="0"/>
              <w:autoSpaceDN w:val="0"/>
              <w:adjustRightInd w:val="0"/>
              <w:rPr>
                <w:b/>
                <w:sz w:val="20"/>
              </w:rPr>
            </w:pPr>
            <w:r>
              <w:rPr>
                <w:b/>
                <w:sz w:val="20"/>
              </w:rPr>
              <w:t>Sjælden</w:t>
            </w:r>
          </w:p>
        </w:tc>
        <w:tc>
          <w:tcPr>
            <w:tcW w:w="1659" w:type="dxa"/>
          </w:tcPr>
          <w:p w14:paraId="25948B18" w14:textId="77777777" w:rsidR="004F12A5" w:rsidRPr="00CE6325" w:rsidRDefault="004F12A5" w:rsidP="00C549FA">
            <w:pPr>
              <w:widowControl w:val="0"/>
              <w:tabs>
                <w:tab w:val="left" w:pos="7371"/>
              </w:tabs>
              <w:autoSpaceDE w:val="0"/>
              <w:autoSpaceDN w:val="0"/>
              <w:adjustRightInd w:val="0"/>
              <w:rPr>
                <w:b/>
                <w:sz w:val="20"/>
              </w:rPr>
            </w:pPr>
            <w:r>
              <w:rPr>
                <w:b/>
                <w:sz w:val="20"/>
              </w:rPr>
              <w:t>Meget sjælden</w:t>
            </w:r>
          </w:p>
        </w:tc>
        <w:tc>
          <w:tcPr>
            <w:tcW w:w="1828" w:type="dxa"/>
          </w:tcPr>
          <w:p w14:paraId="4EA8E3FF" w14:textId="77777777" w:rsidR="004F12A5" w:rsidRPr="00CE6325" w:rsidRDefault="004F12A5" w:rsidP="00C549FA">
            <w:pPr>
              <w:widowControl w:val="0"/>
              <w:tabs>
                <w:tab w:val="left" w:pos="7371"/>
              </w:tabs>
              <w:autoSpaceDE w:val="0"/>
              <w:autoSpaceDN w:val="0"/>
              <w:adjustRightInd w:val="0"/>
              <w:rPr>
                <w:b/>
                <w:sz w:val="20"/>
              </w:rPr>
            </w:pPr>
            <w:r>
              <w:rPr>
                <w:b/>
                <w:sz w:val="20"/>
              </w:rPr>
              <w:t>Ikke kendt</w:t>
            </w:r>
          </w:p>
        </w:tc>
      </w:tr>
      <w:tr w:rsidR="004F12A5" w14:paraId="07965640" w14:textId="77777777" w:rsidTr="00C549FA">
        <w:trPr>
          <w:cantSplit/>
        </w:trPr>
        <w:tc>
          <w:tcPr>
            <w:tcW w:w="1658" w:type="dxa"/>
          </w:tcPr>
          <w:p w14:paraId="5FB8EAF1" w14:textId="77777777" w:rsidR="004F12A5" w:rsidRPr="00CE6325" w:rsidRDefault="004F12A5" w:rsidP="00C549FA">
            <w:pPr>
              <w:widowControl w:val="0"/>
              <w:tabs>
                <w:tab w:val="left" w:pos="7371"/>
              </w:tabs>
              <w:autoSpaceDE w:val="0"/>
              <w:autoSpaceDN w:val="0"/>
              <w:adjustRightInd w:val="0"/>
              <w:rPr>
                <w:b/>
                <w:sz w:val="20"/>
              </w:rPr>
            </w:pPr>
            <w:r>
              <w:rPr>
                <w:b/>
                <w:sz w:val="20"/>
              </w:rPr>
              <w:t xml:space="preserve">Blod og lymfesystem </w:t>
            </w:r>
          </w:p>
        </w:tc>
        <w:tc>
          <w:tcPr>
            <w:tcW w:w="1603" w:type="dxa"/>
          </w:tcPr>
          <w:p w14:paraId="5419F6B1" w14:textId="77777777" w:rsidR="004F12A5" w:rsidRPr="00CE6325" w:rsidRDefault="004F12A5" w:rsidP="00C549FA">
            <w:pPr>
              <w:widowControl w:val="0"/>
              <w:tabs>
                <w:tab w:val="left" w:pos="7371"/>
              </w:tabs>
              <w:rPr>
                <w:sz w:val="20"/>
                <w:lang w:val="en-GB" w:eastAsia="en-GB"/>
              </w:rPr>
            </w:pPr>
          </w:p>
        </w:tc>
        <w:tc>
          <w:tcPr>
            <w:tcW w:w="1659" w:type="dxa"/>
          </w:tcPr>
          <w:p w14:paraId="0319C7A9" w14:textId="77777777" w:rsidR="004F12A5" w:rsidRPr="00CE6325" w:rsidRDefault="004F12A5" w:rsidP="00C549FA">
            <w:pPr>
              <w:widowControl w:val="0"/>
              <w:tabs>
                <w:tab w:val="left" w:pos="7371"/>
              </w:tabs>
              <w:rPr>
                <w:sz w:val="20"/>
                <w:lang w:val="en-GB" w:eastAsia="en-GB"/>
              </w:rPr>
            </w:pPr>
          </w:p>
        </w:tc>
        <w:tc>
          <w:tcPr>
            <w:tcW w:w="1658" w:type="dxa"/>
          </w:tcPr>
          <w:p w14:paraId="0F0D4C54" w14:textId="77777777" w:rsidR="004F12A5" w:rsidRPr="00CE6325" w:rsidRDefault="004F12A5" w:rsidP="00C549FA">
            <w:pPr>
              <w:widowControl w:val="0"/>
              <w:tabs>
                <w:tab w:val="left" w:pos="7371"/>
              </w:tabs>
              <w:autoSpaceDE w:val="0"/>
              <w:autoSpaceDN w:val="0"/>
              <w:adjustRightInd w:val="0"/>
              <w:rPr>
                <w:sz w:val="20"/>
              </w:rPr>
            </w:pPr>
            <w:r>
              <w:rPr>
                <w:sz w:val="20"/>
              </w:rPr>
              <w:t>Agranulocytose</w:t>
            </w:r>
          </w:p>
        </w:tc>
        <w:tc>
          <w:tcPr>
            <w:tcW w:w="1659" w:type="dxa"/>
          </w:tcPr>
          <w:p w14:paraId="0C35F342" w14:textId="77777777" w:rsidR="004F12A5" w:rsidRPr="00CE6325" w:rsidRDefault="004F12A5" w:rsidP="00C549FA">
            <w:pPr>
              <w:widowControl w:val="0"/>
              <w:tabs>
                <w:tab w:val="left" w:pos="7371"/>
              </w:tabs>
              <w:autoSpaceDE w:val="0"/>
              <w:autoSpaceDN w:val="0"/>
              <w:adjustRightInd w:val="0"/>
              <w:ind w:left="-76" w:right="-173"/>
              <w:rPr>
                <w:sz w:val="20"/>
              </w:rPr>
            </w:pPr>
            <w:r>
              <w:rPr>
                <w:sz w:val="20"/>
              </w:rPr>
              <w:t>Trombocytopeni; Leukopeni; Pancytopeni</w:t>
            </w:r>
          </w:p>
        </w:tc>
        <w:tc>
          <w:tcPr>
            <w:tcW w:w="1828" w:type="dxa"/>
          </w:tcPr>
          <w:p w14:paraId="0CC1F310" w14:textId="77777777" w:rsidR="004F12A5" w:rsidRPr="00CE6325" w:rsidRDefault="004F12A5" w:rsidP="00C549FA">
            <w:pPr>
              <w:widowControl w:val="0"/>
              <w:tabs>
                <w:tab w:val="left" w:pos="7371"/>
              </w:tabs>
              <w:rPr>
                <w:sz w:val="20"/>
                <w:lang w:val="en-GB" w:eastAsia="en-GB"/>
              </w:rPr>
            </w:pPr>
          </w:p>
        </w:tc>
      </w:tr>
      <w:tr w:rsidR="004F12A5" w14:paraId="15C865C8" w14:textId="77777777" w:rsidTr="00C549FA">
        <w:trPr>
          <w:cantSplit/>
        </w:trPr>
        <w:tc>
          <w:tcPr>
            <w:tcW w:w="1658" w:type="dxa"/>
          </w:tcPr>
          <w:p w14:paraId="2D7799E3" w14:textId="77777777" w:rsidR="004F12A5" w:rsidRPr="00CE6325" w:rsidRDefault="004F12A5" w:rsidP="00C549FA">
            <w:pPr>
              <w:widowControl w:val="0"/>
              <w:tabs>
                <w:tab w:val="left" w:pos="7371"/>
              </w:tabs>
              <w:autoSpaceDE w:val="0"/>
              <w:autoSpaceDN w:val="0"/>
              <w:adjustRightInd w:val="0"/>
              <w:rPr>
                <w:b/>
                <w:sz w:val="20"/>
              </w:rPr>
            </w:pPr>
            <w:r>
              <w:rPr>
                <w:b/>
                <w:sz w:val="20"/>
              </w:rPr>
              <w:t>Immunsystemet</w:t>
            </w:r>
          </w:p>
        </w:tc>
        <w:tc>
          <w:tcPr>
            <w:tcW w:w="1603" w:type="dxa"/>
          </w:tcPr>
          <w:p w14:paraId="60575BA0" w14:textId="77777777" w:rsidR="004F12A5" w:rsidRPr="00CE6325" w:rsidRDefault="004F12A5" w:rsidP="00C549FA">
            <w:pPr>
              <w:widowControl w:val="0"/>
              <w:tabs>
                <w:tab w:val="left" w:pos="7371"/>
              </w:tabs>
              <w:rPr>
                <w:sz w:val="20"/>
                <w:lang w:val="en-GB" w:eastAsia="en-GB"/>
              </w:rPr>
            </w:pPr>
          </w:p>
        </w:tc>
        <w:tc>
          <w:tcPr>
            <w:tcW w:w="1659" w:type="dxa"/>
          </w:tcPr>
          <w:p w14:paraId="1262F1E1" w14:textId="77777777" w:rsidR="004F12A5" w:rsidRPr="00CE6325" w:rsidRDefault="004F12A5" w:rsidP="00C549FA">
            <w:pPr>
              <w:widowControl w:val="0"/>
              <w:tabs>
                <w:tab w:val="left" w:pos="7371"/>
              </w:tabs>
              <w:rPr>
                <w:sz w:val="20"/>
                <w:lang w:val="en-GB" w:eastAsia="en-GB"/>
              </w:rPr>
            </w:pPr>
          </w:p>
        </w:tc>
        <w:tc>
          <w:tcPr>
            <w:tcW w:w="1658" w:type="dxa"/>
          </w:tcPr>
          <w:p w14:paraId="78E5F5AA" w14:textId="77777777" w:rsidR="004F12A5" w:rsidRPr="00CE6325" w:rsidRDefault="004F12A5" w:rsidP="00C549FA">
            <w:pPr>
              <w:widowControl w:val="0"/>
              <w:tabs>
                <w:tab w:val="left" w:pos="7371"/>
              </w:tabs>
              <w:autoSpaceDE w:val="0"/>
              <w:autoSpaceDN w:val="0"/>
              <w:adjustRightInd w:val="0"/>
              <w:rPr>
                <w:sz w:val="20"/>
              </w:rPr>
            </w:pPr>
            <w:r>
              <w:rPr>
                <w:sz w:val="20"/>
              </w:rPr>
              <w:t>Overfølsomhed (inklusive anafylaktiske reaktioner og anafylaktisk shock)</w:t>
            </w:r>
          </w:p>
        </w:tc>
        <w:tc>
          <w:tcPr>
            <w:tcW w:w="1659" w:type="dxa"/>
          </w:tcPr>
          <w:p w14:paraId="290E6C0D" w14:textId="77777777" w:rsidR="004F12A5" w:rsidRPr="004F12A5" w:rsidRDefault="004F12A5" w:rsidP="00C549FA">
            <w:pPr>
              <w:widowControl w:val="0"/>
              <w:tabs>
                <w:tab w:val="left" w:pos="7371"/>
              </w:tabs>
              <w:rPr>
                <w:sz w:val="20"/>
                <w:lang w:eastAsia="en-GB"/>
              </w:rPr>
            </w:pPr>
          </w:p>
        </w:tc>
        <w:tc>
          <w:tcPr>
            <w:tcW w:w="1828" w:type="dxa"/>
          </w:tcPr>
          <w:p w14:paraId="2953FAC7" w14:textId="77777777" w:rsidR="004F12A5" w:rsidRPr="004F12A5" w:rsidRDefault="004F12A5" w:rsidP="00C549FA">
            <w:pPr>
              <w:widowControl w:val="0"/>
              <w:tabs>
                <w:tab w:val="left" w:pos="7371"/>
              </w:tabs>
              <w:rPr>
                <w:sz w:val="20"/>
                <w:lang w:eastAsia="en-GB"/>
              </w:rPr>
            </w:pPr>
          </w:p>
        </w:tc>
      </w:tr>
      <w:tr w:rsidR="004F12A5" w14:paraId="3A687C30" w14:textId="77777777" w:rsidTr="00C549FA">
        <w:trPr>
          <w:cantSplit/>
        </w:trPr>
        <w:tc>
          <w:tcPr>
            <w:tcW w:w="1658" w:type="dxa"/>
          </w:tcPr>
          <w:p w14:paraId="43F57A0E" w14:textId="77777777" w:rsidR="004F12A5" w:rsidRPr="00CE6325" w:rsidRDefault="004F12A5" w:rsidP="00C549FA">
            <w:pPr>
              <w:widowControl w:val="0"/>
              <w:tabs>
                <w:tab w:val="left" w:pos="7371"/>
              </w:tabs>
              <w:rPr>
                <w:b/>
                <w:sz w:val="20"/>
              </w:rPr>
            </w:pPr>
            <w:r>
              <w:rPr>
                <w:b/>
                <w:sz w:val="20"/>
              </w:rPr>
              <w:t>Metabolisme og ernæring</w:t>
            </w:r>
          </w:p>
        </w:tc>
        <w:tc>
          <w:tcPr>
            <w:tcW w:w="1603" w:type="dxa"/>
          </w:tcPr>
          <w:p w14:paraId="3B58411B" w14:textId="77777777" w:rsidR="004F12A5" w:rsidRPr="00CE6325" w:rsidRDefault="004F12A5" w:rsidP="00C549FA">
            <w:pPr>
              <w:widowControl w:val="0"/>
              <w:tabs>
                <w:tab w:val="left" w:pos="7371"/>
              </w:tabs>
              <w:rPr>
                <w:sz w:val="20"/>
                <w:lang w:val="en-GB" w:eastAsia="en-GB"/>
              </w:rPr>
            </w:pPr>
          </w:p>
        </w:tc>
        <w:tc>
          <w:tcPr>
            <w:tcW w:w="1659" w:type="dxa"/>
          </w:tcPr>
          <w:p w14:paraId="43C6705D" w14:textId="77777777" w:rsidR="004F12A5" w:rsidRPr="00CE6325" w:rsidRDefault="004F12A5" w:rsidP="00C549FA">
            <w:pPr>
              <w:widowControl w:val="0"/>
              <w:tabs>
                <w:tab w:val="left" w:pos="7371"/>
              </w:tabs>
              <w:rPr>
                <w:sz w:val="20"/>
                <w:lang w:val="en-GB" w:eastAsia="en-GB"/>
              </w:rPr>
            </w:pPr>
          </w:p>
        </w:tc>
        <w:tc>
          <w:tcPr>
            <w:tcW w:w="1658" w:type="dxa"/>
          </w:tcPr>
          <w:p w14:paraId="2ED18B89" w14:textId="77777777" w:rsidR="004F12A5" w:rsidRPr="00CE6325" w:rsidRDefault="004F12A5" w:rsidP="00C549FA">
            <w:pPr>
              <w:widowControl w:val="0"/>
              <w:tabs>
                <w:tab w:val="left" w:pos="7371"/>
              </w:tabs>
              <w:autoSpaceDE w:val="0"/>
              <w:autoSpaceDN w:val="0"/>
              <w:adjustRightInd w:val="0"/>
              <w:rPr>
                <w:sz w:val="20"/>
              </w:rPr>
            </w:pPr>
            <w:r>
              <w:rPr>
                <w:sz w:val="20"/>
              </w:rPr>
              <w:t>Hyperlipidæmi og forhøjede lipider (triglycerider, kolesterol); Vægtforandringer</w:t>
            </w:r>
          </w:p>
        </w:tc>
        <w:tc>
          <w:tcPr>
            <w:tcW w:w="1659" w:type="dxa"/>
          </w:tcPr>
          <w:p w14:paraId="37E2C1E4" w14:textId="77777777" w:rsidR="004F12A5" w:rsidRPr="0099469E" w:rsidRDefault="004F12A5" w:rsidP="00C549FA">
            <w:pPr>
              <w:widowControl w:val="0"/>
              <w:tabs>
                <w:tab w:val="left" w:pos="7371"/>
              </w:tabs>
              <w:rPr>
                <w:sz w:val="20"/>
                <w:lang w:eastAsia="en-GB"/>
              </w:rPr>
            </w:pPr>
          </w:p>
        </w:tc>
        <w:tc>
          <w:tcPr>
            <w:tcW w:w="1828" w:type="dxa"/>
          </w:tcPr>
          <w:p w14:paraId="1135075F" w14:textId="77777777" w:rsidR="004F12A5" w:rsidRPr="00CE6325" w:rsidRDefault="004F12A5" w:rsidP="00C549FA">
            <w:pPr>
              <w:widowControl w:val="0"/>
              <w:tabs>
                <w:tab w:val="left" w:pos="7371"/>
              </w:tabs>
              <w:rPr>
                <w:sz w:val="20"/>
              </w:rPr>
            </w:pPr>
            <w:r>
              <w:rPr>
                <w:sz w:val="20"/>
              </w:rPr>
              <w:t>Hyponatriæmi; Hypomagnesiæmi (se pkt. 4.4); Hypokalcæmi</w:t>
            </w:r>
            <w:r>
              <w:rPr>
                <w:sz w:val="20"/>
                <w:vertAlign w:val="superscript"/>
              </w:rPr>
              <w:t>(1)</w:t>
            </w:r>
            <w:r>
              <w:rPr>
                <w:sz w:val="20"/>
              </w:rPr>
              <w:t>; Hypokaliæmi</w:t>
            </w:r>
            <w:r>
              <w:rPr>
                <w:sz w:val="20"/>
                <w:vertAlign w:val="superscript"/>
              </w:rPr>
              <w:t>(1)</w:t>
            </w:r>
          </w:p>
        </w:tc>
      </w:tr>
      <w:tr w:rsidR="004F12A5" w14:paraId="16F125EF" w14:textId="77777777" w:rsidTr="00C549FA">
        <w:trPr>
          <w:cantSplit/>
        </w:trPr>
        <w:tc>
          <w:tcPr>
            <w:tcW w:w="1658" w:type="dxa"/>
          </w:tcPr>
          <w:p w14:paraId="55710B83" w14:textId="77777777" w:rsidR="004F12A5" w:rsidRPr="00CE6325" w:rsidRDefault="004F12A5" w:rsidP="00C549FA">
            <w:pPr>
              <w:widowControl w:val="0"/>
              <w:tabs>
                <w:tab w:val="left" w:pos="7371"/>
              </w:tabs>
              <w:rPr>
                <w:b/>
                <w:sz w:val="20"/>
              </w:rPr>
            </w:pPr>
            <w:r>
              <w:rPr>
                <w:b/>
                <w:sz w:val="20"/>
              </w:rPr>
              <w:t>Psykiske forstyrrelser</w:t>
            </w:r>
          </w:p>
        </w:tc>
        <w:tc>
          <w:tcPr>
            <w:tcW w:w="1603" w:type="dxa"/>
          </w:tcPr>
          <w:p w14:paraId="6CD384C4" w14:textId="77777777" w:rsidR="004F12A5" w:rsidRPr="00CE6325" w:rsidRDefault="004F12A5" w:rsidP="00C549FA">
            <w:pPr>
              <w:widowControl w:val="0"/>
              <w:tabs>
                <w:tab w:val="left" w:pos="7371"/>
              </w:tabs>
              <w:rPr>
                <w:sz w:val="20"/>
                <w:lang w:val="en-GB" w:eastAsia="en-GB"/>
              </w:rPr>
            </w:pPr>
          </w:p>
        </w:tc>
        <w:tc>
          <w:tcPr>
            <w:tcW w:w="1659" w:type="dxa"/>
          </w:tcPr>
          <w:p w14:paraId="09994DCA" w14:textId="77777777" w:rsidR="004F12A5" w:rsidRPr="00CE6325" w:rsidRDefault="004F12A5" w:rsidP="00C549FA">
            <w:pPr>
              <w:widowControl w:val="0"/>
              <w:tabs>
                <w:tab w:val="left" w:pos="7371"/>
              </w:tabs>
              <w:rPr>
                <w:sz w:val="20"/>
              </w:rPr>
            </w:pPr>
            <w:r>
              <w:rPr>
                <w:sz w:val="20"/>
              </w:rPr>
              <w:t>Søvnforstyrrelser</w:t>
            </w:r>
          </w:p>
        </w:tc>
        <w:tc>
          <w:tcPr>
            <w:tcW w:w="1658" w:type="dxa"/>
          </w:tcPr>
          <w:p w14:paraId="5949F827" w14:textId="77777777" w:rsidR="004F12A5" w:rsidRPr="00CE6325" w:rsidRDefault="004F12A5" w:rsidP="00C549FA">
            <w:pPr>
              <w:widowControl w:val="0"/>
              <w:tabs>
                <w:tab w:val="left" w:pos="7371"/>
              </w:tabs>
              <w:rPr>
                <w:sz w:val="20"/>
              </w:rPr>
            </w:pPr>
            <w:r>
              <w:rPr>
                <w:sz w:val="20"/>
              </w:rPr>
              <w:t>Depression (og forværring deraf)</w:t>
            </w:r>
          </w:p>
        </w:tc>
        <w:tc>
          <w:tcPr>
            <w:tcW w:w="1659" w:type="dxa"/>
          </w:tcPr>
          <w:p w14:paraId="05C1CBBC" w14:textId="77777777" w:rsidR="004F12A5" w:rsidRPr="00CE6325" w:rsidRDefault="004F12A5" w:rsidP="00C549FA">
            <w:pPr>
              <w:widowControl w:val="0"/>
              <w:tabs>
                <w:tab w:val="left" w:pos="7371"/>
              </w:tabs>
              <w:rPr>
                <w:sz w:val="20"/>
              </w:rPr>
            </w:pPr>
            <w:r>
              <w:rPr>
                <w:sz w:val="20"/>
              </w:rPr>
              <w:t>Desorientering (og forværring deraf)</w:t>
            </w:r>
          </w:p>
        </w:tc>
        <w:tc>
          <w:tcPr>
            <w:tcW w:w="1828" w:type="dxa"/>
          </w:tcPr>
          <w:p w14:paraId="76B19D6C" w14:textId="77777777" w:rsidR="004F12A5" w:rsidRPr="00CE6325" w:rsidRDefault="004F12A5" w:rsidP="00C549FA">
            <w:pPr>
              <w:widowControl w:val="0"/>
              <w:tabs>
                <w:tab w:val="left" w:pos="7371"/>
              </w:tabs>
              <w:autoSpaceDE w:val="0"/>
              <w:autoSpaceDN w:val="0"/>
              <w:adjustRightInd w:val="0"/>
              <w:rPr>
                <w:sz w:val="20"/>
              </w:rPr>
            </w:pPr>
            <w:r>
              <w:rPr>
                <w:sz w:val="20"/>
              </w:rPr>
              <w:t>Hallucinationer; Konfusion (især hos disponerede patienter, samt forværring af eksisterende symptomer)</w:t>
            </w:r>
          </w:p>
        </w:tc>
      </w:tr>
      <w:tr w:rsidR="004F12A5" w14:paraId="68048696" w14:textId="77777777" w:rsidTr="00C549FA">
        <w:trPr>
          <w:cantSplit/>
        </w:trPr>
        <w:tc>
          <w:tcPr>
            <w:tcW w:w="1658" w:type="dxa"/>
          </w:tcPr>
          <w:p w14:paraId="3C48F24E" w14:textId="77777777" w:rsidR="004F12A5" w:rsidRPr="00CE6325" w:rsidRDefault="004F12A5" w:rsidP="00C549FA">
            <w:pPr>
              <w:widowControl w:val="0"/>
              <w:tabs>
                <w:tab w:val="left" w:pos="7371"/>
              </w:tabs>
              <w:rPr>
                <w:b/>
                <w:sz w:val="20"/>
              </w:rPr>
            </w:pPr>
            <w:r>
              <w:rPr>
                <w:b/>
                <w:sz w:val="20"/>
              </w:rPr>
              <w:t>Nervesystemet</w:t>
            </w:r>
          </w:p>
        </w:tc>
        <w:tc>
          <w:tcPr>
            <w:tcW w:w="1603" w:type="dxa"/>
          </w:tcPr>
          <w:p w14:paraId="558461D1" w14:textId="77777777" w:rsidR="004F12A5" w:rsidRPr="00CE6325" w:rsidRDefault="004F12A5" w:rsidP="00C549FA">
            <w:pPr>
              <w:widowControl w:val="0"/>
              <w:tabs>
                <w:tab w:val="left" w:pos="7371"/>
              </w:tabs>
              <w:rPr>
                <w:sz w:val="20"/>
                <w:lang w:val="en-GB" w:eastAsia="en-GB"/>
              </w:rPr>
            </w:pPr>
          </w:p>
        </w:tc>
        <w:tc>
          <w:tcPr>
            <w:tcW w:w="1659" w:type="dxa"/>
          </w:tcPr>
          <w:p w14:paraId="52A973B4" w14:textId="77777777" w:rsidR="004F12A5" w:rsidRPr="00CE6325" w:rsidRDefault="004F12A5" w:rsidP="00C549FA">
            <w:pPr>
              <w:widowControl w:val="0"/>
              <w:tabs>
                <w:tab w:val="left" w:pos="7371"/>
              </w:tabs>
              <w:rPr>
                <w:sz w:val="20"/>
              </w:rPr>
            </w:pPr>
            <w:r>
              <w:rPr>
                <w:sz w:val="20"/>
              </w:rPr>
              <w:t>Hovedpine; Svimmelhed</w:t>
            </w:r>
          </w:p>
        </w:tc>
        <w:tc>
          <w:tcPr>
            <w:tcW w:w="1658" w:type="dxa"/>
          </w:tcPr>
          <w:p w14:paraId="49C8A5FE" w14:textId="77777777" w:rsidR="004F12A5" w:rsidRPr="00CE6325" w:rsidRDefault="004F12A5" w:rsidP="00C549FA">
            <w:pPr>
              <w:widowControl w:val="0"/>
              <w:tabs>
                <w:tab w:val="left" w:pos="7371"/>
              </w:tabs>
              <w:autoSpaceDE w:val="0"/>
              <w:autoSpaceDN w:val="0"/>
              <w:adjustRightInd w:val="0"/>
              <w:ind w:right="-194"/>
              <w:rPr>
                <w:sz w:val="20"/>
              </w:rPr>
            </w:pPr>
            <w:r>
              <w:rPr>
                <w:sz w:val="20"/>
              </w:rPr>
              <w:t>Smagsforstyrrelser</w:t>
            </w:r>
          </w:p>
        </w:tc>
        <w:tc>
          <w:tcPr>
            <w:tcW w:w="1659" w:type="dxa"/>
          </w:tcPr>
          <w:p w14:paraId="3194E6CD" w14:textId="77777777" w:rsidR="004F12A5" w:rsidRPr="00CE6325" w:rsidRDefault="004F12A5" w:rsidP="00C549FA">
            <w:pPr>
              <w:widowControl w:val="0"/>
              <w:tabs>
                <w:tab w:val="left" w:pos="7371"/>
              </w:tabs>
              <w:rPr>
                <w:sz w:val="20"/>
                <w:lang w:val="en-GB" w:eastAsia="en-GB"/>
              </w:rPr>
            </w:pPr>
          </w:p>
        </w:tc>
        <w:tc>
          <w:tcPr>
            <w:tcW w:w="1828" w:type="dxa"/>
          </w:tcPr>
          <w:p w14:paraId="38672508" w14:textId="77777777" w:rsidR="004F12A5" w:rsidRPr="00CE6325" w:rsidRDefault="004F12A5" w:rsidP="00C549FA">
            <w:pPr>
              <w:widowControl w:val="0"/>
              <w:tabs>
                <w:tab w:val="left" w:pos="7371"/>
              </w:tabs>
              <w:rPr>
                <w:sz w:val="20"/>
              </w:rPr>
            </w:pPr>
            <w:r>
              <w:rPr>
                <w:sz w:val="20"/>
              </w:rPr>
              <w:t>Paræstesi</w:t>
            </w:r>
          </w:p>
        </w:tc>
      </w:tr>
      <w:tr w:rsidR="004F12A5" w14:paraId="431C8DE4" w14:textId="77777777" w:rsidTr="00C549FA">
        <w:trPr>
          <w:cantSplit/>
        </w:trPr>
        <w:tc>
          <w:tcPr>
            <w:tcW w:w="1658" w:type="dxa"/>
          </w:tcPr>
          <w:p w14:paraId="10AC0ACD" w14:textId="77777777" w:rsidR="004F12A5" w:rsidRPr="00CE6325" w:rsidRDefault="004F12A5" w:rsidP="00C549FA">
            <w:pPr>
              <w:widowControl w:val="0"/>
              <w:tabs>
                <w:tab w:val="left" w:pos="7371"/>
              </w:tabs>
              <w:rPr>
                <w:b/>
                <w:sz w:val="20"/>
              </w:rPr>
            </w:pPr>
            <w:r>
              <w:rPr>
                <w:b/>
                <w:sz w:val="20"/>
              </w:rPr>
              <w:t>Øjne</w:t>
            </w:r>
          </w:p>
        </w:tc>
        <w:tc>
          <w:tcPr>
            <w:tcW w:w="1603" w:type="dxa"/>
          </w:tcPr>
          <w:p w14:paraId="332719F0" w14:textId="77777777" w:rsidR="004F12A5" w:rsidRPr="00CE6325" w:rsidRDefault="004F12A5" w:rsidP="00C549FA">
            <w:pPr>
              <w:widowControl w:val="0"/>
              <w:tabs>
                <w:tab w:val="left" w:pos="7371"/>
              </w:tabs>
              <w:rPr>
                <w:sz w:val="20"/>
                <w:lang w:val="en-GB" w:eastAsia="en-GB"/>
              </w:rPr>
            </w:pPr>
          </w:p>
        </w:tc>
        <w:tc>
          <w:tcPr>
            <w:tcW w:w="1659" w:type="dxa"/>
          </w:tcPr>
          <w:p w14:paraId="7E1AE041" w14:textId="77777777" w:rsidR="004F12A5" w:rsidRPr="00CE6325" w:rsidRDefault="004F12A5" w:rsidP="00C549FA">
            <w:pPr>
              <w:widowControl w:val="0"/>
              <w:tabs>
                <w:tab w:val="left" w:pos="7371"/>
              </w:tabs>
              <w:rPr>
                <w:sz w:val="20"/>
                <w:lang w:val="en-GB" w:eastAsia="en-GB"/>
              </w:rPr>
            </w:pPr>
          </w:p>
        </w:tc>
        <w:tc>
          <w:tcPr>
            <w:tcW w:w="1658" w:type="dxa"/>
          </w:tcPr>
          <w:p w14:paraId="681A162C" w14:textId="77777777" w:rsidR="004F12A5" w:rsidRPr="00CE6325" w:rsidRDefault="004F12A5" w:rsidP="00C549FA">
            <w:pPr>
              <w:widowControl w:val="0"/>
              <w:tabs>
                <w:tab w:val="left" w:pos="7371"/>
              </w:tabs>
              <w:rPr>
                <w:sz w:val="20"/>
              </w:rPr>
            </w:pPr>
            <w:r>
              <w:rPr>
                <w:sz w:val="20"/>
              </w:rPr>
              <w:t>Synsforstyrrelser/sløret syn</w:t>
            </w:r>
          </w:p>
        </w:tc>
        <w:tc>
          <w:tcPr>
            <w:tcW w:w="1659" w:type="dxa"/>
          </w:tcPr>
          <w:p w14:paraId="4BD179DD" w14:textId="77777777" w:rsidR="004F12A5" w:rsidRPr="00CE6325" w:rsidRDefault="004F12A5" w:rsidP="00C549FA">
            <w:pPr>
              <w:widowControl w:val="0"/>
              <w:tabs>
                <w:tab w:val="left" w:pos="7371"/>
              </w:tabs>
              <w:rPr>
                <w:sz w:val="20"/>
                <w:lang w:val="en-GB" w:eastAsia="en-GB"/>
              </w:rPr>
            </w:pPr>
          </w:p>
        </w:tc>
        <w:tc>
          <w:tcPr>
            <w:tcW w:w="1828" w:type="dxa"/>
          </w:tcPr>
          <w:p w14:paraId="3E3CF1FF" w14:textId="77777777" w:rsidR="004F12A5" w:rsidRPr="00CE6325" w:rsidRDefault="004F12A5" w:rsidP="00C549FA">
            <w:pPr>
              <w:widowControl w:val="0"/>
              <w:tabs>
                <w:tab w:val="left" w:pos="7371"/>
              </w:tabs>
              <w:rPr>
                <w:sz w:val="20"/>
                <w:lang w:val="en-GB" w:eastAsia="en-GB"/>
              </w:rPr>
            </w:pPr>
          </w:p>
        </w:tc>
      </w:tr>
      <w:tr w:rsidR="004F12A5" w14:paraId="7A253E68" w14:textId="77777777" w:rsidTr="00C549FA">
        <w:trPr>
          <w:cantSplit/>
        </w:trPr>
        <w:tc>
          <w:tcPr>
            <w:tcW w:w="1658" w:type="dxa"/>
          </w:tcPr>
          <w:p w14:paraId="397C3DE5" w14:textId="77777777" w:rsidR="004F12A5" w:rsidRPr="00CE6325" w:rsidRDefault="004F12A5" w:rsidP="00C549FA">
            <w:pPr>
              <w:widowControl w:val="0"/>
              <w:tabs>
                <w:tab w:val="left" w:pos="7371"/>
              </w:tabs>
              <w:rPr>
                <w:b/>
                <w:sz w:val="20"/>
              </w:rPr>
            </w:pPr>
            <w:r>
              <w:rPr>
                <w:b/>
                <w:sz w:val="20"/>
              </w:rPr>
              <w:lastRenderedPageBreak/>
              <w:t>Mave-tarm-kanalen</w:t>
            </w:r>
          </w:p>
        </w:tc>
        <w:tc>
          <w:tcPr>
            <w:tcW w:w="1603" w:type="dxa"/>
          </w:tcPr>
          <w:p w14:paraId="6E5F3A67" w14:textId="77777777" w:rsidR="004F12A5" w:rsidRPr="00CE6325" w:rsidRDefault="004F12A5" w:rsidP="00C549FA">
            <w:pPr>
              <w:widowControl w:val="0"/>
              <w:tabs>
                <w:tab w:val="left" w:pos="7371"/>
              </w:tabs>
              <w:rPr>
                <w:sz w:val="20"/>
              </w:rPr>
            </w:pPr>
            <w:r>
              <w:rPr>
                <w:sz w:val="20"/>
              </w:rPr>
              <w:t>Funduskirtel-polypper (benigne)</w:t>
            </w:r>
          </w:p>
        </w:tc>
        <w:tc>
          <w:tcPr>
            <w:tcW w:w="1659" w:type="dxa"/>
          </w:tcPr>
          <w:p w14:paraId="565074CE" w14:textId="77777777" w:rsidR="004F12A5" w:rsidRPr="00CE6325" w:rsidRDefault="004F12A5" w:rsidP="00C549FA">
            <w:pPr>
              <w:widowControl w:val="0"/>
              <w:tabs>
                <w:tab w:val="left" w:pos="7371"/>
              </w:tabs>
              <w:ind w:right="-13"/>
              <w:rPr>
                <w:sz w:val="20"/>
              </w:rPr>
            </w:pPr>
            <w:r>
              <w:rPr>
                <w:sz w:val="20"/>
              </w:rPr>
              <w:t>Diarré; Kvalme/opkastning; Udspilet abdomen og oppustethed; Obstipation; Mundtørhed; Smerter og ubehag i abdomen</w:t>
            </w:r>
          </w:p>
        </w:tc>
        <w:tc>
          <w:tcPr>
            <w:tcW w:w="1658" w:type="dxa"/>
          </w:tcPr>
          <w:p w14:paraId="679DF88C" w14:textId="77777777" w:rsidR="004F12A5" w:rsidRPr="0099469E" w:rsidRDefault="004F12A5" w:rsidP="00C549FA">
            <w:pPr>
              <w:widowControl w:val="0"/>
              <w:tabs>
                <w:tab w:val="left" w:pos="7371"/>
              </w:tabs>
              <w:rPr>
                <w:sz w:val="20"/>
                <w:lang w:eastAsia="en-GB"/>
              </w:rPr>
            </w:pPr>
          </w:p>
        </w:tc>
        <w:tc>
          <w:tcPr>
            <w:tcW w:w="1659" w:type="dxa"/>
          </w:tcPr>
          <w:p w14:paraId="3254FA69" w14:textId="77777777" w:rsidR="004F12A5" w:rsidRPr="0099469E" w:rsidRDefault="004F12A5" w:rsidP="00C549FA">
            <w:pPr>
              <w:widowControl w:val="0"/>
              <w:tabs>
                <w:tab w:val="left" w:pos="7371"/>
              </w:tabs>
              <w:rPr>
                <w:sz w:val="20"/>
                <w:lang w:eastAsia="en-GB"/>
              </w:rPr>
            </w:pPr>
          </w:p>
        </w:tc>
        <w:tc>
          <w:tcPr>
            <w:tcW w:w="1828" w:type="dxa"/>
          </w:tcPr>
          <w:p w14:paraId="01176909" w14:textId="77777777" w:rsidR="004F12A5" w:rsidRPr="00CE6325" w:rsidRDefault="004F12A5" w:rsidP="00C549FA">
            <w:pPr>
              <w:widowControl w:val="0"/>
              <w:tabs>
                <w:tab w:val="left" w:pos="7371"/>
              </w:tabs>
              <w:rPr>
                <w:sz w:val="20"/>
              </w:rPr>
            </w:pPr>
            <w:r>
              <w:rPr>
                <w:sz w:val="20"/>
              </w:rPr>
              <w:t>Mikroskopisk colitis</w:t>
            </w:r>
          </w:p>
        </w:tc>
      </w:tr>
      <w:tr w:rsidR="004F12A5" w14:paraId="042EBF7B" w14:textId="77777777" w:rsidTr="00C549FA">
        <w:trPr>
          <w:trHeight w:val="1018"/>
        </w:trPr>
        <w:tc>
          <w:tcPr>
            <w:tcW w:w="1658" w:type="dxa"/>
          </w:tcPr>
          <w:p w14:paraId="01D80835" w14:textId="77777777" w:rsidR="004F12A5" w:rsidRPr="00CE6325" w:rsidRDefault="004F12A5" w:rsidP="00C549FA">
            <w:pPr>
              <w:widowControl w:val="0"/>
              <w:tabs>
                <w:tab w:val="left" w:pos="7371"/>
              </w:tabs>
              <w:rPr>
                <w:b/>
                <w:sz w:val="20"/>
              </w:rPr>
            </w:pPr>
            <w:r>
              <w:rPr>
                <w:b/>
                <w:sz w:val="20"/>
              </w:rPr>
              <w:t>Lever og galdeveje</w:t>
            </w:r>
          </w:p>
        </w:tc>
        <w:tc>
          <w:tcPr>
            <w:tcW w:w="1603" w:type="dxa"/>
          </w:tcPr>
          <w:p w14:paraId="57BF91F9" w14:textId="77777777" w:rsidR="004F12A5" w:rsidRPr="00CE6325" w:rsidRDefault="004F12A5" w:rsidP="00C549FA">
            <w:pPr>
              <w:widowControl w:val="0"/>
              <w:tabs>
                <w:tab w:val="left" w:pos="7371"/>
              </w:tabs>
              <w:rPr>
                <w:sz w:val="20"/>
                <w:lang w:val="en-GB" w:eastAsia="en-GB"/>
              </w:rPr>
            </w:pPr>
          </w:p>
        </w:tc>
        <w:tc>
          <w:tcPr>
            <w:tcW w:w="1659" w:type="dxa"/>
          </w:tcPr>
          <w:p w14:paraId="6B4FEA8D" w14:textId="77777777" w:rsidR="004F12A5" w:rsidRPr="00CE6325" w:rsidRDefault="004F12A5" w:rsidP="00C549FA">
            <w:pPr>
              <w:widowControl w:val="0"/>
              <w:tabs>
                <w:tab w:val="left" w:pos="7371"/>
              </w:tabs>
              <w:rPr>
                <w:sz w:val="20"/>
              </w:rPr>
            </w:pPr>
            <w:r>
              <w:rPr>
                <w:sz w:val="20"/>
              </w:rPr>
              <w:t>Forhøjede leverenzymer (transaminaser, γ</w:t>
            </w:r>
            <w:r>
              <w:rPr>
                <w:sz w:val="20"/>
              </w:rPr>
              <w:noBreakHyphen/>
              <w:t>GT)</w:t>
            </w:r>
          </w:p>
        </w:tc>
        <w:tc>
          <w:tcPr>
            <w:tcW w:w="1658" w:type="dxa"/>
          </w:tcPr>
          <w:p w14:paraId="73E6260B" w14:textId="77777777" w:rsidR="004F12A5" w:rsidRPr="00CE6325" w:rsidRDefault="004F12A5" w:rsidP="00C549FA">
            <w:pPr>
              <w:widowControl w:val="0"/>
              <w:tabs>
                <w:tab w:val="left" w:pos="7371"/>
              </w:tabs>
              <w:rPr>
                <w:sz w:val="20"/>
              </w:rPr>
            </w:pPr>
            <w:r>
              <w:rPr>
                <w:sz w:val="20"/>
              </w:rPr>
              <w:t>Forhøjet bilirubin</w:t>
            </w:r>
          </w:p>
        </w:tc>
        <w:tc>
          <w:tcPr>
            <w:tcW w:w="1659" w:type="dxa"/>
          </w:tcPr>
          <w:p w14:paraId="5F4E79E4" w14:textId="77777777" w:rsidR="004F12A5" w:rsidRPr="00CE6325" w:rsidRDefault="004F12A5" w:rsidP="00C549FA">
            <w:pPr>
              <w:widowControl w:val="0"/>
              <w:tabs>
                <w:tab w:val="left" w:pos="7371"/>
              </w:tabs>
              <w:rPr>
                <w:sz w:val="20"/>
                <w:lang w:val="en-GB" w:eastAsia="en-GB"/>
              </w:rPr>
            </w:pPr>
          </w:p>
        </w:tc>
        <w:tc>
          <w:tcPr>
            <w:tcW w:w="1828" w:type="dxa"/>
          </w:tcPr>
          <w:p w14:paraId="60A71072" w14:textId="77777777" w:rsidR="004F12A5" w:rsidRPr="00CE6325" w:rsidRDefault="004F12A5" w:rsidP="00C549FA">
            <w:pPr>
              <w:widowControl w:val="0"/>
              <w:tabs>
                <w:tab w:val="left" w:pos="7371"/>
              </w:tabs>
              <w:rPr>
                <w:sz w:val="20"/>
              </w:rPr>
            </w:pPr>
            <w:r>
              <w:rPr>
                <w:sz w:val="20"/>
              </w:rPr>
              <w:t>Hepatocellulær skade; Ikterus; Leversvigt</w:t>
            </w:r>
          </w:p>
        </w:tc>
      </w:tr>
      <w:tr w:rsidR="004F12A5" w:rsidRPr="004F12A5" w14:paraId="0979F383" w14:textId="77777777" w:rsidTr="00C549FA">
        <w:tc>
          <w:tcPr>
            <w:tcW w:w="1658" w:type="dxa"/>
          </w:tcPr>
          <w:p w14:paraId="107491E6" w14:textId="77777777" w:rsidR="004F12A5" w:rsidRPr="00CE6325" w:rsidRDefault="004F12A5" w:rsidP="00C549FA">
            <w:pPr>
              <w:widowControl w:val="0"/>
              <w:tabs>
                <w:tab w:val="left" w:pos="7371"/>
              </w:tabs>
              <w:rPr>
                <w:b/>
                <w:sz w:val="20"/>
              </w:rPr>
            </w:pPr>
            <w:r>
              <w:rPr>
                <w:b/>
                <w:sz w:val="20"/>
              </w:rPr>
              <w:t>Hud og subkutane væv</w:t>
            </w:r>
          </w:p>
        </w:tc>
        <w:tc>
          <w:tcPr>
            <w:tcW w:w="1603" w:type="dxa"/>
          </w:tcPr>
          <w:p w14:paraId="630DF194" w14:textId="77777777" w:rsidR="004F12A5" w:rsidRPr="00CE6325" w:rsidRDefault="004F12A5" w:rsidP="00C549FA">
            <w:pPr>
              <w:widowControl w:val="0"/>
              <w:tabs>
                <w:tab w:val="left" w:pos="7371"/>
              </w:tabs>
              <w:rPr>
                <w:sz w:val="20"/>
                <w:lang w:val="en-GB" w:eastAsia="en-GB"/>
              </w:rPr>
            </w:pPr>
          </w:p>
        </w:tc>
        <w:tc>
          <w:tcPr>
            <w:tcW w:w="1659" w:type="dxa"/>
          </w:tcPr>
          <w:p w14:paraId="28F9B07B" w14:textId="77777777" w:rsidR="004F12A5" w:rsidRPr="00CE6325" w:rsidRDefault="004F12A5" w:rsidP="00C549FA">
            <w:pPr>
              <w:widowControl w:val="0"/>
              <w:tabs>
                <w:tab w:val="left" w:pos="7371"/>
              </w:tabs>
              <w:ind w:right="-13"/>
              <w:rPr>
                <w:sz w:val="20"/>
              </w:rPr>
            </w:pPr>
            <w:r>
              <w:rPr>
                <w:sz w:val="20"/>
              </w:rPr>
              <w:t>Udslæt / eksantem / eruption; Pruritus</w:t>
            </w:r>
          </w:p>
        </w:tc>
        <w:tc>
          <w:tcPr>
            <w:tcW w:w="1658" w:type="dxa"/>
          </w:tcPr>
          <w:p w14:paraId="0DF41FE0" w14:textId="77777777" w:rsidR="004F12A5" w:rsidRPr="00CE6325" w:rsidRDefault="004F12A5" w:rsidP="00C549FA">
            <w:pPr>
              <w:widowControl w:val="0"/>
              <w:tabs>
                <w:tab w:val="left" w:pos="7371"/>
              </w:tabs>
              <w:rPr>
                <w:sz w:val="20"/>
              </w:rPr>
            </w:pPr>
            <w:r>
              <w:rPr>
                <w:sz w:val="20"/>
              </w:rPr>
              <w:t>Urticaria; Angioødem</w:t>
            </w:r>
          </w:p>
        </w:tc>
        <w:tc>
          <w:tcPr>
            <w:tcW w:w="1659" w:type="dxa"/>
          </w:tcPr>
          <w:p w14:paraId="697788E6" w14:textId="77777777" w:rsidR="004F12A5" w:rsidRPr="00CE6325" w:rsidRDefault="004F12A5" w:rsidP="00C549FA">
            <w:pPr>
              <w:widowControl w:val="0"/>
              <w:tabs>
                <w:tab w:val="left" w:pos="7371"/>
              </w:tabs>
              <w:rPr>
                <w:sz w:val="20"/>
                <w:lang w:val="en-GB" w:eastAsia="en-GB"/>
              </w:rPr>
            </w:pPr>
          </w:p>
        </w:tc>
        <w:tc>
          <w:tcPr>
            <w:tcW w:w="1828" w:type="dxa"/>
          </w:tcPr>
          <w:p w14:paraId="29CBC60F" w14:textId="77777777" w:rsidR="004F12A5" w:rsidRPr="004F12A5" w:rsidRDefault="004F12A5" w:rsidP="00C549FA">
            <w:pPr>
              <w:widowControl w:val="0"/>
              <w:tabs>
                <w:tab w:val="left" w:pos="7371"/>
              </w:tabs>
              <w:autoSpaceDE w:val="0"/>
              <w:autoSpaceDN w:val="0"/>
              <w:adjustRightInd w:val="0"/>
              <w:rPr>
                <w:sz w:val="20"/>
              </w:rPr>
            </w:pPr>
            <w:r w:rsidRPr="004F12A5">
              <w:rPr>
                <w:sz w:val="20"/>
              </w:rPr>
              <w:t>Stevens-Johnsons syndrome; Lyell-syndrom; Erythema multiforme; Fotosensibilitet; Subakut kutan lupus erythematosus (se pkt. 4.4); Lægemiddelreaktion med eosinofili og systemiske symptomer (DRESS)</w:t>
            </w:r>
          </w:p>
        </w:tc>
      </w:tr>
      <w:tr w:rsidR="004F12A5" w14:paraId="4E4EB2AB" w14:textId="77777777" w:rsidTr="00C549FA">
        <w:tc>
          <w:tcPr>
            <w:tcW w:w="1658" w:type="dxa"/>
          </w:tcPr>
          <w:p w14:paraId="267F95B3" w14:textId="77777777" w:rsidR="004F12A5" w:rsidRPr="00CE6325" w:rsidRDefault="004F12A5" w:rsidP="00C549FA">
            <w:pPr>
              <w:widowControl w:val="0"/>
              <w:tabs>
                <w:tab w:val="left" w:pos="7371"/>
              </w:tabs>
              <w:autoSpaceDE w:val="0"/>
              <w:autoSpaceDN w:val="0"/>
              <w:adjustRightInd w:val="0"/>
              <w:rPr>
                <w:b/>
                <w:bCs/>
                <w:iCs/>
                <w:sz w:val="20"/>
              </w:rPr>
            </w:pPr>
            <w:r>
              <w:rPr>
                <w:b/>
                <w:sz w:val="20"/>
              </w:rPr>
              <w:t>Knogler, led, muskler og bindevæv</w:t>
            </w:r>
          </w:p>
        </w:tc>
        <w:tc>
          <w:tcPr>
            <w:tcW w:w="1603" w:type="dxa"/>
          </w:tcPr>
          <w:p w14:paraId="079EB4D8" w14:textId="77777777" w:rsidR="004F12A5" w:rsidRPr="0099469E" w:rsidRDefault="004F12A5" w:rsidP="00C549FA">
            <w:pPr>
              <w:widowControl w:val="0"/>
              <w:tabs>
                <w:tab w:val="left" w:pos="7371"/>
              </w:tabs>
              <w:rPr>
                <w:sz w:val="20"/>
                <w:lang w:eastAsia="en-GB"/>
              </w:rPr>
            </w:pPr>
          </w:p>
        </w:tc>
        <w:tc>
          <w:tcPr>
            <w:tcW w:w="1659" w:type="dxa"/>
          </w:tcPr>
          <w:p w14:paraId="6E8C7A83" w14:textId="77777777" w:rsidR="004F12A5" w:rsidRPr="00CE6325" w:rsidRDefault="004F12A5" w:rsidP="00C549FA">
            <w:pPr>
              <w:widowControl w:val="0"/>
              <w:tabs>
                <w:tab w:val="left" w:pos="7371"/>
              </w:tabs>
              <w:rPr>
                <w:sz w:val="20"/>
              </w:rPr>
            </w:pPr>
            <w:r>
              <w:rPr>
                <w:sz w:val="20"/>
              </w:rPr>
              <w:t>Fraktur i hofte; Håndled eller rygsøjle (se pkt. 4.4)</w:t>
            </w:r>
          </w:p>
        </w:tc>
        <w:tc>
          <w:tcPr>
            <w:tcW w:w="1658" w:type="dxa"/>
          </w:tcPr>
          <w:p w14:paraId="1E44EEB3" w14:textId="77777777" w:rsidR="004F12A5" w:rsidRPr="00CE6325" w:rsidRDefault="004F12A5" w:rsidP="00C549FA">
            <w:pPr>
              <w:widowControl w:val="0"/>
              <w:tabs>
                <w:tab w:val="left" w:pos="7371"/>
              </w:tabs>
              <w:rPr>
                <w:sz w:val="20"/>
              </w:rPr>
            </w:pPr>
            <w:r>
              <w:rPr>
                <w:sz w:val="20"/>
              </w:rPr>
              <w:t>Artralgi; Myalgi</w:t>
            </w:r>
          </w:p>
        </w:tc>
        <w:tc>
          <w:tcPr>
            <w:tcW w:w="1659" w:type="dxa"/>
          </w:tcPr>
          <w:p w14:paraId="55860D49" w14:textId="77777777" w:rsidR="004F12A5" w:rsidRPr="00CE6325" w:rsidRDefault="004F12A5" w:rsidP="00C549FA">
            <w:pPr>
              <w:widowControl w:val="0"/>
              <w:tabs>
                <w:tab w:val="left" w:pos="7371"/>
              </w:tabs>
              <w:rPr>
                <w:sz w:val="20"/>
                <w:lang w:val="en-GB" w:eastAsia="en-GB"/>
              </w:rPr>
            </w:pPr>
          </w:p>
        </w:tc>
        <w:tc>
          <w:tcPr>
            <w:tcW w:w="1828" w:type="dxa"/>
          </w:tcPr>
          <w:p w14:paraId="12B89592" w14:textId="77777777" w:rsidR="004F12A5" w:rsidRPr="00CE6325" w:rsidRDefault="004F12A5" w:rsidP="00C549FA">
            <w:pPr>
              <w:widowControl w:val="0"/>
              <w:tabs>
                <w:tab w:val="left" w:pos="7371"/>
              </w:tabs>
              <w:rPr>
                <w:sz w:val="20"/>
              </w:rPr>
            </w:pPr>
            <w:r>
              <w:rPr>
                <w:sz w:val="20"/>
              </w:rPr>
              <w:t>Muskelkramper</w:t>
            </w:r>
            <w:r>
              <w:rPr>
                <w:sz w:val="20"/>
                <w:vertAlign w:val="superscript"/>
              </w:rPr>
              <w:t>(2)</w:t>
            </w:r>
          </w:p>
        </w:tc>
      </w:tr>
      <w:tr w:rsidR="004F12A5" w14:paraId="52152228" w14:textId="77777777" w:rsidTr="00C549FA">
        <w:tc>
          <w:tcPr>
            <w:tcW w:w="1658" w:type="dxa"/>
          </w:tcPr>
          <w:p w14:paraId="3C291F8A" w14:textId="77777777" w:rsidR="004F12A5" w:rsidRPr="00CE6325" w:rsidRDefault="004F12A5" w:rsidP="00C549FA">
            <w:pPr>
              <w:widowControl w:val="0"/>
              <w:tabs>
                <w:tab w:val="left" w:pos="7371"/>
              </w:tabs>
              <w:autoSpaceDE w:val="0"/>
              <w:autoSpaceDN w:val="0"/>
              <w:adjustRightInd w:val="0"/>
              <w:rPr>
                <w:b/>
                <w:sz w:val="20"/>
              </w:rPr>
            </w:pPr>
            <w:r>
              <w:rPr>
                <w:b/>
                <w:sz w:val="20"/>
              </w:rPr>
              <w:t>Nyrer og urinveje</w:t>
            </w:r>
          </w:p>
        </w:tc>
        <w:tc>
          <w:tcPr>
            <w:tcW w:w="1603" w:type="dxa"/>
          </w:tcPr>
          <w:p w14:paraId="10ABCDAC" w14:textId="77777777" w:rsidR="004F12A5" w:rsidRPr="00CE6325" w:rsidRDefault="004F12A5" w:rsidP="00C549FA">
            <w:pPr>
              <w:widowControl w:val="0"/>
              <w:tabs>
                <w:tab w:val="left" w:pos="7371"/>
              </w:tabs>
              <w:rPr>
                <w:sz w:val="20"/>
                <w:lang w:val="en-GB" w:eastAsia="en-GB"/>
              </w:rPr>
            </w:pPr>
          </w:p>
        </w:tc>
        <w:tc>
          <w:tcPr>
            <w:tcW w:w="1659" w:type="dxa"/>
          </w:tcPr>
          <w:p w14:paraId="29FDFF7A" w14:textId="77777777" w:rsidR="004F12A5" w:rsidRPr="00CE6325" w:rsidRDefault="004F12A5" w:rsidP="00C549FA">
            <w:pPr>
              <w:widowControl w:val="0"/>
              <w:tabs>
                <w:tab w:val="left" w:pos="7371"/>
              </w:tabs>
              <w:rPr>
                <w:sz w:val="20"/>
                <w:lang w:val="en-GB" w:eastAsia="en-GB"/>
              </w:rPr>
            </w:pPr>
          </w:p>
        </w:tc>
        <w:tc>
          <w:tcPr>
            <w:tcW w:w="1658" w:type="dxa"/>
          </w:tcPr>
          <w:p w14:paraId="103EA372" w14:textId="77777777" w:rsidR="004F12A5" w:rsidRPr="00CE6325" w:rsidRDefault="004F12A5" w:rsidP="00C549FA">
            <w:pPr>
              <w:widowControl w:val="0"/>
              <w:tabs>
                <w:tab w:val="left" w:pos="7371"/>
              </w:tabs>
              <w:rPr>
                <w:sz w:val="20"/>
                <w:lang w:val="en-GB" w:eastAsia="en-GB"/>
              </w:rPr>
            </w:pPr>
          </w:p>
        </w:tc>
        <w:tc>
          <w:tcPr>
            <w:tcW w:w="1659" w:type="dxa"/>
          </w:tcPr>
          <w:p w14:paraId="4E1101C3" w14:textId="77777777" w:rsidR="004F12A5" w:rsidRPr="00CE6325" w:rsidRDefault="004F12A5" w:rsidP="00C549FA">
            <w:pPr>
              <w:widowControl w:val="0"/>
              <w:tabs>
                <w:tab w:val="left" w:pos="7371"/>
              </w:tabs>
              <w:rPr>
                <w:sz w:val="20"/>
                <w:lang w:val="en-GB" w:eastAsia="en-GB"/>
              </w:rPr>
            </w:pPr>
          </w:p>
        </w:tc>
        <w:tc>
          <w:tcPr>
            <w:tcW w:w="1828" w:type="dxa"/>
          </w:tcPr>
          <w:p w14:paraId="7D7D7C43" w14:textId="77777777" w:rsidR="004F12A5" w:rsidRPr="00CE6325" w:rsidRDefault="004F12A5" w:rsidP="00C549FA">
            <w:pPr>
              <w:widowControl w:val="0"/>
              <w:tabs>
                <w:tab w:val="left" w:pos="7371"/>
              </w:tabs>
              <w:rPr>
                <w:sz w:val="20"/>
              </w:rPr>
            </w:pPr>
            <w:r>
              <w:rPr>
                <w:sz w:val="20"/>
              </w:rPr>
              <w:t>Interstitiel nefritis (med mulig progression til nyresvigt)</w:t>
            </w:r>
          </w:p>
        </w:tc>
      </w:tr>
      <w:tr w:rsidR="004F12A5" w14:paraId="08C71F34" w14:textId="77777777" w:rsidTr="00C549FA">
        <w:tc>
          <w:tcPr>
            <w:tcW w:w="1658" w:type="dxa"/>
          </w:tcPr>
          <w:p w14:paraId="0FCC3047" w14:textId="77777777" w:rsidR="004F12A5" w:rsidRPr="00CE6325" w:rsidRDefault="004F12A5" w:rsidP="00C549FA">
            <w:pPr>
              <w:widowControl w:val="0"/>
              <w:tabs>
                <w:tab w:val="left" w:pos="7371"/>
              </w:tabs>
              <w:rPr>
                <w:b/>
                <w:sz w:val="20"/>
              </w:rPr>
            </w:pPr>
            <w:r>
              <w:rPr>
                <w:b/>
                <w:sz w:val="20"/>
              </w:rPr>
              <w:t>Det reproduktive system og mammae</w:t>
            </w:r>
          </w:p>
        </w:tc>
        <w:tc>
          <w:tcPr>
            <w:tcW w:w="1603" w:type="dxa"/>
          </w:tcPr>
          <w:p w14:paraId="2764BBCE" w14:textId="77777777" w:rsidR="004F12A5" w:rsidRPr="004F12A5" w:rsidRDefault="004F12A5" w:rsidP="00C549FA">
            <w:pPr>
              <w:widowControl w:val="0"/>
              <w:tabs>
                <w:tab w:val="left" w:pos="7371"/>
              </w:tabs>
              <w:rPr>
                <w:sz w:val="20"/>
                <w:lang w:eastAsia="en-GB"/>
              </w:rPr>
            </w:pPr>
          </w:p>
        </w:tc>
        <w:tc>
          <w:tcPr>
            <w:tcW w:w="1659" w:type="dxa"/>
          </w:tcPr>
          <w:p w14:paraId="5E85A786" w14:textId="77777777" w:rsidR="004F12A5" w:rsidRPr="004F12A5" w:rsidRDefault="004F12A5" w:rsidP="00C549FA">
            <w:pPr>
              <w:widowControl w:val="0"/>
              <w:tabs>
                <w:tab w:val="left" w:pos="7371"/>
              </w:tabs>
              <w:rPr>
                <w:sz w:val="20"/>
                <w:lang w:eastAsia="en-GB"/>
              </w:rPr>
            </w:pPr>
          </w:p>
        </w:tc>
        <w:tc>
          <w:tcPr>
            <w:tcW w:w="1658" w:type="dxa"/>
          </w:tcPr>
          <w:p w14:paraId="4878A9C7" w14:textId="77777777" w:rsidR="004F12A5" w:rsidRPr="00CE6325" w:rsidRDefault="004F12A5" w:rsidP="00C549FA">
            <w:pPr>
              <w:widowControl w:val="0"/>
              <w:tabs>
                <w:tab w:val="left" w:pos="7371"/>
              </w:tabs>
              <w:rPr>
                <w:sz w:val="20"/>
              </w:rPr>
            </w:pPr>
            <w:r>
              <w:rPr>
                <w:sz w:val="20"/>
              </w:rPr>
              <w:t>Gynækomasti</w:t>
            </w:r>
          </w:p>
        </w:tc>
        <w:tc>
          <w:tcPr>
            <w:tcW w:w="1659" w:type="dxa"/>
          </w:tcPr>
          <w:p w14:paraId="581618EC" w14:textId="77777777" w:rsidR="004F12A5" w:rsidRPr="00CE6325" w:rsidRDefault="004F12A5" w:rsidP="00C549FA">
            <w:pPr>
              <w:widowControl w:val="0"/>
              <w:tabs>
                <w:tab w:val="left" w:pos="7371"/>
              </w:tabs>
              <w:rPr>
                <w:sz w:val="20"/>
                <w:lang w:val="en-GB" w:eastAsia="en-GB"/>
              </w:rPr>
            </w:pPr>
          </w:p>
        </w:tc>
        <w:tc>
          <w:tcPr>
            <w:tcW w:w="1828" w:type="dxa"/>
          </w:tcPr>
          <w:p w14:paraId="62C70992" w14:textId="77777777" w:rsidR="004F12A5" w:rsidRPr="00CE6325" w:rsidRDefault="004F12A5" w:rsidP="00C549FA">
            <w:pPr>
              <w:widowControl w:val="0"/>
              <w:tabs>
                <w:tab w:val="left" w:pos="7371"/>
              </w:tabs>
              <w:rPr>
                <w:sz w:val="20"/>
                <w:lang w:val="en-GB" w:eastAsia="en-GB"/>
              </w:rPr>
            </w:pPr>
          </w:p>
        </w:tc>
      </w:tr>
      <w:tr w:rsidR="004F12A5" w14:paraId="42C2F027" w14:textId="77777777" w:rsidTr="00C549FA">
        <w:tc>
          <w:tcPr>
            <w:tcW w:w="1658" w:type="dxa"/>
          </w:tcPr>
          <w:p w14:paraId="5A04B65A" w14:textId="77777777" w:rsidR="004F12A5" w:rsidRPr="00CE6325" w:rsidRDefault="004F12A5" w:rsidP="00C549FA">
            <w:pPr>
              <w:widowControl w:val="0"/>
              <w:tabs>
                <w:tab w:val="left" w:pos="7371"/>
              </w:tabs>
              <w:rPr>
                <w:b/>
                <w:sz w:val="20"/>
              </w:rPr>
            </w:pPr>
            <w:r>
              <w:rPr>
                <w:b/>
                <w:sz w:val="20"/>
              </w:rPr>
              <w:t>Almene symptomer og reaktioner på administrationsstedet</w:t>
            </w:r>
          </w:p>
        </w:tc>
        <w:tc>
          <w:tcPr>
            <w:tcW w:w="1603" w:type="dxa"/>
          </w:tcPr>
          <w:p w14:paraId="01D477D6" w14:textId="77777777" w:rsidR="004F12A5" w:rsidRPr="00CE6325" w:rsidRDefault="004F12A5" w:rsidP="00C549FA">
            <w:pPr>
              <w:widowControl w:val="0"/>
              <w:tabs>
                <w:tab w:val="left" w:pos="7371"/>
              </w:tabs>
              <w:rPr>
                <w:sz w:val="20"/>
              </w:rPr>
            </w:pPr>
            <w:r>
              <w:rPr>
                <w:sz w:val="20"/>
              </w:rPr>
              <w:t>Tromboflebitis ved injektionsstedet</w:t>
            </w:r>
          </w:p>
        </w:tc>
        <w:tc>
          <w:tcPr>
            <w:tcW w:w="1659" w:type="dxa"/>
          </w:tcPr>
          <w:p w14:paraId="4F05F7C0" w14:textId="77777777" w:rsidR="004F12A5" w:rsidRPr="00CE6325" w:rsidRDefault="004F12A5" w:rsidP="00C549FA">
            <w:pPr>
              <w:widowControl w:val="0"/>
              <w:tabs>
                <w:tab w:val="left" w:pos="7371"/>
              </w:tabs>
              <w:rPr>
                <w:sz w:val="20"/>
              </w:rPr>
            </w:pPr>
            <w:r>
              <w:rPr>
                <w:sz w:val="20"/>
              </w:rPr>
              <w:t>Asteni; Træthed og utilpashed</w:t>
            </w:r>
          </w:p>
        </w:tc>
        <w:tc>
          <w:tcPr>
            <w:tcW w:w="1658" w:type="dxa"/>
          </w:tcPr>
          <w:p w14:paraId="32FE64A2" w14:textId="77777777" w:rsidR="004F12A5" w:rsidRPr="00CE6325" w:rsidRDefault="004F12A5" w:rsidP="00C549FA">
            <w:pPr>
              <w:widowControl w:val="0"/>
              <w:tabs>
                <w:tab w:val="left" w:pos="7371"/>
              </w:tabs>
              <w:autoSpaceDE w:val="0"/>
              <w:autoSpaceDN w:val="0"/>
              <w:adjustRightInd w:val="0"/>
              <w:rPr>
                <w:sz w:val="20"/>
              </w:rPr>
            </w:pPr>
            <w:r>
              <w:rPr>
                <w:sz w:val="20"/>
              </w:rPr>
              <w:t>Forhøjet kropstemperatur; Perifert ødem</w:t>
            </w:r>
          </w:p>
        </w:tc>
        <w:tc>
          <w:tcPr>
            <w:tcW w:w="1659" w:type="dxa"/>
          </w:tcPr>
          <w:p w14:paraId="64676A33" w14:textId="77777777" w:rsidR="004F12A5" w:rsidRPr="00CE6325" w:rsidRDefault="004F12A5" w:rsidP="00C549FA">
            <w:pPr>
              <w:widowControl w:val="0"/>
              <w:tabs>
                <w:tab w:val="left" w:pos="7371"/>
              </w:tabs>
              <w:rPr>
                <w:sz w:val="20"/>
                <w:lang w:val="en-GB" w:eastAsia="en-GB"/>
              </w:rPr>
            </w:pPr>
          </w:p>
        </w:tc>
        <w:tc>
          <w:tcPr>
            <w:tcW w:w="1828" w:type="dxa"/>
          </w:tcPr>
          <w:p w14:paraId="6E620E13" w14:textId="77777777" w:rsidR="004F12A5" w:rsidRPr="00CE6325" w:rsidRDefault="004F12A5" w:rsidP="00C549FA">
            <w:pPr>
              <w:widowControl w:val="0"/>
              <w:tabs>
                <w:tab w:val="left" w:pos="7371"/>
              </w:tabs>
              <w:rPr>
                <w:sz w:val="20"/>
                <w:lang w:val="en-GB" w:eastAsia="en-GB"/>
              </w:rPr>
            </w:pPr>
          </w:p>
        </w:tc>
      </w:tr>
    </w:tbl>
    <w:p w14:paraId="4B83EEBF" w14:textId="77777777" w:rsidR="004F12A5" w:rsidRPr="00CE6325" w:rsidRDefault="004F12A5" w:rsidP="004F12A5">
      <w:pPr>
        <w:tabs>
          <w:tab w:val="left" w:pos="7371"/>
        </w:tabs>
        <w:rPr>
          <w:sz w:val="22"/>
          <w:lang w:val="en-GB"/>
        </w:rPr>
      </w:pPr>
    </w:p>
    <w:p w14:paraId="1F6AE26A" w14:textId="77777777" w:rsidR="004F12A5" w:rsidRPr="004F12A5" w:rsidRDefault="004F12A5" w:rsidP="004F12A5">
      <w:pPr>
        <w:tabs>
          <w:tab w:val="left" w:pos="284"/>
        </w:tabs>
        <w:rPr>
          <w:sz w:val="20"/>
        </w:rPr>
      </w:pPr>
      <w:r w:rsidRPr="004F12A5">
        <w:rPr>
          <w:sz w:val="20"/>
        </w:rPr>
        <w:t>(1)</w:t>
      </w:r>
      <w:r w:rsidRPr="004F12A5">
        <w:rPr>
          <w:sz w:val="20"/>
        </w:rPr>
        <w:tab/>
        <w:t>Hypocalcæmi og/eller hypokaliæmi kan være relateret til forekomsten af hypomagnesiæmi (se pkt. 4.4).</w:t>
      </w:r>
    </w:p>
    <w:p w14:paraId="627CCBDB" w14:textId="77777777" w:rsidR="004F12A5" w:rsidRPr="004F12A5" w:rsidRDefault="004F12A5" w:rsidP="004F12A5">
      <w:pPr>
        <w:tabs>
          <w:tab w:val="left" w:pos="284"/>
        </w:tabs>
        <w:rPr>
          <w:sz w:val="20"/>
        </w:rPr>
      </w:pPr>
      <w:r w:rsidRPr="004F12A5">
        <w:rPr>
          <w:sz w:val="20"/>
        </w:rPr>
        <w:t>(2)</w:t>
      </w:r>
      <w:r w:rsidRPr="004F12A5">
        <w:rPr>
          <w:sz w:val="20"/>
        </w:rPr>
        <w:tab/>
        <w:t>Muskelkramper som følge af elektrolytforstyrrelser</w:t>
      </w:r>
    </w:p>
    <w:p w14:paraId="68A5781B" w14:textId="77777777" w:rsidR="004F12A5" w:rsidRPr="0099469E" w:rsidRDefault="004F12A5" w:rsidP="004F12A5">
      <w:pPr>
        <w:tabs>
          <w:tab w:val="left" w:pos="7371"/>
        </w:tabs>
        <w:rPr>
          <w:sz w:val="22"/>
        </w:rPr>
      </w:pPr>
    </w:p>
    <w:p w14:paraId="2EFDA510" w14:textId="77777777" w:rsidR="004F12A5" w:rsidRPr="00BF507E" w:rsidRDefault="004F12A5" w:rsidP="004F12A5">
      <w:pPr>
        <w:autoSpaceDE w:val="0"/>
        <w:autoSpaceDN w:val="0"/>
        <w:adjustRightInd w:val="0"/>
        <w:ind w:left="851" w:right="2"/>
        <w:rPr>
          <w:sz w:val="24"/>
          <w:szCs w:val="24"/>
          <w:u w:val="single"/>
        </w:rPr>
      </w:pPr>
      <w:r w:rsidRPr="00BF507E">
        <w:rPr>
          <w:sz w:val="24"/>
          <w:szCs w:val="24"/>
          <w:u w:val="single"/>
        </w:rPr>
        <w:t>Indberetning af formodede bivirkninger</w:t>
      </w:r>
    </w:p>
    <w:p w14:paraId="53B216F3" w14:textId="77777777" w:rsidR="004F12A5" w:rsidRPr="00BF507E" w:rsidRDefault="004F12A5" w:rsidP="004F12A5">
      <w:pPr>
        <w:tabs>
          <w:tab w:val="left" w:pos="7371"/>
        </w:tabs>
        <w:ind w:left="851" w:right="2"/>
        <w:rPr>
          <w:sz w:val="24"/>
          <w:szCs w:val="24"/>
        </w:rPr>
      </w:pPr>
      <w:r w:rsidRPr="00BF507E">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22754B2" w14:textId="3BCA5132" w:rsidR="004F12A5" w:rsidRPr="00BF507E" w:rsidRDefault="004F12A5" w:rsidP="004F12A5">
      <w:pPr>
        <w:pStyle w:val="Default"/>
        <w:ind w:left="851" w:right="2"/>
      </w:pPr>
      <w:r w:rsidRPr="00BF507E">
        <w:lastRenderedPageBreak/>
        <w:t>Lægemiddelstyrelsen</w:t>
      </w:r>
      <w:r w:rsidRPr="00BF507E">
        <w:cr/>
        <w:t>Axel Heides Gade 1</w:t>
      </w:r>
      <w:r w:rsidRPr="00BF507E">
        <w:cr/>
        <w:t>DK-2300 København S</w:t>
      </w:r>
      <w:r w:rsidRPr="00BF507E">
        <w:cr/>
        <w:t xml:space="preserve">Websted: </w:t>
      </w:r>
      <w:r w:rsidRPr="004F12A5">
        <w:t>www.meldenbivirkning.dk</w:t>
      </w:r>
      <w:r w:rsidRPr="00BF507E">
        <w:t xml:space="preserve"> </w:t>
      </w:r>
    </w:p>
    <w:p w14:paraId="73B8CB66" w14:textId="77777777" w:rsidR="009260DE" w:rsidRPr="00A10294" w:rsidRDefault="009260DE" w:rsidP="00A10294">
      <w:pPr>
        <w:tabs>
          <w:tab w:val="left" w:pos="851"/>
        </w:tabs>
        <w:ind w:left="851"/>
        <w:rPr>
          <w:sz w:val="24"/>
          <w:szCs w:val="24"/>
        </w:rPr>
      </w:pPr>
    </w:p>
    <w:p w14:paraId="1360019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D558EB5" w14:textId="77777777" w:rsidR="00654136" w:rsidRPr="00BF507E" w:rsidRDefault="00654136" w:rsidP="00654136">
      <w:pPr>
        <w:tabs>
          <w:tab w:val="left" w:pos="7371"/>
        </w:tabs>
        <w:ind w:left="851" w:right="2"/>
        <w:rPr>
          <w:sz w:val="24"/>
          <w:szCs w:val="24"/>
        </w:rPr>
      </w:pPr>
      <w:r w:rsidRPr="00BF507E">
        <w:rPr>
          <w:sz w:val="24"/>
          <w:szCs w:val="24"/>
        </w:rPr>
        <w:t>Der er ingen kendte symptomer på overdosering hos mennesker.</w:t>
      </w:r>
    </w:p>
    <w:p w14:paraId="5650C3F7" w14:textId="77777777" w:rsidR="00654136" w:rsidRPr="00BF507E" w:rsidRDefault="00654136" w:rsidP="00654136">
      <w:pPr>
        <w:tabs>
          <w:tab w:val="left" w:pos="7371"/>
        </w:tabs>
        <w:ind w:left="851" w:right="2"/>
        <w:rPr>
          <w:sz w:val="24"/>
          <w:szCs w:val="24"/>
        </w:rPr>
      </w:pPr>
      <w:r w:rsidRPr="00BF507E">
        <w:rPr>
          <w:sz w:val="24"/>
          <w:szCs w:val="24"/>
        </w:rPr>
        <w:t>Systemisk eksponering for op til 240 mg administreret intravenøst over 2 minutter var veltolereret. Da pantoprazol overvejende bindes til protein, kan det ikke umiddelbart fjernes ved dialyse.</w:t>
      </w:r>
    </w:p>
    <w:p w14:paraId="737AD1A4" w14:textId="77777777" w:rsidR="00654136" w:rsidRPr="00BF507E" w:rsidRDefault="00654136" w:rsidP="00654136">
      <w:pPr>
        <w:tabs>
          <w:tab w:val="left" w:pos="7371"/>
        </w:tabs>
        <w:ind w:left="851" w:right="2"/>
        <w:rPr>
          <w:sz w:val="24"/>
          <w:szCs w:val="24"/>
        </w:rPr>
      </w:pPr>
      <w:r w:rsidRPr="00BF507E">
        <w:rPr>
          <w:sz w:val="24"/>
          <w:szCs w:val="24"/>
        </w:rPr>
        <w:t>Det er ikke muligt at anbefale en specifik behandling i tilfælde af overdosering med kliniske tegn på forgiftning, ud over symptomatisk og understøttende behandling.</w:t>
      </w:r>
    </w:p>
    <w:p w14:paraId="0F1CB22B" w14:textId="77777777" w:rsidR="009260DE" w:rsidRPr="00C84483" w:rsidRDefault="009260DE" w:rsidP="009260DE">
      <w:pPr>
        <w:tabs>
          <w:tab w:val="left" w:pos="851"/>
        </w:tabs>
        <w:ind w:left="851"/>
        <w:rPr>
          <w:sz w:val="24"/>
          <w:szCs w:val="24"/>
        </w:rPr>
      </w:pPr>
    </w:p>
    <w:p w14:paraId="5AEBE69F"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6FB5B26" w14:textId="4E229B3C" w:rsidR="009260DE" w:rsidRPr="00C84483" w:rsidRDefault="00654136" w:rsidP="009260DE">
      <w:pPr>
        <w:tabs>
          <w:tab w:val="left" w:pos="851"/>
        </w:tabs>
        <w:ind w:left="851"/>
        <w:rPr>
          <w:sz w:val="24"/>
          <w:szCs w:val="24"/>
        </w:rPr>
      </w:pPr>
      <w:r>
        <w:rPr>
          <w:sz w:val="24"/>
          <w:szCs w:val="24"/>
        </w:rPr>
        <w:t>B</w:t>
      </w:r>
    </w:p>
    <w:p w14:paraId="13E47E2D" w14:textId="77777777" w:rsidR="009260DE" w:rsidRPr="00C84483" w:rsidRDefault="009260DE" w:rsidP="009260DE">
      <w:pPr>
        <w:tabs>
          <w:tab w:val="left" w:pos="851"/>
        </w:tabs>
        <w:ind w:left="851"/>
        <w:rPr>
          <w:sz w:val="24"/>
          <w:szCs w:val="24"/>
        </w:rPr>
      </w:pPr>
    </w:p>
    <w:p w14:paraId="3FC92EC2" w14:textId="77777777" w:rsidR="009260DE" w:rsidRPr="00C84483" w:rsidRDefault="009260DE" w:rsidP="009260DE">
      <w:pPr>
        <w:tabs>
          <w:tab w:val="left" w:pos="851"/>
        </w:tabs>
        <w:ind w:left="851"/>
        <w:rPr>
          <w:sz w:val="24"/>
          <w:szCs w:val="24"/>
        </w:rPr>
      </w:pPr>
    </w:p>
    <w:p w14:paraId="24139AF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F2D1BC6" w14:textId="77777777" w:rsidR="009260DE" w:rsidRPr="00C84483" w:rsidRDefault="009260DE" w:rsidP="009260DE">
      <w:pPr>
        <w:tabs>
          <w:tab w:val="left" w:pos="851"/>
        </w:tabs>
        <w:ind w:left="851"/>
        <w:rPr>
          <w:sz w:val="24"/>
          <w:szCs w:val="24"/>
        </w:rPr>
      </w:pPr>
    </w:p>
    <w:p w14:paraId="208F4230"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45A3534" w14:textId="77777777" w:rsidR="00152E25" w:rsidRPr="00BF507E" w:rsidRDefault="00152E25" w:rsidP="00152E25">
      <w:pPr>
        <w:tabs>
          <w:tab w:val="left" w:pos="7371"/>
        </w:tabs>
        <w:ind w:left="851" w:right="2"/>
        <w:rPr>
          <w:sz w:val="24"/>
          <w:szCs w:val="24"/>
        </w:rPr>
      </w:pPr>
      <w:r w:rsidRPr="00BF507E">
        <w:rPr>
          <w:sz w:val="24"/>
          <w:szCs w:val="24"/>
        </w:rPr>
        <w:t>Farmakoterapeutisk klassifikation: Syrerelaterede sygdomme, protonpumpehæmmere,</w:t>
      </w:r>
    </w:p>
    <w:p w14:paraId="53B7E820" w14:textId="2AD82E6C" w:rsidR="00152E25" w:rsidRPr="00BF507E" w:rsidRDefault="00152E25" w:rsidP="00152E25">
      <w:pPr>
        <w:tabs>
          <w:tab w:val="left" w:pos="7371"/>
        </w:tabs>
        <w:ind w:left="851" w:right="2"/>
        <w:rPr>
          <w:sz w:val="24"/>
          <w:szCs w:val="24"/>
        </w:rPr>
      </w:pPr>
      <w:r w:rsidRPr="00BF507E">
        <w:rPr>
          <w:sz w:val="24"/>
          <w:szCs w:val="24"/>
        </w:rPr>
        <w:t>ATC-kode: A02BC02</w:t>
      </w:r>
      <w:r>
        <w:rPr>
          <w:sz w:val="24"/>
          <w:szCs w:val="24"/>
        </w:rPr>
        <w:t>.</w:t>
      </w:r>
    </w:p>
    <w:p w14:paraId="51510477" w14:textId="77777777" w:rsidR="00152E25" w:rsidRPr="00BF507E" w:rsidRDefault="00152E25" w:rsidP="00152E25">
      <w:pPr>
        <w:tabs>
          <w:tab w:val="left" w:pos="7371"/>
        </w:tabs>
        <w:ind w:left="851" w:right="2"/>
        <w:rPr>
          <w:sz w:val="24"/>
          <w:szCs w:val="24"/>
        </w:rPr>
      </w:pPr>
    </w:p>
    <w:p w14:paraId="2C253833" w14:textId="77777777" w:rsidR="00152E25" w:rsidRPr="00BF507E" w:rsidRDefault="00152E25" w:rsidP="00152E25">
      <w:pPr>
        <w:tabs>
          <w:tab w:val="left" w:pos="7371"/>
        </w:tabs>
        <w:ind w:left="851" w:right="2"/>
        <w:rPr>
          <w:sz w:val="24"/>
          <w:szCs w:val="24"/>
          <w:u w:val="single"/>
        </w:rPr>
      </w:pPr>
      <w:r w:rsidRPr="00BF507E">
        <w:rPr>
          <w:sz w:val="24"/>
          <w:szCs w:val="24"/>
          <w:u w:val="single"/>
        </w:rPr>
        <w:t>Virkningsmekanisme</w:t>
      </w:r>
    </w:p>
    <w:p w14:paraId="2AE9D6BE" w14:textId="77777777" w:rsidR="00152E25" w:rsidRPr="00BF507E" w:rsidRDefault="00152E25" w:rsidP="00152E25">
      <w:pPr>
        <w:tabs>
          <w:tab w:val="left" w:pos="7371"/>
        </w:tabs>
        <w:ind w:left="851" w:right="2"/>
        <w:rPr>
          <w:sz w:val="24"/>
          <w:szCs w:val="24"/>
        </w:rPr>
      </w:pPr>
      <w:r w:rsidRPr="00BF507E">
        <w:rPr>
          <w:sz w:val="24"/>
          <w:szCs w:val="24"/>
        </w:rPr>
        <w:t>Pantoprazol er et substitueret benzimidazol, som hæmmer sekretion af saltsyre i ventriklen ved specifikt at blokere parietalcellernes protonpumper.</w:t>
      </w:r>
    </w:p>
    <w:p w14:paraId="67E0052C" w14:textId="77777777" w:rsidR="00152E25" w:rsidRPr="00BF507E" w:rsidRDefault="00152E25" w:rsidP="00152E25">
      <w:pPr>
        <w:tabs>
          <w:tab w:val="left" w:pos="7371"/>
        </w:tabs>
        <w:ind w:left="851" w:right="2"/>
        <w:rPr>
          <w:sz w:val="24"/>
          <w:szCs w:val="24"/>
        </w:rPr>
      </w:pPr>
    </w:p>
    <w:p w14:paraId="18335422" w14:textId="77777777" w:rsidR="00152E25" w:rsidRPr="00BF507E" w:rsidRDefault="00152E25" w:rsidP="00152E25">
      <w:pPr>
        <w:tabs>
          <w:tab w:val="left" w:pos="7371"/>
        </w:tabs>
        <w:ind w:left="851" w:right="2"/>
        <w:rPr>
          <w:sz w:val="24"/>
          <w:szCs w:val="24"/>
        </w:rPr>
      </w:pPr>
      <w:r w:rsidRPr="00BF507E">
        <w:rPr>
          <w:sz w:val="24"/>
          <w:szCs w:val="24"/>
        </w:rPr>
        <w:t>Pantoprazol omdannes til den aktive form i parietalcellernes sure miljø, hvor det hæmmer H+, K+</w:t>
      </w:r>
      <w:r w:rsidRPr="00BF507E">
        <w:rPr>
          <w:sz w:val="24"/>
          <w:szCs w:val="24"/>
        </w:rPr>
        <w:noBreakHyphen/>
        <w:t>ATPasen, dvs. det sidste trin i produktionen af saltsyre i ventriklen. Hæmningen er dosisafhængig og berører såvel basal som stimuleret syresekretion. De fleste patienter opnår symptomfrihed i løbet af 2 uger. Som ved behandling med andre protonpumpehæmmere og H</w:t>
      </w:r>
      <w:r w:rsidRPr="00BF507E">
        <w:rPr>
          <w:sz w:val="24"/>
          <w:szCs w:val="24"/>
          <w:vertAlign w:val="subscript"/>
        </w:rPr>
        <w:t>2</w:t>
      </w:r>
      <w:r w:rsidRPr="00BF507E">
        <w:rPr>
          <w:sz w:val="24"/>
          <w:szCs w:val="24"/>
        </w:rPr>
        <w:t>-receptorantagonister nedsætter behandling med pantoprazol surhedsgraden i ventriklen, og dermed øges forekomsten af gastrin proportionalt med reduktionen i surhedsgraden. Stigningen i gastrin er reversibel. Idet pantoprazol binder til enzymet distalt for cellereceptorniveauet, kan det hæmme saltsyresekretionen uafhængigt af stimulationen fra andre stoffer (acetylcholin, histamin, gastrin). Virkningen er den samme, uanset om lægemidlet gives peroralt eller interavenøst.</w:t>
      </w:r>
    </w:p>
    <w:p w14:paraId="042F6C74" w14:textId="77777777" w:rsidR="00152E25" w:rsidRPr="00BF507E" w:rsidRDefault="00152E25" w:rsidP="00152E25">
      <w:pPr>
        <w:tabs>
          <w:tab w:val="left" w:pos="7371"/>
        </w:tabs>
        <w:ind w:left="851" w:right="2"/>
        <w:rPr>
          <w:sz w:val="24"/>
          <w:szCs w:val="24"/>
        </w:rPr>
      </w:pPr>
    </w:p>
    <w:p w14:paraId="2A605849" w14:textId="77777777" w:rsidR="00152E25" w:rsidRPr="00BF507E" w:rsidRDefault="00152E25" w:rsidP="00152E25">
      <w:pPr>
        <w:tabs>
          <w:tab w:val="left" w:pos="7371"/>
        </w:tabs>
        <w:ind w:left="851" w:right="2"/>
        <w:rPr>
          <w:sz w:val="24"/>
          <w:szCs w:val="24"/>
          <w:u w:val="single"/>
        </w:rPr>
      </w:pPr>
      <w:r w:rsidRPr="00BF507E">
        <w:rPr>
          <w:sz w:val="24"/>
          <w:szCs w:val="24"/>
          <w:u w:val="single"/>
        </w:rPr>
        <w:t>Farmakodynamiske virkninger</w:t>
      </w:r>
    </w:p>
    <w:p w14:paraId="09131834" w14:textId="77777777" w:rsidR="00152E25" w:rsidRPr="00BF507E" w:rsidRDefault="00152E25" w:rsidP="00152E25">
      <w:pPr>
        <w:tabs>
          <w:tab w:val="left" w:pos="7371"/>
        </w:tabs>
        <w:ind w:left="851" w:right="2"/>
        <w:rPr>
          <w:sz w:val="24"/>
          <w:szCs w:val="24"/>
        </w:rPr>
      </w:pPr>
      <w:r w:rsidRPr="00BF507E">
        <w:rPr>
          <w:sz w:val="24"/>
          <w:szCs w:val="24"/>
        </w:rPr>
        <w:t>Gastrinværdierne ved faste stiger under behandling med pantoprazol. Ved kortere tids behandling vil værdierne i de fleste tilfælde ikke overstige øvre normalgrænse. Ved langtidsbehandling fordobles gastrinværdierne i de fleste tilfælde. En voldsom stigning forekommer dog kun i enkeltstående tilfælde. Som følge heraf er en let til moderat stigning i antallet af specifikke endokrine (ECL – enterochromaffin-lignende) celler i ventriklen set hos et mindretal af patienterne under langtidsbehandling (simpel til adenomatoid hyperplasi). Dannelsen af karcinoide prækursorer (atypisk hyperplasi) og ventrikelkarcinoider, som sås i dyreforsøg (se pkt. 5.3), er dog endnu ikke set hos mennesker i de hidtil udførte kliniske studier.</w:t>
      </w:r>
    </w:p>
    <w:p w14:paraId="3C9425BC" w14:textId="77777777" w:rsidR="00152E25" w:rsidRPr="00BF507E" w:rsidRDefault="00152E25" w:rsidP="00152E25">
      <w:pPr>
        <w:tabs>
          <w:tab w:val="left" w:pos="7371"/>
        </w:tabs>
        <w:ind w:left="851" w:right="2"/>
        <w:rPr>
          <w:sz w:val="24"/>
          <w:szCs w:val="24"/>
        </w:rPr>
      </w:pPr>
    </w:p>
    <w:p w14:paraId="1A786289" w14:textId="77777777" w:rsidR="00152E25" w:rsidRPr="00BF507E" w:rsidRDefault="00152E25" w:rsidP="00152E25">
      <w:pPr>
        <w:tabs>
          <w:tab w:val="left" w:pos="7371"/>
        </w:tabs>
        <w:ind w:left="851" w:right="2"/>
        <w:rPr>
          <w:sz w:val="24"/>
          <w:szCs w:val="24"/>
        </w:rPr>
      </w:pPr>
      <w:r w:rsidRPr="00BF507E">
        <w:rPr>
          <w:sz w:val="24"/>
          <w:szCs w:val="24"/>
        </w:rPr>
        <w:t xml:space="preserve">Under behandling med antisekretoriske lægemidler stiger koncentrationen af gastrin i serum som reaktion på den nedsatte syresekretion. Derudover stiger CgA-niveauet på </w:t>
      </w:r>
      <w:r w:rsidRPr="00BF507E">
        <w:rPr>
          <w:sz w:val="24"/>
          <w:szCs w:val="24"/>
        </w:rPr>
        <w:lastRenderedPageBreak/>
        <w:t>grund af den nedsatte gastriske aciditet. Det forhøjede CgA-niveau kan interferere med undersøgelser for neuroendokrine tumorer.</w:t>
      </w:r>
    </w:p>
    <w:p w14:paraId="1768CEF4" w14:textId="77777777" w:rsidR="00152E25" w:rsidRPr="00BF507E" w:rsidRDefault="00152E25" w:rsidP="00152E25">
      <w:pPr>
        <w:tabs>
          <w:tab w:val="left" w:pos="7371"/>
        </w:tabs>
        <w:ind w:left="851" w:right="2"/>
        <w:rPr>
          <w:sz w:val="24"/>
          <w:szCs w:val="24"/>
        </w:rPr>
      </w:pPr>
      <w:r w:rsidRPr="00BF507E">
        <w:rPr>
          <w:sz w:val="24"/>
          <w:szCs w:val="24"/>
        </w:rPr>
        <w:t>Den foreliggende publicerede dokumentation indikerer, at behandling med protonpumpehæmmere bør seponeres mellem 5 dage og 2 uger før måling af CgA. Dette er for at give mulighed for, at CgA-niveauer, som kan være falskt forhøjede som følge af PPI-behandling, kan vende tilbage til referenceområdet.</w:t>
      </w:r>
    </w:p>
    <w:p w14:paraId="7BB7F7A9" w14:textId="77777777" w:rsidR="009260DE" w:rsidRPr="00C84483" w:rsidRDefault="009260DE" w:rsidP="009260DE">
      <w:pPr>
        <w:tabs>
          <w:tab w:val="left" w:pos="851"/>
        </w:tabs>
        <w:ind w:left="851"/>
        <w:rPr>
          <w:sz w:val="24"/>
          <w:szCs w:val="24"/>
        </w:rPr>
      </w:pPr>
    </w:p>
    <w:p w14:paraId="5BA5192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D35BF73" w14:textId="77777777" w:rsidR="00152E25" w:rsidRPr="00BF507E" w:rsidRDefault="00152E25" w:rsidP="00152E25">
      <w:pPr>
        <w:tabs>
          <w:tab w:val="left" w:pos="7371"/>
        </w:tabs>
        <w:ind w:left="851" w:right="2"/>
        <w:rPr>
          <w:sz w:val="24"/>
          <w:szCs w:val="24"/>
        </w:rPr>
      </w:pPr>
    </w:p>
    <w:p w14:paraId="31FE69A2" w14:textId="77777777" w:rsidR="00152E25" w:rsidRPr="00BF507E" w:rsidRDefault="00152E25" w:rsidP="00152E25">
      <w:pPr>
        <w:tabs>
          <w:tab w:val="left" w:pos="7371"/>
        </w:tabs>
        <w:ind w:left="851" w:right="2"/>
        <w:rPr>
          <w:sz w:val="24"/>
          <w:szCs w:val="24"/>
          <w:u w:val="single"/>
        </w:rPr>
      </w:pPr>
      <w:r w:rsidRPr="00BF507E">
        <w:rPr>
          <w:sz w:val="24"/>
          <w:szCs w:val="24"/>
          <w:u w:val="single"/>
        </w:rPr>
        <w:t>Generel farmakokinetik</w:t>
      </w:r>
    </w:p>
    <w:p w14:paraId="082730F0" w14:textId="77777777" w:rsidR="00152E25" w:rsidRPr="00BF507E" w:rsidRDefault="00152E25" w:rsidP="00152E25">
      <w:pPr>
        <w:tabs>
          <w:tab w:val="left" w:pos="7371"/>
        </w:tabs>
        <w:ind w:left="851" w:right="2"/>
        <w:rPr>
          <w:sz w:val="24"/>
          <w:szCs w:val="24"/>
        </w:rPr>
      </w:pPr>
      <w:r w:rsidRPr="00BF507E">
        <w:rPr>
          <w:sz w:val="24"/>
          <w:szCs w:val="24"/>
        </w:rPr>
        <w:t>Der er ingen variation i farmakokinetikken efter enkelt og gentagen administration. I dosisområdet 10 til 80 mg er pantoprazol plasmakinetik lineær efter såvel peroral som intravenøs administration.</w:t>
      </w:r>
    </w:p>
    <w:p w14:paraId="628D2CCB" w14:textId="77777777" w:rsidR="00152E25" w:rsidRPr="00BF507E" w:rsidRDefault="00152E25" w:rsidP="00152E25">
      <w:pPr>
        <w:tabs>
          <w:tab w:val="left" w:pos="7371"/>
        </w:tabs>
        <w:ind w:left="851" w:right="2"/>
        <w:rPr>
          <w:sz w:val="24"/>
          <w:szCs w:val="24"/>
        </w:rPr>
      </w:pPr>
    </w:p>
    <w:p w14:paraId="5CFC5E22" w14:textId="77777777" w:rsidR="00152E25" w:rsidRPr="00BF507E" w:rsidRDefault="00152E25" w:rsidP="00152E25">
      <w:pPr>
        <w:tabs>
          <w:tab w:val="left" w:pos="7371"/>
        </w:tabs>
        <w:ind w:left="851" w:right="2"/>
        <w:rPr>
          <w:sz w:val="24"/>
          <w:szCs w:val="24"/>
          <w:u w:val="single"/>
        </w:rPr>
      </w:pPr>
      <w:r w:rsidRPr="00BF507E">
        <w:rPr>
          <w:sz w:val="24"/>
          <w:szCs w:val="24"/>
          <w:u w:val="single"/>
        </w:rPr>
        <w:t>Fordeling</w:t>
      </w:r>
    </w:p>
    <w:p w14:paraId="58B417E4" w14:textId="77777777" w:rsidR="00152E25" w:rsidRPr="00BF507E" w:rsidRDefault="00152E25" w:rsidP="00152E25">
      <w:pPr>
        <w:tabs>
          <w:tab w:val="left" w:pos="7371"/>
        </w:tabs>
        <w:ind w:left="851" w:right="2"/>
        <w:rPr>
          <w:sz w:val="24"/>
          <w:szCs w:val="24"/>
          <w:lang w:val="nb-NO"/>
        </w:rPr>
      </w:pPr>
      <w:r w:rsidRPr="00BF507E">
        <w:rPr>
          <w:sz w:val="24"/>
          <w:szCs w:val="24"/>
        </w:rPr>
        <w:t xml:space="preserve">Ca. 98 % af pantoprazol bindes til serumprotein. </w:t>
      </w:r>
      <w:r w:rsidRPr="00BF507E">
        <w:rPr>
          <w:sz w:val="24"/>
          <w:szCs w:val="24"/>
          <w:lang w:val="nb-NO"/>
        </w:rPr>
        <w:t>Fordelingsvolumen er ca. 0,15 l/kg.</w:t>
      </w:r>
    </w:p>
    <w:p w14:paraId="100561FE" w14:textId="77777777" w:rsidR="00152E25" w:rsidRPr="00BF507E" w:rsidRDefault="00152E25" w:rsidP="00152E25">
      <w:pPr>
        <w:tabs>
          <w:tab w:val="left" w:pos="7371"/>
        </w:tabs>
        <w:ind w:left="851" w:right="2"/>
        <w:rPr>
          <w:sz w:val="24"/>
          <w:szCs w:val="24"/>
          <w:lang w:val="nb-NO"/>
        </w:rPr>
      </w:pPr>
    </w:p>
    <w:p w14:paraId="398D10C9" w14:textId="77777777" w:rsidR="00152E25" w:rsidRPr="00BF507E" w:rsidRDefault="00152E25" w:rsidP="00152E25">
      <w:pPr>
        <w:pStyle w:val="Ingenafstand"/>
        <w:ind w:left="851" w:right="2"/>
        <w:rPr>
          <w:sz w:val="24"/>
          <w:szCs w:val="24"/>
          <w:u w:val="single"/>
        </w:rPr>
      </w:pPr>
      <w:r w:rsidRPr="00BF507E">
        <w:rPr>
          <w:sz w:val="24"/>
          <w:szCs w:val="24"/>
          <w:u w:val="single"/>
        </w:rPr>
        <w:t>Biotransformation</w:t>
      </w:r>
    </w:p>
    <w:p w14:paraId="73C9BBBE" w14:textId="77777777" w:rsidR="00152E25" w:rsidRPr="00BF507E" w:rsidRDefault="00152E25" w:rsidP="00152E25">
      <w:pPr>
        <w:tabs>
          <w:tab w:val="left" w:pos="7371"/>
        </w:tabs>
        <w:ind w:left="851" w:right="2"/>
        <w:rPr>
          <w:sz w:val="24"/>
          <w:szCs w:val="24"/>
        </w:rPr>
      </w:pPr>
      <w:r w:rsidRPr="00BF507E">
        <w:rPr>
          <w:sz w:val="24"/>
          <w:szCs w:val="24"/>
        </w:rPr>
        <w:t>Pantoprazol metaboliseres næsten udelukkende i leveren. Den primære metaboliseringsvej er CYP2C19-katalyseret demetylering med efterfølgende sulfatkonjugation. En anden metaboliseringsvej indbefatter oxidation katalyseret af CYP3A4.</w:t>
      </w:r>
    </w:p>
    <w:p w14:paraId="1D34683A" w14:textId="77777777" w:rsidR="00152E25" w:rsidRPr="00BF507E" w:rsidRDefault="00152E25" w:rsidP="00152E25">
      <w:pPr>
        <w:tabs>
          <w:tab w:val="left" w:pos="7371"/>
        </w:tabs>
        <w:ind w:left="851" w:right="2"/>
        <w:rPr>
          <w:sz w:val="24"/>
          <w:szCs w:val="24"/>
          <w:u w:val="single"/>
        </w:rPr>
      </w:pPr>
    </w:p>
    <w:p w14:paraId="7E8F4AD0" w14:textId="77777777" w:rsidR="00152E25" w:rsidRPr="00BF507E" w:rsidRDefault="00152E25" w:rsidP="00152E25">
      <w:pPr>
        <w:tabs>
          <w:tab w:val="left" w:pos="7371"/>
        </w:tabs>
        <w:ind w:left="851" w:right="2"/>
        <w:rPr>
          <w:sz w:val="24"/>
          <w:szCs w:val="24"/>
          <w:u w:val="single"/>
        </w:rPr>
      </w:pPr>
      <w:r w:rsidRPr="00BF507E">
        <w:rPr>
          <w:sz w:val="24"/>
          <w:szCs w:val="24"/>
          <w:u w:val="single"/>
        </w:rPr>
        <w:t>Elimination</w:t>
      </w:r>
    </w:p>
    <w:p w14:paraId="5A361448" w14:textId="77777777" w:rsidR="00152E25" w:rsidRPr="00BF507E" w:rsidRDefault="00152E25" w:rsidP="00152E25">
      <w:pPr>
        <w:tabs>
          <w:tab w:val="left" w:pos="7371"/>
        </w:tabs>
        <w:ind w:left="851" w:right="2"/>
        <w:rPr>
          <w:sz w:val="24"/>
          <w:szCs w:val="24"/>
        </w:rPr>
      </w:pPr>
      <w:r w:rsidRPr="00BF507E">
        <w:rPr>
          <w:sz w:val="24"/>
          <w:szCs w:val="24"/>
        </w:rPr>
        <w:t>Den terminale halveringstid er ca. 1 time, og clearance er ca. 0,1 l/time/kg. Der var enkelte forsøgspersoner med forsinket eliminering. På grund af pantoprazols specifikke binding af til protonpumperne i de parietale celler, svarer halveringstiden for eliminering ikke til den meget længere virkningsvarighed (hæmning af syresekretionen).</w:t>
      </w:r>
    </w:p>
    <w:p w14:paraId="67B4FEC5" w14:textId="77777777" w:rsidR="00152E25" w:rsidRPr="00BF507E" w:rsidRDefault="00152E25" w:rsidP="00152E25">
      <w:pPr>
        <w:tabs>
          <w:tab w:val="left" w:pos="7371"/>
        </w:tabs>
        <w:ind w:left="851" w:right="2"/>
        <w:rPr>
          <w:sz w:val="24"/>
          <w:szCs w:val="24"/>
        </w:rPr>
      </w:pPr>
      <w:r w:rsidRPr="00BF507E">
        <w:rPr>
          <w:sz w:val="24"/>
          <w:szCs w:val="24"/>
        </w:rPr>
        <w:t>Pantoprazols metabolitter udskilles primært via nyrerne (omkring 80 %), mens resten udskilles med fæces. Den primære metabolit i såvel serum som urin er desmethylpantoprazol, som konjugeres med sulfat. Halveringstiden er ikke længere for den primære metabolit (ca. 1,5 time) end for pantoprazol.</w:t>
      </w:r>
    </w:p>
    <w:p w14:paraId="259ECBFF" w14:textId="77777777" w:rsidR="00152E25" w:rsidRPr="00BF507E" w:rsidRDefault="00152E25" w:rsidP="00152E25">
      <w:pPr>
        <w:tabs>
          <w:tab w:val="left" w:pos="7371"/>
        </w:tabs>
        <w:ind w:left="851" w:right="2"/>
        <w:rPr>
          <w:sz w:val="24"/>
          <w:szCs w:val="24"/>
        </w:rPr>
      </w:pPr>
    </w:p>
    <w:p w14:paraId="5804B5D9" w14:textId="77777777" w:rsidR="00152E25" w:rsidRPr="00BF507E" w:rsidRDefault="00152E25" w:rsidP="00152E25">
      <w:pPr>
        <w:pStyle w:val="Ingenafstand"/>
        <w:ind w:left="851" w:right="2"/>
        <w:rPr>
          <w:sz w:val="24"/>
          <w:szCs w:val="24"/>
          <w:u w:val="single"/>
        </w:rPr>
      </w:pPr>
      <w:r w:rsidRPr="00BF507E">
        <w:rPr>
          <w:sz w:val="24"/>
          <w:szCs w:val="24"/>
          <w:u w:val="single"/>
        </w:rPr>
        <w:t>Særlige populationer</w:t>
      </w:r>
    </w:p>
    <w:p w14:paraId="47C13939" w14:textId="77777777" w:rsidR="00152E25" w:rsidRPr="00BF507E" w:rsidRDefault="00152E25" w:rsidP="00152E25">
      <w:pPr>
        <w:pStyle w:val="Ingenafstand"/>
        <w:ind w:left="851" w:right="2"/>
        <w:rPr>
          <w:sz w:val="24"/>
          <w:szCs w:val="24"/>
          <w:u w:val="single"/>
        </w:rPr>
      </w:pPr>
    </w:p>
    <w:p w14:paraId="5ABD0F0E" w14:textId="77777777" w:rsidR="00152E25" w:rsidRPr="00BF507E" w:rsidRDefault="00152E25" w:rsidP="00152E25">
      <w:pPr>
        <w:tabs>
          <w:tab w:val="left" w:pos="7371"/>
        </w:tabs>
        <w:ind w:left="851" w:right="2"/>
        <w:rPr>
          <w:sz w:val="24"/>
          <w:szCs w:val="24"/>
        </w:rPr>
      </w:pPr>
      <w:r w:rsidRPr="00BF507E">
        <w:rPr>
          <w:i/>
          <w:sz w:val="24"/>
          <w:szCs w:val="24"/>
        </w:rPr>
        <w:t>Patienter med nedsat metabolisme</w:t>
      </w:r>
    </w:p>
    <w:p w14:paraId="21F773A4" w14:textId="77777777" w:rsidR="00152E25" w:rsidRPr="00BF507E" w:rsidRDefault="00152E25" w:rsidP="00152E25">
      <w:pPr>
        <w:tabs>
          <w:tab w:val="left" w:pos="7371"/>
        </w:tabs>
        <w:ind w:left="851" w:right="2"/>
        <w:rPr>
          <w:sz w:val="24"/>
          <w:szCs w:val="24"/>
        </w:rPr>
      </w:pPr>
      <w:r w:rsidRPr="00BF507E">
        <w:rPr>
          <w:sz w:val="24"/>
          <w:szCs w:val="24"/>
        </w:rPr>
        <w:t>Ca. 3 % af befolkningen i Europa mangler et velfungerende CYP2C19-enzym og har derfor dårlig metabolisme. Hos disse personer katalyseres pantoprazols metabolisme formentlig hovedsagligt af CYP3A4. Efter administration af en enkelt dosis på 40 mg pantoprazol var det gennemsnitlige areal under plasmakoncentrationstidskurven (AUC) ca. 6 gange højere for forsøgspersoner med dårlig metabolisme end for forsøgspersoner med et velfungerende CYP2C19-enzym og dermed god metabolisme. Gennemsnitlig maksimal plasmakoncentration var forhøjet med ca. 60 %. Disse fund har ingen indflydelse på doseringen af pantoprazol.</w:t>
      </w:r>
    </w:p>
    <w:p w14:paraId="2D1C0F1B" w14:textId="77777777" w:rsidR="00152E25" w:rsidRPr="00BF507E" w:rsidRDefault="00152E25" w:rsidP="00152E25">
      <w:pPr>
        <w:tabs>
          <w:tab w:val="left" w:pos="7371"/>
        </w:tabs>
        <w:ind w:left="851" w:right="2"/>
        <w:rPr>
          <w:sz w:val="24"/>
          <w:szCs w:val="24"/>
        </w:rPr>
      </w:pPr>
    </w:p>
    <w:p w14:paraId="287C3EF3" w14:textId="77777777" w:rsidR="00152E25" w:rsidRPr="00BF507E" w:rsidRDefault="00152E25" w:rsidP="00152E25">
      <w:pPr>
        <w:pStyle w:val="Ingenafstand"/>
        <w:ind w:left="851" w:right="2"/>
        <w:rPr>
          <w:i/>
          <w:sz w:val="24"/>
          <w:szCs w:val="24"/>
        </w:rPr>
      </w:pPr>
      <w:r w:rsidRPr="00BF507E">
        <w:rPr>
          <w:i/>
          <w:sz w:val="24"/>
          <w:szCs w:val="24"/>
        </w:rPr>
        <w:t>Patienter med nedsat nyrefunktion</w:t>
      </w:r>
    </w:p>
    <w:p w14:paraId="4187B656" w14:textId="77777777" w:rsidR="00152E25" w:rsidRPr="00BF507E" w:rsidRDefault="00152E25" w:rsidP="00152E25">
      <w:pPr>
        <w:tabs>
          <w:tab w:val="left" w:pos="7371"/>
        </w:tabs>
        <w:ind w:left="851" w:right="2"/>
        <w:rPr>
          <w:sz w:val="24"/>
          <w:szCs w:val="24"/>
        </w:rPr>
      </w:pPr>
      <w:r w:rsidRPr="00BF507E">
        <w:rPr>
          <w:sz w:val="24"/>
          <w:szCs w:val="24"/>
        </w:rPr>
        <w:t>Dosisreduktion anbefales ikke ved administration af pantoprazol til patienter med nedsat nyrefunktion (inklusive dialysepatienter). Som hos raske frivillige er pantoprazols halveringstid kort Kun meget små mængder pantoprazol kan fjernes ved dialyse. Selvom den primære metabolit har en moderat forlænget halveringstid (2</w:t>
      </w:r>
      <w:r w:rsidRPr="00BF507E">
        <w:rPr>
          <w:sz w:val="24"/>
          <w:szCs w:val="24"/>
        </w:rPr>
        <w:noBreakHyphen/>
        <w:t>3 timer), er udskillelsen stadig hurtig, og akkumulation finder således ikke sted.</w:t>
      </w:r>
    </w:p>
    <w:p w14:paraId="0E6AD4B7" w14:textId="77777777" w:rsidR="00152E25" w:rsidRPr="00BF507E" w:rsidRDefault="00152E25" w:rsidP="00152E25">
      <w:pPr>
        <w:tabs>
          <w:tab w:val="left" w:pos="7371"/>
        </w:tabs>
        <w:ind w:left="851" w:right="2"/>
        <w:rPr>
          <w:sz w:val="24"/>
          <w:szCs w:val="24"/>
        </w:rPr>
      </w:pPr>
    </w:p>
    <w:p w14:paraId="336F314B" w14:textId="77777777" w:rsidR="00152E25" w:rsidRPr="00BF507E" w:rsidRDefault="00152E25" w:rsidP="00152E25">
      <w:pPr>
        <w:pStyle w:val="Ingenafstand"/>
        <w:ind w:left="851" w:right="2"/>
        <w:rPr>
          <w:i/>
          <w:sz w:val="24"/>
          <w:szCs w:val="24"/>
        </w:rPr>
      </w:pPr>
      <w:r w:rsidRPr="00BF507E">
        <w:rPr>
          <w:i/>
          <w:sz w:val="24"/>
          <w:szCs w:val="24"/>
        </w:rPr>
        <w:lastRenderedPageBreak/>
        <w:t>Patienter med nedsat leverfunktion</w:t>
      </w:r>
    </w:p>
    <w:p w14:paraId="4BC2E8A8" w14:textId="77777777" w:rsidR="00152E25" w:rsidRPr="00BF507E" w:rsidRDefault="00152E25" w:rsidP="00152E25">
      <w:pPr>
        <w:tabs>
          <w:tab w:val="left" w:pos="7371"/>
        </w:tabs>
        <w:ind w:left="851" w:right="2"/>
        <w:rPr>
          <w:sz w:val="24"/>
          <w:szCs w:val="24"/>
        </w:rPr>
      </w:pPr>
      <w:r w:rsidRPr="00BF507E">
        <w:rPr>
          <w:sz w:val="24"/>
          <w:szCs w:val="24"/>
        </w:rPr>
        <w:t>Selv om halveringstiden hos patienter med levercirrose (</w:t>
      </w:r>
      <w:r w:rsidRPr="00BF507E">
        <w:rPr>
          <w:sz w:val="24"/>
          <w:szCs w:val="24"/>
          <w:shd w:val="clear" w:color="auto" w:fill="FFFFFF"/>
        </w:rPr>
        <w:t>Child-Pugh-klasse A og B</w:t>
      </w:r>
      <w:r w:rsidRPr="00BF507E">
        <w:rPr>
          <w:sz w:val="24"/>
          <w:szCs w:val="24"/>
        </w:rPr>
        <w:t>), steg til mellem 7 og 9 timer, og AUC-værdierne steg med en faktor 5</w:t>
      </w:r>
      <w:r w:rsidRPr="00BF507E">
        <w:rPr>
          <w:sz w:val="24"/>
          <w:szCs w:val="24"/>
        </w:rPr>
        <w:noBreakHyphen/>
        <w:t>7, steg den maksimale serumkoncentration kun med en faktor 1,5 sammenlignet med raske forsøgspersoner.</w:t>
      </w:r>
    </w:p>
    <w:p w14:paraId="0F6449C7" w14:textId="77777777" w:rsidR="00152E25" w:rsidRPr="00BF507E" w:rsidRDefault="00152E25" w:rsidP="00152E25">
      <w:pPr>
        <w:tabs>
          <w:tab w:val="left" w:pos="7371"/>
        </w:tabs>
        <w:ind w:left="851" w:right="2"/>
        <w:rPr>
          <w:sz w:val="24"/>
          <w:szCs w:val="24"/>
        </w:rPr>
      </w:pPr>
    </w:p>
    <w:p w14:paraId="156F1B7B" w14:textId="77777777" w:rsidR="00152E25" w:rsidRPr="00BF507E" w:rsidRDefault="00152E25" w:rsidP="00152E25">
      <w:pPr>
        <w:tabs>
          <w:tab w:val="left" w:pos="7371"/>
        </w:tabs>
        <w:ind w:left="851" w:right="2"/>
        <w:rPr>
          <w:i/>
          <w:iCs/>
          <w:sz w:val="24"/>
          <w:szCs w:val="24"/>
        </w:rPr>
      </w:pPr>
      <w:r w:rsidRPr="00BF507E">
        <w:rPr>
          <w:i/>
          <w:sz w:val="24"/>
          <w:szCs w:val="24"/>
        </w:rPr>
        <w:t>Ældre</w:t>
      </w:r>
    </w:p>
    <w:p w14:paraId="627DFC66" w14:textId="77777777" w:rsidR="00152E25" w:rsidRPr="00BF507E" w:rsidRDefault="00152E25" w:rsidP="00152E25">
      <w:pPr>
        <w:tabs>
          <w:tab w:val="left" w:pos="7371"/>
        </w:tabs>
        <w:ind w:left="851" w:right="2"/>
        <w:rPr>
          <w:sz w:val="24"/>
          <w:szCs w:val="24"/>
        </w:rPr>
      </w:pPr>
      <w:r w:rsidRPr="00BF507E">
        <w:rPr>
          <w:sz w:val="24"/>
          <w:szCs w:val="24"/>
        </w:rPr>
        <w:t>En lille stigning i AUC og C</w:t>
      </w:r>
      <w:r w:rsidRPr="00BF507E">
        <w:rPr>
          <w:sz w:val="24"/>
          <w:szCs w:val="24"/>
          <w:vertAlign w:val="subscript"/>
        </w:rPr>
        <w:t>max</w:t>
      </w:r>
      <w:r w:rsidRPr="00BF507E">
        <w:rPr>
          <w:sz w:val="24"/>
          <w:szCs w:val="24"/>
        </w:rPr>
        <w:t xml:space="preserve"> hos ældre frivillige forsøgspersoner sammenlignet med yngre anses ligeledes ikke for at være klinisk relevant.</w:t>
      </w:r>
    </w:p>
    <w:p w14:paraId="1648B02C" w14:textId="77777777" w:rsidR="00152E25" w:rsidRPr="00BF507E" w:rsidRDefault="00152E25" w:rsidP="00152E25">
      <w:pPr>
        <w:tabs>
          <w:tab w:val="left" w:pos="7371"/>
        </w:tabs>
        <w:ind w:left="851" w:right="2"/>
        <w:rPr>
          <w:sz w:val="24"/>
          <w:szCs w:val="24"/>
        </w:rPr>
      </w:pPr>
    </w:p>
    <w:p w14:paraId="7D9B36A9" w14:textId="77777777" w:rsidR="00152E25" w:rsidRPr="00BF507E" w:rsidRDefault="00152E25" w:rsidP="00152E25">
      <w:pPr>
        <w:tabs>
          <w:tab w:val="left" w:pos="7371"/>
        </w:tabs>
        <w:ind w:left="851" w:right="2"/>
        <w:rPr>
          <w:i/>
          <w:iCs/>
          <w:sz w:val="24"/>
          <w:szCs w:val="24"/>
        </w:rPr>
      </w:pPr>
      <w:r w:rsidRPr="00BF507E">
        <w:rPr>
          <w:i/>
          <w:sz w:val="24"/>
          <w:szCs w:val="24"/>
        </w:rPr>
        <w:t>Pædiatrisk population</w:t>
      </w:r>
    </w:p>
    <w:p w14:paraId="468CF7D1" w14:textId="77777777" w:rsidR="00152E25" w:rsidRPr="00BF507E" w:rsidRDefault="00152E25" w:rsidP="00152E25">
      <w:pPr>
        <w:tabs>
          <w:tab w:val="left" w:pos="7371"/>
        </w:tabs>
        <w:ind w:left="851" w:right="2"/>
        <w:rPr>
          <w:sz w:val="24"/>
          <w:szCs w:val="24"/>
        </w:rPr>
      </w:pPr>
      <w:r w:rsidRPr="00BF507E">
        <w:rPr>
          <w:sz w:val="24"/>
          <w:szCs w:val="24"/>
        </w:rPr>
        <w:t>Efter administration af en enkelt intravenøs dosis pantoprazol på 0,8 eller 1,6 mg/kg hos børn i alderen 2</w:t>
      </w:r>
      <w:r w:rsidRPr="00BF507E">
        <w:rPr>
          <w:sz w:val="24"/>
          <w:szCs w:val="24"/>
        </w:rPr>
        <w:noBreakHyphen/>
        <w:t>16 år sås ingen signifikant sammenhæng mellem clearance af pantoprazol og alder eller vægt. AUC og fordelingsvolumen svarede til data fra voksne.</w:t>
      </w:r>
    </w:p>
    <w:p w14:paraId="290BE1AC" w14:textId="77777777" w:rsidR="00152E25" w:rsidRPr="00BF507E" w:rsidRDefault="00152E25" w:rsidP="00152E25">
      <w:pPr>
        <w:tabs>
          <w:tab w:val="left" w:pos="7371"/>
        </w:tabs>
        <w:ind w:left="851" w:right="2"/>
        <w:rPr>
          <w:sz w:val="24"/>
          <w:szCs w:val="24"/>
        </w:rPr>
      </w:pPr>
    </w:p>
    <w:p w14:paraId="18F1392E"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68C6D9B8" w14:textId="77777777" w:rsidR="00F744AA" w:rsidRPr="00BF507E" w:rsidRDefault="00F744AA" w:rsidP="00F744AA">
      <w:pPr>
        <w:tabs>
          <w:tab w:val="left" w:pos="7371"/>
        </w:tabs>
        <w:ind w:left="851" w:right="2"/>
        <w:rPr>
          <w:sz w:val="24"/>
          <w:szCs w:val="24"/>
        </w:rPr>
      </w:pPr>
      <w:r w:rsidRPr="00BF507E">
        <w:rPr>
          <w:sz w:val="24"/>
          <w:szCs w:val="24"/>
        </w:rPr>
        <w:t>Non-kliniske data viser ingen speciel risiko for mennesker vurderet ud fra konventionelle studier af sikkerhedsfarmakologi, toksicitet efter gentagne doser og genotoksicitet.</w:t>
      </w:r>
    </w:p>
    <w:p w14:paraId="2F9B607B" w14:textId="77777777" w:rsidR="00F744AA" w:rsidRPr="00BF507E" w:rsidRDefault="00F744AA" w:rsidP="00F744AA">
      <w:pPr>
        <w:tabs>
          <w:tab w:val="left" w:pos="7371"/>
        </w:tabs>
        <w:ind w:left="851" w:right="2"/>
        <w:rPr>
          <w:sz w:val="24"/>
          <w:szCs w:val="24"/>
        </w:rPr>
      </w:pPr>
    </w:p>
    <w:p w14:paraId="76D11317" w14:textId="77777777" w:rsidR="00F744AA" w:rsidRPr="00BF507E" w:rsidRDefault="00F744AA" w:rsidP="00F744AA">
      <w:pPr>
        <w:tabs>
          <w:tab w:val="left" w:pos="7371"/>
        </w:tabs>
        <w:ind w:left="851" w:right="2"/>
        <w:rPr>
          <w:sz w:val="24"/>
          <w:szCs w:val="24"/>
        </w:rPr>
      </w:pPr>
      <w:r w:rsidRPr="00BF507E">
        <w:rPr>
          <w:sz w:val="24"/>
          <w:szCs w:val="24"/>
        </w:rPr>
        <w:t>I de toårige karcinogenicitetsforsøg med rotter blev der påvist neuroendokrin neoplasi. Desuden blev der i formaven hos rotter fundet planocellulært papillom. Den mekanisme, der bevirker, at substituerede benzimidazoler danner ventrikelkarcinoider, er undersøgt nøje, hvilket førte til den konklusion, at det er en sekundær reaktion på de massivt forhøjede serumgastrinkoncentrationer, som forekommer hos rotter under behandling med kronisk høje doser. I de toårige forsøg med gnavere sås en øget forekomst af levertumorer hos rotter og hos hunmus, hvilket blev fortolket som en konsekvens af pantoprazols høje omsætningshastighed i leveren.</w:t>
      </w:r>
    </w:p>
    <w:p w14:paraId="4DD65357" w14:textId="77777777" w:rsidR="00F744AA" w:rsidRPr="00BF507E" w:rsidRDefault="00F744AA" w:rsidP="00F744AA">
      <w:pPr>
        <w:tabs>
          <w:tab w:val="left" w:pos="7371"/>
        </w:tabs>
        <w:ind w:left="851" w:right="2"/>
        <w:rPr>
          <w:sz w:val="24"/>
          <w:szCs w:val="24"/>
        </w:rPr>
      </w:pPr>
    </w:p>
    <w:p w14:paraId="3247FF5B" w14:textId="77777777" w:rsidR="00F744AA" w:rsidRPr="00BF507E" w:rsidRDefault="00F744AA" w:rsidP="00F744AA">
      <w:pPr>
        <w:tabs>
          <w:tab w:val="left" w:pos="7371"/>
        </w:tabs>
        <w:ind w:left="851" w:right="2"/>
        <w:rPr>
          <w:sz w:val="24"/>
          <w:szCs w:val="24"/>
        </w:rPr>
      </w:pPr>
      <w:r w:rsidRPr="00BF507E">
        <w:rPr>
          <w:sz w:val="24"/>
          <w:szCs w:val="24"/>
        </w:rPr>
        <w:t>Hos den gruppe rotter, der fik den højeste dosis (200 mg/kg), sås en mindre stigning i forekomsten af neoplastiske forandringer i skjoldbruskkirtlen. Forekomsten af disse neoplastiske forandringer er forbundet med pantoprazol</w:t>
      </w:r>
      <w:r w:rsidRPr="00BF507E">
        <w:rPr>
          <w:sz w:val="24"/>
          <w:szCs w:val="24"/>
        </w:rPr>
        <w:noBreakHyphen/>
        <w:t>inducerede forandringer under nedbrydningen af thyroxin i rotteleveren. Da den terapeutiske dosis hos mennesker er lav, forventes ingen skadelige virkninger på skjoldbruskkirtlen.</w:t>
      </w:r>
    </w:p>
    <w:p w14:paraId="0F1C1C3B" w14:textId="77777777" w:rsidR="00F744AA" w:rsidRPr="00BF507E" w:rsidRDefault="00F744AA" w:rsidP="00F744AA">
      <w:pPr>
        <w:tabs>
          <w:tab w:val="left" w:pos="7371"/>
        </w:tabs>
        <w:ind w:left="851" w:right="2"/>
        <w:rPr>
          <w:sz w:val="24"/>
          <w:szCs w:val="24"/>
        </w:rPr>
      </w:pPr>
    </w:p>
    <w:p w14:paraId="4473B290" w14:textId="77777777" w:rsidR="00F744AA" w:rsidRPr="00BF507E" w:rsidRDefault="00F744AA" w:rsidP="00F744AA">
      <w:pPr>
        <w:tabs>
          <w:tab w:val="left" w:pos="7371"/>
        </w:tabs>
        <w:ind w:left="851" w:right="2"/>
        <w:rPr>
          <w:sz w:val="24"/>
          <w:szCs w:val="24"/>
        </w:rPr>
      </w:pPr>
      <w:r w:rsidRPr="00BF507E">
        <w:rPr>
          <w:sz w:val="24"/>
          <w:szCs w:val="24"/>
        </w:rPr>
        <w:t>I et peri</w:t>
      </w:r>
      <w:r w:rsidRPr="00BF507E">
        <w:rPr>
          <w:sz w:val="24"/>
          <w:szCs w:val="24"/>
        </w:rPr>
        <w:noBreakHyphen/>
        <w:t>/postnatalt reproduktionsstudie med rotter, som var designet til at vurdere knogleudvikling, blev der set tegn på toksicitet hos afkommet (mortalitet, lavere gennemsnitlig kropsvægt, lavere gennemsnitlig øgning af kropsvægt og reduceret knoglevækst) ved eksponeringer (C</w:t>
      </w:r>
      <w:r w:rsidRPr="00BF507E">
        <w:rPr>
          <w:sz w:val="24"/>
          <w:szCs w:val="24"/>
          <w:vertAlign w:val="subscript"/>
        </w:rPr>
        <w:t>max</w:t>
      </w:r>
      <w:r w:rsidRPr="00BF507E">
        <w:rPr>
          <w:sz w:val="24"/>
          <w:szCs w:val="24"/>
        </w:rPr>
        <w:t>) på omtrent to gange den humane eksponering. Ved rekonvalescensperiodens afslutning var knogleparametrene ens i alle grupperne, og kropsvægt havde ligeledes en tendens til reversabilitet efter en rekonvalescensperiode uden behandling. Den øgede mortalitet er kun blevet rapporteret for rotteunger inden fravænning (op til 21 dage gamle), hvilket anslås at korrespondere med spædbørn på en alder op til 2 år. Relevansen af dette fund hos den pædiatriske population er uklar. I et tidligere peri</w:t>
      </w:r>
      <w:r w:rsidRPr="00BF507E">
        <w:rPr>
          <w:sz w:val="24"/>
          <w:szCs w:val="24"/>
        </w:rPr>
        <w:noBreakHyphen/>
        <w:t>/postnatalt forsøg med rotter, som fik lidt lavere doser, sås ingen bivirkninger ved 3 mg/kg sammenlignet med en lav dosis på 5 mg/kg i dette studie.</w:t>
      </w:r>
    </w:p>
    <w:p w14:paraId="259621D2" w14:textId="77777777" w:rsidR="00F744AA" w:rsidRPr="00BF507E" w:rsidRDefault="00F744AA" w:rsidP="00F744AA">
      <w:pPr>
        <w:tabs>
          <w:tab w:val="left" w:pos="7371"/>
        </w:tabs>
        <w:ind w:left="851" w:right="2"/>
        <w:rPr>
          <w:sz w:val="24"/>
          <w:szCs w:val="24"/>
        </w:rPr>
      </w:pPr>
    </w:p>
    <w:p w14:paraId="0B9C3129" w14:textId="77777777" w:rsidR="00F744AA" w:rsidRPr="00BF507E" w:rsidRDefault="00F744AA" w:rsidP="00F744AA">
      <w:pPr>
        <w:tabs>
          <w:tab w:val="left" w:pos="7371"/>
        </w:tabs>
        <w:ind w:left="851" w:right="2"/>
        <w:rPr>
          <w:sz w:val="24"/>
          <w:szCs w:val="24"/>
        </w:rPr>
      </w:pPr>
      <w:r w:rsidRPr="00BF507E">
        <w:rPr>
          <w:sz w:val="24"/>
          <w:szCs w:val="24"/>
        </w:rPr>
        <w:t>Forsøgene viste ingen tegn på nedsat fertilitet eller teratogene virkninger.</w:t>
      </w:r>
    </w:p>
    <w:p w14:paraId="0216AA65" w14:textId="77777777" w:rsidR="00F744AA" w:rsidRPr="00BF507E" w:rsidRDefault="00F744AA" w:rsidP="00F744AA">
      <w:pPr>
        <w:tabs>
          <w:tab w:val="left" w:pos="7371"/>
        </w:tabs>
        <w:ind w:left="851" w:right="2"/>
        <w:rPr>
          <w:sz w:val="24"/>
          <w:szCs w:val="24"/>
        </w:rPr>
      </w:pPr>
    </w:p>
    <w:p w14:paraId="3A939685" w14:textId="77777777" w:rsidR="00F744AA" w:rsidRPr="00BF507E" w:rsidRDefault="00F744AA" w:rsidP="00F744AA">
      <w:pPr>
        <w:tabs>
          <w:tab w:val="left" w:pos="7371"/>
        </w:tabs>
        <w:ind w:left="851" w:right="2"/>
        <w:rPr>
          <w:sz w:val="24"/>
          <w:szCs w:val="24"/>
        </w:rPr>
      </w:pPr>
      <w:r w:rsidRPr="00BF507E">
        <w:rPr>
          <w:sz w:val="24"/>
          <w:szCs w:val="24"/>
        </w:rPr>
        <w:t>Passagen over placenta blev undersøgt hos rotter, og det blev konstateret at denne øges ved fremskreden gestationsalder. Som følge heraf øges koncentrationen af pantoprazol hos fostret kort før fødslen.</w:t>
      </w:r>
    </w:p>
    <w:p w14:paraId="4B023E24" w14:textId="77777777" w:rsidR="00F744AA" w:rsidRPr="00BF507E" w:rsidRDefault="00F744AA" w:rsidP="00F744AA">
      <w:pPr>
        <w:tabs>
          <w:tab w:val="left" w:pos="7371"/>
        </w:tabs>
        <w:ind w:left="851" w:right="2"/>
        <w:rPr>
          <w:sz w:val="24"/>
          <w:szCs w:val="24"/>
        </w:rPr>
      </w:pPr>
    </w:p>
    <w:p w14:paraId="3016C30C" w14:textId="77777777" w:rsidR="00F744AA" w:rsidRPr="00BF507E" w:rsidRDefault="00F744AA" w:rsidP="00F744AA">
      <w:pPr>
        <w:tabs>
          <w:tab w:val="left" w:pos="7371"/>
        </w:tabs>
        <w:ind w:left="851" w:right="2"/>
        <w:rPr>
          <w:sz w:val="24"/>
          <w:szCs w:val="24"/>
        </w:rPr>
      </w:pPr>
    </w:p>
    <w:p w14:paraId="7320B4F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8CC0608" w14:textId="77777777" w:rsidR="009260DE" w:rsidRPr="00BA09F1" w:rsidRDefault="009260DE" w:rsidP="009260DE">
      <w:pPr>
        <w:tabs>
          <w:tab w:val="left" w:pos="851"/>
        </w:tabs>
        <w:ind w:left="851"/>
        <w:rPr>
          <w:sz w:val="24"/>
          <w:szCs w:val="24"/>
        </w:rPr>
      </w:pPr>
    </w:p>
    <w:p w14:paraId="56103CB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1509755" w14:textId="77777777" w:rsidR="00F744AA" w:rsidRPr="00BF507E" w:rsidRDefault="00F744AA" w:rsidP="00F744AA">
      <w:pPr>
        <w:tabs>
          <w:tab w:val="left" w:pos="7371"/>
        </w:tabs>
        <w:ind w:left="851" w:right="2"/>
        <w:rPr>
          <w:sz w:val="24"/>
          <w:szCs w:val="24"/>
        </w:rPr>
      </w:pPr>
      <w:r w:rsidRPr="00BF507E">
        <w:rPr>
          <w:sz w:val="24"/>
          <w:szCs w:val="24"/>
        </w:rPr>
        <w:t>Natriumcitrat</w:t>
      </w:r>
    </w:p>
    <w:p w14:paraId="0BCA4DE8" w14:textId="77777777" w:rsidR="00F744AA" w:rsidRPr="00BF507E" w:rsidRDefault="00F744AA" w:rsidP="00F744AA">
      <w:pPr>
        <w:tabs>
          <w:tab w:val="left" w:pos="7371"/>
        </w:tabs>
        <w:ind w:left="851" w:right="2"/>
        <w:rPr>
          <w:sz w:val="24"/>
          <w:szCs w:val="24"/>
        </w:rPr>
      </w:pPr>
      <w:r w:rsidRPr="00BF507E">
        <w:rPr>
          <w:sz w:val="24"/>
          <w:szCs w:val="24"/>
        </w:rPr>
        <w:t>Mannitol (E 421)</w:t>
      </w:r>
    </w:p>
    <w:p w14:paraId="6B1B6F55" w14:textId="77777777" w:rsidR="00F744AA" w:rsidRPr="00BF507E" w:rsidRDefault="00F744AA" w:rsidP="00F744AA">
      <w:pPr>
        <w:tabs>
          <w:tab w:val="left" w:pos="7371"/>
        </w:tabs>
        <w:ind w:left="851" w:right="2"/>
        <w:rPr>
          <w:sz w:val="24"/>
          <w:szCs w:val="24"/>
        </w:rPr>
      </w:pPr>
      <w:r w:rsidRPr="00BF507E">
        <w:rPr>
          <w:sz w:val="24"/>
          <w:szCs w:val="24"/>
        </w:rPr>
        <w:t>Natriumhydroxid (til pH-justering)</w:t>
      </w:r>
    </w:p>
    <w:p w14:paraId="269970FF" w14:textId="77777777" w:rsidR="009260DE" w:rsidRPr="00C84483" w:rsidRDefault="009260DE" w:rsidP="009260DE">
      <w:pPr>
        <w:tabs>
          <w:tab w:val="left" w:pos="851"/>
        </w:tabs>
        <w:ind w:left="851"/>
        <w:rPr>
          <w:sz w:val="24"/>
          <w:szCs w:val="24"/>
        </w:rPr>
      </w:pPr>
    </w:p>
    <w:p w14:paraId="6790BE9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2AC27C8" w14:textId="77777777" w:rsidR="005B0798" w:rsidRPr="00BF507E" w:rsidRDefault="005B0798" w:rsidP="005B0798">
      <w:pPr>
        <w:tabs>
          <w:tab w:val="left" w:pos="7371"/>
        </w:tabs>
        <w:ind w:left="851" w:right="2"/>
        <w:rPr>
          <w:sz w:val="24"/>
          <w:szCs w:val="24"/>
        </w:rPr>
      </w:pPr>
      <w:r w:rsidRPr="00BF507E">
        <w:rPr>
          <w:sz w:val="24"/>
          <w:szCs w:val="24"/>
        </w:rPr>
        <w:t>Dette lægemiddel må ikke blandes med andre lægemidler end dem, der er anført under pkt. 6.6.</w:t>
      </w:r>
    </w:p>
    <w:p w14:paraId="3CBB6766" w14:textId="77777777" w:rsidR="009260DE" w:rsidRPr="00C84483" w:rsidRDefault="009260DE" w:rsidP="009260DE">
      <w:pPr>
        <w:tabs>
          <w:tab w:val="left" w:pos="851"/>
        </w:tabs>
        <w:ind w:left="851"/>
        <w:rPr>
          <w:sz w:val="24"/>
          <w:szCs w:val="24"/>
        </w:rPr>
      </w:pPr>
    </w:p>
    <w:p w14:paraId="7C7A78E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8E9E619" w14:textId="77777777" w:rsidR="005B0798" w:rsidRPr="00BF507E" w:rsidRDefault="005B0798" w:rsidP="005B0798">
      <w:pPr>
        <w:tabs>
          <w:tab w:val="left" w:pos="7371"/>
        </w:tabs>
        <w:ind w:left="851" w:right="2"/>
        <w:rPr>
          <w:sz w:val="24"/>
          <w:szCs w:val="24"/>
        </w:rPr>
      </w:pPr>
      <w:r w:rsidRPr="00BF507E">
        <w:rPr>
          <w:sz w:val="24"/>
          <w:szCs w:val="24"/>
        </w:rPr>
        <w:t>2 år</w:t>
      </w:r>
      <w:r>
        <w:rPr>
          <w:sz w:val="24"/>
          <w:szCs w:val="24"/>
        </w:rPr>
        <w:t>.</w:t>
      </w:r>
    </w:p>
    <w:p w14:paraId="002D2294" w14:textId="77777777" w:rsidR="005B0798" w:rsidRPr="00BF507E" w:rsidRDefault="005B0798" w:rsidP="005B0798">
      <w:pPr>
        <w:pStyle w:val="Ingenafstand"/>
        <w:ind w:left="851" w:right="2"/>
        <w:rPr>
          <w:sz w:val="24"/>
          <w:szCs w:val="24"/>
        </w:rPr>
      </w:pPr>
    </w:p>
    <w:p w14:paraId="5E9444E8" w14:textId="77777777" w:rsidR="005B0798" w:rsidRPr="00BF507E" w:rsidRDefault="005B0798" w:rsidP="005B0798">
      <w:pPr>
        <w:pStyle w:val="Ingenafstand"/>
        <w:ind w:left="851" w:right="2"/>
        <w:rPr>
          <w:sz w:val="24"/>
          <w:szCs w:val="24"/>
          <w:u w:val="single"/>
        </w:rPr>
      </w:pPr>
      <w:bookmarkStart w:id="4" w:name="_Hlk87343089"/>
      <w:r w:rsidRPr="00BF507E">
        <w:rPr>
          <w:sz w:val="24"/>
          <w:szCs w:val="24"/>
          <w:u w:val="single"/>
        </w:rPr>
        <w:t>Opbevaringstid efter rekonstitution eller rekonstitution og fortynding</w:t>
      </w:r>
    </w:p>
    <w:p w14:paraId="79245A83" w14:textId="77777777" w:rsidR="005B0798" w:rsidRDefault="005B0798" w:rsidP="005B0798">
      <w:pPr>
        <w:widowControl w:val="0"/>
        <w:autoSpaceDE w:val="0"/>
        <w:autoSpaceDN w:val="0"/>
        <w:ind w:left="851" w:right="2"/>
        <w:rPr>
          <w:sz w:val="24"/>
          <w:szCs w:val="24"/>
        </w:rPr>
      </w:pPr>
      <w:r w:rsidRPr="00BF507E">
        <w:rPr>
          <w:sz w:val="24"/>
          <w:szCs w:val="24"/>
        </w:rPr>
        <w:t>Kemisk og fysisk stabilitet efter rekonstitution eller rekonstitution og fortynding med 9 mg/ml (0,9 %) natriumchloridopløsning til injektion er dokumenteret i 24 timer ved</w:t>
      </w:r>
    </w:p>
    <w:p w14:paraId="02B140D7" w14:textId="77777777" w:rsidR="005B0798" w:rsidRPr="00BF507E" w:rsidRDefault="005B0798" w:rsidP="005B0798">
      <w:pPr>
        <w:widowControl w:val="0"/>
        <w:autoSpaceDE w:val="0"/>
        <w:autoSpaceDN w:val="0"/>
        <w:ind w:left="851" w:right="2"/>
        <w:rPr>
          <w:sz w:val="24"/>
          <w:szCs w:val="24"/>
        </w:rPr>
      </w:pPr>
      <w:r w:rsidRPr="00BF507E">
        <w:rPr>
          <w:sz w:val="24"/>
          <w:szCs w:val="24"/>
        </w:rPr>
        <w:t>2</w:t>
      </w:r>
      <w:r>
        <w:rPr>
          <w:sz w:val="24"/>
          <w:szCs w:val="24"/>
        </w:rPr>
        <w:t>-</w:t>
      </w:r>
      <w:r w:rsidRPr="00BF507E">
        <w:rPr>
          <w:sz w:val="24"/>
          <w:szCs w:val="24"/>
        </w:rPr>
        <w:t>8 °C og 25 °C.</w:t>
      </w:r>
    </w:p>
    <w:p w14:paraId="65112549" w14:textId="77777777" w:rsidR="005B0798" w:rsidRPr="00BF507E" w:rsidRDefault="005B0798" w:rsidP="005B0798">
      <w:pPr>
        <w:widowControl w:val="0"/>
        <w:autoSpaceDE w:val="0"/>
        <w:autoSpaceDN w:val="0"/>
        <w:ind w:left="851" w:right="2"/>
        <w:rPr>
          <w:sz w:val="24"/>
          <w:szCs w:val="24"/>
        </w:rPr>
      </w:pPr>
      <w:r w:rsidRPr="00BF507E">
        <w:rPr>
          <w:sz w:val="24"/>
          <w:szCs w:val="24"/>
        </w:rPr>
        <w:t>Kemisk og fysisk stabilitet efter rekonstitution med 9 mg/ml (0,9 %) natriumchloridopløsning til injektion og fortynding med 50 mg/ml (5 %) glucoseopløsning til injektion er dokumenteret i 24 timer ved 2</w:t>
      </w:r>
      <w:r>
        <w:rPr>
          <w:sz w:val="24"/>
          <w:szCs w:val="24"/>
        </w:rPr>
        <w:t>-</w:t>
      </w:r>
      <w:r w:rsidRPr="00BF507E">
        <w:rPr>
          <w:sz w:val="24"/>
          <w:szCs w:val="24"/>
        </w:rPr>
        <w:t>8 °C og 12 timer ved 25 °C.</w:t>
      </w:r>
    </w:p>
    <w:p w14:paraId="5DD04FAA" w14:textId="77777777" w:rsidR="005B0798" w:rsidRPr="00BF507E" w:rsidRDefault="005B0798" w:rsidP="005B0798">
      <w:pPr>
        <w:pStyle w:val="Ingenafstand"/>
        <w:ind w:left="851" w:right="2"/>
        <w:rPr>
          <w:sz w:val="24"/>
          <w:szCs w:val="24"/>
        </w:rPr>
      </w:pPr>
    </w:p>
    <w:p w14:paraId="1B8D1E0D" w14:textId="77777777" w:rsidR="005B0798" w:rsidRPr="00BF507E" w:rsidRDefault="005B0798" w:rsidP="005B0798">
      <w:pPr>
        <w:pStyle w:val="Ingenafstand"/>
        <w:ind w:left="851" w:right="2"/>
        <w:rPr>
          <w:sz w:val="24"/>
          <w:szCs w:val="24"/>
        </w:rPr>
      </w:pPr>
      <w:r w:rsidRPr="00BF507E">
        <w:rPr>
          <w:sz w:val="24"/>
          <w:szCs w:val="24"/>
        </w:rPr>
        <w:t>Ud fra et mikrobiologisk synspunkt skal præparatet bruges med det samme. Hvis det ikke anvendes med det samme, er opbevaringstider og -betingelser på brugerens eget ansvar, og må ikke overstige 24 timer ved 2</w:t>
      </w:r>
      <w:r>
        <w:rPr>
          <w:sz w:val="24"/>
          <w:szCs w:val="24"/>
        </w:rPr>
        <w:t>-</w:t>
      </w:r>
      <w:r w:rsidRPr="00BF507E">
        <w:rPr>
          <w:sz w:val="24"/>
          <w:szCs w:val="24"/>
        </w:rPr>
        <w:t>8 °C, med mindre rekonstitutionen er udført under kontrollerede og validerede aseptiske betingelser.</w:t>
      </w:r>
    </w:p>
    <w:bookmarkEnd w:id="4"/>
    <w:p w14:paraId="46A73570" w14:textId="77777777" w:rsidR="009260DE" w:rsidRPr="00C84483" w:rsidRDefault="009260DE" w:rsidP="009260DE">
      <w:pPr>
        <w:tabs>
          <w:tab w:val="left" w:pos="851"/>
        </w:tabs>
        <w:ind w:left="851"/>
        <w:rPr>
          <w:sz w:val="24"/>
          <w:szCs w:val="24"/>
        </w:rPr>
      </w:pPr>
    </w:p>
    <w:p w14:paraId="17B9F00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5383BC2" w14:textId="77777777" w:rsidR="005B0798" w:rsidRPr="00BF507E" w:rsidRDefault="005B0798" w:rsidP="005B0798">
      <w:pPr>
        <w:tabs>
          <w:tab w:val="left" w:pos="7371"/>
        </w:tabs>
        <w:ind w:left="851" w:right="2"/>
        <w:rPr>
          <w:sz w:val="24"/>
          <w:szCs w:val="24"/>
        </w:rPr>
      </w:pPr>
      <w:r w:rsidRPr="00BF507E">
        <w:rPr>
          <w:sz w:val="24"/>
          <w:szCs w:val="24"/>
        </w:rPr>
        <w:t>Der er ingen særlige krav vedrørende opbevaringstemperaturer for dette lægemiddel.</w:t>
      </w:r>
    </w:p>
    <w:p w14:paraId="49596342" w14:textId="77777777" w:rsidR="005B0798" w:rsidRPr="00BF507E" w:rsidRDefault="005B0798" w:rsidP="005B0798">
      <w:pPr>
        <w:tabs>
          <w:tab w:val="left" w:pos="7371"/>
        </w:tabs>
        <w:ind w:left="851" w:right="2"/>
        <w:rPr>
          <w:sz w:val="24"/>
          <w:szCs w:val="24"/>
        </w:rPr>
      </w:pPr>
      <w:r w:rsidRPr="00BF507E">
        <w:rPr>
          <w:sz w:val="24"/>
          <w:szCs w:val="24"/>
        </w:rPr>
        <w:t>Opbevar hætteglassene i den ydre karton for at beskytte mod lys.</w:t>
      </w:r>
    </w:p>
    <w:p w14:paraId="0541B665" w14:textId="77777777" w:rsidR="005B0798" w:rsidRPr="00BF507E" w:rsidRDefault="005B0798" w:rsidP="005B0798">
      <w:pPr>
        <w:tabs>
          <w:tab w:val="left" w:pos="7371"/>
        </w:tabs>
        <w:ind w:left="851" w:right="2"/>
        <w:rPr>
          <w:sz w:val="24"/>
          <w:szCs w:val="24"/>
        </w:rPr>
      </w:pPr>
    </w:p>
    <w:p w14:paraId="44FEE4E2" w14:textId="77777777" w:rsidR="005B0798" w:rsidRPr="00BF507E" w:rsidRDefault="005B0798" w:rsidP="005B0798">
      <w:pPr>
        <w:tabs>
          <w:tab w:val="left" w:pos="7371"/>
        </w:tabs>
        <w:ind w:left="851" w:right="2"/>
        <w:rPr>
          <w:sz w:val="24"/>
          <w:szCs w:val="24"/>
        </w:rPr>
      </w:pPr>
      <w:r w:rsidRPr="00BF507E">
        <w:rPr>
          <w:sz w:val="24"/>
          <w:szCs w:val="24"/>
        </w:rPr>
        <w:t>Opbevaringsforhold efter rekonstitution eller rekonstitution og fortynding af lægemidlet, se pkt. 6.3.</w:t>
      </w:r>
    </w:p>
    <w:p w14:paraId="0A22BCD4" w14:textId="77777777" w:rsidR="009260DE" w:rsidRPr="00C84483" w:rsidRDefault="009260DE" w:rsidP="009260DE">
      <w:pPr>
        <w:tabs>
          <w:tab w:val="left" w:pos="851"/>
        </w:tabs>
        <w:ind w:left="851"/>
        <w:rPr>
          <w:sz w:val="24"/>
          <w:szCs w:val="24"/>
        </w:rPr>
      </w:pPr>
    </w:p>
    <w:p w14:paraId="71B2C05E"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632762D" w14:textId="77777777" w:rsidR="005B0798" w:rsidRDefault="005B0798" w:rsidP="005B0798">
      <w:pPr>
        <w:tabs>
          <w:tab w:val="left" w:pos="7371"/>
        </w:tabs>
        <w:ind w:left="851" w:right="2"/>
        <w:rPr>
          <w:sz w:val="24"/>
          <w:szCs w:val="24"/>
        </w:rPr>
      </w:pPr>
      <w:r>
        <w:rPr>
          <w:sz w:val="24"/>
          <w:szCs w:val="24"/>
        </w:rPr>
        <w:t>K</w:t>
      </w:r>
      <w:r w:rsidRPr="00BF507E">
        <w:rPr>
          <w:sz w:val="24"/>
          <w:szCs w:val="24"/>
        </w:rPr>
        <w:t>lar</w:t>
      </w:r>
      <w:r>
        <w:rPr>
          <w:sz w:val="24"/>
          <w:szCs w:val="24"/>
        </w:rPr>
        <w:t>t</w:t>
      </w:r>
      <w:r w:rsidRPr="00BF507E">
        <w:rPr>
          <w:sz w:val="24"/>
          <w:szCs w:val="24"/>
        </w:rPr>
        <w:t>, farveløs</w:t>
      </w:r>
      <w:r>
        <w:rPr>
          <w:sz w:val="24"/>
          <w:szCs w:val="24"/>
        </w:rPr>
        <w:t>t</w:t>
      </w:r>
      <w:r w:rsidRPr="00BF507E">
        <w:rPr>
          <w:sz w:val="24"/>
          <w:szCs w:val="24"/>
        </w:rPr>
        <w:t xml:space="preserve"> hætteglas (type I) med en kapacitet på 10 ml.</w:t>
      </w:r>
    </w:p>
    <w:p w14:paraId="528968DB" w14:textId="741A4E4E" w:rsidR="005B0798" w:rsidRPr="00BF507E" w:rsidRDefault="005B0798" w:rsidP="005B0798">
      <w:pPr>
        <w:tabs>
          <w:tab w:val="left" w:pos="7371"/>
        </w:tabs>
        <w:ind w:left="851" w:right="2"/>
        <w:rPr>
          <w:sz w:val="24"/>
          <w:szCs w:val="24"/>
        </w:rPr>
      </w:pPr>
      <w:r w:rsidRPr="00BF507E">
        <w:rPr>
          <w:sz w:val="24"/>
          <w:szCs w:val="24"/>
        </w:rPr>
        <w:t>Hætteglasse</w:t>
      </w:r>
      <w:r>
        <w:rPr>
          <w:sz w:val="24"/>
          <w:szCs w:val="24"/>
        </w:rPr>
        <w:t>t</w:t>
      </w:r>
      <w:r w:rsidRPr="00BF507E">
        <w:rPr>
          <w:sz w:val="24"/>
          <w:szCs w:val="24"/>
        </w:rPr>
        <w:t xml:space="preserve"> er lukket med prop af bromobutylgummi og forseglet med afrivningslåg af aluminium/polypropylen.</w:t>
      </w:r>
    </w:p>
    <w:p w14:paraId="7C887D70" w14:textId="19C1F1AB" w:rsidR="005B0798" w:rsidRPr="00BF507E" w:rsidRDefault="005B0798" w:rsidP="005B0798">
      <w:pPr>
        <w:tabs>
          <w:tab w:val="left" w:pos="7371"/>
        </w:tabs>
        <w:ind w:left="851" w:right="2"/>
        <w:rPr>
          <w:sz w:val="24"/>
          <w:szCs w:val="24"/>
        </w:rPr>
      </w:pPr>
      <w:r w:rsidRPr="00BF507E">
        <w:rPr>
          <w:sz w:val="24"/>
          <w:szCs w:val="24"/>
        </w:rPr>
        <w:t>Hætteglass</w:t>
      </w:r>
      <w:r w:rsidR="0018451F">
        <w:rPr>
          <w:sz w:val="24"/>
          <w:szCs w:val="24"/>
        </w:rPr>
        <w:t>et</w:t>
      </w:r>
      <w:r w:rsidRPr="00BF507E">
        <w:rPr>
          <w:sz w:val="24"/>
          <w:szCs w:val="24"/>
        </w:rPr>
        <w:t xml:space="preserve"> er pakket i ydre karton.</w:t>
      </w:r>
    </w:p>
    <w:p w14:paraId="1B411BDD" w14:textId="77777777" w:rsidR="005B0798" w:rsidRPr="00BF507E" w:rsidRDefault="005B0798" w:rsidP="005B0798">
      <w:pPr>
        <w:tabs>
          <w:tab w:val="left" w:pos="7371"/>
        </w:tabs>
        <w:ind w:left="851" w:right="2"/>
        <w:rPr>
          <w:sz w:val="24"/>
          <w:szCs w:val="24"/>
        </w:rPr>
      </w:pPr>
    </w:p>
    <w:p w14:paraId="2BD6AF99" w14:textId="14C53E21" w:rsidR="005B0798" w:rsidRPr="00BF507E" w:rsidRDefault="005B0798" w:rsidP="005B0798">
      <w:pPr>
        <w:tabs>
          <w:tab w:val="left" w:pos="7371"/>
        </w:tabs>
        <w:ind w:left="851" w:right="2"/>
        <w:rPr>
          <w:sz w:val="24"/>
          <w:szCs w:val="24"/>
        </w:rPr>
      </w:pPr>
      <w:r w:rsidRPr="00BF507E">
        <w:rPr>
          <w:sz w:val="24"/>
          <w:szCs w:val="24"/>
        </w:rPr>
        <w:t xml:space="preserve">Pakningsstørrelser: 1, 5, 10 </w:t>
      </w:r>
      <w:r w:rsidR="0018451F">
        <w:rPr>
          <w:sz w:val="24"/>
          <w:szCs w:val="24"/>
        </w:rPr>
        <w:t>og</w:t>
      </w:r>
      <w:r w:rsidRPr="00BF507E">
        <w:rPr>
          <w:sz w:val="24"/>
          <w:szCs w:val="24"/>
        </w:rPr>
        <w:t xml:space="preserve"> 50 hætteglas</w:t>
      </w:r>
      <w:r w:rsidR="0018451F">
        <w:rPr>
          <w:sz w:val="24"/>
          <w:szCs w:val="24"/>
        </w:rPr>
        <w:t>.</w:t>
      </w:r>
    </w:p>
    <w:p w14:paraId="661B50E7" w14:textId="77777777" w:rsidR="005B0798" w:rsidRPr="00BF507E" w:rsidRDefault="005B0798" w:rsidP="005B0798">
      <w:pPr>
        <w:tabs>
          <w:tab w:val="left" w:pos="7371"/>
        </w:tabs>
        <w:ind w:left="851" w:right="2"/>
        <w:rPr>
          <w:sz w:val="24"/>
          <w:szCs w:val="24"/>
        </w:rPr>
      </w:pPr>
    </w:p>
    <w:p w14:paraId="40FBA355" w14:textId="77777777" w:rsidR="005B0798" w:rsidRPr="00BF507E" w:rsidRDefault="005B0798" w:rsidP="005B0798">
      <w:pPr>
        <w:tabs>
          <w:tab w:val="left" w:pos="7371"/>
        </w:tabs>
        <w:ind w:left="851" w:right="2"/>
        <w:rPr>
          <w:sz w:val="24"/>
          <w:szCs w:val="24"/>
        </w:rPr>
      </w:pPr>
      <w:r w:rsidRPr="00BF507E">
        <w:rPr>
          <w:sz w:val="24"/>
          <w:szCs w:val="24"/>
        </w:rPr>
        <w:t>Ikke alle pakningsstørrelser er nødvendigvis markedsført.</w:t>
      </w:r>
    </w:p>
    <w:p w14:paraId="752319E4" w14:textId="77777777" w:rsidR="009260DE" w:rsidRPr="00C84483" w:rsidRDefault="009260DE" w:rsidP="009260DE">
      <w:pPr>
        <w:tabs>
          <w:tab w:val="left" w:pos="851"/>
        </w:tabs>
        <w:ind w:left="851"/>
        <w:rPr>
          <w:sz w:val="24"/>
          <w:szCs w:val="24"/>
        </w:rPr>
      </w:pPr>
    </w:p>
    <w:p w14:paraId="5EA526D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FB9988D" w14:textId="77777777" w:rsidR="0018451F" w:rsidRPr="00BF507E" w:rsidRDefault="0018451F" w:rsidP="0018451F">
      <w:pPr>
        <w:pStyle w:val="Ingenafstand"/>
        <w:ind w:left="851" w:right="2"/>
        <w:rPr>
          <w:sz w:val="24"/>
          <w:szCs w:val="24"/>
        </w:rPr>
      </w:pPr>
      <w:r w:rsidRPr="00BF507E">
        <w:rPr>
          <w:sz w:val="24"/>
          <w:szCs w:val="24"/>
        </w:rPr>
        <w:t>Kun til engangsbrug.</w:t>
      </w:r>
    </w:p>
    <w:p w14:paraId="7E1E1529" w14:textId="77777777" w:rsidR="0018451F" w:rsidRPr="00BF507E" w:rsidRDefault="0018451F" w:rsidP="0018451F">
      <w:pPr>
        <w:pStyle w:val="Ingenafstand"/>
        <w:ind w:left="851" w:right="2"/>
        <w:rPr>
          <w:sz w:val="24"/>
          <w:szCs w:val="24"/>
        </w:rPr>
      </w:pPr>
    </w:p>
    <w:p w14:paraId="631ED215" w14:textId="77777777" w:rsidR="0018451F" w:rsidRPr="00BF507E" w:rsidRDefault="0018451F" w:rsidP="0018451F">
      <w:pPr>
        <w:tabs>
          <w:tab w:val="left" w:pos="7371"/>
        </w:tabs>
        <w:ind w:left="851" w:right="2"/>
        <w:rPr>
          <w:sz w:val="24"/>
          <w:szCs w:val="24"/>
        </w:rPr>
      </w:pPr>
      <w:r w:rsidRPr="00BF507E">
        <w:rPr>
          <w:sz w:val="24"/>
          <w:szCs w:val="24"/>
        </w:rPr>
        <w:t xml:space="preserve">Den brugsfærdige opløsning fremstilles ved at tilsætte 10 ml 9 mg/ml (0,9 %) natriumchloridopløsning til injektion til hætteglasset med pulveret. Den klargjorte </w:t>
      </w:r>
      <w:r w:rsidRPr="00BF507E">
        <w:rPr>
          <w:sz w:val="24"/>
          <w:szCs w:val="24"/>
        </w:rPr>
        <w:lastRenderedPageBreak/>
        <w:t>opløsning kan administreres direkte eller efter blanding med 100 ml 9 mg/ml (0,9 %) natriumchloridopløsning til injektion eller 50 mg/ml (5 %) glucoseopløsning til injektion.</w:t>
      </w:r>
    </w:p>
    <w:p w14:paraId="306E6A23" w14:textId="77777777" w:rsidR="0018451F" w:rsidRPr="00BF507E" w:rsidRDefault="0018451F" w:rsidP="0018451F">
      <w:pPr>
        <w:tabs>
          <w:tab w:val="left" w:pos="7371"/>
        </w:tabs>
        <w:ind w:left="851" w:right="2"/>
        <w:rPr>
          <w:sz w:val="24"/>
          <w:szCs w:val="24"/>
        </w:rPr>
      </w:pPr>
    </w:p>
    <w:p w14:paraId="16EA99E2" w14:textId="77777777" w:rsidR="0018451F" w:rsidRPr="00BF507E" w:rsidRDefault="0018451F" w:rsidP="0018451F">
      <w:pPr>
        <w:tabs>
          <w:tab w:val="left" w:pos="7371"/>
        </w:tabs>
        <w:ind w:left="851" w:right="2"/>
        <w:rPr>
          <w:sz w:val="24"/>
          <w:szCs w:val="24"/>
        </w:rPr>
      </w:pPr>
      <w:r w:rsidRPr="00BF507E">
        <w:rPr>
          <w:sz w:val="24"/>
          <w:szCs w:val="24"/>
        </w:rPr>
        <w:t>Den klargjorte opløsning skal kontrolleres visuelt før brug. Efter rekonstitution fremstår præparatet som en klar, gullig opløsning. Der må kun anvendes klare opløsninger, der er fri for partikler.</w:t>
      </w:r>
    </w:p>
    <w:p w14:paraId="411E2C6C" w14:textId="77777777" w:rsidR="0018451F" w:rsidRPr="00BF507E" w:rsidRDefault="0018451F" w:rsidP="0018451F">
      <w:pPr>
        <w:tabs>
          <w:tab w:val="left" w:pos="7371"/>
        </w:tabs>
        <w:ind w:left="851" w:right="2"/>
        <w:rPr>
          <w:sz w:val="24"/>
          <w:szCs w:val="24"/>
          <w:highlight w:val="yellow"/>
        </w:rPr>
      </w:pPr>
    </w:p>
    <w:p w14:paraId="3D9B035A" w14:textId="77777777" w:rsidR="0018451F" w:rsidRPr="00BF507E" w:rsidRDefault="0018451F" w:rsidP="0018451F">
      <w:pPr>
        <w:pStyle w:val="Ingenafstand"/>
        <w:ind w:left="851" w:right="2"/>
        <w:rPr>
          <w:sz w:val="24"/>
          <w:szCs w:val="24"/>
        </w:rPr>
      </w:pPr>
      <w:r w:rsidRPr="00BF507E">
        <w:rPr>
          <w:sz w:val="24"/>
          <w:szCs w:val="24"/>
        </w:rPr>
        <w:t>Ikke anvendt lægemiddel samt affald heraf skal bortskaffes i henhold til lokale retningslinjer.</w:t>
      </w:r>
    </w:p>
    <w:p w14:paraId="57699FC3" w14:textId="77777777" w:rsidR="009260DE" w:rsidRPr="00C84483" w:rsidRDefault="009260DE" w:rsidP="000730CA">
      <w:pPr>
        <w:tabs>
          <w:tab w:val="left" w:pos="851"/>
        </w:tabs>
        <w:ind w:left="851"/>
        <w:rPr>
          <w:sz w:val="24"/>
          <w:szCs w:val="24"/>
        </w:rPr>
      </w:pPr>
    </w:p>
    <w:p w14:paraId="0A22E18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EE06CAD" w14:textId="77777777" w:rsidR="0018451F" w:rsidRPr="00BF507E" w:rsidRDefault="0018451F" w:rsidP="0018451F">
      <w:pPr>
        <w:ind w:left="851" w:right="2"/>
        <w:rPr>
          <w:sz w:val="24"/>
          <w:szCs w:val="24"/>
        </w:rPr>
      </w:pPr>
      <w:r w:rsidRPr="00BF507E">
        <w:rPr>
          <w:sz w:val="24"/>
          <w:szCs w:val="24"/>
        </w:rPr>
        <w:t>AS KALCEKS</w:t>
      </w:r>
    </w:p>
    <w:p w14:paraId="62B613B2" w14:textId="77777777" w:rsidR="0018451F" w:rsidRPr="00BF507E" w:rsidRDefault="0018451F" w:rsidP="0018451F">
      <w:pPr>
        <w:ind w:left="851" w:right="2"/>
        <w:rPr>
          <w:sz w:val="24"/>
          <w:szCs w:val="24"/>
        </w:rPr>
      </w:pPr>
      <w:r w:rsidRPr="00BF507E">
        <w:rPr>
          <w:sz w:val="24"/>
          <w:szCs w:val="24"/>
        </w:rPr>
        <w:t>Krustpils iela 71E</w:t>
      </w:r>
    </w:p>
    <w:p w14:paraId="7E1E6E40" w14:textId="77777777" w:rsidR="0018451F" w:rsidRPr="00BF507E" w:rsidRDefault="0018451F" w:rsidP="0018451F">
      <w:pPr>
        <w:ind w:left="851" w:right="2"/>
        <w:rPr>
          <w:sz w:val="24"/>
          <w:szCs w:val="24"/>
        </w:rPr>
      </w:pPr>
      <w:r w:rsidRPr="00BF507E">
        <w:rPr>
          <w:sz w:val="24"/>
          <w:szCs w:val="24"/>
        </w:rPr>
        <w:t>LV</w:t>
      </w:r>
      <w:r w:rsidRPr="00BF507E">
        <w:rPr>
          <w:sz w:val="24"/>
          <w:szCs w:val="24"/>
        </w:rPr>
        <w:noBreakHyphen/>
        <w:t>1057 Rīga</w:t>
      </w:r>
    </w:p>
    <w:p w14:paraId="70787E3D" w14:textId="77777777" w:rsidR="0018451F" w:rsidRPr="00BF507E" w:rsidRDefault="0018451F" w:rsidP="0018451F">
      <w:pPr>
        <w:ind w:left="851" w:right="2"/>
        <w:rPr>
          <w:sz w:val="24"/>
          <w:szCs w:val="24"/>
        </w:rPr>
      </w:pPr>
      <w:r w:rsidRPr="00BF507E">
        <w:rPr>
          <w:sz w:val="24"/>
          <w:szCs w:val="24"/>
        </w:rPr>
        <w:t>Letland</w:t>
      </w:r>
    </w:p>
    <w:p w14:paraId="640991EA" w14:textId="77777777" w:rsidR="00641C65" w:rsidRPr="00641C65" w:rsidRDefault="00641C65" w:rsidP="009260DE">
      <w:pPr>
        <w:tabs>
          <w:tab w:val="left" w:pos="851"/>
        </w:tabs>
        <w:ind w:left="851"/>
        <w:rPr>
          <w:sz w:val="24"/>
          <w:szCs w:val="24"/>
        </w:rPr>
      </w:pPr>
    </w:p>
    <w:p w14:paraId="5E2F9B11"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35CCBF1" w14:textId="76B0CCB2" w:rsidR="009260DE" w:rsidRPr="00C84483" w:rsidRDefault="0018451F" w:rsidP="009260DE">
      <w:pPr>
        <w:tabs>
          <w:tab w:val="left" w:pos="851"/>
        </w:tabs>
        <w:ind w:left="851"/>
        <w:rPr>
          <w:sz w:val="24"/>
          <w:szCs w:val="24"/>
        </w:rPr>
      </w:pPr>
      <w:r>
        <w:rPr>
          <w:sz w:val="24"/>
          <w:szCs w:val="24"/>
        </w:rPr>
        <w:t>67091</w:t>
      </w:r>
    </w:p>
    <w:p w14:paraId="7A08C48C" w14:textId="77777777" w:rsidR="009260DE" w:rsidRPr="00C84483" w:rsidRDefault="009260DE" w:rsidP="009260DE">
      <w:pPr>
        <w:tabs>
          <w:tab w:val="left" w:pos="851"/>
        </w:tabs>
        <w:ind w:left="851"/>
        <w:jc w:val="both"/>
        <w:rPr>
          <w:sz w:val="24"/>
          <w:szCs w:val="24"/>
        </w:rPr>
      </w:pPr>
    </w:p>
    <w:p w14:paraId="3D69338F"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7EBC2CE" w14:textId="0F60E86D" w:rsidR="009260DE" w:rsidRPr="00C84483" w:rsidRDefault="00815EAE" w:rsidP="009260DE">
      <w:pPr>
        <w:tabs>
          <w:tab w:val="left" w:pos="851"/>
        </w:tabs>
        <w:ind w:left="851"/>
        <w:rPr>
          <w:sz w:val="24"/>
          <w:szCs w:val="24"/>
        </w:rPr>
      </w:pPr>
      <w:r>
        <w:rPr>
          <w:sz w:val="24"/>
          <w:szCs w:val="24"/>
        </w:rPr>
        <w:t>30. juni 2023</w:t>
      </w:r>
    </w:p>
    <w:p w14:paraId="7A9D01BE" w14:textId="77777777" w:rsidR="009260DE" w:rsidRPr="00C84483" w:rsidRDefault="009260DE" w:rsidP="009260DE">
      <w:pPr>
        <w:tabs>
          <w:tab w:val="left" w:pos="851"/>
        </w:tabs>
        <w:ind w:left="851"/>
        <w:rPr>
          <w:sz w:val="24"/>
          <w:szCs w:val="24"/>
        </w:rPr>
      </w:pPr>
    </w:p>
    <w:p w14:paraId="7458DCF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021F52E" w14:textId="2C29B92F" w:rsidR="009260DE" w:rsidRPr="00C84483" w:rsidRDefault="0018451F"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63A5" w14:textId="77777777" w:rsidR="00EA53B3" w:rsidRDefault="00EA53B3">
      <w:r>
        <w:separator/>
      </w:r>
    </w:p>
  </w:endnote>
  <w:endnote w:type="continuationSeparator" w:id="0">
    <w:p w14:paraId="535A5D4C" w14:textId="77777777" w:rsidR="00EA53B3" w:rsidRDefault="00EA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7FD9" w14:textId="77777777" w:rsidR="000259B9" w:rsidRDefault="000259B9">
    <w:pPr>
      <w:pStyle w:val="Sidefod"/>
      <w:pBdr>
        <w:bottom w:val="single" w:sz="6" w:space="1" w:color="auto"/>
      </w:pBdr>
    </w:pPr>
  </w:p>
  <w:p w14:paraId="541973E2" w14:textId="77777777" w:rsidR="000259B9" w:rsidRDefault="000259B9" w:rsidP="00C42586">
    <w:pPr>
      <w:pStyle w:val="Sidefod"/>
      <w:tabs>
        <w:tab w:val="clear" w:pos="4819"/>
        <w:tab w:val="left" w:pos="8505"/>
      </w:tabs>
      <w:rPr>
        <w:i/>
        <w:sz w:val="18"/>
        <w:szCs w:val="18"/>
      </w:rPr>
    </w:pPr>
  </w:p>
  <w:p w14:paraId="6F7F8CF3" w14:textId="4E7006B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C44F3">
      <w:rPr>
        <w:i/>
        <w:noProof/>
        <w:sz w:val="18"/>
        <w:szCs w:val="18"/>
      </w:rPr>
      <w:t>Pantoprazol Kalceks, pulver til injektionsvæske, opløsning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662B" w14:textId="77777777" w:rsidR="00EA53B3" w:rsidRDefault="00EA53B3">
      <w:r>
        <w:separator/>
      </w:r>
    </w:p>
  </w:footnote>
  <w:footnote w:type="continuationSeparator" w:id="0">
    <w:p w14:paraId="438C85C3" w14:textId="77777777" w:rsidR="00EA53B3" w:rsidRDefault="00EA5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482F09"/>
    <w:multiLevelType w:val="hybridMultilevel"/>
    <w:tmpl w:val="5D5ABFEC"/>
    <w:lvl w:ilvl="0" w:tplc="FFFFFFFF">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B3"/>
    <w:rsid w:val="000259B9"/>
    <w:rsid w:val="00041491"/>
    <w:rsid w:val="00050D16"/>
    <w:rsid w:val="000730CA"/>
    <w:rsid w:val="00074F2A"/>
    <w:rsid w:val="000A1CA8"/>
    <w:rsid w:val="000A466B"/>
    <w:rsid w:val="000B058C"/>
    <w:rsid w:val="000C1923"/>
    <w:rsid w:val="000D68B0"/>
    <w:rsid w:val="000E4EE6"/>
    <w:rsid w:val="001454E2"/>
    <w:rsid w:val="00152E25"/>
    <w:rsid w:val="00165A34"/>
    <w:rsid w:val="0018451F"/>
    <w:rsid w:val="00206CE8"/>
    <w:rsid w:val="0021526C"/>
    <w:rsid w:val="00283A2B"/>
    <w:rsid w:val="002B30AD"/>
    <w:rsid w:val="002C1EC0"/>
    <w:rsid w:val="002C2C01"/>
    <w:rsid w:val="00302FC8"/>
    <w:rsid w:val="00371CD8"/>
    <w:rsid w:val="003A29AE"/>
    <w:rsid w:val="003A32D7"/>
    <w:rsid w:val="003B4074"/>
    <w:rsid w:val="003C769A"/>
    <w:rsid w:val="003D3A90"/>
    <w:rsid w:val="003F1838"/>
    <w:rsid w:val="0045746C"/>
    <w:rsid w:val="0049104B"/>
    <w:rsid w:val="004E3B12"/>
    <w:rsid w:val="004F12A5"/>
    <w:rsid w:val="0050311F"/>
    <w:rsid w:val="00532310"/>
    <w:rsid w:val="00565F0F"/>
    <w:rsid w:val="00594A86"/>
    <w:rsid w:val="00596D86"/>
    <w:rsid w:val="005B0798"/>
    <w:rsid w:val="00637F5A"/>
    <w:rsid w:val="00641C65"/>
    <w:rsid w:val="00654136"/>
    <w:rsid w:val="006560B1"/>
    <w:rsid w:val="006648BE"/>
    <w:rsid w:val="006756DD"/>
    <w:rsid w:val="0071241E"/>
    <w:rsid w:val="00737275"/>
    <w:rsid w:val="00740EEC"/>
    <w:rsid w:val="0078011A"/>
    <w:rsid w:val="00781309"/>
    <w:rsid w:val="00782AF4"/>
    <w:rsid w:val="00790EE7"/>
    <w:rsid w:val="007B6649"/>
    <w:rsid w:val="00815EAE"/>
    <w:rsid w:val="0082576E"/>
    <w:rsid w:val="008A262D"/>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CC44F3"/>
    <w:rsid w:val="00D020B0"/>
    <w:rsid w:val="00D11748"/>
    <w:rsid w:val="00D237F6"/>
    <w:rsid w:val="00D34D98"/>
    <w:rsid w:val="00D366CF"/>
    <w:rsid w:val="00D93992"/>
    <w:rsid w:val="00E108AA"/>
    <w:rsid w:val="00E3749A"/>
    <w:rsid w:val="00E7437F"/>
    <w:rsid w:val="00E865B8"/>
    <w:rsid w:val="00EA53B3"/>
    <w:rsid w:val="00EC0B9B"/>
    <w:rsid w:val="00ED5E9F"/>
    <w:rsid w:val="00F33786"/>
    <w:rsid w:val="00F66D4F"/>
    <w:rsid w:val="00F744A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ADE8B"/>
  <w15:chartTrackingRefBased/>
  <w15:docId w15:val="{3D852685-39B4-4F79-899E-19967CA7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6648BE"/>
    <w:pPr>
      <w:autoSpaceDE w:val="0"/>
      <w:autoSpaceDN w:val="0"/>
      <w:adjustRightInd w:val="0"/>
    </w:pPr>
    <w:rPr>
      <w:rFonts w:eastAsia="Calibri"/>
      <w:color w:val="000000"/>
      <w:sz w:val="24"/>
      <w:szCs w:val="24"/>
      <w:lang w:eastAsia="en-US"/>
    </w:rPr>
  </w:style>
  <w:style w:type="paragraph" w:styleId="Ingenafstand">
    <w:name w:val="No Spacing"/>
    <w:uiPriority w:val="1"/>
    <w:qFormat/>
    <w:rsid w:val="00CC44F3"/>
    <w:pPr>
      <w:widowControl w:val="0"/>
      <w:autoSpaceDE w:val="0"/>
      <w:autoSpaceDN w:val="0"/>
    </w:pPr>
    <w:rPr>
      <w:sz w:val="22"/>
      <w:szCs w:val="22"/>
      <w:lang w:eastAsia="en-GB" w:bidi="en-GB"/>
    </w:rPr>
  </w:style>
  <w:style w:type="character" w:styleId="Hyperlink">
    <w:name w:val="Hyperlink"/>
    <w:unhideWhenUsed/>
    <w:rsid w:val="004F1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19</TotalTime>
  <Pages>12</Pages>
  <Words>3383</Words>
  <Characters>22521</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2021120089 mt</dc:description>
  <cp:lastModifiedBy>Hanne Thy Iversen</cp:lastModifiedBy>
  <cp:revision>8</cp:revision>
  <cp:lastPrinted>2012-08-22T08:53:00Z</cp:lastPrinted>
  <dcterms:created xsi:type="dcterms:W3CDTF">2023-06-30T08:04:00Z</dcterms:created>
  <dcterms:modified xsi:type="dcterms:W3CDTF">2023-06-30T09:08:00Z</dcterms:modified>
</cp:coreProperties>
</file>