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0B00C" w14:textId="77777777" w:rsidR="004A3BF4" w:rsidRPr="00AF4AC6" w:rsidRDefault="00056601" w:rsidP="004A3BF4">
      <w:pPr>
        <w:rPr>
          <w:sz w:val="24"/>
          <w:szCs w:val="24"/>
          <w:lang w:val="en-GB"/>
        </w:rPr>
      </w:pPr>
      <w:r w:rsidRPr="00AF4AC6">
        <w:rPr>
          <w:noProof/>
          <w:sz w:val="24"/>
          <w:szCs w:val="24"/>
          <w:lang w:val="en-GB"/>
        </w:rPr>
        <w:drawing>
          <wp:inline distT="0" distB="0" distL="0" distR="0" wp14:anchorId="62E1EC76" wp14:editId="103951A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BFEA807" w14:textId="77777777" w:rsidR="006B3847" w:rsidRPr="00AF4AC6" w:rsidRDefault="006B3847" w:rsidP="006B3847">
      <w:pPr>
        <w:rPr>
          <w:sz w:val="24"/>
          <w:szCs w:val="24"/>
          <w:lang w:val="en-GB"/>
        </w:rPr>
      </w:pPr>
    </w:p>
    <w:p w14:paraId="7381156B" w14:textId="12674D16" w:rsidR="006B3847" w:rsidRPr="00AF4AC6" w:rsidRDefault="006B3847" w:rsidP="006B3847">
      <w:pPr>
        <w:tabs>
          <w:tab w:val="right" w:pos="9356"/>
        </w:tabs>
        <w:rPr>
          <w:b/>
          <w:sz w:val="24"/>
          <w:szCs w:val="24"/>
          <w:lang w:val="en-GB"/>
        </w:rPr>
      </w:pPr>
      <w:r w:rsidRPr="00AF4AC6">
        <w:rPr>
          <w:b/>
          <w:sz w:val="24"/>
          <w:szCs w:val="24"/>
          <w:lang w:val="en-GB"/>
        </w:rPr>
        <w:tab/>
      </w:r>
      <w:r w:rsidR="007F6E4E">
        <w:rPr>
          <w:b/>
          <w:sz w:val="24"/>
          <w:szCs w:val="24"/>
          <w:lang w:val="en-GB"/>
        </w:rPr>
        <w:t>25 September 2024</w:t>
      </w:r>
    </w:p>
    <w:p w14:paraId="3A1F93E5" w14:textId="77777777" w:rsidR="006B3847" w:rsidRPr="00AF4AC6" w:rsidRDefault="006B3847" w:rsidP="006B3847">
      <w:pPr>
        <w:rPr>
          <w:sz w:val="24"/>
          <w:szCs w:val="24"/>
          <w:lang w:val="en-GB"/>
        </w:rPr>
      </w:pPr>
    </w:p>
    <w:p w14:paraId="687992ED" w14:textId="77777777" w:rsidR="007C5D2A" w:rsidRPr="00AF4AC6" w:rsidRDefault="007C5D2A" w:rsidP="007C5D2A">
      <w:pPr>
        <w:rPr>
          <w:sz w:val="24"/>
          <w:szCs w:val="24"/>
          <w:lang w:val="en-GB"/>
        </w:rPr>
      </w:pPr>
    </w:p>
    <w:p w14:paraId="1B068D07" w14:textId="77777777" w:rsidR="007C5D2A" w:rsidRPr="00AF4AC6" w:rsidRDefault="007C5D2A" w:rsidP="007C5D2A">
      <w:pPr>
        <w:rPr>
          <w:sz w:val="24"/>
          <w:szCs w:val="24"/>
          <w:lang w:val="en-GB"/>
        </w:rPr>
      </w:pPr>
    </w:p>
    <w:p w14:paraId="655D13D7" w14:textId="77777777" w:rsidR="007C5D2A" w:rsidRPr="00AF4AC6" w:rsidRDefault="007C5D2A" w:rsidP="007C5D2A">
      <w:pPr>
        <w:jc w:val="center"/>
        <w:rPr>
          <w:b/>
          <w:sz w:val="24"/>
          <w:szCs w:val="24"/>
          <w:lang w:val="en-GB"/>
        </w:rPr>
      </w:pPr>
      <w:bookmarkStart w:id="0" w:name="_Hlk49158549"/>
      <w:r w:rsidRPr="00AF4AC6">
        <w:rPr>
          <w:b/>
          <w:sz w:val="24"/>
          <w:szCs w:val="24"/>
          <w:lang w:val="en-GB"/>
        </w:rPr>
        <w:t>SUMMARY OF PRODUCT CHARACTERISTICS</w:t>
      </w:r>
    </w:p>
    <w:bookmarkEnd w:id="0"/>
    <w:p w14:paraId="3ECF1831" w14:textId="77777777" w:rsidR="007C5D2A" w:rsidRPr="00AF4AC6" w:rsidRDefault="007C5D2A" w:rsidP="007C5D2A">
      <w:pPr>
        <w:jc w:val="center"/>
        <w:rPr>
          <w:sz w:val="24"/>
          <w:szCs w:val="24"/>
          <w:lang w:val="en-GB"/>
        </w:rPr>
      </w:pPr>
    </w:p>
    <w:p w14:paraId="29DFD7A9" w14:textId="77777777" w:rsidR="007C5D2A" w:rsidRPr="00AF4AC6" w:rsidRDefault="007C5D2A" w:rsidP="007C5D2A">
      <w:pPr>
        <w:jc w:val="center"/>
        <w:rPr>
          <w:b/>
          <w:sz w:val="24"/>
          <w:szCs w:val="24"/>
          <w:lang w:val="en-GB"/>
        </w:rPr>
      </w:pPr>
      <w:r w:rsidRPr="00AF4AC6">
        <w:rPr>
          <w:b/>
          <w:sz w:val="24"/>
          <w:szCs w:val="24"/>
          <w:lang w:val="en-GB"/>
        </w:rPr>
        <w:t>for</w:t>
      </w:r>
    </w:p>
    <w:p w14:paraId="0B61294B" w14:textId="77777777" w:rsidR="007C5D2A" w:rsidRPr="00AF4AC6" w:rsidRDefault="007C5D2A" w:rsidP="007C5D2A">
      <w:pPr>
        <w:jc w:val="center"/>
        <w:rPr>
          <w:sz w:val="24"/>
          <w:szCs w:val="24"/>
          <w:lang w:val="en-GB"/>
        </w:rPr>
      </w:pPr>
    </w:p>
    <w:p w14:paraId="2979CCE2" w14:textId="2A1394D8" w:rsidR="007C5D2A" w:rsidRPr="00AF4AC6" w:rsidRDefault="00EA0647" w:rsidP="007C5D2A">
      <w:pPr>
        <w:jc w:val="center"/>
        <w:rPr>
          <w:b/>
          <w:sz w:val="24"/>
          <w:szCs w:val="24"/>
          <w:lang w:val="en-GB"/>
        </w:rPr>
      </w:pPr>
      <w:proofErr w:type="spellStart"/>
      <w:r w:rsidRPr="00AF4AC6">
        <w:rPr>
          <w:b/>
          <w:sz w:val="24"/>
          <w:szCs w:val="24"/>
          <w:lang w:val="en-GB"/>
        </w:rPr>
        <w:t>Pantoprazol</w:t>
      </w:r>
      <w:proofErr w:type="spellEnd"/>
      <w:r w:rsidRPr="00AF4AC6">
        <w:rPr>
          <w:b/>
          <w:sz w:val="24"/>
          <w:szCs w:val="24"/>
          <w:lang w:val="en-GB"/>
        </w:rPr>
        <w:t xml:space="preserve"> "</w:t>
      </w:r>
      <w:proofErr w:type="spellStart"/>
      <w:r w:rsidRPr="00AF4AC6">
        <w:rPr>
          <w:b/>
          <w:sz w:val="24"/>
          <w:szCs w:val="24"/>
          <w:lang w:val="en-GB"/>
        </w:rPr>
        <w:t>Opko</w:t>
      </w:r>
      <w:proofErr w:type="spellEnd"/>
      <w:r w:rsidRPr="00AF4AC6">
        <w:rPr>
          <w:b/>
          <w:sz w:val="24"/>
          <w:szCs w:val="24"/>
          <w:lang w:val="en-GB"/>
        </w:rPr>
        <w:t>", gastro-resistant tablets</w:t>
      </w:r>
    </w:p>
    <w:p w14:paraId="40B5BB24" w14:textId="77777777" w:rsidR="007C5D2A" w:rsidRPr="00AF4AC6" w:rsidRDefault="007C5D2A" w:rsidP="007C5D2A">
      <w:pPr>
        <w:jc w:val="both"/>
        <w:rPr>
          <w:sz w:val="24"/>
          <w:szCs w:val="24"/>
          <w:lang w:val="en-GB"/>
        </w:rPr>
      </w:pPr>
    </w:p>
    <w:p w14:paraId="16D92108" w14:textId="77777777" w:rsidR="0042292D" w:rsidRPr="00AF4AC6" w:rsidRDefault="0042292D" w:rsidP="007C5D2A">
      <w:pPr>
        <w:jc w:val="both"/>
        <w:rPr>
          <w:sz w:val="24"/>
          <w:szCs w:val="24"/>
          <w:lang w:val="en-GB"/>
        </w:rPr>
      </w:pPr>
    </w:p>
    <w:p w14:paraId="22D4F84A" w14:textId="77777777" w:rsidR="008F2F8C" w:rsidRPr="00AF4AC6" w:rsidRDefault="008F2F8C" w:rsidP="008F2F8C">
      <w:pPr>
        <w:tabs>
          <w:tab w:val="left" w:pos="8222"/>
        </w:tabs>
        <w:ind w:left="851" w:hanging="851"/>
        <w:rPr>
          <w:b/>
          <w:sz w:val="24"/>
          <w:szCs w:val="24"/>
          <w:lang w:val="en-GB"/>
        </w:rPr>
      </w:pPr>
      <w:r w:rsidRPr="00AF4AC6">
        <w:rPr>
          <w:b/>
          <w:sz w:val="24"/>
          <w:szCs w:val="24"/>
          <w:lang w:val="en-GB"/>
        </w:rPr>
        <w:t>0.</w:t>
      </w:r>
      <w:r w:rsidRPr="00AF4AC6">
        <w:rPr>
          <w:b/>
          <w:sz w:val="24"/>
          <w:szCs w:val="24"/>
          <w:lang w:val="en-GB"/>
        </w:rPr>
        <w:tab/>
      </w:r>
      <w:proofErr w:type="gramStart"/>
      <w:r w:rsidRPr="00AF4AC6">
        <w:rPr>
          <w:b/>
          <w:sz w:val="24"/>
          <w:szCs w:val="24"/>
          <w:lang w:val="en-GB"/>
        </w:rPr>
        <w:t>D.SP.NO</w:t>
      </w:r>
      <w:proofErr w:type="gramEnd"/>
      <w:r w:rsidRPr="00AF4AC6">
        <w:rPr>
          <w:b/>
          <w:sz w:val="24"/>
          <w:szCs w:val="24"/>
          <w:lang w:val="en-GB"/>
        </w:rPr>
        <w:t>.</w:t>
      </w:r>
    </w:p>
    <w:p w14:paraId="5F45F431" w14:textId="6BD28F13" w:rsidR="008F2F8C" w:rsidRPr="00AF4AC6" w:rsidRDefault="00EA0647" w:rsidP="008F2F8C">
      <w:pPr>
        <w:tabs>
          <w:tab w:val="left" w:pos="8222"/>
        </w:tabs>
        <w:ind w:left="851"/>
        <w:rPr>
          <w:sz w:val="24"/>
          <w:szCs w:val="24"/>
          <w:lang w:val="en-GB"/>
        </w:rPr>
      </w:pPr>
      <w:r w:rsidRPr="00AF4AC6">
        <w:rPr>
          <w:sz w:val="24"/>
          <w:szCs w:val="24"/>
          <w:lang w:val="en-GB"/>
        </w:rPr>
        <w:t>33385</w:t>
      </w:r>
    </w:p>
    <w:p w14:paraId="19B5D651" w14:textId="77777777" w:rsidR="007C5D2A" w:rsidRPr="00AF4AC6" w:rsidRDefault="007C5D2A" w:rsidP="007C5D2A">
      <w:pPr>
        <w:tabs>
          <w:tab w:val="left" w:pos="851"/>
        </w:tabs>
        <w:jc w:val="both"/>
        <w:rPr>
          <w:sz w:val="24"/>
          <w:szCs w:val="24"/>
          <w:lang w:val="en-GB"/>
        </w:rPr>
      </w:pPr>
    </w:p>
    <w:p w14:paraId="6FEBA515" w14:textId="77777777" w:rsidR="007C5D2A" w:rsidRPr="00AF4AC6" w:rsidRDefault="009925C9" w:rsidP="007C5D2A">
      <w:pPr>
        <w:tabs>
          <w:tab w:val="left" w:pos="851"/>
        </w:tabs>
        <w:ind w:left="851" w:hanging="851"/>
        <w:rPr>
          <w:sz w:val="24"/>
          <w:szCs w:val="24"/>
          <w:lang w:val="en-GB"/>
        </w:rPr>
      </w:pPr>
      <w:r w:rsidRPr="00AF4AC6">
        <w:rPr>
          <w:b/>
          <w:sz w:val="24"/>
          <w:szCs w:val="24"/>
          <w:lang w:val="en-GB"/>
        </w:rPr>
        <w:t>1.</w:t>
      </w:r>
      <w:r w:rsidR="007C5D2A" w:rsidRPr="00AF4AC6">
        <w:rPr>
          <w:b/>
          <w:sz w:val="24"/>
          <w:szCs w:val="24"/>
          <w:lang w:val="en-GB"/>
        </w:rPr>
        <w:tab/>
        <w:t>NAME OF THE MEDICINAL PRODUCT</w:t>
      </w:r>
    </w:p>
    <w:p w14:paraId="3E2917A8" w14:textId="654C930D" w:rsidR="007C5D2A" w:rsidRPr="00AF4AC6" w:rsidRDefault="00EA0647" w:rsidP="004A3BF4">
      <w:pPr>
        <w:tabs>
          <w:tab w:val="left" w:pos="851"/>
        </w:tabs>
        <w:ind w:left="851"/>
        <w:rPr>
          <w:sz w:val="24"/>
          <w:szCs w:val="24"/>
          <w:lang w:val="en-GB"/>
        </w:rPr>
      </w:pPr>
      <w:proofErr w:type="spellStart"/>
      <w:r w:rsidRPr="00AF4AC6">
        <w:rPr>
          <w:sz w:val="24"/>
          <w:szCs w:val="24"/>
          <w:lang w:val="en-GB"/>
        </w:rPr>
        <w:t>Pantoprazol</w:t>
      </w:r>
      <w:proofErr w:type="spellEnd"/>
      <w:r w:rsidRPr="00AF4AC6">
        <w:rPr>
          <w:sz w:val="24"/>
          <w:szCs w:val="24"/>
          <w:lang w:val="en-GB"/>
        </w:rPr>
        <w:t xml:space="preserve"> "</w:t>
      </w:r>
      <w:proofErr w:type="spellStart"/>
      <w:r w:rsidRPr="00AF4AC6">
        <w:rPr>
          <w:sz w:val="24"/>
          <w:szCs w:val="24"/>
          <w:lang w:val="en-GB"/>
        </w:rPr>
        <w:t>Opko</w:t>
      </w:r>
      <w:proofErr w:type="spellEnd"/>
      <w:r w:rsidRPr="00AF4AC6">
        <w:rPr>
          <w:sz w:val="24"/>
          <w:szCs w:val="24"/>
          <w:lang w:val="en-GB"/>
        </w:rPr>
        <w:t>"</w:t>
      </w:r>
    </w:p>
    <w:p w14:paraId="497D59C7" w14:textId="77777777" w:rsidR="007C5D2A" w:rsidRPr="00AF4AC6" w:rsidRDefault="007C5D2A" w:rsidP="004A3BF4">
      <w:pPr>
        <w:tabs>
          <w:tab w:val="left" w:pos="851"/>
        </w:tabs>
        <w:ind w:left="851"/>
        <w:rPr>
          <w:sz w:val="24"/>
          <w:szCs w:val="24"/>
          <w:lang w:val="en-GB"/>
        </w:rPr>
      </w:pPr>
    </w:p>
    <w:p w14:paraId="68EA07A6" w14:textId="77777777" w:rsidR="007C5D2A" w:rsidRPr="00AF4AC6" w:rsidRDefault="009925C9" w:rsidP="007C5D2A">
      <w:pPr>
        <w:ind w:left="851" w:hanging="851"/>
        <w:rPr>
          <w:b/>
          <w:sz w:val="24"/>
          <w:szCs w:val="24"/>
          <w:lang w:val="en-GB"/>
        </w:rPr>
      </w:pPr>
      <w:r w:rsidRPr="00AF4AC6">
        <w:rPr>
          <w:b/>
          <w:sz w:val="24"/>
          <w:szCs w:val="24"/>
          <w:lang w:val="en-GB"/>
        </w:rPr>
        <w:t>2.</w:t>
      </w:r>
      <w:r w:rsidR="007C5D2A" w:rsidRPr="00AF4AC6">
        <w:rPr>
          <w:b/>
          <w:sz w:val="24"/>
          <w:szCs w:val="24"/>
          <w:lang w:val="en-GB"/>
        </w:rPr>
        <w:tab/>
        <w:t>QUALITATIVE AND QUANTITATIVE COMPOSITION</w:t>
      </w:r>
    </w:p>
    <w:p w14:paraId="37497B61" w14:textId="77777777" w:rsidR="00EA0647" w:rsidRPr="00AF4AC6" w:rsidRDefault="00EA0647" w:rsidP="00AF4AC6">
      <w:pPr>
        <w:ind w:left="851"/>
        <w:rPr>
          <w:sz w:val="24"/>
          <w:szCs w:val="24"/>
          <w:lang w:val="en-GB"/>
        </w:rPr>
      </w:pPr>
      <w:r w:rsidRPr="00AF4AC6">
        <w:rPr>
          <w:sz w:val="24"/>
          <w:szCs w:val="24"/>
          <w:lang w:val="en-GB"/>
        </w:rPr>
        <w:t>Each gastro-resistant tablet contains 40 mg of pantoprazole (as sodium sesquihydrate).</w:t>
      </w:r>
    </w:p>
    <w:p w14:paraId="190F1574" w14:textId="77777777" w:rsidR="00EA0647" w:rsidRPr="00AF4AC6" w:rsidRDefault="00EA0647" w:rsidP="00AF4AC6">
      <w:pPr>
        <w:ind w:left="851"/>
        <w:rPr>
          <w:sz w:val="24"/>
          <w:szCs w:val="24"/>
          <w:lang w:val="en-GB"/>
        </w:rPr>
      </w:pPr>
    </w:p>
    <w:p w14:paraId="72B6B51D" w14:textId="77777777" w:rsidR="00EA0647" w:rsidRPr="00AF4AC6" w:rsidRDefault="00EA0647" w:rsidP="00AF4AC6">
      <w:pPr>
        <w:ind w:left="851"/>
        <w:rPr>
          <w:sz w:val="24"/>
          <w:szCs w:val="24"/>
          <w:lang w:val="en-GB"/>
        </w:rPr>
      </w:pPr>
      <w:r w:rsidRPr="00AF4AC6">
        <w:rPr>
          <w:sz w:val="24"/>
          <w:szCs w:val="24"/>
          <w:u w:val="single"/>
          <w:lang w:val="en-GB"/>
        </w:rPr>
        <w:t>Excipient with known effect</w:t>
      </w:r>
      <w:r w:rsidRPr="00AF4AC6">
        <w:rPr>
          <w:sz w:val="24"/>
          <w:szCs w:val="24"/>
          <w:lang w:val="en-GB"/>
        </w:rPr>
        <w:t>:</w:t>
      </w:r>
    </w:p>
    <w:p w14:paraId="664F1FA8" w14:textId="77777777" w:rsidR="00EA0647" w:rsidRPr="00AF4AC6" w:rsidRDefault="00EA0647" w:rsidP="00AF4AC6">
      <w:pPr>
        <w:pStyle w:val="Listeafsnit"/>
        <w:numPr>
          <w:ilvl w:val="0"/>
          <w:numId w:val="7"/>
        </w:numPr>
        <w:spacing w:after="0" w:line="240" w:lineRule="auto"/>
        <w:ind w:left="1276" w:hanging="425"/>
        <w:rPr>
          <w:rFonts w:ascii="Times New Roman" w:hAnsi="Times New Roman" w:cs="Times New Roman"/>
          <w:sz w:val="24"/>
          <w:szCs w:val="24"/>
          <w:lang w:val="en-GB"/>
        </w:rPr>
      </w:pPr>
      <w:r w:rsidRPr="00AF4AC6">
        <w:rPr>
          <w:rFonts w:ascii="Times New Roman" w:hAnsi="Times New Roman" w:cs="Times New Roman"/>
          <w:sz w:val="24"/>
          <w:szCs w:val="24"/>
          <w:lang w:val="en-GB"/>
        </w:rPr>
        <w:t>propylene glycol: 3.72 mg/tablet</w:t>
      </w:r>
    </w:p>
    <w:p w14:paraId="047E4F45" w14:textId="77777777" w:rsidR="00EA0647" w:rsidRPr="00AF4AC6" w:rsidRDefault="00EA0647" w:rsidP="00AF4AC6">
      <w:pPr>
        <w:ind w:left="851"/>
        <w:rPr>
          <w:sz w:val="24"/>
          <w:szCs w:val="24"/>
          <w:lang w:val="en-GB"/>
        </w:rPr>
      </w:pPr>
    </w:p>
    <w:p w14:paraId="7CB3B85E" w14:textId="77777777" w:rsidR="00EA0647" w:rsidRPr="00AF4AC6" w:rsidRDefault="00EA0647" w:rsidP="00AF4AC6">
      <w:pPr>
        <w:ind w:left="851"/>
        <w:rPr>
          <w:sz w:val="24"/>
          <w:szCs w:val="24"/>
          <w:lang w:val="en-GB"/>
        </w:rPr>
      </w:pPr>
      <w:r w:rsidRPr="00AF4AC6">
        <w:rPr>
          <w:sz w:val="24"/>
          <w:szCs w:val="24"/>
          <w:lang w:val="en-GB"/>
        </w:rPr>
        <w:t>For the full list of excipients, see section 6.1.</w:t>
      </w:r>
    </w:p>
    <w:p w14:paraId="74B1870E" w14:textId="77777777" w:rsidR="007C5D2A" w:rsidRPr="00AF4AC6" w:rsidRDefault="007C5D2A" w:rsidP="004A3BF4">
      <w:pPr>
        <w:tabs>
          <w:tab w:val="left" w:pos="851"/>
        </w:tabs>
        <w:ind w:left="851"/>
        <w:rPr>
          <w:sz w:val="24"/>
          <w:szCs w:val="24"/>
          <w:lang w:val="en-GB"/>
        </w:rPr>
      </w:pPr>
    </w:p>
    <w:p w14:paraId="599712E7"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3.</w:t>
      </w:r>
      <w:r w:rsidRPr="00AF4AC6">
        <w:rPr>
          <w:b/>
          <w:sz w:val="24"/>
          <w:szCs w:val="24"/>
          <w:lang w:val="en-GB"/>
        </w:rPr>
        <w:tab/>
        <w:t>PHARMACEUTICAL FORM</w:t>
      </w:r>
    </w:p>
    <w:p w14:paraId="21D94619" w14:textId="72906F31" w:rsidR="00EA0647" w:rsidRPr="00AF4AC6" w:rsidRDefault="00EA0647" w:rsidP="00AF4AC6">
      <w:pPr>
        <w:ind w:left="851"/>
        <w:rPr>
          <w:sz w:val="24"/>
          <w:szCs w:val="24"/>
          <w:lang w:val="en-US"/>
        </w:rPr>
      </w:pPr>
      <w:r w:rsidRPr="00AF4AC6">
        <w:rPr>
          <w:sz w:val="24"/>
          <w:szCs w:val="24"/>
          <w:lang w:val="en-US"/>
        </w:rPr>
        <w:t>Gastro-resistant tablet</w:t>
      </w:r>
      <w:r w:rsidR="00AF4AC6">
        <w:rPr>
          <w:sz w:val="24"/>
          <w:szCs w:val="24"/>
          <w:lang w:val="en-US"/>
        </w:rPr>
        <w:t>s</w:t>
      </w:r>
    </w:p>
    <w:p w14:paraId="2762F0E5" w14:textId="77777777" w:rsidR="00EA0647" w:rsidRPr="00AF4AC6" w:rsidRDefault="00EA0647" w:rsidP="00AF4AC6">
      <w:pPr>
        <w:ind w:left="851"/>
        <w:rPr>
          <w:sz w:val="24"/>
          <w:szCs w:val="24"/>
          <w:lang w:val="en-GB"/>
        </w:rPr>
      </w:pPr>
      <w:r w:rsidRPr="00AF4AC6">
        <w:rPr>
          <w:sz w:val="24"/>
          <w:szCs w:val="24"/>
          <w:lang w:val="en-GB"/>
        </w:rPr>
        <w:t xml:space="preserve">Yellow </w:t>
      </w:r>
      <w:proofErr w:type="spellStart"/>
      <w:r w:rsidRPr="00AF4AC6">
        <w:rPr>
          <w:sz w:val="24"/>
          <w:szCs w:val="24"/>
          <w:lang w:val="en-GB"/>
        </w:rPr>
        <w:t>colored</w:t>
      </w:r>
      <w:proofErr w:type="spellEnd"/>
      <w:r w:rsidRPr="00AF4AC6">
        <w:rPr>
          <w:sz w:val="24"/>
          <w:szCs w:val="24"/>
          <w:lang w:val="en-GB"/>
        </w:rPr>
        <w:t>, oval shape, biconvex, gastro-resistant tablets</w:t>
      </w:r>
      <w:bookmarkStart w:id="1" w:name="_Hlk160708776"/>
      <w:r w:rsidRPr="00AF4AC6">
        <w:rPr>
          <w:sz w:val="24"/>
          <w:szCs w:val="24"/>
          <w:lang w:val="en-GB"/>
        </w:rPr>
        <w:t xml:space="preserve"> (11.7 mm length, 6.0 mm width</w:t>
      </w:r>
      <w:bookmarkEnd w:id="1"/>
      <w:r w:rsidRPr="00AF4AC6">
        <w:rPr>
          <w:sz w:val="24"/>
          <w:szCs w:val="24"/>
          <w:lang w:val="en-GB"/>
        </w:rPr>
        <w:t>), plain on both sides.</w:t>
      </w:r>
    </w:p>
    <w:p w14:paraId="58B39636" w14:textId="77777777" w:rsidR="007C5D2A" w:rsidRPr="00AF4AC6" w:rsidRDefault="007C5D2A" w:rsidP="004A3BF4">
      <w:pPr>
        <w:tabs>
          <w:tab w:val="left" w:pos="851"/>
        </w:tabs>
        <w:ind w:left="851"/>
        <w:rPr>
          <w:sz w:val="24"/>
          <w:szCs w:val="24"/>
          <w:lang w:val="en-GB"/>
        </w:rPr>
      </w:pPr>
    </w:p>
    <w:p w14:paraId="7C967BE4" w14:textId="77777777" w:rsidR="007C5D2A" w:rsidRPr="00AF4AC6" w:rsidRDefault="007C5D2A" w:rsidP="004A3BF4">
      <w:pPr>
        <w:tabs>
          <w:tab w:val="left" w:pos="851"/>
        </w:tabs>
        <w:ind w:left="851"/>
        <w:rPr>
          <w:sz w:val="24"/>
          <w:szCs w:val="24"/>
          <w:lang w:val="en-GB"/>
        </w:rPr>
      </w:pPr>
    </w:p>
    <w:p w14:paraId="341BD7B5" w14:textId="77777777" w:rsidR="007C5D2A" w:rsidRPr="00AF4AC6" w:rsidRDefault="007C5D2A" w:rsidP="007C5D2A">
      <w:pPr>
        <w:ind w:left="851" w:hanging="851"/>
        <w:rPr>
          <w:b/>
          <w:sz w:val="24"/>
          <w:szCs w:val="24"/>
          <w:lang w:val="en-GB"/>
        </w:rPr>
      </w:pPr>
      <w:r w:rsidRPr="00AF4AC6">
        <w:rPr>
          <w:b/>
          <w:sz w:val="24"/>
          <w:szCs w:val="24"/>
          <w:lang w:val="en-GB"/>
        </w:rPr>
        <w:t>4.</w:t>
      </w:r>
      <w:r w:rsidRPr="00AF4AC6">
        <w:rPr>
          <w:b/>
          <w:sz w:val="24"/>
          <w:szCs w:val="24"/>
          <w:lang w:val="en-GB"/>
        </w:rPr>
        <w:tab/>
        <w:t>CLINICAL PARTICULARS</w:t>
      </w:r>
    </w:p>
    <w:p w14:paraId="2B2F1A97" w14:textId="77777777" w:rsidR="007C5D2A" w:rsidRPr="00AF4AC6" w:rsidRDefault="007C5D2A" w:rsidP="004A3BF4">
      <w:pPr>
        <w:tabs>
          <w:tab w:val="left" w:pos="851"/>
        </w:tabs>
        <w:ind w:left="851"/>
        <w:rPr>
          <w:sz w:val="24"/>
          <w:szCs w:val="24"/>
          <w:lang w:val="en-GB"/>
        </w:rPr>
      </w:pPr>
    </w:p>
    <w:p w14:paraId="491BD28B" w14:textId="77777777" w:rsidR="007C5D2A" w:rsidRPr="00AF4AC6" w:rsidRDefault="007C5D2A" w:rsidP="007C5D2A">
      <w:pPr>
        <w:ind w:left="851" w:hanging="851"/>
        <w:rPr>
          <w:b/>
          <w:sz w:val="24"/>
          <w:szCs w:val="24"/>
          <w:u w:val="single"/>
          <w:lang w:val="en-GB"/>
        </w:rPr>
      </w:pPr>
      <w:r w:rsidRPr="00AF4AC6">
        <w:rPr>
          <w:b/>
          <w:sz w:val="24"/>
          <w:szCs w:val="24"/>
          <w:lang w:val="en-GB"/>
        </w:rPr>
        <w:t>4.1</w:t>
      </w:r>
      <w:r w:rsidRPr="00AF4AC6">
        <w:rPr>
          <w:b/>
          <w:sz w:val="24"/>
          <w:szCs w:val="24"/>
          <w:lang w:val="en-GB"/>
        </w:rPr>
        <w:tab/>
        <w:t>Therapeutic indications</w:t>
      </w:r>
    </w:p>
    <w:p w14:paraId="2EA05891" w14:textId="77777777" w:rsidR="00AF4AC6" w:rsidRDefault="00AF4AC6" w:rsidP="00AF4AC6">
      <w:pPr>
        <w:ind w:left="851"/>
        <w:rPr>
          <w:sz w:val="24"/>
          <w:szCs w:val="24"/>
          <w:lang w:val="en-GB"/>
        </w:rPr>
      </w:pPr>
      <w:proofErr w:type="spellStart"/>
      <w:r w:rsidRPr="00AF4AC6">
        <w:rPr>
          <w:sz w:val="24"/>
          <w:szCs w:val="24"/>
          <w:lang w:val="en-GB"/>
        </w:rPr>
        <w:t>Pantoprazol</w:t>
      </w:r>
      <w:proofErr w:type="spellEnd"/>
      <w:r w:rsidRPr="00AF4AC6">
        <w:rPr>
          <w:sz w:val="24"/>
          <w:szCs w:val="24"/>
          <w:lang w:val="en-GB"/>
        </w:rPr>
        <w:t xml:space="preserve"> "</w:t>
      </w:r>
      <w:proofErr w:type="spellStart"/>
      <w:r w:rsidRPr="00AF4AC6">
        <w:rPr>
          <w:sz w:val="24"/>
          <w:szCs w:val="24"/>
          <w:lang w:val="en-GB"/>
        </w:rPr>
        <w:t>Opko</w:t>
      </w:r>
      <w:proofErr w:type="spellEnd"/>
      <w:r w:rsidRPr="00AF4AC6">
        <w:rPr>
          <w:sz w:val="24"/>
          <w:szCs w:val="24"/>
          <w:lang w:val="en-GB"/>
        </w:rPr>
        <w:t>"</w:t>
      </w:r>
      <w:r w:rsidR="00EA0647" w:rsidRPr="00AF4AC6">
        <w:rPr>
          <w:sz w:val="24"/>
          <w:szCs w:val="24"/>
          <w:lang w:val="en-GB"/>
        </w:rPr>
        <w:t xml:space="preserve"> is indicated for </w:t>
      </w:r>
      <w:proofErr w:type="spellStart"/>
      <w:r w:rsidR="00EA0647" w:rsidRPr="00AF4AC6">
        <w:rPr>
          <w:sz w:val="24"/>
          <w:szCs w:val="24"/>
          <w:lang w:val="en-GB"/>
        </w:rPr>
        <w:t>usein</w:t>
      </w:r>
      <w:proofErr w:type="spellEnd"/>
      <w:r w:rsidR="00EA0647" w:rsidRPr="00AF4AC6">
        <w:rPr>
          <w:sz w:val="24"/>
          <w:szCs w:val="24"/>
          <w:lang w:val="en-GB"/>
        </w:rPr>
        <w:t xml:space="preserve"> adults and adolescents 12 years of age and above for:</w:t>
      </w:r>
    </w:p>
    <w:p w14:paraId="64427DDA" w14:textId="5DC6CC81" w:rsidR="00EA0647" w:rsidRPr="00AF4AC6" w:rsidRDefault="00EA0647" w:rsidP="00AF4AC6">
      <w:pPr>
        <w:ind w:left="1276" w:hanging="425"/>
        <w:rPr>
          <w:sz w:val="24"/>
          <w:szCs w:val="24"/>
          <w:lang w:val="en-GB"/>
        </w:rPr>
      </w:pPr>
      <w:r w:rsidRPr="00AF4AC6">
        <w:rPr>
          <w:sz w:val="24"/>
          <w:szCs w:val="24"/>
          <w:lang w:val="en-GB"/>
        </w:rPr>
        <w:t>-</w:t>
      </w:r>
      <w:r w:rsidRPr="00AF4AC6">
        <w:rPr>
          <w:sz w:val="24"/>
          <w:szCs w:val="24"/>
          <w:lang w:val="en-GB"/>
        </w:rPr>
        <w:tab/>
        <w:t>Reflux oesophagitis.</w:t>
      </w:r>
    </w:p>
    <w:p w14:paraId="65E2F53A" w14:textId="77777777" w:rsidR="00EA0647" w:rsidRPr="00AF4AC6" w:rsidRDefault="00EA0647" w:rsidP="00AF4AC6">
      <w:pPr>
        <w:ind w:left="851"/>
        <w:rPr>
          <w:sz w:val="24"/>
          <w:szCs w:val="24"/>
          <w:lang w:val="en-GB"/>
        </w:rPr>
      </w:pPr>
    </w:p>
    <w:p w14:paraId="4EE69487" w14:textId="443A9166" w:rsidR="00EA0647" w:rsidRPr="00AF4AC6" w:rsidRDefault="00AF4AC6" w:rsidP="00AF4AC6">
      <w:pPr>
        <w:ind w:left="851"/>
        <w:rPr>
          <w:sz w:val="24"/>
          <w:szCs w:val="24"/>
          <w:lang w:val="en-GB"/>
        </w:rPr>
      </w:pPr>
      <w:proofErr w:type="spellStart"/>
      <w:r w:rsidRPr="00AF4AC6">
        <w:rPr>
          <w:sz w:val="24"/>
          <w:szCs w:val="24"/>
          <w:lang w:val="en-GB"/>
        </w:rPr>
        <w:t>Pantoprazol</w:t>
      </w:r>
      <w:proofErr w:type="spellEnd"/>
      <w:r w:rsidRPr="00AF4AC6">
        <w:rPr>
          <w:sz w:val="24"/>
          <w:szCs w:val="24"/>
          <w:lang w:val="en-GB"/>
        </w:rPr>
        <w:t xml:space="preserve"> "</w:t>
      </w:r>
      <w:proofErr w:type="spellStart"/>
      <w:r w:rsidRPr="00AF4AC6">
        <w:rPr>
          <w:sz w:val="24"/>
          <w:szCs w:val="24"/>
          <w:lang w:val="en-GB"/>
        </w:rPr>
        <w:t>Opko</w:t>
      </w:r>
      <w:proofErr w:type="spellEnd"/>
      <w:r w:rsidRPr="00AF4AC6">
        <w:rPr>
          <w:sz w:val="24"/>
          <w:szCs w:val="24"/>
          <w:lang w:val="en-GB"/>
        </w:rPr>
        <w:t>"</w:t>
      </w:r>
      <w:r w:rsidR="00EA0647" w:rsidRPr="00AF4AC6">
        <w:rPr>
          <w:sz w:val="24"/>
          <w:szCs w:val="24"/>
          <w:lang w:val="en-GB"/>
        </w:rPr>
        <w:t xml:space="preserve"> is indicated in adults for:</w:t>
      </w:r>
    </w:p>
    <w:p w14:paraId="7EDCCC71" w14:textId="77777777" w:rsidR="00EA0647" w:rsidRPr="00AF4AC6" w:rsidRDefault="00EA0647" w:rsidP="00AF4AC6">
      <w:pPr>
        <w:ind w:left="1276" w:hanging="425"/>
        <w:rPr>
          <w:sz w:val="24"/>
          <w:szCs w:val="24"/>
          <w:lang w:val="en-GB"/>
        </w:rPr>
      </w:pPr>
      <w:r w:rsidRPr="00AF4AC6">
        <w:rPr>
          <w:sz w:val="24"/>
          <w:szCs w:val="24"/>
          <w:lang w:val="en-GB"/>
        </w:rPr>
        <w:t>-</w:t>
      </w:r>
      <w:r w:rsidRPr="00AF4AC6">
        <w:rPr>
          <w:sz w:val="24"/>
          <w:szCs w:val="24"/>
          <w:lang w:val="en-GB"/>
        </w:rPr>
        <w:tab/>
        <w:t>Eradication of Helicobacter pylori (H. pylori) in combination with appropriate antibiotic therapy in patients with H. pylori associated ulcers.</w:t>
      </w:r>
    </w:p>
    <w:p w14:paraId="779BFD3D" w14:textId="77777777" w:rsidR="00EA0647" w:rsidRPr="00AF4AC6" w:rsidRDefault="00EA0647" w:rsidP="00AF4AC6">
      <w:pPr>
        <w:ind w:left="1276" w:hanging="425"/>
        <w:rPr>
          <w:sz w:val="24"/>
          <w:szCs w:val="24"/>
          <w:lang w:val="en-GB"/>
        </w:rPr>
      </w:pPr>
      <w:r w:rsidRPr="00AF4AC6">
        <w:rPr>
          <w:sz w:val="24"/>
          <w:szCs w:val="24"/>
          <w:lang w:val="en-GB"/>
        </w:rPr>
        <w:t>-</w:t>
      </w:r>
      <w:r w:rsidRPr="00AF4AC6">
        <w:rPr>
          <w:sz w:val="24"/>
          <w:szCs w:val="24"/>
          <w:lang w:val="en-GB"/>
        </w:rPr>
        <w:tab/>
        <w:t>Gastric and duodenal ulcer.</w:t>
      </w:r>
    </w:p>
    <w:p w14:paraId="364F0678" w14:textId="77777777" w:rsidR="00EA0647" w:rsidRPr="00AF4AC6" w:rsidRDefault="00EA0647" w:rsidP="00AF4AC6">
      <w:pPr>
        <w:ind w:left="1276" w:hanging="425"/>
        <w:rPr>
          <w:sz w:val="24"/>
          <w:szCs w:val="24"/>
          <w:lang w:val="en-GB"/>
        </w:rPr>
      </w:pPr>
      <w:r w:rsidRPr="00AF4AC6">
        <w:rPr>
          <w:sz w:val="24"/>
          <w:szCs w:val="24"/>
          <w:lang w:val="en-GB"/>
        </w:rPr>
        <w:t>-</w:t>
      </w:r>
      <w:r w:rsidRPr="00AF4AC6">
        <w:rPr>
          <w:sz w:val="24"/>
          <w:szCs w:val="24"/>
          <w:lang w:val="en-GB"/>
        </w:rPr>
        <w:tab/>
        <w:t>Zollinger-Ellison Syndrome and other pathological hypersecretory conditions.</w:t>
      </w:r>
    </w:p>
    <w:p w14:paraId="175072CB" w14:textId="7018F17D" w:rsidR="00CB73DB" w:rsidRDefault="00CB73DB">
      <w:pPr>
        <w:rPr>
          <w:sz w:val="24"/>
          <w:szCs w:val="24"/>
          <w:lang w:val="en-GB"/>
        </w:rPr>
      </w:pPr>
      <w:r>
        <w:rPr>
          <w:sz w:val="24"/>
          <w:szCs w:val="24"/>
          <w:lang w:val="en-GB"/>
        </w:rPr>
        <w:br w:type="page"/>
      </w:r>
    </w:p>
    <w:p w14:paraId="07F52C71" w14:textId="77777777" w:rsidR="007C5D2A" w:rsidRPr="00AF4AC6" w:rsidRDefault="007C5D2A" w:rsidP="00A85D26">
      <w:pPr>
        <w:tabs>
          <w:tab w:val="left" w:pos="851"/>
        </w:tabs>
        <w:ind w:left="851"/>
        <w:rPr>
          <w:sz w:val="24"/>
          <w:szCs w:val="24"/>
          <w:lang w:val="en-GB"/>
        </w:rPr>
      </w:pPr>
    </w:p>
    <w:p w14:paraId="04509451" w14:textId="77777777" w:rsidR="007C5D2A" w:rsidRPr="00AF4AC6" w:rsidRDefault="009925C9" w:rsidP="007C5D2A">
      <w:pPr>
        <w:tabs>
          <w:tab w:val="left" w:pos="851"/>
        </w:tabs>
        <w:ind w:left="851" w:hanging="851"/>
        <w:rPr>
          <w:sz w:val="24"/>
          <w:szCs w:val="24"/>
          <w:lang w:val="en-GB"/>
        </w:rPr>
      </w:pPr>
      <w:r w:rsidRPr="00AF4AC6">
        <w:rPr>
          <w:b/>
          <w:sz w:val="24"/>
          <w:szCs w:val="24"/>
          <w:lang w:val="en-GB"/>
        </w:rPr>
        <w:t>4.2</w:t>
      </w:r>
      <w:r w:rsidR="007C5D2A" w:rsidRPr="00AF4AC6">
        <w:rPr>
          <w:b/>
          <w:sz w:val="24"/>
          <w:szCs w:val="24"/>
          <w:lang w:val="en-GB"/>
        </w:rPr>
        <w:tab/>
        <w:t>Posology and method of administration</w:t>
      </w:r>
    </w:p>
    <w:p w14:paraId="292F9441" w14:textId="77777777" w:rsidR="00AF4AC6" w:rsidRDefault="00AF4AC6" w:rsidP="00AF4AC6">
      <w:pPr>
        <w:ind w:left="851"/>
        <w:rPr>
          <w:sz w:val="24"/>
          <w:szCs w:val="24"/>
          <w:lang w:val="en-GB"/>
        </w:rPr>
      </w:pPr>
    </w:p>
    <w:p w14:paraId="410C96CE" w14:textId="38AEE90E" w:rsidR="00EA0647" w:rsidRPr="00AF4AC6" w:rsidRDefault="00EA0647" w:rsidP="00AF4AC6">
      <w:pPr>
        <w:ind w:left="851"/>
        <w:rPr>
          <w:sz w:val="24"/>
          <w:szCs w:val="24"/>
          <w:u w:val="single"/>
          <w:lang w:val="en-GB"/>
        </w:rPr>
      </w:pPr>
      <w:r w:rsidRPr="00AF4AC6">
        <w:rPr>
          <w:sz w:val="24"/>
          <w:szCs w:val="24"/>
          <w:u w:val="single"/>
          <w:lang w:val="en-GB"/>
        </w:rPr>
        <w:t>Posology</w:t>
      </w:r>
    </w:p>
    <w:p w14:paraId="1B024032" w14:textId="2157571C" w:rsidR="00EA0647" w:rsidRPr="00AF4AC6" w:rsidRDefault="00EA0647" w:rsidP="00AF4AC6">
      <w:pPr>
        <w:ind w:left="851"/>
        <w:rPr>
          <w:bCs/>
          <w:sz w:val="24"/>
          <w:szCs w:val="24"/>
          <w:lang w:val="en-GB"/>
        </w:rPr>
      </w:pPr>
    </w:p>
    <w:p w14:paraId="40656C18" w14:textId="77777777" w:rsidR="00EA0647" w:rsidRPr="00AF4AC6" w:rsidRDefault="00EA0647" w:rsidP="00AF4AC6">
      <w:pPr>
        <w:ind w:left="851"/>
        <w:rPr>
          <w:b/>
          <w:bCs/>
          <w:sz w:val="24"/>
          <w:szCs w:val="24"/>
          <w:lang w:val="en-GB"/>
        </w:rPr>
      </w:pPr>
      <w:r w:rsidRPr="00AF4AC6">
        <w:rPr>
          <w:b/>
          <w:bCs/>
          <w:sz w:val="24"/>
          <w:szCs w:val="24"/>
          <w:lang w:val="en-GB"/>
        </w:rPr>
        <w:t>Adults and adolescents 12 years of age and above</w:t>
      </w:r>
    </w:p>
    <w:p w14:paraId="0DF0BBD3" w14:textId="2EB58A51" w:rsidR="00EA0647" w:rsidRPr="00AF4AC6" w:rsidRDefault="00EA0647" w:rsidP="00AF4AC6">
      <w:pPr>
        <w:ind w:left="851"/>
        <w:rPr>
          <w:sz w:val="24"/>
          <w:szCs w:val="24"/>
          <w:lang w:val="en-GB"/>
        </w:rPr>
      </w:pPr>
    </w:p>
    <w:p w14:paraId="67623EBA" w14:textId="77777777" w:rsidR="00EA0647" w:rsidRPr="00AF4AC6" w:rsidRDefault="00EA0647" w:rsidP="00AF4AC6">
      <w:pPr>
        <w:ind w:left="851"/>
        <w:rPr>
          <w:i/>
          <w:iCs/>
          <w:sz w:val="24"/>
          <w:szCs w:val="24"/>
          <w:u w:val="single"/>
          <w:lang w:val="en-GB"/>
        </w:rPr>
      </w:pPr>
      <w:r w:rsidRPr="00AF4AC6">
        <w:rPr>
          <w:i/>
          <w:iCs/>
          <w:sz w:val="24"/>
          <w:szCs w:val="24"/>
          <w:u w:val="single"/>
          <w:lang w:val="en-GB"/>
        </w:rPr>
        <w:t>Reflux oesophagitis</w:t>
      </w:r>
    </w:p>
    <w:p w14:paraId="3F0D64CD" w14:textId="31D6E0CB" w:rsidR="00EA0647" w:rsidRPr="00AF4AC6" w:rsidRDefault="00EA0647" w:rsidP="00AF4AC6">
      <w:pPr>
        <w:ind w:left="851"/>
        <w:rPr>
          <w:sz w:val="24"/>
          <w:szCs w:val="24"/>
          <w:lang w:val="en-GB"/>
        </w:rPr>
      </w:pPr>
      <w:r w:rsidRPr="00AF4AC6">
        <w:rPr>
          <w:sz w:val="24"/>
          <w:szCs w:val="24"/>
          <w:lang w:val="en-GB"/>
        </w:rPr>
        <w:t xml:space="preserve">One tablet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per day. In individual cases the dose may be doubled (increase to 2 tablets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daily) especially when there has been no response to other treatment. A 4</w:t>
      </w:r>
      <w:r w:rsidRPr="00AF4AC6">
        <w:rPr>
          <w:sz w:val="24"/>
          <w:szCs w:val="24"/>
          <w:lang w:val="en-GB"/>
        </w:rPr>
        <w:noBreakHyphen/>
        <w:t>week period is usually required for the treatment of reflux oesophagitis. If this is not sufficient, healing will usually be achieved within a further 4 weeks.</w:t>
      </w:r>
    </w:p>
    <w:p w14:paraId="7FE0D047" w14:textId="0588014C" w:rsidR="00EA0647" w:rsidRPr="00AF4AC6" w:rsidRDefault="00EA0647" w:rsidP="00AF4AC6">
      <w:pPr>
        <w:ind w:left="851"/>
        <w:rPr>
          <w:sz w:val="24"/>
          <w:szCs w:val="24"/>
          <w:lang w:val="en-GB"/>
        </w:rPr>
      </w:pPr>
    </w:p>
    <w:p w14:paraId="6EA342C1" w14:textId="77777777" w:rsidR="00EA0647" w:rsidRPr="00AF4AC6" w:rsidRDefault="00EA0647" w:rsidP="00AF4AC6">
      <w:pPr>
        <w:ind w:left="851"/>
        <w:rPr>
          <w:b/>
          <w:bCs/>
          <w:sz w:val="24"/>
          <w:szCs w:val="24"/>
          <w:lang w:val="en-GB"/>
        </w:rPr>
      </w:pPr>
      <w:r w:rsidRPr="00AF4AC6">
        <w:rPr>
          <w:b/>
          <w:bCs/>
          <w:sz w:val="24"/>
          <w:szCs w:val="24"/>
          <w:lang w:val="en-GB"/>
        </w:rPr>
        <w:t>Adults</w:t>
      </w:r>
    </w:p>
    <w:p w14:paraId="0844D5D6" w14:textId="77777777" w:rsidR="00EA0647" w:rsidRPr="00AF4AC6" w:rsidRDefault="00EA0647" w:rsidP="00AF4AC6">
      <w:pPr>
        <w:ind w:left="851"/>
        <w:rPr>
          <w:sz w:val="24"/>
          <w:szCs w:val="24"/>
          <w:lang w:val="en-GB"/>
        </w:rPr>
      </w:pPr>
    </w:p>
    <w:p w14:paraId="53CC1FA0" w14:textId="77777777" w:rsidR="00EA0647" w:rsidRPr="00AF4AC6" w:rsidRDefault="00EA0647" w:rsidP="00AF4AC6">
      <w:pPr>
        <w:ind w:left="851"/>
        <w:rPr>
          <w:i/>
          <w:iCs/>
          <w:sz w:val="24"/>
          <w:szCs w:val="24"/>
          <w:u w:val="single"/>
          <w:lang w:val="en-GB"/>
        </w:rPr>
      </w:pPr>
      <w:r w:rsidRPr="00AF4AC6">
        <w:rPr>
          <w:i/>
          <w:iCs/>
          <w:sz w:val="24"/>
          <w:szCs w:val="24"/>
          <w:u w:val="single"/>
          <w:lang w:val="en-GB"/>
        </w:rPr>
        <w:t>Eradication of H. pylori in combination with two appropriate antibiotics</w:t>
      </w:r>
    </w:p>
    <w:p w14:paraId="58E60F65" w14:textId="77777777" w:rsidR="00EA0647" w:rsidRPr="00AF4AC6" w:rsidRDefault="00EA0647" w:rsidP="00AF4AC6">
      <w:pPr>
        <w:ind w:left="851"/>
        <w:rPr>
          <w:sz w:val="24"/>
          <w:szCs w:val="24"/>
          <w:lang w:val="en-GB"/>
        </w:rPr>
      </w:pPr>
      <w:r w:rsidRPr="00AF4AC6">
        <w:rPr>
          <w:sz w:val="24"/>
          <w:szCs w:val="24"/>
          <w:lang w:val="en-GB"/>
        </w:rPr>
        <w:t xml:space="preserve">In </w:t>
      </w:r>
      <w:r w:rsidRPr="00AF4AC6">
        <w:rPr>
          <w:i/>
          <w:iCs/>
          <w:sz w:val="24"/>
          <w:szCs w:val="24"/>
          <w:lang w:val="en-GB"/>
        </w:rPr>
        <w:t>H. pylori</w:t>
      </w:r>
      <w:r w:rsidRPr="00AF4AC6">
        <w:rPr>
          <w:sz w:val="24"/>
          <w:szCs w:val="24"/>
          <w:lang w:val="en-GB"/>
        </w:rPr>
        <w:t xml:space="preserve"> positive patients with gastric and duodenal ulcers, eradication of the germ by a combination therapy should be achieved. Considerations should be given to official local guidance (e.g. national recommendations) regarding bacterial resistance and the appropriate use and prescription of antibacterial agents. Depending upon the resistance pattern, the following combinations can be recommended for the eradication of </w:t>
      </w:r>
      <w:r w:rsidRPr="00AF4AC6">
        <w:rPr>
          <w:i/>
          <w:iCs/>
          <w:sz w:val="24"/>
          <w:szCs w:val="24"/>
          <w:lang w:val="en-GB"/>
        </w:rPr>
        <w:t>H. pylori</w:t>
      </w:r>
      <w:r w:rsidRPr="00AF4AC6">
        <w:rPr>
          <w:sz w:val="24"/>
          <w:szCs w:val="24"/>
          <w:lang w:val="en-GB"/>
        </w:rPr>
        <w:t>:</w:t>
      </w:r>
    </w:p>
    <w:p w14:paraId="0CE98078" w14:textId="77777777" w:rsidR="00EA0647" w:rsidRPr="00AF4AC6" w:rsidRDefault="00EA0647" w:rsidP="00AF4AC6">
      <w:pPr>
        <w:ind w:left="851"/>
        <w:rPr>
          <w:sz w:val="24"/>
          <w:szCs w:val="24"/>
          <w:lang w:val="en-GB"/>
        </w:rPr>
      </w:pPr>
    </w:p>
    <w:p w14:paraId="74F228D9" w14:textId="473B6AB0" w:rsidR="00EA0647" w:rsidRPr="00AF4AC6" w:rsidRDefault="00EA0647" w:rsidP="00AF4AC6">
      <w:pPr>
        <w:ind w:left="851"/>
        <w:rPr>
          <w:sz w:val="24"/>
          <w:szCs w:val="24"/>
          <w:lang w:val="en-GB"/>
        </w:rPr>
      </w:pPr>
      <w:r w:rsidRPr="00AF4AC6">
        <w:rPr>
          <w:sz w:val="24"/>
          <w:szCs w:val="24"/>
          <w:lang w:val="en-GB"/>
        </w:rPr>
        <w:t xml:space="preserve"> a) Twice daily one tablet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p>
    <w:p w14:paraId="091601F3" w14:textId="77777777" w:rsidR="00EA0647" w:rsidRPr="00AF4AC6" w:rsidRDefault="00EA0647" w:rsidP="00AF4AC6">
      <w:pPr>
        <w:ind w:left="851"/>
        <w:rPr>
          <w:sz w:val="24"/>
          <w:szCs w:val="24"/>
          <w:lang w:val="en-GB"/>
        </w:rPr>
      </w:pPr>
      <w:r w:rsidRPr="00AF4AC6">
        <w:rPr>
          <w:sz w:val="24"/>
          <w:szCs w:val="24"/>
          <w:lang w:val="en-GB"/>
        </w:rPr>
        <w:t>+ twice daily 1000 mg amoxicillin</w:t>
      </w:r>
    </w:p>
    <w:p w14:paraId="2C557728" w14:textId="77777777" w:rsidR="00EA0647" w:rsidRPr="00AF4AC6" w:rsidRDefault="00EA0647" w:rsidP="00AF4AC6">
      <w:pPr>
        <w:ind w:left="851"/>
        <w:rPr>
          <w:sz w:val="24"/>
          <w:szCs w:val="24"/>
          <w:lang w:val="en-GB"/>
        </w:rPr>
      </w:pPr>
      <w:r w:rsidRPr="00AF4AC6">
        <w:rPr>
          <w:sz w:val="24"/>
          <w:szCs w:val="24"/>
          <w:lang w:val="en-GB"/>
        </w:rPr>
        <w:t>+ twice daily 500 mg clarithromycin</w:t>
      </w:r>
    </w:p>
    <w:p w14:paraId="65C915FE" w14:textId="4DA6791B" w:rsidR="00EA0647" w:rsidRPr="00AF4AC6" w:rsidRDefault="00EA0647" w:rsidP="00AF4AC6">
      <w:pPr>
        <w:ind w:left="851"/>
        <w:rPr>
          <w:sz w:val="24"/>
          <w:szCs w:val="24"/>
          <w:lang w:val="en-GB"/>
        </w:rPr>
      </w:pPr>
    </w:p>
    <w:p w14:paraId="6E5D90A8" w14:textId="2AA36028" w:rsidR="00EA0647" w:rsidRPr="00AF4AC6" w:rsidRDefault="00EA0647" w:rsidP="00AF4AC6">
      <w:pPr>
        <w:ind w:left="851"/>
        <w:rPr>
          <w:sz w:val="24"/>
          <w:szCs w:val="24"/>
          <w:lang w:val="en-GB"/>
        </w:rPr>
      </w:pPr>
      <w:r w:rsidRPr="00AF4AC6">
        <w:rPr>
          <w:sz w:val="24"/>
          <w:szCs w:val="24"/>
          <w:lang w:val="en-GB"/>
        </w:rPr>
        <w:t>b)</w:t>
      </w:r>
      <w:r w:rsidRPr="00AF4AC6">
        <w:rPr>
          <w:sz w:val="24"/>
          <w:szCs w:val="24"/>
          <w:lang w:val="en-GB"/>
        </w:rPr>
        <w:tab/>
        <w:t xml:space="preserve">Twice daily one tablet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p>
    <w:p w14:paraId="16835FA4" w14:textId="77777777" w:rsidR="00EA0647" w:rsidRPr="00AF4AC6" w:rsidRDefault="00EA0647" w:rsidP="00AF4AC6">
      <w:pPr>
        <w:ind w:left="851"/>
        <w:rPr>
          <w:sz w:val="24"/>
          <w:szCs w:val="24"/>
          <w:lang w:val="en-GB"/>
        </w:rPr>
      </w:pPr>
      <w:r w:rsidRPr="00AF4AC6">
        <w:rPr>
          <w:sz w:val="24"/>
          <w:szCs w:val="24"/>
          <w:lang w:val="en-GB"/>
        </w:rPr>
        <w:t xml:space="preserve">+ twice daily 400 </w:t>
      </w:r>
      <w:r w:rsidRPr="00AF4AC6">
        <w:rPr>
          <w:sz w:val="24"/>
          <w:szCs w:val="24"/>
          <w:lang w:val="en-GB"/>
        </w:rPr>
        <w:noBreakHyphen/>
        <w:t xml:space="preserve"> 500 mg metronidazole (or 500 mg tinidazole)</w:t>
      </w:r>
    </w:p>
    <w:p w14:paraId="48F8CB8D" w14:textId="77777777" w:rsidR="00EA0647" w:rsidRPr="00AF4AC6" w:rsidRDefault="00EA0647" w:rsidP="00AF4AC6">
      <w:pPr>
        <w:ind w:left="851"/>
        <w:rPr>
          <w:sz w:val="24"/>
          <w:szCs w:val="24"/>
          <w:lang w:val="en-GB"/>
        </w:rPr>
      </w:pPr>
      <w:r w:rsidRPr="00AF4AC6">
        <w:rPr>
          <w:sz w:val="24"/>
          <w:szCs w:val="24"/>
          <w:lang w:val="en-GB"/>
        </w:rPr>
        <w:t xml:space="preserve">+ twice daily 250 </w:t>
      </w:r>
      <w:r w:rsidRPr="00AF4AC6">
        <w:rPr>
          <w:sz w:val="24"/>
          <w:szCs w:val="24"/>
          <w:lang w:val="en-GB"/>
        </w:rPr>
        <w:noBreakHyphen/>
        <w:t xml:space="preserve"> 500 mg clarithromycin</w:t>
      </w:r>
    </w:p>
    <w:p w14:paraId="0BA5CA2D" w14:textId="0680D901" w:rsidR="00EA0647" w:rsidRPr="00AF4AC6" w:rsidRDefault="00EA0647" w:rsidP="00AF4AC6">
      <w:pPr>
        <w:ind w:left="851"/>
        <w:rPr>
          <w:sz w:val="24"/>
          <w:szCs w:val="24"/>
          <w:lang w:val="en-GB"/>
        </w:rPr>
      </w:pPr>
    </w:p>
    <w:p w14:paraId="7249CDAD" w14:textId="74D969CD" w:rsidR="00EA0647" w:rsidRPr="00AF4AC6" w:rsidRDefault="00EA0647" w:rsidP="00AF4AC6">
      <w:pPr>
        <w:ind w:left="851"/>
        <w:rPr>
          <w:sz w:val="24"/>
          <w:szCs w:val="24"/>
          <w:lang w:val="en-GB"/>
        </w:rPr>
      </w:pPr>
      <w:r w:rsidRPr="00AF4AC6">
        <w:rPr>
          <w:sz w:val="24"/>
          <w:szCs w:val="24"/>
          <w:lang w:val="en-GB"/>
        </w:rPr>
        <w:t>c)</w:t>
      </w:r>
      <w:r w:rsidRPr="00AF4AC6">
        <w:rPr>
          <w:sz w:val="24"/>
          <w:szCs w:val="24"/>
          <w:lang w:val="en-GB"/>
        </w:rPr>
        <w:tab/>
        <w:t xml:space="preserve">Twice daily one tablet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p>
    <w:p w14:paraId="146461EF" w14:textId="77777777" w:rsidR="00EA0647" w:rsidRPr="00AF4AC6" w:rsidRDefault="00EA0647" w:rsidP="00AF4AC6">
      <w:pPr>
        <w:ind w:left="851"/>
        <w:rPr>
          <w:sz w:val="24"/>
          <w:szCs w:val="24"/>
          <w:lang w:val="en-GB"/>
        </w:rPr>
      </w:pPr>
      <w:r w:rsidRPr="00AF4AC6">
        <w:rPr>
          <w:sz w:val="24"/>
          <w:szCs w:val="24"/>
          <w:lang w:val="en-GB"/>
        </w:rPr>
        <w:t>+ twice daily 1000 mg amoxicillin</w:t>
      </w:r>
    </w:p>
    <w:p w14:paraId="6A0DB981" w14:textId="77777777" w:rsidR="00EA0647" w:rsidRPr="00AF4AC6" w:rsidRDefault="00EA0647" w:rsidP="00AF4AC6">
      <w:pPr>
        <w:ind w:left="851"/>
        <w:rPr>
          <w:sz w:val="24"/>
          <w:szCs w:val="24"/>
          <w:lang w:val="en-GB"/>
        </w:rPr>
      </w:pPr>
      <w:r w:rsidRPr="00AF4AC6">
        <w:rPr>
          <w:sz w:val="24"/>
          <w:szCs w:val="24"/>
          <w:lang w:val="en-GB"/>
        </w:rPr>
        <w:t xml:space="preserve">+ twice daily 400 </w:t>
      </w:r>
      <w:r w:rsidRPr="00AF4AC6">
        <w:rPr>
          <w:sz w:val="24"/>
          <w:szCs w:val="24"/>
          <w:lang w:val="en-GB"/>
        </w:rPr>
        <w:noBreakHyphen/>
        <w:t xml:space="preserve"> 500 mg metronidazole (or 500 mg tinidazole)</w:t>
      </w:r>
    </w:p>
    <w:p w14:paraId="2B928619" w14:textId="77777777" w:rsidR="00EA0647" w:rsidRPr="00AF4AC6" w:rsidRDefault="00EA0647" w:rsidP="00AF4AC6">
      <w:pPr>
        <w:ind w:left="851"/>
        <w:rPr>
          <w:sz w:val="24"/>
          <w:szCs w:val="24"/>
          <w:lang w:val="en-GB"/>
        </w:rPr>
      </w:pPr>
    </w:p>
    <w:p w14:paraId="2F2F26B4" w14:textId="0F8B47DB" w:rsidR="00EA0647" w:rsidRPr="00AF4AC6" w:rsidRDefault="00EA0647" w:rsidP="00AF4AC6">
      <w:pPr>
        <w:ind w:left="851"/>
        <w:rPr>
          <w:sz w:val="24"/>
          <w:szCs w:val="24"/>
          <w:lang w:val="en-GB"/>
        </w:rPr>
      </w:pPr>
      <w:r w:rsidRPr="00AF4AC6">
        <w:rPr>
          <w:sz w:val="24"/>
          <w:szCs w:val="24"/>
          <w:lang w:val="en-GB"/>
        </w:rPr>
        <w:t xml:space="preserve">In combination therapy for eradication of </w:t>
      </w:r>
      <w:r w:rsidRPr="00AF4AC6">
        <w:rPr>
          <w:i/>
          <w:iCs/>
          <w:sz w:val="24"/>
          <w:szCs w:val="24"/>
          <w:lang w:val="en-GB"/>
        </w:rPr>
        <w:t xml:space="preserve">H. pylori </w:t>
      </w:r>
      <w:r w:rsidRPr="00AF4AC6">
        <w:rPr>
          <w:sz w:val="24"/>
          <w:szCs w:val="24"/>
          <w:lang w:val="en-GB"/>
        </w:rPr>
        <w:t xml:space="preserve">infection, the second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tablet should be taken 1 hour before the evening meal. The combination therapy is implemented for 7 days in general and can be prolonged for a further 7 days to a total duration of up to two weeks. If, to ensure healing of the ulcers, further treatment with pantoprazole is indicated, the dose recommendations for duodenal and gastric ulcers should be considered.</w:t>
      </w:r>
    </w:p>
    <w:p w14:paraId="7839AD9D" w14:textId="77777777" w:rsidR="00AF4AC6" w:rsidRDefault="00AF4AC6" w:rsidP="00AF4AC6">
      <w:pPr>
        <w:ind w:left="851"/>
        <w:rPr>
          <w:sz w:val="24"/>
          <w:szCs w:val="24"/>
          <w:lang w:val="en-GB"/>
        </w:rPr>
      </w:pPr>
    </w:p>
    <w:p w14:paraId="3EEC9504" w14:textId="1811A6D3" w:rsidR="00EA0647" w:rsidRPr="00AF4AC6" w:rsidRDefault="00EA0647" w:rsidP="00AF4AC6">
      <w:pPr>
        <w:ind w:left="851"/>
        <w:rPr>
          <w:sz w:val="24"/>
          <w:szCs w:val="24"/>
          <w:lang w:val="en-GB"/>
        </w:rPr>
      </w:pPr>
      <w:r w:rsidRPr="00AF4AC6">
        <w:rPr>
          <w:sz w:val="24"/>
          <w:szCs w:val="24"/>
          <w:lang w:val="en-GB"/>
        </w:rPr>
        <w:t xml:space="preserve">If combination therapy is not an option, e.g. if the patient has tested negative for H. pylori, the following dose guidelines apply for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monotherapy:</w:t>
      </w:r>
    </w:p>
    <w:p w14:paraId="151D9B30" w14:textId="77777777" w:rsidR="00EA0647" w:rsidRPr="00AF4AC6" w:rsidRDefault="00EA0647" w:rsidP="00AF4AC6">
      <w:pPr>
        <w:ind w:left="851"/>
        <w:rPr>
          <w:sz w:val="24"/>
          <w:szCs w:val="24"/>
          <w:lang w:val="en-GB"/>
        </w:rPr>
      </w:pPr>
    </w:p>
    <w:p w14:paraId="2BD74706" w14:textId="77777777" w:rsidR="00EA0647" w:rsidRPr="00AF4AC6" w:rsidRDefault="00EA0647" w:rsidP="00AF4AC6">
      <w:pPr>
        <w:ind w:left="851"/>
        <w:rPr>
          <w:i/>
          <w:iCs/>
          <w:sz w:val="24"/>
          <w:szCs w:val="24"/>
          <w:u w:val="single"/>
          <w:lang w:val="en-GB"/>
        </w:rPr>
      </w:pPr>
      <w:r w:rsidRPr="00AF4AC6">
        <w:rPr>
          <w:i/>
          <w:iCs/>
          <w:sz w:val="24"/>
          <w:szCs w:val="24"/>
          <w:u w:val="single"/>
          <w:lang w:val="en-GB"/>
        </w:rPr>
        <w:t>Treatment of gastric ulcer</w:t>
      </w:r>
    </w:p>
    <w:p w14:paraId="7CCC68B3" w14:textId="7498761B" w:rsidR="00EA0647" w:rsidRPr="00AF4AC6" w:rsidRDefault="00EA0647" w:rsidP="00AF4AC6">
      <w:pPr>
        <w:ind w:left="851"/>
        <w:rPr>
          <w:sz w:val="24"/>
          <w:szCs w:val="24"/>
          <w:lang w:val="en-GB"/>
        </w:rPr>
      </w:pPr>
      <w:r w:rsidRPr="00AF4AC6">
        <w:rPr>
          <w:sz w:val="24"/>
          <w:szCs w:val="24"/>
          <w:lang w:val="en-GB"/>
        </w:rPr>
        <w:t xml:space="preserve">One tablet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per day. In individual cases the dose may be doubled (increase to 2 tablets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daily) especially when there has been no response to other treatment. A 4</w:t>
      </w:r>
      <w:r w:rsidRPr="00AF4AC6">
        <w:rPr>
          <w:sz w:val="24"/>
          <w:szCs w:val="24"/>
          <w:lang w:val="en-GB"/>
        </w:rPr>
        <w:noBreakHyphen/>
        <w:t>week period is usually required for the treatment of gastric ulcers. If this is not sufficient, healing will usually be achieved within a further 4 weeks.</w:t>
      </w:r>
    </w:p>
    <w:p w14:paraId="6D6D1840" w14:textId="77777777" w:rsidR="00AF4AC6" w:rsidRDefault="00AF4AC6" w:rsidP="00AF4AC6">
      <w:pPr>
        <w:ind w:left="851"/>
        <w:rPr>
          <w:i/>
          <w:iCs/>
          <w:sz w:val="24"/>
          <w:szCs w:val="24"/>
          <w:lang w:val="en-GB"/>
        </w:rPr>
      </w:pPr>
    </w:p>
    <w:p w14:paraId="48D98BB8" w14:textId="57C64C61" w:rsidR="00EA0647" w:rsidRPr="00AF4AC6" w:rsidRDefault="00EA0647" w:rsidP="00AF4AC6">
      <w:pPr>
        <w:ind w:left="851"/>
        <w:rPr>
          <w:i/>
          <w:iCs/>
          <w:sz w:val="24"/>
          <w:szCs w:val="24"/>
          <w:u w:val="single"/>
          <w:lang w:val="en-GB"/>
        </w:rPr>
      </w:pPr>
      <w:r w:rsidRPr="00AF4AC6">
        <w:rPr>
          <w:i/>
          <w:iCs/>
          <w:sz w:val="24"/>
          <w:szCs w:val="24"/>
          <w:u w:val="single"/>
          <w:lang w:val="en-GB"/>
        </w:rPr>
        <w:t>Treatment of duodenal ulcer</w:t>
      </w:r>
    </w:p>
    <w:p w14:paraId="5CD1F2E0" w14:textId="0778318B" w:rsidR="00EA0647" w:rsidRPr="00AF4AC6" w:rsidRDefault="00EA0647" w:rsidP="00AF4AC6">
      <w:pPr>
        <w:ind w:left="851"/>
        <w:rPr>
          <w:sz w:val="24"/>
          <w:szCs w:val="24"/>
          <w:lang w:val="en-GB"/>
        </w:rPr>
      </w:pPr>
      <w:r w:rsidRPr="00AF4AC6">
        <w:rPr>
          <w:sz w:val="24"/>
          <w:szCs w:val="24"/>
          <w:lang w:val="en-GB"/>
        </w:rPr>
        <w:t xml:space="preserve">One tablet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per day. In individual cases the dose may be doubled (increase to 2 tablets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daily) especially when there has been no response to other treatment. A duodenal ulcer generally heals within 2 weeks. If a 2</w:t>
      </w:r>
      <w:r w:rsidRPr="00AF4AC6">
        <w:rPr>
          <w:sz w:val="24"/>
          <w:szCs w:val="24"/>
          <w:lang w:val="en-GB"/>
        </w:rPr>
        <w:noBreakHyphen/>
        <w:t>week period of treatment is not sufficient, healing will be achieved in almost all cases within a further 2 weeks.</w:t>
      </w:r>
    </w:p>
    <w:p w14:paraId="291192FE" w14:textId="77777777" w:rsidR="00AF4AC6" w:rsidRDefault="00AF4AC6" w:rsidP="00AF4AC6">
      <w:pPr>
        <w:ind w:left="851"/>
        <w:rPr>
          <w:i/>
          <w:iCs/>
          <w:sz w:val="24"/>
          <w:szCs w:val="24"/>
          <w:lang w:val="en-GB"/>
        </w:rPr>
      </w:pPr>
    </w:p>
    <w:p w14:paraId="7D5F5DD4" w14:textId="0D48487D" w:rsidR="00EA0647" w:rsidRPr="00AF4AC6" w:rsidRDefault="00EA0647" w:rsidP="00AF4AC6">
      <w:pPr>
        <w:ind w:left="851"/>
        <w:rPr>
          <w:i/>
          <w:iCs/>
          <w:sz w:val="24"/>
          <w:szCs w:val="24"/>
          <w:u w:val="single"/>
          <w:lang w:val="en-GB"/>
        </w:rPr>
      </w:pPr>
      <w:r w:rsidRPr="00AF4AC6">
        <w:rPr>
          <w:i/>
          <w:iCs/>
          <w:sz w:val="24"/>
          <w:szCs w:val="24"/>
          <w:u w:val="single"/>
          <w:lang w:val="en-GB"/>
        </w:rPr>
        <w:t>Zollinger-Ellison syndrome and other pathological hypersecretory conditions</w:t>
      </w:r>
    </w:p>
    <w:p w14:paraId="4E9F81C7" w14:textId="1A45F700" w:rsidR="00EA0647" w:rsidRPr="00AF4AC6" w:rsidRDefault="00EA0647" w:rsidP="00AF4AC6">
      <w:pPr>
        <w:ind w:left="851"/>
        <w:rPr>
          <w:sz w:val="24"/>
          <w:szCs w:val="24"/>
          <w:lang w:val="en-GB"/>
        </w:rPr>
      </w:pPr>
      <w:r w:rsidRPr="00AF4AC6">
        <w:rPr>
          <w:sz w:val="24"/>
          <w:szCs w:val="24"/>
          <w:lang w:val="en-GB"/>
        </w:rPr>
        <w:t xml:space="preserve">For the long-term management of Zollinger-Ellison syndrome and other pathological hypersecretory conditions patients should start their treatment with a daily dose of 80 mg (2 tablets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40 mg). Thereafter, the dose can be titrated up or down as needed using measurements of gastric acid secretion to guide. With doses above 80 mg daily, the dose should be divided and given twice daily. A temporary increase of the dose above 160 mg pantoprazole is possible but should not be applied longer than required for adequate acid control.</w:t>
      </w:r>
    </w:p>
    <w:p w14:paraId="2D1919CB" w14:textId="77777777" w:rsidR="00AF4AC6" w:rsidRDefault="00AF4AC6" w:rsidP="00AF4AC6">
      <w:pPr>
        <w:ind w:left="851"/>
        <w:rPr>
          <w:sz w:val="24"/>
          <w:szCs w:val="24"/>
          <w:lang w:val="en-GB"/>
        </w:rPr>
      </w:pPr>
    </w:p>
    <w:p w14:paraId="5842A18F" w14:textId="2240DADD" w:rsidR="00EA0647" w:rsidRPr="00AF4AC6" w:rsidRDefault="00EA0647" w:rsidP="00AF4AC6">
      <w:pPr>
        <w:ind w:left="851"/>
        <w:rPr>
          <w:sz w:val="24"/>
          <w:szCs w:val="24"/>
          <w:lang w:val="en-GB"/>
        </w:rPr>
      </w:pPr>
      <w:r w:rsidRPr="00AF4AC6">
        <w:rPr>
          <w:sz w:val="24"/>
          <w:szCs w:val="24"/>
          <w:lang w:val="en-GB"/>
        </w:rPr>
        <w:t>Treatment duration in Zollinger-Ellison syndrome and other pathological hypersecretory conditions is not limited and should be adapted according to clinical needs.</w:t>
      </w:r>
    </w:p>
    <w:p w14:paraId="648D7895" w14:textId="77777777" w:rsidR="00D6273D" w:rsidRDefault="00D6273D" w:rsidP="00AF4AC6">
      <w:pPr>
        <w:ind w:left="851"/>
        <w:rPr>
          <w:sz w:val="24"/>
          <w:szCs w:val="24"/>
          <w:lang w:val="en-GB"/>
        </w:rPr>
      </w:pPr>
    </w:p>
    <w:p w14:paraId="0F3CC4DE" w14:textId="0B0F49C3" w:rsidR="00EA0647" w:rsidRPr="00D6273D" w:rsidRDefault="00EA0647" w:rsidP="00AF4AC6">
      <w:pPr>
        <w:ind w:left="851"/>
        <w:rPr>
          <w:sz w:val="24"/>
          <w:szCs w:val="24"/>
          <w:u w:val="single"/>
          <w:lang w:val="en-GB"/>
        </w:rPr>
      </w:pPr>
      <w:r w:rsidRPr="00D6273D">
        <w:rPr>
          <w:sz w:val="24"/>
          <w:szCs w:val="24"/>
          <w:u w:val="single"/>
          <w:lang w:val="en-GB"/>
        </w:rPr>
        <w:t xml:space="preserve">Special populations </w:t>
      </w:r>
    </w:p>
    <w:p w14:paraId="789A13D5" w14:textId="77777777" w:rsidR="00AF4AC6" w:rsidRDefault="00AF4AC6" w:rsidP="00AF4AC6">
      <w:pPr>
        <w:ind w:left="851"/>
        <w:rPr>
          <w:i/>
          <w:iCs/>
          <w:sz w:val="24"/>
          <w:szCs w:val="24"/>
          <w:lang w:val="en-GB"/>
        </w:rPr>
      </w:pPr>
    </w:p>
    <w:p w14:paraId="29592AED" w14:textId="36FF3B7E" w:rsidR="00EA0647" w:rsidRPr="00AF4AC6" w:rsidRDefault="00EA0647" w:rsidP="00AF4AC6">
      <w:pPr>
        <w:ind w:left="851"/>
        <w:rPr>
          <w:i/>
          <w:iCs/>
          <w:sz w:val="24"/>
          <w:szCs w:val="24"/>
          <w:lang w:val="en-GB"/>
        </w:rPr>
      </w:pPr>
      <w:r w:rsidRPr="00AF4AC6">
        <w:rPr>
          <w:i/>
          <w:iCs/>
          <w:sz w:val="24"/>
          <w:szCs w:val="24"/>
          <w:lang w:val="en-GB"/>
        </w:rPr>
        <w:t>Patients with hepatic impairment</w:t>
      </w:r>
    </w:p>
    <w:p w14:paraId="5CD09B5D" w14:textId="40DB2C88" w:rsidR="00EA0647" w:rsidRPr="00AF4AC6" w:rsidRDefault="00EA0647" w:rsidP="00AF4AC6">
      <w:pPr>
        <w:ind w:left="851"/>
        <w:rPr>
          <w:sz w:val="24"/>
          <w:szCs w:val="24"/>
          <w:lang w:val="en-GB"/>
        </w:rPr>
      </w:pPr>
      <w:r w:rsidRPr="00AF4AC6">
        <w:rPr>
          <w:sz w:val="24"/>
          <w:szCs w:val="24"/>
          <w:lang w:val="en-GB"/>
        </w:rPr>
        <w:t xml:space="preserve">A daily dose of 20 mg pantoprazole (1 tablet of 20 mg pantoprazole) should not be exceeded in patients with severe liver impairment.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must not be used in combination treatment for eradication of </w:t>
      </w:r>
      <w:r w:rsidRPr="00AF4AC6">
        <w:rPr>
          <w:i/>
          <w:iCs/>
          <w:sz w:val="24"/>
          <w:szCs w:val="24"/>
          <w:lang w:val="en-GB"/>
        </w:rPr>
        <w:t>H. pylori</w:t>
      </w:r>
      <w:r w:rsidRPr="00AF4AC6">
        <w:rPr>
          <w:sz w:val="24"/>
          <w:szCs w:val="24"/>
          <w:lang w:val="en-GB"/>
        </w:rPr>
        <w:t xml:space="preserve"> in patients with moderate to severe hepatic dysfunction</w:t>
      </w:r>
      <w:r w:rsidRPr="00AF4AC6">
        <w:rPr>
          <w:b/>
          <w:bCs/>
          <w:sz w:val="24"/>
          <w:szCs w:val="24"/>
          <w:lang w:val="en-GB"/>
        </w:rPr>
        <w:t xml:space="preserve"> </w:t>
      </w:r>
      <w:r w:rsidRPr="00AF4AC6">
        <w:rPr>
          <w:sz w:val="24"/>
          <w:szCs w:val="24"/>
          <w:lang w:val="en-GB"/>
        </w:rPr>
        <w:t xml:space="preserve">since currently no data are available on the efficacy and safety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in combination treatment of these patients (see section 4.4).</w:t>
      </w:r>
    </w:p>
    <w:p w14:paraId="59AF415C" w14:textId="77777777" w:rsidR="00AF4AC6" w:rsidRDefault="00AF4AC6" w:rsidP="00AF4AC6">
      <w:pPr>
        <w:ind w:left="851"/>
        <w:rPr>
          <w:i/>
          <w:iCs/>
          <w:sz w:val="24"/>
          <w:szCs w:val="24"/>
          <w:lang w:val="en-GB"/>
        </w:rPr>
      </w:pPr>
    </w:p>
    <w:p w14:paraId="49E533BF" w14:textId="1C3FE134" w:rsidR="00EA0647" w:rsidRPr="00AF4AC6" w:rsidRDefault="00EA0647" w:rsidP="00AF4AC6">
      <w:pPr>
        <w:ind w:left="851"/>
        <w:rPr>
          <w:i/>
          <w:iCs/>
          <w:sz w:val="24"/>
          <w:szCs w:val="24"/>
          <w:lang w:val="en-GB"/>
        </w:rPr>
      </w:pPr>
      <w:r w:rsidRPr="00AF4AC6">
        <w:rPr>
          <w:i/>
          <w:iCs/>
          <w:sz w:val="24"/>
          <w:szCs w:val="24"/>
          <w:lang w:val="en-GB"/>
        </w:rPr>
        <w:t>Patients with renal impairment</w:t>
      </w:r>
    </w:p>
    <w:p w14:paraId="78FF14FA" w14:textId="33483AC5" w:rsidR="00EA0647" w:rsidRPr="00AF4AC6" w:rsidRDefault="00EA0647" w:rsidP="00AF4AC6">
      <w:pPr>
        <w:ind w:left="851"/>
        <w:rPr>
          <w:sz w:val="24"/>
          <w:szCs w:val="24"/>
          <w:lang w:val="en-GB"/>
        </w:rPr>
      </w:pPr>
      <w:r w:rsidRPr="00AF4AC6">
        <w:rPr>
          <w:sz w:val="24"/>
          <w:szCs w:val="24"/>
          <w:lang w:val="en-GB"/>
        </w:rPr>
        <w:t xml:space="preserve">No dose adjustment is necessary in patients with impaired renal function.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must not be used in combination treatment for eradication of </w:t>
      </w:r>
      <w:r w:rsidRPr="00AF4AC6">
        <w:rPr>
          <w:i/>
          <w:iCs/>
          <w:sz w:val="24"/>
          <w:szCs w:val="24"/>
          <w:lang w:val="en-GB"/>
        </w:rPr>
        <w:t xml:space="preserve">H. pylori </w:t>
      </w:r>
      <w:r w:rsidRPr="00AF4AC6">
        <w:rPr>
          <w:sz w:val="24"/>
          <w:szCs w:val="24"/>
          <w:lang w:val="en-GB"/>
        </w:rPr>
        <w:t xml:space="preserve">in patients with impaired renal function since currently no data are available on the efficacy and safety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in combination treatment for these patients (see section 5.2).</w:t>
      </w:r>
    </w:p>
    <w:p w14:paraId="6CD4BEEB" w14:textId="77777777" w:rsidR="00EA0647" w:rsidRPr="00AF4AC6" w:rsidRDefault="00EA0647" w:rsidP="00AF4AC6">
      <w:pPr>
        <w:ind w:left="851"/>
        <w:rPr>
          <w:sz w:val="24"/>
          <w:szCs w:val="24"/>
          <w:lang w:val="en-GB"/>
        </w:rPr>
      </w:pPr>
    </w:p>
    <w:p w14:paraId="38AD2034" w14:textId="77777777" w:rsidR="00EA0647" w:rsidRPr="00AF4AC6" w:rsidRDefault="00EA0647" w:rsidP="00AF4AC6">
      <w:pPr>
        <w:ind w:left="851"/>
        <w:rPr>
          <w:i/>
          <w:iCs/>
          <w:sz w:val="24"/>
          <w:szCs w:val="24"/>
          <w:lang w:val="en-GB"/>
        </w:rPr>
      </w:pPr>
      <w:r w:rsidRPr="00AF4AC6">
        <w:rPr>
          <w:i/>
          <w:iCs/>
          <w:sz w:val="24"/>
          <w:szCs w:val="24"/>
          <w:lang w:val="en-GB"/>
        </w:rPr>
        <w:t>Elderly</w:t>
      </w:r>
    </w:p>
    <w:p w14:paraId="64B934D8" w14:textId="7503577A" w:rsidR="00EA0647" w:rsidRPr="00AF4AC6" w:rsidRDefault="00EA0647" w:rsidP="00AF4AC6">
      <w:pPr>
        <w:ind w:left="851"/>
        <w:rPr>
          <w:sz w:val="24"/>
          <w:szCs w:val="24"/>
          <w:lang w:val="en-GB"/>
        </w:rPr>
      </w:pPr>
      <w:r w:rsidRPr="00AF4AC6">
        <w:rPr>
          <w:sz w:val="24"/>
          <w:szCs w:val="24"/>
          <w:lang w:val="en-GB"/>
        </w:rPr>
        <w:t>No dose adjustment is necessary in the elderly</w:t>
      </w:r>
      <w:r w:rsidR="00AF4AC6">
        <w:rPr>
          <w:sz w:val="24"/>
          <w:szCs w:val="24"/>
          <w:lang w:val="en-GB"/>
        </w:rPr>
        <w:t xml:space="preserve"> </w:t>
      </w:r>
      <w:r w:rsidRPr="00AF4AC6">
        <w:rPr>
          <w:sz w:val="24"/>
          <w:szCs w:val="24"/>
          <w:lang w:val="en-GB"/>
        </w:rPr>
        <w:t>(see section 5.2).</w:t>
      </w:r>
    </w:p>
    <w:p w14:paraId="302D2706" w14:textId="2257D58E" w:rsidR="00EA0647" w:rsidRPr="00D6273D" w:rsidRDefault="00EA0647" w:rsidP="00AF4AC6">
      <w:pPr>
        <w:ind w:left="851"/>
        <w:rPr>
          <w:bCs/>
          <w:sz w:val="24"/>
          <w:szCs w:val="24"/>
          <w:lang w:val="en-GB"/>
        </w:rPr>
      </w:pPr>
    </w:p>
    <w:p w14:paraId="4F3EE1E0" w14:textId="77777777" w:rsidR="00EA0647" w:rsidRPr="00AF4AC6" w:rsidRDefault="00EA0647" w:rsidP="00AF4AC6">
      <w:pPr>
        <w:ind w:left="851"/>
        <w:rPr>
          <w:i/>
          <w:iCs/>
          <w:sz w:val="24"/>
          <w:szCs w:val="24"/>
          <w:lang w:val="en-GB"/>
        </w:rPr>
      </w:pPr>
      <w:r w:rsidRPr="00AF4AC6">
        <w:rPr>
          <w:i/>
          <w:iCs/>
          <w:sz w:val="24"/>
          <w:szCs w:val="24"/>
          <w:lang w:val="en-GB"/>
        </w:rPr>
        <w:t>Paediatric population</w:t>
      </w:r>
    </w:p>
    <w:p w14:paraId="3A6C4044" w14:textId="5F607075" w:rsidR="00EA0647" w:rsidRPr="00AF4AC6" w:rsidRDefault="00AF4AC6" w:rsidP="00AF4AC6">
      <w:pPr>
        <w:ind w:left="851"/>
        <w:rPr>
          <w:sz w:val="24"/>
          <w:szCs w:val="24"/>
          <w:lang w:val="en-GB"/>
        </w:rPr>
      </w:pPr>
      <w:proofErr w:type="spellStart"/>
      <w:r w:rsidRPr="00AF4AC6">
        <w:rPr>
          <w:sz w:val="24"/>
          <w:szCs w:val="24"/>
          <w:lang w:val="en-GB"/>
        </w:rPr>
        <w:t>Pantoprazol</w:t>
      </w:r>
      <w:proofErr w:type="spellEnd"/>
      <w:r w:rsidRPr="00AF4AC6">
        <w:rPr>
          <w:sz w:val="24"/>
          <w:szCs w:val="24"/>
          <w:lang w:val="en-GB"/>
        </w:rPr>
        <w:t xml:space="preserve"> "</w:t>
      </w:r>
      <w:proofErr w:type="spellStart"/>
      <w:r w:rsidRPr="00AF4AC6">
        <w:rPr>
          <w:sz w:val="24"/>
          <w:szCs w:val="24"/>
          <w:lang w:val="en-GB"/>
        </w:rPr>
        <w:t>Opko</w:t>
      </w:r>
      <w:proofErr w:type="spellEnd"/>
      <w:r w:rsidRPr="00AF4AC6">
        <w:rPr>
          <w:sz w:val="24"/>
          <w:szCs w:val="24"/>
          <w:lang w:val="en-GB"/>
        </w:rPr>
        <w:t>"</w:t>
      </w:r>
      <w:r w:rsidR="00EA0647" w:rsidRPr="00AF4AC6">
        <w:rPr>
          <w:sz w:val="24"/>
          <w:szCs w:val="24"/>
          <w:lang w:val="en-GB"/>
        </w:rPr>
        <w:t xml:space="preserve"> is not recommended for use in children below 12 years of age because of limited data on safety and efficacy in this age group (see section 5.2).</w:t>
      </w:r>
    </w:p>
    <w:p w14:paraId="65EA4E23" w14:textId="77777777" w:rsidR="00EA0647" w:rsidRPr="00AF4AC6" w:rsidRDefault="00EA0647" w:rsidP="00AF4AC6">
      <w:pPr>
        <w:ind w:left="851"/>
        <w:rPr>
          <w:sz w:val="24"/>
          <w:szCs w:val="24"/>
          <w:lang w:val="en-GB"/>
        </w:rPr>
      </w:pPr>
    </w:p>
    <w:p w14:paraId="68C481F5" w14:textId="77777777" w:rsidR="00EA0647" w:rsidRPr="00D6273D" w:rsidRDefault="00EA0647" w:rsidP="00AF4AC6">
      <w:pPr>
        <w:ind w:left="851"/>
        <w:rPr>
          <w:sz w:val="24"/>
          <w:szCs w:val="24"/>
          <w:u w:val="single"/>
          <w:lang w:val="en-GB"/>
        </w:rPr>
      </w:pPr>
      <w:r w:rsidRPr="00D6273D">
        <w:rPr>
          <w:sz w:val="24"/>
          <w:szCs w:val="24"/>
          <w:u w:val="single"/>
          <w:lang w:val="en-GB"/>
        </w:rPr>
        <w:t>Method of administration</w:t>
      </w:r>
    </w:p>
    <w:p w14:paraId="55BA8DC3" w14:textId="77777777" w:rsidR="00EA0647" w:rsidRPr="00AF4AC6" w:rsidRDefault="00EA0647" w:rsidP="00AF4AC6">
      <w:pPr>
        <w:ind w:left="851"/>
        <w:rPr>
          <w:sz w:val="24"/>
          <w:szCs w:val="24"/>
          <w:lang w:val="en-GB"/>
        </w:rPr>
      </w:pPr>
      <w:r w:rsidRPr="00AF4AC6">
        <w:rPr>
          <w:sz w:val="24"/>
          <w:szCs w:val="24"/>
          <w:lang w:val="en-GB"/>
        </w:rPr>
        <w:t>Oral use</w:t>
      </w:r>
    </w:p>
    <w:p w14:paraId="70DD520C" w14:textId="77777777" w:rsidR="00EA0647" w:rsidRPr="00AF4AC6" w:rsidRDefault="00EA0647" w:rsidP="00AF4AC6">
      <w:pPr>
        <w:ind w:left="851"/>
        <w:rPr>
          <w:sz w:val="24"/>
          <w:szCs w:val="24"/>
          <w:lang w:val="en-GB"/>
        </w:rPr>
      </w:pPr>
      <w:r w:rsidRPr="00AF4AC6">
        <w:rPr>
          <w:sz w:val="24"/>
          <w:szCs w:val="24"/>
          <w:lang w:val="en-GB"/>
        </w:rPr>
        <w:t xml:space="preserve">The tablets should not be chewed or crushed, and should be swallowed whole 1 hour before a meal with some water. </w:t>
      </w:r>
    </w:p>
    <w:p w14:paraId="6D9B9772" w14:textId="77777777" w:rsidR="007C5D2A" w:rsidRPr="00AF4AC6" w:rsidRDefault="007C5D2A" w:rsidP="00A85D26">
      <w:pPr>
        <w:tabs>
          <w:tab w:val="left" w:pos="851"/>
        </w:tabs>
        <w:ind w:left="851"/>
        <w:rPr>
          <w:sz w:val="24"/>
          <w:szCs w:val="24"/>
          <w:lang w:val="en-GB"/>
        </w:rPr>
      </w:pPr>
    </w:p>
    <w:p w14:paraId="050DCFBA"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4.3</w:t>
      </w:r>
      <w:r w:rsidRPr="00AF4AC6">
        <w:rPr>
          <w:b/>
          <w:sz w:val="24"/>
          <w:szCs w:val="24"/>
          <w:lang w:val="en-GB"/>
        </w:rPr>
        <w:tab/>
        <w:t>Contraindications</w:t>
      </w:r>
    </w:p>
    <w:p w14:paraId="56AD996B" w14:textId="77777777" w:rsidR="00EA0647" w:rsidRPr="00AF4AC6" w:rsidRDefault="00EA0647" w:rsidP="00AF4AC6">
      <w:pPr>
        <w:ind w:left="851"/>
        <w:rPr>
          <w:sz w:val="24"/>
          <w:szCs w:val="24"/>
          <w:lang w:val="en-GB"/>
        </w:rPr>
      </w:pPr>
      <w:r w:rsidRPr="00AF4AC6">
        <w:rPr>
          <w:sz w:val="24"/>
          <w:szCs w:val="24"/>
          <w:lang w:val="en-GB"/>
        </w:rPr>
        <w:t xml:space="preserve">Hypersensitivity to the active substance, substituted benzimidazoles, or to any of the excipients listed in section 6.1. </w:t>
      </w:r>
    </w:p>
    <w:p w14:paraId="198D88EE" w14:textId="77777777" w:rsidR="007C5D2A" w:rsidRPr="00AF4AC6" w:rsidRDefault="007C5D2A" w:rsidP="003E0341">
      <w:pPr>
        <w:tabs>
          <w:tab w:val="left" w:pos="851"/>
        </w:tabs>
        <w:ind w:left="851"/>
        <w:rPr>
          <w:sz w:val="24"/>
          <w:szCs w:val="24"/>
          <w:lang w:val="en-GB"/>
        </w:rPr>
      </w:pPr>
    </w:p>
    <w:p w14:paraId="65CAD5D2" w14:textId="77777777" w:rsidR="007C5D2A" w:rsidRPr="00AF4AC6" w:rsidRDefault="007C5D2A" w:rsidP="007C5D2A">
      <w:pPr>
        <w:tabs>
          <w:tab w:val="left" w:pos="851"/>
        </w:tabs>
        <w:rPr>
          <w:b/>
          <w:sz w:val="24"/>
          <w:szCs w:val="24"/>
          <w:lang w:val="en-GB"/>
        </w:rPr>
      </w:pPr>
      <w:r w:rsidRPr="00AF4AC6">
        <w:rPr>
          <w:b/>
          <w:sz w:val="24"/>
          <w:szCs w:val="24"/>
          <w:lang w:val="en-GB"/>
        </w:rPr>
        <w:lastRenderedPageBreak/>
        <w:t>4.4</w:t>
      </w:r>
      <w:r w:rsidRPr="00AF4AC6">
        <w:rPr>
          <w:b/>
          <w:sz w:val="24"/>
          <w:szCs w:val="24"/>
          <w:lang w:val="en-GB"/>
        </w:rPr>
        <w:tab/>
        <w:t>Special warnings and precautions for use</w:t>
      </w:r>
    </w:p>
    <w:p w14:paraId="3F251DDA" w14:textId="77777777" w:rsidR="00D6273D" w:rsidRDefault="00D6273D" w:rsidP="00AF4AC6">
      <w:pPr>
        <w:ind w:left="851"/>
        <w:rPr>
          <w:sz w:val="24"/>
          <w:szCs w:val="24"/>
          <w:lang w:val="en-GB"/>
        </w:rPr>
      </w:pPr>
    </w:p>
    <w:p w14:paraId="24B288EB" w14:textId="1EA871DE" w:rsidR="00EA0647" w:rsidRPr="00D6273D" w:rsidRDefault="00EA0647" w:rsidP="00AF4AC6">
      <w:pPr>
        <w:ind w:left="851"/>
        <w:rPr>
          <w:sz w:val="24"/>
          <w:szCs w:val="24"/>
          <w:u w:val="single"/>
          <w:lang w:val="en-GB"/>
        </w:rPr>
      </w:pPr>
      <w:r w:rsidRPr="00D6273D">
        <w:rPr>
          <w:sz w:val="24"/>
          <w:szCs w:val="24"/>
          <w:u w:val="single"/>
          <w:lang w:val="en-GB"/>
        </w:rPr>
        <w:t>Hepatic impairment</w:t>
      </w:r>
    </w:p>
    <w:p w14:paraId="703B613B" w14:textId="77777777" w:rsidR="00EA0647" w:rsidRPr="00AF4AC6" w:rsidRDefault="00EA0647" w:rsidP="00AF4AC6">
      <w:pPr>
        <w:ind w:left="851"/>
        <w:rPr>
          <w:sz w:val="24"/>
          <w:szCs w:val="24"/>
          <w:lang w:val="en-GB"/>
        </w:rPr>
      </w:pPr>
      <w:r w:rsidRPr="00AF4AC6">
        <w:rPr>
          <w:sz w:val="24"/>
          <w:szCs w:val="24"/>
          <w:lang w:val="en-GB"/>
        </w:rPr>
        <w:t>In patients with severe liver impairment, the liver enzymes should be monitored regularly during treatment with pantoprazole, particularly on long-term use. In the case of a rise of the liver enzymes, the treatment should be discontinued (see section 4.2).</w:t>
      </w:r>
    </w:p>
    <w:p w14:paraId="310E07AD" w14:textId="77777777" w:rsidR="00EA0647" w:rsidRPr="00AF4AC6" w:rsidRDefault="00EA0647" w:rsidP="00AF4AC6">
      <w:pPr>
        <w:ind w:left="851"/>
        <w:rPr>
          <w:sz w:val="24"/>
          <w:szCs w:val="24"/>
          <w:lang w:val="en-GB"/>
        </w:rPr>
      </w:pPr>
    </w:p>
    <w:p w14:paraId="0249396A" w14:textId="77777777" w:rsidR="00EA0647" w:rsidRPr="00D6273D" w:rsidRDefault="00EA0647" w:rsidP="00AF4AC6">
      <w:pPr>
        <w:ind w:left="851"/>
        <w:rPr>
          <w:sz w:val="24"/>
          <w:szCs w:val="24"/>
          <w:u w:val="single"/>
          <w:lang w:val="en-GB"/>
        </w:rPr>
      </w:pPr>
      <w:r w:rsidRPr="00D6273D">
        <w:rPr>
          <w:sz w:val="24"/>
          <w:szCs w:val="24"/>
          <w:u w:val="single"/>
          <w:lang w:val="en-GB"/>
        </w:rPr>
        <w:t>Combination therapy</w:t>
      </w:r>
    </w:p>
    <w:p w14:paraId="4E2C4883" w14:textId="77777777" w:rsidR="00EA0647" w:rsidRPr="00AF4AC6" w:rsidRDefault="00EA0647" w:rsidP="00AF4AC6">
      <w:pPr>
        <w:ind w:left="851"/>
        <w:rPr>
          <w:sz w:val="24"/>
          <w:szCs w:val="24"/>
          <w:lang w:val="en-GB"/>
        </w:rPr>
      </w:pPr>
      <w:r w:rsidRPr="00AF4AC6">
        <w:rPr>
          <w:sz w:val="24"/>
          <w:szCs w:val="24"/>
          <w:lang w:val="en-GB"/>
        </w:rPr>
        <w:t>In the case of combination therapy, the summaries of product characteristics of the respective medicinal products should be observed.</w:t>
      </w:r>
    </w:p>
    <w:p w14:paraId="13E69B7E" w14:textId="77777777" w:rsidR="00EA0647" w:rsidRPr="00AF4AC6" w:rsidRDefault="00EA0647" w:rsidP="00AF4AC6">
      <w:pPr>
        <w:ind w:left="851"/>
        <w:rPr>
          <w:sz w:val="24"/>
          <w:szCs w:val="24"/>
          <w:lang w:val="en-GB"/>
        </w:rPr>
      </w:pPr>
    </w:p>
    <w:p w14:paraId="10E7E959" w14:textId="77777777" w:rsidR="00EA0647" w:rsidRPr="00D6273D" w:rsidRDefault="00EA0647" w:rsidP="00AF4AC6">
      <w:pPr>
        <w:ind w:left="851"/>
        <w:rPr>
          <w:sz w:val="24"/>
          <w:szCs w:val="24"/>
          <w:u w:val="single"/>
          <w:lang w:val="en-GB"/>
        </w:rPr>
      </w:pPr>
      <w:r w:rsidRPr="00D6273D">
        <w:rPr>
          <w:sz w:val="24"/>
          <w:szCs w:val="24"/>
          <w:u w:val="single"/>
          <w:lang w:val="en-GB"/>
        </w:rPr>
        <w:t>Gastric malignancy</w:t>
      </w:r>
    </w:p>
    <w:p w14:paraId="2BEFB421" w14:textId="77777777" w:rsidR="00EA0647" w:rsidRPr="00AF4AC6" w:rsidRDefault="00EA0647" w:rsidP="00AF4AC6">
      <w:pPr>
        <w:ind w:left="851"/>
        <w:rPr>
          <w:sz w:val="24"/>
          <w:szCs w:val="24"/>
          <w:lang w:val="en-GB"/>
        </w:rPr>
      </w:pPr>
      <w:r w:rsidRPr="00AF4AC6">
        <w:rPr>
          <w:sz w:val="24"/>
          <w:szCs w:val="24"/>
          <w:lang w:val="en-GB"/>
        </w:rPr>
        <w:t xml:space="preserve">Symptomatic response to pantoprazole may mask the symptoms of gastric malignancy and may delay diagnosis. In the presence of any alarm symptom (e.g. significant unintentional weight loss, recurrent vomiting, dysphagia, haematemesis, anaemia or melaena) and when gastric ulcer is suspected or present, malignancy should be excluded. </w:t>
      </w:r>
    </w:p>
    <w:p w14:paraId="25DE23B1" w14:textId="77777777" w:rsidR="00EA0647" w:rsidRPr="00AF4AC6" w:rsidRDefault="00EA0647" w:rsidP="00AF4AC6">
      <w:pPr>
        <w:ind w:left="851"/>
        <w:rPr>
          <w:sz w:val="24"/>
          <w:szCs w:val="24"/>
          <w:lang w:val="en-GB"/>
        </w:rPr>
      </w:pPr>
    </w:p>
    <w:p w14:paraId="560BFEA3" w14:textId="77777777" w:rsidR="00EA0647" w:rsidRPr="00AF4AC6" w:rsidRDefault="00EA0647" w:rsidP="00AF4AC6">
      <w:pPr>
        <w:ind w:left="851"/>
        <w:rPr>
          <w:sz w:val="24"/>
          <w:szCs w:val="24"/>
          <w:lang w:val="en-GB"/>
        </w:rPr>
      </w:pPr>
      <w:r w:rsidRPr="00AF4AC6">
        <w:rPr>
          <w:sz w:val="24"/>
          <w:szCs w:val="24"/>
          <w:lang w:val="en-GB"/>
        </w:rPr>
        <w:t>Further investigation is to be considered if symptoms persist despite adequate treatment.</w:t>
      </w:r>
    </w:p>
    <w:p w14:paraId="5852B2EB" w14:textId="77777777" w:rsidR="00D6273D" w:rsidRDefault="00D6273D" w:rsidP="00AF4AC6">
      <w:pPr>
        <w:ind w:left="851"/>
        <w:rPr>
          <w:sz w:val="24"/>
          <w:szCs w:val="24"/>
          <w:lang w:val="en-GB"/>
        </w:rPr>
      </w:pPr>
    </w:p>
    <w:p w14:paraId="25349C0B" w14:textId="0DF7039F" w:rsidR="00EA0647" w:rsidRPr="00D6273D" w:rsidRDefault="00EA0647" w:rsidP="00AF4AC6">
      <w:pPr>
        <w:ind w:left="851"/>
        <w:rPr>
          <w:sz w:val="24"/>
          <w:szCs w:val="24"/>
          <w:u w:val="single"/>
          <w:lang w:val="en-GB"/>
        </w:rPr>
      </w:pPr>
      <w:r w:rsidRPr="00D6273D">
        <w:rPr>
          <w:sz w:val="24"/>
          <w:szCs w:val="24"/>
          <w:u w:val="single"/>
          <w:lang w:val="en-GB"/>
        </w:rPr>
        <w:t>Co-administration with HIV protease inhibitors</w:t>
      </w:r>
    </w:p>
    <w:p w14:paraId="6E5309E4" w14:textId="77777777" w:rsidR="00EA0647" w:rsidRPr="00AF4AC6" w:rsidRDefault="00EA0647" w:rsidP="00AF4AC6">
      <w:pPr>
        <w:ind w:left="851"/>
        <w:rPr>
          <w:sz w:val="24"/>
          <w:szCs w:val="24"/>
          <w:lang w:val="en-GB"/>
        </w:rPr>
      </w:pPr>
      <w:r w:rsidRPr="00AF4AC6">
        <w:rPr>
          <w:sz w:val="24"/>
          <w:szCs w:val="24"/>
          <w:lang w:val="en-GB"/>
        </w:rPr>
        <w:t xml:space="preserve">Co-administration of pantoprazole is not recommended with HIV protease inhibitors for which absorption is dependent on acidic intragastric pH such as atazanavir, due to significant reduction in their bioavailability (see section 4.5). </w:t>
      </w:r>
    </w:p>
    <w:p w14:paraId="02AF5D01" w14:textId="77777777" w:rsidR="00EA0647" w:rsidRPr="00AF4AC6" w:rsidRDefault="00EA0647" w:rsidP="00AF4AC6">
      <w:pPr>
        <w:ind w:left="851"/>
        <w:rPr>
          <w:sz w:val="24"/>
          <w:szCs w:val="24"/>
          <w:lang w:val="en-GB"/>
        </w:rPr>
      </w:pPr>
    </w:p>
    <w:p w14:paraId="1C8F9581" w14:textId="77777777" w:rsidR="00EA0647" w:rsidRPr="00D6273D" w:rsidRDefault="00EA0647" w:rsidP="00AF4AC6">
      <w:pPr>
        <w:ind w:left="851"/>
        <w:rPr>
          <w:sz w:val="24"/>
          <w:szCs w:val="24"/>
          <w:u w:val="single"/>
          <w:lang w:val="en-GB"/>
        </w:rPr>
      </w:pPr>
      <w:r w:rsidRPr="00D6273D">
        <w:rPr>
          <w:sz w:val="24"/>
          <w:szCs w:val="24"/>
          <w:u w:val="single"/>
          <w:lang w:val="en-GB"/>
        </w:rPr>
        <w:t>Influence on vitamin B12 absorption</w:t>
      </w:r>
    </w:p>
    <w:p w14:paraId="4B673ACD" w14:textId="77777777" w:rsidR="00EA0647" w:rsidRPr="00AF4AC6" w:rsidRDefault="00EA0647" w:rsidP="00AF4AC6">
      <w:pPr>
        <w:ind w:left="851"/>
        <w:rPr>
          <w:sz w:val="24"/>
          <w:szCs w:val="24"/>
          <w:lang w:val="en-GB"/>
        </w:rPr>
      </w:pPr>
      <w:r w:rsidRPr="00AF4AC6">
        <w:rPr>
          <w:sz w:val="24"/>
          <w:szCs w:val="24"/>
          <w:lang w:val="en-GB"/>
        </w:rPr>
        <w:t>In patients with Zollinger-Ellison syndrome and other pathological hypersecretory conditions requiring long-term treatment, pantoprazole, as all acid-blocking medicines, may reduce the absorption of vitamin B12 (cyanocobalamin) due to hypo- or achlorhydria. This should be considered in patients with reduced body stores or risk factors for reduced vitamin B12 absorption on long-term therapy or if respective clinical symptoms are observed.</w:t>
      </w:r>
    </w:p>
    <w:p w14:paraId="52479926" w14:textId="77A6B823" w:rsidR="00EA0647" w:rsidRPr="00D6273D" w:rsidRDefault="00EA0647" w:rsidP="00AF4AC6">
      <w:pPr>
        <w:ind w:left="851"/>
        <w:rPr>
          <w:bCs/>
          <w:sz w:val="24"/>
          <w:szCs w:val="24"/>
          <w:lang w:val="en-GB"/>
        </w:rPr>
      </w:pPr>
    </w:p>
    <w:p w14:paraId="1FCB1602" w14:textId="77777777" w:rsidR="00EA0647" w:rsidRPr="00D6273D" w:rsidRDefault="00EA0647" w:rsidP="00AF4AC6">
      <w:pPr>
        <w:ind w:left="851"/>
        <w:rPr>
          <w:sz w:val="24"/>
          <w:szCs w:val="24"/>
          <w:u w:val="single"/>
          <w:lang w:val="en-GB"/>
        </w:rPr>
      </w:pPr>
      <w:r w:rsidRPr="00D6273D">
        <w:rPr>
          <w:sz w:val="24"/>
          <w:szCs w:val="24"/>
          <w:u w:val="single"/>
          <w:lang w:val="en-GB"/>
        </w:rPr>
        <w:t>Long-term treatment</w:t>
      </w:r>
    </w:p>
    <w:p w14:paraId="2C7742F4" w14:textId="77777777" w:rsidR="00EA0647" w:rsidRPr="00AF4AC6" w:rsidRDefault="00EA0647" w:rsidP="00AF4AC6">
      <w:pPr>
        <w:ind w:left="851"/>
        <w:rPr>
          <w:sz w:val="24"/>
          <w:szCs w:val="24"/>
          <w:lang w:val="en-GB"/>
        </w:rPr>
      </w:pPr>
      <w:r w:rsidRPr="00AF4AC6">
        <w:rPr>
          <w:sz w:val="24"/>
          <w:szCs w:val="24"/>
          <w:lang w:val="en-GB"/>
        </w:rPr>
        <w:t>In long-term treatment, especially when exceeding a treatment period of 1 year, patients should be kept under regular surveillance.</w:t>
      </w:r>
    </w:p>
    <w:p w14:paraId="76504A07" w14:textId="77777777" w:rsidR="00EA0647" w:rsidRPr="00AF4AC6" w:rsidRDefault="00EA0647" w:rsidP="00AF4AC6">
      <w:pPr>
        <w:ind w:left="851"/>
        <w:rPr>
          <w:sz w:val="24"/>
          <w:szCs w:val="24"/>
          <w:lang w:val="en-GB"/>
        </w:rPr>
      </w:pPr>
    </w:p>
    <w:p w14:paraId="0134E203" w14:textId="77777777" w:rsidR="00EA0647" w:rsidRPr="00D6273D" w:rsidRDefault="00EA0647" w:rsidP="00AF4AC6">
      <w:pPr>
        <w:ind w:left="851"/>
        <w:rPr>
          <w:sz w:val="24"/>
          <w:szCs w:val="24"/>
          <w:u w:val="single"/>
          <w:lang w:val="en-GB"/>
        </w:rPr>
      </w:pPr>
      <w:r w:rsidRPr="00D6273D">
        <w:rPr>
          <w:sz w:val="24"/>
          <w:szCs w:val="24"/>
          <w:u w:val="single"/>
          <w:lang w:val="en-GB"/>
        </w:rPr>
        <w:t>Gastrointestinal infections caused by bacteria</w:t>
      </w:r>
    </w:p>
    <w:p w14:paraId="64CF3D1E" w14:textId="51F2FD97" w:rsidR="00EA0647" w:rsidRPr="00AF4AC6" w:rsidRDefault="00EA0647" w:rsidP="00AF4AC6">
      <w:pPr>
        <w:ind w:left="851"/>
        <w:rPr>
          <w:sz w:val="24"/>
          <w:szCs w:val="24"/>
          <w:lang w:val="en-GB"/>
        </w:rPr>
      </w:pPr>
      <w:r w:rsidRPr="00AF4AC6">
        <w:rPr>
          <w:sz w:val="24"/>
          <w:szCs w:val="24"/>
          <w:lang w:val="en-GB"/>
        </w:rPr>
        <w:t xml:space="preserve">Treatment with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may lead to a slightly increased risk of gastrointestinal infections caused by bacteria such as </w:t>
      </w:r>
      <w:r w:rsidRPr="00AF4AC6">
        <w:rPr>
          <w:i/>
          <w:iCs/>
          <w:sz w:val="24"/>
          <w:szCs w:val="24"/>
          <w:lang w:val="en-GB"/>
        </w:rPr>
        <w:t>Salmonella</w:t>
      </w:r>
      <w:r w:rsidRPr="00AF4AC6">
        <w:rPr>
          <w:sz w:val="24"/>
          <w:szCs w:val="24"/>
          <w:lang w:val="en-GB"/>
        </w:rPr>
        <w:t xml:space="preserve"> and </w:t>
      </w:r>
      <w:r w:rsidRPr="00AF4AC6">
        <w:rPr>
          <w:i/>
          <w:iCs/>
          <w:sz w:val="24"/>
          <w:szCs w:val="24"/>
          <w:lang w:val="en-GB"/>
        </w:rPr>
        <w:t>Campylobacter</w:t>
      </w:r>
      <w:r w:rsidRPr="00AF4AC6">
        <w:rPr>
          <w:sz w:val="24"/>
          <w:szCs w:val="24"/>
          <w:lang w:val="en-GB"/>
        </w:rPr>
        <w:t xml:space="preserve"> or</w:t>
      </w:r>
      <w:r w:rsidRPr="00AF4AC6">
        <w:rPr>
          <w:i/>
          <w:iCs/>
          <w:sz w:val="24"/>
          <w:szCs w:val="24"/>
          <w:lang w:val="en-GB"/>
        </w:rPr>
        <w:t xml:space="preserve"> C. difficile.</w:t>
      </w:r>
    </w:p>
    <w:p w14:paraId="7D68924B" w14:textId="77777777" w:rsidR="00EA0647" w:rsidRPr="00AF4AC6" w:rsidRDefault="00EA0647" w:rsidP="00AF4AC6">
      <w:pPr>
        <w:ind w:left="851"/>
        <w:rPr>
          <w:sz w:val="24"/>
          <w:szCs w:val="24"/>
          <w:lang w:val="en-GB"/>
        </w:rPr>
      </w:pPr>
    </w:p>
    <w:p w14:paraId="2FC15037" w14:textId="77777777" w:rsidR="00EA0647" w:rsidRPr="00D6273D" w:rsidRDefault="00EA0647" w:rsidP="00AF4AC6">
      <w:pPr>
        <w:ind w:left="851"/>
        <w:rPr>
          <w:sz w:val="24"/>
          <w:szCs w:val="24"/>
          <w:u w:val="single"/>
          <w:lang w:val="en-GB"/>
        </w:rPr>
      </w:pPr>
      <w:r w:rsidRPr="00D6273D">
        <w:rPr>
          <w:sz w:val="24"/>
          <w:szCs w:val="24"/>
          <w:u w:val="single"/>
          <w:lang w:val="en-GB"/>
        </w:rPr>
        <w:t>Hypomagnesaemia</w:t>
      </w:r>
    </w:p>
    <w:p w14:paraId="262F2952" w14:textId="77777777" w:rsidR="00EA0647" w:rsidRPr="00AF4AC6" w:rsidRDefault="00EA0647" w:rsidP="00AF4AC6">
      <w:pPr>
        <w:ind w:left="851"/>
        <w:rPr>
          <w:sz w:val="24"/>
          <w:szCs w:val="24"/>
          <w:lang w:val="en-GB"/>
        </w:rPr>
      </w:pPr>
      <w:r w:rsidRPr="00AF4AC6">
        <w:rPr>
          <w:sz w:val="24"/>
          <w:szCs w:val="24"/>
          <w:lang w:val="en-GB"/>
        </w:rPr>
        <w:t>Severe hypomagnesaemia has been rarely reported in patients treated with proton pump inhibitors (PPIs) like pantoprazole for at least three months, and in most cases for a year. Serious manifestations of hypomagnesaemia such as fatigue, tetany, delirium, convulsions, dizziness, and ventricular arrhythmia can occur but they may begin insidiously and be overlooked. Hypomagnesaemia may lead to hypocalcaemia and/or hypokalaemia (see section 4.8). In most affected patients, hypomagnesaemia (and hypomagnesaemia associated hypocalcaemia and/or hypokalaemia improved after magnesium replacement and discontinuation of the PPI.</w:t>
      </w:r>
    </w:p>
    <w:p w14:paraId="7A50F25F" w14:textId="71F772D4" w:rsidR="00EA0647" w:rsidRPr="00AF4AC6" w:rsidRDefault="00EA0647" w:rsidP="00AF4AC6">
      <w:pPr>
        <w:ind w:left="851"/>
        <w:rPr>
          <w:sz w:val="24"/>
          <w:szCs w:val="24"/>
          <w:lang w:val="en-GB"/>
        </w:rPr>
      </w:pPr>
    </w:p>
    <w:p w14:paraId="0E6F2093" w14:textId="77777777" w:rsidR="00EA0647" w:rsidRPr="00AF4AC6" w:rsidRDefault="00EA0647" w:rsidP="00AF4AC6">
      <w:pPr>
        <w:ind w:left="851"/>
        <w:rPr>
          <w:sz w:val="24"/>
          <w:szCs w:val="24"/>
          <w:lang w:val="en-GB"/>
        </w:rPr>
      </w:pPr>
      <w:r w:rsidRPr="00AF4AC6">
        <w:rPr>
          <w:sz w:val="24"/>
          <w:szCs w:val="24"/>
          <w:lang w:val="en-GB"/>
        </w:rPr>
        <w:lastRenderedPageBreak/>
        <w:t>For patients expected to be on prolonged treatment or who take PPIs with digoxin or medicinal products that may cause hypomagnesaemia (e.g. diuretics), health care professionals should consider measuring magnesium levels before starting PPI treatment and periodically during treatment.</w:t>
      </w:r>
    </w:p>
    <w:p w14:paraId="584156D5" w14:textId="3CFD1B36" w:rsidR="00EA0647" w:rsidRPr="00D6273D" w:rsidRDefault="00EA0647" w:rsidP="00AF4AC6">
      <w:pPr>
        <w:ind w:left="851"/>
        <w:rPr>
          <w:bCs/>
          <w:sz w:val="24"/>
          <w:szCs w:val="24"/>
          <w:lang w:val="en-GB"/>
        </w:rPr>
      </w:pPr>
    </w:p>
    <w:p w14:paraId="5DAD0264" w14:textId="77777777" w:rsidR="00EA0647" w:rsidRPr="00D6273D" w:rsidRDefault="00EA0647" w:rsidP="00AF4AC6">
      <w:pPr>
        <w:ind w:left="851"/>
        <w:rPr>
          <w:sz w:val="24"/>
          <w:szCs w:val="24"/>
          <w:u w:val="single"/>
          <w:lang w:val="en-GB"/>
        </w:rPr>
      </w:pPr>
      <w:r w:rsidRPr="00D6273D">
        <w:rPr>
          <w:sz w:val="24"/>
          <w:szCs w:val="24"/>
          <w:u w:val="single"/>
          <w:lang w:val="en-GB"/>
        </w:rPr>
        <w:t>Bone fractures</w:t>
      </w:r>
    </w:p>
    <w:p w14:paraId="5141AE70" w14:textId="63B6B168" w:rsidR="00EA0647" w:rsidRPr="00AF4AC6" w:rsidRDefault="00EA0647" w:rsidP="00AF4AC6">
      <w:pPr>
        <w:ind w:left="851"/>
        <w:rPr>
          <w:sz w:val="24"/>
          <w:szCs w:val="24"/>
          <w:lang w:val="en-GB"/>
        </w:rPr>
      </w:pPr>
      <w:r w:rsidRPr="00AF4AC6">
        <w:rPr>
          <w:sz w:val="24"/>
          <w:szCs w:val="24"/>
          <w:lang w:val="en-GB"/>
        </w:rPr>
        <w:t>Proton pump inhibitors, especially if used in high doses and over long durations (&gt; 1 year), may modestly increase the risk of hip, wrist and spine fracture, predominantly in the elderly or in the presence of other recognised risk factors. Observational studies suggest that proton pump inhibitors may increase the overall risk of fracture by 10–40%. Some of this increase may be due to other risk factors.  Patients at risk of osteoporosis should receive care according to current clinical guidelines and they should have an adequate intake of vitamin D and calcium.</w:t>
      </w:r>
    </w:p>
    <w:p w14:paraId="5FCDDF0B" w14:textId="77777777" w:rsidR="00EA0647" w:rsidRPr="00D6273D" w:rsidRDefault="00EA0647" w:rsidP="00AF4AC6">
      <w:pPr>
        <w:ind w:left="851"/>
        <w:rPr>
          <w:bCs/>
          <w:sz w:val="24"/>
          <w:szCs w:val="24"/>
          <w:u w:val="single"/>
          <w:lang w:val="en-GB"/>
        </w:rPr>
      </w:pPr>
      <w:r w:rsidRPr="00D6273D">
        <w:rPr>
          <w:bCs/>
          <w:sz w:val="24"/>
          <w:szCs w:val="24"/>
          <w:u w:val="single"/>
          <w:lang w:val="en-GB"/>
        </w:rPr>
        <w:t xml:space="preserve"> </w:t>
      </w:r>
    </w:p>
    <w:p w14:paraId="77F29976" w14:textId="77777777" w:rsidR="00EA0647" w:rsidRPr="00D6273D" w:rsidRDefault="00EA0647" w:rsidP="00AF4AC6">
      <w:pPr>
        <w:ind w:left="851"/>
        <w:rPr>
          <w:sz w:val="24"/>
          <w:szCs w:val="24"/>
          <w:u w:val="single"/>
          <w:lang w:val="en-GB"/>
        </w:rPr>
      </w:pPr>
      <w:r w:rsidRPr="00D6273D">
        <w:rPr>
          <w:sz w:val="24"/>
          <w:szCs w:val="24"/>
          <w:u w:val="single"/>
          <w:lang w:val="en-GB"/>
        </w:rPr>
        <w:t xml:space="preserve">Severe cutaneous adverse reactions (SCARs)  </w:t>
      </w:r>
    </w:p>
    <w:p w14:paraId="30F6365C" w14:textId="5509CB8B" w:rsidR="00EA0647" w:rsidRPr="00AF4AC6" w:rsidRDefault="00EA0647" w:rsidP="00AF4AC6">
      <w:pPr>
        <w:ind w:left="851"/>
        <w:rPr>
          <w:sz w:val="24"/>
          <w:szCs w:val="24"/>
          <w:lang w:val="en-GB"/>
        </w:rPr>
      </w:pPr>
      <w:r w:rsidRPr="00AF4AC6">
        <w:rPr>
          <w:sz w:val="24"/>
          <w:szCs w:val="24"/>
          <w:lang w:val="en-GB"/>
        </w:rPr>
        <w:t>Severe cutaneous adverse reactions (SCARs) including erythema multiforme, Stevens-Johnson syndrome (SJS), toxic epidermal necrolysis (TEN) and drug reaction with eosinophilia and systemic symptoms (DRESS) which can be life-threatening or fatal, have been reported in association with pantoprazole with frequency not known (see section 4.8). At the time of prescription, patients should be advised of the signs and symptoms and monitored closely for skin reactions.  If signs and symptoms suggestive of these reactions appear, pantoprazole should be withdrawn immediately and an alternative treatment considered</w:t>
      </w:r>
      <w:r w:rsidR="00D6273D">
        <w:rPr>
          <w:sz w:val="24"/>
          <w:szCs w:val="24"/>
          <w:lang w:val="en-GB"/>
        </w:rPr>
        <w:t>.</w:t>
      </w:r>
    </w:p>
    <w:p w14:paraId="70902FE0" w14:textId="77777777" w:rsidR="00EA0647" w:rsidRPr="00AF4AC6" w:rsidRDefault="00EA0647" w:rsidP="00AF4AC6">
      <w:pPr>
        <w:ind w:left="851"/>
        <w:rPr>
          <w:sz w:val="24"/>
          <w:szCs w:val="24"/>
          <w:lang w:val="en-GB"/>
        </w:rPr>
      </w:pPr>
    </w:p>
    <w:p w14:paraId="66899703" w14:textId="77777777" w:rsidR="00EA0647" w:rsidRPr="00D6273D" w:rsidRDefault="00EA0647" w:rsidP="00AF4AC6">
      <w:pPr>
        <w:ind w:left="851"/>
        <w:rPr>
          <w:sz w:val="24"/>
          <w:szCs w:val="24"/>
          <w:u w:val="single"/>
          <w:lang w:val="en-GB"/>
        </w:rPr>
      </w:pPr>
      <w:r w:rsidRPr="00D6273D">
        <w:rPr>
          <w:sz w:val="24"/>
          <w:szCs w:val="24"/>
          <w:u w:val="single"/>
          <w:lang w:val="en-GB"/>
        </w:rPr>
        <w:t>Subacute cutaneous lupus erythematosus (SCLE)</w:t>
      </w:r>
    </w:p>
    <w:p w14:paraId="47734AFF" w14:textId="61D8E529" w:rsidR="00EA0647" w:rsidRPr="00AF4AC6" w:rsidRDefault="00EA0647" w:rsidP="00AF4AC6">
      <w:pPr>
        <w:ind w:left="851"/>
        <w:rPr>
          <w:sz w:val="24"/>
          <w:szCs w:val="24"/>
          <w:lang w:val="en-GB"/>
        </w:rPr>
      </w:pPr>
      <w:r w:rsidRPr="00AF4AC6">
        <w:rPr>
          <w:sz w:val="24"/>
          <w:szCs w:val="24"/>
          <w:lang w:val="en-GB"/>
        </w:rPr>
        <w:t xml:space="preserve">Proton pump inhibitors are associated with very infrequent cases of SCLE. If lesions occur, especially in sun exposed areas of the skin, and if accompanied by arthralgia, the patient should seek medical help promptly and the healthcare professional should consider stopping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SCLE after previous treatment with a proton pump inhibitor may increase the risk of SCLE with other proton pump inhibitors.</w:t>
      </w:r>
    </w:p>
    <w:p w14:paraId="2D10EA9C" w14:textId="77777777" w:rsidR="00EA0647" w:rsidRPr="00AF4AC6" w:rsidRDefault="00EA0647" w:rsidP="00AF4AC6">
      <w:pPr>
        <w:ind w:left="851"/>
        <w:rPr>
          <w:sz w:val="24"/>
          <w:szCs w:val="24"/>
          <w:lang w:val="en-GB"/>
        </w:rPr>
      </w:pPr>
      <w:r w:rsidRPr="00AF4AC6">
        <w:rPr>
          <w:b/>
          <w:bCs/>
          <w:sz w:val="24"/>
          <w:szCs w:val="24"/>
          <w:lang w:val="en-GB"/>
        </w:rPr>
        <w:t xml:space="preserve"> </w:t>
      </w:r>
    </w:p>
    <w:p w14:paraId="7D053191" w14:textId="77777777" w:rsidR="00EA0647" w:rsidRPr="00D6273D" w:rsidRDefault="00EA0647" w:rsidP="00AF4AC6">
      <w:pPr>
        <w:ind w:left="851"/>
        <w:rPr>
          <w:sz w:val="24"/>
          <w:szCs w:val="24"/>
          <w:u w:val="single"/>
          <w:lang w:val="en-GB"/>
        </w:rPr>
      </w:pPr>
      <w:r w:rsidRPr="00D6273D">
        <w:rPr>
          <w:sz w:val="24"/>
          <w:szCs w:val="24"/>
          <w:u w:val="single"/>
          <w:lang w:val="en-GB"/>
        </w:rPr>
        <w:t>Interference with laboratory tests</w:t>
      </w:r>
    </w:p>
    <w:p w14:paraId="4B4B9225" w14:textId="15C646F1" w:rsidR="00EA0647" w:rsidRPr="00AF4AC6" w:rsidRDefault="00EA0647" w:rsidP="00AF4AC6">
      <w:pPr>
        <w:ind w:left="851"/>
        <w:rPr>
          <w:sz w:val="24"/>
          <w:szCs w:val="24"/>
          <w:lang w:val="en-GB"/>
        </w:rPr>
      </w:pPr>
      <w:r w:rsidRPr="00AF4AC6">
        <w:rPr>
          <w:sz w:val="24"/>
          <w:szCs w:val="24"/>
          <w:lang w:val="en-GB"/>
        </w:rPr>
        <w:t>Increased Chromogranin A (</w:t>
      </w:r>
      <w:proofErr w:type="spellStart"/>
      <w:r w:rsidRPr="00AF4AC6">
        <w:rPr>
          <w:sz w:val="24"/>
          <w:szCs w:val="24"/>
          <w:lang w:val="en-GB"/>
        </w:rPr>
        <w:t>CgA</w:t>
      </w:r>
      <w:proofErr w:type="spellEnd"/>
      <w:r w:rsidRPr="00AF4AC6">
        <w:rPr>
          <w:sz w:val="24"/>
          <w:szCs w:val="24"/>
          <w:lang w:val="en-GB"/>
        </w:rPr>
        <w:t xml:space="preserve">) level may interfere with investigations for neuroendocrine tumours. To avoid this interference,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treatment should be stopped for at least 5 days before </w:t>
      </w:r>
      <w:proofErr w:type="spellStart"/>
      <w:r w:rsidRPr="00AF4AC6">
        <w:rPr>
          <w:sz w:val="24"/>
          <w:szCs w:val="24"/>
          <w:lang w:val="en-GB"/>
        </w:rPr>
        <w:t>CgA</w:t>
      </w:r>
      <w:proofErr w:type="spellEnd"/>
      <w:r w:rsidRPr="00AF4AC6">
        <w:rPr>
          <w:sz w:val="24"/>
          <w:szCs w:val="24"/>
          <w:lang w:val="en-GB"/>
        </w:rPr>
        <w:t xml:space="preserve"> measurements (see section 5.1). If </w:t>
      </w:r>
      <w:proofErr w:type="spellStart"/>
      <w:r w:rsidRPr="00AF4AC6">
        <w:rPr>
          <w:sz w:val="24"/>
          <w:szCs w:val="24"/>
          <w:lang w:val="en-GB"/>
        </w:rPr>
        <w:t>CgA</w:t>
      </w:r>
      <w:proofErr w:type="spellEnd"/>
      <w:r w:rsidRPr="00AF4AC6">
        <w:rPr>
          <w:sz w:val="24"/>
          <w:szCs w:val="24"/>
          <w:lang w:val="en-GB"/>
        </w:rPr>
        <w:t xml:space="preserve"> and gastrin levels have not returned to reference range after initial measurement, measurements should be repeated 14 days after cessation of proton pump inhibitor treatment.</w:t>
      </w:r>
    </w:p>
    <w:p w14:paraId="2D3262B2" w14:textId="77777777" w:rsidR="00EA0647" w:rsidRPr="00AF4AC6" w:rsidRDefault="00EA0647" w:rsidP="00AF4AC6">
      <w:pPr>
        <w:ind w:left="851"/>
        <w:rPr>
          <w:sz w:val="24"/>
          <w:szCs w:val="24"/>
          <w:lang w:val="en-GB"/>
        </w:rPr>
      </w:pPr>
    </w:p>
    <w:p w14:paraId="0101048F" w14:textId="6F9ADC2B" w:rsidR="00EA0647" w:rsidRPr="00D6273D" w:rsidRDefault="00AF4AC6" w:rsidP="00AF4AC6">
      <w:pPr>
        <w:ind w:left="851"/>
        <w:rPr>
          <w:sz w:val="24"/>
          <w:szCs w:val="24"/>
          <w:u w:val="single"/>
          <w:lang w:val="en-GB"/>
        </w:rPr>
      </w:pPr>
      <w:proofErr w:type="spellStart"/>
      <w:r w:rsidRPr="00D6273D">
        <w:rPr>
          <w:sz w:val="24"/>
          <w:szCs w:val="24"/>
          <w:u w:val="single"/>
          <w:lang w:val="en-GB"/>
        </w:rPr>
        <w:t>Pantoprazol</w:t>
      </w:r>
      <w:proofErr w:type="spellEnd"/>
      <w:r w:rsidRPr="00D6273D">
        <w:rPr>
          <w:sz w:val="24"/>
          <w:szCs w:val="24"/>
          <w:u w:val="single"/>
          <w:lang w:val="en-GB"/>
        </w:rPr>
        <w:t xml:space="preserve"> "</w:t>
      </w:r>
      <w:proofErr w:type="spellStart"/>
      <w:r w:rsidRPr="00D6273D">
        <w:rPr>
          <w:sz w:val="24"/>
          <w:szCs w:val="24"/>
          <w:u w:val="single"/>
          <w:lang w:val="en-GB"/>
        </w:rPr>
        <w:t>Opko</w:t>
      </w:r>
      <w:proofErr w:type="spellEnd"/>
      <w:r w:rsidRPr="00D6273D">
        <w:rPr>
          <w:sz w:val="24"/>
          <w:szCs w:val="24"/>
          <w:u w:val="single"/>
          <w:lang w:val="en-GB"/>
        </w:rPr>
        <w:t>"</w:t>
      </w:r>
      <w:r w:rsidR="00EA0647" w:rsidRPr="00D6273D">
        <w:rPr>
          <w:sz w:val="24"/>
          <w:szCs w:val="24"/>
          <w:u w:val="single"/>
          <w:lang w:val="en-GB"/>
        </w:rPr>
        <w:t xml:space="preserve"> contains sodium and propylene glycol</w:t>
      </w:r>
    </w:p>
    <w:p w14:paraId="1F1896C7" w14:textId="77777777" w:rsidR="00EA0647" w:rsidRPr="00AF4AC6" w:rsidRDefault="00EA0647" w:rsidP="00AF4AC6">
      <w:pPr>
        <w:ind w:left="851"/>
        <w:rPr>
          <w:sz w:val="24"/>
          <w:szCs w:val="24"/>
          <w:lang w:val="en-GB"/>
        </w:rPr>
      </w:pPr>
      <w:r w:rsidRPr="00AF4AC6">
        <w:rPr>
          <w:sz w:val="24"/>
          <w:szCs w:val="24"/>
          <w:lang w:val="en-GB"/>
        </w:rPr>
        <w:t>This medicinal product contains less than 1 mmol sodium (23 mg) per tablet, that is to say essentially 'sodium</w:t>
      </w:r>
      <w:r w:rsidRPr="00AF4AC6">
        <w:rPr>
          <w:sz w:val="24"/>
          <w:szCs w:val="24"/>
          <w:lang w:val="en-GB"/>
        </w:rPr>
        <w:noBreakHyphen/>
        <w:t>free'.</w:t>
      </w:r>
    </w:p>
    <w:p w14:paraId="0D5D05F2" w14:textId="77777777" w:rsidR="00EA0647" w:rsidRPr="00AF4AC6" w:rsidRDefault="00EA0647" w:rsidP="00AF4AC6">
      <w:pPr>
        <w:ind w:left="851"/>
        <w:rPr>
          <w:sz w:val="24"/>
          <w:szCs w:val="24"/>
          <w:lang w:val="en-GB"/>
        </w:rPr>
      </w:pPr>
      <w:r w:rsidRPr="00AF4AC6">
        <w:rPr>
          <w:sz w:val="24"/>
          <w:szCs w:val="24"/>
          <w:lang w:val="en-GB"/>
        </w:rPr>
        <w:t>This medicinal product contains 3.72 mg propylene glycol in each gastro-resistant tablet.</w:t>
      </w:r>
    </w:p>
    <w:p w14:paraId="268BD722" w14:textId="77777777" w:rsidR="007C5D2A" w:rsidRPr="00AF4AC6" w:rsidRDefault="007C5D2A" w:rsidP="003E0341">
      <w:pPr>
        <w:tabs>
          <w:tab w:val="left" w:pos="851"/>
        </w:tabs>
        <w:ind w:left="851"/>
        <w:rPr>
          <w:sz w:val="24"/>
          <w:szCs w:val="24"/>
          <w:lang w:val="en-GB"/>
        </w:rPr>
      </w:pPr>
    </w:p>
    <w:p w14:paraId="5DC90446" w14:textId="77777777" w:rsidR="007C5D2A" w:rsidRPr="00AF4AC6" w:rsidRDefault="007C5D2A" w:rsidP="007C5D2A">
      <w:pPr>
        <w:ind w:left="851" w:hanging="851"/>
        <w:rPr>
          <w:b/>
          <w:sz w:val="24"/>
          <w:szCs w:val="24"/>
          <w:lang w:val="en-GB"/>
        </w:rPr>
      </w:pPr>
      <w:r w:rsidRPr="00AF4AC6">
        <w:rPr>
          <w:b/>
          <w:sz w:val="24"/>
          <w:szCs w:val="24"/>
          <w:lang w:val="en-GB"/>
        </w:rPr>
        <w:t>4.5</w:t>
      </w:r>
      <w:r w:rsidRPr="00AF4AC6">
        <w:rPr>
          <w:b/>
          <w:sz w:val="24"/>
          <w:szCs w:val="24"/>
          <w:lang w:val="en-GB"/>
        </w:rPr>
        <w:tab/>
        <w:t>Interaction with other medicinal products and other forms of interaction</w:t>
      </w:r>
    </w:p>
    <w:p w14:paraId="6E93418E" w14:textId="77777777" w:rsidR="00D6273D" w:rsidRDefault="00D6273D" w:rsidP="00AF4AC6">
      <w:pPr>
        <w:ind w:left="851"/>
        <w:rPr>
          <w:sz w:val="24"/>
          <w:szCs w:val="24"/>
          <w:lang w:val="en-GB"/>
        </w:rPr>
      </w:pPr>
    </w:p>
    <w:p w14:paraId="4CAD6AF3" w14:textId="73D28708" w:rsidR="00EA0647" w:rsidRPr="00D6273D" w:rsidRDefault="00EA0647" w:rsidP="00AF4AC6">
      <w:pPr>
        <w:ind w:left="851"/>
        <w:rPr>
          <w:sz w:val="24"/>
          <w:szCs w:val="24"/>
          <w:u w:val="single"/>
          <w:lang w:val="en-GB"/>
        </w:rPr>
      </w:pPr>
      <w:r w:rsidRPr="00D6273D">
        <w:rPr>
          <w:sz w:val="24"/>
          <w:szCs w:val="24"/>
          <w:u w:val="single"/>
          <w:lang w:val="en-GB"/>
        </w:rPr>
        <w:t>Medicinal products with pH-dependent absorption pharmacokinetics</w:t>
      </w:r>
    </w:p>
    <w:p w14:paraId="33ECC7FE" w14:textId="77777777" w:rsidR="00EA0647" w:rsidRPr="00AF4AC6" w:rsidRDefault="00EA0647" w:rsidP="00AF4AC6">
      <w:pPr>
        <w:ind w:left="851"/>
        <w:rPr>
          <w:sz w:val="24"/>
          <w:szCs w:val="24"/>
          <w:lang w:val="en-GB"/>
        </w:rPr>
      </w:pPr>
      <w:r w:rsidRPr="00AF4AC6">
        <w:rPr>
          <w:sz w:val="24"/>
          <w:szCs w:val="24"/>
          <w:lang w:val="en-GB"/>
        </w:rPr>
        <w:t xml:space="preserve">Because of profound and long-lasting inhibition of gastric acid secretion, pantoprazole may interfere with the absorption of medicinal products where gastric pH is an important determinant of oral bioavailability, e.g. some azole antifungals such as ketoconazole, itraconazole, </w:t>
      </w:r>
      <w:proofErr w:type="spellStart"/>
      <w:r w:rsidRPr="00AF4AC6">
        <w:rPr>
          <w:sz w:val="24"/>
          <w:szCs w:val="24"/>
          <w:lang w:val="en-GB"/>
        </w:rPr>
        <w:t>posaconazole</w:t>
      </w:r>
      <w:proofErr w:type="spellEnd"/>
      <w:r w:rsidRPr="00AF4AC6">
        <w:rPr>
          <w:sz w:val="24"/>
          <w:szCs w:val="24"/>
          <w:lang w:val="en-GB"/>
        </w:rPr>
        <w:t xml:space="preserve"> and other medicines such as erlotinib.</w:t>
      </w:r>
    </w:p>
    <w:p w14:paraId="1DC11B57" w14:textId="77777777" w:rsidR="00EA0647" w:rsidRPr="00AF4AC6" w:rsidRDefault="00EA0647" w:rsidP="00AF4AC6">
      <w:pPr>
        <w:ind w:left="851"/>
        <w:rPr>
          <w:sz w:val="24"/>
          <w:szCs w:val="24"/>
          <w:lang w:val="en-GB"/>
        </w:rPr>
      </w:pPr>
    </w:p>
    <w:p w14:paraId="144297B3" w14:textId="77777777" w:rsidR="00EA0647" w:rsidRPr="00D6273D" w:rsidRDefault="00EA0647" w:rsidP="00AF4AC6">
      <w:pPr>
        <w:ind w:left="851"/>
        <w:rPr>
          <w:sz w:val="24"/>
          <w:szCs w:val="24"/>
          <w:u w:val="single"/>
          <w:lang w:val="en-GB"/>
        </w:rPr>
      </w:pPr>
      <w:r w:rsidRPr="00D6273D">
        <w:rPr>
          <w:sz w:val="24"/>
          <w:szCs w:val="24"/>
          <w:u w:val="single"/>
          <w:lang w:val="en-GB"/>
        </w:rPr>
        <w:lastRenderedPageBreak/>
        <w:t>HIV protease inhibitors</w:t>
      </w:r>
    </w:p>
    <w:p w14:paraId="59C25F41" w14:textId="77777777" w:rsidR="00EA0647" w:rsidRPr="00AF4AC6" w:rsidRDefault="00EA0647" w:rsidP="00AF4AC6">
      <w:pPr>
        <w:ind w:left="851"/>
        <w:rPr>
          <w:sz w:val="24"/>
          <w:szCs w:val="24"/>
          <w:lang w:val="en-GB"/>
        </w:rPr>
      </w:pPr>
      <w:r w:rsidRPr="00AF4AC6">
        <w:rPr>
          <w:sz w:val="24"/>
          <w:szCs w:val="24"/>
          <w:lang w:val="en-GB"/>
        </w:rPr>
        <w:t xml:space="preserve">Co-administration of pantoprazole is not recommended with HIV protease inhibitors for which absorption is dependent on acidic intragastric pH such as atazanavir due to significant reduction in their bioavailability (see section 4.4). </w:t>
      </w:r>
    </w:p>
    <w:p w14:paraId="10CD276B" w14:textId="77777777" w:rsidR="00EA0647" w:rsidRPr="00AF4AC6" w:rsidRDefault="00EA0647" w:rsidP="00AF4AC6">
      <w:pPr>
        <w:ind w:left="851"/>
        <w:rPr>
          <w:sz w:val="24"/>
          <w:szCs w:val="24"/>
          <w:lang w:val="en-GB"/>
        </w:rPr>
      </w:pPr>
      <w:r w:rsidRPr="00AF4AC6">
        <w:rPr>
          <w:sz w:val="24"/>
          <w:szCs w:val="24"/>
          <w:lang w:val="en-GB"/>
        </w:rPr>
        <w:t>If the combination of HIV protease inhibitors with a proton pump inhibitor is judged unavoidable, close clinical monitoring (</w:t>
      </w:r>
      <w:proofErr w:type="spellStart"/>
      <w:r w:rsidRPr="00AF4AC6">
        <w:rPr>
          <w:sz w:val="24"/>
          <w:szCs w:val="24"/>
          <w:lang w:val="en-GB"/>
        </w:rPr>
        <w:t>e.g</w:t>
      </w:r>
      <w:proofErr w:type="spellEnd"/>
      <w:r w:rsidRPr="00AF4AC6">
        <w:rPr>
          <w:sz w:val="24"/>
          <w:szCs w:val="24"/>
          <w:lang w:val="en-GB"/>
        </w:rPr>
        <w:t xml:space="preserve"> virus load) is recommended. A pantoprazole dose of 20 mg per day should not be exceeded. Dosage of the HIV protease inhibitor may need to be adjusted. </w:t>
      </w:r>
    </w:p>
    <w:p w14:paraId="296DEF71" w14:textId="77777777" w:rsidR="00EA0647" w:rsidRPr="00AF4AC6" w:rsidRDefault="00EA0647" w:rsidP="00AF4AC6">
      <w:pPr>
        <w:ind w:left="851"/>
        <w:rPr>
          <w:sz w:val="24"/>
          <w:szCs w:val="24"/>
          <w:lang w:val="en-GB"/>
        </w:rPr>
      </w:pPr>
    </w:p>
    <w:p w14:paraId="79878509" w14:textId="77777777" w:rsidR="00EA0647" w:rsidRPr="00D6273D" w:rsidRDefault="00EA0647" w:rsidP="00AF4AC6">
      <w:pPr>
        <w:ind w:left="851"/>
        <w:rPr>
          <w:sz w:val="24"/>
          <w:szCs w:val="24"/>
          <w:u w:val="single"/>
          <w:lang w:val="en-GB"/>
        </w:rPr>
      </w:pPr>
      <w:r w:rsidRPr="00D6273D">
        <w:rPr>
          <w:sz w:val="24"/>
          <w:szCs w:val="24"/>
          <w:u w:val="single"/>
          <w:lang w:val="en-GB"/>
        </w:rPr>
        <w:t>Coumarin anticoagulants (</w:t>
      </w:r>
      <w:proofErr w:type="spellStart"/>
      <w:r w:rsidRPr="00D6273D">
        <w:rPr>
          <w:sz w:val="24"/>
          <w:szCs w:val="24"/>
          <w:u w:val="single"/>
          <w:lang w:val="en-GB"/>
        </w:rPr>
        <w:t>phenprocoumon</w:t>
      </w:r>
      <w:proofErr w:type="spellEnd"/>
      <w:r w:rsidRPr="00D6273D">
        <w:rPr>
          <w:sz w:val="24"/>
          <w:szCs w:val="24"/>
          <w:u w:val="single"/>
          <w:lang w:val="en-GB"/>
        </w:rPr>
        <w:t xml:space="preserve"> or warfarin)</w:t>
      </w:r>
    </w:p>
    <w:p w14:paraId="5F0792F1" w14:textId="77777777" w:rsidR="00EA0647" w:rsidRPr="00AF4AC6" w:rsidRDefault="00EA0647" w:rsidP="00AF4AC6">
      <w:pPr>
        <w:ind w:left="851"/>
        <w:rPr>
          <w:sz w:val="24"/>
          <w:szCs w:val="24"/>
          <w:lang w:val="en-GB"/>
        </w:rPr>
      </w:pPr>
      <w:r w:rsidRPr="00AF4AC6">
        <w:rPr>
          <w:sz w:val="24"/>
          <w:szCs w:val="24"/>
          <w:lang w:val="en-GB"/>
        </w:rPr>
        <w:t xml:space="preserve">Co-administration of pantoprazole with warfarin or </w:t>
      </w:r>
      <w:proofErr w:type="spellStart"/>
      <w:r w:rsidRPr="00AF4AC6">
        <w:rPr>
          <w:sz w:val="24"/>
          <w:szCs w:val="24"/>
          <w:lang w:val="en-GB"/>
        </w:rPr>
        <w:t>phenprocoumon</w:t>
      </w:r>
      <w:proofErr w:type="spellEnd"/>
      <w:r w:rsidRPr="00AF4AC6">
        <w:rPr>
          <w:sz w:val="24"/>
          <w:szCs w:val="24"/>
          <w:lang w:val="en-GB"/>
        </w:rPr>
        <w:t xml:space="preserve"> did not affect the pharmacokinetics of warfarin, </w:t>
      </w:r>
      <w:proofErr w:type="spellStart"/>
      <w:r w:rsidRPr="00AF4AC6">
        <w:rPr>
          <w:sz w:val="24"/>
          <w:szCs w:val="24"/>
          <w:lang w:val="en-GB"/>
        </w:rPr>
        <w:t>phenprocoumon</w:t>
      </w:r>
      <w:proofErr w:type="spellEnd"/>
      <w:r w:rsidRPr="00AF4AC6">
        <w:rPr>
          <w:sz w:val="24"/>
          <w:szCs w:val="24"/>
          <w:lang w:val="en-GB"/>
        </w:rPr>
        <w:t xml:space="preserve"> or INR. However, there have been reports of increased INR and prothrombin time in patients receiving PPIs and warfarin or </w:t>
      </w:r>
      <w:proofErr w:type="spellStart"/>
      <w:r w:rsidRPr="00AF4AC6">
        <w:rPr>
          <w:sz w:val="24"/>
          <w:szCs w:val="24"/>
          <w:lang w:val="en-GB"/>
        </w:rPr>
        <w:t>phenprocoumon</w:t>
      </w:r>
      <w:proofErr w:type="spellEnd"/>
      <w:r w:rsidRPr="00AF4AC6">
        <w:rPr>
          <w:sz w:val="24"/>
          <w:szCs w:val="24"/>
          <w:lang w:val="en-GB"/>
        </w:rPr>
        <w:t xml:space="preserve"> concomitantly. Increases in INR and prothrombin time may lead to abnormal bleeding, and even death. Patients treated with pantoprazole and warfarin or </w:t>
      </w:r>
      <w:proofErr w:type="spellStart"/>
      <w:r w:rsidRPr="00AF4AC6">
        <w:rPr>
          <w:sz w:val="24"/>
          <w:szCs w:val="24"/>
          <w:lang w:val="en-GB"/>
        </w:rPr>
        <w:t>phenprocoumon</w:t>
      </w:r>
      <w:proofErr w:type="spellEnd"/>
      <w:r w:rsidRPr="00AF4AC6">
        <w:rPr>
          <w:sz w:val="24"/>
          <w:szCs w:val="24"/>
          <w:lang w:val="en-GB"/>
        </w:rPr>
        <w:t xml:space="preserve"> may need to be monitored for increase in INR and prothrombin time.</w:t>
      </w:r>
    </w:p>
    <w:p w14:paraId="409D1E50" w14:textId="77777777" w:rsidR="00EA0647" w:rsidRPr="00AF4AC6" w:rsidRDefault="00EA0647" w:rsidP="00AF4AC6">
      <w:pPr>
        <w:ind w:left="851"/>
        <w:rPr>
          <w:sz w:val="24"/>
          <w:szCs w:val="24"/>
          <w:lang w:val="en-GB"/>
        </w:rPr>
      </w:pPr>
    </w:p>
    <w:p w14:paraId="66A0B914" w14:textId="2246C3F9" w:rsidR="00EA0647" w:rsidRPr="00D6273D" w:rsidRDefault="00EA0647" w:rsidP="00AF4AC6">
      <w:pPr>
        <w:ind w:left="851"/>
        <w:rPr>
          <w:sz w:val="24"/>
          <w:szCs w:val="24"/>
          <w:u w:val="single"/>
          <w:lang w:val="en-GB"/>
        </w:rPr>
      </w:pPr>
      <w:r w:rsidRPr="00D6273D">
        <w:rPr>
          <w:sz w:val="24"/>
          <w:szCs w:val="24"/>
          <w:u w:val="single"/>
          <w:lang w:val="en-GB"/>
        </w:rPr>
        <w:t>Methotrexate</w:t>
      </w:r>
    </w:p>
    <w:p w14:paraId="3EE92230" w14:textId="72C0D21F" w:rsidR="00EA0647" w:rsidRPr="00AF4AC6" w:rsidRDefault="00EA0647" w:rsidP="00AF4AC6">
      <w:pPr>
        <w:ind w:left="851"/>
        <w:rPr>
          <w:sz w:val="24"/>
          <w:szCs w:val="24"/>
          <w:lang w:val="en-GB"/>
        </w:rPr>
      </w:pPr>
      <w:r w:rsidRPr="00AF4AC6">
        <w:rPr>
          <w:sz w:val="24"/>
          <w:szCs w:val="24"/>
          <w:lang w:val="en-GB"/>
        </w:rPr>
        <w:t>Concomitant use of high-dose methotrexate (e.g. 300 mg) and proton-pump inhibitors has been reported to increase methotrexate levels in some patients. Therefore</w:t>
      </w:r>
      <w:r w:rsidR="00CB73DB">
        <w:rPr>
          <w:sz w:val="24"/>
          <w:szCs w:val="24"/>
          <w:lang w:val="en-GB"/>
        </w:rPr>
        <w:t>,</w:t>
      </w:r>
      <w:r w:rsidRPr="00AF4AC6">
        <w:rPr>
          <w:sz w:val="24"/>
          <w:szCs w:val="24"/>
          <w:lang w:val="en-GB"/>
        </w:rPr>
        <w:t xml:space="preserve"> in settings where high-dose methotrexate is used, for example cancer and psoriasis, a temporary withdrawal of pantoprazole may need to be considered.</w:t>
      </w:r>
    </w:p>
    <w:p w14:paraId="3880B4A0" w14:textId="77777777" w:rsidR="00D6273D" w:rsidRDefault="00D6273D" w:rsidP="00AF4AC6">
      <w:pPr>
        <w:ind w:left="851"/>
        <w:rPr>
          <w:sz w:val="24"/>
          <w:szCs w:val="24"/>
          <w:lang w:val="en-GB"/>
        </w:rPr>
      </w:pPr>
    </w:p>
    <w:p w14:paraId="10D150D3" w14:textId="0EA7053D" w:rsidR="00EA0647" w:rsidRPr="00D6273D" w:rsidRDefault="00EA0647" w:rsidP="00AF4AC6">
      <w:pPr>
        <w:ind w:left="851"/>
        <w:rPr>
          <w:sz w:val="24"/>
          <w:szCs w:val="24"/>
          <w:u w:val="single"/>
          <w:lang w:val="en-GB"/>
        </w:rPr>
      </w:pPr>
      <w:r w:rsidRPr="00D6273D">
        <w:rPr>
          <w:sz w:val="24"/>
          <w:szCs w:val="24"/>
          <w:u w:val="single"/>
          <w:lang w:val="en-GB"/>
        </w:rPr>
        <w:t>Other interactions studies</w:t>
      </w:r>
    </w:p>
    <w:p w14:paraId="491669C5" w14:textId="77777777" w:rsidR="00EA0647" w:rsidRPr="00AF4AC6" w:rsidRDefault="00EA0647" w:rsidP="00AF4AC6">
      <w:pPr>
        <w:ind w:left="851"/>
        <w:rPr>
          <w:sz w:val="24"/>
          <w:szCs w:val="24"/>
          <w:lang w:val="en-GB"/>
        </w:rPr>
      </w:pPr>
      <w:r w:rsidRPr="00AF4AC6">
        <w:rPr>
          <w:sz w:val="24"/>
          <w:szCs w:val="24"/>
          <w:lang w:val="en-GB"/>
        </w:rPr>
        <w:t>Pantoprazole is extensively metabolised in the liver via the cytochrome P450 enzyme system. The main metabolic pathway is demethylation by CYP2C19 and other metabolic pathways include oxidation by CYP3A4.</w:t>
      </w:r>
    </w:p>
    <w:p w14:paraId="0A8726A3" w14:textId="200510AC" w:rsidR="00EA0647" w:rsidRPr="00AF4AC6" w:rsidRDefault="00EA0647" w:rsidP="00AF4AC6">
      <w:pPr>
        <w:ind w:left="851"/>
        <w:rPr>
          <w:sz w:val="24"/>
          <w:szCs w:val="24"/>
          <w:lang w:val="en-GB"/>
        </w:rPr>
      </w:pPr>
      <w:r w:rsidRPr="00AF4AC6">
        <w:rPr>
          <w:sz w:val="24"/>
          <w:szCs w:val="24"/>
          <w:lang w:val="en-GB"/>
        </w:rPr>
        <w:t xml:space="preserve">Interaction studies with medicinal products also metabolised with these pathways, like carbamazepine, diazepam, </w:t>
      </w:r>
      <w:proofErr w:type="spellStart"/>
      <w:r w:rsidRPr="00AF4AC6">
        <w:rPr>
          <w:sz w:val="24"/>
          <w:szCs w:val="24"/>
          <w:lang w:val="en-GB"/>
        </w:rPr>
        <w:t>glibenclamide</w:t>
      </w:r>
      <w:proofErr w:type="spellEnd"/>
      <w:r w:rsidRPr="00AF4AC6">
        <w:rPr>
          <w:sz w:val="24"/>
          <w:szCs w:val="24"/>
          <w:lang w:val="en-GB"/>
        </w:rPr>
        <w:t>, nifedipine, and an oral contraceptive containing levonorgestrel and ethinyl oestradiol, did not reveal clinically significant interactions.</w:t>
      </w:r>
    </w:p>
    <w:p w14:paraId="7DE1E300" w14:textId="77777777" w:rsidR="00EA0647" w:rsidRPr="00AF4AC6" w:rsidRDefault="00EA0647" w:rsidP="00AF4AC6">
      <w:pPr>
        <w:ind w:left="851"/>
        <w:rPr>
          <w:sz w:val="24"/>
          <w:szCs w:val="24"/>
          <w:lang w:val="en-GB"/>
        </w:rPr>
      </w:pPr>
      <w:r w:rsidRPr="00AF4AC6">
        <w:rPr>
          <w:sz w:val="24"/>
          <w:szCs w:val="24"/>
          <w:lang w:val="en-GB"/>
        </w:rPr>
        <w:t>An interaction of pantoprazole with other medicinal products or compounds, which are metabolised using the same enzyme system, cannot be excluded.</w:t>
      </w:r>
    </w:p>
    <w:p w14:paraId="5DCE6225" w14:textId="77777777" w:rsidR="00EA0647" w:rsidRPr="00AF4AC6" w:rsidRDefault="00EA0647" w:rsidP="00AF4AC6">
      <w:pPr>
        <w:ind w:left="851"/>
        <w:rPr>
          <w:sz w:val="24"/>
          <w:szCs w:val="24"/>
          <w:lang w:val="en-GB"/>
        </w:rPr>
      </w:pPr>
      <w:r w:rsidRPr="00AF4AC6">
        <w:rPr>
          <w:sz w:val="24"/>
          <w:szCs w:val="24"/>
          <w:lang w:val="en-GB"/>
        </w:rPr>
        <w:t>Results from a range of interaction studies demonstrate that pantoprazole does not affect the metabolism of active substances metabolised by CYP1A2 (such as caffeine, theophylline), CYP2C9 (such as piroxicam, diclofenac, naproxen), CYP2D6 (such as metoprolol), CYP2E1 (such as ethanol), or does not interfere with p-glycoprotein related absorption of digoxin.</w:t>
      </w:r>
    </w:p>
    <w:p w14:paraId="51981C0D" w14:textId="267AFF3A" w:rsidR="00EA0647" w:rsidRPr="00D6273D" w:rsidRDefault="00EA0647" w:rsidP="00AF4AC6">
      <w:pPr>
        <w:ind w:left="851"/>
        <w:rPr>
          <w:sz w:val="24"/>
          <w:szCs w:val="24"/>
          <w:lang w:val="en-GB"/>
        </w:rPr>
      </w:pPr>
    </w:p>
    <w:p w14:paraId="1BF87A5D" w14:textId="579E2BCF" w:rsidR="00D6273D" w:rsidRDefault="00EA0647" w:rsidP="00AF4AC6">
      <w:pPr>
        <w:ind w:left="851"/>
        <w:rPr>
          <w:sz w:val="24"/>
          <w:szCs w:val="24"/>
          <w:lang w:val="en-GB"/>
        </w:rPr>
      </w:pPr>
      <w:r w:rsidRPr="00AF4AC6">
        <w:rPr>
          <w:sz w:val="24"/>
          <w:szCs w:val="24"/>
          <w:lang w:val="en-GB"/>
        </w:rPr>
        <w:t>There were no interactions with concomitantly administered antacids.</w:t>
      </w:r>
    </w:p>
    <w:p w14:paraId="65FAFA6B" w14:textId="3C9E3232" w:rsidR="00EA0647" w:rsidRPr="00AF4AC6" w:rsidRDefault="00EA0647" w:rsidP="00AF4AC6">
      <w:pPr>
        <w:ind w:left="851"/>
        <w:rPr>
          <w:sz w:val="24"/>
          <w:szCs w:val="24"/>
          <w:lang w:val="en-GB"/>
        </w:rPr>
      </w:pPr>
      <w:r w:rsidRPr="00AF4AC6">
        <w:rPr>
          <w:sz w:val="24"/>
          <w:szCs w:val="24"/>
          <w:lang w:val="en-GB"/>
        </w:rPr>
        <w:t>Interaction studies have also been performed by concomitantly administering pantoprazole with the respective antibiotics (clarithromycin, metronidazole, amoxicillin). No clinically relevant interactions were found.</w:t>
      </w:r>
    </w:p>
    <w:p w14:paraId="270F08E1" w14:textId="77777777" w:rsidR="00D6273D" w:rsidRDefault="00D6273D" w:rsidP="00AF4AC6">
      <w:pPr>
        <w:ind w:left="851"/>
        <w:rPr>
          <w:i/>
          <w:iCs/>
          <w:sz w:val="24"/>
          <w:szCs w:val="24"/>
          <w:lang w:val="en-GB"/>
        </w:rPr>
      </w:pPr>
    </w:p>
    <w:p w14:paraId="6865C5DE" w14:textId="6A0398EF" w:rsidR="00EA0647" w:rsidRPr="00AF4AC6" w:rsidRDefault="00EA0647" w:rsidP="00AF4AC6">
      <w:pPr>
        <w:ind w:left="851"/>
        <w:rPr>
          <w:b/>
          <w:bCs/>
          <w:i/>
          <w:iCs/>
          <w:sz w:val="24"/>
          <w:szCs w:val="24"/>
          <w:lang w:val="en-GB"/>
        </w:rPr>
      </w:pPr>
      <w:r w:rsidRPr="00AF4AC6">
        <w:rPr>
          <w:i/>
          <w:iCs/>
          <w:sz w:val="24"/>
          <w:szCs w:val="24"/>
          <w:lang w:val="en-GB"/>
        </w:rPr>
        <w:t>Medicinal products that inhibit or induce CYP2C19:</w:t>
      </w:r>
    </w:p>
    <w:p w14:paraId="2364BE2D" w14:textId="77777777" w:rsidR="00EA0647" w:rsidRPr="00AF4AC6" w:rsidRDefault="00EA0647" w:rsidP="00AF4AC6">
      <w:pPr>
        <w:ind w:left="851"/>
        <w:rPr>
          <w:b/>
          <w:bCs/>
          <w:sz w:val="24"/>
          <w:szCs w:val="24"/>
          <w:lang w:val="en-GB"/>
        </w:rPr>
      </w:pPr>
      <w:r w:rsidRPr="00AF4AC6">
        <w:rPr>
          <w:sz w:val="24"/>
          <w:szCs w:val="24"/>
          <w:lang w:val="en-GB"/>
        </w:rPr>
        <w:t xml:space="preserve">Inhibitors of CYP2C19 such as fluvoxamine could increase the systemic exposure of pantoprazole. A dose reduction may be considered for patients treated long-term with high doses of pantoprazole, or those with hepatic impairment. </w:t>
      </w:r>
    </w:p>
    <w:p w14:paraId="6AE086BB" w14:textId="77777777" w:rsidR="00EA0647" w:rsidRPr="00AF4AC6" w:rsidRDefault="00EA0647" w:rsidP="00AF4AC6">
      <w:pPr>
        <w:ind w:left="851"/>
        <w:rPr>
          <w:sz w:val="24"/>
          <w:szCs w:val="24"/>
          <w:lang w:val="en-GB"/>
        </w:rPr>
      </w:pPr>
      <w:r w:rsidRPr="00AF4AC6">
        <w:rPr>
          <w:sz w:val="24"/>
          <w:szCs w:val="24"/>
          <w:lang w:val="en-GB"/>
        </w:rPr>
        <w:t>Enzyme inducers affecting CYP2C19 and CYP3A4 such as rifampicin and St John´s wort (</w:t>
      </w:r>
      <w:r w:rsidRPr="00AF4AC6">
        <w:rPr>
          <w:i/>
          <w:iCs/>
          <w:sz w:val="24"/>
          <w:szCs w:val="24"/>
          <w:lang w:val="en-GB"/>
        </w:rPr>
        <w:t xml:space="preserve">Hypericum </w:t>
      </w:r>
      <w:proofErr w:type="spellStart"/>
      <w:r w:rsidRPr="00AF4AC6">
        <w:rPr>
          <w:i/>
          <w:iCs/>
          <w:sz w:val="24"/>
          <w:szCs w:val="24"/>
          <w:lang w:val="en-GB"/>
        </w:rPr>
        <w:t>perforatum</w:t>
      </w:r>
      <w:proofErr w:type="spellEnd"/>
      <w:r w:rsidRPr="00AF4AC6">
        <w:rPr>
          <w:sz w:val="24"/>
          <w:szCs w:val="24"/>
          <w:lang w:val="en-GB"/>
        </w:rPr>
        <w:t xml:space="preserve">) may reduce the plasma concentrations of PPIs that are metabolised through these enzyme systems. </w:t>
      </w:r>
    </w:p>
    <w:p w14:paraId="429DB197" w14:textId="77777777" w:rsidR="00EA0647" w:rsidRPr="00AF4AC6" w:rsidRDefault="00EA0647" w:rsidP="00AF4AC6">
      <w:pPr>
        <w:ind w:left="851"/>
        <w:rPr>
          <w:sz w:val="24"/>
          <w:szCs w:val="24"/>
          <w:lang w:val="en-GB"/>
        </w:rPr>
      </w:pPr>
    </w:p>
    <w:p w14:paraId="36B2B8DC" w14:textId="77777777" w:rsidR="00EA0647" w:rsidRPr="00D6273D" w:rsidRDefault="00EA0647" w:rsidP="00AF4AC6">
      <w:pPr>
        <w:ind w:left="851"/>
        <w:rPr>
          <w:sz w:val="24"/>
          <w:szCs w:val="24"/>
          <w:u w:val="single"/>
          <w:lang w:val="en-GB"/>
        </w:rPr>
      </w:pPr>
      <w:r w:rsidRPr="00D6273D">
        <w:rPr>
          <w:sz w:val="24"/>
          <w:szCs w:val="24"/>
          <w:u w:val="single"/>
          <w:lang w:val="en-GB"/>
        </w:rPr>
        <w:lastRenderedPageBreak/>
        <w:t xml:space="preserve">Drug-laboratory test interactions  </w:t>
      </w:r>
    </w:p>
    <w:p w14:paraId="016AA2F2" w14:textId="77777777" w:rsidR="00EA0647" w:rsidRPr="00AF4AC6" w:rsidRDefault="00EA0647" w:rsidP="00AF4AC6">
      <w:pPr>
        <w:ind w:left="851"/>
        <w:rPr>
          <w:sz w:val="24"/>
          <w:szCs w:val="24"/>
          <w:lang w:val="en-GB"/>
        </w:rPr>
      </w:pPr>
      <w:r w:rsidRPr="00AF4AC6">
        <w:rPr>
          <w:sz w:val="24"/>
          <w:szCs w:val="24"/>
          <w:lang w:val="en-GB"/>
        </w:rPr>
        <w:t>There have been reports of false-positive results in some urine screening tests for tetrahydrocannabinol (THC) in patients receiving pantoprazole. An alternative confirmatory method should be considered to verify positive results</w:t>
      </w:r>
    </w:p>
    <w:p w14:paraId="7140DC5B" w14:textId="77777777" w:rsidR="007C5D2A" w:rsidRPr="00AF4AC6" w:rsidRDefault="007C5D2A" w:rsidP="003E0341">
      <w:pPr>
        <w:tabs>
          <w:tab w:val="left" w:pos="851"/>
        </w:tabs>
        <w:ind w:left="851"/>
        <w:rPr>
          <w:sz w:val="24"/>
          <w:szCs w:val="24"/>
          <w:lang w:val="en-GB"/>
        </w:rPr>
      </w:pPr>
    </w:p>
    <w:p w14:paraId="60527D6D"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4.6</w:t>
      </w:r>
      <w:r w:rsidRPr="00AF4AC6">
        <w:rPr>
          <w:b/>
          <w:sz w:val="24"/>
          <w:szCs w:val="24"/>
          <w:lang w:val="en-GB"/>
        </w:rPr>
        <w:tab/>
      </w:r>
      <w:r w:rsidR="004860D3" w:rsidRPr="00AF4AC6">
        <w:rPr>
          <w:b/>
          <w:sz w:val="24"/>
          <w:szCs w:val="24"/>
          <w:lang w:val="en-GB"/>
        </w:rPr>
        <w:t>Fertility, p</w:t>
      </w:r>
      <w:r w:rsidRPr="00AF4AC6">
        <w:rPr>
          <w:b/>
          <w:sz w:val="24"/>
          <w:szCs w:val="24"/>
          <w:lang w:val="en-GB"/>
        </w:rPr>
        <w:t>regnancy and lactation</w:t>
      </w:r>
    </w:p>
    <w:p w14:paraId="1CF8FA97" w14:textId="77777777" w:rsidR="00D6273D" w:rsidRDefault="00D6273D" w:rsidP="00AF4AC6">
      <w:pPr>
        <w:ind w:left="851"/>
        <w:rPr>
          <w:sz w:val="24"/>
          <w:szCs w:val="24"/>
          <w:lang w:val="en-GB"/>
        </w:rPr>
      </w:pPr>
    </w:p>
    <w:p w14:paraId="3560D694" w14:textId="06D4637A" w:rsidR="00EA0647" w:rsidRPr="00D6273D" w:rsidRDefault="00EA0647" w:rsidP="00AF4AC6">
      <w:pPr>
        <w:ind w:left="851"/>
        <w:rPr>
          <w:sz w:val="24"/>
          <w:szCs w:val="24"/>
          <w:u w:val="single"/>
          <w:lang w:val="en-GB"/>
        </w:rPr>
      </w:pPr>
      <w:r w:rsidRPr="00D6273D">
        <w:rPr>
          <w:sz w:val="24"/>
          <w:szCs w:val="24"/>
          <w:u w:val="single"/>
          <w:lang w:val="en-GB"/>
        </w:rPr>
        <w:t>Pregnancy</w:t>
      </w:r>
    </w:p>
    <w:p w14:paraId="5F14ADC7" w14:textId="6A49EC51" w:rsidR="00EA0647" w:rsidRPr="00AF4AC6" w:rsidRDefault="00EA0647" w:rsidP="00AF4AC6">
      <w:pPr>
        <w:ind w:left="851"/>
        <w:rPr>
          <w:sz w:val="24"/>
          <w:szCs w:val="24"/>
          <w:lang w:val="en-GB"/>
        </w:rPr>
      </w:pPr>
      <w:r w:rsidRPr="00AF4AC6">
        <w:rPr>
          <w:sz w:val="24"/>
          <w:szCs w:val="24"/>
          <w:lang w:val="en-GB"/>
        </w:rPr>
        <w:t xml:space="preserve">A moderate amount of data on pregnant women (between 300-1000 pregnancy outcomes) indicate no </w:t>
      </w:r>
      <w:proofErr w:type="spellStart"/>
      <w:r w:rsidRPr="00AF4AC6">
        <w:rPr>
          <w:sz w:val="24"/>
          <w:szCs w:val="24"/>
          <w:lang w:val="en-GB"/>
        </w:rPr>
        <w:t>malformative</w:t>
      </w:r>
      <w:proofErr w:type="spellEnd"/>
      <w:r w:rsidRPr="00AF4AC6">
        <w:rPr>
          <w:sz w:val="24"/>
          <w:szCs w:val="24"/>
          <w:lang w:val="en-GB"/>
        </w:rPr>
        <w:t xml:space="preserve"> or </w:t>
      </w:r>
      <w:proofErr w:type="spellStart"/>
      <w:r w:rsidRPr="00AF4AC6">
        <w:rPr>
          <w:sz w:val="24"/>
          <w:szCs w:val="24"/>
          <w:lang w:val="en-GB"/>
        </w:rPr>
        <w:t>feto</w:t>
      </w:r>
      <w:proofErr w:type="spellEnd"/>
      <w:r w:rsidRPr="00AF4AC6">
        <w:rPr>
          <w:sz w:val="24"/>
          <w:szCs w:val="24"/>
          <w:lang w:val="en-GB"/>
        </w:rPr>
        <w:t xml:space="preserve">/neonatal toxicity of pantoprazole. </w:t>
      </w:r>
    </w:p>
    <w:p w14:paraId="375B861B" w14:textId="77777777" w:rsidR="00EA0647" w:rsidRPr="00AF4AC6" w:rsidRDefault="00EA0647" w:rsidP="00AF4AC6">
      <w:pPr>
        <w:ind w:left="851"/>
        <w:rPr>
          <w:sz w:val="24"/>
          <w:szCs w:val="24"/>
          <w:lang w:val="en-GB"/>
        </w:rPr>
      </w:pPr>
      <w:r w:rsidRPr="00AF4AC6">
        <w:rPr>
          <w:sz w:val="24"/>
          <w:szCs w:val="24"/>
          <w:lang w:val="en-GB"/>
        </w:rPr>
        <w:t>Animal studies have shown reproductive toxicity (see section 5.3).</w:t>
      </w:r>
    </w:p>
    <w:p w14:paraId="4D349957" w14:textId="6BE00697" w:rsidR="00EA0647" w:rsidRPr="00AF4AC6" w:rsidRDefault="00EA0647" w:rsidP="00AF4AC6">
      <w:pPr>
        <w:ind w:left="851"/>
        <w:rPr>
          <w:sz w:val="24"/>
          <w:szCs w:val="24"/>
          <w:lang w:val="en-GB"/>
        </w:rPr>
      </w:pPr>
      <w:r w:rsidRPr="00AF4AC6">
        <w:rPr>
          <w:sz w:val="24"/>
          <w:szCs w:val="24"/>
          <w:lang w:val="en-GB"/>
        </w:rPr>
        <w:t xml:space="preserve">As a precautionary measure, it is preferable to avoid the use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during pregnancy.</w:t>
      </w:r>
    </w:p>
    <w:p w14:paraId="75EB8F25" w14:textId="77777777" w:rsidR="00EA0647" w:rsidRPr="00AF4AC6" w:rsidRDefault="00EA0647" w:rsidP="00AF4AC6">
      <w:pPr>
        <w:ind w:left="851"/>
        <w:rPr>
          <w:sz w:val="24"/>
          <w:szCs w:val="24"/>
          <w:lang w:val="en-GB"/>
        </w:rPr>
      </w:pPr>
    </w:p>
    <w:p w14:paraId="68DF77E6" w14:textId="77777777" w:rsidR="00EA0647" w:rsidRPr="00D6273D" w:rsidRDefault="00EA0647" w:rsidP="00AF4AC6">
      <w:pPr>
        <w:ind w:left="851"/>
        <w:rPr>
          <w:b/>
          <w:bCs/>
          <w:sz w:val="24"/>
          <w:szCs w:val="24"/>
          <w:u w:val="single"/>
          <w:lang w:val="en-GB"/>
        </w:rPr>
      </w:pPr>
      <w:r w:rsidRPr="00D6273D">
        <w:rPr>
          <w:sz w:val="24"/>
          <w:szCs w:val="24"/>
          <w:u w:val="single"/>
          <w:lang w:val="en-GB"/>
        </w:rPr>
        <w:t>Breast-feeding</w:t>
      </w:r>
    </w:p>
    <w:p w14:paraId="60079D53" w14:textId="591EF441" w:rsidR="00EA0647" w:rsidRPr="00AF4AC6" w:rsidRDefault="00EA0647" w:rsidP="00AF4AC6">
      <w:pPr>
        <w:ind w:left="851"/>
        <w:rPr>
          <w:sz w:val="24"/>
          <w:szCs w:val="24"/>
          <w:lang w:val="en-GB"/>
        </w:rPr>
      </w:pPr>
      <w:r w:rsidRPr="00AF4AC6">
        <w:rPr>
          <w:sz w:val="24"/>
          <w:szCs w:val="24"/>
          <w:lang w:val="en-GB"/>
        </w:rPr>
        <w:t xml:space="preserve">Animal studies have shown excretion of pantoprazole in breast milk. There is insufficient information on the excretion of pantoprazole in human milk but excretion into human milk has been reported. A risk to the </w:t>
      </w:r>
      <w:proofErr w:type="spellStart"/>
      <w:r w:rsidRPr="00AF4AC6">
        <w:rPr>
          <w:sz w:val="24"/>
          <w:szCs w:val="24"/>
          <w:lang w:val="en-GB"/>
        </w:rPr>
        <w:t>newborns</w:t>
      </w:r>
      <w:proofErr w:type="spellEnd"/>
      <w:r w:rsidRPr="00AF4AC6">
        <w:rPr>
          <w:sz w:val="24"/>
          <w:szCs w:val="24"/>
          <w:lang w:val="en-GB"/>
        </w:rPr>
        <w:t xml:space="preserve">/infants cannot be excluded. Therefore, a decision must be made whether to discontinue breast-feeding or to discontinue/abstain from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therapy </w:t>
      </w:r>
      <w:proofErr w:type="gramStart"/>
      <w:r w:rsidRPr="00AF4AC6">
        <w:rPr>
          <w:sz w:val="24"/>
          <w:szCs w:val="24"/>
          <w:lang w:val="en-GB"/>
        </w:rPr>
        <w:t>taking into account</w:t>
      </w:r>
      <w:proofErr w:type="gramEnd"/>
      <w:r w:rsidRPr="00AF4AC6">
        <w:rPr>
          <w:sz w:val="24"/>
          <w:szCs w:val="24"/>
          <w:lang w:val="en-GB"/>
        </w:rPr>
        <w:t xml:space="preserve"> the benefit of breast-feeding for the child, and the benefit of </w:t>
      </w:r>
      <w:proofErr w:type="spellStart"/>
      <w:r w:rsidR="00AF4AC6" w:rsidRPr="00AF4AC6">
        <w:rPr>
          <w:sz w:val="24"/>
          <w:szCs w:val="24"/>
          <w:lang w:val="en-GB"/>
        </w:rPr>
        <w:t>Pantoprazol</w:t>
      </w:r>
      <w:proofErr w:type="spellEnd"/>
      <w:r w:rsidR="00AF4AC6" w:rsidRPr="00AF4AC6">
        <w:rPr>
          <w:sz w:val="24"/>
          <w:szCs w:val="24"/>
          <w:lang w:val="en-GB"/>
        </w:rPr>
        <w:t xml:space="preserve"> "</w:t>
      </w:r>
      <w:proofErr w:type="spellStart"/>
      <w:r w:rsidR="00AF4AC6" w:rsidRPr="00AF4AC6">
        <w:rPr>
          <w:sz w:val="24"/>
          <w:szCs w:val="24"/>
          <w:lang w:val="en-GB"/>
        </w:rPr>
        <w:t>Opko</w:t>
      </w:r>
      <w:proofErr w:type="spellEnd"/>
      <w:r w:rsidR="00AF4AC6" w:rsidRPr="00AF4AC6">
        <w:rPr>
          <w:sz w:val="24"/>
          <w:szCs w:val="24"/>
          <w:lang w:val="en-GB"/>
        </w:rPr>
        <w:t>"</w:t>
      </w:r>
      <w:r w:rsidRPr="00AF4AC6">
        <w:rPr>
          <w:sz w:val="24"/>
          <w:szCs w:val="24"/>
          <w:lang w:val="en-GB"/>
        </w:rPr>
        <w:t xml:space="preserve"> therapy for the woman.</w:t>
      </w:r>
    </w:p>
    <w:p w14:paraId="4F5ACFAD" w14:textId="77777777" w:rsidR="00D6273D" w:rsidRDefault="00D6273D" w:rsidP="00AF4AC6">
      <w:pPr>
        <w:ind w:left="851"/>
        <w:rPr>
          <w:sz w:val="24"/>
          <w:szCs w:val="24"/>
          <w:lang w:val="en-GB"/>
        </w:rPr>
      </w:pPr>
    </w:p>
    <w:p w14:paraId="1F2B7323" w14:textId="16B24056" w:rsidR="00EA0647" w:rsidRPr="00D6273D" w:rsidRDefault="00EA0647" w:rsidP="00AF4AC6">
      <w:pPr>
        <w:ind w:left="851"/>
        <w:rPr>
          <w:sz w:val="24"/>
          <w:szCs w:val="24"/>
          <w:u w:val="single"/>
          <w:lang w:val="en-GB"/>
        </w:rPr>
      </w:pPr>
      <w:r w:rsidRPr="00D6273D">
        <w:rPr>
          <w:sz w:val="24"/>
          <w:szCs w:val="24"/>
          <w:u w:val="single"/>
          <w:lang w:val="en-GB"/>
        </w:rPr>
        <w:t xml:space="preserve">Fertility </w:t>
      </w:r>
    </w:p>
    <w:p w14:paraId="60ECD476" w14:textId="77777777" w:rsidR="00EA0647" w:rsidRPr="00AF4AC6" w:rsidRDefault="00EA0647" w:rsidP="00AF4AC6">
      <w:pPr>
        <w:ind w:left="851"/>
        <w:rPr>
          <w:sz w:val="24"/>
          <w:szCs w:val="24"/>
          <w:lang w:val="en-GB"/>
        </w:rPr>
      </w:pPr>
      <w:r w:rsidRPr="00AF4AC6">
        <w:rPr>
          <w:sz w:val="24"/>
          <w:szCs w:val="24"/>
          <w:lang w:val="en-GB"/>
        </w:rPr>
        <w:t>There was no evidence of impaired fertility following the administration of pantoprazole in animal studies (see section 5.3).</w:t>
      </w:r>
    </w:p>
    <w:p w14:paraId="16F4ED60" w14:textId="77777777" w:rsidR="007C5D2A" w:rsidRPr="00AF4AC6" w:rsidRDefault="007C5D2A" w:rsidP="003E0341">
      <w:pPr>
        <w:tabs>
          <w:tab w:val="left" w:pos="851"/>
        </w:tabs>
        <w:ind w:left="851"/>
        <w:rPr>
          <w:sz w:val="24"/>
          <w:szCs w:val="24"/>
          <w:lang w:val="en-GB"/>
        </w:rPr>
      </w:pPr>
    </w:p>
    <w:p w14:paraId="4D43398A"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4.7</w:t>
      </w:r>
      <w:r w:rsidRPr="00AF4AC6">
        <w:rPr>
          <w:b/>
          <w:sz w:val="24"/>
          <w:szCs w:val="24"/>
          <w:lang w:val="en-GB"/>
        </w:rPr>
        <w:tab/>
        <w:t>Effects on ability to drive and use machines</w:t>
      </w:r>
    </w:p>
    <w:p w14:paraId="44DF69B8" w14:textId="77777777" w:rsidR="00AF4AC6" w:rsidRPr="00AF4AC6" w:rsidRDefault="00AF4AC6" w:rsidP="00AF4AC6">
      <w:pPr>
        <w:ind w:left="851"/>
        <w:rPr>
          <w:sz w:val="24"/>
          <w:szCs w:val="24"/>
          <w:lang w:val="en-GB"/>
        </w:rPr>
      </w:pPr>
      <w:r w:rsidRPr="00AF4AC6">
        <w:rPr>
          <w:sz w:val="24"/>
          <w:szCs w:val="24"/>
          <w:lang w:val="en-GB"/>
        </w:rPr>
        <w:t>No traffic warning.</w:t>
      </w:r>
    </w:p>
    <w:p w14:paraId="5CB2958E" w14:textId="3747499A" w:rsidR="00EA0647" w:rsidRPr="00AF4AC6" w:rsidRDefault="00EA0647" w:rsidP="00AF4AC6">
      <w:pPr>
        <w:ind w:left="851"/>
        <w:rPr>
          <w:sz w:val="24"/>
          <w:szCs w:val="24"/>
          <w:lang w:val="en-GB"/>
        </w:rPr>
      </w:pPr>
      <w:r w:rsidRPr="00AF4AC6">
        <w:rPr>
          <w:sz w:val="24"/>
          <w:szCs w:val="24"/>
          <w:lang w:val="en-GB"/>
        </w:rPr>
        <w:t xml:space="preserve">Pantoprazole has no or negligible influence on the ability to drive and use machines. </w:t>
      </w:r>
    </w:p>
    <w:p w14:paraId="4A2056CE" w14:textId="77777777" w:rsidR="00EA0647" w:rsidRPr="00AF4AC6" w:rsidRDefault="00EA0647" w:rsidP="00AF4AC6">
      <w:pPr>
        <w:ind w:left="851"/>
        <w:rPr>
          <w:sz w:val="24"/>
          <w:szCs w:val="24"/>
          <w:lang w:val="en-GB"/>
        </w:rPr>
      </w:pPr>
      <w:r w:rsidRPr="00AF4AC6">
        <w:rPr>
          <w:sz w:val="24"/>
          <w:szCs w:val="24"/>
          <w:lang w:val="en-GB"/>
        </w:rPr>
        <w:t xml:space="preserve">Adverse drug reactions, such as dizziness and visual disturbances may occur (see section 4.8). If affected, patients should not drive or operate machines. </w:t>
      </w:r>
    </w:p>
    <w:p w14:paraId="45186DAB" w14:textId="77777777" w:rsidR="007C5D2A" w:rsidRPr="00AF4AC6" w:rsidRDefault="007C5D2A" w:rsidP="003E0341">
      <w:pPr>
        <w:tabs>
          <w:tab w:val="left" w:pos="851"/>
        </w:tabs>
        <w:ind w:left="851"/>
        <w:rPr>
          <w:sz w:val="24"/>
          <w:szCs w:val="24"/>
          <w:lang w:val="en-GB"/>
        </w:rPr>
      </w:pPr>
    </w:p>
    <w:p w14:paraId="553413EF"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4.8</w:t>
      </w:r>
      <w:r w:rsidRPr="00AF4AC6">
        <w:rPr>
          <w:b/>
          <w:sz w:val="24"/>
          <w:szCs w:val="24"/>
          <w:lang w:val="en-GB"/>
        </w:rPr>
        <w:tab/>
        <w:t>Undesirable effects</w:t>
      </w:r>
    </w:p>
    <w:p w14:paraId="210B41BB" w14:textId="77777777" w:rsidR="00EA0647" w:rsidRPr="00AF4AC6" w:rsidRDefault="00EA0647" w:rsidP="00AF4AC6">
      <w:pPr>
        <w:ind w:left="851"/>
        <w:rPr>
          <w:sz w:val="24"/>
          <w:szCs w:val="24"/>
          <w:lang w:val="en-GB"/>
        </w:rPr>
      </w:pPr>
      <w:r w:rsidRPr="00AF4AC6">
        <w:rPr>
          <w:sz w:val="24"/>
          <w:szCs w:val="24"/>
          <w:lang w:val="en-GB"/>
        </w:rPr>
        <w:t xml:space="preserve">Approximately 5 % of patients can be expected to experience adverse drug reactions (ADRs). </w:t>
      </w:r>
    </w:p>
    <w:p w14:paraId="47E57415" w14:textId="77777777" w:rsidR="00EA0647" w:rsidRPr="00AF4AC6" w:rsidRDefault="00EA0647" w:rsidP="00AF4AC6">
      <w:pPr>
        <w:ind w:left="851"/>
        <w:rPr>
          <w:sz w:val="24"/>
          <w:szCs w:val="24"/>
          <w:lang w:val="en-GB"/>
        </w:rPr>
      </w:pPr>
      <w:r w:rsidRPr="00AF4AC6">
        <w:rPr>
          <w:sz w:val="24"/>
          <w:szCs w:val="24"/>
          <w:lang w:val="en-GB"/>
        </w:rPr>
        <w:t xml:space="preserve">The table below lists adverse reactions reported with pantoprazole, ranked under the following frequency classification: Very common (≥ 1/10); common (≥ 1/100 to &lt; 1/10); uncommon (≥ 1/1,000 to &lt; 1/100); rare (≥ 1/10,000 to &lt; 1/1,000); very rare (&lt; 1/10,000), not known (cannot be estimated from the available data). </w:t>
      </w:r>
    </w:p>
    <w:p w14:paraId="48A3189A" w14:textId="77777777" w:rsidR="00EA0647" w:rsidRPr="00AF4AC6" w:rsidRDefault="00EA0647" w:rsidP="00AF4AC6">
      <w:pPr>
        <w:ind w:left="851"/>
        <w:rPr>
          <w:sz w:val="24"/>
          <w:szCs w:val="24"/>
          <w:lang w:val="en-GB"/>
        </w:rPr>
      </w:pPr>
    </w:p>
    <w:p w14:paraId="33F3B705" w14:textId="77777777" w:rsidR="00EA0647" w:rsidRPr="00AF4AC6" w:rsidRDefault="00EA0647" w:rsidP="00AF4AC6">
      <w:pPr>
        <w:ind w:left="851"/>
        <w:rPr>
          <w:sz w:val="24"/>
          <w:szCs w:val="24"/>
          <w:lang w:val="en-GB"/>
        </w:rPr>
      </w:pPr>
      <w:r w:rsidRPr="00AF4AC6">
        <w:rPr>
          <w:sz w:val="24"/>
          <w:szCs w:val="24"/>
          <w:lang w:val="en-GB"/>
        </w:rPr>
        <w:t>For all adverse reactions reported from post-marketing experience, it is not possible to apply any Adverse Reaction frequency and therefore they are mentioned with a "not known" frequency.</w:t>
      </w:r>
    </w:p>
    <w:p w14:paraId="27C103F3" w14:textId="27E41FF8" w:rsidR="00EA0647" w:rsidRDefault="00EA0647" w:rsidP="00AF4AC6">
      <w:pPr>
        <w:ind w:left="851"/>
        <w:rPr>
          <w:sz w:val="24"/>
          <w:szCs w:val="24"/>
          <w:lang w:val="en-GB"/>
        </w:rPr>
      </w:pPr>
      <w:r w:rsidRPr="00AF4AC6">
        <w:rPr>
          <w:sz w:val="24"/>
          <w:szCs w:val="24"/>
          <w:lang w:val="en-GB"/>
        </w:rPr>
        <w:t>Within each frequency grouping, adverse reactions are presented in order of decreasing seriousness.</w:t>
      </w:r>
    </w:p>
    <w:p w14:paraId="75AB3E63" w14:textId="30FBBF69" w:rsidR="00CB73DB" w:rsidRDefault="00CB73DB">
      <w:pPr>
        <w:rPr>
          <w:sz w:val="24"/>
          <w:szCs w:val="24"/>
          <w:lang w:val="en-GB"/>
        </w:rPr>
      </w:pPr>
      <w:r>
        <w:rPr>
          <w:sz w:val="24"/>
          <w:szCs w:val="24"/>
          <w:lang w:val="en-GB"/>
        </w:rPr>
        <w:br w:type="page"/>
      </w:r>
    </w:p>
    <w:p w14:paraId="44EAECC5" w14:textId="77777777" w:rsidR="00D6273D" w:rsidRPr="00AF4AC6" w:rsidRDefault="00D6273D" w:rsidP="00AF4AC6">
      <w:pPr>
        <w:ind w:left="851"/>
        <w:rPr>
          <w:sz w:val="24"/>
          <w:szCs w:val="24"/>
          <w:lang w:val="en-GB"/>
        </w:rPr>
      </w:pPr>
    </w:p>
    <w:p w14:paraId="32C13F8B" w14:textId="69DDEEAC" w:rsidR="00EA0647" w:rsidRDefault="00EA0647" w:rsidP="00D6273D">
      <w:pPr>
        <w:rPr>
          <w:sz w:val="24"/>
          <w:szCs w:val="24"/>
          <w:lang w:val="en-GB"/>
        </w:rPr>
      </w:pPr>
      <w:r w:rsidRPr="00AF4AC6">
        <w:rPr>
          <w:sz w:val="24"/>
          <w:szCs w:val="24"/>
          <w:lang w:val="en-GB"/>
        </w:rPr>
        <w:t>Table 1. Adverse reactions with pantoprazole in clinical trials and post-marketing experience</w:t>
      </w:r>
    </w:p>
    <w:p w14:paraId="021A19A0" w14:textId="77777777" w:rsidR="00D6273D" w:rsidRPr="00AF4AC6" w:rsidRDefault="00D6273D" w:rsidP="00AF4AC6">
      <w:pPr>
        <w:ind w:left="851"/>
        <w:rPr>
          <w:sz w:val="24"/>
          <w:szCs w:val="24"/>
          <w:lang w:val="en-GB"/>
        </w:rPr>
      </w:pPr>
    </w:p>
    <w:tbl>
      <w:tblPr>
        <w:tblStyle w:val="Tabel-Gitter"/>
        <w:tblW w:w="5000" w:type="pct"/>
        <w:jc w:val="center"/>
        <w:tblInd w:w="0" w:type="dxa"/>
        <w:tblLook w:val="04A0" w:firstRow="1" w:lastRow="0" w:firstColumn="1" w:lastColumn="0" w:noHBand="0" w:noVBand="1"/>
      </w:tblPr>
      <w:tblGrid>
        <w:gridCol w:w="1607"/>
        <w:gridCol w:w="1051"/>
        <w:gridCol w:w="1527"/>
        <w:gridCol w:w="1721"/>
        <w:gridCol w:w="1885"/>
        <w:gridCol w:w="1837"/>
      </w:tblGrid>
      <w:tr w:rsidR="00EA0647" w:rsidRPr="00AF4AC6" w14:paraId="2775B360"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3AAF8F2A"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Frequency/</w:t>
            </w:r>
          </w:p>
          <w:p w14:paraId="7C1405A9"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 xml:space="preserve">System </w:t>
            </w:r>
          </w:p>
          <w:p w14:paraId="272A2892"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Organ Class</w:t>
            </w:r>
          </w:p>
        </w:tc>
        <w:tc>
          <w:tcPr>
            <w:tcW w:w="546" w:type="pct"/>
            <w:tcBorders>
              <w:top w:val="single" w:sz="4" w:space="0" w:color="auto"/>
              <w:left w:val="single" w:sz="4" w:space="0" w:color="auto"/>
              <w:bottom w:val="single" w:sz="4" w:space="0" w:color="auto"/>
              <w:right w:val="single" w:sz="4" w:space="0" w:color="auto"/>
            </w:tcBorders>
            <w:hideMark/>
          </w:tcPr>
          <w:p w14:paraId="17632C67"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Common</w:t>
            </w:r>
          </w:p>
        </w:tc>
        <w:tc>
          <w:tcPr>
            <w:tcW w:w="793" w:type="pct"/>
            <w:tcBorders>
              <w:top w:val="single" w:sz="4" w:space="0" w:color="auto"/>
              <w:left w:val="single" w:sz="4" w:space="0" w:color="auto"/>
              <w:bottom w:val="single" w:sz="4" w:space="0" w:color="auto"/>
              <w:right w:val="single" w:sz="4" w:space="0" w:color="auto"/>
            </w:tcBorders>
            <w:hideMark/>
          </w:tcPr>
          <w:p w14:paraId="52AB2A35"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Uncommon</w:t>
            </w:r>
          </w:p>
        </w:tc>
        <w:tc>
          <w:tcPr>
            <w:tcW w:w="894" w:type="pct"/>
            <w:tcBorders>
              <w:top w:val="single" w:sz="4" w:space="0" w:color="auto"/>
              <w:left w:val="single" w:sz="4" w:space="0" w:color="auto"/>
              <w:bottom w:val="single" w:sz="4" w:space="0" w:color="auto"/>
              <w:right w:val="single" w:sz="4" w:space="0" w:color="auto"/>
            </w:tcBorders>
            <w:hideMark/>
          </w:tcPr>
          <w:p w14:paraId="0B7F1557"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Rare</w:t>
            </w:r>
          </w:p>
        </w:tc>
        <w:tc>
          <w:tcPr>
            <w:tcW w:w="979" w:type="pct"/>
            <w:tcBorders>
              <w:top w:val="single" w:sz="4" w:space="0" w:color="auto"/>
              <w:left w:val="single" w:sz="4" w:space="0" w:color="auto"/>
              <w:bottom w:val="single" w:sz="4" w:space="0" w:color="auto"/>
              <w:right w:val="single" w:sz="4" w:space="0" w:color="auto"/>
            </w:tcBorders>
            <w:hideMark/>
          </w:tcPr>
          <w:p w14:paraId="2562552B"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Very rare</w:t>
            </w:r>
          </w:p>
        </w:tc>
        <w:tc>
          <w:tcPr>
            <w:tcW w:w="955" w:type="pct"/>
            <w:tcBorders>
              <w:top w:val="single" w:sz="4" w:space="0" w:color="auto"/>
              <w:left w:val="single" w:sz="4" w:space="0" w:color="auto"/>
              <w:bottom w:val="single" w:sz="4" w:space="0" w:color="auto"/>
              <w:right w:val="single" w:sz="4" w:space="0" w:color="auto"/>
            </w:tcBorders>
            <w:hideMark/>
          </w:tcPr>
          <w:p w14:paraId="486A0CB1" w14:textId="77777777" w:rsidR="00EA0647" w:rsidRPr="00D6273D" w:rsidRDefault="00EA0647" w:rsidP="00D6273D">
            <w:pPr>
              <w:tabs>
                <w:tab w:val="left" w:pos="284"/>
              </w:tabs>
              <w:rPr>
                <w:rFonts w:ascii="Times New Roman" w:hAnsi="Times New Roman" w:cs="Times New Roman"/>
                <w:b/>
                <w:bCs/>
                <w:sz w:val="20"/>
                <w:szCs w:val="20"/>
              </w:rPr>
            </w:pPr>
            <w:r w:rsidRPr="00D6273D">
              <w:rPr>
                <w:rFonts w:ascii="Times New Roman" w:hAnsi="Times New Roman" w:cs="Times New Roman"/>
                <w:b/>
                <w:bCs/>
                <w:sz w:val="20"/>
                <w:szCs w:val="20"/>
              </w:rPr>
              <w:t>Not known</w:t>
            </w:r>
          </w:p>
        </w:tc>
      </w:tr>
      <w:tr w:rsidR="00EA0647" w:rsidRPr="00AF4AC6" w14:paraId="2B681EC8"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696F31E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Blood and lymphatic system disorders</w:t>
            </w:r>
          </w:p>
        </w:tc>
        <w:tc>
          <w:tcPr>
            <w:tcW w:w="546" w:type="pct"/>
            <w:tcBorders>
              <w:top w:val="single" w:sz="4" w:space="0" w:color="auto"/>
              <w:left w:val="single" w:sz="4" w:space="0" w:color="auto"/>
              <w:bottom w:val="single" w:sz="4" w:space="0" w:color="auto"/>
              <w:right w:val="single" w:sz="4" w:space="0" w:color="auto"/>
            </w:tcBorders>
          </w:tcPr>
          <w:p w14:paraId="69D973EE" w14:textId="77777777" w:rsidR="00EA0647" w:rsidRPr="00D6273D" w:rsidRDefault="00EA0647" w:rsidP="00D6273D">
            <w:pPr>
              <w:tabs>
                <w:tab w:val="left" w:pos="284"/>
              </w:tabs>
              <w:rPr>
                <w:rFonts w:ascii="Times New Roman" w:hAnsi="Times New Roman" w:cs="Times New Roman"/>
                <w:sz w:val="20"/>
                <w:szCs w:val="20"/>
                <w:lang w:val="en-GB"/>
              </w:rPr>
            </w:pPr>
          </w:p>
        </w:tc>
        <w:tc>
          <w:tcPr>
            <w:tcW w:w="793" w:type="pct"/>
            <w:tcBorders>
              <w:top w:val="single" w:sz="4" w:space="0" w:color="auto"/>
              <w:left w:val="single" w:sz="4" w:space="0" w:color="auto"/>
              <w:bottom w:val="single" w:sz="4" w:space="0" w:color="auto"/>
              <w:right w:val="single" w:sz="4" w:space="0" w:color="auto"/>
            </w:tcBorders>
          </w:tcPr>
          <w:p w14:paraId="56416094" w14:textId="77777777" w:rsidR="00EA0647" w:rsidRPr="00D6273D" w:rsidRDefault="00EA0647" w:rsidP="00D6273D">
            <w:pPr>
              <w:tabs>
                <w:tab w:val="left" w:pos="284"/>
              </w:tabs>
              <w:rPr>
                <w:rFonts w:ascii="Times New Roman" w:hAnsi="Times New Roman" w:cs="Times New Roman"/>
                <w:sz w:val="20"/>
                <w:szCs w:val="20"/>
                <w:lang w:val="en-GB"/>
              </w:rPr>
            </w:pPr>
          </w:p>
        </w:tc>
        <w:tc>
          <w:tcPr>
            <w:tcW w:w="894" w:type="pct"/>
            <w:tcBorders>
              <w:top w:val="single" w:sz="4" w:space="0" w:color="auto"/>
              <w:left w:val="single" w:sz="4" w:space="0" w:color="auto"/>
              <w:bottom w:val="single" w:sz="4" w:space="0" w:color="auto"/>
              <w:right w:val="single" w:sz="4" w:space="0" w:color="auto"/>
            </w:tcBorders>
            <w:hideMark/>
          </w:tcPr>
          <w:p w14:paraId="2522F5EB"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Agranulocytosis</w:t>
            </w:r>
          </w:p>
        </w:tc>
        <w:tc>
          <w:tcPr>
            <w:tcW w:w="979" w:type="pct"/>
            <w:tcBorders>
              <w:top w:val="single" w:sz="4" w:space="0" w:color="auto"/>
              <w:left w:val="single" w:sz="4" w:space="0" w:color="auto"/>
              <w:bottom w:val="single" w:sz="4" w:space="0" w:color="auto"/>
              <w:right w:val="single" w:sz="4" w:space="0" w:color="auto"/>
            </w:tcBorders>
            <w:hideMark/>
          </w:tcPr>
          <w:p w14:paraId="4940FE47"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Thrombocytopenia;</w:t>
            </w:r>
          </w:p>
          <w:p w14:paraId="5D67D5B0"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Leukopenia;</w:t>
            </w:r>
          </w:p>
          <w:p w14:paraId="737DB05A"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Pancytopenia</w:t>
            </w:r>
          </w:p>
        </w:tc>
        <w:tc>
          <w:tcPr>
            <w:tcW w:w="955" w:type="pct"/>
            <w:tcBorders>
              <w:top w:val="single" w:sz="4" w:space="0" w:color="auto"/>
              <w:left w:val="single" w:sz="4" w:space="0" w:color="auto"/>
              <w:bottom w:val="single" w:sz="4" w:space="0" w:color="auto"/>
              <w:right w:val="single" w:sz="4" w:space="0" w:color="auto"/>
            </w:tcBorders>
          </w:tcPr>
          <w:p w14:paraId="37E370B8" w14:textId="77777777" w:rsidR="00EA0647" w:rsidRPr="00D6273D" w:rsidRDefault="00EA0647" w:rsidP="00D6273D">
            <w:pPr>
              <w:tabs>
                <w:tab w:val="left" w:pos="284"/>
              </w:tabs>
              <w:rPr>
                <w:rFonts w:ascii="Times New Roman" w:hAnsi="Times New Roman" w:cs="Times New Roman"/>
                <w:sz w:val="20"/>
                <w:szCs w:val="20"/>
              </w:rPr>
            </w:pPr>
          </w:p>
        </w:tc>
      </w:tr>
      <w:tr w:rsidR="00EA0647" w:rsidRPr="00AF4AC6" w14:paraId="1EB8204C"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2904DA37" w14:textId="374690F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Immune system</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disorders</w:t>
            </w:r>
          </w:p>
        </w:tc>
        <w:tc>
          <w:tcPr>
            <w:tcW w:w="546" w:type="pct"/>
            <w:tcBorders>
              <w:top w:val="single" w:sz="4" w:space="0" w:color="auto"/>
              <w:left w:val="single" w:sz="4" w:space="0" w:color="auto"/>
              <w:bottom w:val="single" w:sz="4" w:space="0" w:color="auto"/>
              <w:right w:val="single" w:sz="4" w:space="0" w:color="auto"/>
            </w:tcBorders>
          </w:tcPr>
          <w:p w14:paraId="3A3448B2"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tcPr>
          <w:p w14:paraId="02D5B0E8" w14:textId="77777777" w:rsidR="00EA0647" w:rsidRPr="00D6273D" w:rsidRDefault="00EA0647" w:rsidP="00D6273D">
            <w:pPr>
              <w:tabs>
                <w:tab w:val="left" w:pos="284"/>
              </w:tabs>
              <w:rPr>
                <w:rFonts w:ascii="Times New Roman" w:hAnsi="Times New Roman" w:cs="Times New Roman"/>
                <w:sz w:val="20"/>
                <w:szCs w:val="20"/>
              </w:rPr>
            </w:pPr>
          </w:p>
        </w:tc>
        <w:tc>
          <w:tcPr>
            <w:tcW w:w="894" w:type="pct"/>
            <w:tcBorders>
              <w:top w:val="single" w:sz="4" w:space="0" w:color="auto"/>
              <w:left w:val="single" w:sz="4" w:space="0" w:color="auto"/>
              <w:bottom w:val="single" w:sz="4" w:space="0" w:color="auto"/>
              <w:right w:val="single" w:sz="4" w:space="0" w:color="auto"/>
            </w:tcBorders>
            <w:hideMark/>
          </w:tcPr>
          <w:p w14:paraId="5AF05865"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Hypersensitivity</w:t>
            </w:r>
          </w:p>
          <w:p w14:paraId="517C09A9"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(including</w:t>
            </w:r>
          </w:p>
          <w:p w14:paraId="1E8B899D"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anaphylactic</w:t>
            </w:r>
          </w:p>
          <w:p w14:paraId="6A2B111E"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reactions and</w:t>
            </w:r>
          </w:p>
          <w:p w14:paraId="113C97E0"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anaphylactic</w:t>
            </w:r>
          </w:p>
          <w:p w14:paraId="5C9B1609"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shock)</w:t>
            </w:r>
          </w:p>
        </w:tc>
        <w:tc>
          <w:tcPr>
            <w:tcW w:w="979" w:type="pct"/>
            <w:tcBorders>
              <w:top w:val="single" w:sz="4" w:space="0" w:color="auto"/>
              <w:left w:val="single" w:sz="4" w:space="0" w:color="auto"/>
              <w:bottom w:val="single" w:sz="4" w:space="0" w:color="auto"/>
              <w:right w:val="single" w:sz="4" w:space="0" w:color="auto"/>
            </w:tcBorders>
          </w:tcPr>
          <w:p w14:paraId="44A930CF"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tcPr>
          <w:p w14:paraId="29C2515D" w14:textId="77777777" w:rsidR="00EA0647" w:rsidRPr="00D6273D" w:rsidRDefault="00EA0647" w:rsidP="00D6273D">
            <w:pPr>
              <w:tabs>
                <w:tab w:val="left" w:pos="284"/>
              </w:tabs>
              <w:rPr>
                <w:rFonts w:ascii="Times New Roman" w:hAnsi="Times New Roman" w:cs="Times New Roman"/>
                <w:sz w:val="20"/>
                <w:szCs w:val="20"/>
              </w:rPr>
            </w:pPr>
          </w:p>
        </w:tc>
      </w:tr>
      <w:tr w:rsidR="00EA0647" w:rsidRPr="00AF4AC6" w14:paraId="3018F720"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78344D14" w14:textId="270A9D5D"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Metabolism and</w:t>
            </w:r>
            <w:r w:rsidR="00D6273D">
              <w:rPr>
                <w:rFonts w:ascii="Times New Roman" w:hAnsi="Times New Roman" w:cs="Times New Roman"/>
                <w:sz w:val="20"/>
                <w:szCs w:val="20"/>
              </w:rPr>
              <w:t xml:space="preserve"> n</w:t>
            </w:r>
            <w:r w:rsidRPr="00D6273D">
              <w:rPr>
                <w:rFonts w:ascii="Times New Roman" w:hAnsi="Times New Roman" w:cs="Times New Roman"/>
                <w:sz w:val="20"/>
                <w:szCs w:val="20"/>
              </w:rPr>
              <w:t>utrition disorders</w:t>
            </w:r>
          </w:p>
        </w:tc>
        <w:tc>
          <w:tcPr>
            <w:tcW w:w="546" w:type="pct"/>
            <w:tcBorders>
              <w:top w:val="single" w:sz="4" w:space="0" w:color="auto"/>
              <w:left w:val="single" w:sz="4" w:space="0" w:color="auto"/>
              <w:bottom w:val="single" w:sz="4" w:space="0" w:color="auto"/>
              <w:right w:val="single" w:sz="4" w:space="0" w:color="auto"/>
            </w:tcBorders>
          </w:tcPr>
          <w:p w14:paraId="097DF04E"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tcPr>
          <w:p w14:paraId="3F789383" w14:textId="77777777" w:rsidR="00EA0647" w:rsidRPr="00D6273D" w:rsidRDefault="00EA0647" w:rsidP="00D6273D">
            <w:pPr>
              <w:tabs>
                <w:tab w:val="left" w:pos="284"/>
              </w:tabs>
              <w:rPr>
                <w:rFonts w:ascii="Times New Roman" w:hAnsi="Times New Roman" w:cs="Times New Roman"/>
                <w:sz w:val="20"/>
                <w:szCs w:val="20"/>
              </w:rPr>
            </w:pPr>
          </w:p>
        </w:tc>
        <w:tc>
          <w:tcPr>
            <w:tcW w:w="894" w:type="pct"/>
            <w:tcBorders>
              <w:top w:val="single" w:sz="4" w:space="0" w:color="auto"/>
              <w:left w:val="single" w:sz="4" w:space="0" w:color="auto"/>
              <w:bottom w:val="single" w:sz="4" w:space="0" w:color="auto"/>
              <w:right w:val="single" w:sz="4" w:space="0" w:color="auto"/>
            </w:tcBorders>
            <w:hideMark/>
          </w:tcPr>
          <w:p w14:paraId="0FBFE4C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Hyperlipidaemias</w:t>
            </w:r>
          </w:p>
          <w:p w14:paraId="4FB7839F"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and lipid increases</w:t>
            </w:r>
          </w:p>
          <w:p w14:paraId="4E415DDA"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(triglycerides,</w:t>
            </w:r>
          </w:p>
          <w:p w14:paraId="3CBA4E09"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cholesterol);</w:t>
            </w:r>
          </w:p>
          <w:p w14:paraId="525080F1"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Weight changes</w:t>
            </w:r>
          </w:p>
        </w:tc>
        <w:tc>
          <w:tcPr>
            <w:tcW w:w="979" w:type="pct"/>
            <w:tcBorders>
              <w:top w:val="single" w:sz="4" w:space="0" w:color="auto"/>
              <w:left w:val="single" w:sz="4" w:space="0" w:color="auto"/>
              <w:bottom w:val="single" w:sz="4" w:space="0" w:color="auto"/>
              <w:right w:val="single" w:sz="4" w:space="0" w:color="auto"/>
            </w:tcBorders>
          </w:tcPr>
          <w:p w14:paraId="756F76F0"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5032C9C6"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Hyponatraemia;</w:t>
            </w:r>
          </w:p>
          <w:p w14:paraId="4773A30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 xml:space="preserve">Hypomagnesaemia (see section 4.4); Hypocalcaemia </w:t>
            </w:r>
            <w:r w:rsidRPr="00D6273D">
              <w:rPr>
                <w:rFonts w:ascii="Times New Roman" w:hAnsi="Times New Roman" w:cs="Times New Roman"/>
                <w:sz w:val="20"/>
                <w:szCs w:val="20"/>
                <w:vertAlign w:val="superscript"/>
              </w:rPr>
              <w:t>(1)</w:t>
            </w:r>
            <w:r w:rsidRPr="00D6273D">
              <w:rPr>
                <w:rFonts w:ascii="Times New Roman" w:hAnsi="Times New Roman" w:cs="Times New Roman"/>
                <w:sz w:val="20"/>
                <w:szCs w:val="20"/>
              </w:rPr>
              <w:t>;</w:t>
            </w:r>
          </w:p>
          <w:p w14:paraId="3A42CF56"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Hypokalaemia</w:t>
            </w:r>
            <w:r w:rsidRPr="00D6273D">
              <w:rPr>
                <w:rFonts w:ascii="Times New Roman" w:hAnsi="Times New Roman" w:cs="Times New Roman"/>
                <w:sz w:val="20"/>
                <w:szCs w:val="20"/>
                <w:vertAlign w:val="superscript"/>
              </w:rPr>
              <w:t>(1)</w:t>
            </w:r>
          </w:p>
        </w:tc>
      </w:tr>
      <w:tr w:rsidR="00EA0647" w:rsidRPr="007F6E4E" w14:paraId="1EC7875C"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092E7017" w14:textId="401046EB"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Psychiatric</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disorders</w:t>
            </w:r>
          </w:p>
        </w:tc>
        <w:tc>
          <w:tcPr>
            <w:tcW w:w="546" w:type="pct"/>
            <w:tcBorders>
              <w:top w:val="single" w:sz="4" w:space="0" w:color="auto"/>
              <w:left w:val="single" w:sz="4" w:space="0" w:color="auto"/>
              <w:bottom w:val="single" w:sz="4" w:space="0" w:color="auto"/>
              <w:right w:val="single" w:sz="4" w:space="0" w:color="auto"/>
            </w:tcBorders>
          </w:tcPr>
          <w:p w14:paraId="558EC712"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hideMark/>
          </w:tcPr>
          <w:p w14:paraId="6177D787"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Sleep disorders</w:t>
            </w:r>
          </w:p>
        </w:tc>
        <w:tc>
          <w:tcPr>
            <w:tcW w:w="894" w:type="pct"/>
            <w:tcBorders>
              <w:top w:val="single" w:sz="4" w:space="0" w:color="auto"/>
              <w:left w:val="single" w:sz="4" w:space="0" w:color="auto"/>
              <w:bottom w:val="single" w:sz="4" w:space="0" w:color="auto"/>
              <w:right w:val="single" w:sz="4" w:space="0" w:color="auto"/>
            </w:tcBorders>
            <w:hideMark/>
          </w:tcPr>
          <w:p w14:paraId="4D9435A7"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Depression (and</w:t>
            </w:r>
          </w:p>
          <w:p w14:paraId="49DB18D1"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all aggravations)</w:t>
            </w:r>
          </w:p>
        </w:tc>
        <w:tc>
          <w:tcPr>
            <w:tcW w:w="979" w:type="pct"/>
            <w:tcBorders>
              <w:top w:val="single" w:sz="4" w:space="0" w:color="auto"/>
              <w:left w:val="single" w:sz="4" w:space="0" w:color="auto"/>
              <w:bottom w:val="single" w:sz="4" w:space="0" w:color="auto"/>
              <w:right w:val="single" w:sz="4" w:space="0" w:color="auto"/>
            </w:tcBorders>
            <w:hideMark/>
          </w:tcPr>
          <w:p w14:paraId="7553D8E6"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Disorientation (and</w:t>
            </w:r>
          </w:p>
          <w:p w14:paraId="2CB4DAA1"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all aggravations)</w:t>
            </w:r>
          </w:p>
        </w:tc>
        <w:tc>
          <w:tcPr>
            <w:tcW w:w="955" w:type="pct"/>
            <w:tcBorders>
              <w:top w:val="single" w:sz="4" w:space="0" w:color="auto"/>
              <w:left w:val="single" w:sz="4" w:space="0" w:color="auto"/>
              <w:bottom w:val="single" w:sz="4" w:space="0" w:color="auto"/>
              <w:right w:val="single" w:sz="4" w:space="0" w:color="auto"/>
            </w:tcBorders>
            <w:hideMark/>
          </w:tcPr>
          <w:p w14:paraId="31341BB2"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Hallucination; Confusion (especially</w:t>
            </w:r>
          </w:p>
          <w:p w14:paraId="371740E6"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in pre-disposed patients, as well as</w:t>
            </w:r>
          </w:p>
          <w:p w14:paraId="12218B1A"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the aggravation of these symptoms</w:t>
            </w:r>
          </w:p>
          <w:p w14:paraId="2BE22C3A"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in case of pre-existence)</w:t>
            </w:r>
          </w:p>
        </w:tc>
      </w:tr>
      <w:tr w:rsidR="00EA0647" w:rsidRPr="00AF4AC6" w14:paraId="31A33946"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1994FA29" w14:textId="092B8CE5"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Nervous system</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disorders</w:t>
            </w:r>
          </w:p>
        </w:tc>
        <w:tc>
          <w:tcPr>
            <w:tcW w:w="546" w:type="pct"/>
            <w:tcBorders>
              <w:top w:val="single" w:sz="4" w:space="0" w:color="auto"/>
              <w:left w:val="single" w:sz="4" w:space="0" w:color="auto"/>
              <w:bottom w:val="single" w:sz="4" w:space="0" w:color="auto"/>
              <w:right w:val="single" w:sz="4" w:space="0" w:color="auto"/>
            </w:tcBorders>
          </w:tcPr>
          <w:p w14:paraId="034DC75F"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hideMark/>
          </w:tcPr>
          <w:p w14:paraId="59E63E22"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Headache;</w:t>
            </w:r>
          </w:p>
          <w:p w14:paraId="70EA8826"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Dizziness</w:t>
            </w:r>
          </w:p>
        </w:tc>
        <w:tc>
          <w:tcPr>
            <w:tcW w:w="894" w:type="pct"/>
            <w:tcBorders>
              <w:top w:val="single" w:sz="4" w:space="0" w:color="auto"/>
              <w:left w:val="single" w:sz="4" w:space="0" w:color="auto"/>
              <w:bottom w:val="single" w:sz="4" w:space="0" w:color="auto"/>
              <w:right w:val="single" w:sz="4" w:space="0" w:color="auto"/>
            </w:tcBorders>
            <w:hideMark/>
          </w:tcPr>
          <w:p w14:paraId="70761CED"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Taste disorders</w:t>
            </w:r>
          </w:p>
        </w:tc>
        <w:tc>
          <w:tcPr>
            <w:tcW w:w="979" w:type="pct"/>
            <w:tcBorders>
              <w:top w:val="single" w:sz="4" w:space="0" w:color="auto"/>
              <w:left w:val="single" w:sz="4" w:space="0" w:color="auto"/>
              <w:bottom w:val="single" w:sz="4" w:space="0" w:color="auto"/>
              <w:right w:val="single" w:sz="4" w:space="0" w:color="auto"/>
            </w:tcBorders>
          </w:tcPr>
          <w:p w14:paraId="7E40AB80"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12005400"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Paraesthesia</w:t>
            </w:r>
          </w:p>
        </w:tc>
      </w:tr>
      <w:tr w:rsidR="00EA0647" w:rsidRPr="007F6E4E" w14:paraId="581A06A8"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5DD911E3"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Eye disorders</w:t>
            </w:r>
          </w:p>
        </w:tc>
        <w:tc>
          <w:tcPr>
            <w:tcW w:w="546" w:type="pct"/>
            <w:tcBorders>
              <w:top w:val="single" w:sz="4" w:space="0" w:color="auto"/>
              <w:left w:val="single" w:sz="4" w:space="0" w:color="auto"/>
              <w:bottom w:val="single" w:sz="4" w:space="0" w:color="auto"/>
              <w:right w:val="single" w:sz="4" w:space="0" w:color="auto"/>
            </w:tcBorders>
          </w:tcPr>
          <w:p w14:paraId="6B901B09"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tcPr>
          <w:p w14:paraId="126A25DA" w14:textId="77777777" w:rsidR="00EA0647" w:rsidRPr="00D6273D" w:rsidRDefault="00EA0647" w:rsidP="00D6273D">
            <w:pPr>
              <w:tabs>
                <w:tab w:val="left" w:pos="284"/>
              </w:tabs>
              <w:rPr>
                <w:rFonts w:ascii="Times New Roman" w:hAnsi="Times New Roman" w:cs="Times New Roman"/>
                <w:sz w:val="20"/>
                <w:szCs w:val="20"/>
              </w:rPr>
            </w:pPr>
          </w:p>
        </w:tc>
        <w:tc>
          <w:tcPr>
            <w:tcW w:w="894" w:type="pct"/>
            <w:tcBorders>
              <w:top w:val="single" w:sz="4" w:space="0" w:color="auto"/>
              <w:left w:val="single" w:sz="4" w:space="0" w:color="auto"/>
              <w:bottom w:val="single" w:sz="4" w:space="0" w:color="auto"/>
              <w:right w:val="single" w:sz="4" w:space="0" w:color="auto"/>
            </w:tcBorders>
            <w:hideMark/>
          </w:tcPr>
          <w:p w14:paraId="0D3AE029"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Disturbances in</w:t>
            </w:r>
          </w:p>
          <w:p w14:paraId="26B62EB5"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vision / blurred</w:t>
            </w:r>
          </w:p>
          <w:p w14:paraId="362A96DE"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vision</w:t>
            </w:r>
          </w:p>
        </w:tc>
        <w:tc>
          <w:tcPr>
            <w:tcW w:w="979" w:type="pct"/>
            <w:tcBorders>
              <w:top w:val="single" w:sz="4" w:space="0" w:color="auto"/>
              <w:left w:val="single" w:sz="4" w:space="0" w:color="auto"/>
              <w:bottom w:val="single" w:sz="4" w:space="0" w:color="auto"/>
              <w:right w:val="single" w:sz="4" w:space="0" w:color="auto"/>
            </w:tcBorders>
          </w:tcPr>
          <w:p w14:paraId="1AEA9692" w14:textId="77777777" w:rsidR="00EA0647" w:rsidRPr="00D6273D" w:rsidRDefault="00EA0647" w:rsidP="00D6273D">
            <w:pPr>
              <w:tabs>
                <w:tab w:val="left" w:pos="284"/>
              </w:tabs>
              <w:rPr>
                <w:rFonts w:ascii="Times New Roman" w:hAnsi="Times New Roman" w:cs="Times New Roman"/>
                <w:sz w:val="20"/>
                <w:szCs w:val="20"/>
                <w:lang w:val="en-GB"/>
              </w:rPr>
            </w:pPr>
          </w:p>
        </w:tc>
        <w:tc>
          <w:tcPr>
            <w:tcW w:w="955" w:type="pct"/>
            <w:tcBorders>
              <w:top w:val="single" w:sz="4" w:space="0" w:color="auto"/>
              <w:left w:val="single" w:sz="4" w:space="0" w:color="auto"/>
              <w:bottom w:val="single" w:sz="4" w:space="0" w:color="auto"/>
              <w:right w:val="single" w:sz="4" w:space="0" w:color="auto"/>
            </w:tcBorders>
          </w:tcPr>
          <w:p w14:paraId="349F234D" w14:textId="77777777" w:rsidR="00EA0647" w:rsidRPr="00D6273D" w:rsidRDefault="00EA0647" w:rsidP="00D6273D">
            <w:pPr>
              <w:tabs>
                <w:tab w:val="left" w:pos="284"/>
              </w:tabs>
              <w:rPr>
                <w:rFonts w:ascii="Times New Roman" w:hAnsi="Times New Roman" w:cs="Times New Roman"/>
                <w:sz w:val="20"/>
                <w:szCs w:val="20"/>
                <w:lang w:val="en-GB"/>
              </w:rPr>
            </w:pPr>
          </w:p>
        </w:tc>
      </w:tr>
      <w:tr w:rsidR="00EA0647" w:rsidRPr="00AF4AC6" w14:paraId="47A60359"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7951E598" w14:textId="41EFE259"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Gastrointestinal</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disorders</w:t>
            </w:r>
          </w:p>
        </w:tc>
        <w:tc>
          <w:tcPr>
            <w:tcW w:w="546" w:type="pct"/>
            <w:tcBorders>
              <w:top w:val="single" w:sz="4" w:space="0" w:color="auto"/>
              <w:left w:val="single" w:sz="4" w:space="0" w:color="auto"/>
              <w:bottom w:val="single" w:sz="4" w:space="0" w:color="auto"/>
              <w:right w:val="single" w:sz="4" w:space="0" w:color="auto"/>
            </w:tcBorders>
            <w:hideMark/>
          </w:tcPr>
          <w:p w14:paraId="55E1FB1E"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Fundic</w:t>
            </w:r>
          </w:p>
          <w:p w14:paraId="596B9453"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gland</w:t>
            </w:r>
          </w:p>
          <w:p w14:paraId="0F26199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polyps</w:t>
            </w:r>
          </w:p>
          <w:p w14:paraId="43B126E6"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(benign)</w:t>
            </w:r>
          </w:p>
        </w:tc>
        <w:tc>
          <w:tcPr>
            <w:tcW w:w="793" w:type="pct"/>
            <w:tcBorders>
              <w:top w:val="single" w:sz="4" w:space="0" w:color="auto"/>
              <w:left w:val="single" w:sz="4" w:space="0" w:color="auto"/>
              <w:bottom w:val="single" w:sz="4" w:space="0" w:color="auto"/>
              <w:right w:val="single" w:sz="4" w:space="0" w:color="auto"/>
            </w:tcBorders>
            <w:hideMark/>
          </w:tcPr>
          <w:p w14:paraId="7E2E2C5A"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Diarrhoea;</w:t>
            </w:r>
          </w:p>
          <w:p w14:paraId="4C6880FD"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Nausea /</w:t>
            </w:r>
          </w:p>
          <w:p w14:paraId="60295355"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vomiting;</w:t>
            </w:r>
          </w:p>
          <w:p w14:paraId="2C6ED386"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Abdominal</w:t>
            </w:r>
          </w:p>
          <w:p w14:paraId="32B587E2"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distension and</w:t>
            </w:r>
          </w:p>
          <w:p w14:paraId="792AB886"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bloating;</w:t>
            </w:r>
          </w:p>
          <w:p w14:paraId="76F5DB32"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Constipation;</w:t>
            </w:r>
          </w:p>
          <w:p w14:paraId="50E70A5E"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Dry mouth;</w:t>
            </w:r>
          </w:p>
          <w:p w14:paraId="4A85A61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Abdominal</w:t>
            </w:r>
          </w:p>
          <w:p w14:paraId="0440C5ED"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pain and</w:t>
            </w:r>
          </w:p>
          <w:p w14:paraId="43F5D037"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discomfort</w:t>
            </w:r>
          </w:p>
        </w:tc>
        <w:tc>
          <w:tcPr>
            <w:tcW w:w="894" w:type="pct"/>
            <w:tcBorders>
              <w:top w:val="single" w:sz="4" w:space="0" w:color="auto"/>
              <w:left w:val="single" w:sz="4" w:space="0" w:color="auto"/>
              <w:bottom w:val="single" w:sz="4" w:space="0" w:color="auto"/>
              <w:right w:val="single" w:sz="4" w:space="0" w:color="auto"/>
            </w:tcBorders>
          </w:tcPr>
          <w:p w14:paraId="4841B3E2" w14:textId="77777777" w:rsidR="00EA0647" w:rsidRPr="00D6273D" w:rsidRDefault="00EA0647" w:rsidP="00D6273D">
            <w:pPr>
              <w:tabs>
                <w:tab w:val="left" w:pos="284"/>
              </w:tabs>
              <w:rPr>
                <w:rFonts w:ascii="Times New Roman" w:hAnsi="Times New Roman" w:cs="Times New Roman"/>
                <w:sz w:val="20"/>
                <w:szCs w:val="20"/>
              </w:rPr>
            </w:pPr>
          </w:p>
        </w:tc>
        <w:tc>
          <w:tcPr>
            <w:tcW w:w="979" w:type="pct"/>
            <w:tcBorders>
              <w:top w:val="single" w:sz="4" w:space="0" w:color="auto"/>
              <w:left w:val="single" w:sz="4" w:space="0" w:color="auto"/>
              <w:bottom w:val="single" w:sz="4" w:space="0" w:color="auto"/>
              <w:right w:val="single" w:sz="4" w:space="0" w:color="auto"/>
            </w:tcBorders>
          </w:tcPr>
          <w:p w14:paraId="1B9EC024"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343DF328"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Microscopic colitis</w:t>
            </w:r>
          </w:p>
        </w:tc>
      </w:tr>
      <w:tr w:rsidR="00EA0647" w:rsidRPr="007F6E4E" w14:paraId="66DF0BB4"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646E9E5B" w14:textId="52681CFC"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Hepatobiliary</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disorders</w:t>
            </w:r>
          </w:p>
        </w:tc>
        <w:tc>
          <w:tcPr>
            <w:tcW w:w="546" w:type="pct"/>
            <w:tcBorders>
              <w:top w:val="single" w:sz="4" w:space="0" w:color="auto"/>
              <w:left w:val="single" w:sz="4" w:space="0" w:color="auto"/>
              <w:bottom w:val="single" w:sz="4" w:space="0" w:color="auto"/>
              <w:right w:val="single" w:sz="4" w:space="0" w:color="auto"/>
            </w:tcBorders>
          </w:tcPr>
          <w:p w14:paraId="02BDE4A0"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hideMark/>
          </w:tcPr>
          <w:p w14:paraId="49F88040"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Liver enzymes</w:t>
            </w:r>
          </w:p>
          <w:p w14:paraId="5D5D04F2"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increased</w:t>
            </w:r>
          </w:p>
          <w:p w14:paraId="5493A5C2"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(transaminases,</w:t>
            </w:r>
          </w:p>
          <w:p w14:paraId="3F4AE84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rPr>
              <w:t>γ</w:t>
            </w:r>
            <w:r w:rsidRPr="00D6273D">
              <w:rPr>
                <w:rFonts w:ascii="Times New Roman" w:hAnsi="Times New Roman" w:cs="Times New Roman"/>
                <w:sz w:val="20"/>
                <w:szCs w:val="20"/>
                <w:lang w:val="en-GB"/>
              </w:rPr>
              <w:t>-GT)</w:t>
            </w:r>
          </w:p>
        </w:tc>
        <w:tc>
          <w:tcPr>
            <w:tcW w:w="894" w:type="pct"/>
            <w:tcBorders>
              <w:top w:val="single" w:sz="4" w:space="0" w:color="auto"/>
              <w:left w:val="single" w:sz="4" w:space="0" w:color="auto"/>
              <w:bottom w:val="single" w:sz="4" w:space="0" w:color="auto"/>
              <w:right w:val="single" w:sz="4" w:space="0" w:color="auto"/>
            </w:tcBorders>
            <w:hideMark/>
          </w:tcPr>
          <w:p w14:paraId="37BCEB38"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Bilirubin</w:t>
            </w:r>
          </w:p>
          <w:p w14:paraId="65988282"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increased</w:t>
            </w:r>
          </w:p>
        </w:tc>
        <w:tc>
          <w:tcPr>
            <w:tcW w:w="979" w:type="pct"/>
            <w:tcBorders>
              <w:top w:val="single" w:sz="4" w:space="0" w:color="auto"/>
              <w:left w:val="single" w:sz="4" w:space="0" w:color="auto"/>
              <w:bottom w:val="single" w:sz="4" w:space="0" w:color="auto"/>
              <w:right w:val="single" w:sz="4" w:space="0" w:color="auto"/>
            </w:tcBorders>
          </w:tcPr>
          <w:p w14:paraId="26D393CA"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1DD968B4"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Hepatocellular injury; Jaundice;</w:t>
            </w:r>
          </w:p>
          <w:p w14:paraId="38927D56"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Hepatocellular failure</w:t>
            </w:r>
          </w:p>
        </w:tc>
      </w:tr>
      <w:tr w:rsidR="00EA0647" w:rsidRPr="007F6E4E" w14:paraId="3BD0B029"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04AA1AA4" w14:textId="766EAA1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Skin and</w:t>
            </w:r>
            <w:r w:rsidR="00D6273D">
              <w:rPr>
                <w:rFonts w:ascii="Times New Roman" w:hAnsi="Times New Roman" w:cs="Times New Roman"/>
                <w:sz w:val="20"/>
                <w:szCs w:val="20"/>
                <w:lang w:val="en-GB"/>
              </w:rPr>
              <w:t xml:space="preserve"> </w:t>
            </w:r>
            <w:r w:rsidRPr="00D6273D">
              <w:rPr>
                <w:rFonts w:ascii="Times New Roman" w:hAnsi="Times New Roman" w:cs="Times New Roman"/>
                <w:sz w:val="20"/>
                <w:szCs w:val="20"/>
                <w:lang w:val="en-GB"/>
              </w:rPr>
              <w:t>sub-cutaneous</w:t>
            </w:r>
            <w:r w:rsidR="00D6273D">
              <w:rPr>
                <w:rFonts w:ascii="Times New Roman" w:hAnsi="Times New Roman" w:cs="Times New Roman"/>
                <w:sz w:val="20"/>
                <w:szCs w:val="20"/>
                <w:lang w:val="en-GB"/>
              </w:rPr>
              <w:t xml:space="preserve"> </w:t>
            </w:r>
            <w:r w:rsidRPr="00D6273D">
              <w:rPr>
                <w:rFonts w:ascii="Times New Roman" w:hAnsi="Times New Roman" w:cs="Times New Roman"/>
                <w:sz w:val="20"/>
                <w:szCs w:val="20"/>
                <w:lang w:val="en-GB"/>
              </w:rPr>
              <w:t>tissue disorders</w:t>
            </w:r>
          </w:p>
        </w:tc>
        <w:tc>
          <w:tcPr>
            <w:tcW w:w="546" w:type="pct"/>
            <w:tcBorders>
              <w:top w:val="single" w:sz="4" w:space="0" w:color="auto"/>
              <w:left w:val="single" w:sz="4" w:space="0" w:color="auto"/>
              <w:bottom w:val="single" w:sz="4" w:space="0" w:color="auto"/>
              <w:right w:val="single" w:sz="4" w:space="0" w:color="auto"/>
            </w:tcBorders>
          </w:tcPr>
          <w:p w14:paraId="0CCCB6F6" w14:textId="77777777" w:rsidR="00EA0647" w:rsidRPr="00D6273D" w:rsidRDefault="00EA0647" w:rsidP="00D6273D">
            <w:pPr>
              <w:tabs>
                <w:tab w:val="left" w:pos="284"/>
              </w:tabs>
              <w:rPr>
                <w:rFonts w:ascii="Times New Roman" w:hAnsi="Times New Roman" w:cs="Times New Roman"/>
                <w:sz w:val="20"/>
                <w:szCs w:val="20"/>
                <w:lang w:val="en-GB"/>
              </w:rPr>
            </w:pPr>
          </w:p>
        </w:tc>
        <w:tc>
          <w:tcPr>
            <w:tcW w:w="793" w:type="pct"/>
            <w:tcBorders>
              <w:top w:val="single" w:sz="4" w:space="0" w:color="auto"/>
              <w:left w:val="single" w:sz="4" w:space="0" w:color="auto"/>
              <w:bottom w:val="single" w:sz="4" w:space="0" w:color="auto"/>
              <w:right w:val="single" w:sz="4" w:space="0" w:color="auto"/>
            </w:tcBorders>
            <w:hideMark/>
          </w:tcPr>
          <w:p w14:paraId="2493A362"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Rash /</w:t>
            </w:r>
          </w:p>
          <w:p w14:paraId="4EEF99ED"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exanthema /</w:t>
            </w:r>
          </w:p>
          <w:p w14:paraId="58F10332"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eruption;</w:t>
            </w:r>
          </w:p>
          <w:p w14:paraId="311476C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Pruritus</w:t>
            </w:r>
          </w:p>
        </w:tc>
        <w:tc>
          <w:tcPr>
            <w:tcW w:w="894" w:type="pct"/>
            <w:tcBorders>
              <w:top w:val="single" w:sz="4" w:space="0" w:color="auto"/>
              <w:left w:val="single" w:sz="4" w:space="0" w:color="auto"/>
              <w:bottom w:val="single" w:sz="4" w:space="0" w:color="auto"/>
              <w:right w:val="single" w:sz="4" w:space="0" w:color="auto"/>
            </w:tcBorders>
            <w:hideMark/>
          </w:tcPr>
          <w:p w14:paraId="791E3D95"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Urticaria;</w:t>
            </w:r>
          </w:p>
          <w:p w14:paraId="182D764A"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Angioedema</w:t>
            </w:r>
          </w:p>
        </w:tc>
        <w:tc>
          <w:tcPr>
            <w:tcW w:w="979" w:type="pct"/>
            <w:tcBorders>
              <w:top w:val="single" w:sz="4" w:space="0" w:color="auto"/>
              <w:left w:val="single" w:sz="4" w:space="0" w:color="auto"/>
              <w:bottom w:val="single" w:sz="4" w:space="0" w:color="auto"/>
              <w:right w:val="single" w:sz="4" w:space="0" w:color="auto"/>
            </w:tcBorders>
          </w:tcPr>
          <w:p w14:paraId="231FC3C9"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14A6B3C3"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Stevens-Johnson syndrome; Lyell</w:t>
            </w:r>
          </w:p>
          <w:p w14:paraId="5A4B0D17"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syndrome; Erythema multiforme;</w:t>
            </w:r>
          </w:p>
          <w:p w14:paraId="0C420F9D"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Photosensitivity; Sub-acute</w:t>
            </w:r>
          </w:p>
          <w:p w14:paraId="5D5DAEDC"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cutaneous lupus erythematosus</w:t>
            </w:r>
          </w:p>
          <w:p w14:paraId="6E0A09EE"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(see section 4.4); Drug reaction with</w:t>
            </w:r>
          </w:p>
          <w:p w14:paraId="122BF1C4"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lastRenderedPageBreak/>
              <w:t>eosinophilia and systemic</w:t>
            </w:r>
          </w:p>
          <w:p w14:paraId="3AE69AE2"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symptoms DRESS</w:t>
            </w:r>
          </w:p>
        </w:tc>
      </w:tr>
      <w:tr w:rsidR="00EA0647" w:rsidRPr="00AF4AC6" w14:paraId="47C8AACE"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7565D622" w14:textId="133CD56C"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lastRenderedPageBreak/>
              <w:t>Musculoskeletal</w:t>
            </w:r>
            <w:r w:rsidR="00D6273D">
              <w:rPr>
                <w:rFonts w:ascii="Times New Roman" w:hAnsi="Times New Roman" w:cs="Times New Roman"/>
                <w:sz w:val="20"/>
                <w:szCs w:val="20"/>
                <w:lang w:val="en-GB"/>
              </w:rPr>
              <w:t xml:space="preserve"> </w:t>
            </w:r>
            <w:r w:rsidRPr="00D6273D">
              <w:rPr>
                <w:rFonts w:ascii="Times New Roman" w:hAnsi="Times New Roman" w:cs="Times New Roman"/>
                <w:sz w:val="20"/>
                <w:szCs w:val="20"/>
                <w:lang w:val="en-GB"/>
              </w:rPr>
              <w:t>and connective</w:t>
            </w:r>
            <w:r w:rsidR="00D6273D">
              <w:rPr>
                <w:rFonts w:ascii="Times New Roman" w:hAnsi="Times New Roman" w:cs="Times New Roman"/>
                <w:sz w:val="20"/>
                <w:szCs w:val="20"/>
                <w:lang w:val="en-GB"/>
              </w:rPr>
              <w:t xml:space="preserve"> </w:t>
            </w:r>
            <w:r w:rsidRPr="00D6273D">
              <w:rPr>
                <w:rFonts w:ascii="Times New Roman" w:hAnsi="Times New Roman" w:cs="Times New Roman"/>
                <w:sz w:val="20"/>
                <w:szCs w:val="20"/>
                <w:lang w:val="en-GB"/>
              </w:rPr>
              <w:t>tissue disorders</w:t>
            </w:r>
          </w:p>
        </w:tc>
        <w:tc>
          <w:tcPr>
            <w:tcW w:w="546" w:type="pct"/>
            <w:tcBorders>
              <w:top w:val="single" w:sz="4" w:space="0" w:color="auto"/>
              <w:left w:val="single" w:sz="4" w:space="0" w:color="auto"/>
              <w:bottom w:val="single" w:sz="4" w:space="0" w:color="auto"/>
              <w:right w:val="single" w:sz="4" w:space="0" w:color="auto"/>
            </w:tcBorders>
          </w:tcPr>
          <w:p w14:paraId="5ED4D714" w14:textId="77777777" w:rsidR="00EA0647" w:rsidRPr="00D6273D" w:rsidRDefault="00EA0647" w:rsidP="00D6273D">
            <w:pPr>
              <w:tabs>
                <w:tab w:val="left" w:pos="284"/>
              </w:tabs>
              <w:rPr>
                <w:rFonts w:ascii="Times New Roman" w:hAnsi="Times New Roman" w:cs="Times New Roman"/>
                <w:sz w:val="20"/>
                <w:szCs w:val="20"/>
                <w:lang w:val="en-GB"/>
              </w:rPr>
            </w:pPr>
          </w:p>
        </w:tc>
        <w:tc>
          <w:tcPr>
            <w:tcW w:w="793" w:type="pct"/>
            <w:tcBorders>
              <w:top w:val="single" w:sz="4" w:space="0" w:color="auto"/>
              <w:left w:val="single" w:sz="4" w:space="0" w:color="auto"/>
              <w:bottom w:val="single" w:sz="4" w:space="0" w:color="auto"/>
              <w:right w:val="single" w:sz="4" w:space="0" w:color="auto"/>
            </w:tcBorders>
            <w:hideMark/>
          </w:tcPr>
          <w:p w14:paraId="264BF68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Fracture of the</w:t>
            </w:r>
          </w:p>
          <w:p w14:paraId="4B3C7D57"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hip, wrist or</w:t>
            </w:r>
          </w:p>
          <w:p w14:paraId="6AA16192"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spine (see</w:t>
            </w:r>
          </w:p>
          <w:p w14:paraId="4C291E9E"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section 4.4)</w:t>
            </w:r>
          </w:p>
        </w:tc>
        <w:tc>
          <w:tcPr>
            <w:tcW w:w="894" w:type="pct"/>
            <w:tcBorders>
              <w:top w:val="single" w:sz="4" w:space="0" w:color="auto"/>
              <w:left w:val="single" w:sz="4" w:space="0" w:color="auto"/>
              <w:bottom w:val="single" w:sz="4" w:space="0" w:color="auto"/>
              <w:right w:val="single" w:sz="4" w:space="0" w:color="auto"/>
            </w:tcBorders>
            <w:hideMark/>
          </w:tcPr>
          <w:p w14:paraId="6088618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Arthralgia;</w:t>
            </w:r>
          </w:p>
          <w:p w14:paraId="6B132301"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Myalgia</w:t>
            </w:r>
          </w:p>
        </w:tc>
        <w:tc>
          <w:tcPr>
            <w:tcW w:w="979" w:type="pct"/>
            <w:tcBorders>
              <w:top w:val="single" w:sz="4" w:space="0" w:color="auto"/>
              <w:left w:val="single" w:sz="4" w:space="0" w:color="auto"/>
              <w:bottom w:val="single" w:sz="4" w:space="0" w:color="auto"/>
              <w:right w:val="single" w:sz="4" w:space="0" w:color="auto"/>
            </w:tcBorders>
          </w:tcPr>
          <w:p w14:paraId="5832D3D3"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30F5263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Muscle spasm</w:t>
            </w:r>
            <w:r w:rsidRPr="00D6273D">
              <w:rPr>
                <w:rFonts w:ascii="Times New Roman" w:hAnsi="Times New Roman" w:cs="Times New Roman"/>
                <w:sz w:val="20"/>
                <w:szCs w:val="20"/>
                <w:vertAlign w:val="superscript"/>
              </w:rPr>
              <w:t>(2)</w:t>
            </w:r>
          </w:p>
        </w:tc>
      </w:tr>
      <w:tr w:rsidR="00EA0647" w:rsidRPr="00AF4AC6" w14:paraId="0F33A366"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0B6A6DEE" w14:textId="500758E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Renal and</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urinary</w:t>
            </w:r>
            <w:r w:rsidR="00D6273D">
              <w:rPr>
                <w:rFonts w:ascii="Times New Roman" w:hAnsi="Times New Roman" w:cs="Times New Roman"/>
                <w:sz w:val="20"/>
                <w:szCs w:val="20"/>
              </w:rPr>
              <w:t xml:space="preserve"> </w:t>
            </w:r>
            <w:r w:rsidRPr="00D6273D">
              <w:rPr>
                <w:rFonts w:ascii="Times New Roman" w:hAnsi="Times New Roman" w:cs="Times New Roman"/>
                <w:sz w:val="20"/>
                <w:szCs w:val="20"/>
              </w:rPr>
              <w:t>disorders</w:t>
            </w:r>
          </w:p>
        </w:tc>
        <w:tc>
          <w:tcPr>
            <w:tcW w:w="546" w:type="pct"/>
            <w:tcBorders>
              <w:top w:val="single" w:sz="4" w:space="0" w:color="auto"/>
              <w:left w:val="single" w:sz="4" w:space="0" w:color="auto"/>
              <w:bottom w:val="single" w:sz="4" w:space="0" w:color="auto"/>
              <w:right w:val="single" w:sz="4" w:space="0" w:color="auto"/>
            </w:tcBorders>
          </w:tcPr>
          <w:p w14:paraId="0D07E9FA" w14:textId="77777777" w:rsidR="00EA0647" w:rsidRPr="00D6273D" w:rsidRDefault="00EA0647" w:rsidP="00D6273D">
            <w:pPr>
              <w:tabs>
                <w:tab w:val="left" w:pos="284"/>
              </w:tabs>
              <w:rPr>
                <w:rFonts w:ascii="Times New Roman" w:hAnsi="Times New Roman" w:cs="Times New Roman"/>
                <w:sz w:val="20"/>
                <w:szCs w:val="20"/>
              </w:rPr>
            </w:pPr>
          </w:p>
        </w:tc>
        <w:tc>
          <w:tcPr>
            <w:tcW w:w="793" w:type="pct"/>
            <w:tcBorders>
              <w:top w:val="single" w:sz="4" w:space="0" w:color="auto"/>
              <w:left w:val="single" w:sz="4" w:space="0" w:color="auto"/>
              <w:bottom w:val="single" w:sz="4" w:space="0" w:color="auto"/>
              <w:right w:val="single" w:sz="4" w:space="0" w:color="auto"/>
            </w:tcBorders>
          </w:tcPr>
          <w:p w14:paraId="03A7DD3D" w14:textId="77777777" w:rsidR="00EA0647" w:rsidRPr="00D6273D" w:rsidRDefault="00EA0647" w:rsidP="00D6273D">
            <w:pPr>
              <w:tabs>
                <w:tab w:val="left" w:pos="284"/>
              </w:tabs>
              <w:rPr>
                <w:rFonts w:ascii="Times New Roman" w:hAnsi="Times New Roman" w:cs="Times New Roman"/>
                <w:sz w:val="20"/>
                <w:szCs w:val="20"/>
              </w:rPr>
            </w:pPr>
          </w:p>
        </w:tc>
        <w:tc>
          <w:tcPr>
            <w:tcW w:w="894" w:type="pct"/>
            <w:tcBorders>
              <w:top w:val="single" w:sz="4" w:space="0" w:color="auto"/>
              <w:left w:val="single" w:sz="4" w:space="0" w:color="auto"/>
              <w:bottom w:val="single" w:sz="4" w:space="0" w:color="auto"/>
              <w:right w:val="single" w:sz="4" w:space="0" w:color="auto"/>
            </w:tcBorders>
          </w:tcPr>
          <w:p w14:paraId="59DF103A" w14:textId="77777777" w:rsidR="00EA0647" w:rsidRPr="00D6273D" w:rsidRDefault="00EA0647" w:rsidP="00D6273D">
            <w:pPr>
              <w:tabs>
                <w:tab w:val="left" w:pos="284"/>
              </w:tabs>
              <w:rPr>
                <w:rFonts w:ascii="Times New Roman" w:hAnsi="Times New Roman" w:cs="Times New Roman"/>
                <w:sz w:val="20"/>
                <w:szCs w:val="20"/>
              </w:rPr>
            </w:pPr>
          </w:p>
        </w:tc>
        <w:tc>
          <w:tcPr>
            <w:tcW w:w="979" w:type="pct"/>
            <w:tcBorders>
              <w:top w:val="single" w:sz="4" w:space="0" w:color="auto"/>
              <w:left w:val="single" w:sz="4" w:space="0" w:color="auto"/>
              <w:bottom w:val="single" w:sz="4" w:space="0" w:color="auto"/>
              <w:right w:val="single" w:sz="4" w:space="0" w:color="auto"/>
            </w:tcBorders>
          </w:tcPr>
          <w:p w14:paraId="5D7E5B35"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hideMark/>
          </w:tcPr>
          <w:p w14:paraId="537DEDCC"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 xml:space="preserve">Interstitial nephritis </w:t>
            </w:r>
          </w:p>
          <w:p w14:paraId="21189A6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(with possible progression to renal</w:t>
            </w:r>
          </w:p>
          <w:p w14:paraId="47E74AF6"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failure)</w:t>
            </w:r>
          </w:p>
        </w:tc>
      </w:tr>
      <w:tr w:rsidR="00EA0647" w:rsidRPr="00AF4AC6" w14:paraId="1AB41395"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751A3D35" w14:textId="05CA028B"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Reproductive</w:t>
            </w:r>
            <w:r w:rsidR="00D6273D">
              <w:rPr>
                <w:rFonts w:ascii="Times New Roman" w:hAnsi="Times New Roman" w:cs="Times New Roman"/>
                <w:sz w:val="20"/>
                <w:szCs w:val="20"/>
                <w:lang w:val="en-GB"/>
              </w:rPr>
              <w:t xml:space="preserve"> </w:t>
            </w:r>
            <w:r w:rsidRPr="00D6273D">
              <w:rPr>
                <w:rFonts w:ascii="Times New Roman" w:hAnsi="Times New Roman" w:cs="Times New Roman"/>
                <w:sz w:val="20"/>
                <w:szCs w:val="20"/>
                <w:lang w:val="en-GB"/>
              </w:rPr>
              <w:t>system and</w:t>
            </w:r>
            <w:r w:rsidR="00D6273D">
              <w:rPr>
                <w:rFonts w:ascii="Times New Roman" w:hAnsi="Times New Roman" w:cs="Times New Roman"/>
                <w:sz w:val="20"/>
                <w:szCs w:val="20"/>
                <w:lang w:val="en-GB"/>
              </w:rPr>
              <w:t xml:space="preserve"> </w:t>
            </w:r>
            <w:r w:rsidRPr="00D6273D">
              <w:rPr>
                <w:rFonts w:ascii="Times New Roman" w:hAnsi="Times New Roman" w:cs="Times New Roman"/>
                <w:sz w:val="20"/>
                <w:szCs w:val="20"/>
                <w:lang w:val="en-GB"/>
              </w:rPr>
              <w:t>breast disorders</w:t>
            </w:r>
          </w:p>
        </w:tc>
        <w:tc>
          <w:tcPr>
            <w:tcW w:w="546" w:type="pct"/>
            <w:tcBorders>
              <w:top w:val="single" w:sz="4" w:space="0" w:color="auto"/>
              <w:left w:val="single" w:sz="4" w:space="0" w:color="auto"/>
              <w:bottom w:val="single" w:sz="4" w:space="0" w:color="auto"/>
              <w:right w:val="single" w:sz="4" w:space="0" w:color="auto"/>
            </w:tcBorders>
          </w:tcPr>
          <w:p w14:paraId="0AAB2028" w14:textId="77777777" w:rsidR="00EA0647" w:rsidRPr="00D6273D" w:rsidRDefault="00EA0647" w:rsidP="00D6273D">
            <w:pPr>
              <w:tabs>
                <w:tab w:val="left" w:pos="284"/>
              </w:tabs>
              <w:rPr>
                <w:rFonts w:ascii="Times New Roman" w:hAnsi="Times New Roman" w:cs="Times New Roman"/>
                <w:sz w:val="20"/>
                <w:szCs w:val="20"/>
                <w:lang w:val="en-GB"/>
              </w:rPr>
            </w:pPr>
          </w:p>
        </w:tc>
        <w:tc>
          <w:tcPr>
            <w:tcW w:w="793" w:type="pct"/>
            <w:tcBorders>
              <w:top w:val="single" w:sz="4" w:space="0" w:color="auto"/>
              <w:left w:val="single" w:sz="4" w:space="0" w:color="auto"/>
              <w:bottom w:val="single" w:sz="4" w:space="0" w:color="auto"/>
              <w:right w:val="single" w:sz="4" w:space="0" w:color="auto"/>
            </w:tcBorders>
          </w:tcPr>
          <w:p w14:paraId="61FD426C" w14:textId="77777777" w:rsidR="00EA0647" w:rsidRPr="00D6273D" w:rsidRDefault="00EA0647" w:rsidP="00D6273D">
            <w:pPr>
              <w:tabs>
                <w:tab w:val="left" w:pos="284"/>
              </w:tabs>
              <w:rPr>
                <w:rFonts w:ascii="Times New Roman" w:hAnsi="Times New Roman" w:cs="Times New Roman"/>
                <w:sz w:val="20"/>
                <w:szCs w:val="20"/>
                <w:lang w:val="en-GB"/>
              </w:rPr>
            </w:pPr>
          </w:p>
        </w:tc>
        <w:tc>
          <w:tcPr>
            <w:tcW w:w="894" w:type="pct"/>
            <w:tcBorders>
              <w:top w:val="single" w:sz="4" w:space="0" w:color="auto"/>
              <w:left w:val="single" w:sz="4" w:space="0" w:color="auto"/>
              <w:bottom w:val="single" w:sz="4" w:space="0" w:color="auto"/>
              <w:right w:val="single" w:sz="4" w:space="0" w:color="auto"/>
            </w:tcBorders>
            <w:hideMark/>
          </w:tcPr>
          <w:p w14:paraId="4BEA034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Gynaecomastia</w:t>
            </w:r>
          </w:p>
        </w:tc>
        <w:tc>
          <w:tcPr>
            <w:tcW w:w="979" w:type="pct"/>
            <w:tcBorders>
              <w:top w:val="single" w:sz="4" w:space="0" w:color="auto"/>
              <w:left w:val="single" w:sz="4" w:space="0" w:color="auto"/>
              <w:bottom w:val="single" w:sz="4" w:space="0" w:color="auto"/>
              <w:right w:val="single" w:sz="4" w:space="0" w:color="auto"/>
            </w:tcBorders>
          </w:tcPr>
          <w:p w14:paraId="6B8D612F" w14:textId="77777777" w:rsidR="00EA0647" w:rsidRPr="00D6273D" w:rsidRDefault="00EA0647" w:rsidP="00D6273D">
            <w:pPr>
              <w:tabs>
                <w:tab w:val="left" w:pos="284"/>
              </w:tabs>
              <w:rPr>
                <w:rFonts w:ascii="Times New Roman" w:hAnsi="Times New Roman" w:cs="Times New Roman"/>
                <w:sz w:val="20"/>
                <w:szCs w:val="20"/>
              </w:rPr>
            </w:pPr>
          </w:p>
        </w:tc>
        <w:tc>
          <w:tcPr>
            <w:tcW w:w="955" w:type="pct"/>
            <w:tcBorders>
              <w:top w:val="single" w:sz="4" w:space="0" w:color="auto"/>
              <w:left w:val="single" w:sz="4" w:space="0" w:color="auto"/>
              <w:bottom w:val="single" w:sz="4" w:space="0" w:color="auto"/>
              <w:right w:val="single" w:sz="4" w:space="0" w:color="auto"/>
            </w:tcBorders>
          </w:tcPr>
          <w:p w14:paraId="29D63B77" w14:textId="77777777" w:rsidR="00EA0647" w:rsidRPr="00D6273D" w:rsidRDefault="00EA0647" w:rsidP="00D6273D">
            <w:pPr>
              <w:tabs>
                <w:tab w:val="left" w:pos="284"/>
              </w:tabs>
              <w:rPr>
                <w:rFonts w:ascii="Times New Roman" w:hAnsi="Times New Roman" w:cs="Times New Roman"/>
                <w:sz w:val="20"/>
                <w:szCs w:val="20"/>
              </w:rPr>
            </w:pPr>
          </w:p>
        </w:tc>
      </w:tr>
      <w:tr w:rsidR="00EA0647" w:rsidRPr="007F6E4E" w14:paraId="185D3C6D" w14:textId="77777777" w:rsidTr="00D6273D">
        <w:trPr>
          <w:jc w:val="center"/>
        </w:trPr>
        <w:tc>
          <w:tcPr>
            <w:tcW w:w="834" w:type="pct"/>
            <w:tcBorders>
              <w:top w:val="single" w:sz="4" w:space="0" w:color="auto"/>
              <w:left w:val="single" w:sz="4" w:space="0" w:color="auto"/>
              <w:bottom w:val="single" w:sz="4" w:space="0" w:color="auto"/>
              <w:right w:val="single" w:sz="4" w:space="0" w:color="auto"/>
            </w:tcBorders>
            <w:hideMark/>
          </w:tcPr>
          <w:p w14:paraId="095FFC52"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General disorders and administration site conditions</w:t>
            </w:r>
          </w:p>
        </w:tc>
        <w:tc>
          <w:tcPr>
            <w:tcW w:w="546" w:type="pct"/>
            <w:tcBorders>
              <w:top w:val="single" w:sz="4" w:space="0" w:color="auto"/>
              <w:left w:val="single" w:sz="4" w:space="0" w:color="auto"/>
              <w:bottom w:val="single" w:sz="4" w:space="0" w:color="auto"/>
              <w:right w:val="single" w:sz="4" w:space="0" w:color="auto"/>
            </w:tcBorders>
          </w:tcPr>
          <w:p w14:paraId="425F8A50" w14:textId="77777777" w:rsidR="00EA0647" w:rsidRPr="00D6273D" w:rsidRDefault="00EA0647" w:rsidP="00D6273D">
            <w:pPr>
              <w:tabs>
                <w:tab w:val="left" w:pos="284"/>
              </w:tabs>
              <w:rPr>
                <w:rFonts w:ascii="Times New Roman" w:hAnsi="Times New Roman" w:cs="Times New Roman"/>
                <w:sz w:val="20"/>
                <w:szCs w:val="20"/>
                <w:lang w:val="en-GB"/>
              </w:rPr>
            </w:pPr>
          </w:p>
        </w:tc>
        <w:tc>
          <w:tcPr>
            <w:tcW w:w="793" w:type="pct"/>
            <w:tcBorders>
              <w:top w:val="single" w:sz="4" w:space="0" w:color="auto"/>
              <w:left w:val="single" w:sz="4" w:space="0" w:color="auto"/>
              <w:bottom w:val="single" w:sz="4" w:space="0" w:color="auto"/>
              <w:right w:val="single" w:sz="4" w:space="0" w:color="auto"/>
            </w:tcBorders>
            <w:hideMark/>
          </w:tcPr>
          <w:p w14:paraId="664A0590"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Asthenia,</w:t>
            </w:r>
          </w:p>
          <w:p w14:paraId="40C451BC"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fatigue and</w:t>
            </w:r>
          </w:p>
          <w:p w14:paraId="46806CC4" w14:textId="77777777" w:rsidR="00EA0647" w:rsidRPr="00D6273D" w:rsidRDefault="00EA0647" w:rsidP="00D6273D">
            <w:pPr>
              <w:tabs>
                <w:tab w:val="left" w:pos="284"/>
              </w:tabs>
              <w:rPr>
                <w:rFonts w:ascii="Times New Roman" w:hAnsi="Times New Roman" w:cs="Times New Roman"/>
                <w:sz w:val="20"/>
                <w:szCs w:val="20"/>
              </w:rPr>
            </w:pPr>
            <w:r w:rsidRPr="00D6273D">
              <w:rPr>
                <w:rFonts w:ascii="Times New Roman" w:hAnsi="Times New Roman" w:cs="Times New Roman"/>
                <w:sz w:val="20"/>
                <w:szCs w:val="20"/>
              </w:rPr>
              <w:t>malaise</w:t>
            </w:r>
          </w:p>
        </w:tc>
        <w:tc>
          <w:tcPr>
            <w:tcW w:w="894" w:type="pct"/>
            <w:tcBorders>
              <w:top w:val="single" w:sz="4" w:space="0" w:color="auto"/>
              <w:left w:val="single" w:sz="4" w:space="0" w:color="auto"/>
              <w:bottom w:val="single" w:sz="4" w:space="0" w:color="auto"/>
              <w:right w:val="single" w:sz="4" w:space="0" w:color="auto"/>
            </w:tcBorders>
            <w:hideMark/>
          </w:tcPr>
          <w:p w14:paraId="47D98261"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Body</w:t>
            </w:r>
          </w:p>
          <w:p w14:paraId="7E6BA1A5"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temperature</w:t>
            </w:r>
          </w:p>
          <w:p w14:paraId="0225320D"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increased;</w:t>
            </w:r>
          </w:p>
          <w:p w14:paraId="67FDE0FB"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Oedema</w:t>
            </w:r>
          </w:p>
          <w:p w14:paraId="11ACE93C" w14:textId="77777777" w:rsidR="00EA0647" w:rsidRPr="00D6273D" w:rsidRDefault="00EA0647" w:rsidP="00D6273D">
            <w:pPr>
              <w:tabs>
                <w:tab w:val="left" w:pos="284"/>
              </w:tabs>
              <w:rPr>
                <w:rFonts w:ascii="Times New Roman" w:hAnsi="Times New Roman" w:cs="Times New Roman"/>
                <w:sz w:val="20"/>
                <w:szCs w:val="20"/>
                <w:lang w:val="en-GB"/>
              </w:rPr>
            </w:pPr>
            <w:r w:rsidRPr="00D6273D">
              <w:rPr>
                <w:rFonts w:ascii="Times New Roman" w:hAnsi="Times New Roman" w:cs="Times New Roman"/>
                <w:sz w:val="20"/>
                <w:szCs w:val="20"/>
                <w:lang w:val="en-GB"/>
              </w:rPr>
              <w:t>peripheral</w:t>
            </w:r>
          </w:p>
        </w:tc>
        <w:tc>
          <w:tcPr>
            <w:tcW w:w="979" w:type="pct"/>
            <w:tcBorders>
              <w:top w:val="single" w:sz="4" w:space="0" w:color="auto"/>
              <w:left w:val="single" w:sz="4" w:space="0" w:color="auto"/>
              <w:bottom w:val="single" w:sz="4" w:space="0" w:color="auto"/>
              <w:right w:val="single" w:sz="4" w:space="0" w:color="auto"/>
            </w:tcBorders>
          </w:tcPr>
          <w:p w14:paraId="317C6A6E" w14:textId="77777777" w:rsidR="00EA0647" w:rsidRPr="00D6273D" w:rsidRDefault="00EA0647" w:rsidP="00D6273D">
            <w:pPr>
              <w:tabs>
                <w:tab w:val="left" w:pos="284"/>
              </w:tabs>
              <w:rPr>
                <w:rFonts w:ascii="Times New Roman" w:hAnsi="Times New Roman" w:cs="Times New Roman"/>
                <w:sz w:val="20"/>
                <w:szCs w:val="20"/>
                <w:lang w:val="en-GB"/>
              </w:rPr>
            </w:pPr>
          </w:p>
        </w:tc>
        <w:tc>
          <w:tcPr>
            <w:tcW w:w="955" w:type="pct"/>
            <w:tcBorders>
              <w:top w:val="single" w:sz="4" w:space="0" w:color="auto"/>
              <w:left w:val="single" w:sz="4" w:space="0" w:color="auto"/>
              <w:bottom w:val="single" w:sz="4" w:space="0" w:color="auto"/>
              <w:right w:val="single" w:sz="4" w:space="0" w:color="auto"/>
            </w:tcBorders>
          </w:tcPr>
          <w:p w14:paraId="0D0BCA51" w14:textId="77777777" w:rsidR="00EA0647" w:rsidRPr="00D6273D" w:rsidRDefault="00EA0647" w:rsidP="00D6273D">
            <w:pPr>
              <w:tabs>
                <w:tab w:val="left" w:pos="284"/>
              </w:tabs>
              <w:rPr>
                <w:rFonts w:ascii="Times New Roman" w:hAnsi="Times New Roman" w:cs="Times New Roman"/>
                <w:sz w:val="20"/>
                <w:szCs w:val="20"/>
                <w:lang w:val="en-GB"/>
              </w:rPr>
            </w:pPr>
          </w:p>
        </w:tc>
      </w:tr>
    </w:tbl>
    <w:p w14:paraId="4BE3E183" w14:textId="77777777" w:rsidR="00EA0647" w:rsidRPr="00D6273D" w:rsidRDefault="00EA0647" w:rsidP="00D6273D">
      <w:pPr>
        <w:tabs>
          <w:tab w:val="left" w:pos="284"/>
        </w:tabs>
        <w:ind w:left="284" w:hanging="284"/>
        <w:rPr>
          <w:sz w:val="20"/>
          <w:lang w:val="en-GB" w:eastAsia="en-US"/>
        </w:rPr>
      </w:pPr>
      <w:r w:rsidRPr="00D6273D">
        <w:rPr>
          <w:sz w:val="20"/>
          <w:lang w:val="en-GB"/>
        </w:rPr>
        <w:t xml:space="preserve">1. </w:t>
      </w:r>
      <w:proofErr w:type="spellStart"/>
      <w:r w:rsidRPr="00D6273D">
        <w:rPr>
          <w:sz w:val="20"/>
          <w:lang w:val="en-GB"/>
        </w:rPr>
        <w:t>Hypocalcemia</w:t>
      </w:r>
      <w:proofErr w:type="spellEnd"/>
      <w:r w:rsidRPr="00D6273D">
        <w:rPr>
          <w:sz w:val="20"/>
          <w:lang w:val="en-GB"/>
        </w:rPr>
        <w:t xml:space="preserve"> and/or hypokalaemia may be related to the occurrence of hypomagnesaemia (see section 4.4)</w:t>
      </w:r>
    </w:p>
    <w:p w14:paraId="004F361C" w14:textId="77777777" w:rsidR="00EA0647" w:rsidRPr="00D6273D" w:rsidRDefault="00EA0647" w:rsidP="00D6273D">
      <w:pPr>
        <w:tabs>
          <w:tab w:val="left" w:pos="284"/>
        </w:tabs>
        <w:ind w:left="284" w:hanging="284"/>
        <w:rPr>
          <w:sz w:val="20"/>
          <w:lang w:val="en-GB"/>
        </w:rPr>
      </w:pPr>
      <w:r w:rsidRPr="00D6273D">
        <w:rPr>
          <w:sz w:val="20"/>
          <w:lang w:val="en-GB"/>
        </w:rPr>
        <w:t>2. Muscle spasm as a consequence of electrolyte disturbance</w:t>
      </w:r>
    </w:p>
    <w:p w14:paraId="79DB89A4" w14:textId="77777777" w:rsidR="00EA0647" w:rsidRPr="00D6273D" w:rsidRDefault="00EA0647" w:rsidP="00EA0647">
      <w:pPr>
        <w:tabs>
          <w:tab w:val="left" w:pos="284"/>
        </w:tabs>
        <w:rPr>
          <w:bCs/>
          <w:sz w:val="24"/>
          <w:szCs w:val="24"/>
          <w:lang w:val="en-GB"/>
        </w:rPr>
      </w:pPr>
    </w:p>
    <w:p w14:paraId="6B0A6AE1" w14:textId="77777777" w:rsidR="0035663F" w:rsidRPr="00AF4AC6" w:rsidRDefault="0035663F" w:rsidP="0035663F">
      <w:pPr>
        <w:ind w:left="851"/>
        <w:rPr>
          <w:sz w:val="24"/>
          <w:szCs w:val="24"/>
          <w:u w:val="single"/>
          <w:lang w:val="en-GB"/>
        </w:rPr>
      </w:pPr>
      <w:r w:rsidRPr="00AF4AC6">
        <w:rPr>
          <w:sz w:val="24"/>
          <w:szCs w:val="24"/>
          <w:u w:val="single"/>
          <w:lang w:val="en-GB"/>
        </w:rPr>
        <w:t>Reporting of suspected adverse reactions</w:t>
      </w:r>
    </w:p>
    <w:p w14:paraId="09B338BF" w14:textId="77777777" w:rsidR="0035663F" w:rsidRPr="00AF4AC6" w:rsidRDefault="0035663F" w:rsidP="0035663F">
      <w:pPr>
        <w:ind w:left="851"/>
        <w:rPr>
          <w:sz w:val="24"/>
          <w:szCs w:val="24"/>
          <w:lang w:val="en-GB"/>
        </w:rPr>
      </w:pPr>
      <w:r w:rsidRPr="00AF4AC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B94A65E" w14:textId="77777777" w:rsidR="0035663F" w:rsidRPr="00AF4AC6" w:rsidRDefault="0035663F" w:rsidP="0035663F">
      <w:pPr>
        <w:ind w:left="851"/>
        <w:rPr>
          <w:sz w:val="24"/>
          <w:szCs w:val="24"/>
          <w:lang w:val="en-GB"/>
        </w:rPr>
      </w:pPr>
    </w:p>
    <w:p w14:paraId="50BF39B7" w14:textId="77777777" w:rsidR="0035663F" w:rsidRPr="00AF4AC6" w:rsidRDefault="0035663F" w:rsidP="0035663F">
      <w:pPr>
        <w:ind w:left="851"/>
        <w:rPr>
          <w:sz w:val="24"/>
          <w:szCs w:val="24"/>
        </w:rPr>
      </w:pPr>
      <w:r w:rsidRPr="00AF4AC6">
        <w:rPr>
          <w:sz w:val="24"/>
          <w:szCs w:val="24"/>
        </w:rPr>
        <w:t>Lægemiddelstyrelsen</w:t>
      </w:r>
    </w:p>
    <w:p w14:paraId="53160BF4" w14:textId="77777777" w:rsidR="0035663F" w:rsidRPr="00AF4AC6" w:rsidRDefault="0035663F" w:rsidP="0035663F">
      <w:pPr>
        <w:ind w:left="851"/>
        <w:rPr>
          <w:sz w:val="24"/>
          <w:szCs w:val="24"/>
        </w:rPr>
      </w:pPr>
      <w:r w:rsidRPr="00AF4AC6">
        <w:rPr>
          <w:sz w:val="24"/>
          <w:szCs w:val="24"/>
        </w:rPr>
        <w:t>Axel Heides Gade 1</w:t>
      </w:r>
    </w:p>
    <w:p w14:paraId="0FD56DC1" w14:textId="77777777" w:rsidR="0035663F" w:rsidRPr="00AF4AC6" w:rsidRDefault="0035663F" w:rsidP="0035663F">
      <w:pPr>
        <w:ind w:left="851"/>
        <w:rPr>
          <w:sz w:val="24"/>
          <w:szCs w:val="24"/>
        </w:rPr>
      </w:pPr>
      <w:r w:rsidRPr="00AF4AC6">
        <w:rPr>
          <w:sz w:val="24"/>
          <w:szCs w:val="24"/>
        </w:rPr>
        <w:t>DK-2300 København S</w:t>
      </w:r>
    </w:p>
    <w:p w14:paraId="09E03DFD" w14:textId="77777777" w:rsidR="0035663F" w:rsidRPr="007F6E4E" w:rsidRDefault="0035663F" w:rsidP="0035663F">
      <w:pPr>
        <w:ind w:left="851"/>
        <w:rPr>
          <w:sz w:val="24"/>
          <w:szCs w:val="24"/>
          <w:lang w:val="en-US"/>
        </w:rPr>
      </w:pPr>
      <w:r w:rsidRPr="007F6E4E">
        <w:rPr>
          <w:sz w:val="24"/>
          <w:szCs w:val="24"/>
          <w:lang w:val="en-US"/>
        </w:rPr>
        <w:t>Website: www.meldenbivirkning.dk</w:t>
      </w:r>
    </w:p>
    <w:p w14:paraId="3AD46E9A" w14:textId="77777777" w:rsidR="007C5D2A" w:rsidRPr="00AF4AC6" w:rsidRDefault="007C5D2A" w:rsidP="007A4CC6">
      <w:pPr>
        <w:tabs>
          <w:tab w:val="left" w:pos="851"/>
        </w:tabs>
        <w:ind w:left="851"/>
        <w:rPr>
          <w:sz w:val="24"/>
          <w:szCs w:val="24"/>
          <w:lang w:val="en-GB"/>
        </w:rPr>
      </w:pPr>
    </w:p>
    <w:p w14:paraId="02A3DD0B"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4.9</w:t>
      </w:r>
      <w:r w:rsidRPr="00AF4AC6">
        <w:rPr>
          <w:b/>
          <w:sz w:val="24"/>
          <w:szCs w:val="24"/>
          <w:lang w:val="en-GB"/>
        </w:rPr>
        <w:tab/>
        <w:t>Overdose</w:t>
      </w:r>
    </w:p>
    <w:p w14:paraId="0D523E22" w14:textId="77777777" w:rsidR="00EA0647" w:rsidRPr="00AF4AC6" w:rsidRDefault="00EA0647" w:rsidP="00AF4AC6">
      <w:pPr>
        <w:ind w:left="851"/>
        <w:rPr>
          <w:sz w:val="24"/>
          <w:szCs w:val="24"/>
          <w:lang w:val="en-GB"/>
        </w:rPr>
      </w:pPr>
      <w:r w:rsidRPr="00AF4AC6">
        <w:rPr>
          <w:sz w:val="24"/>
          <w:szCs w:val="24"/>
          <w:lang w:val="en-GB"/>
        </w:rPr>
        <w:t xml:space="preserve">There are no known symptoms of overdose in man. </w:t>
      </w:r>
    </w:p>
    <w:p w14:paraId="272650A1" w14:textId="77777777" w:rsidR="00EA0647" w:rsidRPr="00AF4AC6" w:rsidRDefault="00EA0647" w:rsidP="00AF4AC6">
      <w:pPr>
        <w:ind w:left="851"/>
        <w:rPr>
          <w:sz w:val="24"/>
          <w:szCs w:val="24"/>
          <w:lang w:val="en-GB"/>
        </w:rPr>
      </w:pPr>
      <w:r w:rsidRPr="00AF4AC6">
        <w:rPr>
          <w:sz w:val="24"/>
          <w:szCs w:val="24"/>
          <w:lang w:val="en-GB"/>
        </w:rPr>
        <w:t xml:space="preserve">Systemic exposure with up to 240 mg administered intravenously over 2 minutes, were well tolerated. </w:t>
      </w:r>
    </w:p>
    <w:p w14:paraId="03F005C3" w14:textId="77777777" w:rsidR="00EA0647" w:rsidRPr="00AF4AC6" w:rsidRDefault="00EA0647" w:rsidP="00AF4AC6">
      <w:pPr>
        <w:ind w:left="851"/>
        <w:rPr>
          <w:sz w:val="24"/>
          <w:szCs w:val="24"/>
          <w:lang w:val="en-GB"/>
        </w:rPr>
      </w:pPr>
      <w:r w:rsidRPr="00AF4AC6">
        <w:rPr>
          <w:sz w:val="24"/>
          <w:szCs w:val="24"/>
          <w:lang w:val="en-GB"/>
        </w:rPr>
        <w:t xml:space="preserve">As pantoprazole is extensively protein bound, it is not readily </w:t>
      </w:r>
      <w:proofErr w:type="spellStart"/>
      <w:r w:rsidRPr="00AF4AC6">
        <w:rPr>
          <w:sz w:val="24"/>
          <w:szCs w:val="24"/>
          <w:lang w:val="en-GB"/>
        </w:rPr>
        <w:t>dialysable</w:t>
      </w:r>
      <w:proofErr w:type="spellEnd"/>
      <w:r w:rsidRPr="00AF4AC6">
        <w:rPr>
          <w:sz w:val="24"/>
          <w:szCs w:val="24"/>
          <w:lang w:val="en-GB"/>
        </w:rPr>
        <w:t>.</w:t>
      </w:r>
    </w:p>
    <w:p w14:paraId="2A19B214" w14:textId="77777777" w:rsidR="00EA0647" w:rsidRPr="00AF4AC6" w:rsidRDefault="00EA0647" w:rsidP="00AF4AC6">
      <w:pPr>
        <w:ind w:left="851"/>
        <w:rPr>
          <w:sz w:val="24"/>
          <w:szCs w:val="24"/>
          <w:lang w:val="en-GB"/>
        </w:rPr>
      </w:pPr>
      <w:r w:rsidRPr="00AF4AC6">
        <w:rPr>
          <w:sz w:val="24"/>
          <w:szCs w:val="24"/>
          <w:lang w:val="en-GB"/>
        </w:rPr>
        <w:t>In the case of an overdose with clinical signs of intoxication, apart from symptomatic and supportive treatment, no specific therapeutic recommendations can be made.</w:t>
      </w:r>
    </w:p>
    <w:p w14:paraId="02E39089" w14:textId="77777777" w:rsidR="007C5D2A" w:rsidRPr="00AF4AC6" w:rsidRDefault="007C5D2A" w:rsidP="003E0341">
      <w:pPr>
        <w:tabs>
          <w:tab w:val="left" w:pos="851"/>
        </w:tabs>
        <w:ind w:left="851"/>
        <w:rPr>
          <w:sz w:val="24"/>
          <w:szCs w:val="24"/>
          <w:lang w:val="en-GB"/>
        </w:rPr>
      </w:pPr>
    </w:p>
    <w:p w14:paraId="6F2C9B47" w14:textId="77777777" w:rsidR="008F2F8C" w:rsidRPr="00AF4AC6" w:rsidRDefault="0042292D" w:rsidP="0042292D">
      <w:pPr>
        <w:tabs>
          <w:tab w:val="left" w:pos="851"/>
        </w:tabs>
        <w:rPr>
          <w:b/>
          <w:sz w:val="24"/>
          <w:szCs w:val="24"/>
          <w:lang w:val="en-GB"/>
        </w:rPr>
      </w:pPr>
      <w:r w:rsidRPr="00AF4AC6">
        <w:rPr>
          <w:b/>
          <w:sz w:val="24"/>
          <w:szCs w:val="24"/>
          <w:lang w:val="en-GB"/>
        </w:rPr>
        <w:t>4.10</w:t>
      </w:r>
      <w:r w:rsidRPr="00AF4AC6">
        <w:rPr>
          <w:b/>
          <w:sz w:val="24"/>
          <w:szCs w:val="24"/>
          <w:lang w:val="en-GB"/>
        </w:rPr>
        <w:tab/>
        <w:t>Legal status</w:t>
      </w:r>
    </w:p>
    <w:p w14:paraId="1D4DE5E3" w14:textId="757E6D60" w:rsidR="00AD2E36" w:rsidRPr="00AF4AC6" w:rsidRDefault="0035663F" w:rsidP="00AD2E36">
      <w:pPr>
        <w:tabs>
          <w:tab w:val="left" w:pos="851"/>
        </w:tabs>
        <w:ind w:left="851"/>
        <w:rPr>
          <w:sz w:val="24"/>
          <w:szCs w:val="24"/>
          <w:lang w:val="en-GB"/>
        </w:rPr>
      </w:pPr>
      <w:r w:rsidRPr="00AF4AC6">
        <w:rPr>
          <w:sz w:val="24"/>
          <w:szCs w:val="24"/>
          <w:lang w:val="en-GB"/>
        </w:rPr>
        <w:t>B</w:t>
      </w:r>
    </w:p>
    <w:p w14:paraId="50790005" w14:textId="77777777" w:rsidR="007C5D2A" w:rsidRPr="00AF4AC6" w:rsidRDefault="007C5D2A" w:rsidP="003E0341">
      <w:pPr>
        <w:tabs>
          <w:tab w:val="left" w:pos="851"/>
        </w:tabs>
        <w:ind w:left="851"/>
        <w:rPr>
          <w:sz w:val="24"/>
          <w:szCs w:val="24"/>
          <w:lang w:val="en-GB"/>
        </w:rPr>
      </w:pPr>
    </w:p>
    <w:p w14:paraId="4D028F64" w14:textId="77777777" w:rsidR="00AD2E36" w:rsidRPr="00AF4AC6" w:rsidRDefault="00AD2E36" w:rsidP="003E0341">
      <w:pPr>
        <w:tabs>
          <w:tab w:val="left" w:pos="851"/>
        </w:tabs>
        <w:ind w:left="851"/>
        <w:rPr>
          <w:sz w:val="24"/>
          <w:szCs w:val="24"/>
          <w:lang w:val="en-GB"/>
        </w:rPr>
      </w:pPr>
    </w:p>
    <w:p w14:paraId="7643C56B" w14:textId="77777777" w:rsidR="007C5D2A" w:rsidRPr="00AF4AC6" w:rsidRDefault="007C5D2A" w:rsidP="007C5D2A">
      <w:pPr>
        <w:tabs>
          <w:tab w:val="left" w:pos="851"/>
        </w:tabs>
        <w:rPr>
          <w:b/>
          <w:sz w:val="24"/>
          <w:szCs w:val="24"/>
          <w:lang w:val="en-GB"/>
        </w:rPr>
      </w:pPr>
      <w:r w:rsidRPr="00AF4AC6">
        <w:rPr>
          <w:b/>
          <w:sz w:val="24"/>
          <w:szCs w:val="24"/>
          <w:lang w:val="en-GB"/>
        </w:rPr>
        <w:t>5.</w:t>
      </w:r>
      <w:r w:rsidRPr="00AF4AC6">
        <w:rPr>
          <w:b/>
          <w:sz w:val="24"/>
          <w:szCs w:val="24"/>
          <w:lang w:val="en-GB"/>
        </w:rPr>
        <w:tab/>
        <w:t>PHARMACOLOGICAL PROPERTIES</w:t>
      </w:r>
    </w:p>
    <w:p w14:paraId="20F98EC3" w14:textId="77777777" w:rsidR="007C5D2A" w:rsidRPr="00AF4AC6" w:rsidRDefault="007C5D2A" w:rsidP="003E0341">
      <w:pPr>
        <w:tabs>
          <w:tab w:val="left" w:pos="851"/>
        </w:tabs>
        <w:ind w:left="851"/>
        <w:rPr>
          <w:sz w:val="24"/>
          <w:szCs w:val="24"/>
          <w:lang w:val="en-GB"/>
        </w:rPr>
      </w:pPr>
    </w:p>
    <w:p w14:paraId="20E6901B" w14:textId="77777777" w:rsidR="007C5D2A" w:rsidRPr="00AF4AC6" w:rsidRDefault="007C5D2A" w:rsidP="007C5D2A">
      <w:pPr>
        <w:tabs>
          <w:tab w:val="left" w:pos="851"/>
        </w:tabs>
        <w:ind w:left="851" w:hanging="851"/>
        <w:rPr>
          <w:b/>
          <w:sz w:val="24"/>
          <w:szCs w:val="24"/>
          <w:lang w:val="en-GB"/>
        </w:rPr>
      </w:pPr>
      <w:r w:rsidRPr="00AF4AC6">
        <w:rPr>
          <w:b/>
          <w:sz w:val="24"/>
          <w:szCs w:val="24"/>
          <w:lang w:val="en-GB"/>
        </w:rPr>
        <w:t>5.1</w:t>
      </w:r>
      <w:r w:rsidRPr="00AF4AC6">
        <w:rPr>
          <w:b/>
          <w:sz w:val="24"/>
          <w:szCs w:val="24"/>
          <w:lang w:val="en-GB"/>
        </w:rPr>
        <w:tab/>
        <w:t>Pharmacodynamic properties</w:t>
      </w:r>
      <w:r w:rsidRPr="00AF4AC6">
        <w:rPr>
          <w:b/>
          <w:sz w:val="24"/>
          <w:szCs w:val="24"/>
          <w:lang w:val="en-GB"/>
        </w:rPr>
        <w:tab/>
      </w:r>
    </w:p>
    <w:p w14:paraId="1624C544" w14:textId="038A224E" w:rsidR="00EA0647" w:rsidRPr="00AF4AC6" w:rsidRDefault="00EA0647" w:rsidP="00AF4AC6">
      <w:pPr>
        <w:ind w:left="851"/>
        <w:rPr>
          <w:sz w:val="24"/>
          <w:szCs w:val="24"/>
          <w:lang w:val="en-GB"/>
        </w:rPr>
      </w:pPr>
      <w:r w:rsidRPr="00AF4AC6">
        <w:rPr>
          <w:sz w:val="24"/>
          <w:szCs w:val="24"/>
          <w:lang w:val="en-GB"/>
        </w:rPr>
        <w:t>Pharmacotherapeutic group: Proton pump inhibitors, ATC code: A02BC02</w:t>
      </w:r>
      <w:r w:rsidR="00CB73DB">
        <w:rPr>
          <w:sz w:val="24"/>
          <w:szCs w:val="24"/>
          <w:lang w:val="en-GB"/>
        </w:rPr>
        <w:t>.</w:t>
      </w:r>
    </w:p>
    <w:p w14:paraId="1BB089A3" w14:textId="77777777" w:rsidR="00EA0647" w:rsidRPr="00AF4AC6" w:rsidRDefault="00EA0647" w:rsidP="00AF4AC6">
      <w:pPr>
        <w:ind w:left="851"/>
        <w:rPr>
          <w:sz w:val="24"/>
          <w:szCs w:val="24"/>
          <w:lang w:val="en-GB"/>
        </w:rPr>
      </w:pPr>
    </w:p>
    <w:p w14:paraId="5E9CF413" w14:textId="77777777" w:rsidR="00EA0647" w:rsidRPr="00AF4AC6" w:rsidRDefault="00EA0647" w:rsidP="00AF4AC6">
      <w:pPr>
        <w:ind w:left="851"/>
        <w:rPr>
          <w:sz w:val="24"/>
          <w:szCs w:val="24"/>
          <w:u w:val="single"/>
          <w:lang w:val="en-GB"/>
        </w:rPr>
      </w:pPr>
      <w:r w:rsidRPr="00AF4AC6">
        <w:rPr>
          <w:sz w:val="24"/>
          <w:szCs w:val="24"/>
          <w:u w:val="single"/>
          <w:lang w:val="en-GB"/>
        </w:rPr>
        <w:t>Mechanism of action</w:t>
      </w:r>
    </w:p>
    <w:p w14:paraId="464C7024" w14:textId="77777777" w:rsidR="00EA0647" w:rsidRPr="00AF4AC6" w:rsidRDefault="00EA0647" w:rsidP="00AF4AC6">
      <w:pPr>
        <w:ind w:left="851"/>
        <w:rPr>
          <w:sz w:val="24"/>
          <w:szCs w:val="24"/>
          <w:lang w:val="en-GB"/>
        </w:rPr>
      </w:pPr>
      <w:r w:rsidRPr="00AF4AC6">
        <w:rPr>
          <w:sz w:val="24"/>
          <w:szCs w:val="24"/>
          <w:lang w:val="en-GB"/>
        </w:rPr>
        <w:t>Pantoprazole is a substituted benzimidazole which inhibits the secretion of hydrochloric acid in the stomach by specific blockade of the proton pumps of the parietal cells.</w:t>
      </w:r>
    </w:p>
    <w:p w14:paraId="7D76FCDA" w14:textId="6F0B1E55" w:rsidR="00EA0647" w:rsidRPr="00D6273D" w:rsidRDefault="00EA0647" w:rsidP="00AF4AC6">
      <w:pPr>
        <w:ind w:left="851"/>
        <w:rPr>
          <w:sz w:val="24"/>
          <w:szCs w:val="24"/>
          <w:lang w:val="en-GB"/>
        </w:rPr>
      </w:pPr>
    </w:p>
    <w:p w14:paraId="58CF26FD" w14:textId="77777777" w:rsidR="00EA0647" w:rsidRPr="00AF4AC6" w:rsidRDefault="00EA0647" w:rsidP="00AF4AC6">
      <w:pPr>
        <w:ind w:left="851"/>
        <w:rPr>
          <w:sz w:val="24"/>
          <w:szCs w:val="24"/>
          <w:lang w:val="en-GB"/>
        </w:rPr>
      </w:pPr>
      <w:r w:rsidRPr="00AF4AC6">
        <w:rPr>
          <w:sz w:val="24"/>
          <w:szCs w:val="24"/>
          <w:lang w:val="en-GB"/>
        </w:rPr>
        <w:lastRenderedPageBreak/>
        <w:t>Pantoprazole is converted to its active form in the acidic environment in the parietal cells where it inhibits the H+, K+-ATPase enzyme, i.e. the final stage in the production of hydrochloric acid in the stomach. The inhibition is dose-dependent and affects both basal and stimulated acid secretion. In most patients, freedom from symptoms is achieved within 2 weeks. As with other proton pump inhibitors and H2 receptor inhibitors, treatment with pantoprazole reduces acidity in the stomach and thereby increases gastrin in proportion to the reduction in acidity. The increase in gastrin is reversible. Since pantoprazole binds to the enzyme distal to the cell receptor level, it can inhibit hydrochloric acid secretion independently of stimulation by other substances (acetylcholine, histamine, and gastrin). The effect is the same whether the product is given orally or intravenously.</w:t>
      </w:r>
    </w:p>
    <w:p w14:paraId="1E17920D" w14:textId="77777777" w:rsidR="00EA0647" w:rsidRPr="00AF4AC6" w:rsidRDefault="00EA0647" w:rsidP="00AF4AC6">
      <w:pPr>
        <w:ind w:left="851"/>
        <w:rPr>
          <w:sz w:val="24"/>
          <w:szCs w:val="24"/>
          <w:lang w:val="en-GB"/>
        </w:rPr>
      </w:pPr>
    </w:p>
    <w:p w14:paraId="094AC3E8" w14:textId="77777777" w:rsidR="00EA0647" w:rsidRPr="00AF4AC6" w:rsidRDefault="00EA0647" w:rsidP="00AF4AC6">
      <w:pPr>
        <w:ind w:left="851"/>
        <w:rPr>
          <w:sz w:val="24"/>
          <w:szCs w:val="24"/>
          <w:u w:val="single"/>
          <w:lang w:val="en-GB"/>
        </w:rPr>
      </w:pPr>
      <w:r w:rsidRPr="00AF4AC6">
        <w:rPr>
          <w:sz w:val="24"/>
          <w:szCs w:val="24"/>
          <w:u w:val="single"/>
          <w:lang w:val="en-GB"/>
        </w:rPr>
        <w:t xml:space="preserve">Pharmacodynamic effects </w:t>
      </w:r>
    </w:p>
    <w:p w14:paraId="144A6431" w14:textId="77777777" w:rsidR="00EA0647" w:rsidRPr="00AF4AC6" w:rsidRDefault="00EA0647" w:rsidP="00AF4AC6">
      <w:pPr>
        <w:ind w:left="851"/>
        <w:rPr>
          <w:sz w:val="24"/>
          <w:szCs w:val="24"/>
          <w:lang w:val="en-GB"/>
        </w:rPr>
      </w:pPr>
      <w:r w:rsidRPr="00AF4AC6">
        <w:rPr>
          <w:sz w:val="24"/>
          <w:szCs w:val="24"/>
          <w:lang w:val="en-GB"/>
        </w:rPr>
        <w:t>The fasting gastrin values increase under pantoprazole. On short-term use, in most cases they do not exceed the upper limit of normal. During long-term treatment, gastrin levels double in most cases. An excessive increase, however, occurs only in isolated cases. As a result, a mild to moderate increase in the number of specific endocrine (ECL) cells in the stomach is observed in a minority of cases during long-term treatment (simple to adenomatoid hyperplasia). However, according to the studies conducted so far, the formation of carcinoid precursors (atypical hyperplasia) or gastric carcinoids as were found in animal experiments (see section 5.3) have not been observed in humans.</w:t>
      </w:r>
    </w:p>
    <w:p w14:paraId="04F2552A" w14:textId="18978D34" w:rsidR="00EA0647" w:rsidRPr="00AF4AC6" w:rsidRDefault="00EA0647" w:rsidP="00AF4AC6">
      <w:pPr>
        <w:ind w:left="851"/>
        <w:rPr>
          <w:sz w:val="24"/>
          <w:szCs w:val="24"/>
          <w:lang w:val="en-GB"/>
        </w:rPr>
      </w:pPr>
    </w:p>
    <w:p w14:paraId="5FB9E9EC" w14:textId="77777777" w:rsidR="00EA0647" w:rsidRPr="00AF4AC6" w:rsidRDefault="00EA0647" w:rsidP="00AF4AC6">
      <w:pPr>
        <w:ind w:left="851"/>
        <w:rPr>
          <w:sz w:val="24"/>
          <w:szCs w:val="24"/>
          <w:lang w:val="en-GB"/>
        </w:rPr>
      </w:pPr>
      <w:r w:rsidRPr="00AF4AC6">
        <w:rPr>
          <w:sz w:val="24"/>
          <w:szCs w:val="24"/>
          <w:lang w:val="en-GB"/>
        </w:rPr>
        <w:t>An influence of a long-term treatment with pantoprazole exceeding one year cannot be completely ruled out on endocrine parameters of the thyroid according to results in animal studies.</w:t>
      </w:r>
    </w:p>
    <w:p w14:paraId="7A4FEF61" w14:textId="77777777" w:rsidR="00EA0647" w:rsidRPr="00AF4AC6" w:rsidRDefault="00EA0647" w:rsidP="00AF4AC6">
      <w:pPr>
        <w:ind w:left="851"/>
        <w:rPr>
          <w:sz w:val="24"/>
          <w:szCs w:val="24"/>
          <w:lang w:val="en-GB"/>
        </w:rPr>
      </w:pPr>
      <w:r w:rsidRPr="00AF4AC6">
        <w:rPr>
          <w:sz w:val="24"/>
          <w:szCs w:val="24"/>
          <w:lang w:val="en-GB"/>
        </w:rPr>
        <w:t xml:space="preserve"> </w:t>
      </w:r>
    </w:p>
    <w:p w14:paraId="679F449C" w14:textId="6552AA8E" w:rsidR="00EA0647" w:rsidRPr="00AF4AC6" w:rsidRDefault="00EA0647" w:rsidP="00AF4AC6">
      <w:pPr>
        <w:ind w:left="851"/>
        <w:rPr>
          <w:sz w:val="24"/>
          <w:szCs w:val="24"/>
          <w:lang w:val="en-GB"/>
        </w:rPr>
      </w:pPr>
      <w:r w:rsidRPr="00AF4AC6">
        <w:rPr>
          <w:sz w:val="24"/>
          <w:szCs w:val="24"/>
          <w:lang w:val="en-GB"/>
        </w:rPr>
        <w:t>During treatment with antisecretory medicinal products, serum gastrin increases in response to the decreased acid secretion. Also</w:t>
      </w:r>
      <w:r w:rsidR="00CB73DB">
        <w:rPr>
          <w:sz w:val="24"/>
          <w:szCs w:val="24"/>
          <w:lang w:val="en-GB"/>
        </w:rPr>
        <w:t>,</w:t>
      </w:r>
      <w:r w:rsidRPr="00AF4AC6">
        <w:rPr>
          <w:sz w:val="24"/>
          <w:szCs w:val="24"/>
          <w:lang w:val="en-GB"/>
        </w:rPr>
        <w:t xml:space="preserve"> </w:t>
      </w:r>
      <w:proofErr w:type="spellStart"/>
      <w:r w:rsidRPr="00AF4AC6">
        <w:rPr>
          <w:sz w:val="24"/>
          <w:szCs w:val="24"/>
          <w:lang w:val="en-GB"/>
        </w:rPr>
        <w:t>CgA</w:t>
      </w:r>
      <w:proofErr w:type="spellEnd"/>
      <w:r w:rsidRPr="00AF4AC6">
        <w:rPr>
          <w:sz w:val="24"/>
          <w:szCs w:val="24"/>
          <w:lang w:val="en-GB"/>
        </w:rPr>
        <w:t xml:space="preserve"> increases due to decreased gastric acidity. The increased </w:t>
      </w:r>
      <w:proofErr w:type="spellStart"/>
      <w:r w:rsidRPr="00AF4AC6">
        <w:rPr>
          <w:sz w:val="24"/>
          <w:szCs w:val="24"/>
          <w:lang w:val="en-GB"/>
        </w:rPr>
        <w:t>CgA</w:t>
      </w:r>
      <w:proofErr w:type="spellEnd"/>
      <w:r w:rsidRPr="00AF4AC6">
        <w:rPr>
          <w:sz w:val="24"/>
          <w:szCs w:val="24"/>
          <w:lang w:val="en-GB"/>
        </w:rPr>
        <w:t xml:space="preserve"> level may interfere with investigations for neuroendocrine tumours.</w:t>
      </w:r>
    </w:p>
    <w:p w14:paraId="641815EC" w14:textId="0910D424" w:rsidR="00EA0647" w:rsidRPr="00AF4AC6" w:rsidRDefault="00EA0647" w:rsidP="00AF4AC6">
      <w:pPr>
        <w:ind w:left="851"/>
        <w:rPr>
          <w:sz w:val="24"/>
          <w:szCs w:val="24"/>
          <w:lang w:val="en-GB"/>
        </w:rPr>
      </w:pPr>
    </w:p>
    <w:p w14:paraId="0B0DE53D" w14:textId="77777777" w:rsidR="00EA0647" w:rsidRPr="00AF4AC6" w:rsidRDefault="00EA0647" w:rsidP="00AF4AC6">
      <w:pPr>
        <w:ind w:left="851"/>
        <w:rPr>
          <w:sz w:val="24"/>
          <w:szCs w:val="24"/>
          <w:lang w:val="en-GB"/>
        </w:rPr>
      </w:pPr>
      <w:r w:rsidRPr="00AF4AC6">
        <w:rPr>
          <w:sz w:val="24"/>
          <w:szCs w:val="24"/>
          <w:lang w:val="en-GB"/>
        </w:rPr>
        <w:t xml:space="preserve">Available published evidence suggests that proton pump inhibitors should be discontinued between 5 days and 2 weeks prior to </w:t>
      </w:r>
      <w:proofErr w:type="spellStart"/>
      <w:r w:rsidRPr="00AF4AC6">
        <w:rPr>
          <w:sz w:val="24"/>
          <w:szCs w:val="24"/>
          <w:lang w:val="en-GB"/>
        </w:rPr>
        <w:t>CgA</w:t>
      </w:r>
      <w:proofErr w:type="spellEnd"/>
      <w:r w:rsidRPr="00AF4AC6">
        <w:rPr>
          <w:sz w:val="24"/>
          <w:szCs w:val="24"/>
          <w:lang w:val="en-GB"/>
        </w:rPr>
        <w:t xml:space="preserve"> measurements. This is to allow </w:t>
      </w:r>
      <w:proofErr w:type="spellStart"/>
      <w:r w:rsidRPr="00AF4AC6">
        <w:rPr>
          <w:sz w:val="24"/>
          <w:szCs w:val="24"/>
          <w:lang w:val="en-GB"/>
        </w:rPr>
        <w:t>CgA</w:t>
      </w:r>
      <w:proofErr w:type="spellEnd"/>
      <w:r w:rsidRPr="00AF4AC6">
        <w:rPr>
          <w:sz w:val="24"/>
          <w:szCs w:val="24"/>
          <w:lang w:val="en-GB"/>
        </w:rPr>
        <w:t xml:space="preserve"> levels that might be spuriously elevated following PPI treatment to return to reference range.</w:t>
      </w:r>
    </w:p>
    <w:p w14:paraId="6B11C75A" w14:textId="77777777" w:rsidR="007C5D2A" w:rsidRPr="00AF4AC6" w:rsidRDefault="007C5D2A" w:rsidP="003E0341">
      <w:pPr>
        <w:tabs>
          <w:tab w:val="left" w:pos="851"/>
        </w:tabs>
        <w:ind w:left="851"/>
        <w:rPr>
          <w:sz w:val="24"/>
          <w:szCs w:val="24"/>
          <w:lang w:val="en-GB"/>
        </w:rPr>
      </w:pPr>
    </w:p>
    <w:p w14:paraId="2419B47E" w14:textId="65A73128" w:rsidR="007C5D2A" w:rsidRPr="00AF4AC6" w:rsidRDefault="007C5D2A" w:rsidP="007C5D2A">
      <w:pPr>
        <w:tabs>
          <w:tab w:val="left" w:pos="851"/>
        </w:tabs>
        <w:ind w:left="851" w:hanging="851"/>
        <w:rPr>
          <w:b/>
          <w:sz w:val="24"/>
          <w:szCs w:val="24"/>
          <w:lang w:val="en-GB"/>
        </w:rPr>
      </w:pPr>
      <w:r w:rsidRPr="00AF4AC6">
        <w:rPr>
          <w:b/>
          <w:sz w:val="24"/>
          <w:szCs w:val="24"/>
          <w:lang w:val="en-GB"/>
        </w:rPr>
        <w:t>5.2</w:t>
      </w:r>
      <w:r w:rsidRPr="00AF4AC6">
        <w:rPr>
          <w:b/>
          <w:sz w:val="24"/>
          <w:szCs w:val="24"/>
          <w:lang w:val="en-GB"/>
        </w:rPr>
        <w:tab/>
        <w:t>Pharmacokinetic properties</w:t>
      </w:r>
    </w:p>
    <w:p w14:paraId="0FB48E4D" w14:textId="77777777" w:rsidR="00D6273D" w:rsidRDefault="00D6273D" w:rsidP="00AF4AC6">
      <w:pPr>
        <w:ind w:left="851"/>
        <w:rPr>
          <w:sz w:val="24"/>
          <w:szCs w:val="24"/>
          <w:lang w:val="en-GB"/>
        </w:rPr>
      </w:pPr>
    </w:p>
    <w:p w14:paraId="51E5A1E7" w14:textId="5A15C1B1" w:rsidR="00EA0647" w:rsidRPr="00D6273D" w:rsidRDefault="00EA0647" w:rsidP="00AF4AC6">
      <w:pPr>
        <w:ind w:left="851"/>
        <w:rPr>
          <w:sz w:val="24"/>
          <w:szCs w:val="24"/>
          <w:u w:val="single"/>
          <w:lang w:val="en-GB"/>
        </w:rPr>
      </w:pPr>
      <w:r w:rsidRPr="00D6273D">
        <w:rPr>
          <w:sz w:val="24"/>
          <w:szCs w:val="24"/>
          <w:u w:val="single"/>
          <w:lang w:val="en-GB"/>
        </w:rPr>
        <w:t>Absorption</w:t>
      </w:r>
    </w:p>
    <w:p w14:paraId="71810D08" w14:textId="77777777" w:rsidR="00EA0647" w:rsidRPr="00AF4AC6" w:rsidRDefault="00EA0647" w:rsidP="00AF4AC6">
      <w:pPr>
        <w:ind w:left="851"/>
        <w:rPr>
          <w:sz w:val="24"/>
          <w:szCs w:val="24"/>
          <w:lang w:val="en-GB"/>
        </w:rPr>
      </w:pPr>
      <w:r w:rsidRPr="00AF4AC6">
        <w:rPr>
          <w:sz w:val="24"/>
          <w:szCs w:val="24"/>
          <w:lang w:val="en-GB"/>
        </w:rPr>
        <w:t xml:space="preserve">Pantoprazole is rapidly absorbed and the maximal plasma concentration is achieved even after one single 40 mg oral dose. On average at about 2.5 h p.a. the maximum serum concentrations of about 2 </w:t>
      </w:r>
      <w:r w:rsidRPr="00AF4AC6">
        <w:rPr>
          <w:sz w:val="24"/>
          <w:szCs w:val="24"/>
          <w:lang w:val="en-GB"/>
        </w:rPr>
        <w:noBreakHyphen/>
        <w:t xml:space="preserve"> 3 µg/mL are achieved, and these values remain constant after multiple administration.</w:t>
      </w:r>
    </w:p>
    <w:p w14:paraId="7EDDDE3E" w14:textId="1CC3E223" w:rsidR="00EA0647" w:rsidRPr="00AF4AC6" w:rsidRDefault="00EA0647" w:rsidP="00AF4AC6">
      <w:pPr>
        <w:ind w:left="851"/>
        <w:rPr>
          <w:sz w:val="24"/>
          <w:szCs w:val="24"/>
          <w:lang w:val="en-GB"/>
        </w:rPr>
      </w:pPr>
    </w:p>
    <w:p w14:paraId="20A3F7EC" w14:textId="77777777" w:rsidR="00EA0647" w:rsidRPr="00AF4AC6" w:rsidRDefault="00EA0647" w:rsidP="00AF4AC6">
      <w:pPr>
        <w:ind w:left="851"/>
        <w:rPr>
          <w:sz w:val="24"/>
          <w:szCs w:val="24"/>
          <w:lang w:val="en-GB"/>
        </w:rPr>
      </w:pPr>
      <w:r w:rsidRPr="00AF4AC6">
        <w:rPr>
          <w:sz w:val="24"/>
          <w:szCs w:val="24"/>
          <w:lang w:val="en-GB"/>
        </w:rPr>
        <w:t>Pharmacokinetics does not vary after single or repeated administration. In the dose range of 10 to 80 mg, the plasma kinetics of pantoprazole are linear after both oral and intravenous administration.</w:t>
      </w:r>
    </w:p>
    <w:p w14:paraId="4D6AD4E7" w14:textId="21C71B1A" w:rsidR="00EA0647" w:rsidRPr="00AF4AC6" w:rsidRDefault="00EA0647" w:rsidP="00AF4AC6">
      <w:pPr>
        <w:ind w:left="851"/>
        <w:rPr>
          <w:sz w:val="24"/>
          <w:szCs w:val="24"/>
          <w:lang w:val="en-GB"/>
        </w:rPr>
      </w:pPr>
    </w:p>
    <w:p w14:paraId="1676764A" w14:textId="77777777" w:rsidR="00EA0647" w:rsidRPr="00AF4AC6" w:rsidRDefault="00EA0647" w:rsidP="00AF4AC6">
      <w:pPr>
        <w:ind w:left="851"/>
        <w:rPr>
          <w:sz w:val="24"/>
          <w:szCs w:val="24"/>
          <w:lang w:val="en-GB"/>
        </w:rPr>
      </w:pPr>
      <w:r w:rsidRPr="00AF4AC6">
        <w:rPr>
          <w:sz w:val="24"/>
          <w:szCs w:val="24"/>
          <w:lang w:val="en-GB"/>
        </w:rPr>
        <w:t>The absolute bioavailability from the tablet was found to be about 77 %. Concomitant intake of food had no influence on AUC, maximum serum concentration and thus bioavailability. Only the variability of the lag</w:t>
      </w:r>
      <w:r w:rsidRPr="00AF4AC6">
        <w:rPr>
          <w:sz w:val="24"/>
          <w:szCs w:val="24"/>
          <w:lang w:val="en-GB"/>
        </w:rPr>
        <w:noBreakHyphen/>
        <w:t>time will be increased by concomitant food intake.</w:t>
      </w:r>
    </w:p>
    <w:p w14:paraId="59A4BC97" w14:textId="77777777" w:rsidR="00EA0647" w:rsidRPr="00AF4AC6" w:rsidRDefault="00EA0647" w:rsidP="00AF4AC6">
      <w:pPr>
        <w:ind w:left="851"/>
        <w:rPr>
          <w:sz w:val="24"/>
          <w:szCs w:val="24"/>
          <w:lang w:val="en-GB"/>
        </w:rPr>
      </w:pPr>
    </w:p>
    <w:p w14:paraId="1FE3C02E" w14:textId="77777777" w:rsidR="00EA0647" w:rsidRPr="00D6273D" w:rsidRDefault="00EA0647" w:rsidP="00AF4AC6">
      <w:pPr>
        <w:ind w:left="851"/>
        <w:rPr>
          <w:sz w:val="24"/>
          <w:szCs w:val="24"/>
          <w:u w:val="single"/>
          <w:lang w:val="en-GB"/>
        </w:rPr>
      </w:pPr>
      <w:r w:rsidRPr="00D6273D">
        <w:rPr>
          <w:sz w:val="24"/>
          <w:szCs w:val="24"/>
          <w:u w:val="single"/>
          <w:lang w:val="en-GB"/>
        </w:rPr>
        <w:lastRenderedPageBreak/>
        <w:t>Distribution</w:t>
      </w:r>
    </w:p>
    <w:p w14:paraId="7F505795" w14:textId="77777777" w:rsidR="00EA0647" w:rsidRPr="00AF4AC6" w:rsidRDefault="00EA0647" w:rsidP="00AF4AC6">
      <w:pPr>
        <w:ind w:left="851"/>
        <w:rPr>
          <w:sz w:val="24"/>
          <w:szCs w:val="24"/>
          <w:lang w:val="en-GB"/>
        </w:rPr>
      </w:pPr>
      <w:r w:rsidRPr="00AF4AC6">
        <w:rPr>
          <w:sz w:val="24"/>
          <w:szCs w:val="24"/>
          <w:lang w:val="en-GB"/>
        </w:rPr>
        <w:t>Pantoprazole's serum protein binding is about 98 %. Volume of distribution is about 0.15 l/kg.</w:t>
      </w:r>
    </w:p>
    <w:p w14:paraId="483CFC25" w14:textId="6E678BBC" w:rsidR="00EA0647" w:rsidRPr="00D6273D" w:rsidRDefault="00EA0647" w:rsidP="00AF4AC6">
      <w:pPr>
        <w:ind w:left="851"/>
        <w:rPr>
          <w:sz w:val="24"/>
          <w:szCs w:val="24"/>
          <w:lang w:val="en-GB"/>
        </w:rPr>
      </w:pPr>
    </w:p>
    <w:p w14:paraId="66A1EB95" w14:textId="77777777" w:rsidR="00EA0647" w:rsidRPr="00D6273D" w:rsidRDefault="00EA0647" w:rsidP="00AF4AC6">
      <w:pPr>
        <w:ind w:left="851"/>
        <w:rPr>
          <w:sz w:val="24"/>
          <w:szCs w:val="24"/>
          <w:u w:val="single"/>
          <w:lang w:val="en-GB"/>
        </w:rPr>
      </w:pPr>
      <w:r w:rsidRPr="00D6273D">
        <w:rPr>
          <w:sz w:val="24"/>
          <w:szCs w:val="24"/>
          <w:u w:val="single"/>
          <w:lang w:val="en-GB"/>
        </w:rPr>
        <w:t>Biotransformation</w:t>
      </w:r>
    </w:p>
    <w:p w14:paraId="6CD7B2A8" w14:textId="77777777" w:rsidR="00EA0647" w:rsidRPr="00AF4AC6" w:rsidRDefault="00EA0647" w:rsidP="00AF4AC6">
      <w:pPr>
        <w:ind w:left="851"/>
        <w:rPr>
          <w:sz w:val="24"/>
          <w:szCs w:val="24"/>
          <w:lang w:val="en-GB"/>
        </w:rPr>
      </w:pPr>
      <w:r w:rsidRPr="00AF4AC6">
        <w:rPr>
          <w:sz w:val="24"/>
          <w:szCs w:val="24"/>
          <w:lang w:val="en-GB"/>
        </w:rPr>
        <w:t xml:space="preserve">The substance is almost exclusively metabolised in the liver. The main metabolic pathway is demethylation by CYP2C19 with subsequent sulphate conjugation; </w:t>
      </w:r>
      <w:proofErr w:type="gramStart"/>
      <w:r w:rsidRPr="00AF4AC6">
        <w:rPr>
          <w:sz w:val="24"/>
          <w:szCs w:val="24"/>
          <w:lang w:val="en-GB"/>
        </w:rPr>
        <w:t>other</w:t>
      </w:r>
      <w:proofErr w:type="gramEnd"/>
      <w:r w:rsidRPr="00AF4AC6">
        <w:rPr>
          <w:sz w:val="24"/>
          <w:szCs w:val="24"/>
          <w:lang w:val="en-GB"/>
        </w:rPr>
        <w:t xml:space="preserve"> metabolic pathway includes oxidation by CYP3A4. </w:t>
      </w:r>
    </w:p>
    <w:p w14:paraId="29EDB6B7" w14:textId="15689C97" w:rsidR="00EA0647" w:rsidRPr="00D6273D" w:rsidRDefault="00EA0647" w:rsidP="00AF4AC6">
      <w:pPr>
        <w:ind w:left="851"/>
        <w:rPr>
          <w:bCs/>
          <w:sz w:val="24"/>
          <w:szCs w:val="24"/>
          <w:lang w:val="en-GB"/>
        </w:rPr>
      </w:pPr>
    </w:p>
    <w:p w14:paraId="1F8762AC" w14:textId="77777777" w:rsidR="00EA0647" w:rsidRPr="00D6273D" w:rsidRDefault="00EA0647" w:rsidP="00AF4AC6">
      <w:pPr>
        <w:ind w:left="851"/>
        <w:rPr>
          <w:sz w:val="24"/>
          <w:szCs w:val="24"/>
          <w:u w:val="single"/>
          <w:lang w:val="en-GB"/>
        </w:rPr>
      </w:pPr>
      <w:r w:rsidRPr="00D6273D">
        <w:rPr>
          <w:sz w:val="24"/>
          <w:szCs w:val="24"/>
          <w:u w:val="single"/>
          <w:lang w:val="en-GB"/>
        </w:rPr>
        <w:t>Elimination</w:t>
      </w:r>
    </w:p>
    <w:p w14:paraId="27E1324F" w14:textId="77777777" w:rsidR="00EA0647" w:rsidRPr="00AF4AC6" w:rsidRDefault="00EA0647" w:rsidP="00AF4AC6">
      <w:pPr>
        <w:ind w:left="851"/>
        <w:rPr>
          <w:sz w:val="24"/>
          <w:szCs w:val="24"/>
          <w:lang w:val="en-GB"/>
        </w:rPr>
      </w:pPr>
      <w:r w:rsidRPr="00AF4AC6">
        <w:rPr>
          <w:sz w:val="24"/>
          <w:szCs w:val="24"/>
          <w:lang w:val="en-GB"/>
        </w:rPr>
        <w:t>Terminal half-life is about 1 hour and clearance is about 0.1 L/h/kg. There were a few cases of subjects with delayed elimination. Because of the specific binding of pantoprazole to the proton pumps of the parietal cell the elimination half-life does not correlate with the much longer duration of action (inhibition of acid secretion).</w:t>
      </w:r>
    </w:p>
    <w:p w14:paraId="0553C1AA" w14:textId="694C18E8" w:rsidR="00EA0647" w:rsidRPr="00D6273D" w:rsidRDefault="00EA0647" w:rsidP="00AF4AC6">
      <w:pPr>
        <w:ind w:left="851"/>
        <w:rPr>
          <w:bCs/>
          <w:sz w:val="24"/>
          <w:szCs w:val="24"/>
          <w:lang w:val="en-GB"/>
        </w:rPr>
      </w:pPr>
    </w:p>
    <w:p w14:paraId="79395CBD" w14:textId="77777777" w:rsidR="00EA0647" w:rsidRPr="00AF4AC6" w:rsidRDefault="00EA0647" w:rsidP="00AF4AC6">
      <w:pPr>
        <w:ind w:left="851"/>
        <w:rPr>
          <w:sz w:val="24"/>
          <w:szCs w:val="24"/>
          <w:lang w:val="en-GB"/>
        </w:rPr>
      </w:pPr>
      <w:r w:rsidRPr="00AF4AC6">
        <w:rPr>
          <w:sz w:val="24"/>
          <w:szCs w:val="24"/>
          <w:lang w:val="en-GB"/>
        </w:rPr>
        <w:t xml:space="preserve">Renal elimination represents the major route of excretion (about 80 %) for the metabolites of pantoprazole; the rest is excreted with the faeces. The main metabolite in both the serum and urine is </w:t>
      </w:r>
      <w:proofErr w:type="spellStart"/>
      <w:r w:rsidRPr="00AF4AC6">
        <w:rPr>
          <w:sz w:val="24"/>
          <w:szCs w:val="24"/>
          <w:lang w:val="en-GB"/>
        </w:rPr>
        <w:t>desmethylpantoprazole</w:t>
      </w:r>
      <w:proofErr w:type="spellEnd"/>
      <w:r w:rsidRPr="00AF4AC6">
        <w:rPr>
          <w:sz w:val="24"/>
          <w:szCs w:val="24"/>
          <w:lang w:val="en-GB"/>
        </w:rPr>
        <w:t xml:space="preserve"> which is conjugated with sulphate. The half-life of the main metabolite (about 1.5 hours) is not much longer than that of pantoprazole.</w:t>
      </w:r>
    </w:p>
    <w:p w14:paraId="28A7B187" w14:textId="27646422" w:rsidR="00EA0647" w:rsidRPr="00AF4AC6" w:rsidRDefault="00EA0647" w:rsidP="00AF4AC6">
      <w:pPr>
        <w:ind w:left="851"/>
        <w:rPr>
          <w:sz w:val="24"/>
          <w:szCs w:val="24"/>
          <w:lang w:val="en-GB"/>
        </w:rPr>
      </w:pPr>
    </w:p>
    <w:p w14:paraId="44524D0D" w14:textId="77777777" w:rsidR="00EA0647" w:rsidRPr="00D6273D" w:rsidRDefault="00EA0647" w:rsidP="00AF4AC6">
      <w:pPr>
        <w:ind w:left="851"/>
        <w:rPr>
          <w:sz w:val="24"/>
          <w:szCs w:val="24"/>
          <w:u w:val="single"/>
          <w:lang w:val="en-GB"/>
        </w:rPr>
      </w:pPr>
      <w:r w:rsidRPr="00D6273D">
        <w:rPr>
          <w:sz w:val="24"/>
          <w:szCs w:val="24"/>
          <w:u w:val="single"/>
          <w:lang w:val="en-GB"/>
        </w:rPr>
        <w:t xml:space="preserve">Special populations </w:t>
      </w:r>
    </w:p>
    <w:p w14:paraId="2462D0BA" w14:textId="77777777" w:rsidR="00EA0647" w:rsidRPr="00AF4AC6" w:rsidRDefault="00EA0647" w:rsidP="00AF4AC6">
      <w:pPr>
        <w:ind w:left="851"/>
        <w:rPr>
          <w:i/>
          <w:iCs/>
          <w:sz w:val="24"/>
          <w:szCs w:val="24"/>
          <w:lang w:val="en-GB"/>
        </w:rPr>
      </w:pPr>
      <w:r w:rsidRPr="00AF4AC6">
        <w:rPr>
          <w:i/>
          <w:iCs/>
          <w:sz w:val="24"/>
          <w:szCs w:val="24"/>
          <w:lang w:val="en-GB"/>
        </w:rPr>
        <w:t>Poor metabolisers</w:t>
      </w:r>
    </w:p>
    <w:p w14:paraId="7DEE43B6" w14:textId="77777777" w:rsidR="00EA0647" w:rsidRPr="00AF4AC6" w:rsidRDefault="00EA0647" w:rsidP="00AF4AC6">
      <w:pPr>
        <w:ind w:left="851"/>
        <w:rPr>
          <w:sz w:val="24"/>
          <w:szCs w:val="24"/>
          <w:lang w:val="en-GB"/>
        </w:rPr>
      </w:pPr>
      <w:r w:rsidRPr="00AF4AC6">
        <w:rPr>
          <w:sz w:val="24"/>
          <w:szCs w:val="24"/>
          <w:lang w:val="en-GB"/>
        </w:rPr>
        <w:t>Approximately 3 % of the European population lack a functional CYP2C19 enzyme and are called poor metabolisers. In these individuals the metabolism of pantoprazole is probably mainly catalysed by CYP3A4. After a single-dose administration of 40 mg pantoprazole, the mean area under the plasma concentration-time curve was approximately 6 times higher in poor metabolisers than in subjects having a functional CYP2C19 enzyme (extensive metabolisers). Mean peak plasma concentrations were increased by about 60 %. These findings have no implications for the posology of pantoprazole.</w:t>
      </w:r>
    </w:p>
    <w:p w14:paraId="38A89CA5" w14:textId="77777777" w:rsidR="00EA0647" w:rsidRPr="00D6273D" w:rsidRDefault="00EA0647" w:rsidP="00AF4AC6">
      <w:pPr>
        <w:ind w:left="851"/>
        <w:rPr>
          <w:bCs/>
          <w:sz w:val="24"/>
          <w:szCs w:val="24"/>
          <w:lang w:val="en-GB"/>
        </w:rPr>
      </w:pPr>
      <w:r w:rsidRPr="00D6273D">
        <w:rPr>
          <w:bCs/>
          <w:sz w:val="24"/>
          <w:szCs w:val="24"/>
          <w:lang w:val="en-GB"/>
        </w:rPr>
        <w:t xml:space="preserve"> </w:t>
      </w:r>
    </w:p>
    <w:p w14:paraId="378E45C7" w14:textId="77777777" w:rsidR="00EA0647" w:rsidRPr="00D6273D" w:rsidRDefault="00EA0647" w:rsidP="00AF4AC6">
      <w:pPr>
        <w:ind w:left="851"/>
        <w:rPr>
          <w:bCs/>
          <w:i/>
          <w:iCs/>
          <w:sz w:val="24"/>
          <w:szCs w:val="24"/>
          <w:lang w:val="en-GB"/>
        </w:rPr>
      </w:pPr>
      <w:r w:rsidRPr="00D6273D">
        <w:rPr>
          <w:i/>
          <w:iCs/>
          <w:sz w:val="24"/>
          <w:szCs w:val="24"/>
          <w:lang w:val="en-GB"/>
        </w:rPr>
        <w:t>Renal impairment</w:t>
      </w:r>
    </w:p>
    <w:p w14:paraId="6817A2FB" w14:textId="77777777" w:rsidR="00EA0647" w:rsidRPr="00AF4AC6" w:rsidRDefault="00EA0647" w:rsidP="00AF4AC6">
      <w:pPr>
        <w:ind w:left="851"/>
        <w:rPr>
          <w:sz w:val="24"/>
          <w:szCs w:val="24"/>
          <w:lang w:val="en-GB"/>
        </w:rPr>
      </w:pPr>
      <w:r w:rsidRPr="00AF4AC6">
        <w:rPr>
          <w:sz w:val="24"/>
          <w:szCs w:val="24"/>
          <w:lang w:val="en-GB"/>
        </w:rPr>
        <w:t xml:space="preserve">No dose reduction is recommended when pantoprazole is administered to patients with impaired renal function (including dialysis patients). As with healthy subjects, pantoprazole's half-life is short. Only very small amounts of pantoprazole are dialyzed. Although the main metabolite has a moderately delayed half-life (2 </w:t>
      </w:r>
      <w:r w:rsidRPr="00AF4AC6">
        <w:rPr>
          <w:sz w:val="24"/>
          <w:szCs w:val="24"/>
          <w:lang w:val="en-GB"/>
        </w:rPr>
        <w:noBreakHyphen/>
        <w:t xml:space="preserve"> 3 h), excretion is still rapid and thus accumulation does not occur.</w:t>
      </w:r>
    </w:p>
    <w:p w14:paraId="6DD46028" w14:textId="77777777" w:rsidR="00EA0647" w:rsidRPr="00AF4AC6" w:rsidRDefault="00EA0647" w:rsidP="00AF4AC6">
      <w:pPr>
        <w:ind w:left="851"/>
        <w:rPr>
          <w:sz w:val="24"/>
          <w:szCs w:val="24"/>
          <w:lang w:val="en-GB"/>
        </w:rPr>
      </w:pPr>
      <w:r w:rsidRPr="00AF4AC6">
        <w:rPr>
          <w:sz w:val="24"/>
          <w:szCs w:val="24"/>
          <w:lang w:val="en-GB"/>
        </w:rPr>
        <w:t xml:space="preserve"> </w:t>
      </w:r>
    </w:p>
    <w:p w14:paraId="0779CABB" w14:textId="77777777" w:rsidR="00EA0647" w:rsidRPr="00AF4AC6" w:rsidRDefault="00EA0647" w:rsidP="00AF4AC6">
      <w:pPr>
        <w:ind w:left="851"/>
        <w:rPr>
          <w:i/>
          <w:iCs/>
          <w:sz w:val="24"/>
          <w:szCs w:val="24"/>
          <w:lang w:val="en-GB"/>
        </w:rPr>
      </w:pPr>
      <w:r w:rsidRPr="00AF4AC6">
        <w:rPr>
          <w:i/>
          <w:iCs/>
          <w:sz w:val="24"/>
          <w:szCs w:val="24"/>
          <w:lang w:val="en-GB"/>
        </w:rPr>
        <w:t xml:space="preserve">Hepatic impairment </w:t>
      </w:r>
    </w:p>
    <w:p w14:paraId="6663267F" w14:textId="77777777" w:rsidR="00EA0647" w:rsidRPr="00AF4AC6" w:rsidRDefault="00EA0647" w:rsidP="00AF4AC6">
      <w:pPr>
        <w:ind w:left="851"/>
        <w:rPr>
          <w:sz w:val="24"/>
          <w:szCs w:val="24"/>
          <w:lang w:val="en-GB"/>
        </w:rPr>
      </w:pPr>
      <w:r w:rsidRPr="00AF4AC6">
        <w:rPr>
          <w:sz w:val="24"/>
          <w:szCs w:val="24"/>
          <w:lang w:val="en-GB"/>
        </w:rPr>
        <w:t xml:space="preserve">Although for patients with liver cirrhosis (classes A and B according to Child) the half-life values increased to between 7 and 9 h and the AUC values increased by a factor of 5 </w:t>
      </w:r>
      <w:r w:rsidRPr="00AF4AC6">
        <w:rPr>
          <w:sz w:val="24"/>
          <w:szCs w:val="24"/>
          <w:lang w:val="en-GB"/>
        </w:rPr>
        <w:noBreakHyphen/>
        <w:t xml:space="preserve"> 7, the maximum serum concentration only increased slightly by a factor of 1.5 compared with healthy subjects.</w:t>
      </w:r>
    </w:p>
    <w:p w14:paraId="04C8C9AE" w14:textId="77777777" w:rsidR="00EA0647" w:rsidRPr="00B63AC1" w:rsidRDefault="00EA0647" w:rsidP="00AF4AC6">
      <w:pPr>
        <w:ind w:left="851"/>
        <w:rPr>
          <w:bCs/>
          <w:sz w:val="24"/>
          <w:szCs w:val="24"/>
          <w:lang w:val="en-GB"/>
        </w:rPr>
      </w:pPr>
      <w:r w:rsidRPr="00B63AC1">
        <w:rPr>
          <w:bCs/>
          <w:sz w:val="24"/>
          <w:szCs w:val="24"/>
          <w:lang w:val="en-GB"/>
        </w:rPr>
        <w:t xml:space="preserve"> </w:t>
      </w:r>
    </w:p>
    <w:p w14:paraId="25EDCF23" w14:textId="77777777" w:rsidR="00EA0647" w:rsidRPr="00AF4AC6" w:rsidRDefault="00EA0647" w:rsidP="00AF4AC6">
      <w:pPr>
        <w:ind w:left="851"/>
        <w:rPr>
          <w:i/>
          <w:iCs/>
          <w:sz w:val="24"/>
          <w:szCs w:val="24"/>
          <w:lang w:val="en-GB"/>
        </w:rPr>
      </w:pPr>
      <w:r w:rsidRPr="00AF4AC6">
        <w:rPr>
          <w:i/>
          <w:iCs/>
          <w:sz w:val="24"/>
          <w:szCs w:val="24"/>
          <w:lang w:val="en-GB"/>
        </w:rPr>
        <w:t>Elderly</w:t>
      </w:r>
    </w:p>
    <w:p w14:paraId="2F302AA9" w14:textId="77777777" w:rsidR="00EA0647" w:rsidRPr="00AF4AC6" w:rsidRDefault="00EA0647" w:rsidP="00AF4AC6">
      <w:pPr>
        <w:ind w:left="851"/>
        <w:rPr>
          <w:sz w:val="24"/>
          <w:szCs w:val="24"/>
          <w:lang w:val="en-GB"/>
        </w:rPr>
      </w:pPr>
      <w:r w:rsidRPr="00AF4AC6">
        <w:rPr>
          <w:sz w:val="24"/>
          <w:szCs w:val="24"/>
          <w:lang w:val="en-GB"/>
        </w:rPr>
        <w:t xml:space="preserve">A slight increase in AUC and </w:t>
      </w:r>
      <w:proofErr w:type="spellStart"/>
      <w:r w:rsidRPr="00AF4AC6">
        <w:rPr>
          <w:sz w:val="24"/>
          <w:szCs w:val="24"/>
          <w:lang w:val="en-GB"/>
        </w:rPr>
        <w:t>C</w:t>
      </w:r>
      <w:r w:rsidRPr="00C71313">
        <w:rPr>
          <w:sz w:val="24"/>
          <w:szCs w:val="24"/>
          <w:vertAlign w:val="subscript"/>
          <w:lang w:val="en-GB"/>
        </w:rPr>
        <w:t>max</w:t>
      </w:r>
      <w:proofErr w:type="spellEnd"/>
      <w:r w:rsidRPr="00AF4AC6">
        <w:rPr>
          <w:sz w:val="24"/>
          <w:szCs w:val="24"/>
          <w:lang w:val="en-GB"/>
        </w:rPr>
        <w:t xml:space="preserve"> in elderly volunteers compared with younger counterparts is also not clinically relevant. </w:t>
      </w:r>
    </w:p>
    <w:p w14:paraId="65E17108" w14:textId="77777777" w:rsidR="00EA0647" w:rsidRPr="00B63AC1" w:rsidRDefault="00EA0647" w:rsidP="00AF4AC6">
      <w:pPr>
        <w:ind w:left="851"/>
        <w:rPr>
          <w:bCs/>
          <w:sz w:val="24"/>
          <w:szCs w:val="24"/>
          <w:lang w:val="en-GB"/>
        </w:rPr>
      </w:pPr>
      <w:r w:rsidRPr="00B63AC1">
        <w:rPr>
          <w:bCs/>
          <w:sz w:val="24"/>
          <w:szCs w:val="24"/>
          <w:lang w:val="en-GB"/>
        </w:rPr>
        <w:t xml:space="preserve"> </w:t>
      </w:r>
    </w:p>
    <w:p w14:paraId="14BA1F5E" w14:textId="77777777" w:rsidR="00EA0647" w:rsidRPr="00AF4AC6" w:rsidRDefault="00EA0647" w:rsidP="00AF4AC6">
      <w:pPr>
        <w:ind w:left="851"/>
        <w:rPr>
          <w:i/>
          <w:iCs/>
          <w:sz w:val="24"/>
          <w:szCs w:val="24"/>
          <w:lang w:val="en-GB"/>
        </w:rPr>
      </w:pPr>
      <w:r w:rsidRPr="00AF4AC6">
        <w:rPr>
          <w:i/>
          <w:iCs/>
          <w:sz w:val="24"/>
          <w:szCs w:val="24"/>
          <w:lang w:val="en-GB"/>
        </w:rPr>
        <w:t>Paediatric population</w:t>
      </w:r>
    </w:p>
    <w:p w14:paraId="43521C5C" w14:textId="2F65E779" w:rsidR="00EA0647" w:rsidRPr="00AF4AC6" w:rsidRDefault="00EA0647" w:rsidP="00AF4AC6">
      <w:pPr>
        <w:ind w:left="851"/>
        <w:rPr>
          <w:sz w:val="24"/>
          <w:szCs w:val="24"/>
          <w:lang w:val="en-GB"/>
        </w:rPr>
      </w:pPr>
      <w:r w:rsidRPr="00AF4AC6">
        <w:rPr>
          <w:sz w:val="24"/>
          <w:szCs w:val="24"/>
          <w:lang w:val="en-GB"/>
        </w:rPr>
        <w:t xml:space="preserve">Following administration of single oral doses of 20 or 40 mg pantoprazole to children aged 5 </w:t>
      </w:r>
      <w:r w:rsidRPr="00AF4AC6">
        <w:rPr>
          <w:sz w:val="24"/>
          <w:szCs w:val="24"/>
          <w:lang w:val="en-GB"/>
        </w:rPr>
        <w:noBreakHyphen/>
        <w:t xml:space="preserve"> 16 years AUC and </w:t>
      </w:r>
      <w:proofErr w:type="spellStart"/>
      <w:r w:rsidRPr="00AF4AC6">
        <w:rPr>
          <w:sz w:val="24"/>
          <w:szCs w:val="24"/>
          <w:lang w:val="en-GB"/>
        </w:rPr>
        <w:t>C</w:t>
      </w:r>
      <w:r w:rsidRPr="00C71313">
        <w:rPr>
          <w:sz w:val="24"/>
          <w:szCs w:val="24"/>
          <w:vertAlign w:val="subscript"/>
          <w:lang w:val="en-GB"/>
        </w:rPr>
        <w:t>max</w:t>
      </w:r>
      <w:proofErr w:type="spellEnd"/>
      <w:r w:rsidRPr="00AF4AC6">
        <w:rPr>
          <w:sz w:val="24"/>
          <w:szCs w:val="24"/>
          <w:lang w:val="en-GB"/>
        </w:rPr>
        <w:t xml:space="preserve"> were in the range of corresponding values in adults.</w:t>
      </w:r>
    </w:p>
    <w:p w14:paraId="4016CCA4" w14:textId="77777777" w:rsidR="00EA0647" w:rsidRPr="00AF4AC6" w:rsidRDefault="00EA0647" w:rsidP="00AF4AC6">
      <w:pPr>
        <w:ind w:left="851"/>
        <w:rPr>
          <w:sz w:val="24"/>
          <w:szCs w:val="24"/>
          <w:lang w:val="en-GB"/>
        </w:rPr>
      </w:pPr>
      <w:r w:rsidRPr="00AF4AC6">
        <w:rPr>
          <w:sz w:val="24"/>
          <w:szCs w:val="24"/>
          <w:lang w:val="en-GB"/>
        </w:rPr>
        <w:t xml:space="preserve"> </w:t>
      </w:r>
    </w:p>
    <w:p w14:paraId="45B5738A" w14:textId="77777777" w:rsidR="00EA0647" w:rsidRPr="00AF4AC6" w:rsidRDefault="00EA0647" w:rsidP="00AF4AC6">
      <w:pPr>
        <w:ind w:left="851"/>
        <w:rPr>
          <w:sz w:val="24"/>
          <w:szCs w:val="24"/>
          <w:lang w:val="en-GB"/>
        </w:rPr>
      </w:pPr>
      <w:r w:rsidRPr="00AF4AC6">
        <w:rPr>
          <w:sz w:val="24"/>
          <w:szCs w:val="24"/>
          <w:lang w:val="en-GB"/>
        </w:rPr>
        <w:lastRenderedPageBreak/>
        <w:t xml:space="preserve">Following administration of single </w:t>
      </w:r>
      <w:proofErr w:type="spellStart"/>
      <w:r w:rsidRPr="00AF4AC6">
        <w:rPr>
          <w:sz w:val="24"/>
          <w:szCs w:val="24"/>
          <w:lang w:val="en-GB"/>
        </w:rPr>
        <w:t>i.v.</w:t>
      </w:r>
      <w:proofErr w:type="spellEnd"/>
      <w:r w:rsidRPr="00AF4AC6">
        <w:rPr>
          <w:sz w:val="24"/>
          <w:szCs w:val="24"/>
          <w:lang w:val="en-GB"/>
        </w:rPr>
        <w:t xml:space="preserve"> doses of 0.8 or 1.6 mg/kg pantoprazole to children aged 2 </w:t>
      </w:r>
      <w:r w:rsidRPr="00AF4AC6">
        <w:rPr>
          <w:sz w:val="24"/>
          <w:szCs w:val="24"/>
          <w:lang w:val="en-GB"/>
        </w:rPr>
        <w:noBreakHyphen/>
        <w:t xml:space="preserve"> 16 years there was no significant association between pantoprazole clearance and age or weight. AUC and volume of distribution were in accordance with data from adults.</w:t>
      </w:r>
    </w:p>
    <w:p w14:paraId="48042CC7" w14:textId="77777777" w:rsidR="007C5D2A" w:rsidRPr="00AF4AC6" w:rsidRDefault="007C5D2A" w:rsidP="003E0341">
      <w:pPr>
        <w:tabs>
          <w:tab w:val="left" w:pos="851"/>
        </w:tabs>
        <w:ind w:left="851"/>
        <w:rPr>
          <w:sz w:val="24"/>
          <w:szCs w:val="24"/>
          <w:lang w:val="en-GB"/>
        </w:rPr>
      </w:pPr>
    </w:p>
    <w:p w14:paraId="6336AE93" w14:textId="77777777" w:rsidR="007C5D2A" w:rsidRPr="00AF4AC6" w:rsidRDefault="00180A12" w:rsidP="007C5D2A">
      <w:pPr>
        <w:tabs>
          <w:tab w:val="left" w:pos="851"/>
        </w:tabs>
        <w:ind w:left="851" w:hanging="851"/>
        <w:rPr>
          <w:b/>
          <w:sz w:val="24"/>
          <w:szCs w:val="24"/>
          <w:lang w:val="en-GB"/>
        </w:rPr>
      </w:pPr>
      <w:r w:rsidRPr="00AF4AC6">
        <w:rPr>
          <w:b/>
          <w:sz w:val="24"/>
          <w:szCs w:val="24"/>
          <w:lang w:val="en-GB"/>
        </w:rPr>
        <w:t>5.3</w:t>
      </w:r>
      <w:r w:rsidRPr="00AF4AC6">
        <w:rPr>
          <w:b/>
          <w:sz w:val="24"/>
          <w:szCs w:val="24"/>
          <w:lang w:val="en-GB"/>
        </w:rPr>
        <w:tab/>
        <w:t>Preclinical safety data</w:t>
      </w:r>
    </w:p>
    <w:p w14:paraId="5C74FE95" w14:textId="77777777" w:rsidR="00EA0647" w:rsidRPr="00AF4AC6" w:rsidRDefault="00EA0647" w:rsidP="00AF4AC6">
      <w:pPr>
        <w:ind w:left="851"/>
        <w:rPr>
          <w:sz w:val="24"/>
          <w:szCs w:val="24"/>
          <w:lang w:val="en-GB"/>
        </w:rPr>
      </w:pPr>
      <w:r w:rsidRPr="00AF4AC6">
        <w:rPr>
          <w:sz w:val="24"/>
          <w:szCs w:val="24"/>
          <w:lang w:val="en-GB"/>
        </w:rPr>
        <w:t>Non-clinical data reveal no special hazard to humans based on conventional studies of safety pharmacology, repeated dose toxicity and genotoxicity.</w:t>
      </w:r>
    </w:p>
    <w:p w14:paraId="0F577F6F" w14:textId="344DCB3E" w:rsidR="00EA0647" w:rsidRPr="00AF4AC6" w:rsidRDefault="00EA0647" w:rsidP="00AF4AC6">
      <w:pPr>
        <w:ind w:left="851"/>
        <w:rPr>
          <w:sz w:val="24"/>
          <w:szCs w:val="24"/>
          <w:lang w:val="en-GB"/>
        </w:rPr>
      </w:pPr>
    </w:p>
    <w:p w14:paraId="2AC08EFB" w14:textId="2EEA4A0C" w:rsidR="00EA0647" w:rsidRPr="00AF4AC6" w:rsidRDefault="00EA0647" w:rsidP="00AF4AC6">
      <w:pPr>
        <w:ind w:left="851"/>
        <w:rPr>
          <w:sz w:val="24"/>
          <w:szCs w:val="24"/>
          <w:lang w:val="en-GB"/>
        </w:rPr>
      </w:pPr>
      <w:r w:rsidRPr="00AF4AC6">
        <w:rPr>
          <w:sz w:val="24"/>
          <w:szCs w:val="24"/>
          <w:lang w:val="en-GB"/>
        </w:rPr>
        <w:t>In the two</w:t>
      </w:r>
      <w:r w:rsidRPr="00AF4AC6">
        <w:rPr>
          <w:sz w:val="24"/>
          <w:szCs w:val="24"/>
          <w:lang w:val="en-GB"/>
        </w:rPr>
        <w:noBreakHyphen/>
        <w:t xml:space="preserve">year carcinogenicity studies in </w:t>
      </w:r>
      <w:proofErr w:type="gramStart"/>
      <w:r w:rsidRPr="00AF4AC6">
        <w:rPr>
          <w:sz w:val="24"/>
          <w:szCs w:val="24"/>
          <w:lang w:val="en-GB"/>
        </w:rPr>
        <w:t>rats</w:t>
      </w:r>
      <w:proofErr w:type="gramEnd"/>
      <w:r w:rsidRPr="00AF4AC6">
        <w:rPr>
          <w:sz w:val="24"/>
          <w:szCs w:val="24"/>
          <w:lang w:val="en-GB"/>
        </w:rPr>
        <w:t xml:space="preserve"> neuroendocrine neoplasms were found. In addition, squamous cell </w:t>
      </w:r>
      <w:proofErr w:type="spellStart"/>
      <w:r w:rsidRPr="00AF4AC6">
        <w:rPr>
          <w:sz w:val="24"/>
          <w:szCs w:val="24"/>
          <w:lang w:val="en-GB"/>
        </w:rPr>
        <w:t>papillomas</w:t>
      </w:r>
      <w:proofErr w:type="spellEnd"/>
      <w:r w:rsidRPr="00AF4AC6">
        <w:rPr>
          <w:sz w:val="24"/>
          <w:szCs w:val="24"/>
          <w:lang w:val="en-GB"/>
        </w:rPr>
        <w:t xml:space="preserve"> were found in the fore stomach of rats. The mechanism leading to the formation of gastric carcinoids by substituted benzimidazoles has been carefully investigated and allows the conclusion that it is a secondary reaction to the massively elevated serum gastrin levels occurring in the rat during chronic high-dose treatment.</w:t>
      </w:r>
      <w:r w:rsidR="004716A7">
        <w:rPr>
          <w:sz w:val="24"/>
          <w:szCs w:val="24"/>
          <w:lang w:val="en-GB"/>
        </w:rPr>
        <w:t xml:space="preserve"> </w:t>
      </w:r>
      <w:r w:rsidRPr="00AF4AC6">
        <w:rPr>
          <w:sz w:val="24"/>
          <w:szCs w:val="24"/>
          <w:lang w:val="en-GB"/>
        </w:rPr>
        <w:t>In the two</w:t>
      </w:r>
      <w:r w:rsidRPr="00AF4AC6">
        <w:rPr>
          <w:sz w:val="24"/>
          <w:szCs w:val="24"/>
          <w:lang w:val="en-GB"/>
        </w:rPr>
        <w:noBreakHyphen/>
        <w:t xml:space="preserve">year rodent studies an increased number of liver tumours was observed in rats and in female mice and was interpreted as being due to pantoprazole's high metabolic rate in the liver. </w:t>
      </w:r>
    </w:p>
    <w:p w14:paraId="3839FBDD" w14:textId="277AD92D" w:rsidR="00EA0647" w:rsidRPr="00AF4AC6" w:rsidRDefault="00EA0647" w:rsidP="00AF4AC6">
      <w:pPr>
        <w:ind w:left="851"/>
        <w:rPr>
          <w:sz w:val="24"/>
          <w:szCs w:val="24"/>
          <w:lang w:val="en-GB"/>
        </w:rPr>
      </w:pPr>
    </w:p>
    <w:p w14:paraId="23802E78" w14:textId="77777777" w:rsidR="00EA0647" w:rsidRPr="00AF4AC6" w:rsidRDefault="00EA0647" w:rsidP="00AF4AC6">
      <w:pPr>
        <w:ind w:left="851"/>
        <w:rPr>
          <w:sz w:val="24"/>
          <w:szCs w:val="24"/>
          <w:lang w:val="en-GB"/>
        </w:rPr>
      </w:pPr>
      <w:r w:rsidRPr="00AF4AC6">
        <w:rPr>
          <w:sz w:val="24"/>
          <w:szCs w:val="24"/>
          <w:lang w:val="en-GB"/>
        </w:rPr>
        <w:t>A slight increase of neoplastic changes of the thyroid was observed in the group of rats receiving the highest dose (200 mg/kg). The occurrence of these neoplasms is associated with the pantoprazole-induced changes in the breakdown of thyroxine in the rat liver. As the therapeutic dose in man is low, no harmful effects on the thyroid glands are expected.</w:t>
      </w:r>
    </w:p>
    <w:p w14:paraId="07837BA0" w14:textId="6D2778C3" w:rsidR="00EA0647" w:rsidRPr="00AF4AC6" w:rsidRDefault="00EA0647" w:rsidP="00AF4AC6">
      <w:pPr>
        <w:ind w:left="851"/>
        <w:rPr>
          <w:sz w:val="24"/>
          <w:szCs w:val="24"/>
          <w:lang w:val="en-GB"/>
        </w:rPr>
      </w:pPr>
    </w:p>
    <w:p w14:paraId="5A2A6E48" w14:textId="77777777" w:rsidR="00EA0647" w:rsidRPr="00AF4AC6" w:rsidRDefault="00EA0647" w:rsidP="00AF4AC6">
      <w:pPr>
        <w:ind w:left="851"/>
        <w:rPr>
          <w:sz w:val="24"/>
          <w:szCs w:val="24"/>
          <w:lang w:val="en-GB"/>
        </w:rPr>
      </w:pPr>
      <w:r w:rsidRPr="00AF4AC6">
        <w:rPr>
          <w:sz w:val="24"/>
          <w:szCs w:val="24"/>
          <w:lang w:val="en-GB"/>
        </w:rPr>
        <w:t>In a peri-postnatal rat reproduction study designed to assess bone development, signs of offspring toxicity (mortality, lower mean body weight, lower mean body weight gain and reduced bone growth) were observed at exposures (</w:t>
      </w:r>
      <w:proofErr w:type="spellStart"/>
      <w:r w:rsidRPr="00AF4AC6">
        <w:rPr>
          <w:sz w:val="24"/>
          <w:szCs w:val="24"/>
          <w:lang w:val="en-GB"/>
        </w:rPr>
        <w:t>C</w:t>
      </w:r>
      <w:r w:rsidRPr="00C71313">
        <w:rPr>
          <w:sz w:val="24"/>
          <w:szCs w:val="24"/>
          <w:vertAlign w:val="subscript"/>
          <w:lang w:val="en-GB"/>
        </w:rPr>
        <w:t>max</w:t>
      </w:r>
      <w:proofErr w:type="spellEnd"/>
      <w:r w:rsidRPr="00AF4AC6">
        <w:rPr>
          <w:sz w:val="24"/>
          <w:szCs w:val="24"/>
          <w:lang w:val="en-GB"/>
        </w:rPr>
        <w:t>) approximately 2x the human clinical exposure. By the end of the recovery phase, bone parameters were similar across groups and body weights were also trending toward reversibility after a drug-free recovery period. The increased mortality has only been reported in pre-weaning rat pups (up to 21 days age) which is estimated to correspond to infants up to the age of 2 years old. The relevance of this finding to the paediatric population is unclear. A previous peri-postnatal study in rats at slightly lower doses found no adverse effects at 3 mg/kg compared with a low dose of 5 mg/kg in this study.</w:t>
      </w:r>
    </w:p>
    <w:p w14:paraId="28D5B319" w14:textId="1E50B8D8" w:rsidR="00EA0647" w:rsidRPr="00AF4AC6" w:rsidRDefault="00EA0647" w:rsidP="00AF4AC6">
      <w:pPr>
        <w:ind w:left="851"/>
        <w:rPr>
          <w:sz w:val="24"/>
          <w:szCs w:val="24"/>
          <w:lang w:val="en-GB"/>
        </w:rPr>
      </w:pPr>
    </w:p>
    <w:p w14:paraId="294491FC" w14:textId="77777777" w:rsidR="00EA0647" w:rsidRPr="00AF4AC6" w:rsidRDefault="00EA0647" w:rsidP="00AF4AC6">
      <w:pPr>
        <w:ind w:left="851"/>
        <w:rPr>
          <w:sz w:val="24"/>
          <w:szCs w:val="24"/>
          <w:lang w:val="en-GB"/>
        </w:rPr>
      </w:pPr>
      <w:r w:rsidRPr="00AF4AC6">
        <w:rPr>
          <w:sz w:val="24"/>
          <w:szCs w:val="24"/>
          <w:lang w:val="en-GB"/>
        </w:rPr>
        <w:t>Investigations revealed no evidence of impaired fertility or teratogenic effects.</w:t>
      </w:r>
    </w:p>
    <w:p w14:paraId="46A14A76" w14:textId="19CFEE71" w:rsidR="00EA0647" w:rsidRPr="00AF4AC6" w:rsidRDefault="00EA0647" w:rsidP="00AF4AC6">
      <w:pPr>
        <w:ind w:left="851"/>
        <w:rPr>
          <w:sz w:val="24"/>
          <w:szCs w:val="24"/>
          <w:lang w:val="en-GB"/>
        </w:rPr>
      </w:pPr>
    </w:p>
    <w:p w14:paraId="34B26982" w14:textId="77777777" w:rsidR="00EA0647" w:rsidRPr="00AF4AC6" w:rsidRDefault="00EA0647" w:rsidP="00AF4AC6">
      <w:pPr>
        <w:ind w:left="851"/>
        <w:rPr>
          <w:sz w:val="24"/>
          <w:szCs w:val="24"/>
          <w:lang w:val="en-GB"/>
        </w:rPr>
      </w:pPr>
      <w:r w:rsidRPr="00AF4AC6">
        <w:rPr>
          <w:sz w:val="24"/>
          <w:szCs w:val="24"/>
          <w:lang w:val="en-GB"/>
        </w:rPr>
        <w:t>Penetration of the placenta was investigated in the rat and was found to increase with advanced gestation. As a result, concentration of pantoprazole in the foetus is increased shortly before birth.</w:t>
      </w:r>
    </w:p>
    <w:p w14:paraId="3CE53C2B" w14:textId="77777777" w:rsidR="007C5D2A" w:rsidRPr="00AF4AC6" w:rsidRDefault="007C5D2A" w:rsidP="003E0341">
      <w:pPr>
        <w:tabs>
          <w:tab w:val="left" w:pos="851"/>
        </w:tabs>
        <w:ind w:left="851"/>
        <w:rPr>
          <w:sz w:val="24"/>
          <w:szCs w:val="24"/>
          <w:lang w:val="en-GB"/>
        </w:rPr>
      </w:pPr>
    </w:p>
    <w:p w14:paraId="414205B4" w14:textId="77777777" w:rsidR="007C5D2A" w:rsidRPr="00AF4AC6" w:rsidRDefault="007C5D2A" w:rsidP="003E0341">
      <w:pPr>
        <w:tabs>
          <w:tab w:val="left" w:pos="851"/>
        </w:tabs>
        <w:ind w:left="851"/>
        <w:rPr>
          <w:sz w:val="24"/>
          <w:szCs w:val="24"/>
          <w:lang w:val="en-GB"/>
        </w:rPr>
      </w:pPr>
    </w:p>
    <w:p w14:paraId="1CE19A31" w14:textId="77777777" w:rsidR="007C5D2A" w:rsidRPr="00AF4AC6" w:rsidRDefault="009925C9" w:rsidP="007C5D2A">
      <w:pPr>
        <w:ind w:left="851" w:hanging="851"/>
        <w:rPr>
          <w:b/>
          <w:sz w:val="24"/>
          <w:szCs w:val="24"/>
          <w:lang w:val="en-GB"/>
        </w:rPr>
      </w:pPr>
      <w:r w:rsidRPr="00AF4AC6">
        <w:rPr>
          <w:b/>
          <w:sz w:val="24"/>
          <w:szCs w:val="24"/>
          <w:lang w:val="en-GB"/>
        </w:rPr>
        <w:t>6.</w:t>
      </w:r>
      <w:r w:rsidR="007C5D2A" w:rsidRPr="00AF4AC6">
        <w:rPr>
          <w:b/>
          <w:sz w:val="24"/>
          <w:szCs w:val="24"/>
          <w:lang w:val="en-GB"/>
        </w:rPr>
        <w:tab/>
        <w:t>PHARMACEUTICAL PARTICULARS</w:t>
      </w:r>
    </w:p>
    <w:p w14:paraId="15E50E70" w14:textId="77777777" w:rsidR="007C5D2A" w:rsidRPr="00AF4AC6" w:rsidRDefault="007C5D2A" w:rsidP="003E0341">
      <w:pPr>
        <w:tabs>
          <w:tab w:val="left" w:pos="851"/>
        </w:tabs>
        <w:ind w:left="851"/>
        <w:rPr>
          <w:sz w:val="24"/>
          <w:szCs w:val="24"/>
          <w:lang w:val="en-GB"/>
        </w:rPr>
      </w:pPr>
    </w:p>
    <w:p w14:paraId="0F67A0DA" w14:textId="77777777" w:rsidR="007C5D2A" w:rsidRPr="00AF4AC6" w:rsidRDefault="007C5D2A" w:rsidP="007C5D2A">
      <w:pPr>
        <w:ind w:left="851" w:hanging="851"/>
        <w:rPr>
          <w:b/>
          <w:sz w:val="24"/>
          <w:szCs w:val="24"/>
          <w:lang w:val="en-GB"/>
        </w:rPr>
      </w:pPr>
      <w:r w:rsidRPr="00AF4AC6">
        <w:rPr>
          <w:b/>
          <w:sz w:val="24"/>
          <w:szCs w:val="24"/>
          <w:lang w:val="en-GB"/>
        </w:rPr>
        <w:t>6.1</w:t>
      </w:r>
      <w:r w:rsidRPr="00AF4AC6">
        <w:rPr>
          <w:b/>
          <w:sz w:val="24"/>
          <w:szCs w:val="24"/>
          <w:lang w:val="en-GB"/>
        </w:rPr>
        <w:tab/>
        <w:t>List of excipients</w:t>
      </w:r>
    </w:p>
    <w:p w14:paraId="37D9B752" w14:textId="77777777" w:rsidR="004716A7" w:rsidRDefault="004716A7" w:rsidP="00AF4AC6">
      <w:pPr>
        <w:ind w:left="851"/>
        <w:rPr>
          <w:sz w:val="24"/>
          <w:szCs w:val="24"/>
          <w:lang w:val="en-US"/>
        </w:rPr>
      </w:pPr>
    </w:p>
    <w:p w14:paraId="0034EC82" w14:textId="58FB32D3" w:rsidR="00EA0647" w:rsidRPr="004716A7" w:rsidRDefault="00EA0647" w:rsidP="00AF4AC6">
      <w:pPr>
        <w:ind w:left="851"/>
        <w:rPr>
          <w:sz w:val="24"/>
          <w:szCs w:val="24"/>
          <w:u w:val="single"/>
          <w:lang w:val="en-US"/>
        </w:rPr>
      </w:pPr>
      <w:r w:rsidRPr="004716A7">
        <w:rPr>
          <w:sz w:val="24"/>
          <w:szCs w:val="24"/>
          <w:u w:val="single"/>
          <w:lang w:val="en-US"/>
        </w:rPr>
        <w:t>Core:</w:t>
      </w:r>
    </w:p>
    <w:p w14:paraId="0961E90F" w14:textId="77777777" w:rsidR="00EA0647" w:rsidRPr="00AF4AC6" w:rsidRDefault="00EA0647" w:rsidP="00AF4AC6">
      <w:pPr>
        <w:ind w:left="851"/>
        <w:rPr>
          <w:sz w:val="24"/>
          <w:szCs w:val="24"/>
          <w:lang w:val="en-US"/>
        </w:rPr>
      </w:pPr>
      <w:r w:rsidRPr="00AF4AC6">
        <w:rPr>
          <w:sz w:val="24"/>
          <w:szCs w:val="24"/>
          <w:lang w:val="en-US"/>
        </w:rPr>
        <w:t>Mannitol (E421)</w:t>
      </w:r>
    </w:p>
    <w:p w14:paraId="0C368FEA" w14:textId="77777777" w:rsidR="00EA0647" w:rsidRPr="00AF4AC6" w:rsidRDefault="00EA0647" w:rsidP="00AF4AC6">
      <w:pPr>
        <w:ind w:left="851"/>
        <w:rPr>
          <w:sz w:val="24"/>
          <w:szCs w:val="24"/>
          <w:lang w:val="en-US"/>
        </w:rPr>
      </w:pPr>
      <w:proofErr w:type="spellStart"/>
      <w:r w:rsidRPr="00AF4AC6">
        <w:rPr>
          <w:sz w:val="24"/>
          <w:szCs w:val="24"/>
          <w:lang w:val="en-US"/>
        </w:rPr>
        <w:t>Crospovidone</w:t>
      </w:r>
      <w:proofErr w:type="spellEnd"/>
      <w:r w:rsidRPr="00AF4AC6">
        <w:rPr>
          <w:sz w:val="24"/>
          <w:szCs w:val="24"/>
          <w:lang w:val="en-US"/>
        </w:rPr>
        <w:t xml:space="preserve"> </w:t>
      </w:r>
    </w:p>
    <w:p w14:paraId="243BACFC" w14:textId="77777777" w:rsidR="00EA0647" w:rsidRPr="00AF4AC6" w:rsidRDefault="00EA0647" w:rsidP="00AF4AC6">
      <w:pPr>
        <w:ind w:left="851"/>
        <w:rPr>
          <w:sz w:val="24"/>
          <w:szCs w:val="24"/>
          <w:lang w:val="en-US"/>
        </w:rPr>
      </w:pPr>
      <w:r w:rsidRPr="00AF4AC6">
        <w:rPr>
          <w:sz w:val="24"/>
          <w:szCs w:val="24"/>
          <w:lang w:val="en-US"/>
        </w:rPr>
        <w:t xml:space="preserve">Sodium </w:t>
      </w:r>
      <w:proofErr w:type="spellStart"/>
      <w:r w:rsidRPr="00AF4AC6">
        <w:rPr>
          <w:sz w:val="24"/>
          <w:szCs w:val="24"/>
          <w:lang w:val="en-US"/>
        </w:rPr>
        <w:t>cabonate</w:t>
      </w:r>
      <w:proofErr w:type="spellEnd"/>
      <w:r w:rsidRPr="00AF4AC6">
        <w:rPr>
          <w:sz w:val="24"/>
          <w:szCs w:val="24"/>
          <w:lang w:val="en-US"/>
        </w:rPr>
        <w:t>, anhydrous</w:t>
      </w:r>
    </w:p>
    <w:p w14:paraId="206817D8" w14:textId="77777777" w:rsidR="00EA0647" w:rsidRPr="00AF4AC6" w:rsidRDefault="00EA0647" w:rsidP="00AF4AC6">
      <w:pPr>
        <w:ind w:left="851"/>
        <w:rPr>
          <w:sz w:val="24"/>
          <w:szCs w:val="24"/>
          <w:lang w:val="en-US"/>
        </w:rPr>
      </w:pPr>
      <w:r w:rsidRPr="00AF4AC6">
        <w:rPr>
          <w:sz w:val="24"/>
          <w:szCs w:val="24"/>
          <w:lang w:val="en-US"/>
        </w:rPr>
        <w:t xml:space="preserve">Hydroxypropyl cellulose </w:t>
      </w:r>
    </w:p>
    <w:p w14:paraId="54677350" w14:textId="77777777" w:rsidR="00EA0647" w:rsidRPr="00AF4AC6" w:rsidRDefault="00EA0647" w:rsidP="00AF4AC6">
      <w:pPr>
        <w:ind w:left="851"/>
        <w:rPr>
          <w:sz w:val="24"/>
          <w:szCs w:val="24"/>
          <w:lang w:val="en-US"/>
        </w:rPr>
      </w:pPr>
      <w:r w:rsidRPr="00AF4AC6">
        <w:rPr>
          <w:sz w:val="24"/>
          <w:szCs w:val="24"/>
          <w:lang w:val="en-US"/>
        </w:rPr>
        <w:t>Calcium stearate</w:t>
      </w:r>
    </w:p>
    <w:p w14:paraId="1FBFA698" w14:textId="77777777" w:rsidR="00EA0647" w:rsidRPr="00AF4AC6" w:rsidRDefault="00EA0647" w:rsidP="00AF4AC6">
      <w:pPr>
        <w:ind w:left="851"/>
        <w:rPr>
          <w:sz w:val="24"/>
          <w:szCs w:val="24"/>
          <w:lang w:val="en-US"/>
        </w:rPr>
      </w:pPr>
    </w:p>
    <w:p w14:paraId="1666E997" w14:textId="77777777" w:rsidR="00EA0647" w:rsidRPr="004716A7" w:rsidRDefault="00EA0647" w:rsidP="00AF4AC6">
      <w:pPr>
        <w:ind w:left="851"/>
        <w:rPr>
          <w:sz w:val="24"/>
          <w:szCs w:val="24"/>
          <w:u w:val="single"/>
          <w:lang w:val="en-US"/>
        </w:rPr>
      </w:pPr>
      <w:r w:rsidRPr="004716A7">
        <w:rPr>
          <w:sz w:val="24"/>
          <w:szCs w:val="24"/>
          <w:u w:val="single"/>
          <w:lang w:val="en-US"/>
        </w:rPr>
        <w:lastRenderedPageBreak/>
        <w:t>Coating:</w:t>
      </w:r>
    </w:p>
    <w:p w14:paraId="051C0D91" w14:textId="77777777" w:rsidR="00EA0647" w:rsidRPr="00AF4AC6" w:rsidRDefault="00EA0647" w:rsidP="00AF4AC6">
      <w:pPr>
        <w:ind w:left="851"/>
        <w:rPr>
          <w:sz w:val="24"/>
          <w:szCs w:val="24"/>
          <w:lang w:val="en-US"/>
        </w:rPr>
      </w:pPr>
      <w:r w:rsidRPr="00AF4AC6">
        <w:rPr>
          <w:sz w:val="24"/>
          <w:szCs w:val="24"/>
          <w:lang w:val="en-US"/>
        </w:rPr>
        <w:t>Hypromellose</w:t>
      </w:r>
    </w:p>
    <w:p w14:paraId="204120A3" w14:textId="77777777" w:rsidR="00EA0647" w:rsidRPr="00AF4AC6" w:rsidRDefault="00EA0647" w:rsidP="00AF4AC6">
      <w:pPr>
        <w:ind w:left="851"/>
        <w:rPr>
          <w:sz w:val="24"/>
          <w:szCs w:val="24"/>
          <w:lang w:val="en-US"/>
        </w:rPr>
      </w:pPr>
      <w:r w:rsidRPr="00AF4AC6">
        <w:rPr>
          <w:sz w:val="24"/>
          <w:szCs w:val="24"/>
          <w:lang w:val="en-US"/>
        </w:rPr>
        <w:t>Titanium dioxide (E171)</w:t>
      </w:r>
    </w:p>
    <w:p w14:paraId="7D8DC016" w14:textId="77777777" w:rsidR="00EA0647" w:rsidRPr="00AF4AC6" w:rsidRDefault="00EA0647" w:rsidP="00AF4AC6">
      <w:pPr>
        <w:ind w:left="851"/>
        <w:rPr>
          <w:sz w:val="24"/>
          <w:szCs w:val="24"/>
          <w:lang w:val="en-US"/>
        </w:rPr>
      </w:pPr>
      <w:r w:rsidRPr="00AF4AC6">
        <w:rPr>
          <w:sz w:val="24"/>
          <w:szCs w:val="24"/>
          <w:lang w:val="en-US"/>
        </w:rPr>
        <w:t>Iron oxide yellow(E172)</w:t>
      </w:r>
    </w:p>
    <w:p w14:paraId="420F1902" w14:textId="77777777" w:rsidR="00EA0647" w:rsidRPr="00AF4AC6" w:rsidRDefault="00EA0647" w:rsidP="00AF4AC6">
      <w:pPr>
        <w:ind w:left="851"/>
        <w:rPr>
          <w:sz w:val="24"/>
          <w:szCs w:val="24"/>
          <w:lang w:val="en-US"/>
        </w:rPr>
      </w:pPr>
      <w:r w:rsidRPr="00AF4AC6">
        <w:rPr>
          <w:sz w:val="24"/>
          <w:szCs w:val="24"/>
          <w:lang w:val="en-US"/>
        </w:rPr>
        <w:t>Propylene glycol (E1520)</w:t>
      </w:r>
    </w:p>
    <w:p w14:paraId="583F35DF" w14:textId="77777777" w:rsidR="00EA0647" w:rsidRPr="00AF4AC6" w:rsidRDefault="00EA0647" w:rsidP="00AF4AC6">
      <w:pPr>
        <w:ind w:left="851"/>
        <w:rPr>
          <w:sz w:val="24"/>
          <w:szCs w:val="24"/>
          <w:lang w:val="en-GB"/>
        </w:rPr>
      </w:pPr>
      <w:r w:rsidRPr="00AF4AC6">
        <w:rPr>
          <w:sz w:val="24"/>
          <w:szCs w:val="24"/>
          <w:lang w:val="en-GB"/>
        </w:rPr>
        <w:t>Eudragit L-30 D55(</w:t>
      </w:r>
      <w:proofErr w:type="spellStart"/>
      <w:r w:rsidRPr="00AF4AC6">
        <w:rPr>
          <w:sz w:val="24"/>
          <w:szCs w:val="24"/>
          <w:lang w:val="en-GB"/>
        </w:rPr>
        <w:t>Methacrylicacid-Ethylqcrylate</w:t>
      </w:r>
      <w:proofErr w:type="spellEnd"/>
      <w:r w:rsidRPr="00AF4AC6">
        <w:rPr>
          <w:sz w:val="24"/>
          <w:szCs w:val="24"/>
          <w:lang w:val="en-GB"/>
        </w:rPr>
        <w:t xml:space="preserve"> copolymer (1:1) (The dispersion consists of about 97% (w/w) Methacrylic acid and </w:t>
      </w:r>
      <w:proofErr w:type="spellStart"/>
      <w:r w:rsidRPr="00AF4AC6">
        <w:rPr>
          <w:sz w:val="24"/>
          <w:szCs w:val="24"/>
          <w:lang w:val="en-GB"/>
        </w:rPr>
        <w:t>ethylacrylate</w:t>
      </w:r>
      <w:proofErr w:type="spellEnd"/>
      <w:r w:rsidRPr="00AF4AC6">
        <w:rPr>
          <w:sz w:val="24"/>
          <w:szCs w:val="24"/>
          <w:lang w:val="en-GB"/>
        </w:rPr>
        <w:t xml:space="preserve"> copolymer (1:1), 2.3% (w/w) Polysorbate 80 and 0.7% (w/w) sodium lauryl </w:t>
      </w:r>
      <w:proofErr w:type="spellStart"/>
      <w:r w:rsidRPr="00AF4AC6">
        <w:rPr>
          <w:sz w:val="24"/>
          <w:szCs w:val="24"/>
          <w:lang w:val="en-GB"/>
        </w:rPr>
        <w:t>sulfate</w:t>
      </w:r>
      <w:proofErr w:type="spellEnd"/>
      <w:r w:rsidRPr="00AF4AC6">
        <w:rPr>
          <w:sz w:val="24"/>
          <w:szCs w:val="24"/>
          <w:lang w:val="en-GB"/>
        </w:rPr>
        <w:t>.)</w:t>
      </w:r>
    </w:p>
    <w:p w14:paraId="0C02852E" w14:textId="77777777" w:rsidR="00EA0647" w:rsidRPr="00AF4AC6" w:rsidRDefault="00EA0647" w:rsidP="00AF4AC6">
      <w:pPr>
        <w:ind w:left="851"/>
        <w:rPr>
          <w:sz w:val="24"/>
          <w:szCs w:val="24"/>
          <w:lang w:val="en-GB"/>
        </w:rPr>
      </w:pPr>
      <w:r w:rsidRPr="00AF4AC6">
        <w:rPr>
          <w:sz w:val="24"/>
          <w:szCs w:val="24"/>
          <w:lang w:val="en-GB"/>
        </w:rPr>
        <w:t>Triethyl citrate</w:t>
      </w:r>
    </w:p>
    <w:p w14:paraId="57BBEF08" w14:textId="77777777" w:rsidR="00EA0647" w:rsidRPr="00AF4AC6" w:rsidRDefault="00EA0647" w:rsidP="00AF4AC6">
      <w:pPr>
        <w:ind w:left="851"/>
        <w:rPr>
          <w:sz w:val="24"/>
          <w:szCs w:val="24"/>
          <w:lang w:val="en-GB"/>
        </w:rPr>
      </w:pPr>
      <w:r w:rsidRPr="00AF4AC6">
        <w:rPr>
          <w:sz w:val="24"/>
          <w:szCs w:val="24"/>
          <w:lang w:val="en-GB"/>
        </w:rPr>
        <w:t xml:space="preserve">Talc </w:t>
      </w:r>
    </w:p>
    <w:p w14:paraId="324E646C" w14:textId="77777777" w:rsidR="007C5D2A" w:rsidRPr="00AF4AC6" w:rsidRDefault="007C5D2A" w:rsidP="003D727E">
      <w:pPr>
        <w:tabs>
          <w:tab w:val="left" w:pos="851"/>
        </w:tabs>
        <w:ind w:left="851"/>
        <w:rPr>
          <w:sz w:val="24"/>
          <w:szCs w:val="24"/>
          <w:lang w:val="en-GB"/>
        </w:rPr>
      </w:pPr>
    </w:p>
    <w:p w14:paraId="046F4E2B" w14:textId="77777777" w:rsidR="007C5D2A" w:rsidRPr="00AF4AC6" w:rsidRDefault="007C5D2A" w:rsidP="007C5D2A">
      <w:pPr>
        <w:ind w:left="851" w:hanging="851"/>
        <w:rPr>
          <w:b/>
          <w:sz w:val="24"/>
          <w:szCs w:val="24"/>
          <w:lang w:val="en-GB"/>
        </w:rPr>
      </w:pPr>
      <w:r w:rsidRPr="00AF4AC6">
        <w:rPr>
          <w:b/>
          <w:sz w:val="24"/>
          <w:szCs w:val="24"/>
          <w:lang w:val="en-GB"/>
        </w:rPr>
        <w:t>6.2</w:t>
      </w:r>
      <w:r w:rsidRPr="00AF4AC6">
        <w:rPr>
          <w:b/>
          <w:sz w:val="24"/>
          <w:szCs w:val="24"/>
          <w:lang w:val="en-GB"/>
        </w:rPr>
        <w:tab/>
        <w:t>Incompatibilities</w:t>
      </w:r>
    </w:p>
    <w:p w14:paraId="36AF6EC0" w14:textId="77777777" w:rsidR="00EA0647" w:rsidRPr="00AF4AC6" w:rsidRDefault="00EA0647" w:rsidP="00AF4AC6">
      <w:pPr>
        <w:ind w:left="851"/>
        <w:rPr>
          <w:sz w:val="24"/>
          <w:szCs w:val="24"/>
          <w:lang w:val="en-GB"/>
        </w:rPr>
      </w:pPr>
      <w:r w:rsidRPr="00AF4AC6">
        <w:rPr>
          <w:sz w:val="24"/>
          <w:szCs w:val="24"/>
          <w:lang w:val="en-GB"/>
        </w:rPr>
        <w:t>Not applicable.</w:t>
      </w:r>
    </w:p>
    <w:p w14:paraId="206C578D" w14:textId="77777777" w:rsidR="007C5D2A" w:rsidRPr="00AF4AC6" w:rsidRDefault="007C5D2A" w:rsidP="003E0341">
      <w:pPr>
        <w:tabs>
          <w:tab w:val="left" w:pos="851"/>
        </w:tabs>
        <w:ind w:left="851"/>
        <w:rPr>
          <w:sz w:val="24"/>
          <w:szCs w:val="24"/>
          <w:lang w:val="en-GB"/>
        </w:rPr>
      </w:pPr>
    </w:p>
    <w:p w14:paraId="77678C9E" w14:textId="77777777" w:rsidR="007C5D2A" w:rsidRPr="00AF4AC6" w:rsidRDefault="007C5D2A" w:rsidP="007C5D2A">
      <w:pPr>
        <w:ind w:left="851" w:hanging="851"/>
        <w:rPr>
          <w:b/>
          <w:sz w:val="24"/>
          <w:szCs w:val="24"/>
          <w:lang w:val="en-GB"/>
        </w:rPr>
      </w:pPr>
      <w:r w:rsidRPr="00AF4AC6">
        <w:rPr>
          <w:b/>
          <w:sz w:val="24"/>
          <w:szCs w:val="24"/>
          <w:lang w:val="en-GB"/>
        </w:rPr>
        <w:t>6.3</w:t>
      </w:r>
      <w:r w:rsidRPr="00AF4AC6">
        <w:rPr>
          <w:b/>
          <w:sz w:val="24"/>
          <w:szCs w:val="24"/>
          <w:lang w:val="en-GB"/>
        </w:rPr>
        <w:tab/>
        <w:t>Shelf</w:t>
      </w:r>
      <w:r w:rsidR="00B45DC5" w:rsidRPr="00AF4AC6">
        <w:rPr>
          <w:b/>
          <w:sz w:val="24"/>
          <w:szCs w:val="24"/>
          <w:lang w:val="en-GB"/>
        </w:rPr>
        <w:t xml:space="preserve"> </w:t>
      </w:r>
      <w:r w:rsidRPr="00AF4AC6">
        <w:rPr>
          <w:b/>
          <w:sz w:val="24"/>
          <w:szCs w:val="24"/>
          <w:lang w:val="en-GB"/>
        </w:rPr>
        <w:t>life</w:t>
      </w:r>
    </w:p>
    <w:p w14:paraId="279594C7" w14:textId="77777777" w:rsidR="00EA0647" w:rsidRPr="00AF4AC6" w:rsidRDefault="00EA0647" w:rsidP="00AF4AC6">
      <w:pPr>
        <w:ind w:left="851"/>
        <w:rPr>
          <w:sz w:val="24"/>
          <w:szCs w:val="24"/>
          <w:lang w:val="en-GB"/>
        </w:rPr>
      </w:pPr>
      <w:r w:rsidRPr="00AF4AC6">
        <w:rPr>
          <w:sz w:val="24"/>
          <w:szCs w:val="24"/>
          <w:lang w:val="en-GB"/>
        </w:rPr>
        <w:t>3 years.</w:t>
      </w:r>
    </w:p>
    <w:p w14:paraId="0F3B1137" w14:textId="77777777" w:rsidR="007C5D2A" w:rsidRPr="00AF4AC6" w:rsidRDefault="007C5D2A" w:rsidP="003E0341">
      <w:pPr>
        <w:tabs>
          <w:tab w:val="left" w:pos="851"/>
        </w:tabs>
        <w:ind w:left="851"/>
        <w:rPr>
          <w:sz w:val="24"/>
          <w:szCs w:val="24"/>
          <w:lang w:val="en-GB"/>
        </w:rPr>
      </w:pPr>
    </w:p>
    <w:p w14:paraId="6810305D" w14:textId="77777777" w:rsidR="007C5D2A" w:rsidRPr="00AF4AC6" w:rsidRDefault="007C5D2A" w:rsidP="007C5D2A">
      <w:pPr>
        <w:ind w:left="851" w:hanging="851"/>
        <w:rPr>
          <w:b/>
          <w:sz w:val="24"/>
          <w:szCs w:val="24"/>
          <w:lang w:val="en-GB"/>
        </w:rPr>
      </w:pPr>
      <w:r w:rsidRPr="00AF4AC6">
        <w:rPr>
          <w:b/>
          <w:sz w:val="24"/>
          <w:szCs w:val="24"/>
          <w:lang w:val="en-GB"/>
        </w:rPr>
        <w:t>6.4</w:t>
      </w:r>
      <w:r w:rsidRPr="00AF4AC6">
        <w:rPr>
          <w:b/>
          <w:sz w:val="24"/>
          <w:szCs w:val="24"/>
          <w:lang w:val="en-GB"/>
        </w:rPr>
        <w:tab/>
        <w:t>Special precautions for storage</w:t>
      </w:r>
    </w:p>
    <w:p w14:paraId="501C4144" w14:textId="365AA97E" w:rsidR="007C5D2A" w:rsidRPr="00AF4AC6" w:rsidRDefault="00EA0647" w:rsidP="004716A7">
      <w:pPr>
        <w:ind w:left="851"/>
        <w:rPr>
          <w:sz w:val="24"/>
          <w:szCs w:val="24"/>
          <w:lang w:val="en-GB"/>
        </w:rPr>
      </w:pPr>
      <w:r w:rsidRPr="00AF4AC6">
        <w:rPr>
          <w:sz w:val="24"/>
          <w:szCs w:val="24"/>
          <w:lang w:val="en-GB"/>
        </w:rPr>
        <w:t>Do not store above 30 ºC.</w:t>
      </w:r>
    </w:p>
    <w:p w14:paraId="6700B39B" w14:textId="77777777" w:rsidR="007C5D2A" w:rsidRPr="00AF4AC6" w:rsidRDefault="007C5D2A" w:rsidP="003E0341">
      <w:pPr>
        <w:tabs>
          <w:tab w:val="left" w:pos="851"/>
        </w:tabs>
        <w:ind w:left="851"/>
        <w:rPr>
          <w:sz w:val="24"/>
          <w:szCs w:val="24"/>
          <w:lang w:val="en-GB"/>
        </w:rPr>
      </w:pPr>
    </w:p>
    <w:p w14:paraId="20F71C59" w14:textId="77777777" w:rsidR="007C5D2A" w:rsidRPr="00AF4AC6" w:rsidRDefault="007C5D2A" w:rsidP="007C5D2A">
      <w:pPr>
        <w:ind w:left="851" w:hanging="851"/>
        <w:rPr>
          <w:b/>
          <w:sz w:val="24"/>
          <w:szCs w:val="24"/>
          <w:lang w:val="en-GB"/>
        </w:rPr>
      </w:pPr>
      <w:r w:rsidRPr="00AF4AC6">
        <w:rPr>
          <w:b/>
          <w:sz w:val="24"/>
          <w:szCs w:val="24"/>
          <w:lang w:val="en-GB"/>
        </w:rPr>
        <w:t>6.5</w:t>
      </w:r>
      <w:r w:rsidRPr="00AF4AC6">
        <w:rPr>
          <w:b/>
          <w:sz w:val="24"/>
          <w:szCs w:val="24"/>
          <w:lang w:val="en-GB"/>
        </w:rPr>
        <w:tab/>
        <w:t>Nature and contents of container</w:t>
      </w:r>
    </w:p>
    <w:p w14:paraId="7DE4B8F1" w14:textId="3005B696" w:rsidR="00EA0647" w:rsidRPr="00AF4AC6" w:rsidRDefault="00AF4AC6" w:rsidP="00AF4AC6">
      <w:pPr>
        <w:ind w:left="851"/>
        <w:rPr>
          <w:sz w:val="24"/>
          <w:szCs w:val="24"/>
          <w:lang w:val="en-GB"/>
        </w:rPr>
      </w:pPr>
      <w:proofErr w:type="spellStart"/>
      <w:r w:rsidRPr="00AF4AC6">
        <w:rPr>
          <w:sz w:val="24"/>
          <w:szCs w:val="24"/>
          <w:lang w:val="en-GB"/>
        </w:rPr>
        <w:t>Pantoprazol</w:t>
      </w:r>
      <w:proofErr w:type="spellEnd"/>
      <w:r w:rsidRPr="00AF4AC6">
        <w:rPr>
          <w:sz w:val="24"/>
          <w:szCs w:val="24"/>
          <w:lang w:val="en-GB"/>
        </w:rPr>
        <w:t xml:space="preserve"> "</w:t>
      </w:r>
      <w:proofErr w:type="spellStart"/>
      <w:r w:rsidRPr="00AF4AC6">
        <w:rPr>
          <w:sz w:val="24"/>
          <w:szCs w:val="24"/>
          <w:lang w:val="en-GB"/>
        </w:rPr>
        <w:t>Opko</w:t>
      </w:r>
      <w:proofErr w:type="spellEnd"/>
      <w:r w:rsidRPr="00AF4AC6">
        <w:rPr>
          <w:sz w:val="24"/>
          <w:szCs w:val="24"/>
          <w:lang w:val="en-GB"/>
        </w:rPr>
        <w:t>"</w:t>
      </w:r>
      <w:r w:rsidR="00EA0647" w:rsidRPr="00AF4AC6">
        <w:rPr>
          <w:sz w:val="24"/>
          <w:szCs w:val="24"/>
          <w:lang w:val="en-GB"/>
        </w:rPr>
        <w:t xml:space="preserve"> is available in packs of 28; gastro-resistant tablets; blister Alu/Alu.</w:t>
      </w:r>
    </w:p>
    <w:p w14:paraId="0AA489F7" w14:textId="77777777" w:rsidR="007C5D2A" w:rsidRPr="00AF4AC6" w:rsidRDefault="007C5D2A" w:rsidP="003E0341">
      <w:pPr>
        <w:tabs>
          <w:tab w:val="left" w:pos="851"/>
        </w:tabs>
        <w:ind w:left="851"/>
        <w:rPr>
          <w:sz w:val="24"/>
          <w:szCs w:val="24"/>
          <w:lang w:val="en-GB"/>
        </w:rPr>
      </w:pPr>
    </w:p>
    <w:p w14:paraId="654D7696" w14:textId="77777777" w:rsidR="007C5D2A" w:rsidRPr="00AF4AC6" w:rsidRDefault="007C5D2A" w:rsidP="007C5D2A">
      <w:pPr>
        <w:ind w:left="851" w:hanging="851"/>
        <w:rPr>
          <w:b/>
          <w:sz w:val="24"/>
          <w:szCs w:val="24"/>
          <w:lang w:val="en-GB"/>
        </w:rPr>
      </w:pPr>
      <w:r w:rsidRPr="00AF4AC6">
        <w:rPr>
          <w:b/>
          <w:sz w:val="24"/>
          <w:szCs w:val="24"/>
          <w:lang w:val="en-GB"/>
        </w:rPr>
        <w:t>6.6</w:t>
      </w:r>
      <w:r w:rsidRPr="00AF4AC6">
        <w:rPr>
          <w:b/>
          <w:sz w:val="24"/>
          <w:szCs w:val="24"/>
          <w:lang w:val="en-GB"/>
        </w:rPr>
        <w:tab/>
        <w:t>Special precautions for disposal and other handling</w:t>
      </w:r>
    </w:p>
    <w:p w14:paraId="25A99A1A" w14:textId="77777777" w:rsidR="00EA0647" w:rsidRPr="00AF4AC6" w:rsidRDefault="00EA0647" w:rsidP="00AF4AC6">
      <w:pPr>
        <w:ind w:left="851"/>
        <w:rPr>
          <w:sz w:val="24"/>
          <w:szCs w:val="24"/>
          <w:lang w:val="en-GB"/>
        </w:rPr>
      </w:pPr>
      <w:r w:rsidRPr="00AF4AC6">
        <w:rPr>
          <w:sz w:val="24"/>
          <w:szCs w:val="24"/>
          <w:lang w:val="en-GB"/>
        </w:rPr>
        <w:t>Any unused medicinal product or waste material should be disposed of in accordance with local requirements.</w:t>
      </w:r>
    </w:p>
    <w:p w14:paraId="7A482DAF" w14:textId="77777777" w:rsidR="007C5D2A" w:rsidRPr="00AF4AC6" w:rsidRDefault="007C5D2A" w:rsidP="00AB4376">
      <w:pPr>
        <w:tabs>
          <w:tab w:val="left" w:pos="851"/>
        </w:tabs>
        <w:ind w:left="851"/>
        <w:rPr>
          <w:sz w:val="24"/>
          <w:szCs w:val="24"/>
          <w:lang w:val="en-GB"/>
        </w:rPr>
      </w:pPr>
    </w:p>
    <w:p w14:paraId="3E0D916E" w14:textId="77777777" w:rsidR="007C5D2A" w:rsidRPr="00AF4AC6" w:rsidRDefault="007C5D2A" w:rsidP="007C5D2A">
      <w:pPr>
        <w:tabs>
          <w:tab w:val="left" w:pos="851"/>
        </w:tabs>
        <w:ind w:left="851" w:hanging="851"/>
        <w:jc w:val="both"/>
        <w:rPr>
          <w:b/>
          <w:sz w:val="24"/>
          <w:szCs w:val="24"/>
          <w:lang w:val="en-GB"/>
        </w:rPr>
      </w:pPr>
      <w:r w:rsidRPr="00AF4AC6">
        <w:rPr>
          <w:b/>
          <w:sz w:val="24"/>
          <w:szCs w:val="24"/>
          <w:lang w:val="en-GB"/>
        </w:rPr>
        <w:t>7.</w:t>
      </w:r>
      <w:r w:rsidRPr="00AF4AC6">
        <w:rPr>
          <w:b/>
          <w:sz w:val="24"/>
          <w:szCs w:val="24"/>
          <w:lang w:val="en-GB"/>
        </w:rPr>
        <w:tab/>
        <w:t>MARKETING AUTHORISATION HOLDER</w:t>
      </w:r>
    </w:p>
    <w:p w14:paraId="15360B5B" w14:textId="77777777" w:rsidR="00EA0647" w:rsidRPr="00AF4AC6" w:rsidRDefault="00EA0647" w:rsidP="00AF4AC6">
      <w:pPr>
        <w:ind w:left="851"/>
        <w:rPr>
          <w:sz w:val="24"/>
          <w:szCs w:val="24"/>
          <w:lang w:val="en-GB"/>
        </w:rPr>
      </w:pPr>
      <w:r w:rsidRPr="00AF4AC6">
        <w:rPr>
          <w:sz w:val="24"/>
          <w:szCs w:val="24"/>
          <w:lang w:val="en-GB"/>
        </w:rPr>
        <w:t xml:space="preserve">OPKO HEALTH SPAIN, S.L.U. </w:t>
      </w:r>
    </w:p>
    <w:p w14:paraId="555E56F5" w14:textId="77777777" w:rsidR="00EA0647" w:rsidRPr="00AF4AC6" w:rsidRDefault="00EA0647" w:rsidP="00AF4AC6">
      <w:pPr>
        <w:ind w:left="851"/>
        <w:rPr>
          <w:sz w:val="24"/>
          <w:szCs w:val="24"/>
          <w:lang w:val="es-ES"/>
        </w:rPr>
      </w:pPr>
      <w:r w:rsidRPr="00AF4AC6">
        <w:rPr>
          <w:sz w:val="24"/>
          <w:szCs w:val="24"/>
        </w:rPr>
        <w:t xml:space="preserve">Pl. Europa 13-15, 08908  </w:t>
      </w:r>
    </w:p>
    <w:p w14:paraId="1F3AD7FD" w14:textId="77777777" w:rsidR="00EA0647" w:rsidRPr="00AF4AC6" w:rsidRDefault="00EA0647" w:rsidP="00AF4AC6">
      <w:pPr>
        <w:ind w:left="851"/>
        <w:rPr>
          <w:sz w:val="24"/>
          <w:szCs w:val="24"/>
        </w:rPr>
      </w:pPr>
      <w:proofErr w:type="spellStart"/>
      <w:r w:rsidRPr="00AF4AC6">
        <w:rPr>
          <w:sz w:val="24"/>
          <w:szCs w:val="24"/>
        </w:rPr>
        <w:t>L’Hospitalet</w:t>
      </w:r>
      <w:proofErr w:type="spellEnd"/>
      <w:r w:rsidRPr="00AF4AC6">
        <w:rPr>
          <w:sz w:val="24"/>
          <w:szCs w:val="24"/>
        </w:rPr>
        <w:t xml:space="preserve"> de </w:t>
      </w:r>
      <w:proofErr w:type="spellStart"/>
      <w:r w:rsidRPr="00AF4AC6">
        <w:rPr>
          <w:sz w:val="24"/>
          <w:szCs w:val="24"/>
        </w:rPr>
        <w:t>Llobregat</w:t>
      </w:r>
      <w:proofErr w:type="spellEnd"/>
      <w:r w:rsidRPr="00AF4AC6">
        <w:rPr>
          <w:sz w:val="24"/>
          <w:szCs w:val="24"/>
        </w:rPr>
        <w:t xml:space="preserve"> (Barcelona) </w:t>
      </w:r>
    </w:p>
    <w:p w14:paraId="2F7CB65D" w14:textId="6A96FF47" w:rsidR="00EA0647" w:rsidRPr="007F6E4E" w:rsidRDefault="0035663F" w:rsidP="00AF4AC6">
      <w:pPr>
        <w:ind w:left="851"/>
        <w:rPr>
          <w:sz w:val="24"/>
          <w:szCs w:val="24"/>
          <w:lang w:val="en-US"/>
        </w:rPr>
      </w:pPr>
      <w:r w:rsidRPr="007F6E4E">
        <w:rPr>
          <w:sz w:val="24"/>
          <w:szCs w:val="24"/>
          <w:lang w:val="en-US"/>
        </w:rPr>
        <w:t>Spain</w:t>
      </w:r>
    </w:p>
    <w:p w14:paraId="01691E4B" w14:textId="77777777" w:rsidR="008A24F6" w:rsidRPr="00AF4AC6" w:rsidRDefault="008A24F6" w:rsidP="003E0341">
      <w:pPr>
        <w:tabs>
          <w:tab w:val="left" w:pos="851"/>
        </w:tabs>
        <w:ind w:left="851"/>
        <w:jc w:val="both"/>
        <w:rPr>
          <w:sz w:val="24"/>
          <w:szCs w:val="24"/>
          <w:lang w:val="en-GB"/>
        </w:rPr>
      </w:pPr>
    </w:p>
    <w:p w14:paraId="38BBCDCE" w14:textId="77777777" w:rsidR="007C5D2A" w:rsidRPr="00AF4AC6" w:rsidRDefault="007C5D2A" w:rsidP="007C5D2A">
      <w:pPr>
        <w:ind w:left="851" w:hanging="851"/>
        <w:jc w:val="both"/>
        <w:rPr>
          <w:b/>
          <w:sz w:val="24"/>
          <w:szCs w:val="24"/>
          <w:lang w:val="en-GB"/>
        </w:rPr>
      </w:pPr>
      <w:r w:rsidRPr="00AF4AC6">
        <w:rPr>
          <w:b/>
          <w:sz w:val="24"/>
          <w:szCs w:val="24"/>
          <w:lang w:val="en-GB"/>
        </w:rPr>
        <w:t>8.</w:t>
      </w:r>
      <w:r w:rsidRPr="00AF4AC6">
        <w:rPr>
          <w:b/>
          <w:sz w:val="24"/>
          <w:szCs w:val="24"/>
          <w:lang w:val="en-GB"/>
        </w:rPr>
        <w:tab/>
        <w:t>MARKETING AUTHORISATION NUMBER(S)</w:t>
      </w:r>
    </w:p>
    <w:p w14:paraId="17D33846" w14:textId="572E8146" w:rsidR="007C5D2A" w:rsidRPr="00AF4AC6" w:rsidRDefault="0035663F" w:rsidP="00A85D26">
      <w:pPr>
        <w:tabs>
          <w:tab w:val="left" w:pos="851"/>
        </w:tabs>
        <w:ind w:left="851"/>
        <w:jc w:val="both"/>
        <w:rPr>
          <w:sz w:val="24"/>
          <w:szCs w:val="24"/>
          <w:lang w:val="en-GB"/>
        </w:rPr>
      </w:pPr>
      <w:r w:rsidRPr="00AF4AC6">
        <w:rPr>
          <w:sz w:val="24"/>
          <w:szCs w:val="24"/>
          <w:lang w:val="en-GB"/>
        </w:rPr>
        <w:t>69279</w:t>
      </w:r>
    </w:p>
    <w:p w14:paraId="1D228B9B" w14:textId="77777777" w:rsidR="007C5D2A" w:rsidRPr="00AF4AC6" w:rsidRDefault="007C5D2A" w:rsidP="00180A12">
      <w:pPr>
        <w:tabs>
          <w:tab w:val="left" w:pos="851"/>
        </w:tabs>
        <w:ind w:left="851"/>
        <w:jc w:val="both"/>
        <w:rPr>
          <w:sz w:val="24"/>
          <w:szCs w:val="24"/>
          <w:lang w:val="en-GB"/>
        </w:rPr>
      </w:pPr>
    </w:p>
    <w:p w14:paraId="5152794C" w14:textId="77777777" w:rsidR="007C5D2A" w:rsidRPr="00AF4AC6" w:rsidRDefault="007C5D2A" w:rsidP="007C5D2A">
      <w:pPr>
        <w:tabs>
          <w:tab w:val="left" w:pos="851"/>
        </w:tabs>
        <w:jc w:val="both"/>
        <w:rPr>
          <w:sz w:val="24"/>
          <w:szCs w:val="24"/>
          <w:lang w:val="en-GB"/>
        </w:rPr>
      </w:pPr>
      <w:r w:rsidRPr="00AF4AC6">
        <w:rPr>
          <w:b/>
          <w:sz w:val="24"/>
          <w:szCs w:val="24"/>
          <w:lang w:val="en-GB"/>
        </w:rPr>
        <w:t>9.</w:t>
      </w:r>
      <w:r w:rsidRPr="00AF4AC6">
        <w:rPr>
          <w:b/>
          <w:sz w:val="24"/>
          <w:szCs w:val="24"/>
          <w:lang w:val="en-GB"/>
        </w:rPr>
        <w:tab/>
        <w:t>DATE OF FIRST AUTHORISATION</w:t>
      </w:r>
    </w:p>
    <w:p w14:paraId="10C26F6F" w14:textId="7F03C12A" w:rsidR="007C5D2A" w:rsidRDefault="007F6E4E" w:rsidP="007F6E4E">
      <w:pPr>
        <w:ind w:left="851"/>
        <w:jc w:val="both"/>
        <w:rPr>
          <w:sz w:val="24"/>
          <w:szCs w:val="24"/>
          <w:lang w:val="en-GB"/>
        </w:rPr>
      </w:pPr>
      <w:r>
        <w:rPr>
          <w:sz w:val="24"/>
          <w:szCs w:val="24"/>
          <w:lang w:val="en-GB"/>
        </w:rPr>
        <w:t>25 September 2024</w:t>
      </w:r>
    </w:p>
    <w:p w14:paraId="4E16744C" w14:textId="77777777" w:rsidR="007F6E4E" w:rsidRPr="00AF4AC6" w:rsidRDefault="007F6E4E" w:rsidP="007F6E4E">
      <w:pPr>
        <w:ind w:left="851"/>
        <w:jc w:val="both"/>
        <w:rPr>
          <w:sz w:val="24"/>
          <w:szCs w:val="24"/>
          <w:lang w:val="en-GB"/>
        </w:rPr>
      </w:pPr>
      <w:bookmarkStart w:id="2" w:name="_GoBack"/>
      <w:bookmarkEnd w:id="2"/>
    </w:p>
    <w:p w14:paraId="0E39B564" w14:textId="77777777" w:rsidR="007C5D2A" w:rsidRPr="00AF4AC6" w:rsidRDefault="007C5D2A" w:rsidP="007C5D2A">
      <w:pPr>
        <w:tabs>
          <w:tab w:val="left" w:pos="851"/>
        </w:tabs>
        <w:jc w:val="both"/>
        <w:rPr>
          <w:sz w:val="24"/>
          <w:szCs w:val="24"/>
          <w:lang w:val="en-GB"/>
        </w:rPr>
      </w:pPr>
      <w:r w:rsidRPr="00AF4AC6">
        <w:rPr>
          <w:b/>
          <w:sz w:val="24"/>
          <w:szCs w:val="24"/>
          <w:lang w:val="en-GB"/>
        </w:rPr>
        <w:t>10.</w:t>
      </w:r>
      <w:r w:rsidRPr="00AF4AC6">
        <w:rPr>
          <w:b/>
          <w:sz w:val="24"/>
          <w:szCs w:val="24"/>
          <w:lang w:val="en-GB"/>
        </w:rPr>
        <w:tab/>
        <w:t>DATE OF REVISION OF THE TEXT</w:t>
      </w:r>
    </w:p>
    <w:p w14:paraId="56F07C6B" w14:textId="3FBF36A1" w:rsidR="007C5D2A" w:rsidRPr="00AF4AC6" w:rsidRDefault="0035663F" w:rsidP="003E0341">
      <w:pPr>
        <w:tabs>
          <w:tab w:val="left" w:pos="851"/>
        </w:tabs>
        <w:ind w:left="851"/>
        <w:jc w:val="both"/>
        <w:rPr>
          <w:sz w:val="24"/>
          <w:szCs w:val="24"/>
          <w:lang w:val="en-GB"/>
        </w:rPr>
      </w:pPr>
      <w:r w:rsidRPr="00AF4AC6">
        <w:rPr>
          <w:sz w:val="24"/>
          <w:szCs w:val="24"/>
          <w:lang w:val="en-GB"/>
        </w:rPr>
        <w:t>-</w:t>
      </w:r>
    </w:p>
    <w:sectPr w:rsidR="007C5D2A" w:rsidRPr="00AF4AC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173DE" w14:textId="77777777" w:rsidR="00EA0647" w:rsidRDefault="00EA0647">
      <w:r>
        <w:separator/>
      </w:r>
    </w:p>
  </w:endnote>
  <w:endnote w:type="continuationSeparator" w:id="0">
    <w:p w14:paraId="29EEB3AE" w14:textId="77777777" w:rsidR="00EA0647" w:rsidRDefault="00EA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8C5A8" w14:textId="77777777" w:rsidR="00EA0647" w:rsidRDefault="00EA06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0B19" w14:textId="77777777" w:rsidR="00EA0647" w:rsidRDefault="00EA0647">
    <w:pPr>
      <w:pStyle w:val="Sidefod"/>
      <w:pBdr>
        <w:bottom w:val="single" w:sz="6" w:space="1" w:color="auto"/>
      </w:pBdr>
    </w:pPr>
  </w:p>
  <w:p w14:paraId="7C0EA27C" w14:textId="77777777" w:rsidR="00EA0647" w:rsidRDefault="00EA0647">
    <w:pPr>
      <w:pStyle w:val="Sidefod"/>
      <w:tabs>
        <w:tab w:val="clear" w:pos="4819"/>
        <w:tab w:val="left" w:pos="8647"/>
      </w:tabs>
      <w:rPr>
        <w:i/>
        <w:snapToGrid w:val="0"/>
        <w:sz w:val="18"/>
      </w:rPr>
    </w:pPr>
  </w:p>
  <w:p w14:paraId="587C582C" w14:textId="34592A75" w:rsidR="00EA0647" w:rsidRPr="009C0B15" w:rsidRDefault="00EA0647" w:rsidP="00AC033C">
    <w:pPr>
      <w:pStyle w:val="Sidefod"/>
      <w:tabs>
        <w:tab w:val="clear" w:pos="4819"/>
        <w:tab w:val="left" w:pos="8364"/>
      </w:tabs>
      <w:rPr>
        <w:i/>
        <w:sz w:val="18"/>
        <w:lang w:val="en-US"/>
      </w:rPr>
    </w:pPr>
    <w:r>
      <w:rPr>
        <w:i/>
        <w:snapToGrid w:val="0"/>
        <w:sz w:val="18"/>
      </w:rPr>
      <w:fldChar w:fldCharType="begin"/>
    </w:r>
    <w:r w:rsidRPr="009C0B15">
      <w:rPr>
        <w:i/>
        <w:snapToGrid w:val="0"/>
        <w:sz w:val="18"/>
        <w:lang w:val="en-US"/>
      </w:rPr>
      <w:instrText xml:space="preserve"> FILENAME </w:instrText>
    </w:r>
    <w:r>
      <w:rPr>
        <w:i/>
        <w:snapToGrid w:val="0"/>
        <w:sz w:val="18"/>
      </w:rPr>
      <w:fldChar w:fldCharType="separate"/>
    </w:r>
    <w:r w:rsidR="009C0B15" w:rsidRPr="009C0B15">
      <w:rPr>
        <w:i/>
        <w:noProof/>
        <w:snapToGrid w:val="0"/>
        <w:sz w:val="18"/>
        <w:lang w:val="en-US"/>
      </w:rPr>
      <w:t>Pantoprazol Opko, enterotabletter 40 mg.docx</w:t>
    </w:r>
    <w:r>
      <w:rPr>
        <w:i/>
        <w:snapToGrid w:val="0"/>
        <w:sz w:val="18"/>
      </w:rPr>
      <w:fldChar w:fldCharType="end"/>
    </w:r>
    <w:r w:rsidRPr="009C0B15">
      <w:rPr>
        <w:i/>
        <w:snapToGrid w:val="0"/>
        <w:sz w:val="18"/>
        <w:lang w:val="en-US"/>
      </w:rPr>
      <w:tab/>
      <w:t xml:space="preserve">Page </w:t>
    </w:r>
    <w:r>
      <w:rPr>
        <w:i/>
        <w:snapToGrid w:val="0"/>
        <w:sz w:val="18"/>
      </w:rPr>
      <w:fldChar w:fldCharType="begin"/>
    </w:r>
    <w:r w:rsidRPr="009C0B15">
      <w:rPr>
        <w:i/>
        <w:snapToGrid w:val="0"/>
        <w:sz w:val="18"/>
        <w:lang w:val="en-US"/>
      </w:rPr>
      <w:instrText xml:space="preserve"> PAGE </w:instrText>
    </w:r>
    <w:r>
      <w:rPr>
        <w:i/>
        <w:snapToGrid w:val="0"/>
        <w:sz w:val="18"/>
      </w:rPr>
      <w:fldChar w:fldCharType="separate"/>
    </w:r>
    <w:r w:rsidRPr="009C0B15">
      <w:rPr>
        <w:i/>
        <w:noProof/>
        <w:snapToGrid w:val="0"/>
        <w:sz w:val="18"/>
        <w:lang w:val="en-US"/>
      </w:rPr>
      <w:t>1</w:t>
    </w:r>
    <w:r>
      <w:rPr>
        <w:i/>
        <w:snapToGrid w:val="0"/>
        <w:sz w:val="18"/>
      </w:rPr>
      <w:fldChar w:fldCharType="end"/>
    </w:r>
    <w:r w:rsidRPr="009C0B15">
      <w:rPr>
        <w:i/>
        <w:snapToGrid w:val="0"/>
        <w:sz w:val="18"/>
        <w:lang w:val="en-US"/>
      </w:rPr>
      <w:t xml:space="preserve"> of </w:t>
    </w:r>
    <w:r>
      <w:rPr>
        <w:i/>
        <w:snapToGrid w:val="0"/>
        <w:sz w:val="18"/>
      </w:rPr>
      <w:fldChar w:fldCharType="begin"/>
    </w:r>
    <w:r w:rsidRPr="009C0B15">
      <w:rPr>
        <w:i/>
        <w:snapToGrid w:val="0"/>
        <w:sz w:val="18"/>
        <w:lang w:val="en-US"/>
      </w:rPr>
      <w:instrText xml:space="preserve"> NUMPAGES </w:instrText>
    </w:r>
    <w:r>
      <w:rPr>
        <w:i/>
        <w:snapToGrid w:val="0"/>
        <w:sz w:val="18"/>
      </w:rPr>
      <w:fldChar w:fldCharType="separate"/>
    </w:r>
    <w:r w:rsidRPr="009C0B15">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71481" w14:textId="77777777" w:rsidR="00EA0647" w:rsidRDefault="00EA0647">
    <w:pPr>
      <w:pStyle w:val="Sidefod"/>
      <w:pBdr>
        <w:bottom w:val="single" w:sz="6" w:space="1" w:color="auto"/>
      </w:pBdr>
      <w:tabs>
        <w:tab w:val="clear" w:pos="4819"/>
        <w:tab w:val="left" w:pos="8789"/>
      </w:tabs>
      <w:rPr>
        <w:i/>
        <w:snapToGrid w:val="0"/>
        <w:sz w:val="18"/>
      </w:rPr>
    </w:pPr>
  </w:p>
  <w:p w14:paraId="735A4B70" w14:textId="77777777" w:rsidR="00EA0647" w:rsidRDefault="00EA0647">
    <w:pPr>
      <w:pStyle w:val="Sidefod"/>
      <w:tabs>
        <w:tab w:val="clear" w:pos="4819"/>
        <w:tab w:val="left" w:pos="8789"/>
      </w:tabs>
      <w:rPr>
        <w:i/>
        <w:snapToGrid w:val="0"/>
        <w:sz w:val="18"/>
      </w:rPr>
    </w:pPr>
  </w:p>
  <w:p w14:paraId="6A0CF8D4" w14:textId="39C24C04" w:rsidR="00EA0647" w:rsidRPr="009C0B15" w:rsidRDefault="00EA0647">
    <w:pPr>
      <w:pStyle w:val="Sidefod"/>
      <w:tabs>
        <w:tab w:val="clear" w:pos="4819"/>
        <w:tab w:val="left" w:pos="8647"/>
      </w:tabs>
      <w:rPr>
        <w:i/>
        <w:sz w:val="18"/>
        <w:lang w:val="en-US"/>
      </w:rPr>
    </w:pPr>
    <w:r>
      <w:rPr>
        <w:i/>
        <w:snapToGrid w:val="0"/>
        <w:sz w:val="18"/>
      </w:rPr>
      <w:fldChar w:fldCharType="begin"/>
    </w:r>
    <w:r w:rsidRPr="009C0B15">
      <w:rPr>
        <w:i/>
        <w:snapToGrid w:val="0"/>
        <w:sz w:val="18"/>
        <w:lang w:val="en-US"/>
      </w:rPr>
      <w:instrText xml:space="preserve"> FILENAME </w:instrText>
    </w:r>
    <w:r>
      <w:rPr>
        <w:i/>
        <w:snapToGrid w:val="0"/>
        <w:sz w:val="18"/>
      </w:rPr>
      <w:fldChar w:fldCharType="separate"/>
    </w:r>
    <w:r w:rsidR="009C0B15" w:rsidRPr="009C0B15">
      <w:rPr>
        <w:i/>
        <w:noProof/>
        <w:snapToGrid w:val="0"/>
        <w:sz w:val="18"/>
        <w:lang w:val="en-US"/>
      </w:rPr>
      <w:t>Pantoprazol Opko, enterotabletter 40 mg.docx</w:t>
    </w:r>
    <w:r>
      <w:rPr>
        <w:i/>
        <w:snapToGrid w:val="0"/>
        <w:sz w:val="18"/>
      </w:rPr>
      <w:fldChar w:fldCharType="end"/>
    </w:r>
    <w:r w:rsidRPr="009C0B15">
      <w:rPr>
        <w:i/>
        <w:snapToGrid w:val="0"/>
        <w:sz w:val="18"/>
        <w:lang w:val="en-US"/>
      </w:rPr>
      <w:tab/>
      <w:t xml:space="preserve">Page </w:t>
    </w:r>
    <w:r>
      <w:rPr>
        <w:i/>
        <w:snapToGrid w:val="0"/>
        <w:sz w:val="18"/>
      </w:rPr>
      <w:fldChar w:fldCharType="begin"/>
    </w:r>
    <w:r w:rsidRPr="009C0B15">
      <w:rPr>
        <w:i/>
        <w:snapToGrid w:val="0"/>
        <w:sz w:val="18"/>
        <w:lang w:val="en-US"/>
      </w:rPr>
      <w:instrText xml:space="preserve"> PAGE </w:instrText>
    </w:r>
    <w:r>
      <w:rPr>
        <w:i/>
        <w:snapToGrid w:val="0"/>
        <w:sz w:val="18"/>
      </w:rPr>
      <w:fldChar w:fldCharType="separate"/>
    </w:r>
    <w:r w:rsidRPr="009C0B15">
      <w:rPr>
        <w:i/>
        <w:noProof/>
        <w:snapToGrid w:val="0"/>
        <w:sz w:val="18"/>
        <w:lang w:val="en-US"/>
      </w:rPr>
      <w:t>1</w:t>
    </w:r>
    <w:r>
      <w:rPr>
        <w:i/>
        <w:snapToGrid w:val="0"/>
        <w:sz w:val="18"/>
      </w:rPr>
      <w:fldChar w:fldCharType="end"/>
    </w:r>
    <w:r w:rsidRPr="009C0B15">
      <w:rPr>
        <w:i/>
        <w:snapToGrid w:val="0"/>
        <w:sz w:val="18"/>
        <w:lang w:val="en-US"/>
      </w:rPr>
      <w:t xml:space="preserve"> of </w:t>
    </w:r>
    <w:r>
      <w:rPr>
        <w:i/>
        <w:snapToGrid w:val="0"/>
        <w:sz w:val="18"/>
      </w:rPr>
      <w:fldChar w:fldCharType="begin"/>
    </w:r>
    <w:r w:rsidRPr="009C0B15">
      <w:rPr>
        <w:i/>
        <w:snapToGrid w:val="0"/>
        <w:sz w:val="18"/>
        <w:lang w:val="en-US"/>
      </w:rPr>
      <w:instrText xml:space="preserve"> NUMPAGES </w:instrText>
    </w:r>
    <w:r>
      <w:rPr>
        <w:i/>
        <w:snapToGrid w:val="0"/>
        <w:sz w:val="18"/>
      </w:rPr>
      <w:fldChar w:fldCharType="separate"/>
    </w:r>
    <w:r w:rsidRPr="009C0B15">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B533" w14:textId="77777777" w:rsidR="00EA0647" w:rsidRDefault="00EA0647">
      <w:r>
        <w:separator/>
      </w:r>
    </w:p>
  </w:footnote>
  <w:footnote w:type="continuationSeparator" w:id="0">
    <w:p w14:paraId="7192C393" w14:textId="77777777" w:rsidR="00EA0647" w:rsidRDefault="00EA0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0D2D" w14:textId="77777777" w:rsidR="00EA0647" w:rsidRDefault="00EA06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69059" w14:textId="77777777" w:rsidR="00EA0647" w:rsidRDefault="00EA064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9FAC" w14:textId="77777777" w:rsidR="00EA0647" w:rsidRDefault="00EA064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4F7B56"/>
    <w:multiLevelType w:val="hybridMultilevel"/>
    <w:tmpl w:val="F484F65E"/>
    <w:lvl w:ilvl="0" w:tplc="2B1AF09A">
      <w:start w:val="10"/>
      <w:numFmt w:val="bullet"/>
      <w:lvlText w:val="-"/>
      <w:lvlJc w:val="left"/>
      <w:pPr>
        <w:ind w:left="780" w:hanging="360"/>
      </w:pPr>
      <w:rPr>
        <w:rFonts w:ascii="Times New Roman" w:eastAsiaTheme="minorHAnsi" w:hAnsi="Times New Roman" w:cs="Times New Roman" w:hint="default"/>
      </w:rPr>
    </w:lvl>
    <w:lvl w:ilvl="1" w:tplc="0C0A0003">
      <w:start w:val="1"/>
      <w:numFmt w:val="bullet"/>
      <w:lvlText w:val="o"/>
      <w:lvlJc w:val="left"/>
      <w:pPr>
        <w:ind w:left="1500" w:hanging="360"/>
      </w:pPr>
      <w:rPr>
        <w:rFonts w:ascii="Courier New" w:hAnsi="Courier New" w:cs="Courier New" w:hint="default"/>
      </w:rPr>
    </w:lvl>
    <w:lvl w:ilvl="2" w:tplc="0C0A0005">
      <w:start w:val="1"/>
      <w:numFmt w:val="bullet"/>
      <w:lvlText w:val=""/>
      <w:lvlJc w:val="left"/>
      <w:pPr>
        <w:ind w:left="2220" w:hanging="360"/>
      </w:pPr>
      <w:rPr>
        <w:rFonts w:ascii="Wingdings" w:hAnsi="Wingdings" w:hint="default"/>
      </w:rPr>
    </w:lvl>
    <w:lvl w:ilvl="3" w:tplc="0C0A0001">
      <w:start w:val="1"/>
      <w:numFmt w:val="bullet"/>
      <w:lvlText w:val=""/>
      <w:lvlJc w:val="left"/>
      <w:pPr>
        <w:ind w:left="2940" w:hanging="360"/>
      </w:pPr>
      <w:rPr>
        <w:rFonts w:ascii="Symbol" w:hAnsi="Symbol" w:hint="default"/>
      </w:rPr>
    </w:lvl>
    <w:lvl w:ilvl="4" w:tplc="0C0A0003">
      <w:start w:val="1"/>
      <w:numFmt w:val="bullet"/>
      <w:lvlText w:val="o"/>
      <w:lvlJc w:val="left"/>
      <w:pPr>
        <w:ind w:left="3660" w:hanging="360"/>
      </w:pPr>
      <w:rPr>
        <w:rFonts w:ascii="Courier New" w:hAnsi="Courier New" w:cs="Courier New" w:hint="default"/>
      </w:rPr>
    </w:lvl>
    <w:lvl w:ilvl="5" w:tplc="0C0A0005">
      <w:start w:val="1"/>
      <w:numFmt w:val="bullet"/>
      <w:lvlText w:val=""/>
      <w:lvlJc w:val="left"/>
      <w:pPr>
        <w:ind w:left="4380" w:hanging="360"/>
      </w:pPr>
      <w:rPr>
        <w:rFonts w:ascii="Wingdings" w:hAnsi="Wingdings" w:hint="default"/>
      </w:rPr>
    </w:lvl>
    <w:lvl w:ilvl="6" w:tplc="0C0A0001">
      <w:start w:val="1"/>
      <w:numFmt w:val="bullet"/>
      <w:lvlText w:val=""/>
      <w:lvlJc w:val="left"/>
      <w:pPr>
        <w:ind w:left="5100" w:hanging="360"/>
      </w:pPr>
      <w:rPr>
        <w:rFonts w:ascii="Symbol" w:hAnsi="Symbol" w:hint="default"/>
      </w:rPr>
    </w:lvl>
    <w:lvl w:ilvl="7" w:tplc="0C0A0003">
      <w:start w:val="1"/>
      <w:numFmt w:val="bullet"/>
      <w:lvlText w:val="o"/>
      <w:lvlJc w:val="left"/>
      <w:pPr>
        <w:ind w:left="5820" w:hanging="360"/>
      </w:pPr>
      <w:rPr>
        <w:rFonts w:ascii="Courier New" w:hAnsi="Courier New" w:cs="Courier New" w:hint="default"/>
      </w:rPr>
    </w:lvl>
    <w:lvl w:ilvl="8" w:tplc="0C0A0005">
      <w:start w:val="1"/>
      <w:numFmt w:val="bullet"/>
      <w:lvlText w:val=""/>
      <w:lvlJc w:val="left"/>
      <w:pPr>
        <w:ind w:left="654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6FF83BFB"/>
    <w:multiLevelType w:val="hybridMultilevel"/>
    <w:tmpl w:val="ABC63946"/>
    <w:lvl w:ilvl="0" w:tplc="2B1AF09A">
      <w:start w:val="10"/>
      <w:numFmt w:val="bullet"/>
      <w:lvlText w:val="-"/>
      <w:lvlJc w:val="left"/>
      <w:pPr>
        <w:ind w:left="1571" w:hanging="360"/>
      </w:pPr>
      <w:rPr>
        <w:rFonts w:ascii="Times New Roman" w:eastAsiaTheme="minorHAns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C5"/>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5663F"/>
    <w:rsid w:val="00373B55"/>
    <w:rsid w:val="003D727E"/>
    <w:rsid w:val="003E0341"/>
    <w:rsid w:val="003E3402"/>
    <w:rsid w:val="003F4736"/>
    <w:rsid w:val="00401B49"/>
    <w:rsid w:val="0042292D"/>
    <w:rsid w:val="00437D5B"/>
    <w:rsid w:val="00440254"/>
    <w:rsid w:val="004716A7"/>
    <w:rsid w:val="004860D3"/>
    <w:rsid w:val="004A3BF4"/>
    <w:rsid w:val="004A5DB3"/>
    <w:rsid w:val="005152D9"/>
    <w:rsid w:val="00533AD4"/>
    <w:rsid w:val="00534849"/>
    <w:rsid w:val="00560102"/>
    <w:rsid w:val="00562EA1"/>
    <w:rsid w:val="005A498B"/>
    <w:rsid w:val="00617BB8"/>
    <w:rsid w:val="006207FF"/>
    <w:rsid w:val="00656C41"/>
    <w:rsid w:val="00680052"/>
    <w:rsid w:val="00683267"/>
    <w:rsid w:val="006844E9"/>
    <w:rsid w:val="006B3847"/>
    <w:rsid w:val="0075453D"/>
    <w:rsid w:val="007A4CC6"/>
    <w:rsid w:val="007C3623"/>
    <w:rsid w:val="007C5D2A"/>
    <w:rsid w:val="007F1E00"/>
    <w:rsid w:val="007F6E4E"/>
    <w:rsid w:val="00827444"/>
    <w:rsid w:val="008400E3"/>
    <w:rsid w:val="00864538"/>
    <w:rsid w:val="00873B4F"/>
    <w:rsid w:val="008A24F6"/>
    <w:rsid w:val="008E51AE"/>
    <w:rsid w:val="008F2F8C"/>
    <w:rsid w:val="009925C9"/>
    <w:rsid w:val="009C0B15"/>
    <w:rsid w:val="00A179D0"/>
    <w:rsid w:val="00A358A3"/>
    <w:rsid w:val="00A46747"/>
    <w:rsid w:val="00A80446"/>
    <w:rsid w:val="00A85D26"/>
    <w:rsid w:val="00A9153A"/>
    <w:rsid w:val="00AB4376"/>
    <w:rsid w:val="00AC033C"/>
    <w:rsid w:val="00AD2E36"/>
    <w:rsid w:val="00AF4AC6"/>
    <w:rsid w:val="00B45DC5"/>
    <w:rsid w:val="00B63AC1"/>
    <w:rsid w:val="00BD3490"/>
    <w:rsid w:val="00C26226"/>
    <w:rsid w:val="00C3571D"/>
    <w:rsid w:val="00C54F0B"/>
    <w:rsid w:val="00C71313"/>
    <w:rsid w:val="00C82621"/>
    <w:rsid w:val="00CB1423"/>
    <w:rsid w:val="00CB73DB"/>
    <w:rsid w:val="00D02508"/>
    <w:rsid w:val="00D6273D"/>
    <w:rsid w:val="00D778CC"/>
    <w:rsid w:val="00D82FE9"/>
    <w:rsid w:val="00D97B77"/>
    <w:rsid w:val="00DB6A85"/>
    <w:rsid w:val="00E06B32"/>
    <w:rsid w:val="00E1290F"/>
    <w:rsid w:val="00E36A80"/>
    <w:rsid w:val="00E554C5"/>
    <w:rsid w:val="00EA0647"/>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3A1FA"/>
  <w15:chartTrackingRefBased/>
  <w15:docId w15:val="{ED17F0FC-3A38-4F7E-83C3-0734C37F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EA0647"/>
    <w:pPr>
      <w:spacing w:after="160" w:line="256" w:lineRule="auto"/>
      <w:ind w:left="720"/>
      <w:contextualSpacing/>
    </w:pPr>
    <w:rPr>
      <w:rFonts w:asciiTheme="minorHAnsi" w:eastAsiaTheme="minorHAnsi" w:hAnsiTheme="minorHAnsi" w:cstheme="minorBidi"/>
      <w:sz w:val="22"/>
      <w:szCs w:val="22"/>
      <w:lang w:val="es-ES" w:eastAsia="en-US"/>
    </w:rPr>
  </w:style>
  <w:style w:type="table" w:styleId="Tabel-Gitter">
    <w:name w:val="Table Grid"/>
    <w:basedOn w:val="Tabel-Normal"/>
    <w:uiPriority w:val="39"/>
    <w:rsid w:val="00EA0647"/>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925">
      <w:bodyDiv w:val="1"/>
      <w:marLeft w:val="0"/>
      <w:marRight w:val="0"/>
      <w:marTop w:val="0"/>
      <w:marBottom w:val="0"/>
      <w:divBdr>
        <w:top w:val="none" w:sz="0" w:space="0" w:color="auto"/>
        <w:left w:val="none" w:sz="0" w:space="0" w:color="auto"/>
        <w:bottom w:val="none" w:sz="0" w:space="0" w:color="auto"/>
        <w:right w:val="none" w:sz="0" w:space="0" w:color="auto"/>
      </w:divBdr>
    </w:div>
    <w:div w:id="56827191">
      <w:bodyDiv w:val="1"/>
      <w:marLeft w:val="0"/>
      <w:marRight w:val="0"/>
      <w:marTop w:val="0"/>
      <w:marBottom w:val="0"/>
      <w:divBdr>
        <w:top w:val="none" w:sz="0" w:space="0" w:color="auto"/>
        <w:left w:val="none" w:sz="0" w:space="0" w:color="auto"/>
        <w:bottom w:val="none" w:sz="0" w:space="0" w:color="auto"/>
        <w:right w:val="none" w:sz="0" w:space="0" w:color="auto"/>
      </w:divBdr>
    </w:div>
    <w:div w:id="177082122">
      <w:bodyDiv w:val="1"/>
      <w:marLeft w:val="0"/>
      <w:marRight w:val="0"/>
      <w:marTop w:val="0"/>
      <w:marBottom w:val="0"/>
      <w:divBdr>
        <w:top w:val="none" w:sz="0" w:space="0" w:color="auto"/>
        <w:left w:val="none" w:sz="0" w:space="0" w:color="auto"/>
        <w:bottom w:val="none" w:sz="0" w:space="0" w:color="auto"/>
        <w:right w:val="none" w:sz="0" w:space="0" w:color="auto"/>
      </w:divBdr>
    </w:div>
    <w:div w:id="197551137">
      <w:bodyDiv w:val="1"/>
      <w:marLeft w:val="0"/>
      <w:marRight w:val="0"/>
      <w:marTop w:val="0"/>
      <w:marBottom w:val="0"/>
      <w:divBdr>
        <w:top w:val="none" w:sz="0" w:space="0" w:color="auto"/>
        <w:left w:val="none" w:sz="0" w:space="0" w:color="auto"/>
        <w:bottom w:val="none" w:sz="0" w:space="0" w:color="auto"/>
        <w:right w:val="none" w:sz="0" w:space="0" w:color="auto"/>
      </w:divBdr>
    </w:div>
    <w:div w:id="241372387">
      <w:bodyDiv w:val="1"/>
      <w:marLeft w:val="0"/>
      <w:marRight w:val="0"/>
      <w:marTop w:val="0"/>
      <w:marBottom w:val="0"/>
      <w:divBdr>
        <w:top w:val="none" w:sz="0" w:space="0" w:color="auto"/>
        <w:left w:val="none" w:sz="0" w:space="0" w:color="auto"/>
        <w:bottom w:val="none" w:sz="0" w:space="0" w:color="auto"/>
        <w:right w:val="none" w:sz="0" w:space="0" w:color="auto"/>
      </w:divBdr>
    </w:div>
    <w:div w:id="360397605">
      <w:bodyDiv w:val="1"/>
      <w:marLeft w:val="0"/>
      <w:marRight w:val="0"/>
      <w:marTop w:val="0"/>
      <w:marBottom w:val="0"/>
      <w:divBdr>
        <w:top w:val="none" w:sz="0" w:space="0" w:color="auto"/>
        <w:left w:val="none" w:sz="0" w:space="0" w:color="auto"/>
        <w:bottom w:val="none" w:sz="0" w:space="0" w:color="auto"/>
        <w:right w:val="none" w:sz="0" w:space="0" w:color="auto"/>
      </w:divBdr>
    </w:div>
    <w:div w:id="369497943">
      <w:bodyDiv w:val="1"/>
      <w:marLeft w:val="0"/>
      <w:marRight w:val="0"/>
      <w:marTop w:val="0"/>
      <w:marBottom w:val="0"/>
      <w:divBdr>
        <w:top w:val="none" w:sz="0" w:space="0" w:color="auto"/>
        <w:left w:val="none" w:sz="0" w:space="0" w:color="auto"/>
        <w:bottom w:val="none" w:sz="0" w:space="0" w:color="auto"/>
        <w:right w:val="none" w:sz="0" w:space="0" w:color="auto"/>
      </w:divBdr>
    </w:div>
    <w:div w:id="452601904">
      <w:bodyDiv w:val="1"/>
      <w:marLeft w:val="0"/>
      <w:marRight w:val="0"/>
      <w:marTop w:val="0"/>
      <w:marBottom w:val="0"/>
      <w:divBdr>
        <w:top w:val="none" w:sz="0" w:space="0" w:color="auto"/>
        <w:left w:val="none" w:sz="0" w:space="0" w:color="auto"/>
        <w:bottom w:val="none" w:sz="0" w:space="0" w:color="auto"/>
        <w:right w:val="none" w:sz="0" w:space="0" w:color="auto"/>
      </w:divBdr>
    </w:div>
    <w:div w:id="731931365">
      <w:bodyDiv w:val="1"/>
      <w:marLeft w:val="0"/>
      <w:marRight w:val="0"/>
      <w:marTop w:val="0"/>
      <w:marBottom w:val="0"/>
      <w:divBdr>
        <w:top w:val="none" w:sz="0" w:space="0" w:color="auto"/>
        <w:left w:val="none" w:sz="0" w:space="0" w:color="auto"/>
        <w:bottom w:val="none" w:sz="0" w:space="0" w:color="auto"/>
        <w:right w:val="none" w:sz="0" w:space="0" w:color="auto"/>
      </w:divBdr>
    </w:div>
    <w:div w:id="1020401321">
      <w:bodyDiv w:val="1"/>
      <w:marLeft w:val="0"/>
      <w:marRight w:val="0"/>
      <w:marTop w:val="0"/>
      <w:marBottom w:val="0"/>
      <w:divBdr>
        <w:top w:val="none" w:sz="0" w:space="0" w:color="auto"/>
        <w:left w:val="none" w:sz="0" w:space="0" w:color="auto"/>
        <w:bottom w:val="none" w:sz="0" w:space="0" w:color="auto"/>
        <w:right w:val="none" w:sz="0" w:space="0" w:color="auto"/>
      </w:divBdr>
    </w:div>
    <w:div w:id="1264534383">
      <w:bodyDiv w:val="1"/>
      <w:marLeft w:val="0"/>
      <w:marRight w:val="0"/>
      <w:marTop w:val="0"/>
      <w:marBottom w:val="0"/>
      <w:divBdr>
        <w:top w:val="none" w:sz="0" w:space="0" w:color="auto"/>
        <w:left w:val="none" w:sz="0" w:space="0" w:color="auto"/>
        <w:bottom w:val="none" w:sz="0" w:space="0" w:color="auto"/>
        <w:right w:val="none" w:sz="0" w:space="0" w:color="auto"/>
      </w:divBdr>
    </w:div>
    <w:div w:id="1322655378">
      <w:bodyDiv w:val="1"/>
      <w:marLeft w:val="0"/>
      <w:marRight w:val="0"/>
      <w:marTop w:val="0"/>
      <w:marBottom w:val="0"/>
      <w:divBdr>
        <w:top w:val="none" w:sz="0" w:space="0" w:color="auto"/>
        <w:left w:val="none" w:sz="0" w:space="0" w:color="auto"/>
        <w:bottom w:val="none" w:sz="0" w:space="0" w:color="auto"/>
        <w:right w:val="none" w:sz="0" w:space="0" w:color="auto"/>
      </w:divBdr>
    </w:div>
    <w:div w:id="1361397783">
      <w:bodyDiv w:val="1"/>
      <w:marLeft w:val="0"/>
      <w:marRight w:val="0"/>
      <w:marTop w:val="0"/>
      <w:marBottom w:val="0"/>
      <w:divBdr>
        <w:top w:val="none" w:sz="0" w:space="0" w:color="auto"/>
        <w:left w:val="none" w:sz="0" w:space="0" w:color="auto"/>
        <w:bottom w:val="none" w:sz="0" w:space="0" w:color="auto"/>
        <w:right w:val="none" w:sz="0" w:space="0" w:color="auto"/>
      </w:divBdr>
    </w:div>
    <w:div w:id="1445539735">
      <w:bodyDiv w:val="1"/>
      <w:marLeft w:val="0"/>
      <w:marRight w:val="0"/>
      <w:marTop w:val="0"/>
      <w:marBottom w:val="0"/>
      <w:divBdr>
        <w:top w:val="none" w:sz="0" w:space="0" w:color="auto"/>
        <w:left w:val="none" w:sz="0" w:space="0" w:color="auto"/>
        <w:bottom w:val="none" w:sz="0" w:space="0" w:color="auto"/>
        <w:right w:val="none" w:sz="0" w:space="0" w:color="auto"/>
      </w:divBdr>
    </w:div>
    <w:div w:id="1666975329">
      <w:bodyDiv w:val="1"/>
      <w:marLeft w:val="0"/>
      <w:marRight w:val="0"/>
      <w:marTop w:val="0"/>
      <w:marBottom w:val="0"/>
      <w:divBdr>
        <w:top w:val="none" w:sz="0" w:space="0" w:color="auto"/>
        <w:left w:val="none" w:sz="0" w:space="0" w:color="auto"/>
        <w:bottom w:val="none" w:sz="0" w:space="0" w:color="auto"/>
        <w:right w:val="none" w:sz="0" w:space="0" w:color="auto"/>
      </w:divBdr>
    </w:div>
    <w:div w:id="1862626335">
      <w:bodyDiv w:val="1"/>
      <w:marLeft w:val="0"/>
      <w:marRight w:val="0"/>
      <w:marTop w:val="0"/>
      <w:marBottom w:val="0"/>
      <w:divBdr>
        <w:top w:val="none" w:sz="0" w:space="0" w:color="auto"/>
        <w:left w:val="none" w:sz="0" w:space="0" w:color="auto"/>
        <w:bottom w:val="none" w:sz="0" w:space="0" w:color="auto"/>
        <w:right w:val="none" w:sz="0" w:space="0" w:color="auto"/>
      </w:divBdr>
    </w:div>
    <w:div w:id="1866282093">
      <w:bodyDiv w:val="1"/>
      <w:marLeft w:val="0"/>
      <w:marRight w:val="0"/>
      <w:marTop w:val="0"/>
      <w:marBottom w:val="0"/>
      <w:divBdr>
        <w:top w:val="none" w:sz="0" w:space="0" w:color="auto"/>
        <w:left w:val="none" w:sz="0" w:space="0" w:color="auto"/>
        <w:bottom w:val="none" w:sz="0" w:space="0" w:color="auto"/>
        <w:right w:val="none" w:sz="0" w:space="0" w:color="auto"/>
      </w:divBdr>
    </w:div>
    <w:div w:id="1935898302">
      <w:bodyDiv w:val="1"/>
      <w:marLeft w:val="0"/>
      <w:marRight w:val="0"/>
      <w:marTop w:val="0"/>
      <w:marBottom w:val="0"/>
      <w:divBdr>
        <w:top w:val="none" w:sz="0" w:space="0" w:color="auto"/>
        <w:left w:val="none" w:sz="0" w:space="0" w:color="auto"/>
        <w:bottom w:val="none" w:sz="0" w:space="0" w:color="auto"/>
        <w:right w:val="none" w:sz="0" w:space="0" w:color="auto"/>
      </w:divBdr>
    </w:div>
    <w:div w:id="2027710069">
      <w:bodyDiv w:val="1"/>
      <w:marLeft w:val="0"/>
      <w:marRight w:val="0"/>
      <w:marTop w:val="0"/>
      <w:marBottom w:val="0"/>
      <w:divBdr>
        <w:top w:val="none" w:sz="0" w:space="0" w:color="auto"/>
        <w:left w:val="none" w:sz="0" w:space="0" w:color="auto"/>
        <w:bottom w:val="none" w:sz="0" w:space="0" w:color="auto"/>
        <w:right w:val="none" w:sz="0" w:space="0" w:color="auto"/>
      </w:divBdr>
    </w:div>
    <w:div w:id="2070883839">
      <w:bodyDiv w:val="1"/>
      <w:marLeft w:val="0"/>
      <w:marRight w:val="0"/>
      <w:marTop w:val="0"/>
      <w:marBottom w:val="0"/>
      <w:divBdr>
        <w:top w:val="none" w:sz="0" w:space="0" w:color="auto"/>
        <w:left w:val="none" w:sz="0" w:space="0" w:color="auto"/>
        <w:bottom w:val="none" w:sz="0" w:space="0" w:color="auto"/>
        <w:right w:val="none" w:sz="0" w:space="0" w:color="auto"/>
      </w:divBdr>
    </w:div>
    <w:div w:id="2119522457">
      <w:bodyDiv w:val="1"/>
      <w:marLeft w:val="0"/>
      <w:marRight w:val="0"/>
      <w:marTop w:val="0"/>
      <w:marBottom w:val="0"/>
      <w:divBdr>
        <w:top w:val="none" w:sz="0" w:space="0" w:color="auto"/>
        <w:left w:val="none" w:sz="0" w:space="0" w:color="auto"/>
        <w:bottom w:val="none" w:sz="0" w:space="0" w:color="auto"/>
        <w:right w:val="none" w:sz="0" w:space="0" w:color="auto"/>
      </w:divBdr>
    </w:div>
    <w:div w:id="213798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50</TotalTime>
  <Pages>13</Pages>
  <Words>4371</Words>
  <Characters>26139</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2023030268, MT</dc:description>
  <cp:lastModifiedBy>Gitte Jørgensen</cp:lastModifiedBy>
  <cp:revision>10</cp:revision>
  <cp:lastPrinted>2006-02-24T09:31:00Z</cp:lastPrinted>
  <dcterms:created xsi:type="dcterms:W3CDTF">2024-09-25T06:24:00Z</dcterms:created>
  <dcterms:modified xsi:type="dcterms:W3CDTF">2024-09-25T10:25:00Z</dcterms:modified>
</cp:coreProperties>
</file>