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5EE9" w:rsidRDefault="00A75EE9" w:rsidP="00A75EE9">
      <w:pPr>
        <w:rPr>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1FEEB773" wp14:editId="24008C1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A75EE9" w:rsidRPr="0014749F" w:rsidRDefault="00296351" w:rsidP="00A75EE9">
      <w:pPr>
        <w:jc w:val="right"/>
        <w:rPr>
          <w:b/>
          <w:sz w:val="24"/>
          <w:szCs w:val="24"/>
        </w:rPr>
      </w:pPr>
      <w:r>
        <w:rPr>
          <w:b/>
          <w:sz w:val="24"/>
          <w:szCs w:val="24"/>
        </w:rPr>
        <w:t>8</w:t>
      </w:r>
      <w:r w:rsidR="00F251D2">
        <w:rPr>
          <w:b/>
          <w:sz w:val="24"/>
          <w:szCs w:val="24"/>
        </w:rPr>
        <w:t xml:space="preserve">. </w:t>
      </w:r>
      <w:r>
        <w:rPr>
          <w:b/>
          <w:sz w:val="24"/>
          <w:szCs w:val="24"/>
        </w:rPr>
        <w:t>august</w:t>
      </w:r>
      <w:r w:rsidR="00F251D2">
        <w:rPr>
          <w:b/>
          <w:sz w:val="24"/>
          <w:szCs w:val="24"/>
        </w:rPr>
        <w:t xml:space="preserve"> 202</w:t>
      </w:r>
      <w:r>
        <w:rPr>
          <w:b/>
          <w:sz w:val="24"/>
          <w:szCs w:val="24"/>
        </w:rPr>
        <w:t>4</w:t>
      </w:r>
    </w:p>
    <w:p w:rsidR="00A75EE9" w:rsidRDefault="00A75EE9" w:rsidP="00A75EE9">
      <w:pPr>
        <w:pStyle w:val="Titel"/>
        <w:jc w:val="left"/>
        <w:rPr>
          <w:b w:val="0"/>
          <w:szCs w:val="24"/>
        </w:rPr>
      </w:pPr>
    </w:p>
    <w:p w:rsidR="00E77B9C" w:rsidRDefault="00E77B9C" w:rsidP="00A75EE9">
      <w:pPr>
        <w:pStyle w:val="Titel"/>
        <w:jc w:val="left"/>
        <w:rPr>
          <w:b w:val="0"/>
          <w:szCs w:val="24"/>
        </w:rPr>
      </w:pPr>
    </w:p>
    <w:p w:rsidR="0014749F" w:rsidRPr="00C84483" w:rsidRDefault="0014749F" w:rsidP="00A75EE9">
      <w:pPr>
        <w:pStyle w:val="Titel"/>
        <w:jc w:val="left"/>
        <w:rPr>
          <w:b w:val="0"/>
          <w:szCs w:val="24"/>
        </w:rPr>
      </w:pPr>
    </w:p>
    <w:p w:rsidR="00A75EE9" w:rsidRPr="00C84483" w:rsidRDefault="00A75EE9" w:rsidP="00A75EE9">
      <w:pPr>
        <w:jc w:val="center"/>
        <w:rPr>
          <w:b/>
          <w:sz w:val="24"/>
          <w:szCs w:val="24"/>
        </w:rPr>
      </w:pPr>
      <w:r w:rsidRPr="00C84483">
        <w:rPr>
          <w:b/>
          <w:sz w:val="24"/>
          <w:szCs w:val="24"/>
        </w:rPr>
        <w:t>PRODUKTRESUMÉ</w:t>
      </w:r>
    </w:p>
    <w:p w:rsidR="00A75EE9" w:rsidRPr="00C84483" w:rsidRDefault="00A75EE9" w:rsidP="00A75EE9">
      <w:pPr>
        <w:jc w:val="center"/>
        <w:rPr>
          <w:b/>
          <w:sz w:val="24"/>
          <w:szCs w:val="24"/>
        </w:rPr>
      </w:pPr>
    </w:p>
    <w:p w:rsidR="00A75EE9" w:rsidRDefault="00A75EE9" w:rsidP="00A75EE9">
      <w:pPr>
        <w:jc w:val="center"/>
        <w:rPr>
          <w:b/>
          <w:sz w:val="24"/>
          <w:szCs w:val="24"/>
        </w:rPr>
      </w:pPr>
      <w:r w:rsidRPr="00C84483">
        <w:rPr>
          <w:b/>
          <w:sz w:val="24"/>
          <w:szCs w:val="24"/>
        </w:rPr>
        <w:t>for</w:t>
      </w:r>
    </w:p>
    <w:p w:rsidR="00A75EE9" w:rsidRPr="00C84483" w:rsidRDefault="00A75EE9" w:rsidP="00A75EE9">
      <w:pPr>
        <w:jc w:val="center"/>
        <w:rPr>
          <w:b/>
          <w:sz w:val="24"/>
          <w:szCs w:val="24"/>
        </w:rPr>
      </w:pPr>
    </w:p>
    <w:p w:rsidR="00A75EE9" w:rsidRPr="00C84483" w:rsidRDefault="007D71C0" w:rsidP="00A75EE9">
      <w:pPr>
        <w:jc w:val="center"/>
        <w:rPr>
          <w:b/>
          <w:sz w:val="24"/>
          <w:szCs w:val="24"/>
        </w:rPr>
      </w:pPr>
      <w:proofErr w:type="spellStart"/>
      <w:r>
        <w:rPr>
          <w:b/>
          <w:sz w:val="24"/>
          <w:szCs w:val="24"/>
        </w:rPr>
        <w:t>Pantoprazol</w:t>
      </w:r>
      <w:proofErr w:type="spellEnd"/>
      <w:r>
        <w:rPr>
          <w:b/>
          <w:sz w:val="24"/>
          <w:szCs w:val="24"/>
        </w:rPr>
        <w:t xml:space="preserve"> </w:t>
      </w:r>
      <w:r w:rsidR="00DB7F7A">
        <w:rPr>
          <w:b/>
          <w:sz w:val="24"/>
          <w:szCs w:val="24"/>
        </w:rPr>
        <w:t>"</w:t>
      </w:r>
      <w:proofErr w:type="spellStart"/>
      <w:r w:rsidR="00F251D2">
        <w:rPr>
          <w:b/>
          <w:sz w:val="24"/>
          <w:szCs w:val="24"/>
        </w:rPr>
        <w:t>Oresund</w:t>
      </w:r>
      <w:proofErr w:type="spellEnd"/>
      <w:r w:rsidR="00F251D2">
        <w:rPr>
          <w:b/>
          <w:sz w:val="24"/>
          <w:szCs w:val="24"/>
        </w:rPr>
        <w:t xml:space="preserve"> Pharma</w:t>
      </w:r>
      <w:r w:rsidR="00DB7F7A">
        <w:rPr>
          <w:b/>
          <w:sz w:val="24"/>
          <w:szCs w:val="24"/>
        </w:rPr>
        <w:t>"</w:t>
      </w:r>
      <w:r w:rsidR="00A75EE9">
        <w:rPr>
          <w:b/>
          <w:sz w:val="24"/>
          <w:szCs w:val="24"/>
        </w:rPr>
        <w:t>, pulver til injektionsvæske, opløsning</w:t>
      </w:r>
    </w:p>
    <w:p w:rsidR="00A75EE9" w:rsidRPr="00C84483" w:rsidRDefault="00A75EE9" w:rsidP="00A75EE9">
      <w:pPr>
        <w:jc w:val="both"/>
        <w:rPr>
          <w:sz w:val="24"/>
          <w:szCs w:val="24"/>
        </w:rPr>
      </w:pPr>
    </w:p>
    <w:p w:rsidR="00A75EE9" w:rsidRPr="00BC0C1D" w:rsidRDefault="00A75EE9" w:rsidP="00A75EE9">
      <w:pPr>
        <w:jc w:val="both"/>
        <w:rPr>
          <w:sz w:val="24"/>
          <w:szCs w:val="24"/>
        </w:rPr>
      </w:pPr>
    </w:p>
    <w:p w:rsidR="00A75EE9" w:rsidRPr="00BC0C1D" w:rsidRDefault="00A75EE9" w:rsidP="00A75EE9">
      <w:pPr>
        <w:ind w:left="851" w:hanging="851"/>
        <w:rPr>
          <w:b/>
          <w:sz w:val="24"/>
          <w:szCs w:val="24"/>
        </w:rPr>
      </w:pPr>
      <w:r w:rsidRPr="00BC0C1D">
        <w:rPr>
          <w:b/>
          <w:sz w:val="24"/>
          <w:szCs w:val="24"/>
        </w:rPr>
        <w:t>0.</w:t>
      </w:r>
      <w:r w:rsidRPr="00BC0C1D">
        <w:rPr>
          <w:b/>
          <w:sz w:val="24"/>
          <w:szCs w:val="24"/>
        </w:rPr>
        <w:tab/>
        <w:t>D.SP.NR.</w:t>
      </w:r>
    </w:p>
    <w:p w:rsidR="00A75EE9" w:rsidRPr="00BC0C1D" w:rsidRDefault="00A75EE9" w:rsidP="00A75EE9">
      <w:pPr>
        <w:ind w:left="851"/>
        <w:rPr>
          <w:sz w:val="24"/>
          <w:szCs w:val="24"/>
        </w:rPr>
      </w:pPr>
      <w:r w:rsidRPr="00BC0C1D">
        <w:rPr>
          <w:sz w:val="24"/>
          <w:szCs w:val="24"/>
        </w:rPr>
        <w:t>29795</w:t>
      </w:r>
    </w:p>
    <w:p w:rsidR="00A75EE9" w:rsidRPr="00BC0C1D" w:rsidRDefault="00A75EE9" w:rsidP="00A75EE9">
      <w:pPr>
        <w:ind w:left="851"/>
        <w:rPr>
          <w:sz w:val="24"/>
          <w:szCs w:val="24"/>
        </w:rPr>
      </w:pPr>
    </w:p>
    <w:p w:rsidR="00A75EE9" w:rsidRPr="00BC0C1D" w:rsidRDefault="00A75EE9" w:rsidP="00A75EE9">
      <w:pPr>
        <w:ind w:left="851" w:hanging="851"/>
        <w:rPr>
          <w:b/>
          <w:sz w:val="24"/>
          <w:szCs w:val="24"/>
        </w:rPr>
      </w:pPr>
      <w:r w:rsidRPr="00BC0C1D">
        <w:rPr>
          <w:b/>
          <w:sz w:val="24"/>
          <w:szCs w:val="24"/>
        </w:rPr>
        <w:t>1.</w:t>
      </w:r>
      <w:r w:rsidRPr="00BC0C1D">
        <w:rPr>
          <w:b/>
          <w:sz w:val="24"/>
          <w:szCs w:val="24"/>
        </w:rPr>
        <w:tab/>
        <w:t>LÆGEMIDLETS NAVN</w:t>
      </w:r>
    </w:p>
    <w:p w:rsidR="00A75EE9" w:rsidRPr="00BC0C1D" w:rsidRDefault="007D71C0" w:rsidP="00A75EE9">
      <w:pPr>
        <w:ind w:left="851"/>
        <w:rPr>
          <w:sz w:val="24"/>
          <w:szCs w:val="24"/>
        </w:rPr>
      </w:pPr>
      <w:proofErr w:type="spellStart"/>
      <w:r>
        <w:rPr>
          <w:sz w:val="24"/>
          <w:szCs w:val="24"/>
        </w:rPr>
        <w:t>Pantoprazol</w:t>
      </w:r>
      <w:proofErr w:type="spellEnd"/>
      <w:r>
        <w:rPr>
          <w:sz w:val="24"/>
          <w:szCs w:val="24"/>
        </w:rPr>
        <w:t xml:space="preserve"> </w:t>
      </w:r>
      <w:r w:rsidR="00DB7F7A">
        <w:rPr>
          <w:sz w:val="24"/>
          <w:szCs w:val="24"/>
        </w:rPr>
        <w:t>"</w:t>
      </w:r>
      <w:proofErr w:type="spellStart"/>
      <w:r w:rsidR="00F251D2">
        <w:rPr>
          <w:sz w:val="24"/>
          <w:szCs w:val="24"/>
        </w:rPr>
        <w:t>Oresund</w:t>
      </w:r>
      <w:proofErr w:type="spellEnd"/>
      <w:r w:rsidR="00F251D2">
        <w:rPr>
          <w:sz w:val="24"/>
          <w:szCs w:val="24"/>
        </w:rPr>
        <w:t xml:space="preserve"> Pharma</w:t>
      </w:r>
      <w:r w:rsidR="00DB7F7A">
        <w:rPr>
          <w:sz w:val="24"/>
          <w:szCs w:val="24"/>
        </w:rPr>
        <w:t>"</w:t>
      </w:r>
    </w:p>
    <w:p w:rsidR="00A75EE9" w:rsidRPr="00BC0C1D" w:rsidRDefault="00A75EE9" w:rsidP="00A75EE9">
      <w:pPr>
        <w:ind w:left="851"/>
        <w:rPr>
          <w:sz w:val="24"/>
          <w:szCs w:val="24"/>
        </w:rPr>
      </w:pPr>
    </w:p>
    <w:p w:rsidR="00A75EE9" w:rsidRPr="00BC0C1D" w:rsidRDefault="00A75EE9" w:rsidP="00A75EE9">
      <w:pPr>
        <w:ind w:left="851" w:hanging="851"/>
        <w:rPr>
          <w:b/>
          <w:sz w:val="24"/>
          <w:szCs w:val="24"/>
        </w:rPr>
      </w:pPr>
      <w:r w:rsidRPr="00BC0C1D">
        <w:rPr>
          <w:b/>
          <w:sz w:val="24"/>
          <w:szCs w:val="24"/>
        </w:rPr>
        <w:t>2.</w:t>
      </w:r>
      <w:r w:rsidRPr="00BC0C1D">
        <w:rPr>
          <w:b/>
          <w:sz w:val="24"/>
          <w:szCs w:val="24"/>
        </w:rPr>
        <w:tab/>
        <w:t>KVALITATIV OG KVANTITATIV SAMMENSÆTNING</w:t>
      </w:r>
    </w:p>
    <w:p w:rsidR="00A75EE9" w:rsidRPr="00BC0C1D" w:rsidRDefault="00A75EE9" w:rsidP="00A75EE9">
      <w:pPr>
        <w:widowControl w:val="0"/>
        <w:adjustRightInd w:val="0"/>
        <w:ind w:left="1208" w:hanging="357"/>
        <w:textAlignment w:val="baseline"/>
        <w:rPr>
          <w:spacing w:val="-3"/>
          <w:sz w:val="24"/>
          <w:szCs w:val="24"/>
          <w:lang w:eastAsia="da-DK"/>
        </w:rPr>
      </w:pPr>
      <w:r w:rsidRPr="00BC0C1D">
        <w:rPr>
          <w:sz w:val="24"/>
          <w:szCs w:val="24"/>
        </w:rPr>
        <w:t xml:space="preserve">Et hætteglas indeholder 40 mg </w:t>
      </w:r>
      <w:proofErr w:type="spellStart"/>
      <w:r w:rsidRPr="00BC0C1D">
        <w:rPr>
          <w:spacing w:val="-3"/>
          <w:sz w:val="24"/>
          <w:szCs w:val="24"/>
        </w:rPr>
        <w:t>pantoprazol</w:t>
      </w:r>
      <w:proofErr w:type="spellEnd"/>
      <w:r w:rsidRPr="00BC0C1D">
        <w:rPr>
          <w:spacing w:val="-3"/>
          <w:sz w:val="24"/>
          <w:szCs w:val="24"/>
        </w:rPr>
        <w:t xml:space="preserve"> (som </w:t>
      </w:r>
      <w:proofErr w:type="spellStart"/>
      <w:r w:rsidRPr="00BC0C1D">
        <w:rPr>
          <w:spacing w:val="-3"/>
          <w:sz w:val="24"/>
          <w:szCs w:val="24"/>
        </w:rPr>
        <w:t>natriumsesquihydrat</w:t>
      </w:r>
      <w:proofErr w:type="spellEnd"/>
      <w:r w:rsidRPr="00BC0C1D">
        <w:rPr>
          <w:spacing w:val="-3"/>
          <w:sz w:val="24"/>
          <w:szCs w:val="24"/>
        </w:rPr>
        <w:t>).</w:t>
      </w:r>
    </w:p>
    <w:p w:rsidR="00A75EE9" w:rsidRPr="00BC0C1D" w:rsidRDefault="00A75EE9" w:rsidP="00A75EE9">
      <w:pPr>
        <w:widowControl w:val="0"/>
        <w:adjustRightInd w:val="0"/>
        <w:ind w:left="1208" w:hanging="357"/>
        <w:textAlignment w:val="baseline"/>
        <w:rPr>
          <w:spacing w:val="-3"/>
          <w:sz w:val="24"/>
          <w:szCs w:val="24"/>
        </w:rPr>
      </w:pPr>
    </w:p>
    <w:p w:rsidR="00A75EE9" w:rsidRPr="00BC0C1D" w:rsidRDefault="00A75EE9" w:rsidP="00A75EE9">
      <w:pPr>
        <w:widowControl w:val="0"/>
        <w:adjustRightInd w:val="0"/>
        <w:ind w:left="1208" w:hanging="357"/>
        <w:textAlignment w:val="baseline"/>
        <w:rPr>
          <w:spacing w:val="-3"/>
          <w:sz w:val="24"/>
          <w:szCs w:val="24"/>
          <w:u w:val="single"/>
        </w:rPr>
      </w:pPr>
      <w:r w:rsidRPr="00BC0C1D">
        <w:rPr>
          <w:spacing w:val="-3"/>
          <w:sz w:val="24"/>
          <w:szCs w:val="24"/>
          <w:u w:val="single"/>
        </w:rPr>
        <w:t>Hjælpestof, som behandleren skal være opmærksom på:</w:t>
      </w:r>
    </w:p>
    <w:p w:rsidR="00A75EE9" w:rsidRPr="00BC0C1D" w:rsidRDefault="00A75EE9" w:rsidP="00A75EE9">
      <w:pPr>
        <w:widowControl w:val="0"/>
        <w:adjustRightInd w:val="0"/>
        <w:ind w:left="1208" w:hanging="357"/>
        <w:textAlignment w:val="baseline"/>
        <w:rPr>
          <w:sz w:val="24"/>
          <w:szCs w:val="24"/>
        </w:rPr>
      </w:pPr>
      <w:r w:rsidRPr="00BC0C1D">
        <w:rPr>
          <w:spacing w:val="-3"/>
          <w:sz w:val="24"/>
          <w:szCs w:val="24"/>
        </w:rPr>
        <w:t xml:space="preserve">Hvert hætteglas indeholder 1 mg </w:t>
      </w:r>
      <w:proofErr w:type="spellStart"/>
      <w:r w:rsidRPr="00BC0C1D">
        <w:rPr>
          <w:sz w:val="24"/>
          <w:szCs w:val="24"/>
        </w:rPr>
        <w:t>dinatriumedetat</w:t>
      </w:r>
      <w:proofErr w:type="spellEnd"/>
      <w:r w:rsidRPr="00BC0C1D">
        <w:rPr>
          <w:sz w:val="24"/>
          <w:szCs w:val="24"/>
        </w:rPr>
        <w:t>.</w:t>
      </w:r>
    </w:p>
    <w:p w:rsidR="00A75EE9" w:rsidRPr="00BC0C1D" w:rsidRDefault="00A75EE9" w:rsidP="00A75EE9">
      <w:pPr>
        <w:ind w:left="851"/>
        <w:rPr>
          <w:spacing w:val="-3"/>
          <w:sz w:val="24"/>
          <w:szCs w:val="24"/>
        </w:rPr>
      </w:pPr>
      <w:r w:rsidRPr="00BC0C1D">
        <w:rPr>
          <w:spacing w:val="-3"/>
          <w:sz w:val="24"/>
          <w:szCs w:val="24"/>
        </w:rPr>
        <w:t>Dette lægemiddel indeholder mindre end 1 mmol (23 mg) natrium pr. hætteglas, dvs. det er i det væsentlige natriumfrit.</w:t>
      </w:r>
    </w:p>
    <w:p w:rsidR="00A75EE9" w:rsidRPr="00BC0C1D" w:rsidRDefault="00A75EE9" w:rsidP="00A75EE9">
      <w:pPr>
        <w:widowControl w:val="0"/>
        <w:adjustRightInd w:val="0"/>
        <w:ind w:left="1208" w:hanging="357"/>
        <w:textAlignment w:val="baseline"/>
        <w:rPr>
          <w:spacing w:val="-3"/>
          <w:sz w:val="24"/>
          <w:szCs w:val="24"/>
        </w:rPr>
      </w:pPr>
    </w:p>
    <w:p w:rsidR="00A75EE9" w:rsidRPr="00BC0C1D" w:rsidRDefault="00A75EE9" w:rsidP="00A75EE9">
      <w:pPr>
        <w:widowControl w:val="0"/>
        <w:adjustRightInd w:val="0"/>
        <w:ind w:left="1208" w:hanging="357"/>
        <w:textAlignment w:val="baseline"/>
        <w:rPr>
          <w:spacing w:val="-3"/>
          <w:sz w:val="24"/>
          <w:szCs w:val="24"/>
        </w:rPr>
      </w:pPr>
      <w:r w:rsidRPr="00BC0C1D">
        <w:rPr>
          <w:spacing w:val="-3"/>
          <w:sz w:val="24"/>
          <w:szCs w:val="24"/>
        </w:rPr>
        <w:t>Alle hjælpestoffer er anført under pkt. 6.1</w:t>
      </w:r>
    </w:p>
    <w:p w:rsidR="00A75EE9" w:rsidRPr="00BC0C1D" w:rsidRDefault="00A75EE9" w:rsidP="00A75EE9">
      <w:pPr>
        <w:ind w:left="851"/>
        <w:rPr>
          <w:sz w:val="24"/>
          <w:szCs w:val="24"/>
        </w:rPr>
      </w:pPr>
    </w:p>
    <w:p w:rsidR="00A75EE9" w:rsidRPr="00BC0C1D" w:rsidRDefault="00A75EE9" w:rsidP="00A75EE9">
      <w:pPr>
        <w:ind w:left="851" w:hanging="851"/>
        <w:rPr>
          <w:b/>
          <w:sz w:val="24"/>
          <w:szCs w:val="24"/>
        </w:rPr>
      </w:pPr>
      <w:r w:rsidRPr="00BC0C1D">
        <w:rPr>
          <w:b/>
          <w:sz w:val="24"/>
          <w:szCs w:val="24"/>
        </w:rPr>
        <w:t>3.</w:t>
      </w:r>
      <w:r w:rsidRPr="00BC0C1D">
        <w:rPr>
          <w:b/>
          <w:sz w:val="24"/>
          <w:szCs w:val="24"/>
        </w:rPr>
        <w:tab/>
        <w:t>LÆGEMIDDELFORM</w:t>
      </w:r>
    </w:p>
    <w:p w:rsidR="00A75EE9" w:rsidRPr="00BC0C1D" w:rsidRDefault="00A75EE9" w:rsidP="00A75EE9">
      <w:pPr>
        <w:widowControl w:val="0"/>
        <w:adjustRightInd w:val="0"/>
        <w:ind w:left="1208" w:hanging="357"/>
        <w:textAlignment w:val="baseline"/>
        <w:rPr>
          <w:spacing w:val="-3"/>
          <w:sz w:val="24"/>
          <w:szCs w:val="24"/>
          <w:lang w:eastAsia="da-DK"/>
        </w:rPr>
      </w:pPr>
      <w:r w:rsidRPr="00BC0C1D">
        <w:rPr>
          <w:spacing w:val="-3"/>
          <w:sz w:val="24"/>
          <w:szCs w:val="24"/>
        </w:rPr>
        <w:t>Pulver til injektionsvæske, opløsning</w:t>
      </w:r>
    </w:p>
    <w:p w:rsidR="00A75EE9" w:rsidRPr="00BC0C1D" w:rsidRDefault="00A75EE9" w:rsidP="00A75EE9">
      <w:pPr>
        <w:widowControl w:val="0"/>
        <w:adjustRightInd w:val="0"/>
        <w:ind w:left="1208" w:hanging="357"/>
        <w:textAlignment w:val="baseline"/>
        <w:rPr>
          <w:spacing w:val="-3"/>
          <w:sz w:val="24"/>
          <w:szCs w:val="24"/>
        </w:rPr>
      </w:pPr>
      <w:r w:rsidRPr="00BC0C1D">
        <w:rPr>
          <w:spacing w:val="-3"/>
          <w:sz w:val="24"/>
          <w:szCs w:val="24"/>
        </w:rPr>
        <w:t xml:space="preserve">Hvidt til </w:t>
      </w:r>
      <w:proofErr w:type="spellStart"/>
      <w:r w:rsidRPr="00BC0C1D">
        <w:rPr>
          <w:spacing w:val="-3"/>
          <w:sz w:val="24"/>
          <w:szCs w:val="24"/>
        </w:rPr>
        <w:t>off-white</w:t>
      </w:r>
      <w:proofErr w:type="spellEnd"/>
      <w:r w:rsidRPr="00BC0C1D">
        <w:rPr>
          <w:spacing w:val="-3"/>
          <w:sz w:val="24"/>
          <w:szCs w:val="24"/>
        </w:rPr>
        <w:t xml:space="preserve"> pulver.</w:t>
      </w:r>
    </w:p>
    <w:p w:rsidR="00A75EE9" w:rsidRPr="00BC0C1D" w:rsidRDefault="00A75EE9" w:rsidP="00A75EE9">
      <w:pPr>
        <w:widowControl w:val="0"/>
        <w:adjustRightInd w:val="0"/>
        <w:ind w:left="1208" w:hanging="357"/>
        <w:textAlignment w:val="baseline"/>
        <w:rPr>
          <w:spacing w:val="-3"/>
          <w:sz w:val="24"/>
          <w:szCs w:val="24"/>
        </w:rPr>
      </w:pPr>
    </w:p>
    <w:p w:rsidR="00A75EE9" w:rsidRPr="00BC0C1D" w:rsidRDefault="00A75EE9" w:rsidP="00A75EE9">
      <w:pPr>
        <w:ind w:left="851"/>
        <w:rPr>
          <w:sz w:val="24"/>
          <w:szCs w:val="24"/>
        </w:rPr>
      </w:pPr>
      <w:r w:rsidRPr="00BC0C1D">
        <w:rPr>
          <w:sz w:val="24"/>
          <w:szCs w:val="24"/>
        </w:rPr>
        <w:t xml:space="preserve">Efter </w:t>
      </w:r>
      <w:proofErr w:type="spellStart"/>
      <w:r w:rsidRPr="00BC0C1D">
        <w:rPr>
          <w:sz w:val="24"/>
          <w:szCs w:val="24"/>
        </w:rPr>
        <w:t>rekonstitution</w:t>
      </w:r>
      <w:proofErr w:type="spellEnd"/>
      <w:r w:rsidRPr="00BC0C1D">
        <w:rPr>
          <w:sz w:val="24"/>
          <w:szCs w:val="24"/>
        </w:rPr>
        <w:t xml:space="preserve"> af opløsningen med 10 ml 0,9 % NaCl-opløsning er pH-værdien 9,0-11,0 og </w:t>
      </w:r>
      <w:proofErr w:type="spellStart"/>
      <w:r w:rsidRPr="00BC0C1D">
        <w:rPr>
          <w:sz w:val="24"/>
          <w:szCs w:val="24"/>
        </w:rPr>
        <w:t>osmolaliteten</w:t>
      </w:r>
      <w:proofErr w:type="spellEnd"/>
      <w:r w:rsidRPr="00BC0C1D">
        <w:rPr>
          <w:sz w:val="24"/>
          <w:szCs w:val="24"/>
        </w:rPr>
        <w:t xml:space="preserve"> er 260-330 </w:t>
      </w:r>
      <w:proofErr w:type="spellStart"/>
      <w:r w:rsidRPr="00BC0C1D">
        <w:rPr>
          <w:sz w:val="24"/>
          <w:szCs w:val="24"/>
        </w:rPr>
        <w:t>mOsmol</w:t>
      </w:r>
      <w:proofErr w:type="spellEnd"/>
      <w:r w:rsidRPr="00BC0C1D">
        <w:rPr>
          <w:sz w:val="24"/>
          <w:szCs w:val="24"/>
        </w:rPr>
        <w:t>/l.</w:t>
      </w:r>
    </w:p>
    <w:p w:rsidR="00A75EE9" w:rsidRPr="00BC0C1D" w:rsidRDefault="00A75EE9" w:rsidP="00A75EE9">
      <w:pPr>
        <w:ind w:left="851"/>
        <w:rPr>
          <w:sz w:val="24"/>
          <w:szCs w:val="24"/>
        </w:rPr>
      </w:pPr>
    </w:p>
    <w:p w:rsidR="00A75EE9" w:rsidRPr="00BC0C1D" w:rsidRDefault="00A75EE9" w:rsidP="00A75EE9">
      <w:pPr>
        <w:ind w:left="851"/>
        <w:rPr>
          <w:sz w:val="24"/>
          <w:szCs w:val="24"/>
        </w:rPr>
      </w:pPr>
      <w:r w:rsidRPr="00BC0C1D">
        <w:rPr>
          <w:sz w:val="24"/>
          <w:szCs w:val="24"/>
        </w:rPr>
        <w:t xml:space="preserve">Efter </w:t>
      </w:r>
      <w:proofErr w:type="spellStart"/>
      <w:r w:rsidRPr="00BC0C1D">
        <w:rPr>
          <w:sz w:val="24"/>
          <w:szCs w:val="24"/>
        </w:rPr>
        <w:t>rekonstitution</w:t>
      </w:r>
      <w:proofErr w:type="spellEnd"/>
      <w:r w:rsidRPr="00BC0C1D">
        <w:rPr>
          <w:sz w:val="24"/>
          <w:szCs w:val="24"/>
        </w:rPr>
        <w:t xml:space="preserve"> af opløsningen med yderligere 100 ml 0,9 % NaCl-opløsning eller 5 % </w:t>
      </w:r>
      <w:proofErr w:type="spellStart"/>
      <w:r w:rsidRPr="00BC0C1D">
        <w:rPr>
          <w:sz w:val="24"/>
          <w:szCs w:val="24"/>
        </w:rPr>
        <w:t>glucoseopløsning</w:t>
      </w:r>
      <w:proofErr w:type="spellEnd"/>
      <w:r w:rsidRPr="00BC0C1D">
        <w:rPr>
          <w:sz w:val="24"/>
          <w:szCs w:val="24"/>
        </w:rPr>
        <w:t xml:space="preserve"> er pH-værdien henholdsvis ca. 8,0 og 10,5.</w:t>
      </w:r>
    </w:p>
    <w:p w:rsidR="00A75EE9" w:rsidRPr="00BC0C1D" w:rsidRDefault="00A75EE9" w:rsidP="00A75EE9">
      <w:pPr>
        <w:ind w:left="851"/>
        <w:rPr>
          <w:sz w:val="24"/>
          <w:szCs w:val="24"/>
        </w:rPr>
      </w:pPr>
    </w:p>
    <w:p w:rsidR="00A75EE9" w:rsidRPr="00BC0C1D" w:rsidRDefault="00A75EE9" w:rsidP="00A75EE9">
      <w:pPr>
        <w:ind w:left="851"/>
        <w:rPr>
          <w:sz w:val="24"/>
          <w:szCs w:val="24"/>
        </w:rPr>
      </w:pPr>
    </w:p>
    <w:p w:rsidR="00A75EE9" w:rsidRPr="00BC0C1D" w:rsidRDefault="00A75EE9" w:rsidP="00A75EE9">
      <w:pPr>
        <w:ind w:left="851" w:hanging="851"/>
        <w:rPr>
          <w:b/>
          <w:sz w:val="24"/>
          <w:szCs w:val="24"/>
        </w:rPr>
      </w:pPr>
      <w:r w:rsidRPr="00BC0C1D">
        <w:rPr>
          <w:b/>
          <w:sz w:val="24"/>
          <w:szCs w:val="24"/>
        </w:rPr>
        <w:t>4.</w:t>
      </w:r>
      <w:r w:rsidRPr="00BC0C1D">
        <w:rPr>
          <w:b/>
          <w:sz w:val="24"/>
          <w:szCs w:val="24"/>
        </w:rPr>
        <w:tab/>
        <w:t>KLINISKE OPLYSNINGER</w:t>
      </w:r>
    </w:p>
    <w:p w:rsidR="00A75EE9" w:rsidRPr="00BC0C1D" w:rsidRDefault="00A75EE9" w:rsidP="00A75EE9">
      <w:pPr>
        <w:ind w:left="851"/>
        <w:rPr>
          <w:b/>
          <w:sz w:val="24"/>
          <w:szCs w:val="24"/>
        </w:rPr>
      </w:pPr>
    </w:p>
    <w:p w:rsidR="00A75EE9" w:rsidRPr="00BC0C1D" w:rsidRDefault="00A75EE9" w:rsidP="00A75EE9">
      <w:pPr>
        <w:ind w:left="851" w:hanging="851"/>
        <w:rPr>
          <w:b/>
          <w:sz w:val="24"/>
          <w:szCs w:val="24"/>
          <w:u w:val="single"/>
        </w:rPr>
      </w:pPr>
      <w:r w:rsidRPr="00BC0C1D">
        <w:rPr>
          <w:b/>
          <w:sz w:val="24"/>
          <w:szCs w:val="24"/>
        </w:rPr>
        <w:t>4.1</w:t>
      </w:r>
      <w:r w:rsidRPr="00BC0C1D">
        <w:rPr>
          <w:b/>
          <w:sz w:val="24"/>
          <w:szCs w:val="24"/>
        </w:rPr>
        <w:tab/>
        <w:t>Terapeutiske indikationer</w:t>
      </w:r>
    </w:p>
    <w:p w:rsidR="00A75EE9" w:rsidRPr="00BC0C1D" w:rsidRDefault="00A75EE9" w:rsidP="00A75EE9">
      <w:pPr>
        <w:widowControl w:val="0"/>
        <w:numPr>
          <w:ilvl w:val="0"/>
          <w:numId w:val="6"/>
        </w:numPr>
        <w:tabs>
          <w:tab w:val="clear" w:pos="1211"/>
        </w:tabs>
        <w:adjustRightInd w:val="0"/>
        <w:ind w:left="1208" w:hanging="357"/>
        <w:textAlignment w:val="baseline"/>
        <w:rPr>
          <w:spacing w:val="-3"/>
          <w:sz w:val="24"/>
          <w:szCs w:val="24"/>
          <w:lang w:eastAsia="da-DK"/>
        </w:rPr>
      </w:pPr>
      <w:proofErr w:type="spellStart"/>
      <w:r w:rsidRPr="00BC0C1D">
        <w:rPr>
          <w:spacing w:val="-3"/>
          <w:sz w:val="24"/>
          <w:szCs w:val="24"/>
        </w:rPr>
        <w:t>Refluksøsofagit</w:t>
      </w:r>
      <w:proofErr w:type="spellEnd"/>
      <w:r w:rsidRPr="00BC0C1D">
        <w:rPr>
          <w:spacing w:val="-3"/>
          <w:sz w:val="24"/>
          <w:szCs w:val="24"/>
        </w:rPr>
        <w:t>.</w:t>
      </w:r>
    </w:p>
    <w:p w:rsidR="00A75EE9" w:rsidRPr="00BC0C1D" w:rsidRDefault="00A75EE9" w:rsidP="00A75EE9">
      <w:pPr>
        <w:widowControl w:val="0"/>
        <w:numPr>
          <w:ilvl w:val="0"/>
          <w:numId w:val="6"/>
        </w:numPr>
        <w:tabs>
          <w:tab w:val="clear" w:pos="1211"/>
        </w:tabs>
        <w:adjustRightInd w:val="0"/>
        <w:ind w:left="1208" w:hanging="357"/>
        <w:textAlignment w:val="baseline"/>
        <w:rPr>
          <w:i/>
          <w:spacing w:val="-3"/>
          <w:sz w:val="24"/>
          <w:szCs w:val="24"/>
        </w:rPr>
      </w:pPr>
      <w:r w:rsidRPr="00BC0C1D">
        <w:rPr>
          <w:i/>
          <w:spacing w:val="-3"/>
          <w:sz w:val="24"/>
          <w:szCs w:val="24"/>
        </w:rPr>
        <w:t xml:space="preserve">Ulcus </w:t>
      </w:r>
      <w:proofErr w:type="spellStart"/>
      <w:r w:rsidRPr="00BC0C1D">
        <w:rPr>
          <w:i/>
          <w:spacing w:val="-3"/>
          <w:sz w:val="24"/>
          <w:szCs w:val="24"/>
        </w:rPr>
        <w:t>duodeni</w:t>
      </w:r>
      <w:proofErr w:type="spellEnd"/>
      <w:r w:rsidRPr="00BC0C1D">
        <w:rPr>
          <w:i/>
          <w:spacing w:val="-3"/>
          <w:sz w:val="24"/>
          <w:szCs w:val="24"/>
        </w:rPr>
        <w:t xml:space="preserve"> og ulcus </w:t>
      </w:r>
      <w:proofErr w:type="spellStart"/>
      <w:r w:rsidRPr="00BC0C1D">
        <w:rPr>
          <w:i/>
          <w:spacing w:val="-3"/>
          <w:sz w:val="24"/>
          <w:szCs w:val="24"/>
        </w:rPr>
        <w:t>ventriculi</w:t>
      </w:r>
      <w:proofErr w:type="spellEnd"/>
      <w:r w:rsidRPr="00BC0C1D">
        <w:rPr>
          <w:i/>
          <w:spacing w:val="-3"/>
          <w:sz w:val="24"/>
          <w:szCs w:val="24"/>
        </w:rPr>
        <w:t>.</w:t>
      </w:r>
    </w:p>
    <w:p w:rsidR="00A75EE9" w:rsidRPr="00BC0C1D" w:rsidRDefault="00A75EE9" w:rsidP="00A75EE9">
      <w:pPr>
        <w:widowControl w:val="0"/>
        <w:numPr>
          <w:ilvl w:val="0"/>
          <w:numId w:val="6"/>
        </w:numPr>
        <w:tabs>
          <w:tab w:val="clear" w:pos="1211"/>
        </w:tabs>
        <w:adjustRightInd w:val="0"/>
        <w:ind w:left="1208" w:hanging="357"/>
        <w:textAlignment w:val="baseline"/>
        <w:rPr>
          <w:sz w:val="24"/>
          <w:szCs w:val="24"/>
        </w:rPr>
      </w:pPr>
      <w:proofErr w:type="spellStart"/>
      <w:r w:rsidRPr="00BC0C1D">
        <w:rPr>
          <w:i/>
          <w:sz w:val="24"/>
          <w:szCs w:val="24"/>
        </w:rPr>
        <w:t>Zollinger</w:t>
      </w:r>
      <w:proofErr w:type="spellEnd"/>
      <w:r w:rsidRPr="00BC0C1D">
        <w:rPr>
          <w:i/>
          <w:sz w:val="24"/>
          <w:szCs w:val="24"/>
        </w:rPr>
        <w:t>-</w:t>
      </w:r>
      <w:proofErr w:type="spellStart"/>
      <w:r w:rsidRPr="00BC0C1D">
        <w:rPr>
          <w:i/>
          <w:sz w:val="24"/>
          <w:szCs w:val="24"/>
        </w:rPr>
        <w:t>Ellison</w:t>
      </w:r>
      <w:proofErr w:type="spellEnd"/>
      <w:r w:rsidRPr="00BC0C1D">
        <w:rPr>
          <w:i/>
          <w:sz w:val="24"/>
          <w:szCs w:val="24"/>
        </w:rPr>
        <w:t>-syndrom</w:t>
      </w:r>
      <w:r w:rsidRPr="00BC0C1D">
        <w:rPr>
          <w:sz w:val="24"/>
          <w:szCs w:val="24"/>
        </w:rPr>
        <w:t xml:space="preserve"> og andre patologiske </w:t>
      </w:r>
      <w:proofErr w:type="spellStart"/>
      <w:r w:rsidRPr="00BC0C1D">
        <w:rPr>
          <w:sz w:val="24"/>
          <w:szCs w:val="24"/>
        </w:rPr>
        <w:t>hypersekretoriske</w:t>
      </w:r>
      <w:proofErr w:type="spellEnd"/>
      <w:r w:rsidRPr="00BC0C1D">
        <w:rPr>
          <w:sz w:val="24"/>
          <w:szCs w:val="24"/>
        </w:rPr>
        <w:t xml:space="preserve"> tilstande.</w:t>
      </w:r>
    </w:p>
    <w:p w:rsidR="00F251D2" w:rsidRDefault="00F251D2">
      <w:pPr>
        <w:rPr>
          <w:sz w:val="24"/>
          <w:szCs w:val="24"/>
        </w:rPr>
      </w:pPr>
      <w:r>
        <w:rPr>
          <w:sz w:val="24"/>
          <w:szCs w:val="24"/>
        </w:rPr>
        <w:br w:type="page"/>
      </w:r>
    </w:p>
    <w:p w:rsidR="00A75EE9" w:rsidRPr="00BC0C1D" w:rsidRDefault="00A75EE9" w:rsidP="00A75EE9">
      <w:pPr>
        <w:ind w:left="851"/>
        <w:rPr>
          <w:sz w:val="24"/>
          <w:szCs w:val="24"/>
        </w:rPr>
      </w:pPr>
    </w:p>
    <w:p w:rsidR="00A75EE9" w:rsidRPr="00BC0C1D" w:rsidRDefault="00A75EE9" w:rsidP="00A75EE9">
      <w:pPr>
        <w:ind w:left="851" w:hanging="851"/>
        <w:rPr>
          <w:b/>
          <w:sz w:val="24"/>
          <w:szCs w:val="24"/>
        </w:rPr>
      </w:pPr>
      <w:r w:rsidRPr="00BC0C1D">
        <w:rPr>
          <w:b/>
          <w:sz w:val="24"/>
          <w:szCs w:val="24"/>
        </w:rPr>
        <w:t>4.2</w:t>
      </w:r>
      <w:r w:rsidRPr="00BC0C1D">
        <w:rPr>
          <w:b/>
          <w:sz w:val="24"/>
          <w:szCs w:val="24"/>
        </w:rPr>
        <w:tab/>
        <w:t xml:space="preserve">Dosering og </w:t>
      </w:r>
      <w:r w:rsidR="00296351">
        <w:rPr>
          <w:b/>
          <w:sz w:val="24"/>
          <w:szCs w:val="24"/>
        </w:rPr>
        <w:t>administration</w:t>
      </w:r>
    </w:p>
    <w:p w:rsidR="00A75EE9" w:rsidRPr="00BC0C1D" w:rsidRDefault="00A75EE9" w:rsidP="00A75EE9">
      <w:pPr>
        <w:ind w:left="851"/>
        <w:rPr>
          <w:spacing w:val="-3"/>
          <w:sz w:val="24"/>
          <w:szCs w:val="24"/>
          <w:u w:val="single"/>
        </w:rPr>
      </w:pPr>
    </w:p>
    <w:p w:rsidR="00A75EE9" w:rsidRPr="00F85A97" w:rsidRDefault="00A75EE9" w:rsidP="00A75EE9">
      <w:pPr>
        <w:ind w:left="851"/>
        <w:rPr>
          <w:b/>
          <w:spacing w:val="-3"/>
          <w:sz w:val="24"/>
          <w:szCs w:val="24"/>
          <w:u w:val="single"/>
          <w:lang w:eastAsia="da-DK"/>
        </w:rPr>
      </w:pPr>
      <w:r w:rsidRPr="00F85A97">
        <w:rPr>
          <w:b/>
          <w:spacing w:val="-3"/>
          <w:sz w:val="24"/>
          <w:szCs w:val="24"/>
          <w:u w:val="single"/>
        </w:rPr>
        <w:t>Dosering</w:t>
      </w:r>
    </w:p>
    <w:p w:rsidR="00A75EE9" w:rsidRPr="00BC0C1D" w:rsidRDefault="00A75EE9" w:rsidP="00A75EE9">
      <w:pPr>
        <w:ind w:left="851"/>
        <w:rPr>
          <w:spacing w:val="-3"/>
          <w:sz w:val="24"/>
          <w:szCs w:val="24"/>
        </w:rPr>
      </w:pPr>
    </w:p>
    <w:p w:rsidR="00A75EE9" w:rsidRPr="00BC0C1D" w:rsidRDefault="00A75EE9" w:rsidP="00A75EE9">
      <w:pPr>
        <w:ind w:left="851"/>
        <w:rPr>
          <w:spacing w:val="-3"/>
          <w:sz w:val="24"/>
          <w:szCs w:val="24"/>
        </w:rPr>
      </w:pPr>
      <w:r w:rsidRPr="00BC0C1D">
        <w:rPr>
          <w:spacing w:val="-3"/>
          <w:sz w:val="24"/>
          <w:szCs w:val="24"/>
        </w:rPr>
        <w:t xml:space="preserve">Intravenøs administration af </w:t>
      </w:r>
      <w:proofErr w:type="spellStart"/>
      <w:r w:rsidR="007D71C0">
        <w:rPr>
          <w:spacing w:val="-3"/>
          <w:sz w:val="24"/>
          <w:szCs w:val="24"/>
        </w:rPr>
        <w:t>Pantoprazol</w:t>
      </w:r>
      <w:proofErr w:type="spellEnd"/>
      <w:r w:rsidR="007D71C0">
        <w:rPr>
          <w:spacing w:val="-3"/>
          <w:sz w:val="24"/>
          <w:szCs w:val="24"/>
        </w:rPr>
        <w:t xml:space="preserve"> </w:t>
      </w:r>
      <w:r w:rsidR="00DB7F7A">
        <w:rPr>
          <w:spacing w:val="-3"/>
          <w:sz w:val="24"/>
          <w:szCs w:val="24"/>
        </w:rPr>
        <w:t>"</w:t>
      </w:r>
      <w:proofErr w:type="spellStart"/>
      <w:r w:rsidR="00F251D2">
        <w:rPr>
          <w:spacing w:val="-3"/>
          <w:sz w:val="24"/>
          <w:szCs w:val="24"/>
        </w:rPr>
        <w:t>Oresund</w:t>
      </w:r>
      <w:proofErr w:type="spellEnd"/>
      <w:r w:rsidR="00F251D2">
        <w:rPr>
          <w:spacing w:val="-3"/>
          <w:sz w:val="24"/>
          <w:szCs w:val="24"/>
        </w:rPr>
        <w:t xml:space="preserve"> Pharma</w:t>
      </w:r>
      <w:r w:rsidR="00DB7F7A">
        <w:rPr>
          <w:spacing w:val="-3"/>
          <w:sz w:val="24"/>
          <w:szCs w:val="24"/>
        </w:rPr>
        <w:t>"</w:t>
      </w:r>
      <w:r w:rsidRPr="00BC0C1D">
        <w:rPr>
          <w:spacing w:val="-3"/>
          <w:sz w:val="24"/>
          <w:szCs w:val="24"/>
        </w:rPr>
        <w:t xml:space="preserve"> anbefales kun, hvis oral administration ikke er hensigtsmæssig.</w:t>
      </w:r>
    </w:p>
    <w:p w:rsidR="00A75EE9" w:rsidRPr="00BC0C1D" w:rsidRDefault="00A75EE9" w:rsidP="00A75EE9">
      <w:pPr>
        <w:ind w:left="851"/>
        <w:rPr>
          <w:noProof/>
          <w:sz w:val="24"/>
          <w:szCs w:val="24"/>
        </w:rPr>
      </w:pPr>
      <w:r w:rsidRPr="00BC0C1D">
        <w:rPr>
          <w:noProof/>
          <w:sz w:val="24"/>
          <w:szCs w:val="24"/>
        </w:rPr>
        <w:t>Der er data på intravenøs brug i op til 7 dage, hvorfor i.v. indgift af pantoprazol bør seponeres så hurtigt som muligt og erstattes af 40 mg oral pantoprazol.</w:t>
      </w:r>
    </w:p>
    <w:p w:rsidR="00A75EE9" w:rsidRPr="00BC0C1D" w:rsidRDefault="00A75EE9" w:rsidP="00A75EE9">
      <w:pPr>
        <w:ind w:left="851"/>
        <w:rPr>
          <w:noProof/>
          <w:sz w:val="24"/>
          <w:szCs w:val="24"/>
        </w:rPr>
      </w:pPr>
    </w:p>
    <w:p w:rsidR="00A75EE9" w:rsidRPr="00BC0C1D" w:rsidRDefault="00A75EE9" w:rsidP="00A75EE9">
      <w:pPr>
        <w:ind w:left="851"/>
        <w:rPr>
          <w:spacing w:val="-3"/>
          <w:sz w:val="24"/>
          <w:szCs w:val="24"/>
          <w:u w:val="single"/>
        </w:rPr>
      </w:pPr>
      <w:r>
        <w:rPr>
          <w:bCs/>
          <w:spacing w:val="-3"/>
          <w:sz w:val="24"/>
          <w:szCs w:val="24"/>
          <w:u w:val="single"/>
        </w:rPr>
        <w:t>Anbefalet dosering</w:t>
      </w:r>
    </w:p>
    <w:p w:rsidR="00A75EE9" w:rsidRDefault="00A75EE9" w:rsidP="00A75EE9">
      <w:pPr>
        <w:ind w:left="851"/>
        <w:jc w:val="both"/>
        <w:rPr>
          <w:i/>
          <w:spacing w:val="-3"/>
          <w:sz w:val="24"/>
          <w:szCs w:val="24"/>
          <w:u w:val="single"/>
        </w:rPr>
      </w:pPr>
    </w:p>
    <w:p w:rsidR="00A75EE9" w:rsidRPr="00BC0C1D" w:rsidRDefault="00A75EE9" w:rsidP="00A75EE9">
      <w:pPr>
        <w:ind w:left="851"/>
        <w:jc w:val="both"/>
        <w:rPr>
          <w:i/>
          <w:spacing w:val="-3"/>
          <w:sz w:val="24"/>
          <w:szCs w:val="24"/>
          <w:u w:val="single"/>
        </w:rPr>
      </w:pPr>
      <w:r w:rsidRPr="00BC0C1D">
        <w:rPr>
          <w:i/>
          <w:spacing w:val="-3"/>
          <w:sz w:val="24"/>
          <w:szCs w:val="24"/>
          <w:u w:val="single"/>
        </w:rPr>
        <w:t xml:space="preserve">Ulcus </w:t>
      </w:r>
      <w:proofErr w:type="spellStart"/>
      <w:r w:rsidRPr="00BC0C1D">
        <w:rPr>
          <w:i/>
          <w:spacing w:val="-3"/>
          <w:sz w:val="24"/>
          <w:szCs w:val="24"/>
          <w:u w:val="single"/>
        </w:rPr>
        <w:t>duodeni</w:t>
      </w:r>
      <w:proofErr w:type="spellEnd"/>
      <w:r w:rsidRPr="00BC0C1D">
        <w:rPr>
          <w:i/>
          <w:spacing w:val="-3"/>
          <w:sz w:val="24"/>
          <w:szCs w:val="24"/>
          <w:u w:val="single"/>
        </w:rPr>
        <w:t xml:space="preserve">, ulcus </w:t>
      </w:r>
      <w:proofErr w:type="spellStart"/>
      <w:r w:rsidRPr="00BC0C1D">
        <w:rPr>
          <w:i/>
          <w:spacing w:val="-3"/>
          <w:sz w:val="24"/>
          <w:szCs w:val="24"/>
          <w:u w:val="single"/>
        </w:rPr>
        <w:t>ventriculi</w:t>
      </w:r>
      <w:proofErr w:type="spellEnd"/>
      <w:r w:rsidRPr="00BC0C1D">
        <w:rPr>
          <w:i/>
          <w:spacing w:val="-3"/>
          <w:sz w:val="24"/>
          <w:szCs w:val="24"/>
          <w:u w:val="single"/>
        </w:rPr>
        <w:t xml:space="preserve">, </w:t>
      </w:r>
      <w:proofErr w:type="spellStart"/>
      <w:r w:rsidRPr="00BC0C1D">
        <w:rPr>
          <w:i/>
          <w:spacing w:val="-3"/>
          <w:sz w:val="24"/>
          <w:szCs w:val="24"/>
          <w:u w:val="single"/>
        </w:rPr>
        <w:t>refluksesofagit</w:t>
      </w:r>
      <w:proofErr w:type="spellEnd"/>
    </w:p>
    <w:p w:rsidR="00A75EE9" w:rsidRPr="00BC0C1D" w:rsidRDefault="00A75EE9" w:rsidP="00A75EE9">
      <w:pPr>
        <w:ind w:left="851"/>
        <w:rPr>
          <w:spacing w:val="-3"/>
          <w:sz w:val="24"/>
          <w:szCs w:val="24"/>
        </w:rPr>
      </w:pPr>
      <w:r w:rsidRPr="00BC0C1D">
        <w:rPr>
          <w:spacing w:val="-3"/>
          <w:sz w:val="24"/>
          <w:szCs w:val="24"/>
        </w:rPr>
        <w:t xml:space="preserve">Den anbefalede intravenøse dosis er 1 hætteglas (40 mg </w:t>
      </w:r>
      <w:proofErr w:type="spellStart"/>
      <w:r w:rsidRPr="00BC0C1D">
        <w:rPr>
          <w:spacing w:val="-3"/>
          <w:sz w:val="24"/>
          <w:szCs w:val="24"/>
        </w:rPr>
        <w:t>pantoprazol</w:t>
      </w:r>
      <w:proofErr w:type="spellEnd"/>
      <w:r w:rsidRPr="00BC0C1D">
        <w:rPr>
          <w:spacing w:val="-3"/>
          <w:sz w:val="24"/>
          <w:szCs w:val="24"/>
        </w:rPr>
        <w:t xml:space="preserve">) </w:t>
      </w:r>
      <w:proofErr w:type="spellStart"/>
      <w:r w:rsidR="007D71C0">
        <w:rPr>
          <w:spacing w:val="-3"/>
          <w:sz w:val="24"/>
          <w:szCs w:val="24"/>
        </w:rPr>
        <w:t>Pantoprazol</w:t>
      </w:r>
      <w:proofErr w:type="spellEnd"/>
      <w:r w:rsidR="007D71C0">
        <w:rPr>
          <w:spacing w:val="-3"/>
          <w:sz w:val="24"/>
          <w:szCs w:val="24"/>
        </w:rPr>
        <w:t xml:space="preserve"> </w:t>
      </w:r>
      <w:r w:rsidR="00DB7F7A">
        <w:rPr>
          <w:spacing w:val="-3"/>
          <w:sz w:val="24"/>
          <w:szCs w:val="24"/>
        </w:rPr>
        <w:t>"</w:t>
      </w:r>
      <w:proofErr w:type="spellStart"/>
      <w:r w:rsidR="00F251D2">
        <w:rPr>
          <w:spacing w:val="-3"/>
          <w:sz w:val="24"/>
          <w:szCs w:val="24"/>
        </w:rPr>
        <w:t>Oresund</w:t>
      </w:r>
      <w:proofErr w:type="spellEnd"/>
      <w:r w:rsidR="00F251D2">
        <w:rPr>
          <w:spacing w:val="-3"/>
          <w:sz w:val="24"/>
          <w:szCs w:val="24"/>
        </w:rPr>
        <w:t xml:space="preserve"> Pharma</w:t>
      </w:r>
      <w:r w:rsidR="00DB7F7A">
        <w:rPr>
          <w:spacing w:val="-3"/>
          <w:sz w:val="24"/>
          <w:szCs w:val="24"/>
        </w:rPr>
        <w:t>"</w:t>
      </w:r>
      <w:r w:rsidRPr="00BC0C1D">
        <w:rPr>
          <w:spacing w:val="-3"/>
          <w:sz w:val="24"/>
          <w:szCs w:val="24"/>
        </w:rPr>
        <w:t xml:space="preserve"> daglig.</w:t>
      </w:r>
    </w:p>
    <w:p w:rsidR="00A75EE9" w:rsidRPr="00BC0C1D" w:rsidRDefault="00A75EE9" w:rsidP="00A75EE9">
      <w:pPr>
        <w:ind w:left="851"/>
        <w:rPr>
          <w:spacing w:val="-3"/>
          <w:sz w:val="24"/>
          <w:szCs w:val="24"/>
        </w:rPr>
      </w:pPr>
    </w:p>
    <w:p w:rsidR="00A75EE9" w:rsidRPr="00BC0C1D" w:rsidRDefault="00A75EE9" w:rsidP="00A75EE9">
      <w:pPr>
        <w:ind w:firstLine="851"/>
        <w:rPr>
          <w:i/>
          <w:sz w:val="24"/>
          <w:szCs w:val="24"/>
          <w:u w:val="single"/>
        </w:rPr>
      </w:pPr>
      <w:proofErr w:type="spellStart"/>
      <w:r w:rsidRPr="00BC0C1D">
        <w:rPr>
          <w:i/>
          <w:sz w:val="24"/>
          <w:szCs w:val="24"/>
          <w:u w:val="single"/>
        </w:rPr>
        <w:t>Zollinger</w:t>
      </w:r>
      <w:proofErr w:type="spellEnd"/>
      <w:r w:rsidRPr="00BC0C1D">
        <w:rPr>
          <w:i/>
          <w:sz w:val="24"/>
          <w:szCs w:val="24"/>
          <w:u w:val="single"/>
        </w:rPr>
        <w:t>-</w:t>
      </w:r>
      <w:proofErr w:type="spellStart"/>
      <w:r w:rsidRPr="00BC0C1D">
        <w:rPr>
          <w:i/>
          <w:sz w:val="24"/>
          <w:szCs w:val="24"/>
          <w:u w:val="single"/>
        </w:rPr>
        <w:t>Ellison</w:t>
      </w:r>
      <w:proofErr w:type="spellEnd"/>
      <w:r w:rsidRPr="00BC0C1D">
        <w:rPr>
          <w:i/>
          <w:sz w:val="24"/>
          <w:szCs w:val="24"/>
          <w:u w:val="single"/>
        </w:rPr>
        <w:t xml:space="preserve">-syndrom og andre patologisk, </w:t>
      </w:r>
      <w:proofErr w:type="spellStart"/>
      <w:r w:rsidRPr="00BC0C1D">
        <w:rPr>
          <w:i/>
          <w:sz w:val="24"/>
          <w:szCs w:val="24"/>
          <w:u w:val="single"/>
        </w:rPr>
        <w:t>hypersekretoriske</w:t>
      </w:r>
      <w:proofErr w:type="spellEnd"/>
      <w:r w:rsidRPr="00BC0C1D">
        <w:rPr>
          <w:i/>
          <w:sz w:val="24"/>
          <w:szCs w:val="24"/>
          <w:u w:val="single"/>
        </w:rPr>
        <w:t xml:space="preserve"> tilstande</w:t>
      </w:r>
    </w:p>
    <w:p w:rsidR="00A75EE9" w:rsidRPr="00BC0C1D" w:rsidRDefault="00A75EE9" w:rsidP="00A75EE9">
      <w:pPr>
        <w:ind w:left="851"/>
        <w:rPr>
          <w:sz w:val="24"/>
          <w:szCs w:val="24"/>
        </w:rPr>
      </w:pPr>
      <w:r w:rsidRPr="00BC0C1D">
        <w:rPr>
          <w:sz w:val="24"/>
          <w:szCs w:val="24"/>
        </w:rPr>
        <w:t xml:space="preserve">Til langtidsbehandling af </w:t>
      </w:r>
      <w:proofErr w:type="spellStart"/>
      <w:r w:rsidRPr="00BC0C1D">
        <w:rPr>
          <w:i/>
          <w:sz w:val="24"/>
          <w:szCs w:val="24"/>
        </w:rPr>
        <w:t>Zollinger</w:t>
      </w:r>
      <w:proofErr w:type="spellEnd"/>
      <w:r w:rsidRPr="00BC0C1D">
        <w:rPr>
          <w:i/>
          <w:sz w:val="24"/>
          <w:szCs w:val="24"/>
        </w:rPr>
        <w:t>-</w:t>
      </w:r>
      <w:proofErr w:type="spellStart"/>
      <w:r w:rsidRPr="00BC0C1D">
        <w:rPr>
          <w:i/>
          <w:sz w:val="24"/>
          <w:szCs w:val="24"/>
        </w:rPr>
        <w:t>Ellison</w:t>
      </w:r>
      <w:proofErr w:type="spellEnd"/>
      <w:r w:rsidRPr="00BC0C1D">
        <w:rPr>
          <w:i/>
          <w:sz w:val="24"/>
          <w:szCs w:val="24"/>
        </w:rPr>
        <w:t>-syndrom</w:t>
      </w:r>
      <w:r w:rsidRPr="00BC0C1D">
        <w:rPr>
          <w:sz w:val="24"/>
          <w:szCs w:val="24"/>
        </w:rPr>
        <w:t xml:space="preserve"> og andre patologisk </w:t>
      </w:r>
      <w:proofErr w:type="spellStart"/>
      <w:r w:rsidRPr="00BC0C1D">
        <w:rPr>
          <w:sz w:val="24"/>
          <w:szCs w:val="24"/>
        </w:rPr>
        <w:t>hypersekretoriske</w:t>
      </w:r>
      <w:proofErr w:type="spellEnd"/>
      <w:r w:rsidRPr="00BC0C1D">
        <w:rPr>
          <w:sz w:val="24"/>
          <w:szCs w:val="24"/>
        </w:rPr>
        <w:t xml:space="preserve"> tilstande bør patienter begynde behandlingen med 80 mg </w:t>
      </w:r>
      <w:proofErr w:type="spellStart"/>
      <w:r w:rsidR="007D71C0">
        <w:rPr>
          <w:sz w:val="24"/>
          <w:szCs w:val="24"/>
        </w:rPr>
        <w:t>Pantoprazol</w:t>
      </w:r>
      <w:proofErr w:type="spellEnd"/>
      <w:r w:rsidR="007D71C0">
        <w:rPr>
          <w:sz w:val="24"/>
          <w:szCs w:val="24"/>
        </w:rPr>
        <w:t xml:space="preserve"> </w:t>
      </w:r>
      <w:r w:rsidR="00DB7F7A">
        <w:rPr>
          <w:sz w:val="24"/>
          <w:szCs w:val="24"/>
        </w:rPr>
        <w:t>"</w:t>
      </w:r>
      <w:proofErr w:type="spellStart"/>
      <w:r w:rsidR="00F251D2">
        <w:rPr>
          <w:sz w:val="24"/>
          <w:szCs w:val="24"/>
        </w:rPr>
        <w:t>Oresund</w:t>
      </w:r>
      <w:proofErr w:type="spellEnd"/>
      <w:r w:rsidR="00F251D2">
        <w:rPr>
          <w:sz w:val="24"/>
          <w:szCs w:val="24"/>
        </w:rPr>
        <w:t xml:space="preserve"> Pharma</w:t>
      </w:r>
      <w:r w:rsidR="00DB7F7A">
        <w:rPr>
          <w:sz w:val="24"/>
          <w:szCs w:val="24"/>
        </w:rPr>
        <w:t>"</w:t>
      </w:r>
      <w:r w:rsidRPr="00BC0C1D">
        <w:rPr>
          <w:sz w:val="24"/>
          <w:szCs w:val="24"/>
        </w:rPr>
        <w:t xml:space="preserve"> daglig. Herefter kan dosis titreres op eller ned vejledt af målinger af mavesyresekretionen. Daglige doser over 80 mg bør deles og gives som to daglige administrationer. En temporær øgning af dosis til over 160 mg </w:t>
      </w:r>
      <w:proofErr w:type="spellStart"/>
      <w:r w:rsidRPr="00BC0C1D">
        <w:rPr>
          <w:sz w:val="24"/>
          <w:szCs w:val="24"/>
        </w:rPr>
        <w:t>pantoprazol</w:t>
      </w:r>
      <w:proofErr w:type="spellEnd"/>
      <w:r w:rsidRPr="00BC0C1D">
        <w:rPr>
          <w:sz w:val="24"/>
          <w:szCs w:val="24"/>
        </w:rPr>
        <w:t xml:space="preserve"> er mulig, men bør ikke opretholdes længere end nødvendigt for opnåelse af passende syrekontrol. </w:t>
      </w:r>
    </w:p>
    <w:p w:rsidR="00A75EE9" w:rsidRPr="00BC0C1D" w:rsidRDefault="00A75EE9" w:rsidP="00A75EE9">
      <w:pPr>
        <w:ind w:left="851"/>
        <w:rPr>
          <w:sz w:val="24"/>
          <w:szCs w:val="24"/>
        </w:rPr>
      </w:pPr>
      <w:r w:rsidRPr="00BC0C1D">
        <w:rPr>
          <w:sz w:val="24"/>
          <w:szCs w:val="24"/>
        </w:rPr>
        <w:t xml:space="preserve">I tilfælde, hvor hurtig syrekontrol er påkrævet, er en startdosis på </w:t>
      </w:r>
      <w:r w:rsidRPr="00425416">
        <w:rPr>
          <w:sz w:val="24"/>
          <w:szCs w:val="24"/>
        </w:rPr>
        <w:t>2</w:t>
      </w:r>
      <w:r>
        <w:rPr>
          <w:sz w:val="24"/>
          <w:szCs w:val="24"/>
        </w:rPr>
        <w:t>×</w:t>
      </w:r>
      <w:r w:rsidRPr="00425416">
        <w:rPr>
          <w:sz w:val="24"/>
          <w:szCs w:val="24"/>
        </w:rPr>
        <w:t>80</w:t>
      </w:r>
      <w:r w:rsidRPr="00BC0C1D">
        <w:rPr>
          <w:sz w:val="24"/>
          <w:szCs w:val="24"/>
        </w:rPr>
        <w:t xml:space="preserve"> mg </w:t>
      </w:r>
      <w:proofErr w:type="spellStart"/>
      <w:r w:rsidR="007D71C0">
        <w:rPr>
          <w:sz w:val="24"/>
          <w:szCs w:val="24"/>
        </w:rPr>
        <w:t>Pantoprazol</w:t>
      </w:r>
      <w:proofErr w:type="spellEnd"/>
      <w:r w:rsidR="007D71C0">
        <w:rPr>
          <w:sz w:val="24"/>
          <w:szCs w:val="24"/>
        </w:rPr>
        <w:t xml:space="preserve"> </w:t>
      </w:r>
      <w:r w:rsidR="00DB7F7A">
        <w:rPr>
          <w:sz w:val="24"/>
          <w:szCs w:val="24"/>
        </w:rPr>
        <w:t>"</w:t>
      </w:r>
      <w:proofErr w:type="spellStart"/>
      <w:r w:rsidR="00F251D2">
        <w:rPr>
          <w:sz w:val="24"/>
          <w:szCs w:val="24"/>
        </w:rPr>
        <w:t>Oresund</w:t>
      </w:r>
      <w:proofErr w:type="spellEnd"/>
      <w:r w:rsidR="00F251D2">
        <w:rPr>
          <w:sz w:val="24"/>
          <w:szCs w:val="24"/>
        </w:rPr>
        <w:t xml:space="preserve"> Pharma</w:t>
      </w:r>
      <w:r w:rsidR="00DB7F7A">
        <w:rPr>
          <w:sz w:val="24"/>
          <w:szCs w:val="24"/>
        </w:rPr>
        <w:t>"</w:t>
      </w:r>
      <w:r w:rsidRPr="00BC0C1D">
        <w:rPr>
          <w:sz w:val="24"/>
          <w:szCs w:val="24"/>
        </w:rPr>
        <w:t xml:space="preserve"> tilstrækkelig til at opnå en reduktion af syresekretionen til målintervallet (&lt;10</w:t>
      </w:r>
      <w:r>
        <w:rPr>
          <w:sz w:val="24"/>
          <w:szCs w:val="24"/>
        </w:rPr>
        <w:t> </w:t>
      </w:r>
      <w:proofErr w:type="spellStart"/>
      <w:r w:rsidRPr="00BC0C1D">
        <w:rPr>
          <w:sz w:val="24"/>
          <w:szCs w:val="24"/>
        </w:rPr>
        <w:t>mEq</w:t>
      </w:r>
      <w:proofErr w:type="spellEnd"/>
      <w:r w:rsidRPr="00BC0C1D">
        <w:rPr>
          <w:sz w:val="24"/>
          <w:szCs w:val="24"/>
        </w:rPr>
        <w:t xml:space="preserve">/time) inden for en time hos flertallet af patienterne. </w:t>
      </w:r>
    </w:p>
    <w:p w:rsidR="00A75EE9" w:rsidRPr="00BC0C1D" w:rsidRDefault="00A75EE9" w:rsidP="00A75EE9">
      <w:pPr>
        <w:ind w:left="851"/>
        <w:rPr>
          <w:sz w:val="24"/>
          <w:szCs w:val="24"/>
        </w:rPr>
      </w:pPr>
    </w:p>
    <w:p w:rsidR="00A75EE9" w:rsidRPr="00BC0C1D" w:rsidRDefault="00A75EE9" w:rsidP="00A75EE9">
      <w:pPr>
        <w:pStyle w:val="Brdtekstindrykning2"/>
        <w:spacing w:after="0" w:line="240" w:lineRule="auto"/>
        <w:ind w:left="851"/>
        <w:rPr>
          <w:szCs w:val="24"/>
          <w:u w:val="single"/>
        </w:rPr>
      </w:pPr>
      <w:r w:rsidRPr="00BC0C1D">
        <w:rPr>
          <w:szCs w:val="24"/>
          <w:u w:val="single"/>
        </w:rPr>
        <w:t>Særlige patientgrupper</w:t>
      </w:r>
    </w:p>
    <w:p w:rsidR="00A75EE9" w:rsidRPr="00BC0C1D" w:rsidRDefault="00A75EE9" w:rsidP="00A75EE9">
      <w:pPr>
        <w:pStyle w:val="Brdtekstindrykning2"/>
        <w:spacing w:after="0" w:line="240" w:lineRule="auto"/>
        <w:ind w:left="851"/>
        <w:rPr>
          <w:i/>
          <w:szCs w:val="24"/>
          <w:u w:val="single"/>
        </w:rPr>
      </w:pPr>
    </w:p>
    <w:p w:rsidR="00A75EE9" w:rsidRPr="00BC0C1D" w:rsidRDefault="00A75EE9" w:rsidP="00A75EE9">
      <w:pPr>
        <w:ind w:left="851"/>
        <w:rPr>
          <w:i/>
          <w:sz w:val="24"/>
          <w:szCs w:val="24"/>
          <w:u w:val="single"/>
        </w:rPr>
      </w:pPr>
      <w:r w:rsidRPr="00BC0C1D">
        <w:rPr>
          <w:i/>
          <w:sz w:val="24"/>
          <w:szCs w:val="24"/>
          <w:u w:val="single"/>
        </w:rPr>
        <w:t>Pædiatrisk population</w:t>
      </w:r>
    </w:p>
    <w:p w:rsidR="00A75EE9" w:rsidRPr="00BC0C1D" w:rsidRDefault="00A75EE9" w:rsidP="00A75EE9">
      <w:pPr>
        <w:ind w:left="851"/>
        <w:rPr>
          <w:sz w:val="24"/>
          <w:szCs w:val="24"/>
        </w:rPr>
      </w:pPr>
      <w:r w:rsidRPr="00BC0C1D">
        <w:rPr>
          <w:sz w:val="24"/>
          <w:szCs w:val="24"/>
        </w:rPr>
        <w:t xml:space="preserve">Der er begrænset erfaring med behandling af børn. </w:t>
      </w:r>
      <w:proofErr w:type="spellStart"/>
      <w:r w:rsidR="007D71C0">
        <w:rPr>
          <w:sz w:val="24"/>
          <w:szCs w:val="24"/>
        </w:rPr>
        <w:t>Pantoprazol</w:t>
      </w:r>
      <w:proofErr w:type="spellEnd"/>
      <w:r w:rsidR="007D71C0">
        <w:rPr>
          <w:sz w:val="24"/>
          <w:szCs w:val="24"/>
        </w:rPr>
        <w:t xml:space="preserve"> </w:t>
      </w:r>
      <w:r w:rsidR="00DB7F7A">
        <w:rPr>
          <w:sz w:val="24"/>
          <w:szCs w:val="24"/>
        </w:rPr>
        <w:t>"</w:t>
      </w:r>
      <w:proofErr w:type="spellStart"/>
      <w:r w:rsidR="00F251D2">
        <w:rPr>
          <w:sz w:val="24"/>
          <w:szCs w:val="24"/>
        </w:rPr>
        <w:t>Oresund</w:t>
      </w:r>
      <w:proofErr w:type="spellEnd"/>
      <w:r w:rsidR="00F251D2">
        <w:rPr>
          <w:sz w:val="24"/>
          <w:szCs w:val="24"/>
        </w:rPr>
        <w:t xml:space="preserve"> Pharma</w:t>
      </w:r>
      <w:r w:rsidR="00DB7F7A">
        <w:rPr>
          <w:sz w:val="24"/>
          <w:szCs w:val="24"/>
        </w:rPr>
        <w:t>"</w:t>
      </w:r>
      <w:r w:rsidRPr="00BC0C1D">
        <w:rPr>
          <w:sz w:val="24"/>
          <w:szCs w:val="24"/>
        </w:rPr>
        <w:t xml:space="preserve"> 40 mg pulver til injektionsvæske, opløsning bør derfor ikke anvendes til børn og unge under 18 år, før end der foreligger yderligere data.</w:t>
      </w:r>
    </w:p>
    <w:p w:rsidR="00A75EE9" w:rsidRPr="00BC0C1D" w:rsidRDefault="00A75EE9" w:rsidP="00A75EE9">
      <w:pPr>
        <w:ind w:left="851"/>
        <w:rPr>
          <w:sz w:val="24"/>
          <w:szCs w:val="24"/>
        </w:rPr>
      </w:pPr>
    </w:p>
    <w:p w:rsidR="00A75EE9" w:rsidRPr="00BC0C1D" w:rsidRDefault="00A75EE9" w:rsidP="00A75EE9">
      <w:pPr>
        <w:ind w:left="851"/>
        <w:rPr>
          <w:noProof/>
          <w:sz w:val="24"/>
          <w:szCs w:val="24"/>
          <w:u w:val="single"/>
        </w:rPr>
      </w:pPr>
      <w:r w:rsidRPr="00BC0C1D">
        <w:rPr>
          <w:i/>
          <w:iCs/>
          <w:noProof/>
          <w:sz w:val="24"/>
          <w:szCs w:val="24"/>
          <w:u w:val="single"/>
        </w:rPr>
        <w:t>Nedsat leverfunktion</w:t>
      </w:r>
      <w:r w:rsidRPr="00BC0C1D">
        <w:rPr>
          <w:noProof/>
          <w:sz w:val="24"/>
          <w:szCs w:val="24"/>
          <w:u w:val="single"/>
        </w:rPr>
        <w:t xml:space="preserve"> </w:t>
      </w:r>
    </w:p>
    <w:p w:rsidR="00A75EE9" w:rsidRPr="00BC0C1D" w:rsidRDefault="00A75EE9" w:rsidP="00A75EE9">
      <w:pPr>
        <w:ind w:left="851"/>
        <w:rPr>
          <w:sz w:val="24"/>
          <w:szCs w:val="24"/>
        </w:rPr>
      </w:pPr>
      <w:r w:rsidRPr="00BC0C1D">
        <w:rPr>
          <w:sz w:val="24"/>
          <w:szCs w:val="24"/>
        </w:rPr>
        <w:t xml:space="preserve">En daglig dosis på 20 mg </w:t>
      </w:r>
      <w:proofErr w:type="spellStart"/>
      <w:r w:rsidRPr="00BC0C1D">
        <w:rPr>
          <w:sz w:val="24"/>
          <w:szCs w:val="24"/>
        </w:rPr>
        <w:t>pantoprazol</w:t>
      </w:r>
      <w:proofErr w:type="spellEnd"/>
      <w:r w:rsidRPr="00BC0C1D">
        <w:rPr>
          <w:sz w:val="24"/>
          <w:szCs w:val="24"/>
        </w:rPr>
        <w:t xml:space="preserve"> (et halvt hætteglas á 40 mg </w:t>
      </w:r>
      <w:proofErr w:type="spellStart"/>
      <w:r w:rsidRPr="00BC0C1D">
        <w:rPr>
          <w:sz w:val="24"/>
          <w:szCs w:val="24"/>
        </w:rPr>
        <w:t>pantoprazol</w:t>
      </w:r>
      <w:proofErr w:type="spellEnd"/>
      <w:r w:rsidRPr="00BC0C1D">
        <w:rPr>
          <w:sz w:val="24"/>
          <w:szCs w:val="24"/>
        </w:rPr>
        <w:t>) bør ikke overskrides til patienter med stærkt nedsat leverfunktion (se pkt. 4.4).</w:t>
      </w:r>
    </w:p>
    <w:p w:rsidR="00A75EE9" w:rsidRPr="00BC0C1D" w:rsidRDefault="00A75EE9" w:rsidP="00A75EE9">
      <w:pPr>
        <w:ind w:left="851"/>
        <w:rPr>
          <w:sz w:val="24"/>
          <w:szCs w:val="24"/>
        </w:rPr>
      </w:pPr>
    </w:p>
    <w:p w:rsidR="00A75EE9" w:rsidRPr="00BC0C1D" w:rsidRDefault="00A75EE9" w:rsidP="00A75EE9">
      <w:pPr>
        <w:ind w:left="851"/>
        <w:rPr>
          <w:i/>
          <w:sz w:val="24"/>
          <w:szCs w:val="24"/>
          <w:u w:val="single"/>
        </w:rPr>
      </w:pPr>
      <w:r w:rsidRPr="00BC0C1D">
        <w:rPr>
          <w:i/>
          <w:sz w:val="24"/>
          <w:szCs w:val="24"/>
          <w:u w:val="single"/>
        </w:rPr>
        <w:t>Nedsat nyrefunktion</w:t>
      </w:r>
    </w:p>
    <w:p w:rsidR="00A75EE9" w:rsidRPr="00BC0C1D" w:rsidRDefault="00A75EE9" w:rsidP="00A75EE9">
      <w:pPr>
        <w:ind w:left="851"/>
        <w:rPr>
          <w:sz w:val="24"/>
          <w:szCs w:val="24"/>
        </w:rPr>
      </w:pPr>
      <w:r w:rsidRPr="00BC0C1D">
        <w:rPr>
          <w:sz w:val="24"/>
          <w:szCs w:val="24"/>
        </w:rPr>
        <w:t>Dosisjustering er ikke nødvendig til patienter med nedsat nyrefunktion.</w:t>
      </w:r>
    </w:p>
    <w:p w:rsidR="00A75EE9" w:rsidRPr="00B47289" w:rsidRDefault="00A75EE9" w:rsidP="00A75EE9">
      <w:pPr>
        <w:ind w:left="851"/>
        <w:rPr>
          <w:sz w:val="24"/>
          <w:szCs w:val="24"/>
        </w:rPr>
      </w:pPr>
    </w:p>
    <w:p w:rsidR="00A75EE9" w:rsidRPr="00BC0C1D" w:rsidRDefault="00A75EE9" w:rsidP="00A75EE9">
      <w:pPr>
        <w:ind w:left="851"/>
        <w:rPr>
          <w:i/>
          <w:sz w:val="24"/>
          <w:szCs w:val="24"/>
          <w:u w:val="single"/>
        </w:rPr>
      </w:pPr>
      <w:r w:rsidRPr="00BC0C1D">
        <w:rPr>
          <w:i/>
          <w:sz w:val="24"/>
          <w:szCs w:val="24"/>
          <w:u w:val="single"/>
        </w:rPr>
        <w:t>Ældre</w:t>
      </w:r>
    </w:p>
    <w:p w:rsidR="00A75EE9" w:rsidRPr="00BC0C1D" w:rsidRDefault="00A75EE9" w:rsidP="00A75EE9">
      <w:pPr>
        <w:ind w:left="851"/>
        <w:rPr>
          <w:sz w:val="24"/>
          <w:szCs w:val="24"/>
        </w:rPr>
      </w:pPr>
      <w:r w:rsidRPr="00BC0C1D">
        <w:rPr>
          <w:sz w:val="24"/>
          <w:szCs w:val="24"/>
        </w:rPr>
        <w:t>Dosisjustering er ikke nødvendig hos ældre patienter.</w:t>
      </w:r>
    </w:p>
    <w:p w:rsidR="00A75EE9" w:rsidRPr="00BC0C1D" w:rsidRDefault="00A75EE9" w:rsidP="00A75EE9">
      <w:pPr>
        <w:ind w:left="851"/>
        <w:rPr>
          <w:sz w:val="24"/>
          <w:szCs w:val="24"/>
        </w:rPr>
      </w:pPr>
    </w:p>
    <w:p w:rsidR="00A75EE9" w:rsidRPr="00BC0C1D" w:rsidRDefault="00A75EE9" w:rsidP="00A75EE9">
      <w:pPr>
        <w:ind w:left="851"/>
        <w:rPr>
          <w:b/>
          <w:bCs/>
          <w:sz w:val="24"/>
          <w:szCs w:val="24"/>
          <w:u w:val="single"/>
        </w:rPr>
      </w:pPr>
      <w:r w:rsidRPr="00BC0C1D">
        <w:rPr>
          <w:b/>
          <w:bCs/>
          <w:sz w:val="24"/>
          <w:szCs w:val="24"/>
          <w:u w:val="single"/>
        </w:rPr>
        <w:t>Indgivelsesmåde</w:t>
      </w:r>
    </w:p>
    <w:p w:rsidR="00A75EE9" w:rsidRPr="00BC0C1D" w:rsidRDefault="00A75EE9" w:rsidP="00A75EE9">
      <w:pPr>
        <w:ind w:left="851"/>
        <w:rPr>
          <w:spacing w:val="-3"/>
          <w:sz w:val="24"/>
          <w:szCs w:val="24"/>
        </w:rPr>
      </w:pPr>
      <w:r w:rsidRPr="00BC0C1D">
        <w:rPr>
          <w:spacing w:val="-3"/>
          <w:sz w:val="24"/>
          <w:szCs w:val="24"/>
        </w:rPr>
        <w:t>Dette lægemiddel bør administreres af sundhedspersonale og under passende lægelig supervision.</w:t>
      </w:r>
    </w:p>
    <w:p w:rsidR="00A75EE9" w:rsidRPr="00BC0C1D" w:rsidRDefault="00A75EE9" w:rsidP="00A75EE9">
      <w:pPr>
        <w:rPr>
          <w:spacing w:val="-3"/>
          <w:sz w:val="24"/>
          <w:szCs w:val="24"/>
        </w:rPr>
      </w:pPr>
    </w:p>
    <w:p w:rsidR="00A75EE9" w:rsidRPr="00BC0C1D" w:rsidRDefault="00A75EE9" w:rsidP="00A75EE9">
      <w:pPr>
        <w:ind w:left="851"/>
        <w:rPr>
          <w:spacing w:val="-3"/>
          <w:sz w:val="24"/>
          <w:szCs w:val="24"/>
        </w:rPr>
      </w:pPr>
      <w:r w:rsidRPr="00BC0C1D">
        <w:rPr>
          <w:spacing w:val="-3"/>
          <w:sz w:val="24"/>
          <w:szCs w:val="24"/>
        </w:rPr>
        <w:t xml:space="preserve">En opløsning, som er klar til brug, tilberedes ved at injicere 10 ml </w:t>
      </w:r>
      <w:proofErr w:type="spellStart"/>
      <w:r w:rsidRPr="00BC0C1D">
        <w:rPr>
          <w:spacing w:val="-3"/>
          <w:sz w:val="24"/>
          <w:szCs w:val="24"/>
        </w:rPr>
        <w:t>natriumchlorid</w:t>
      </w:r>
      <w:proofErr w:type="spellEnd"/>
      <w:r w:rsidRPr="00BC0C1D">
        <w:rPr>
          <w:spacing w:val="-3"/>
          <w:sz w:val="24"/>
          <w:szCs w:val="24"/>
        </w:rPr>
        <w:t xml:space="preserve"> 9 mg/ml (0,9 %) injektionsvæske. Instruktion vedrørende tilberedning, se pkt. 6.6. Den tilberedte </w:t>
      </w:r>
      <w:r w:rsidRPr="00BC0C1D">
        <w:rPr>
          <w:spacing w:val="-3"/>
          <w:sz w:val="24"/>
          <w:szCs w:val="24"/>
        </w:rPr>
        <w:lastRenderedPageBreak/>
        <w:t xml:space="preserve">opløsning kan indgives direkte eller efter yderligere </w:t>
      </w:r>
      <w:proofErr w:type="spellStart"/>
      <w:r w:rsidRPr="00BC0C1D">
        <w:rPr>
          <w:spacing w:val="-3"/>
          <w:sz w:val="24"/>
          <w:szCs w:val="24"/>
        </w:rPr>
        <w:t>tilblanding</w:t>
      </w:r>
      <w:proofErr w:type="spellEnd"/>
      <w:r w:rsidRPr="00BC0C1D">
        <w:rPr>
          <w:spacing w:val="-3"/>
          <w:sz w:val="24"/>
          <w:szCs w:val="24"/>
        </w:rPr>
        <w:t xml:space="preserve"> af 100 ml </w:t>
      </w:r>
      <w:proofErr w:type="spellStart"/>
      <w:r w:rsidRPr="00BC0C1D">
        <w:rPr>
          <w:spacing w:val="-3"/>
          <w:sz w:val="24"/>
          <w:szCs w:val="24"/>
        </w:rPr>
        <w:t>natriumchlorid</w:t>
      </w:r>
      <w:proofErr w:type="spellEnd"/>
      <w:r w:rsidRPr="00BC0C1D">
        <w:rPr>
          <w:spacing w:val="-3"/>
          <w:sz w:val="24"/>
          <w:szCs w:val="24"/>
        </w:rPr>
        <w:t xml:space="preserve"> 9 mg/ml (0,9 %) injektionsvæske eller </w:t>
      </w:r>
      <w:proofErr w:type="spellStart"/>
      <w:r w:rsidRPr="00BC0C1D">
        <w:rPr>
          <w:spacing w:val="-3"/>
          <w:sz w:val="24"/>
          <w:szCs w:val="24"/>
        </w:rPr>
        <w:t>glucose</w:t>
      </w:r>
      <w:proofErr w:type="spellEnd"/>
      <w:r w:rsidRPr="00BC0C1D">
        <w:rPr>
          <w:spacing w:val="-3"/>
          <w:sz w:val="24"/>
          <w:szCs w:val="24"/>
        </w:rPr>
        <w:t xml:space="preserve"> 55 mg/ml (5 %) injektionsvæske.</w:t>
      </w:r>
    </w:p>
    <w:p w:rsidR="00A75EE9" w:rsidRPr="00BC0C1D" w:rsidRDefault="00A75EE9" w:rsidP="00A75EE9">
      <w:pPr>
        <w:ind w:left="851"/>
        <w:rPr>
          <w:spacing w:val="-3"/>
          <w:sz w:val="24"/>
          <w:szCs w:val="24"/>
        </w:rPr>
      </w:pPr>
    </w:p>
    <w:p w:rsidR="00A75EE9" w:rsidRPr="00BC0C1D" w:rsidRDefault="00A75EE9" w:rsidP="00A75EE9">
      <w:pPr>
        <w:ind w:left="851"/>
        <w:rPr>
          <w:spacing w:val="-3"/>
          <w:sz w:val="24"/>
          <w:szCs w:val="24"/>
        </w:rPr>
      </w:pPr>
      <w:r w:rsidRPr="00BC0C1D">
        <w:rPr>
          <w:spacing w:val="-3"/>
          <w:sz w:val="24"/>
          <w:szCs w:val="24"/>
        </w:rPr>
        <w:t>Efter tilberedning skal opløsningen bruges inden for 12 timer.</w:t>
      </w:r>
    </w:p>
    <w:p w:rsidR="00A75EE9" w:rsidRPr="00BC0C1D" w:rsidRDefault="00A75EE9" w:rsidP="00A75EE9">
      <w:pPr>
        <w:ind w:left="851"/>
        <w:rPr>
          <w:spacing w:val="-3"/>
          <w:sz w:val="24"/>
          <w:szCs w:val="24"/>
        </w:rPr>
      </w:pPr>
    </w:p>
    <w:p w:rsidR="00A75EE9" w:rsidRPr="00BC0C1D" w:rsidRDefault="00A75EE9" w:rsidP="00A75EE9">
      <w:pPr>
        <w:ind w:left="850" w:firstLine="1"/>
        <w:rPr>
          <w:spacing w:val="-3"/>
          <w:sz w:val="24"/>
          <w:szCs w:val="24"/>
        </w:rPr>
      </w:pPr>
      <w:r w:rsidRPr="00BC0C1D">
        <w:rPr>
          <w:spacing w:val="-3"/>
          <w:sz w:val="24"/>
          <w:szCs w:val="24"/>
        </w:rPr>
        <w:t>Præparatet bør gives intravenøst over 2-15 minutter.</w:t>
      </w:r>
    </w:p>
    <w:p w:rsidR="00A75EE9" w:rsidRPr="00BC0C1D" w:rsidRDefault="00A75EE9" w:rsidP="00A75EE9">
      <w:pPr>
        <w:ind w:left="850" w:firstLine="1"/>
        <w:rPr>
          <w:spacing w:val="-3"/>
          <w:sz w:val="24"/>
          <w:szCs w:val="24"/>
        </w:rPr>
      </w:pPr>
    </w:p>
    <w:p w:rsidR="00A75EE9" w:rsidRPr="00BC0C1D" w:rsidRDefault="00A75EE9" w:rsidP="00A75EE9">
      <w:pPr>
        <w:ind w:left="850" w:firstLine="1"/>
        <w:rPr>
          <w:spacing w:val="-3"/>
          <w:sz w:val="24"/>
          <w:szCs w:val="24"/>
        </w:rPr>
      </w:pPr>
      <w:r w:rsidRPr="00BC0C1D">
        <w:rPr>
          <w:spacing w:val="-3"/>
          <w:sz w:val="24"/>
          <w:szCs w:val="24"/>
        </w:rPr>
        <w:t xml:space="preserve">Instruktion vedrørende </w:t>
      </w:r>
      <w:proofErr w:type="spellStart"/>
      <w:r w:rsidRPr="00BC0C1D">
        <w:rPr>
          <w:spacing w:val="-3"/>
          <w:sz w:val="24"/>
          <w:szCs w:val="24"/>
        </w:rPr>
        <w:t>rekonstitution</w:t>
      </w:r>
      <w:proofErr w:type="spellEnd"/>
      <w:r w:rsidRPr="00BC0C1D">
        <w:rPr>
          <w:spacing w:val="-3"/>
          <w:sz w:val="24"/>
          <w:szCs w:val="24"/>
        </w:rPr>
        <w:t xml:space="preserve"> og fortynding af lægemidlet inden anvendelse, se pkt. 6.6.</w:t>
      </w:r>
    </w:p>
    <w:p w:rsidR="00A75EE9" w:rsidRPr="00BC0C1D" w:rsidRDefault="00A75EE9" w:rsidP="00A75EE9">
      <w:pPr>
        <w:ind w:left="851"/>
        <w:rPr>
          <w:sz w:val="24"/>
          <w:szCs w:val="24"/>
        </w:rPr>
      </w:pPr>
    </w:p>
    <w:p w:rsidR="00A75EE9" w:rsidRPr="00BC0C1D" w:rsidRDefault="00A75EE9" w:rsidP="00A75EE9">
      <w:pPr>
        <w:ind w:left="851" w:hanging="851"/>
        <w:rPr>
          <w:b/>
          <w:sz w:val="24"/>
          <w:szCs w:val="24"/>
        </w:rPr>
      </w:pPr>
      <w:r w:rsidRPr="00BC0C1D">
        <w:rPr>
          <w:b/>
          <w:sz w:val="24"/>
          <w:szCs w:val="24"/>
        </w:rPr>
        <w:t>4.3</w:t>
      </w:r>
      <w:r w:rsidRPr="00BC0C1D">
        <w:rPr>
          <w:b/>
          <w:sz w:val="24"/>
          <w:szCs w:val="24"/>
        </w:rPr>
        <w:tab/>
        <w:t>Kontraindikationer</w:t>
      </w:r>
    </w:p>
    <w:p w:rsidR="00A75EE9" w:rsidRPr="00BC0C1D" w:rsidRDefault="00A75EE9" w:rsidP="00A75EE9">
      <w:pPr>
        <w:widowControl w:val="0"/>
        <w:adjustRightInd w:val="0"/>
        <w:ind w:left="851"/>
        <w:textAlignment w:val="baseline"/>
        <w:rPr>
          <w:spacing w:val="-3"/>
          <w:sz w:val="24"/>
          <w:szCs w:val="24"/>
          <w:lang w:eastAsia="da-DK"/>
        </w:rPr>
      </w:pPr>
      <w:r w:rsidRPr="00BC0C1D">
        <w:rPr>
          <w:sz w:val="24"/>
          <w:szCs w:val="24"/>
        </w:rPr>
        <w:t>O</w:t>
      </w:r>
      <w:r w:rsidRPr="00BC0C1D">
        <w:rPr>
          <w:spacing w:val="-3"/>
          <w:sz w:val="24"/>
          <w:szCs w:val="24"/>
        </w:rPr>
        <w:t xml:space="preserve">verfølsomhed over for det aktive stof, </w:t>
      </w:r>
      <w:r w:rsidRPr="00BC0C1D">
        <w:rPr>
          <w:noProof/>
          <w:sz w:val="24"/>
          <w:szCs w:val="24"/>
        </w:rPr>
        <w:t>substituerede benzimidazoler</w:t>
      </w:r>
      <w:r w:rsidRPr="00BC0C1D">
        <w:rPr>
          <w:sz w:val="24"/>
          <w:szCs w:val="24"/>
        </w:rPr>
        <w:t xml:space="preserve"> eller over for et eller flere af hjælpestofferne anført i pkt. 6.1</w:t>
      </w:r>
      <w:r w:rsidRPr="00BC0C1D">
        <w:rPr>
          <w:spacing w:val="-3"/>
          <w:sz w:val="24"/>
          <w:szCs w:val="24"/>
        </w:rPr>
        <w:t>.</w:t>
      </w:r>
    </w:p>
    <w:p w:rsidR="00A75EE9" w:rsidRPr="00BC0C1D" w:rsidRDefault="00A75EE9" w:rsidP="00A75EE9">
      <w:pPr>
        <w:ind w:left="851"/>
        <w:rPr>
          <w:sz w:val="24"/>
          <w:szCs w:val="24"/>
        </w:rPr>
      </w:pPr>
    </w:p>
    <w:p w:rsidR="00A75EE9" w:rsidRPr="00BC0C1D" w:rsidRDefault="00A75EE9" w:rsidP="00A75EE9">
      <w:pPr>
        <w:ind w:left="851" w:hanging="851"/>
        <w:rPr>
          <w:b/>
          <w:sz w:val="24"/>
          <w:szCs w:val="24"/>
        </w:rPr>
      </w:pPr>
      <w:r w:rsidRPr="00BC0C1D">
        <w:rPr>
          <w:b/>
          <w:sz w:val="24"/>
          <w:szCs w:val="24"/>
        </w:rPr>
        <w:t>4.4</w:t>
      </w:r>
      <w:r w:rsidRPr="00BC0C1D">
        <w:rPr>
          <w:b/>
          <w:sz w:val="24"/>
          <w:szCs w:val="24"/>
        </w:rPr>
        <w:tab/>
        <w:t>Særlige advarsler og forsigtighedsregler vedrørende brugen</w:t>
      </w:r>
    </w:p>
    <w:p w:rsidR="00A75EE9" w:rsidRPr="00BC0C1D" w:rsidRDefault="00A75EE9" w:rsidP="00A75EE9">
      <w:pPr>
        <w:ind w:left="851"/>
        <w:rPr>
          <w:i/>
          <w:sz w:val="24"/>
          <w:szCs w:val="24"/>
        </w:rPr>
      </w:pPr>
    </w:p>
    <w:p w:rsidR="00A75EE9" w:rsidRPr="00BC0C1D" w:rsidRDefault="00A75EE9" w:rsidP="00A75EE9">
      <w:pPr>
        <w:ind w:left="851"/>
        <w:rPr>
          <w:sz w:val="24"/>
          <w:szCs w:val="24"/>
          <w:u w:val="single"/>
          <w:lang w:eastAsia="da-DK"/>
        </w:rPr>
      </w:pPr>
      <w:r w:rsidRPr="00BC0C1D">
        <w:rPr>
          <w:sz w:val="24"/>
          <w:szCs w:val="24"/>
          <w:u w:val="single"/>
        </w:rPr>
        <w:t>Ved tilstedeværelse af alarmsymptomer</w:t>
      </w:r>
    </w:p>
    <w:p w:rsidR="00A75EE9" w:rsidRPr="00BC0C1D" w:rsidRDefault="00A75EE9" w:rsidP="00A75EE9">
      <w:pPr>
        <w:ind w:left="851"/>
        <w:rPr>
          <w:spacing w:val="-3"/>
          <w:sz w:val="24"/>
          <w:szCs w:val="24"/>
        </w:rPr>
      </w:pPr>
      <w:r w:rsidRPr="00BC0C1D">
        <w:rPr>
          <w:spacing w:val="-3"/>
          <w:sz w:val="24"/>
          <w:szCs w:val="24"/>
        </w:rPr>
        <w:t xml:space="preserve">Hvis der ses et eller flere alarmsymptomer (f.eks. signifikant utilsigtet vægttab, tilbagevendende opkastning, </w:t>
      </w:r>
      <w:proofErr w:type="spellStart"/>
      <w:r w:rsidRPr="00BC0C1D">
        <w:rPr>
          <w:spacing w:val="-3"/>
          <w:sz w:val="24"/>
          <w:szCs w:val="24"/>
        </w:rPr>
        <w:t>dysphagi</w:t>
      </w:r>
      <w:proofErr w:type="spellEnd"/>
      <w:r w:rsidRPr="00BC0C1D">
        <w:rPr>
          <w:spacing w:val="-3"/>
          <w:sz w:val="24"/>
          <w:szCs w:val="24"/>
        </w:rPr>
        <w:t xml:space="preserve">, </w:t>
      </w:r>
      <w:proofErr w:type="spellStart"/>
      <w:r w:rsidRPr="00BC0C1D">
        <w:rPr>
          <w:spacing w:val="-3"/>
          <w:sz w:val="24"/>
          <w:szCs w:val="24"/>
        </w:rPr>
        <w:t>haematemesis</w:t>
      </w:r>
      <w:proofErr w:type="spellEnd"/>
      <w:r w:rsidRPr="00BC0C1D">
        <w:rPr>
          <w:spacing w:val="-3"/>
          <w:sz w:val="24"/>
          <w:szCs w:val="24"/>
        </w:rPr>
        <w:t xml:space="preserve">, anæmi eller </w:t>
      </w:r>
      <w:proofErr w:type="spellStart"/>
      <w:r w:rsidRPr="00BC0C1D">
        <w:rPr>
          <w:spacing w:val="-3"/>
          <w:sz w:val="24"/>
          <w:szCs w:val="24"/>
        </w:rPr>
        <w:t>melæna</w:t>
      </w:r>
      <w:proofErr w:type="spellEnd"/>
      <w:r w:rsidRPr="00BC0C1D">
        <w:rPr>
          <w:spacing w:val="-3"/>
          <w:sz w:val="24"/>
          <w:szCs w:val="24"/>
        </w:rPr>
        <w:t xml:space="preserve">) og hvis der er mistanke om eller kendt ulcus, bør malign sygdom udelukkes, da behandlingen med </w:t>
      </w:r>
      <w:proofErr w:type="spellStart"/>
      <w:r w:rsidRPr="00BC0C1D">
        <w:rPr>
          <w:spacing w:val="-3"/>
          <w:sz w:val="24"/>
          <w:szCs w:val="24"/>
        </w:rPr>
        <w:t>pantoprazol</w:t>
      </w:r>
      <w:proofErr w:type="spellEnd"/>
      <w:r w:rsidRPr="00BC0C1D">
        <w:rPr>
          <w:spacing w:val="-3"/>
          <w:sz w:val="24"/>
          <w:szCs w:val="24"/>
        </w:rPr>
        <w:t xml:space="preserve"> kan sløre symptomerne og derved forsinke diagnosen.</w:t>
      </w:r>
    </w:p>
    <w:p w:rsidR="00A75EE9" w:rsidRPr="00BC0C1D" w:rsidRDefault="00A75EE9" w:rsidP="00A75EE9">
      <w:pPr>
        <w:ind w:left="851"/>
        <w:rPr>
          <w:sz w:val="24"/>
          <w:szCs w:val="24"/>
        </w:rPr>
      </w:pPr>
    </w:p>
    <w:p w:rsidR="00A75EE9" w:rsidRPr="00BC0C1D" w:rsidRDefault="00A75EE9" w:rsidP="00A75EE9">
      <w:pPr>
        <w:ind w:left="851"/>
        <w:rPr>
          <w:sz w:val="24"/>
          <w:szCs w:val="24"/>
        </w:rPr>
      </w:pPr>
      <w:r w:rsidRPr="00BC0C1D">
        <w:rPr>
          <w:sz w:val="24"/>
          <w:szCs w:val="24"/>
        </w:rPr>
        <w:t>Ved persisterende symptomer på trods af adækvat behandling bør yderligere undersøgelser overvejes.</w:t>
      </w:r>
    </w:p>
    <w:p w:rsidR="00A75EE9" w:rsidRPr="00BC0C1D" w:rsidRDefault="00A75EE9" w:rsidP="00A75EE9">
      <w:pPr>
        <w:ind w:left="851"/>
        <w:rPr>
          <w:i/>
          <w:sz w:val="24"/>
          <w:szCs w:val="24"/>
        </w:rPr>
      </w:pPr>
    </w:p>
    <w:p w:rsidR="00A75EE9" w:rsidRPr="00BC0C1D" w:rsidRDefault="00A75EE9" w:rsidP="00A75EE9">
      <w:pPr>
        <w:ind w:left="851"/>
        <w:rPr>
          <w:sz w:val="24"/>
          <w:szCs w:val="24"/>
          <w:u w:val="single"/>
        </w:rPr>
      </w:pPr>
      <w:r w:rsidRPr="00BC0C1D">
        <w:rPr>
          <w:sz w:val="24"/>
          <w:szCs w:val="24"/>
          <w:u w:val="single"/>
        </w:rPr>
        <w:t>Nedsat leverfunktion</w:t>
      </w:r>
    </w:p>
    <w:p w:rsidR="00A75EE9" w:rsidRPr="00BC0C1D" w:rsidRDefault="00A75EE9" w:rsidP="00A75EE9">
      <w:pPr>
        <w:ind w:left="851"/>
        <w:rPr>
          <w:sz w:val="24"/>
          <w:szCs w:val="24"/>
        </w:rPr>
      </w:pPr>
      <w:r w:rsidRPr="00BC0C1D">
        <w:rPr>
          <w:sz w:val="24"/>
          <w:szCs w:val="24"/>
        </w:rPr>
        <w:t>Hos patienter med stærkt nedsat leverfunktion bør levertal monitoreres under behandlingen. Ved stigning i levertal bør behandlingen ophøre (se pkt. 4.2).</w:t>
      </w:r>
    </w:p>
    <w:p w:rsidR="00A75EE9" w:rsidRPr="00BC0C1D" w:rsidRDefault="00A75EE9" w:rsidP="00A75EE9">
      <w:pPr>
        <w:ind w:left="851"/>
        <w:rPr>
          <w:i/>
          <w:sz w:val="24"/>
          <w:szCs w:val="24"/>
        </w:rPr>
      </w:pPr>
    </w:p>
    <w:p w:rsidR="00A75EE9" w:rsidRPr="00BC0C1D" w:rsidRDefault="00A75EE9" w:rsidP="00A75EE9">
      <w:pPr>
        <w:ind w:left="851"/>
        <w:rPr>
          <w:sz w:val="24"/>
          <w:szCs w:val="24"/>
          <w:u w:val="single"/>
        </w:rPr>
      </w:pPr>
      <w:r w:rsidRPr="00BC0C1D">
        <w:rPr>
          <w:sz w:val="24"/>
          <w:szCs w:val="24"/>
          <w:u w:val="single"/>
        </w:rPr>
        <w:t xml:space="preserve">Samtidig behandling med </w:t>
      </w:r>
      <w:proofErr w:type="spellStart"/>
      <w:r w:rsidRPr="00BC0C1D">
        <w:rPr>
          <w:sz w:val="24"/>
          <w:szCs w:val="24"/>
          <w:u w:val="single"/>
        </w:rPr>
        <w:t>atazanavir</w:t>
      </w:r>
      <w:proofErr w:type="spellEnd"/>
    </w:p>
    <w:p w:rsidR="00A75EE9" w:rsidRPr="00BC0C1D" w:rsidRDefault="00A75EE9" w:rsidP="00A75EE9">
      <w:pPr>
        <w:ind w:left="851"/>
        <w:rPr>
          <w:sz w:val="24"/>
          <w:szCs w:val="24"/>
        </w:rPr>
      </w:pPr>
      <w:r w:rsidRPr="00BC0C1D">
        <w:rPr>
          <w:sz w:val="24"/>
          <w:szCs w:val="24"/>
        </w:rPr>
        <w:t xml:space="preserve">Samtidig anvendelse af </w:t>
      </w:r>
      <w:proofErr w:type="spellStart"/>
      <w:r w:rsidRPr="00BC0C1D">
        <w:rPr>
          <w:sz w:val="24"/>
          <w:szCs w:val="24"/>
        </w:rPr>
        <w:t>atazanavir</w:t>
      </w:r>
      <w:proofErr w:type="spellEnd"/>
      <w:r w:rsidRPr="00BC0C1D">
        <w:rPr>
          <w:sz w:val="24"/>
          <w:szCs w:val="24"/>
        </w:rPr>
        <w:t xml:space="preserve"> og </w:t>
      </w:r>
      <w:proofErr w:type="spellStart"/>
      <w:r w:rsidRPr="00BC0C1D">
        <w:rPr>
          <w:sz w:val="24"/>
          <w:szCs w:val="24"/>
        </w:rPr>
        <w:t>protonpumpehæmmere</w:t>
      </w:r>
      <w:proofErr w:type="spellEnd"/>
      <w:r w:rsidRPr="00BC0C1D">
        <w:rPr>
          <w:sz w:val="24"/>
          <w:szCs w:val="24"/>
        </w:rPr>
        <w:t xml:space="preserve"> er ikke anbefalet (se pkt. 4.5). Hvis samtidig behandling med </w:t>
      </w:r>
      <w:proofErr w:type="spellStart"/>
      <w:r w:rsidRPr="00BC0C1D">
        <w:rPr>
          <w:sz w:val="24"/>
          <w:szCs w:val="24"/>
        </w:rPr>
        <w:t>atazanavir</w:t>
      </w:r>
      <w:proofErr w:type="spellEnd"/>
      <w:r w:rsidRPr="00BC0C1D">
        <w:rPr>
          <w:sz w:val="24"/>
          <w:szCs w:val="24"/>
        </w:rPr>
        <w:t xml:space="preserve"> og en </w:t>
      </w:r>
      <w:proofErr w:type="spellStart"/>
      <w:r w:rsidRPr="00BC0C1D">
        <w:rPr>
          <w:sz w:val="24"/>
          <w:szCs w:val="24"/>
        </w:rPr>
        <w:t>protonpumpehæmmere</w:t>
      </w:r>
      <w:proofErr w:type="spellEnd"/>
      <w:r w:rsidRPr="00BC0C1D">
        <w:rPr>
          <w:sz w:val="24"/>
          <w:szCs w:val="24"/>
        </w:rPr>
        <w:t xml:space="preserve"> vurderes at være uundgåelig, anbefales en tæt klinisk </w:t>
      </w:r>
      <w:proofErr w:type="spellStart"/>
      <w:r w:rsidRPr="00BC0C1D">
        <w:rPr>
          <w:sz w:val="24"/>
          <w:szCs w:val="24"/>
        </w:rPr>
        <w:t>overvågen</w:t>
      </w:r>
      <w:proofErr w:type="spellEnd"/>
      <w:r w:rsidRPr="00BC0C1D">
        <w:rPr>
          <w:sz w:val="24"/>
          <w:szCs w:val="24"/>
        </w:rPr>
        <w:t xml:space="preserve"> (f.eks. af virusbelastningen), samtidig med en øgning af dosis af </w:t>
      </w:r>
      <w:proofErr w:type="spellStart"/>
      <w:r w:rsidRPr="00BC0C1D">
        <w:rPr>
          <w:sz w:val="24"/>
          <w:szCs w:val="24"/>
        </w:rPr>
        <w:t>atazanavir</w:t>
      </w:r>
      <w:proofErr w:type="spellEnd"/>
      <w:r w:rsidRPr="00BC0C1D">
        <w:rPr>
          <w:sz w:val="24"/>
          <w:szCs w:val="24"/>
        </w:rPr>
        <w:t xml:space="preserve"> til 400 mg med 100 mg </w:t>
      </w:r>
      <w:proofErr w:type="spellStart"/>
      <w:r w:rsidRPr="00BC0C1D">
        <w:rPr>
          <w:sz w:val="24"/>
          <w:szCs w:val="24"/>
        </w:rPr>
        <w:t>ritonavir</w:t>
      </w:r>
      <w:proofErr w:type="spellEnd"/>
      <w:r w:rsidRPr="00BC0C1D">
        <w:rPr>
          <w:sz w:val="24"/>
          <w:szCs w:val="24"/>
        </w:rPr>
        <w:t xml:space="preserve">. Den daglige </w:t>
      </w:r>
      <w:proofErr w:type="spellStart"/>
      <w:r w:rsidRPr="00BC0C1D">
        <w:rPr>
          <w:sz w:val="24"/>
          <w:szCs w:val="24"/>
        </w:rPr>
        <w:t>pantoprazoldosis</w:t>
      </w:r>
      <w:proofErr w:type="spellEnd"/>
      <w:r w:rsidRPr="00BC0C1D">
        <w:rPr>
          <w:sz w:val="24"/>
          <w:szCs w:val="24"/>
        </w:rPr>
        <w:t xml:space="preserve"> bør ikke overskride 20 mg.</w:t>
      </w:r>
    </w:p>
    <w:p w:rsidR="00A75EE9" w:rsidRPr="00BC0C1D" w:rsidRDefault="00A75EE9" w:rsidP="00A75EE9">
      <w:pPr>
        <w:ind w:left="851"/>
        <w:rPr>
          <w:i/>
          <w:spacing w:val="-3"/>
          <w:sz w:val="24"/>
          <w:szCs w:val="24"/>
        </w:rPr>
      </w:pPr>
    </w:p>
    <w:p w:rsidR="00A75EE9" w:rsidRPr="00BC0C1D" w:rsidRDefault="00A75EE9" w:rsidP="00A75EE9">
      <w:pPr>
        <w:ind w:left="851"/>
        <w:rPr>
          <w:noProof/>
          <w:sz w:val="24"/>
          <w:szCs w:val="24"/>
          <w:u w:val="single"/>
        </w:rPr>
      </w:pPr>
      <w:proofErr w:type="spellStart"/>
      <w:r w:rsidRPr="00BC0C1D">
        <w:rPr>
          <w:spacing w:val="-3"/>
          <w:sz w:val="24"/>
          <w:szCs w:val="24"/>
          <w:u w:val="single"/>
        </w:rPr>
        <w:t>Gastrointestinale</w:t>
      </w:r>
      <w:proofErr w:type="spellEnd"/>
      <w:r w:rsidRPr="00BC0C1D">
        <w:rPr>
          <w:spacing w:val="-3"/>
          <w:sz w:val="24"/>
          <w:szCs w:val="24"/>
          <w:u w:val="single"/>
        </w:rPr>
        <w:t xml:space="preserve"> infektioner forårsaget af bakterier</w:t>
      </w:r>
    </w:p>
    <w:p w:rsidR="00A75EE9" w:rsidRPr="00BC0C1D" w:rsidRDefault="00A75EE9" w:rsidP="00A75EE9">
      <w:pPr>
        <w:widowControl w:val="0"/>
        <w:adjustRightInd w:val="0"/>
        <w:ind w:left="851"/>
        <w:textAlignment w:val="baseline"/>
        <w:rPr>
          <w:sz w:val="24"/>
          <w:szCs w:val="24"/>
        </w:rPr>
      </w:pPr>
      <w:proofErr w:type="spellStart"/>
      <w:r w:rsidRPr="00BC0C1D">
        <w:rPr>
          <w:sz w:val="24"/>
          <w:szCs w:val="24"/>
        </w:rPr>
        <w:t>Pantoprazol</w:t>
      </w:r>
      <w:proofErr w:type="spellEnd"/>
      <w:r w:rsidRPr="00BC0C1D">
        <w:rPr>
          <w:sz w:val="24"/>
          <w:szCs w:val="24"/>
        </w:rPr>
        <w:t xml:space="preserve">, kan som alle andre </w:t>
      </w:r>
      <w:proofErr w:type="spellStart"/>
      <w:r w:rsidRPr="00BC0C1D">
        <w:rPr>
          <w:sz w:val="24"/>
          <w:szCs w:val="24"/>
        </w:rPr>
        <w:t>protonpumpehæmmere</w:t>
      </w:r>
      <w:proofErr w:type="spellEnd"/>
      <w:r w:rsidRPr="00BC0C1D">
        <w:rPr>
          <w:sz w:val="24"/>
          <w:szCs w:val="24"/>
        </w:rPr>
        <w:t xml:space="preserve"> (PPI) forventes at øge det normale antal af bakterier i den øvre del af det </w:t>
      </w:r>
      <w:proofErr w:type="spellStart"/>
      <w:r w:rsidRPr="00BC0C1D">
        <w:rPr>
          <w:sz w:val="24"/>
          <w:szCs w:val="24"/>
        </w:rPr>
        <w:t>gastrointestinale</w:t>
      </w:r>
      <w:proofErr w:type="spellEnd"/>
      <w:r w:rsidRPr="00BC0C1D">
        <w:rPr>
          <w:sz w:val="24"/>
          <w:szCs w:val="24"/>
        </w:rPr>
        <w:t xml:space="preserve"> system. Behandling med </w:t>
      </w:r>
      <w:proofErr w:type="spellStart"/>
      <w:r w:rsidRPr="00BC0C1D">
        <w:rPr>
          <w:sz w:val="24"/>
          <w:szCs w:val="24"/>
        </w:rPr>
        <w:t>pantoprazol</w:t>
      </w:r>
      <w:proofErr w:type="spellEnd"/>
      <w:r w:rsidRPr="00BC0C1D">
        <w:rPr>
          <w:sz w:val="24"/>
          <w:szCs w:val="24"/>
        </w:rPr>
        <w:t xml:space="preserve"> kan give en let forøget risiko for </w:t>
      </w:r>
      <w:proofErr w:type="spellStart"/>
      <w:r w:rsidRPr="00BC0C1D">
        <w:rPr>
          <w:sz w:val="24"/>
          <w:szCs w:val="24"/>
        </w:rPr>
        <w:t>gastrointestinale</w:t>
      </w:r>
      <w:proofErr w:type="spellEnd"/>
      <w:r w:rsidRPr="00BC0C1D">
        <w:rPr>
          <w:sz w:val="24"/>
          <w:szCs w:val="24"/>
        </w:rPr>
        <w:t xml:space="preserve"> infektioner forårsaget af bakterier som f.eks. </w:t>
      </w:r>
      <w:r w:rsidRPr="00BC0C1D">
        <w:rPr>
          <w:i/>
          <w:sz w:val="24"/>
          <w:szCs w:val="24"/>
        </w:rPr>
        <w:t>Salmonella,</w:t>
      </w:r>
      <w:r w:rsidRPr="00BC0C1D">
        <w:rPr>
          <w:sz w:val="24"/>
          <w:szCs w:val="24"/>
        </w:rPr>
        <w:t xml:space="preserve"> </w:t>
      </w:r>
      <w:r w:rsidRPr="00BC0C1D">
        <w:rPr>
          <w:i/>
          <w:sz w:val="24"/>
          <w:szCs w:val="24"/>
        </w:rPr>
        <w:t xml:space="preserve">Campylobacter </w:t>
      </w:r>
      <w:r w:rsidRPr="00BC0C1D">
        <w:rPr>
          <w:sz w:val="24"/>
          <w:szCs w:val="24"/>
        </w:rPr>
        <w:t xml:space="preserve">og </w:t>
      </w:r>
      <w:proofErr w:type="spellStart"/>
      <w:r w:rsidRPr="00BC0C1D">
        <w:rPr>
          <w:i/>
          <w:sz w:val="24"/>
          <w:szCs w:val="24"/>
        </w:rPr>
        <w:t>Clostridium</w:t>
      </w:r>
      <w:proofErr w:type="spellEnd"/>
      <w:r w:rsidRPr="00BC0C1D">
        <w:rPr>
          <w:i/>
          <w:sz w:val="24"/>
          <w:szCs w:val="24"/>
        </w:rPr>
        <w:t xml:space="preserve"> difficile</w:t>
      </w:r>
      <w:r w:rsidRPr="00BC0C1D">
        <w:rPr>
          <w:sz w:val="24"/>
          <w:szCs w:val="24"/>
        </w:rPr>
        <w:t>.</w:t>
      </w:r>
    </w:p>
    <w:p w:rsidR="00A75EE9" w:rsidRPr="00BC0C1D" w:rsidRDefault="00A75EE9" w:rsidP="00A75EE9">
      <w:pPr>
        <w:widowControl w:val="0"/>
        <w:adjustRightInd w:val="0"/>
        <w:ind w:left="851"/>
        <w:textAlignment w:val="baseline"/>
        <w:rPr>
          <w:sz w:val="24"/>
          <w:szCs w:val="24"/>
        </w:rPr>
      </w:pPr>
    </w:p>
    <w:p w:rsidR="00A75EE9" w:rsidRPr="00BC0C1D" w:rsidRDefault="00A75EE9" w:rsidP="00A75EE9">
      <w:pPr>
        <w:ind w:left="851"/>
        <w:rPr>
          <w:sz w:val="24"/>
          <w:szCs w:val="24"/>
          <w:u w:val="single"/>
        </w:rPr>
      </w:pPr>
      <w:proofErr w:type="spellStart"/>
      <w:r w:rsidRPr="00BC0C1D">
        <w:rPr>
          <w:sz w:val="24"/>
          <w:szCs w:val="24"/>
          <w:u w:val="single"/>
        </w:rPr>
        <w:t>Hypomagnesiæmi</w:t>
      </w:r>
      <w:proofErr w:type="spellEnd"/>
    </w:p>
    <w:p w:rsidR="00A75EE9" w:rsidRPr="00BC0C1D" w:rsidRDefault="00A75EE9" w:rsidP="00A75EE9">
      <w:pPr>
        <w:ind w:left="851"/>
        <w:rPr>
          <w:sz w:val="24"/>
          <w:szCs w:val="24"/>
        </w:rPr>
      </w:pPr>
      <w:r w:rsidRPr="00BC0C1D">
        <w:rPr>
          <w:sz w:val="24"/>
          <w:szCs w:val="24"/>
        </w:rPr>
        <w:t xml:space="preserve">Alvorlig </w:t>
      </w:r>
      <w:proofErr w:type="spellStart"/>
      <w:r w:rsidRPr="00BC0C1D">
        <w:rPr>
          <w:sz w:val="24"/>
          <w:szCs w:val="24"/>
        </w:rPr>
        <w:t>hypomagnesiæmi</w:t>
      </w:r>
      <w:proofErr w:type="spellEnd"/>
      <w:r w:rsidRPr="00BC0C1D">
        <w:rPr>
          <w:sz w:val="24"/>
          <w:szCs w:val="24"/>
        </w:rPr>
        <w:t xml:space="preserve"> har været rapporteret hos patienter behandlet med </w:t>
      </w:r>
      <w:proofErr w:type="spellStart"/>
      <w:r w:rsidRPr="00BC0C1D">
        <w:rPr>
          <w:sz w:val="24"/>
          <w:szCs w:val="24"/>
        </w:rPr>
        <w:t>PPI’er</w:t>
      </w:r>
      <w:proofErr w:type="spellEnd"/>
      <w:r w:rsidRPr="00BC0C1D">
        <w:rPr>
          <w:sz w:val="24"/>
          <w:szCs w:val="24"/>
        </w:rPr>
        <w:t xml:space="preserve">, såsom </w:t>
      </w:r>
      <w:proofErr w:type="spellStart"/>
      <w:r w:rsidRPr="00BC0C1D">
        <w:rPr>
          <w:sz w:val="24"/>
          <w:szCs w:val="24"/>
        </w:rPr>
        <w:t>pantoprazol</w:t>
      </w:r>
      <w:proofErr w:type="spellEnd"/>
      <w:r w:rsidRPr="00BC0C1D">
        <w:rPr>
          <w:sz w:val="24"/>
          <w:szCs w:val="24"/>
        </w:rPr>
        <w:t xml:space="preserve">, i mindst tre måneder og i de fleste tilfælde i et år. Alvorlige manifestationer af </w:t>
      </w:r>
      <w:proofErr w:type="spellStart"/>
      <w:r w:rsidRPr="00BC0C1D">
        <w:rPr>
          <w:sz w:val="24"/>
          <w:szCs w:val="24"/>
        </w:rPr>
        <w:t>hypomagnesiæmi</w:t>
      </w:r>
      <w:proofErr w:type="spellEnd"/>
      <w:r w:rsidRPr="00BC0C1D">
        <w:rPr>
          <w:sz w:val="24"/>
          <w:szCs w:val="24"/>
        </w:rPr>
        <w:t xml:space="preserve"> som træthed, tetani, delirium, kramper, svimmelhed og </w:t>
      </w:r>
      <w:proofErr w:type="spellStart"/>
      <w:r w:rsidRPr="00BC0C1D">
        <w:rPr>
          <w:sz w:val="24"/>
          <w:szCs w:val="24"/>
        </w:rPr>
        <w:t>ventrikulær</w:t>
      </w:r>
      <w:proofErr w:type="spellEnd"/>
      <w:r w:rsidRPr="00BC0C1D">
        <w:rPr>
          <w:sz w:val="24"/>
          <w:szCs w:val="24"/>
        </w:rPr>
        <w:t xml:space="preserve"> </w:t>
      </w:r>
      <w:proofErr w:type="spellStart"/>
      <w:r w:rsidRPr="00BC0C1D">
        <w:rPr>
          <w:sz w:val="24"/>
          <w:szCs w:val="24"/>
        </w:rPr>
        <w:t>arytmi</w:t>
      </w:r>
      <w:proofErr w:type="spellEnd"/>
      <w:r w:rsidRPr="00BC0C1D">
        <w:rPr>
          <w:sz w:val="24"/>
          <w:szCs w:val="24"/>
        </w:rPr>
        <w:t xml:space="preserve"> kan forekomme, men kan begynde stille og kan blive overset. Tilstanden forbedres hos de fleste patienter efter magnesiumerstatning og </w:t>
      </w:r>
      <w:proofErr w:type="spellStart"/>
      <w:r w:rsidRPr="00BC0C1D">
        <w:rPr>
          <w:sz w:val="24"/>
          <w:szCs w:val="24"/>
        </w:rPr>
        <w:t>seponering</w:t>
      </w:r>
      <w:proofErr w:type="spellEnd"/>
      <w:r w:rsidRPr="00BC0C1D">
        <w:rPr>
          <w:sz w:val="24"/>
          <w:szCs w:val="24"/>
        </w:rPr>
        <w:t xml:space="preserve"> af PPI.</w:t>
      </w:r>
    </w:p>
    <w:p w:rsidR="00A75EE9" w:rsidRPr="00BC0C1D" w:rsidRDefault="00A75EE9" w:rsidP="00A75EE9">
      <w:pPr>
        <w:widowControl w:val="0"/>
        <w:adjustRightInd w:val="0"/>
        <w:ind w:left="851"/>
        <w:textAlignment w:val="baseline"/>
        <w:rPr>
          <w:sz w:val="24"/>
          <w:szCs w:val="24"/>
        </w:rPr>
      </w:pPr>
      <w:r w:rsidRPr="00BC0C1D">
        <w:rPr>
          <w:sz w:val="24"/>
          <w:szCs w:val="24"/>
        </w:rPr>
        <w:t xml:space="preserve">Det bør overvejes at måle serummagnesium før opstart af </w:t>
      </w:r>
      <w:proofErr w:type="gramStart"/>
      <w:r w:rsidRPr="00BC0C1D">
        <w:rPr>
          <w:sz w:val="24"/>
          <w:szCs w:val="24"/>
        </w:rPr>
        <w:t>PPI behandling</w:t>
      </w:r>
      <w:proofErr w:type="gramEnd"/>
      <w:r w:rsidRPr="00BC0C1D">
        <w:rPr>
          <w:sz w:val="24"/>
          <w:szCs w:val="24"/>
        </w:rPr>
        <w:t xml:space="preserve"> og regelmæssigt under behandlingen hos patienter, der forventes at være i langvarig behandling eller tager </w:t>
      </w:r>
      <w:proofErr w:type="spellStart"/>
      <w:r w:rsidRPr="00BC0C1D">
        <w:rPr>
          <w:sz w:val="24"/>
          <w:szCs w:val="24"/>
        </w:rPr>
        <w:lastRenderedPageBreak/>
        <w:t>PPI’er</w:t>
      </w:r>
      <w:proofErr w:type="spellEnd"/>
      <w:r w:rsidRPr="00BC0C1D">
        <w:rPr>
          <w:sz w:val="24"/>
          <w:szCs w:val="24"/>
        </w:rPr>
        <w:t xml:space="preserve"> samtidigt med </w:t>
      </w:r>
      <w:proofErr w:type="spellStart"/>
      <w:r w:rsidRPr="00BC0C1D">
        <w:rPr>
          <w:sz w:val="24"/>
          <w:szCs w:val="24"/>
        </w:rPr>
        <w:t>digoxin</w:t>
      </w:r>
      <w:proofErr w:type="spellEnd"/>
      <w:r w:rsidRPr="00BC0C1D">
        <w:rPr>
          <w:sz w:val="24"/>
          <w:szCs w:val="24"/>
        </w:rPr>
        <w:t xml:space="preserve"> eller andre lægemidler, der kan forårsage </w:t>
      </w:r>
      <w:proofErr w:type="spellStart"/>
      <w:r w:rsidRPr="00BC0C1D">
        <w:rPr>
          <w:sz w:val="24"/>
          <w:szCs w:val="24"/>
        </w:rPr>
        <w:t>hypomagnesiæmi</w:t>
      </w:r>
      <w:proofErr w:type="spellEnd"/>
      <w:r w:rsidRPr="00BC0C1D">
        <w:rPr>
          <w:sz w:val="24"/>
          <w:szCs w:val="24"/>
        </w:rPr>
        <w:t xml:space="preserve"> (f.eks. </w:t>
      </w:r>
      <w:proofErr w:type="spellStart"/>
      <w:r w:rsidRPr="00BC0C1D">
        <w:rPr>
          <w:sz w:val="24"/>
          <w:szCs w:val="24"/>
        </w:rPr>
        <w:t>diuretika</w:t>
      </w:r>
      <w:proofErr w:type="spellEnd"/>
      <w:r w:rsidRPr="00BC0C1D">
        <w:rPr>
          <w:sz w:val="24"/>
          <w:szCs w:val="24"/>
        </w:rPr>
        <w:t>).</w:t>
      </w:r>
    </w:p>
    <w:p w:rsidR="00A75EE9" w:rsidRPr="00BC0C1D" w:rsidRDefault="00A75EE9" w:rsidP="00A75EE9">
      <w:pPr>
        <w:widowControl w:val="0"/>
        <w:adjustRightInd w:val="0"/>
        <w:ind w:left="851"/>
        <w:textAlignment w:val="baseline"/>
        <w:rPr>
          <w:sz w:val="24"/>
          <w:szCs w:val="24"/>
        </w:rPr>
      </w:pPr>
    </w:p>
    <w:p w:rsidR="00A75EE9" w:rsidRPr="00BC0C1D" w:rsidRDefault="00A75EE9" w:rsidP="00A75EE9">
      <w:pPr>
        <w:widowControl w:val="0"/>
        <w:adjustRightInd w:val="0"/>
        <w:ind w:left="851"/>
        <w:textAlignment w:val="baseline"/>
        <w:rPr>
          <w:sz w:val="24"/>
          <w:szCs w:val="24"/>
          <w:u w:val="single"/>
        </w:rPr>
      </w:pPr>
      <w:r w:rsidRPr="00BC0C1D">
        <w:rPr>
          <w:sz w:val="24"/>
          <w:szCs w:val="24"/>
          <w:u w:val="single"/>
        </w:rPr>
        <w:t>Knoglebrud</w:t>
      </w:r>
    </w:p>
    <w:p w:rsidR="00A75EE9" w:rsidRPr="00BC0C1D" w:rsidRDefault="00A75EE9" w:rsidP="00A75EE9">
      <w:pPr>
        <w:widowControl w:val="0"/>
        <w:adjustRightInd w:val="0"/>
        <w:ind w:left="851"/>
        <w:textAlignment w:val="baseline"/>
        <w:rPr>
          <w:sz w:val="24"/>
          <w:szCs w:val="24"/>
        </w:rPr>
      </w:pPr>
      <w:proofErr w:type="spellStart"/>
      <w:r w:rsidRPr="00BC0C1D">
        <w:rPr>
          <w:sz w:val="24"/>
          <w:szCs w:val="24"/>
        </w:rPr>
        <w:t>Protonpumpehæmmere</w:t>
      </w:r>
      <w:proofErr w:type="spellEnd"/>
      <w:r w:rsidRPr="00BC0C1D">
        <w:rPr>
          <w:sz w:val="24"/>
          <w:szCs w:val="24"/>
        </w:rPr>
        <w:t xml:space="preserve"> kan øge risikoen for hofte-, håndleds- og rygfrakturer beskedent, hovedsageligt hos ældre eller ved tilstedeværelse af andre kendte risikofaktorer især hvis det bruges i høje doser og over lange behandlingsperioder (&gt; 1 år). Observationsstudier antyder, at </w:t>
      </w:r>
      <w:proofErr w:type="spellStart"/>
      <w:r w:rsidRPr="00BC0C1D">
        <w:rPr>
          <w:sz w:val="24"/>
          <w:szCs w:val="24"/>
        </w:rPr>
        <w:t>protonpumpehæmmere</w:t>
      </w:r>
      <w:proofErr w:type="spellEnd"/>
      <w:r w:rsidRPr="00BC0C1D">
        <w:rPr>
          <w:sz w:val="24"/>
          <w:szCs w:val="24"/>
        </w:rPr>
        <w:t xml:space="preserve"> kan øge den overordnede risiko for fraktur med 10-40</w:t>
      </w:r>
      <w:r w:rsidR="00DB7F7A">
        <w:rPr>
          <w:sz w:val="24"/>
          <w:szCs w:val="24"/>
        </w:rPr>
        <w:t> </w:t>
      </w:r>
      <w:r w:rsidRPr="00BC0C1D">
        <w:rPr>
          <w:sz w:val="24"/>
          <w:szCs w:val="24"/>
        </w:rPr>
        <w:t>%. Noget af denne øgning kan skyldes andre risikofaktorer. Patienter med risiko for osteoporose bør modtage behandling i henhold til gældende kliniske guidelines og de bør have et tilstrækkeligt indtag af vitamin D og calcium.</w:t>
      </w:r>
    </w:p>
    <w:p w:rsidR="00A75EE9" w:rsidRPr="00BC0C1D" w:rsidRDefault="00A75EE9" w:rsidP="00A75EE9">
      <w:pPr>
        <w:widowControl w:val="0"/>
        <w:adjustRightInd w:val="0"/>
        <w:ind w:left="851"/>
        <w:textAlignment w:val="baseline"/>
        <w:rPr>
          <w:sz w:val="24"/>
          <w:szCs w:val="24"/>
        </w:rPr>
      </w:pPr>
    </w:p>
    <w:p w:rsidR="00A75EE9" w:rsidRPr="00A067DD" w:rsidRDefault="00A75EE9" w:rsidP="00A75EE9">
      <w:pPr>
        <w:pStyle w:val="Default"/>
        <w:ind w:left="851"/>
        <w:rPr>
          <w:rFonts w:ascii="Times New Roman" w:hAnsi="Times New Roman" w:cs="Times New Roman"/>
          <w:u w:val="single"/>
        </w:rPr>
      </w:pPr>
      <w:proofErr w:type="spellStart"/>
      <w:r w:rsidRPr="00A067DD">
        <w:rPr>
          <w:rFonts w:ascii="Times New Roman" w:hAnsi="Times New Roman" w:cs="Times New Roman"/>
          <w:u w:val="single"/>
        </w:rPr>
        <w:t>Subakut</w:t>
      </w:r>
      <w:proofErr w:type="spellEnd"/>
      <w:r w:rsidRPr="00A067DD">
        <w:rPr>
          <w:rFonts w:ascii="Times New Roman" w:hAnsi="Times New Roman" w:cs="Times New Roman"/>
          <w:u w:val="single"/>
        </w:rPr>
        <w:t xml:space="preserve"> </w:t>
      </w:r>
      <w:proofErr w:type="spellStart"/>
      <w:r w:rsidRPr="00A067DD">
        <w:rPr>
          <w:rFonts w:ascii="Times New Roman" w:hAnsi="Times New Roman" w:cs="Times New Roman"/>
          <w:u w:val="single"/>
        </w:rPr>
        <w:t>kutan</w:t>
      </w:r>
      <w:proofErr w:type="spellEnd"/>
      <w:r w:rsidRPr="00A067DD">
        <w:rPr>
          <w:rFonts w:ascii="Times New Roman" w:hAnsi="Times New Roman" w:cs="Times New Roman"/>
          <w:u w:val="single"/>
        </w:rPr>
        <w:t xml:space="preserve"> lupus erythematosus (SCLE) </w:t>
      </w:r>
    </w:p>
    <w:p w:rsidR="00A75EE9" w:rsidRPr="00BC0C1D" w:rsidRDefault="00A75EE9" w:rsidP="00A75EE9">
      <w:pPr>
        <w:widowControl w:val="0"/>
        <w:adjustRightInd w:val="0"/>
        <w:ind w:left="851"/>
        <w:textAlignment w:val="baseline"/>
        <w:rPr>
          <w:spacing w:val="-3"/>
          <w:sz w:val="24"/>
          <w:szCs w:val="24"/>
        </w:rPr>
      </w:pPr>
      <w:proofErr w:type="spellStart"/>
      <w:r w:rsidRPr="00BC0C1D">
        <w:rPr>
          <w:sz w:val="24"/>
          <w:szCs w:val="24"/>
        </w:rPr>
        <w:t>Protonpumpehæmmere</w:t>
      </w:r>
      <w:proofErr w:type="spellEnd"/>
      <w:r w:rsidRPr="00BC0C1D">
        <w:rPr>
          <w:sz w:val="24"/>
          <w:szCs w:val="24"/>
        </w:rPr>
        <w:t xml:space="preserve"> er forbundet med meget sjældne tilfælde af SCLE. Hvis sådanne hudreaktioner optræder, navnlig på hudområder udsat for sol, og er ledsaget af </w:t>
      </w:r>
      <w:proofErr w:type="spellStart"/>
      <w:r w:rsidRPr="00BC0C1D">
        <w:rPr>
          <w:sz w:val="24"/>
          <w:szCs w:val="24"/>
        </w:rPr>
        <w:t>artralgi</w:t>
      </w:r>
      <w:proofErr w:type="spellEnd"/>
      <w:r w:rsidRPr="00BC0C1D">
        <w:rPr>
          <w:sz w:val="24"/>
          <w:szCs w:val="24"/>
        </w:rPr>
        <w:t xml:space="preserve">, bør patienten søge lægehjælp omgående, og den sundhedsprofessionelle bør overveje at seponere </w:t>
      </w:r>
      <w:proofErr w:type="spellStart"/>
      <w:r w:rsidR="007D71C0">
        <w:rPr>
          <w:sz w:val="24"/>
          <w:szCs w:val="24"/>
        </w:rPr>
        <w:t>Pantoprazol</w:t>
      </w:r>
      <w:proofErr w:type="spellEnd"/>
      <w:r w:rsidR="007D71C0">
        <w:rPr>
          <w:sz w:val="24"/>
          <w:szCs w:val="24"/>
        </w:rPr>
        <w:t xml:space="preserve"> </w:t>
      </w:r>
      <w:r w:rsidR="00DB7F7A">
        <w:rPr>
          <w:sz w:val="24"/>
          <w:szCs w:val="24"/>
        </w:rPr>
        <w:t>"</w:t>
      </w:r>
      <w:proofErr w:type="spellStart"/>
      <w:r w:rsidR="00F251D2">
        <w:rPr>
          <w:sz w:val="24"/>
          <w:szCs w:val="24"/>
        </w:rPr>
        <w:t>Oresund</w:t>
      </w:r>
      <w:proofErr w:type="spellEnd"/>
      <w:r w:rsidR="00F251D2">
        <w:rPr>
          <w:sz w:val="24"/>
          <w:szCs w:val="24"/>
        </w:rPr>
        <w:t xml:space="preserve"> Pharma</w:t>
      </w:r>
      <w:r w:rsidR="00DB7F7A">
        <w:rPr>
          <w:sz w:val="24"/>
          <w:szCs w:val="24"/>
        </w:rPr>
        <w:t>"</w:t>
      </w:r>
      <w:r w:rsidRPr="00BC0C1D">
        <w:rPr>
          <w:sz w:val="24"/>
          <w:szCs w:val="24"/>
        </w:rPr>
        <w:t xml:space="preserve">. SCLE efter tidligere behandling med en protonpumpehæmmer kan øge risikoen for SCLE med andre </w:t>
      </w:r>
      <w:proofErr w:type="spellStart"/>
      <w:r w:rsidRPr="00BC0C1D">
        <w:rPr>
          <w:sz w:val="24"/>
          <w:szCs w:val="24"/>
        </w:rPr>
        <w:t>protonpumpehæmmere</w:t>
      </w:r>
      <w:proofErr w:type="spellEnd"/>
      <w:r w:rsidRPr="00BC0C1D">
        <w:rPr>
          <w:sz w:val="24"/>
          <w:szCs w:val="24"/>
        </w:rPr>
        <w:t>.</w:t>
      </w:r>
    </w:p>
    <w:p w:rsidR="00A75EE9" w:rsidRPr="00BC0C1D" w:rsidRDefault="00A75EE9" w:rsidP="00A75EE9">
      <w:pPr>
        <w:widowControl w:val="0"/>
        <w:adjustRightInd w:val="0"/>
        <w:ind w:left="851"/>
        <w:textAlignment w:val="baseline"/>
        <w:rPr>
          <w:sz w:val="24"/>
          <w:szCs w:val="24"/>
        </w:rPr>
      </w:pPr>
    </w:p>
    <w:p w:rsidR="00A75EE9" w:rsidRPr="00BC0C1D" w:rsidRDefault="00A75EE9" w:rsidP="00A75EE9">
      <w:pPr>
        <w:ind w:left="851" w:hanging="851"/>
        <w:rPr>
          <w:b/>
          <w:sz w:val="24"/>
          <w:szCs w:val="24"/>
        </w:rPr>
      </w:pPr>
      <w:r w:rsidRPr="00BC0C1D">
        <w:rPr>
          <w:b/>
          <w:sz w:val="24"/>
          <w:szCs w:val="24"/>
        </w:rPr>
        <w:t>4.5</w:t>
      </w:r>
      <w:r w:rsidRPr="00BC0C1D">
        <w:rPr>
          <w:b/>
          <w:sz w:val="24"/>
          <w:szCs w:val="24"/>
        </w:rPr>
        <w:tab/>
        <w:t>Interaktion med andre lægemidler og andre former for interaktion</w:t>
      </w:r>
    </w:p>
    <w:p w:rsidR="00A75EE9" w:rsidRPr="00B47289" w:rsidRDefault="00A75EE9" w:rsidP="00A75EE9">
      <w:pPr>
        <w:ind w:left="851"/>
        <w:rPr>
          <w:noProof/>
          <w:sz w:val="24"/>
          <w:szCs w:val="24"/>
        </w:rPr>
      </w:pPr>
    </w:p>
    <w:p w:rsidR="00A75EE9" w:rsidRPr="00BC0C1D" w:rsidRDefault="00A75EE9" w:rsidP="00A75EE9">
      <w:pPr>
        <w:ind w:left="851"/>
        <w:rPr>
          <w:noProof/>
          <w:sz w:val="24"/>
          <w:szCs w:val="24"/>
          <w:u w:val="single"/>
          <w:lang w:eastAsia="da-DK"/>
        </w:rPr>
      </w:pPr>
      <w:r w:rsidRPr="00BC0C1D">
        <w:rPr>
          <w:noProof/>
          <w:sz w:val="24"/>
          <w:szCs w:val="24"/>
          <w:u w:val="single"/>
        </w:rPr>
        <w:t>Pantoprazols påvirkning af absorptionen af andre lægemidler</w:t>
      </w:r>
    </w:p>
    <w:p w:rsidR="00A75EE9" w:rsidRPr="00BC0C1D" w:rsidRDefault="00A75EE9" w:rsidP="00A75EE9">
      <w:pPr>
        <w:ind w:left="851"/>
        <w:rPr>
          <w:noProof/>
          <w:sz w:val="24"/>
          <w:szCs w:val="24"/>
        </w:rPr>
      </w:pPr>
      <w:r w:rsidRPr="00BC0C1D">
        <w:rPr>
          <w:noProof/>
          <w:sz w:val="24"/>
          <w:szCs w:val="24"/>
        </w:rPr>
        <w:t>På grund af den store og langtidsvirkende hæmming af mavesyresekretionen, kan pantoprazol reducere absorptionen af aktive stoffer, hvis biotilgængelighed er pH-afhængig (f.eks. nogle antifungale midler, som ketoconazol, itraconazol, posaconazol og anden medicin som erlotinib).</w:t>
      </w:r>
    </w:p>
    <w:p w:rsidR="00A75EE9" w:rsidRPr="00BC0C1D" w:rsidRDefault="00A75EE9" w:rsidP="00A75EE9">
      <w:pPr>
        <w:ind w:left="851"/>
        <w:rPr>
          <w:noProof/>
          <w:sz w:val="24"/>
          <w:szCs w:val="24"/>
        </w:rPr>
      </w:pPr>
    </w:p>
    <w:p w:rsidR="00A75EE9" w:rsidRPr="00BC0C1D" w:rsidRDefault="00A75EE9" w:rsidP="00A75EE9">
      <w:pPr>
        <w:ind w:left="851"/>
        <w:rPr>
          <w:noProof/>
          <w:sz w:val="24"/>
          <w:szCs w:val="24"/>
          <w:u w:val="single"/>
        </w:rPr>
      </w:pPr>
      <w:r w:rsidRPr="00BC0C1D">
        <w:rPr>
          <w:noProof/>
          <w:sz w:val="24"/>
          <w:szCs w:val="24"/>
          <w:u w:val="single"/>
        </w:rPr>
        <w:t>HIV-midler (atazanavir)</w:t>
      </w:r>
    </w:p>
    <w:p w:rsidR="00A75EE9" w:rsidRPr="00BC0C1D" w:rsidRDefault="00A75EE9" w:rsidP="00A75EE9">
      <w:pPr>
        <w:ind w:left="851"/>
        <w:rPr>
          <w:noProof/>
          <w:sz w:val="24"/>
          <w:szCs w:val="24"/>
        </w:rPr>
      </w:pPr>
      <w:r w:rsidRPr="00BC0C1D">
        <w:rPr>
          <w:sz w:val="24"/>
          <w:szCs w:val="24"/>
        </w:rPr>
        <w:t xml:space="preserve">Samtidig anvendelse af </w:t>
      </w:r>
      <w:proofErr w:type="spellStart"/>
      <w:r w:rsidRPr="00BC0C1D">
        <w:rPr>
          <w:sz w:val="24"/>
          <w:szCs w:val="24"/>
        </w:rPr>
        <w:t>atazanavir</w:t>
      </w:r>
      <w:proofErr w:type="spellEnd"/>
      <w:r w:rsidRPr="00BC0C1D">
        <w:rPr>
          <w:sz w:val="24"/>
          <w:szCs w:val="24"/>
        </w:rPr>
        <w:t xml:space="preserve"> samt anden </w:t>
      </w:r>
      <w:proofErr w:type="gramStart"/>
      <w:r w:rsidRPr="00BC0C1D">
        <w:rPr>
          <w:sz w:val="24"/>
          <w:szCs w:val="24"/>
        </w:rPr>
        <w:t>HIV medicin</w:t>
      </w:r>
      <w:proofErr w:type="gramEnd"/>
      <w:r w:rsidRPr="00BC0C1D">
        <w:rPr>
          <w:sz w:val="24"/>
          <w:szCs w:val="24"/>
        </w:rPr>
        <w:t xml:space="preserve">, hvis absorption er pH-afhængig, og </w:t>
      </w:r>
      <w:proofErr w:type="spellStart"/>
      <w:r w:rsidRPr="00BC0C1D">
        <w:rPr>
          <w:sz w:val="24"/>
          <w:szCs w:val="24"/>
        </w:rPr>
        <w:t>protonpumpehæmmere</w:t>
      </w:r>
      <w:proofErr w:type="spellEnd"/>
      <w:r w:rsidRPr="00BC0C1D">
        <w:rPr>
          <w:sz w:val="24"/>
          <w:szCs w:val="24"/>
        </w:rPr>
        <w:t xml:space="preserve"> kan resultere i en betydelig reduktion i biotilgængeligheden af disse HIV-midler og kan påvirke effekten af disse lægemidler. Derfor er samtidig anvendelse af </w:t>
      </w:r>
      <w:proofErr w:type="spellStart"/>
      <w:r w:rsidRPr="00BC0C1D">
        <w:rPr>
          <w:sz w:val="24"/>
          <w:szCs w:val="24"/>
        </w:rPr>
        <w:t>protonpumpehæmmere</w:t>
      </w:r>
      <w:proofErr w:type="spellEnd"/>
      <w:r w:rsidRPr="00BC0C1D">
        <w:rPr>
          <w:sz w:val="24"/>
          <w:szCs w:val="24"/>
        </w:rPr>
        <w:t xml:space="preserve"> og </w:t>
      </w:r>
      <w:proofErr w:type="spellStart"/>
      <w:r w:rsidRPr="00BC0C1D">
        <w:rPr>
          <w:sz w:val="24"/>
          <w:szCs w:val="24"/>
        </w:rPr>
        <w:t>atazanavir</w:t>
      </w:r>
      <w:proofErr w:type="spellEnd"/>
      <w:r w:rsidRPr="00BC0C1D">
        <w:rPr>
          <w:sz w:val="24"/>
          <w:szCs w:val="24"/>
        </w:rPr>
        <w:t xml:space="preserve"> ikke anbefalet (se pkt. 4.4). </w:t>
      </w:r>
    </w:p>
    <w:p w:rsidR="00A75EE9" w:rsidRPr="00BC0C1D" w:rsidRDefault="00A75EE9" w:rsidP="00A75EE9">
      <w:pPr>
        <w:ind w:left="851"/>
        <w:rPr>
          <w:noProof/>
          <w:sz w:val="24"/>
          <w:szCs w:val="24"/>
        </w:rPr>
      </w:pPr>
    </w:p>
    <w:p w:rsidR="00A75EE9" w:rsidRPr="00BC0C1D" w:rsidRDefault="00A75EE9" w:rsidP="00A75EE9">
      <w:pPr>
        <w:ind w:left="851"/>
        <w:rPr>
          <w:noProof/>
          <w:sz w:val="24"/>
          <w:szCs w:val="24"/>
          <w:u w:val="single"/>
        </w:rPr>
      </w:pPr>
      <w:r w:rsidRPr="00BC0C1D">
        <w:rPr>
          <w:noProof/>
          <w:sz w:val="24"/>
          <w:szCs w:val="24"/>
          <w:u w:val="single"/>
        </w:rPr>
        <w:t>Kumarinantikoagulantia (f.eks. phenprocoumon eller warfarin)</w:t>
      </w:r>
    </w:p>
    <w:p w:rsidR="00A75EE9" w:rsidRPr="00BC0C1D" w:rsidRDefault="00A75EE9" w:rsidP="00A75EE9">
      <w:pPr>
        <w:ind w:left="851"/>
        <w:rPr>
          <w:noProof/>
          <w:sz w:val="24"/>
          <w:szCs w:val="24"/>
        </w:rPr>
      </w:pPr>
      <w:r w:rsidRPr="00BC0C1D">
        <w:rPr>
          <w:noProof/>
          <w:sz w:val="24"/>
          <w:szCs w:val="24"/>
        </w:rPr>
        <w:t>Selv om der ikke er set interaktion ved samtidig anvendelse af phenprocoumon eller warfarin i kliniske farmakokinetiske forsøg, er der rapporteret om få isolerede tilfælde af ændringer i INR ved samtidig behandling efter markedsføringen. Derfor bør patienter, der er i behandling med kumarin-antikoagulantia (f.eks. phenprocoumon eller warfarin), have foretaget ekstra analyser af prothrombintid/INR ved behandlingsstart og -ophør samt ved uregelmæssig brug af pantoprazol.</w:t>
      </w:r>
    </w:p>
    <w:p w:rsidR="00A75EE9" w:rsidRPr="00BC0C1D" w:rsidRDefault="00A75EE9" w:rsidP="00A75EE9">
      <w:pPr>
        <w:ind w:left="851"/>
        <w:rPr>
          <w:noProof/>
          <w:sz w:val="24"/>
          <w:szCs w:val="24"/>
        </w:rPr>
      </w:pPr>
    </w:p>
    <w:p w:rsidR="00A75EE9" w:rsidRPr="00BC0C1D" w:rsidRDefault="00A75EE9" w:rsidP="00A75EE9">
      <w:pPr>
        <w:ind w:left="851"/>
        <w:rPr>
          <w:sz w:val="24"/>
          <w:szCs w:val="24"/>
          <w:u w:val="single"/>
        </w:rPr>
      </w:pPr>
      <w:proofErr w:type="spellStart"/>
      <w:r w:rsidRPr="00BC0C1D">
        <w:rPr>
          <w:sz w:val="24"/>
          <w:szCs w:val="24"/>
          <w:u w:val="single"/>
        </w:rPr>
        <w:t>Methotrexat</w:t>
      </w:r>
      <w:proofErr w:type="spellEnd"/>
    </w:p>
    <w:p w:rsidR="00A75EE9" w:rsidRPr="00BC0C1D" w:rsidRDefault="00A75EE9" w:rsidP="00A75EE9">
      <w:pPr>
        <w:ind w:left="851"/>
        <w:rPr>
          <w:sz w:val="24"/>
          <w:szCs w:val="24"/>
        </w:rPr>
      </w:pPr>
      <w:r w:rsidRPr="00BC0C1D">
        <w:rPr>
          <w:sz w:val="24"/>
          <w:szCs w:val="24"/>
        </w:rPr>
        <w:t xml:space="preserve">Samtidig brug af høje doser </w:t>
      </w:r>
      <w:proofErr w:type="spellStart"/>
      <w:r w:rsidRPr="00BC0C1D">
        <w:rPr>
          <w:sz w:val="24"/>
          <w:szCs w:val="24"/>
        </w:rPr>
        <w:t>methotrexat</w:t>
      </w:r>
      <w:proofErr w:type="spellEnd"/>
      <w:r w:rsidRPr="00BC0C1D">
        <w:rPr>
          <w:sz w:val="24"/>
          <w:szCs w:val="24"/>
        </w:rPr>
        <w:t xml:space="preserve"> (f.eks. 300 mg) og </w:t>
      </w:r>
      <w:proofErr w:type="spellStart"/>
      <w:r w:rsidRPr="00BC0C1D">
        <w:rPr>
          <w:sz w:val="24"/>
          <w:szCs w:val="24"/>
        </w:rPr>
        <w:t>protonpumpehæmmere</w:t>
      </w:r>
      <w:proofErr w:type="spellEnd"/>
      <w:r w:rsidRPr="00BC0C1D">
        <w:rPr>
          <w:sz w:val="24"/>
          <w:szCs w:val="24"/>
        </w:rPr>
        <w:t xml:space="preserve"> er blevet rapporteret at øge </w:t>
      </w:r>
      <w:proofErr w:type="spellStart"/>
      <w:r w:rsidRPr="00BC0C1D">
        <w:rPr>
          <w:sz w:val="24"/>
          <w:szCs w:val="24"/>
        </w:rPr>
        <w:t>methotrexat</w:t>
      </w:r>
      <w:proofErr w:type="spellEnd"/>
      <w:r w:rsidRPr="00BC0C1D">
        <w:rPr>
          <w:sz w:val="24"/>
          <w:szCs w:val="24"/>
        </w:rPr>
        <w:t>-koncentrationen hos nogle patienter. Ved anvendelse af højdosis-</w:t>
      </w:r>
      <w:proofErr w:type="spellStart"/>
      <w:r w:rsidRPr="00BC0C1D">
        <w:rPr>
          <w:sz w:val="24"/>
          <w:szCs w:val="24"/>
        </w:rPr>
        <w:t>methotrexat</w:t>
      </w:r>
      <w:proofErr w:type="spellEnd"/>
      <w:r w:rsidRPr="00BC0C1D">
        <w:rPr>
          <w:sz w:val="24"/>
          <w:szCs w:val="24"/>
        </w:rPr>
        <w:t xml:space="preserve"> f.eks. ved cancer og psoriasis, bør det derfor overvejes at seponere </w:t>
      </w:r>
      <w:proofErr w:type="spellStart"/>
      <w:r w:rsidRPr="00BC0C1D">
        <w:rPr>
          <w:sz w:val="24"/>
          <w:szCs w:val="24"/>
        </w:rPr>
        <w:t>pantoprazol</w:t>
      </w:r>
      <w:proofErr w:type="spellEnd"/>
      <w:r w:rsidRPr="00BC0C1D">
        <w:rPr>
          <w:sz w:val="24"/>
          <w:szCs w:val="24"/>
        </w:rPr>
        <w:t xml:space="preserve"> midlertidigt.</w:t>
      </w:r>
    </w:p>
    <w:p w:rsidR="00794B32" w:rsidRDefault="00794B32">
      <w:pPr>
        <w:rPr>
          <w:noProof/>
          <w:sz w:val="24"/>
          <w:szCs w:val="24"/>
        </w:rPr>
      </w:pPr>
      <w:r>
        <w:rPr>
          <w:noProof/>
          <w:sz w:val="24"/>
          <w:szCs w:val="24"/>
        </w:rPr>
        <w:br w:type="page"/>
      </w:r>
    </w:p>
    <w:p w:rsidR="00A75EE9" w:rsidRPr="00BC0C1D" w:rsidRDefault="00A75EE9" w:rsidP="00A75EE9">
      <w:pPr>
        <w:ind w:left="851"/>
        <w:rPr>
          <w:noProof/>
          <w:sz w:val="24"/>
          <w:szCs w:val="24"/>
        </w:rPr>
      </w:pPr>
    </w:p>
    <w:p w:rsidR="00A75EE9" w:rsidRPr="00BC0C1D" w:rsidRDefault="00A75EE9" w:rsidP="00A75EE9">
      <w:pPr>
        <w:ind w:left="851"/>
        <w:rPr>
          <w:noProof/>
          <w:sz w:val="24"/>
          <w:szCs w:val="24"/>
          <w:u w:val="single"/>
        </w:rPr>
      </w:pPr>
      <w:r w:rsidRPr="00BC0C1D">
        <w:rPr>
          <w:noProof/>
          <w:sz w:val="24"/>
          <w:szCs w:val="24"/>
          <w:u w:val="single"/>
        </w:rPr>
        <w:t>Andre interaktionsundersøgelser</w:t>
      </w:r>
    </w:p>
    <w:p w:rsidR="00A75EE9" w:rsidRPr="00BC0C1D" w:rsidRDefault="00A75EE9" w:rsidP="00A75EE9">
      <w:pPr>
        <w:ind w:left="851"/>
        <w:rPr>
          <w:noProof/>
          <w:sz w:val="24"/>
          <w:szCs w:val="24"/>
        </w:rPr>
      </w:pPr>
      <w:r w:rsidRPr="00BC0C1D">
        <w:rPr>
          <w:noProof/>
          <w:sz w:val="24"/>
          <w:szCs w:val="24"/>
        </w:rPr>
        <w:t>Pantoprazol metaboliseres i stor udtrækning i leveren via cytokrom P450 enzymsystemet. Den vigtigste metaboliseringsvej er demethylering via CYP2C19 og andre metaboliserings</w:t>
      </w:r>
      <w:r w:rsidRPr="00BC0C1D">
        <w:rPr>
          <w:noProof/>
          <w:sz w:val="24"/>
          <w:szCs w:val="24"/>
        </w:rPr>
        <w:softHyphen/>
      </w:r>
      <w:r w:rsidRPr="00BC0C1D">
        <w:rPr>
          <w:noProof/>
          <w:sz w:val="24"/>
          <w:szCs w:val="24"/>
        </w:rPr>
        <w:softHyphen/>
        <w:t>veje inklusiv oxidation via CYP3A4.</w:t>
      </w:r>
    </w:p>
    <w:p w:rsidR="00A75EE9" w:rsidRPr="00BC0C1D" w:rsidRDefault="00A75EE9" w:rsidP="00A75EE9">
      <w:pPr>
        <w:ind w:left="851"/>
        <w:rPr>
          <w:noProof/>
          <w:sz w:val="24"/>
          <w:szCs w:val="24"/>
        </w:rPr>
      </w:pPr>
      <w:r w:rsidRPr="00BC0C1D">
        <w:rPr>
          <w:noProof/>
          <w:sz w:val="24"/>
          <w:szCs w:val="24"/>
        </w:rPr>
        <w:t>Interaktionsstudier med andre lægemidler, som metaboliseres via det samme enzymsystem,  såsom carbamazepin, diazepam, glibenclamid, nifedipin og et oralt kontraceptivum indeholdende levonorgestrel og ethinylestradiol viste ikke klinisk signifikante intereaktioner.</w:t>
      </w:r>
    </w:p>
    <w:p w:rsidR="00A75EE9" w:rsidRPr="00BC0C1D" w:rsidRDefault="00A75EE9" w:rsidP="00A75EE9">
      <w:pPr>
        <w:ind w:left="851"/>
        <w:rPr>
          <w:noProof/>
          <w:sz w:val="24"/>
          <w:szCs w:val="24"/>
        </w:rPr>
      </w:pPr>
    </w:p>
    <w:p w:rsidR="00A75EE9" w:rsidRPr="00BC0C1D" w:rsidRDefault="00A75EE9" w:rsidP="00A75EE9">
      <w:pPr>
        <w:ind w:left="851"/>
        <w:rPr>
          <w:noProof/>
          <w:sz w:val="24"/>
          <w:szCs w:val="24"/>
        </w:rPr>
      </w:pPr>
      <w:r w:rsidRPr="00BC0C1D">
        <w:rPr>
          <w:noProof/>
          <w:sz w:val="24"/>
          <w:szCs w:val="24"/>
        </w:rPr>
        <w:t>Resultater fra en række interaktionsforsøg viste, at pantoprazol ikke påvirker metabolisering af aktive stoffer som metaboliseres via CYP1A2 (som f.eks. caffein, theofyllin), CYP2C9 (som f.eks. piroxicam, diclofenac, naproxen), CYP2D6 (som f.eks. metoprolol), CYP2E1 (som f.eks. ethanol) eller interfererer med p-glycoproteinrelateret absorption af digoxin.</w:t>
      </w:r>
    </w:p>
    <w:p w:rsidR="00A75EE9" w:rsidRPr="00BC0C1D" w:rsidRDefault="00A75EE9" w:rsidP="00A75EE9">
      <w:pPr>
        <w:ind w:left="851"/>
        <w:rPr>
          <w:noProof/>
          <w:sz w:val="24"/>
          <w:szCs w:val="24"/>
        </w:rPr>
      </w:pPr>
    </w:p>
    <w:p w:rsidR="00A75EE9" w:rsidRPr="00BC0C1D" w:rsidRDefault="00A75EE9" w:rsidP="00A75EE9">
      <w:pPr>
        <w:ind w:left="851"/>
        <w:rPr>
          <w:noProof/>
          <w:sz w:val="24"/>
          <w:szCs w:val="24"/>
        </w:rPr>
      </w:pPr>
      <w:r w:rsidRPr="00BC0C1D">
        <w:rPr>
          <w:noProof/>
          <w:sz w:val="24"/>
          <w:szCs w:val="24"/>
        </w:rPr>
        <w:t>Der var ingen interaktion ved samtidig administration af antacida.</w:t>
      </w:r>
    </w:p>
    <w:p w:rsidR="00A75EE9" w:rsidRPr="00BC0C1D" w:rsidRDefault="00A75EE9" w:rsidP="00A75EE9">
      <w:pPr>
        <w:ind w:left="851"/>
        <w:rPr>
          <w:noProof/>
          <w:sz w:val="24"/>
          <w:szCs w:val="24"/>
        </w:rPr>
      </w:pPr>
    </w:p>
    <w:p w:rsidR="00A75EE9" w:rsidRPr="00BC0C1D" w:rsidRDefault="00A75EE9" w:rsidP="00A75EE9">
      <w:pPr>
        <w:widowControl w:val="0"/>
        <w:adjustRightInd w:val="0"/>
        <w:ind w:left="850" w:hanging="850"/>
        <w:textAlignment w:val="baseline"/>
        <w:rPr>
          <w:spacing w:val="-3"/>
          <w:sz w:val="24"/>
          <w:szCs w:val="24"/>
        </w:rPr>
      </w:pPr>
      <w:r w:rsidRPr="00BC0C1D">
        <w:rPr>
          <w:noProof/>
          <w:sz w:val="24"/>
          <w:szCs w:val="24"/>
        </w:rPr>
        <w:tab/>
        <w:t>Der er også udført interaktionsforsøg med samtidig administration af pantoprazol og de respektive antibiotika (clarithromycin, metronidazol, amoxicillin). Der er ikke fundet klinisk relevante interaktioner.</w:t>
      </w:r>
    </w:p>
    <w:p w:rsidR="00A75EE9" w:rsidRPr="00BC0C1D" w:rsidRDefault="00A75EE9" w:rsidP="00A75EE9">
      <w:pPr>
        <w:ind w:left="851"/>
        <w:rPr>
          <w:sz w:val="24"/>
          <w:szCs w:val="24"/>
        </w:rPr>
      </w:pPr>
    </w:p>
    <w:p w:rsidR="00A75EE9" w:rsidRPr="00BC0C1D" w:rsidRDefault="00A75EE9" w:rsidP="00A75EE9">
      <w:pPr>
        <w:ind w:left="851" w:hanging="851"/>
        <w:rPr>
          <w:b/>
          <w:sz w:val="24"/>
          <w:szCs w:val="24"/>
        </w:rPr>
      </w:pPr>
      <w:r w:rsidRPr="00BC0C1D">
        <w:rPr>
          <w:b/>
          <w:sz w:val="24"/>
          <w:szCs w:val="24"/>
        </w:rPr>
        <w:t>4.6</w:t>
      </w:r>
      <w:r w:rsidRPr="00BC0C1D">
        <w:rPr>
          <w:b/>
          <w:sz w:val="24"/>
          <w:szCs w:val="24"/>
        </w:rPr>
        <w:tab/>
      </w:r>
      <w:r w:rsidR="00296351">
        <w:rPr>
          <w:b/>
          <w:sz w:val="24"/>
          <w:szCs w:val="24"/>
        </w:rPr>
        <w:t>Fertilitet, g</w:t>
      </w:r>
      <w:r w:rsidRPr="00BC0C1D">
        <w:rPr>
          <w:b/>
          <w:sz w:val="24"/>
          <w:szCs w:val="24"/>
        </w:rPr>
        <w:t>raviditet og amning</w:t>
      </w:r>
    </w:p>
    <w:p w:rsidR="00A75EE9" w:rsidRPr="00BC0C1D" w:rsidRDefault="00A75EE9" w:rsidP="00A75EE9">
      <w:pPr>
        <w:ind w:left="851"/>
        <w:rPr>
          <w:spacing w:val="-3"/>
          <w:sz w:val="24"/>
          <w:szCs w:val="24"/>
        </w:rPr>
      </w:pPr>
    </w:p>
    <w:p w:rsidR="00A75EE9" w:rsidRPr="00BC0C1D" w:rsidRDefault="00A75EE9" w:rsidP="00A75EE9">
      <w:pPr>
        <w:ind w:left="851"/>
        <w:rPr>
          <w:spacing w:val="-3"/>
          <w:sz w:val="24"/>
          <w:szCs w:val="24"/>
          <w:u w:val="single"/>
        </w:rPr>
      </w:pPr>
      <w:r w:rsidRPr="00BC0C1D">
        <w:rPr>
          <w:spacing w:val="-3"/>
          <w:sz w:val="24"/>
          <w:szCs w:val="24"/>
          <w:u w:val="single"/>
        </w:rPr>
        <w:t>Fertilitet</w:t>
      </w:r>
    </w:p>
    <w:p w:rsidR="00A75EE9" w:rsidRPr="00BC0C1D" w:rsidRDefault="00A75EE9" w:rsidP="00A75EE9">
      <w:pPr>
        <w:ind w:left="851"/>
        <w:rPr>
          <w:i/>
          <w:sz w:val="24"/>
          <w:szCs w:val="24"/>
          <w:u w:val="single"/>
        </w:rPr>
      </w:pPr>
      <w:r w:rsidRPr="00BC0C1D">
        <w:rPr>
          <w:rStyle w:val="hps"/>
          <w:color w:val="222222"/>
          <w:sz w:val="24"/>
          <w:szCs w:val="24"/>
        </w:rPr>
        <w:t>Der var</w:t>
      </w:r>
      <w:r w:rsidRPr="00BC0C1D">
        <w:rPr>
          <w:color w:val="222222"/>
          <w:sz w:val="24"/>
          <w:szCs w:val="24"/>
        </w:rPr>
        <w:t xml:space="preserve"> </w:t>
      </w:r>
      <w:r w:rsidRPr="00BC0C1D">
        <w:rPr>
          <w:rStyle w:val="hps"/>
          <w:color w:val="222222"/>
          <w:sz w:val="24"/>
          <w:szCs w:val="24"/>
        </w:rPr>
        <w:t>ingen tegn på</w:t>
      </w:r>
      <w:r w:rsidRPr="00BC0C1D">
        <w:rPr>
          <w:color w:val="222222"/>
          <w:sz w:val="24"/>
          <w:szCs w:val="24"/>
        </w:rPr>
        <w:t xml:space="preserve"> </w:t>
      </w:r>
      <w:r w:rsidRPr="00BC0C1D">
        <w:rPr>
          <w:rStyle w:val="hps"/>
          <w:color w:val="222222"/>
          <w:sz w:val="24"/>
          <w:szCs w:val="24"/>
        </w:rPr>
        <w:t>nedsat fertilitet</w:t>
      </w:r>
      <w:r w:rsidRPr="00BC0C1D">
        <w:rPr>
          <w:color w:val="222222"/>
          <w:sz w:val="24"/>
          <w:szCs w:val="24"/>
        </w:rPr>
        <w:t xml:space="preserve"> </w:t>
      </w:r>
      <w:r w:rsidRPr="00BC0C1D">
        <w:rPr>
          <w:rStyle w:val="hps"/>
          <w:color w:val="222222"/>
          <w:sz w:val="24"/>
          <w:szCs w:val="24"/>
        </w:rPr>
        <w:t>efter administration af</w:t>
      </w:r>
      <w:r w:rsidRPr="00BC0C1D">
        <w:rPr>
          <w:color w:val="222222"/>
          <w:sz w:val="24"/>
          <w:szCs w:val="24"/>
        </w:rPr>
        <w:t xml:space="preserve"> </w:t>
      </w:r>
      <w:proofErr w:type="spellStart"/>
      <w:r w:rsidRPr="00BC0C1D">
        <w:rPr>
          <w:rStyle w:val="hps"/>
          <w:color w:val="222222"/>
          <w:sz w:val="24"/>
          <w:szCs w:val="24"/>
        </w:rPr>
        <w:t>pantoprazol</w:t>
      </w:r>
      <w:proofErr w:type="spellEnd"/>
      <w:r w:rsidRPr="00BC0C1D">
        <w:rPr>
          <w:color w:val="222222"/>
          <w:sz w:val="24"/>
          <w:szCs w:val="24"/>
        </w:rPr>
        <w:t xml:space="preserve"> </w:t>
      </w:r>
      <w:r w:rsidRPr="00BC0C1D">
        <w:rPr>
          <w:rStyle w:val="hps"/>
          <w:color w:val="222222"/>
          <w:sz w:val="24"/>
          <w:szCs w:val="24"/>
        </w:rPr>
        <w:t>i dyreforsøg</w:t>
      </w:r>
      <w:r w:rsidRPr="00BC0C1D">
        <w:rPr>
          <w:color w:val="222222"/>
          <w:sz w:val="24"/>
          <w:szCs w:val="24"/>
        </w:rPr>
        <w:t xml:space="preserve"> </w:t>
      </w:r>
      <w:r w:rsidRPr="00BC0C1D">
        <w:rPr>
          <w:rStyle w:val="hps"/>
          <w:color w:val="222222"/>
          <w:sz w:val="24"/>
          <w:szCs w:val="24"/>
        </w:rPr>
        <w:t>(</w:t>
      </w:r>
      <w:r w:rsidRPr="00BC0C1D">
        <w:rPr>
          <w:color w:val="222222"/>
          <w:sz w:val="24"/>
          <w:szCs w:val="24"/>
        </w:rPr>
        <w:t>se pkt. 5.3).</w:t>
      </w:r>
    </w:p>
    <w:p w:rsidR="00A75EE9" w:rsidRPr="00BC0C1D" w:rsidRDefault="00A75EE9" w:rsidP="00A75EE9">
      <w:pPr>
        <w:ind w:left="851"/>
        <w:rPr>
          <w:spacing w:val="-3"/>
          <w:sz w:val="24"/>
          <w:szCs w:val="24"/>
        </w:rPr>
      </w:pPr>
    </w:p>
    <w:p w:rsidR="00A75EE9" w:rsidRPr="00BC0C1D" w:rsidRDefault="00A75EE9" w:rsidP="00A75EE9">
      <w:pPr>
        <w:ind w:left="851"/>
        <w:rPr>
          <w:spacing w:val="-3"/>
          <w:sz w:val="24"/>
          <w:szCs w:val="24"/>
          <w:u w:val="single"/>
          <w:lang w:eastAsia="da-DK"/>
        </w:rPr>
      </w:pPr>
      <w:r w:rsidRPr="00BC0C1D">
        <w:rPr>
          <w:spacing w:val="-3"/>
          <w:sz w:val="24"/>
          <w:szCs w:val="24"/>
          <w:u w:val="single"/>
        </w:rPr>
        <w:t>Graviditet</w:t>
      </w:r>
    </w:p>
    <w:p w:rsidR="00A75EE9" w:rsidRPr="00BC0C1D" w:rsidRDefault="00A75EE9" w:rsidP="00A75EE9">
      <w:pPr>
        <w:ind w:left="851"/>
        <w:rPr>
          <w:spacing w:val="-3"/>
          <w:sz w:val="24"/>
          <w:szCs w:val="24"/>
        </w:rPr>
      </w:pPr>
      <w:r w:rsidRPr="00BC0C1D">
        <w:rPr>
          <w:spacing w:val="-3"/>
          <w:sz w:val="24"/>
          <w:szCs w:val="24"/>
        </w:rPr>
        <w:t xml:space="preserve">Der foreligger ikke tilstrækkelige data om brugen af </w:t>
      </w:r>
      <w:proofErr w:type="spellStart"/>
      <w:r w:rsidRPr="00BC0C1D">
        <w:rPr>
          <w:spacing w:val="-3"/>
          <w:sz w:val="24"/>
          <w:szCs w:val="24"/>
        </w:rPr>
        <w:t>pantoprazol</w:t>
      </w:r>
      <w:proofErr w:type="spellEnd"/>
      <w:r w:rsidRPr="00BC0C1D">
        <w:rPr>
          <w:spacing w:val="-3"/>
          <w:sz w:val="24"/>
          <w:szCs w:val="24"/>
        </w:rPr>
        <w:t xml:space="preserve"> hos gravide kvinder. Dyreforsøg har påvist reproduktionstoksicitet (se pkt. 5.3). Den potentielle risiko for mennesker er ukendt. </w:t>
      </w:r>
      <w:proofErr w:type="spellStart"/>
      <w:r w:rsidR="007D71C0">
        <w:rPr>
          <w:spacing w:val="-3"/>
          <w:sz w:val="24"/>
          <w:szCs w:val="24"/>
        </w:rPr>
        <w:t>Pantoprazol</w:t>
      </w:r>
      <w:proofErr w:type="spellEnd"/>
      <w:r w:rsidR="007D71C0">
        <w:rPr>
          <w:spacing w:val="-3"/>
          <w:sz w:val="24"/>
          <w:szCs w:val="24"/>
        </w:rPr>
        <w:t xml:space="preserve"> </w:t>
      </w:r>
      <w:r w:rsidR="00DB7F7A">
        <w:rPr>
          <w:spacing w:val="-3"/>
          <w:sz w:val="24"/>
          <w:szCs w:val="24"/>
        </w:rPr>
        <w:t>"</w:t>
      </w:r>
      <w:proofErr w:type="spellStart"/>
      <w:r w:rsidR="00F251D2">
        <w:rPr>
          <w:spacing w:val="-3"/>
          <w:sz w:val="24"/>
          <w:szCs w:val="24"/>
        </w:rPr>
        <w:t>Oresund</w:t>
      </w:r>
      <w:proofErr w:type="spellEnd"/>
      <w:r w:rsidR="00F251D2">
        <w:rPr>
          <w:spacing w:val="-3"/>
          <w:sz w:val="24"/>
          <w:szCs w:val="24"/>
        </w:rPr>
        <w:t xml:space="preserve"> Pharma</w:t>
      </w:r>
      <w:r w:rsidR="00DB7F7A">
        <w:rPr>
          <w:spacing w:val="-3"/>
          <w:sz w:val="24"/>
          <w:szCs w:val="24"/>
        </w:rPr>
        <w:t>"</w:t>
      </w:r>
      <w:r w:rsidRPr="00BC0C1D">
        <w:rPr>
          <w:spacing w:val="-3"/>
          <w:sz w:val="24"/>
          <w:szCs w:val="24"/>
        </w:rPr>
        <w:t xml:space="preserve"> bør ikke anvendes under graviditet medmindre det er klart nødvendigt. </w:t>
      </w:r>
    </w:p>
    <w:p w:rsidR="00A75EE9" w:rsidRPr="00BC0C1D" w:rsidRDefault="00A75EE9" w:rsidP="00A75EE9">
      <w:pPr>
        <w:ind w:left="851"/>
        <w:rPr>
          <w:spacing w:val="-3"/>
          <w:sz w:val="24"/>
          <w:szCs w:val="24"/>
        </w:rPr>
      </w:pPr>
    </w:p>
    <w:p w:rsidR="00A75EE9" w:rsidRPr="00BC0C1D" w:rsidRDefault="00A75EE9" w:rsidP="00A75EE9">
      <w:pPr>
        <w:ind w:left="851"/>
        <w:rPr>
          <w:spacing w:val="-3"/>
          <w:sz w:val="24"/>
          <w:szCs w:val="24"/>
          <w:u w:val="single"/>
        </w:rPr>
      </w:pPr>
      <w:r w:rsidRPr="00BC0C1D">
        <w:rPr>
          <w:spacing w:val="-3"/>
          <w:sz w:val="24"/>
          <w:szCs w:val="24"/>
          <w:u w:val="single"/>
        </w:rPr>
        <w:t>Amning</w:t>
      </w:r>
    </w:p>
    <w:p w:rsidR="00A75EE9" w:rsidRPr="00BC0C1D" w:rsidRDefault="00A75EE9" w:rsidP="00A75EE9">
      <w:pPr>
        <w:widowControl w:val="0"/>
        <w:adjustRightInd w:val="0"/>
        <w:ind w:left="851"/>
        <w:textAlignment w:val="baseline"/>
        <w:rPr>
          <w:spacing w:val="-3"/>
          <w:sz w:val="24"/>
          <w:szCs w:val="24"/>
        </w:rPr>
      </w:pPr>
      <w:r w:rsidRPr="00BC0C1D">
        <w:rPr>
          <w:spacing w:val="-3"/>
          <w:sz w:val="24"/>
          <w:szCs w:val="24"/>
        </w:rPr>
        <w:t xml:space="preserve">Dyreforsøg har vist at </w:t>
      </w:r>
      <w:proofErr w:type="spellStart"/>
      <w:r w:rsidRPr="00BC0C1D">
        <w:rPr>
          <w:spacing w:val="-3"/>
          <w:sz w:val="24"/>
          <w:szCs w:val="24"/>
        </w:rPr>
        <w:t>pantoprazol</w:t>
      </w:r>
      <w:proofErr w:type="spellEnd"/>
      <w:r w:rsidRPr="00BC0C1D">
        <w:rPr>
          <w:spacing w:val="-3"/>
          <w:sz w:val="24"/>
          <w:szCs w:val="24"/>
        </w:rPr>
        <w:t xml:space="preserve"> udskilles i brystmælk. Det er rapporteret, at </w:t>
      </w:r>
      <w:proofErr w:type="spellStart"/>
      <w:r w:rsidRPr="00BC0C1D">
        <w:rPr>
          <w:spacing w:val="-3"/>
          <w:sz w:val="24"/>
          <w:szCs w:val="24"/>
        </w:rPr>
        <w:t>pantoprazol</w:t>
      </w:r>
      <w:proofErr w:type="spellEnd"/>
      <w:r w:rsidRPr="00BC0C1D">
        <w:rPr>
          <w:spacing w:val="-3"/>
          <w:sz w:val="24"/>
          <w:szCs w:val="24"/>
        </w:rPr>
        <w:t xml:space="preserve"> udskilles i human mælk. Beslutningen om enten at fortsætte/afslutte amning eller at fortsætte/afslutte behandling med </w:t>
      </w:r>
      <w:proofErr w:type="spellStart"/>
      <w:r w:rsidR="007D71C0">
        <w:rPr>
          <w:spacing w:val="-3"/>
          <w:sz w:val="24"/>
          <w:szCs w:val="24"/>
        </w:rPr>
        <w:t>Pantoprazol</w:t>
      </w:r>
      <w:proofErr w:type="spellEnd"/>
      <w:r w:rsidR="007D71C0">
        <w:rPr>
          <w:spacing w:val="-3"/>
          <w:sz w:val="24"/>
          <w:szCs w:val="24"/>
        </w:rPr>
        <w:t xml:space="preserve"> </w:t>
      </w:r>
      <w:r w:rsidR="00DB7F7A">
        <w:rPr>
          <w:spacing w:val="-3"/>
          <w:sz w:val="24"/>
          <w:szCs w:val="24"/>
        </w:rPr>
        <w:t>"</w:t>
      </w:r>
      <w:proofErr w:type="spellStart"/>
      <w:r w:rsidR="00F251D2">
        <w:rPr>
          <w:spacing w:val="-3"/>
          <w:sz w:val="24"/>
          <w:szCs w:val="24"/>
        </w:rPr>
        <w:t>Oresund</w:t>
      </w:r>
      <w:proofErr w:type="spellEnd"/>
      <w:r w:rsidR="00F251D2">
        <w:rPr>
          <w:spacing w:val="-3"/>
          <w:sz w:val="24"/>
          <w:szCs w:val="24"/>
        </w:rPr>
        <w:t xml:space="preserve"> Pharma</w:t>
      </w:r>
      <w:r w:rsidR="00DB7F7A">
        <w:rPr>
          <w:spacing w:val="-3"/>
          <w:sz w:val="24"/>
          <w:szCs w:val="24"/>
        </w:rPr>
        <w:t>"</w:t>
      </w:r>
      <w:r w:rsidRPr="00BC0C1D">
        <w:rPr>
          <w:spacing w:val="-3"/>
          <w:sz w:val="24"/>
          <w:szCs w:val="24"/>
        </w:rPr>
        <w:t xml:space="preserve">, skal derfor vurderes ved at opgøre fordelen ved amning af barnet over for kvindens behandling med </w:t>
      </w:r>
      <w:proofErr w:type="spellStart"/>
      <w:r w:rsidR="007D71C0">
        <w:rPr>
          <w:spacing w:val="-3"/>
          <w:sz w:val="24"/>
          <w:szCs w:val="24"/>
        </w:rPr>
        <w:t>Pantoprazol</w:t>
      </w:r>
      <w:proofErr w:type="spellEnd"/>
      <w:r w:rsidR="007D71C0">
        <w:rPr>
          <w:spacing w:val="-3"/>
          <w:sz w:val="24"/>
          <w:szCs w:val="24"/>
        </w:rPr>
        <w:t xml:space="preserve"> </w:t>
      </w:r>
      <w:r w:rsidR="00DB7F7A">
        <w:rPr>
          <w:spacing w:val="-3"/>
          <w:sz w:val="24"/>
          <w:szCs w:val="24"/>
        </w:rPr>
        <w:t>"</w:t>
      </w:r>
      <w:proofErr w:type="spellStart"/>
      <w:r w:rsidR="00F251D2">
        <w:rPr>
          <w:spacing w:val="-3"/>
          <w:sz w:val="24"/>
          <w:szCs w:val="24"/>
        </w:rPr>
        <w:t>Oresund</w:t>
      </w:r>
      <w:proofErr w:type="spellEnd"/>
      <w:r w:rsidR="00F251D2">
        <w:rPr>
          <w:spacing w:val="-3"/>
          <w:sz w:val="24"/>
          <w:szCs w:val="24"/>
        </w:rPr>
        <w:t xml:space="preserve"> Pharma</w:t>
      </w:r>
      <w:r w:rsidR="00DB7F7A">
        <w:rPr>
          <w:spacing w:val="-3"/>
          <w:sz w:val="24"/>
          <w:szCs w:val="24"/>
        </w:rPr>
        <w:t>"</w:t>
      </w:r>
      <w:r w:rsidRPr="00BC0C1D">
        <w:rPr>
          <w:spacing w:val="-3"/>
          <w:sz w:val="24"/>
          <w:szCs w:val="24"/>
        </w:rPr>
        <w:t>.</w:t>
      </w:r>
    </w:p>
    <w:p w:rsidR="00A75EE9" w:rsidRPr="00BC0C1D" w:rsidRDefault="00A75EE9" w:rsidP="00A75EE9">
      <w:pPr>
        <w:ind w:left="851"/>
        <w:rPr>
          <w:sz w:val="24"/>
          <w:szCs w:val="24"/>
        </w:rPr>
      </w:pPr>
    </w:p>
    <w:p w:rsidR="00A75EE9" w:rsidRPr="00BC0C1D" w:rsidRDefault="00A75EE9" w:rsidP="00A75EE9">
      <w:pPr>
        <w:ind w:left="851" w:hanging="851"/>
        <w:rPr>
          <w:b/>
          <w:sz w:val="24"/>
          <w:szCs w:val="24"/>
        </w:rPr>
      </w:pPr>
      <w:r w:rsidRPr="00BC0C1D">
        <w:rPr>
          <w:b/>
          <w:sz w:val="24"/>
          <w:szCs w:val="24"/>
        </w:rPr>
        <w:t>4.7</w:t>
      </w:r>
      <w:r w:rsidRPr="00BC0C1D">
        <w:rPr>
          <w:b/>
          <w:sz w:val="24"/>
          <w:szCs w:val="24"/>
        </w:rPr>
        <w:tab/>
        <w:t xml:space="preserve">Virkning på evnen til at føre motorkøretøj </w:t>
      </w:r>
      <w:r w:rsidR="00296351">
        <w:rPr>
          <w:b/>
          <w:sz w:val="24"/>
          <w:szCs w:val="24"/>
        </w:rPr>
        <w:t>og</w:t>
      </w:r>
      <w:r w:rsidRPr="00BC0C1D">
        <w:rPr>
          <w:b/>
          <w:sz w:val="24"/>
          <w:szCs w:val="24"/>
        </w:rPr>
        <w:t xml:space="preserve"> betjene maskiner</w:t>
      </w:r>
    </w:p>
    <w:p w:rsidR="00A75EE9" w:rsidRPr="00BC0C1D" w:rsidRDefault="00A75EE9" w:rsidP="00A75EE9">
      <w:pPr>
        <w:widowControl w:val="0"/>
        <w:adjustRightInd w:val="0"/>
        <w:ind w:left="850" w:hanging="850"/>
        <w:jc w:val="both"/>
        <w:textAlignment w:val="baseline"/>
        <w:rPr>
          <w:spacing w:val="-3"/>
          <w:sz w:val="24"/>
          <w:szCs w:val="24"/>
          <w:lang w:eastAsia="da-DK"/>
        </w:rPr>
      </w:pPr>
      <w:r w:rsidRPr="00BC0C1D">
        <w:rPr>
          <w:spacing w:val="-3"/>
          <w:sz w:val="24"/>
          <w:szCs w:val="24"/>
        </w:rPr>
        <w:tab/>
        <w:t>Ikke mærkning.</w:t>
      </w:r>
    </w:p>
    <w:p w:rsidR="00A75EE9" w:rsidRPr="00BC0C1D" w:rsidRDefault="00A75EE9" w:rsidP="00A75EE9">
      <w:pPr>
        <w:ind w:left="851" w:hanging="851"/>
        <w:rPr>
          <w:sz w:val="24"/>
          <w:szCs w:val="24"/>
        </w:rPr>
      </w:pPr>
      <w:r w:rsidRPr="00BC0C1D">
        <w:rPr>
          <w:spacing w:val="-3"/>
          <w:sz w:val="24"/>
          <w:szCs w:val="24"/>
        </w:rPr>
        <w:tab/>
        <w:t xml:space="preserve">Ved brug af </w:t>
      </w:r>
      <w:proofErr w:type="spellStart"/>
      <w:r w:rsidRPr="00BC0C1D">
        <w:rPr>
          <w:spacing w:val="-3"/>
          <w:sz w:val="24"/>
          <w:szCs w:val="24"/>
        </w:rPr>
        <w:t>pantoprazol</w:t>
      </w:r>
      <w:proofErr w:type="spellEnd"/>
      <w:r w:rsidRPr="00BC0C1D">
        <w:rPr>
          <w:spacing w:val="-3"/>
          <w:sz w:val="24"/>
          <w:szCs w:val="24"/>
        </w:rPr>
        <w:t xml:space="preserve"> kan bivirkninger som svimmelhed og synsforstyrrelser forekomme (se pkt. 4.8). </w:t>
      </w:r>
      <w:r w:rsidRPr="00BC0C1D">
        <w:rPr>
          <w:sz w:val="24"/>
          <w:szCs w:val="24"/>
        </w:rPr>
        <w:t>I tilfælde af påvirkning bør patienten ikke køre bil eller betjene maskiner.</w:t>
      </w:r>
    </w:p>
    <w:p w:rsidR="00A75EE9" w:rsidRPr="00BC0C1D" w:rsidRDefault="00A75EE9" w:rsidP="00A75EE9">
      <w:pPr>
        <w:ind w:left="851"/>
        <w:rPr>
          <w:sz w:val="24"/>
          <w:szCs w:val="24"/>
        </w:rPr>
      </w:pPr>
    </w:p>
    <w:p w:rsidR="00A75EE9" w:rsidRPr="00BC0C1D" w:rsidRDefault="00A75EE9" w:rsidP="00A75EE9">
      <w:pPr>
        <w:ind w:left="851" w:hanging="851"/>
        <w:rPr>
          <w:b/>
          <w:sz w:val="24"/>
          <w:szCs w:val="24"/>
        </w:rPr>
      </w:pPr>
      <w:r w:rsidRPr="00BC0C1D">
        <w:rPr>
          <w:b/>
          <w:sz w:val="24"/>
          <w:szCs w:val="24"/>
        </w:rPr>
        <w:t>4.8</w:t>
      </w:r>
      <w:r w:rsidRPr="00BC0C1D">
        <w:rPr>
          <w:b/>
          <w:sz w:val="24"/>
          <w:szCs w:val="24"/>
        </w:rPr>
        <w:tab/>
        <w:t>Bivirkninger</w:t>
      </w:r>
    </w:p>
    <w:p w:rsidR="00A75EE9" w:rsidRPr="00BC0C1D" w:rsidRDefault="00A75EE9" w:rsidP="00A75EE9">
      <w:pPr>
        <w:ind w:left="851" w:hanging="851"/>
        <w:rPr>
          <w:sz w:val="24"/>
          <w:szCs w:val="24"/>
          <w:lang w:eastAsia="da-DK"/>
        </w:rPr>
      </w:pPr>
      <w:r w:rsidRPr="00BC0C1D">
        <w:rPr>
          <w:sz w:val="24"/>
          <w:szCs w:val="24"/>
        </w:rPr>
        <w:tab/>
        <w:t xml:space="preserve">Det forventes, at der i gennemsnit er 5 % af patienterne, som oplever bivirkninger. Den hyppigst indberettede bivirkning er </w:t>
      </w:r>
      <w:proofErr w:type="spellStart"/>
      <w:r w:rsidRPr="00BC0C1D">
        <w:rPr>
          <w:bCs/>
          <w:sz w:val="24"/>
          <w:szCs w:val="24"/>
        </w:rPr>
        <w:t>tromboflebit</w:t>
      </w:r>
      <w:proofErr w:type="spellEnd"/>
      <w:r w:rsidRPr="00BC0C1D">
        <w:rPr>
          <w:bCs/>
          <w:sz w:val="24"/>
          <w:szCs w:val="24"/>
        </w:rPr>
        <w:t xml:space="preserve"> på injektionsstedet. D</w:t>
      </w:r>
      <w:r w:rsidRPr="00BC0C1D">
        <w:rPr>
          <w:sz w:val="24"/>
          <w:szCs w:val="24"/>
        </w:rPr>
        <w:t>iarré og hovedpine forekommer hos ca. 1 % af patienterne.</w:t>
      </w:r>
    </w:p>
    <w:p w:rsidR="00A75EE9" w:rsidRPr="00BC0C1D" w:rsidRDefault="00A75EE9" w:rsidP="00A75EE9">
      <w:pPr>
        <w:widowControl w:val="0"/>
        <w:adjustRightInd w:val="0"/>
        <w:ind w:left="855"/>
        <w:jc w:val="both"/>
        <w:textAlignment w:val="baseline"/>
        <w:rPr>
          <w:sz w:val="24"/>
          <w:szCs w:val="24"/>
        </w:rPr>
      </w:pPr>
    </w:p>
    <w:p w:rsidR="00A75EE9" w:rsidRPr="00BC0C1D" w:rsidRDefault="00A75EE9" w:rsidP="00A75EE9">
      <w:pPr>
        <w:suppressAutoHyphens/>
        <w:ind w:left="851"/>
        <w:rPr>
          <w:sz w:val="24"/>
          <w:szCs w:val="24"/>
        </w:rPr>
      </w:pPr>
      <w:r w:rsidRPr="00BC0C1D">
        <w:rPr>
          <w:sz w:val="24"/>
          <w:szCs w:val="24"/>
        </w:rPr>
        <w:lastRenderedPageBreak/>
        <w:t xml:space="preserve">I nedenstående tabel er bivirkningerne rapporteret ved brug af </w:t>
      </w:r>
      <w:proofErr w:type="spellStart"/>
      <w:r w:rsidRPr="00BC0C1D">
        <w:rPr>
          <w:sz w:val="24"/>
          <w:szCs w:val="24"/>
        </w:rPr>
        <w:t>pantoprazol</w:t>
      </w:r>
      <w:proofErr w:type="spellEnd"/>
      <w:r w:rsidRPr="00BC0C1D">
        <w:rPr>
          <w:sz w:val="24"/>
          <w:szCs w:val="24"/>
        </w:rPr>
        <w:t>, ordnet efter følgende frekvensklassifikation:</w:t>
      </w:r>
    </w:p>
    <w:p w:rsidR="00A75EE9" w:rsidRPr="00BC0C1D" w:rsidRDefault="00A75EE9" w:rsidP="00A75EE9">
      <w:pPr>
        <w:suppressAutoHyphens/>
        <w:ind w:left="851"/>
        <w:rPr>
          <w:sz w:val="24"/>
          <w:szCs w:val="24"/>
        </w:rPr>
      </w:pPr>
    </w:p>
    <w:p w:rsidR="00A75EE9" w:rsidRPr="00BC0C1D" w:rsidRDefault="00A75EE9" w:rsidP="00A75EE9">
      <w:pPr>
        <w:suppressAutoHyphens/>
        <w:ind w:left="851"/>
        <w:rPr>
          <w:sz w:val="24"/>
          <w:szCs w:val="24"/>
        </w:rPr>
      </w:pPr>
      <w:r w:rsidRPr="00BC0C1D">
        <w:rPr>
          <w:sz w:val="24"/>
          <w:szCs w:val="24"/>
        </w:rPr>
        <w:t>Meget almindelig (≥1/10); almindelig (≥1/100 til &lt;1/10); ikke almindelig (≥1/1.000 til &lt; 1/100); sjælden (≥1/10.000 til &lt;1/1.000); meget sjælden (&lt;1/10.000), ikke kendt (kan ikke estimeres ud fra forhåndenværende data).</w:t>
      </w:r>
    </w:p>
    <w:p w:rsidR="00A75EE9" w:rsidRPr="00BC0C1D" w:rsidRDefault="00A75EE9" w:rsidP="00A75EE9">
      <w:pPr>
        <w:suppressAutoHyphens/>
        <w:ind w:left="851"/>
        <w:rPr>
          <w:sz w:val="24"/>
          <w:szCs w:val="24"/>
        </w:rPr>
      </w:pPr>
    </w:p>
    <w:p w:rsidR="00A75EE9" w:rsidRPr="00BC0C1D" w:rsidRDefault="00A75EE9" w:rsidP="00A75EE9">
      <w:pPr>
        <w:ind w:left="851"/>
        <w:rPr>
          <w:sz w:val="24"/>
          <w:szCs w:val="24"/>
        </w:rPr>
      </w:pPr>
      <w:r w:rsidRPr="00BC0C1D">
        <w:rPr>
          <w:sz w:val="24"/>
          <w:szCs w:val="24"/>
        </w:rPr>
        <w:t xml:space="preserve">For bivirkningerne indberettet for det markedsførte præparat er det ikke muligt at angive frekvens, og de omtales derfor som </w:t>
      </w:r>
      <w:r w:rsidR="00DB7F7A">
        <w:rPr>
          <w:sz w:val="24"/>
          <w:szCs w:val="24"/>
        </w:rPr>
        <w:t>"</w:t>
      </w:r>
      <w:r w:rsidRPr="00BC0C1D">
        <w:rPr>
          <w:sz w:val="24"/>
          <w:szCs w:val="24"/>
        </w:rPr>
        <w:t>ikke kendt</w:t>
      </w:r>
      <w:r w:rsidR="00DB7F7A">
        <w:rPr>
          <w:sz w:val="24"/>
          <w:szCs w:val="24"/>
        </w:rPr>
        <w:t>"</w:t>
      </w:r>
      <w:r w:rsidRPr="00BC0C1D">
        <w:rPr>
          <w:sz w:val="24"/>
          <w:szCs w:val="24"/>
        </w:rPr>
        <w:t xml:space="preserve"> frekvens.</w:t>
      </w:r>
    </w:p>
    <w:p w:rsidR="00A75EE9" w:rsidRPr="00BC0C1D" w:rsidRDefault="00A75EE9" w:rsidP="00A75EE9">
      <w:pPr>
        <w:ind w:left="851"/>
        <w:rPr>
          <w:sz w:val="24"/>
          <w:szCs w:val="24"/>
        </w:rPr>
      </w:pPr>
    </w:p>
    <w:p w:rsidR="00A75EE9" w:rsidRPr="00BC0C1D" w:rsidRDefault="00A75EE9" w:rsidP="00A75EE9">
      <w:pPr>
        <w:suppressAutoHyphens/>
        <w:ind w:left="851"/>
        <w:rPr>
          <w:sz w:val="24"/>
          <w:szCs w:val="24"/>
        </w:rPr>
      </w:pPr>
      <w:r w:rsidRPr="00BC0C1D">
        <w:rPr>
          <w:sz w:val="24"/>
          <w:szCs w:val="24"/>
        </w:rPr>
        <w:t>Inden for hver frekvensgruppe er bivirkningerne opstillet efter faldende alvorlighed.</w:t>
      </w:r>
    </w:p>
    <w:p w:rsidR="00A75EE9" w:rsidRPr="00BC0C1D" w:rsidRDefault="00A75EE9" w:rsidP="00A75EE9">
      <w:pPr>
        <w:suppressAutoHyphens/>
        <w:ind w:left="851"/>
        <w:rPr>
          <w:sz w:val="24"/>
          <w:szCs w:val="24"/>
        </w:rPr>
      </w:pPr>
    </w:p>
    <w:p w:rsidR="00A75EE9" w:rsidRPr="00BC0C1D" w:rsidRDefault="00A75EE9" w:rsidP="00A75EE9">
      <w:pPr>
        <w:widowControl w:val="0"/>
        <w:adjustRightInd w:val="0"/>
        <w:ind w:left="851"/>
        <w:textAlignment w:val="baseline"/>
        <w:rPr>
          <w:bCs/>
          <w:sz w:val="24"/>
          <w:szCs w:val="24"/>
        </w:rPr>
      </w:pPr>
      <w:r w:rsidRPr="00BC0C1D">
        <w:rPr>
          <w:bCs/>
          <w:sz w:val="24"/>
          <w:szCs w:val="24"/>
        </w:rPr>
        <w:t xml:space="preserve">Tabel 1. Bivirkninger, der er observeret ved brug af </w:t>
      </w:r>
      <w:proofErr w:type="spellStart"/>
      <w:r w:rsidRPr="00BC0C1D">
        <w:rPr>
          <w:bCs/>
          <w:sz w:val="24"/>
          <w:szCs w:val="24"/>
        </w:rPr>
        <w:t>pantoprazol</w:t>
      </w:r>
      <w:proofErr w:type="spellEnd"/>
      <w:r w:rsidRPr="00BC0C1D">
        <w:rPr>
          <w:bCs/>
          <w:sz w:val="24"/>
          <w:szCs w:val="24"/>
        </w:rPr>
        <w:t xml:space="preserve"> i kliniske studier og efter markedsføringen.</w:t>
      </w:r>
    </w:p>
    <w:p w:rsidR="00A75EE9" w:rsidRPr="00BC0C1D" w:rsidRDefault="00A75EE9" w:rsidP="00A75EE9">
      <w:pPr>
        <w:widowControl w:val="0"/>
        <w:adjustRightInd w:val="0"/>
        <w:jc w:val="both"/>
        <w:textAlignment w:val="baseline"/>
        <w:rPr>
          <w:sz w:val="24"/>
          <w:szCs w:val="24"/>
        </w:rPr>
      </w:pPr>
    </w:p>
    <w:tbl>
      <w:tblP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546"/>
        <w:gridCol w:w="1789"/>
        <w:gridCol w:w="1911"/>
        <w:gridCol w:w="1560"/>
        <w:gridCol w:w="1510"/>
      </w:tblGrid>
      <w:tr w:rsidR="00A75EE9" w:rsidRPr="00B47289" w:rsidTr="003B4BCE">
        <w:trPr>
          <w:tblHeader/>
        </w:trPr>
        <w:tc>
          <w:tcPr>
            <w:tcW w:w="788" w:type="pct"/>
            <w:tcBorders>
              <w:top w:val="single" w:sz="4" w:space="0" w:color="auto"/>
              <w:left w:val="single" w:sz="4" w:space="0" w:color="auto"/>
              <w:bottom w:val="single" w:sz="4" w:space="0" w:color="auto"/>
              <w:right w:val="single" w:sz="4" w:space="0" w:color="auto"/>
              <w:tl2br w:val="single" w:sz="4" w:space="0" w:color="auto"/>
            </w:tcBorders>
          </w:tcPr>
          <w:p w:rsidR="00A75EE9" w:rsidRPr="00B47289" w:rsidRDefault="00A75EE9" w:rsidP="003B4BCE">
            <w:pPr>
              <w:jc w:val="right"/>
              <w:rPr>
                <w:b/>
                <w:noProof/>
                <w:sz w:val="22"/>
                <w:szCs w:val="22"/>
              </w:rPr>
            </w:pPr>
            <w:r w:rsidRPr="00B47289">
              <w:rPr>
                <w:b/>
                <w:noProof/>
                <w:sz w:val="22"/>
                <w:szCs w:val="22"/>
              </w:rPr>
              <w:t>Frekvens</w:t>
            </w:r>
          </w:p>
          <w:p w:rsidR="00A75EE9" w:rsidRPr="00B47289" w:rsidRDefault="00A75EE9" w:rsidP="003B4BCE">
            <w:pPr>
              <w:rPr>
                <w:b/>
                <w:noProof/>
                <w:sz w:val="22"/>
                <w:szCs w:val="22"/>
              </w:rPr>
            </w:pPr>
          </w:p>
          <w:p w:rsidR="00A75EE9" w:rsidRPr="00B47289" w:rsidRDefault="00A75EE9" w:rsidP="003B4BCE">
            <w:pPr>
              <w:rPr>
                <w:b/>
                <w:noProof/>
                <w:sz w:val="22"/>
                <w:szCs w:val="22"/>
              </w:rPr>
            </w:pPr>
            <w:r w:rsidRPr="00B47289">
              <w:rPr>
                <w:b/>
                <w:noProof/>
                <w:sz w:val="22"/>
                <w:szCs w:val="22"/>
              </w:rPr>
              <w:t>Organsystem</w:t>
            </w:r>
          </w:p>
        </w:tc>
        <w:tc>
          <w:tcPr>
            <w:tcW w:w="783" w:type="pct"/>
            <w:tcBorders>
              <w:top w:val="single" w:sz="4" w:space="0" w:color="auto"/>
              <w:left w:val="single" w:sz="4" w:space="0" w:color="auto"/>
              <w:bottom w:val="single" w:sz="4" w:space="0" w:color="auto"/>
              <w:right w:val="single" w:sz="4" w:space="0" w:color="auto"/>
            </w:tcBorders>
            <w:hideMark/>
          </w:tcPr>
          <w:p w:rsidR="00A75EE9" w:rsidRPr="00B47289" w:rsidRDefault="00A75EE9" w:rsidP="003B4BCE">
            <w:pPr>
              <w:rPr>
                <w:b/>
                <w:noProof/>
                <w:sz w:val="22"/>
                <w:szCs w:val="22"/>
              </w:rPr>
            </w:pPr>
            <w:r w:rsidRPr="00B47289">
              <w:rPr>
                <w:b/>
                <w:noProof/>
                <w:sz w:val="22"/>
                <w:szCs w:val="22"/>
              </w:rPr>
              <w:t>Almindelig</w:t>
            </w:r>
          </w:p>
        </w:tc>
        <w:tc>
          <w:tcPr>
            <w:tcW w:w="906" w:type="pct"/>
            <w:tcBorders>
              <w:top w:val="single" w:sz="4" w:space="0" w:color="auto"/>
              <w:left w:val="single" w:sz="4" w:space="0" w:color="auto"/>
              <w:bottom w:val="single" w:sz="4" w:space="0" w:color="auto"/>
              <w:right w:val="single" w:sz="4" w:space="0" w:color="auto"/>
            </w:tcBorders>
            <w:hideMark/>
          </w:tcPr>
          <w:p w:rsidR="00A75EE9" w:rsidRPr="00B47289" w:rsidRDefault="00A75EE9" w:rsidP="003B4BCE">
            <w:pPr>
              <w:rPr>
                <w:b/>
                <w:noProof/>
                <w:sz w:val="22"/>
                <w:szCs w:val="22"/>
              </w:rPr>
            </w:pPr>
            <w:r w:rsidRPr="00B47289">
              <w:rPr>
                <w:b/>
                <w:noProof/>
                <w:sz w:val="22"/>
                <w:szCs w:val="22"/>
              </w:rPr>
              <w:t>Ikke almindelig</w:t>
            </w:r>
          </w:p>
        </w:tc>
        <w:tc>
          <w:tcPr>
            <w:tcW w:w="968" w:type="pct"/>
            <w:tcBorders>
              <w:top w:val="single" w:sz="4" w:space="0" w:color="auto"/>
              <w:left w:val="single" w:sz="4" w:space="0" w:color="auto"/>
              <w:bottom w:val="single" w:sz="4" w:space="0" w:color="auto"/>
              <w:right w:val="single" w:sz="4" w:space="0" w:color="auto"/>
            </w:tcBorders>
            <w:hideMark/>
          </w:tcPr>
          <w:p w:rsidR="00A75EE9" w:rsidRPr="00B47289" w:rsidRDefault="00A75EE9" w:rsidP="003B4BCE">
            <w:pPr>
              <w:rPr>
                <w:b/>
                <w:noProof/>
                <w:sz w:val="22"/>
                <w:szCs w:val="22"/>
              </w:rPr>
            </w:pPr>
            <w:r w:rsidRPr="00B47289">
              <w:rPr>
                <w:b/>
                <w:noProof/>
                <w:sz w:val="22"/>
                <w:szCs w:val="22"/>
              </w:rPr>
              <w:t>Sjælden</w:t>
            </w:r>
          </w:p>
        </w:tc>
        <w:tc>
          <w:tcPr>
            <w:tcW w:w="790" w:type="pct"/>
            <w:tcBorders>
              <w:top w:val="single" w:sz="4" w:space="0" w:color="auto"/>
              <w:left w:val="single" w:sz="4" w:space="0" w:color="auto"/>
              <w:bottom w:val="single" w:sz="4" w:space="0" w:color="auto"/>
              <w:right w:val="single" w:sz="4" w:space="0" w:color="auto"/>
            </w:tcBorders>
            <w:hideMark/>
          </w:tcPr>
          <w:p w:rsidR="00A75EE9" w:rsidRPr="00B47289" w:rsidRDefault="00A75EE9" w:rsidP="003B4BCE">
            <w:pPr>
              <w:rPr>
                <w:b/>
                <w:noProof/>
                <w:sz w:val="22"/>
                <w:szCs w:val="22"/>
              </w:rPr>
            </w:pPr>
            <w:r w:rsidRPr="00B47289">
              <w:rPr>
                <w:b/>
                <w:noProof/>
                <w:sz w:val="22"/>
                <w:szCs w:val="22"/>
              </w:rPr>
              <w:t>Meget sjælden</w:t>
            </w:r>
          </w:p>
        </w:tc>
        <w:tc>
          <w:tcPr>
            <w:tcW w:w="766" w:type="pct"/>
            <w:tcBorders>
              <w:top w:val="single" w:sz="4" w:space="0" w:color="auto"/>
              <w:left w:val="single" w:sz="4" w:space="0" w:color="auto"/>
              <w:bottom w:val="single" w:sz="4" w:space="0" w:color="auto"/>
              <w:right w:val="single" w:sz="4" w:space="0" w:color="auto"/>
            </w:tcBorders>
            <w:hideMark/>
          </w:tcPr>
          <w:p w:rsidR="00A75EE9" w:rsidRPr="00B47289" w:rsidRDefault="00A75EE9" w:rsidP="003B4BCE">
            <w:pPr>
              <w:rPr>
                <w:b/>
                <w:noProof/>
                <w:sz w:val="22"/>
                <w:szCs w:val="22"/>
              </w:rPr>
            </w:pPr>
            <w:r w:rsidRPr="00B47289">
              <w:rPr>
                <w:b/>
                <w:noProof/>
                <w:sz w:val="22"/>
                <w:szCs w:val="22"/>
              </w:rPr>
              <w:t>Ikke kendt</w:t>
            </w:r>
          </w:p>
        </w:tc>
      </w:tr>
      <w:tr w:rsidR="00A75EE9" w:rsidRPr="00B47289" w:rsidTr="003B4BCE">
        <w:tc>
          <w:tcPr>
            <w:tcW w:w="788" w:type="pct"/>
            <w:tcBorders>
              <w:top w:val="single" w:sz="4" w:space="0" w:color="auto"/>
              <w:left w:val="single" w:sz="4" w:space="0" w:color="auto"/>
              <w:bottom w:val="single" w:sz="4" w:space="0" w:color="auto"/>
              <w:right w:val="single" w:sz="4" w:space="0" w:color="auto"/>
            </w:tcBorders>
            <w:hideMark/>
          </w:tcPr>
          <w:p w:rsidR="00A75EE9" w:rsidRPr="00B47289" w:rsidRDefault="00A75EE9" w:rsidP="003B4BCE">
            <w:pPr>
              <w:rPr>
                <w:noProof/>
                <w:sz w:val="22"/>
                <w:szCs w:val="22"/>
              </w:rPr>
            </w:pPr>
            <w:r w:rsidRPr="00B47289">
              <w:rPr>
                <w:noProof/>
                <w:sz w:val="22"/>
                <w:szCs w:val="22"/>
              </w:rPr>
              <w:t>Blod og lymfesystem</w:t>
            </w:r>
          </w:p>
        </w:tc>
        <w:tc>
          <w:tcPr>
            <w:tcW w:w="783" w:type="pct"/>
            <w:tcBorders>
              <w:top w:val="single" w:sz="4" w:space="0" w:color="auto"/>
              <w:left w:val="single" w:sz="4" w:space="0" w:color="auto"/>
              <w:bottom w:val="single" w:sz="4" w:space="0" w:color="auto"/>
              <w:right w:val="single" w:sz="4" w:space="0" w:color="auto"/>
            </w:tcBorders>
          </w:tcPr>
          <w:p w:rsidR="00A75EE9" w:rsidRPr="00B47289" w:rsidRDefault="00A75EE9" w:rsidP="003B4BCE">
            <w:pPr>
              <w:rPr>
                <w:noProof/>
                <w:sz w:val="22"/>
                <w:szCs w:val="22"/>
              </w:rPr>
            </w:pPr>
          </w:p>
        </w:tc>
        <w:tc>
          <w:tcPr>
            <w:tcW w:w="906" w:type="pct"/>
            <w:tcBorders>
              <w:top w:val="single" w:sz="4" w:space="0" w:color="auto"/>
              <w:left w:val="single" w:sz="4" w:space="0" w:color="auto"/>
              <w:bottom w:val="single" w:sz="4" w:space="0" w:color="auto"/>
              <w:right w:val="single" w:sz="4" w:space="0" w:color="auto"/>
            </w:tcBorders>
          </w:tcPr>
          <w:p w:rsidR="00A75EE9" w:rsidRPr="00B47289" w:rsidRDefault="00A75EE9" w:rsidP="003B4BCE">
            <w:pPr>
              <w:rPr>
                <w:noProof/>
                <w:sz w:val="22"/>
                <w:szCs w:val="22"/>
              </w:rPr>
            </w:pPr>
          </w:p>
        </w:tc>
        <w:tc>
          <w:tcPr>
            <w:tcW w:w="968" w:type="pct"/>
            <w:tcBorders>
              <w:top w:val="single" w:sz="4" w:space="0" w:color="auto"/>
              <w:left w:val="single" w:sz="4" w:space="0" w:color="auto"/>
              <w:bottom w:val="single" w:sz="4" w:space="0" w:color="auto"/>
              <w:right w:val="single" w:sz="4" w:space="0" w:color="auto"/>
            </w:tcBorders>
            <w:hideMark/>
          </w:tcPr>
          <w:p w:rsidR="00A75EE9" w:rsidRPr="00B47289" w:rsidRDefault="00A75EE9" w:rsidP="003B4BCE">
            <w:pPr>
              <w:rPr>
                <w:noProof/>
                <w:sz w:val="22"/>
                <w:szCs w:val="22"/>
              </w:rPr>
            </w:pPr>
            <w:proofErr w:type="spellStart"/>
            <w:r w:rsidRPr="00B47289">
              <w:rPr>
                <w:sz w:val="22"/>
                <w:szCs w:val="22"/>
              </w:rPr>
              <w:t>Agranulocytose</w:t>
            </w:r>
            <w:proofErr w:type="spellEnd"/>
          </w:p>
        </w:tc>
        <w:tc>
          <w:tcPr>
            <w:tcW w:w="790" w:type="pct"/>
            <w:tcBorders>
              <w:top w:val="single" w:sz="4" w:space="0" w:color="auto"/>
              <w:left w:val="single" w:sz="4" w:space="0" w:color="auto"/>
              <w:bottom w:val="single" w:sz="4" w:space="0" w:color="auto"/>
              <w:right w:val="single" w:sz="4" w:space="0" w:color="auto"/>
            </w:tcBorders>
            <w:hideMark/>
          </w:tcPr>
          <w:p w:rsidR="00A75EE9" w:rsidRPr="00B47289" w:rsidRDefault="00A75EE9" w:rsidP="003B4BCE">
            <w:pPr>
              <w:rPr>
                <w:noProof/>
                <w:sz w:val="22"/>
                <w:szCs w:val="22"/>
              </w:rPr>
            </w:pPr>
            <w:r w:rsidRPr="00B47289">
              <w:rPr>
                <w:noProof/>
                <w:sz w:val="22"/>
                <w:szCs w:val="22"/>
              </w:rPr>
              <w:t xml:space="preserve">Trombocyto-peni Leukopeni </w:t>
            </w:r>
            <w:proofErr w:type="spellStart"/>
            <w:r w:rsidRPr="00B47289">
              <w:rPr>
                <w:sz w:val="22"/>
                <w:szCs w:val="22"/>
              </w:rPr>
              <w:t>Pancytopeni</w:t>
            </w:r>
            <w:proofErr w:type="spellEnd"/>
          </w:p>
        </w:tc>
        <w:tc>
          <w:tcPr>
            <w:tcW w:w="766" w:type="pct"/>
            <w:tcBorders>
              <w:top w:val="single" w:sz="4" w:space="0" w:color="auto"/>
              <w:left w:val="single" w:sz="4" w:space="0" w:color="auto"/>
              <w:bottom w:val="single" w:sz="4" w:space="0" w:color="auto"/>
              <w:right w:val="single" w:sz="4" w:space="0" w:color="auto"/>
            </w:tcBorders>
          </w:tcPr>
          <w:p w:rsidR="00A75EE9" w:rsidRPr="00B47289" w:rsidRDefault="00A75EE9" w:rsidP="003B4BCE">
            <w:pPr>
              <w:rPr>
                <w:noProof/>
                <w:sz w:val="22"/>
                <w:szCs w:val="22"/>
              </w:rPr>
            </w:pPr>
          </w:p>
        </w:tc>
      </w:tr>
      <w:tr w:rsidR="00A75EE9" w:rsidRPr="00B47289" w:rsidTr="003B4BCE">
        <w:tc>
          <w:tcPr>
            <w:tcW w:w="788" w:type="pct"/>
            <w:tcBorders>
              <w:top w:val="single" w:sz="4" w:space="0" w:color="auto"/>
              <w:left w:val="single" w:sz="4" w:space="0" w:color="auto"/>
              <w:bottom w:val="single" w:sz="4" w:space="0" w:color="auto"/>
              <w:right w:val="single" w:sz="4" w:space="0" w:color="auto"/>
            </w:tcBorders>
            <w:hideMark/>
          </w:tcPr>
          <w:p w:rsidR="00A75EE9" w:rsidRPr="00B47289" w:rsidRDefault="00A75EE9" w:rsidP="003B4BCE">
            <w:pPr>
              <w:rPr>
                <w:noProof/>
                <w:sz w:val="22"/>
                <w:szCs w:val="22"/>
              </w:rPr>
            </w:pPr>
            <w:r w:rsidRPr="00B47289">
              <w:rPr>
                <w:noProof/>
                <w:sz w:val="22"/>
                <w:szCs w:val="22"/>
              </w:rPr>
              <w:t>Immun</w:t>
            </w:r>
            <w:r w:rsidRPr="00B47289">
              <w:rPr>
                <w:noProof/>
                <w:sz w:val="22"/>
                <w:szCs w:val="22"/>
              </w:rPr>
              <w:softHyphen/>
              <w:t>systemet</w:t>
            </w:r>
          </w:p>
        </w:tc>
        <w:tc>
          <w:tcPr>
            <w:tcW w:w="783" w:type="pct"/>
            <w:tcBorders>
              <w:top w:val="single" w:sz="4" w:space="0" w:color="auto"/>
              <w:left w:val="single" w:sz="4" w:space="0" w:color="auto"/>
              <w:bottom w:val="single" w:sz="4" w:space="0" w:color="auto"/>
              <w:right w:val="single" w:sz="4" w:space="0" w:color="auto"/>
            </w:tcBorders>
          </w:tcPr>
          <w:p w:rsidR="00A75EE9" w:rsidRPr="00B47289" w:rsidRDefault="00A75EE9" w:rsidP="003B4BCE">
            <w:pPr>
              <w:rPr>
                <w:noProof/>
                <w:sz w:val="22"/>
                <w:szCs w:val="22"/>
              </w:rPr>
            </w:pPr>
          </w:p>
        </w:tc>
        <w:tc>
          <w:tcPr>
            <w:tcW w:w="906" w:type="pct"/>
            <w:tcBorders>
              <w:top w:val="single" w:sz="4" w:space="0" w:color="auto"/>
              <w:left w:val="single" w:sz="4" w:space="0" w:color="auto"/>
              <w:bottom w:val="single" w:sz="4" w:space="0" w:color="auto"/>
              <w:right w:val="single" w:sz="4" w:space="0" w:color="auto"/>
            </w:tcBorders>
          </w:tcPr>
          <w:p w:rsidR="00A75EE9" w:rsidRPr="00B47289" w:rsidRDefault="00A75EE9" w:rsidP="003B4BCE">
            <w:pPr>
              <w:rPr>
                <w:noProof/>
                <w:sz w:val="22"/>
                <w:szCs w:val="22"/>
              </w:rPr>
            </w:pPr>
          </w:p>
        </w:tc>
        <w:tc>
          <w:tcPr>
            <w:tcW w:w="968" w:type="pct"/>
            <w:tcBorders>
              <w:top w:val="single" w:sz="4" w:space="0" w:color="auto"/>
              <w:left w:val="single" w:sz="4" w:space="0" w:color="auto"/>
              <w:bottom w:val="single" w:sz="4" w:space="0" w:color="auto"/>
              <w:right w:val="single" w:sz="4" w:space="0" w:color="auto"/>
            </w:tcBorders>
            <w:hideMark/>
          </w:tcPr>
          <w:p w:rsidR="00A75EE9" w:rsidRPr="00B47289" w:rsidRDefault="00A75EE9" w:rsidP="003B4BCE">
            <w:pPr>
              <w:rPr>
                <w:noProof/>
                <w:sz w:val="22"/>
                <w:szCs w:val="22"/>
              </w:rPr>
            </w:pPr>
            <w:r w:rsidRPr="00B47289">
              <w:rPr>
                <w:noProof/>
                <w:sz w:val="22"/>
                <w:szCs w:val="22"/>
              </w:rPr>
              <w:t>Hypersensitivitet (inklusiv anafylaktiske reaktioner og anafylaktisk chok)</w:t>
            </w:r>
          </w:p>
        </w:tc>
        <w:tc>
          <w:tcPr>
            <w:tcW w:w="790" w:type="pct"/>
            <w:tcBorders>
              <w:top w:val="single" w:sz="4" w:space="0" w:color="auto"/>
              <w:left w:val="single" w:sz="4" w:space="0" w:color="auto"/>
              <w:bottom w:val="single" w:sz="4" w:space="0" w:color="auto"/>
              <w:right w:val="single" w:sz="4" w:space="0" w:color="auto"/>
            </w:tcBorders>
          </w:tcPr>
          <w:p w:rsidR="00A75EE9" w:rsidRPr="00B47289" w:rsidRDefault="00A75EE9" w:rsidP="003B4BCE">
            <w:pPr>
              <w:rPr>
                <w:noProof/>
                <w:sz w:val="22"/>
                <w:szCs w:val="22"/>
              </w:rPr>
            </w:pPr>
          </w:p>
        </w:tc>
        <w:tc>
          <w:tcPr>
            <w:tcW w:w="766" w:type="pct"/>
            <w:tcBorders>
              <w:top w:val="single" w:sz="4" w:space="0" w:color="auto"/>
              <w:left w:val="single" w:sz="4" w:space="0" w:color="auto"/>
              <w:bottom w:val="single" w:sz="4" w:space="0" w:color="auto"/>
              <w:right w:val="single" w:sz="4" w:space="0" w:color="auto"/>
            </w:tcBorders>
          </w:tcPr>
          <w:p w:rsidR="00A75EE9" w:rsidRPr="00B47289" w:rsidRDefault="00A75EE9" w:rsidP="003B4BCE">
            <w:pPr>
              <w:rPr>
                <w:noProof/>
                <w:sz w:val="22"/>
                <w:szCs w:val="22"/>
              </w:rPr>
            </w:pPr>
          </w:p>
        </w:tc>
      </w:tr>
      <w:tr w:rsidR="00A75EE9" w:rsidRPr="00B47289" w:rsidTr="003B4BCE">
        <w:trPr>
          <w:trHeight w:val="1387"/>
        </w:trPr>
        <w:tc>
          <w:tcPr>
            <w:tcW w:w="788" w:type="pct"/>
            <w:tcBorders>
              <w:top w:val="single" w:sz="4" w:space="0" w:color="auto"/>
              <w:left w:val="single" w:sz="4" w:space="0" w:color="auto"/>
              <w:bottom w:val="single" w:sz="4" w:space="0" w:color="auto"/>
              <w:right w:val="single" w:sz="4" w:space="0" w:color="auto"/>
            </w:tcBorders>
            <w:hideMark/>
          </w:tcPr>
          <w:p w:rsidR="00A75EE9" w:rsidRPr="00B47289" w:rsidRDefault="00A75EE9" w:rsidP="003B4BCE">
            <w:pPr>
              <w:rPr>
                <w:noProof/>
                <w:sz w:val="22"/>
                <w:szCs w:val="22"/>
              </w:rPr>
            </w:pPr>
            <w:r w:rsidRPr="00B47289">
              <w:rPr>
                <w:noProof/>
                <w:sz w:val="22"/>
                <w:szCs w:val="22"/>
              </w:rPr>
              <w:t>Metabolisme og ernæring</w:t>
            </w:r>
          </w:p>
        </w:tc>
        <w:tc>
          <w:tcPr>
            <w:tcW w:w="783" w:type="pct"/>
            <w:tcBorders>
              <w:top w:val="single" w:sz="4" w:space="0" w:color="auto"/>
              <w:left w:val="single" w:sz="4" w:space="0" w:color="auto"/>
              <w:bottom w:val="single" w:sz="4" w:space="0" w:color="auto"/>
              <w:right w:val="single" w:sz="4" w:space="0" w:color="auto"/>
            </w:tcBorders>
          </w:tcPr>
          <w:p w:rsidR="00A75EE9" w:rsidRPr="00B47289" w:rsidRDefault="00A75EE9" w:rsidP="003B4BCE">
            <w:pPr>
              <w:rPr>
                <w:noProof/>
                <w:sz w:val="22"/>
                <w:szCs w:val="22"/>
              </w:rPr>
            </w:pPr>
          </w:p>
        </w:tc>
        <w:tc>
          <w:tcPr>
            <w:tcW w:w="906" w:type="pct"/>
            <w:tcBorders>
              <w:top w:val="single" w:sz="4" w:space="0" w:color="auto"/>
              <w:left w:val="single" w:sz="4" w:space="0" w:color="auto"/>
              <w:bottom w:val="single" w:sz="4" w:space="0" w:color="auto"/>
              <w:right w:val="single" w:sz="4" w:space="0" w:color="auto"/>
            </w:tcBorders>
          </w:tcPr>
          <w:p w:rsidR="00A75EE9" w:rsidRPr="00B47289" w:rsidRDefault="00A75EE9" w:rsidP="003B4BCE">
            <w:pPr>
              <w:rPr>
                <w:noProof/>
                <w:sz w:val="22"/>
                <w:szCs w:val="22"/>
              </w:rPr>
            </w:pPr>
          </w:p>
        </w:tc>
        <w:tc>
          <w:tcPr>
            <w:tcW w:w="968" w:type="pct"/>
            <w:tcBorders>
              <w:top w:val="single" w:sz="4" w:space="0" w:color="auto"/>
              <w:left w:val="single" w:sz="4" w:space="0" w:color="auto"/>
              <w:bottom w:val="single" w:sz="4" w:space="0" w:color="auto"/>
              <w:right w:val="single" w:sz="4" w:space="0" w:color="auto"/>
            </w:tcBorders>
            <w:hideMark/>
          </w:tcPr>
          <w:p w:rsidR="00A75EE9" w:rsidRPr="00B47289" w:rsidRDefault="00A75EE9" w:rsidP="003B4BCE">
            <w:pPr>
              <w:rPr>
                <w:noProof/>
                <w:sz w:val="22"/>
                <w:szCs w:val="22"/>
              </w:rPr>
            </w:pPr>
            <w:r w:rsidRPr="00B47289">
              <w:rPr>
                <w:noProof/>
                <w:sz w:val="22"/>
                <w:szCs w:val="22"/>
              </w:rPr>
              <w:t>Hyperlipidæmi og forhøjede lipider (triglycerider, cholesterol) Ændring i kropsvægt</w:t>
            </w:r>
          </w:p>
        </w:tc>
        <w:tc>
          <w:tcPr>
            <w:tcW w:w="790" w:type="pct"/>
            <w:tcBorders>
              <w:top w:val="single" w:sz="4" w:space="0" w:color="auto"/>
              <w:left w:val="single" w:sz="4" w:space="0" w:color="auto"/>
              <w:bottom w:val="single" w:sz="4" w:space="0" w:color="auto"/>
              <w:right w:val="single" w:sz="4" w:space="0" w:color="auto"/>
            </w:tcBorders>
          </w:tcPr>
          <w:p w:rsidR="00A75EE9" w:rsidRPr="00B47289" w:rsidRDefault="00A75EE9" w:rsidP="003B4BCE">
            <w:pPr>
              <w:rPr>
                <w:noProof/>
                <w:sz w:val="22"/>
                <w:szCs w:val="22"/>
              </w:rPr>
            </w:pPr>
          </w:p>
        </w:tc>
        <w:tc>
          <w:tcPr>
            <w:tcW w:w="766" w:type="pct"/>
            <w:tcBorders>
              <w:top w:val="single" w:sz="4" w:space="0" w:color="auto"/>
              <w:left w:val="single" w:sz="4" w:space="0" w:color="auto"/>
              <w:bottom w:val="single" w:sz="4" w:space="0" w:color="auto"/>
              <w:right w:val="single" w:sz="4" w:space="0" w:color="auto"/>
            </w:tcBorders>
            <w:hideMark/>
          </w:tcPr>
          <w:p w:rsidR="00A75EE9" w:rsidRPr="00B47289" w:rsidRDefault="00A75EE9" w:rsidP="003B4BCE">
            <w:pPr>
              <w:rPr>
                <w:noProof/>
                <w:sz w:val="22"/>
                <w:szCs w:val="22"/>
              </w:rPr>
            </w:pPr>
            <w:r w:rsidRPr="00B47289">
              <w:rPr>
                <w:noProof/>
                <w:sz w:val="22"/>
                <w:szCs w:val="22"/>
              </w:rPr>
              <w:t>Hyponatriæmi</w:t>
            </w:r>
          </w:p>
          <w:p w:rsidR="00A75EE9" w:rsidRPr="00B47289" w:rsidRDefault="00A75EE9" w:rsidP="003B4BCE">
            <w:pPr>
              <w:rPr>
                <w:sz w:val="22"/>
                <w:szCs w:val="22"/>
              </w:rPr>
            </w:pPr>
            <w:proofErr w:type="spellStart"/>
            <w:r w:rsidRPr="00B47289">
              <w:rPr>
                <w:sz w:val="22"/>
                <w:szCs w:val="22"/>
              </w:rPr>
              <w:t>Hypomagnesiæmi</w:t>
            </w:r>
            <w:proofErr w:type="spellEnd"/>
            <w:r w:rsidRPr="00B47289">
              <w:rPr>
                <w:sz w:val="22"/>
                <w:szCs w:val="22"/>
              </w:rPr>
              <w:t xml:space="preserve"> (se pkt. 4.4)</w:t>
            </w:r>
          </w:p>
          <w:p w:rsidR="00A75EE9" w:rsidRPr="00B47289" w:rsidRDefault="00A75EE9" w:rsidP="003B4BCE">
            <w:pPr>
              <w:rPr>
                <w:noProof/>
                <w:sz w:val="22"/>
                <w:szCs w:val="22"/>
              </w:rPr>
            </w:pPr>
            <w:proofErr w:type="spellStart"/>
            <w:r w:rsidRPr="00B47289">
              <w:rPr>
                <w:rStyle w:val="hps"/>
                <w:color w:val="222222"/>
                <w:sz w:val="22"/>
                <w:szCs w:val="22"/>
              </w:rPr>
              <w:t>Hypocalcæmi</w:t>
            </w:r>
            <w:proofErr w:type="spellEnd"/>
            <w:r w:rsidR="00794B32">
              <w:rPr>
                <w:rStyle w:val="hps"/>
                <w:color w:val="222222"/>
                <w:sz w:val="22"/>
                <w:szCs w:val="22"/>
              </w:rPr>
              <w:t xml:space="preserve"> </w:t>
            </w:r>
            <w:r w:rsidRPr="00B47289">
              <w:rPr>
                <w:rStyle w:val="hps"/>
                <w:color w:val="222222"/>
                <w:sz w:val="22"/>
                <w:szCs w:val="22"/>
                <w:vertAlign w:val="superscript"/>
              </w:rPr>
              <w:t>(1)</w:t>
            </w:r>
            <w:r w:rsidRPr="00B47289">
              <w:rPr>
                <w:color w:val="222222"/>
                <w:sz w:val="22"/>
                <w:szCs w:val="22"/>
              </w:rPr>
              <w:t xml:space="preserve"> </w:t>
            </w:r>
            <w:r w:rsidRPr="00B47289">
              <w:rPr>
                <w:color w:val="222222"/>
                <w:sz w:val="22"/>
                <w:szCs w:val="22"/>
              </w:rPr>
              <w:br/>
            </w:r>
            <w:proofErr w:type="spellStart"/>
            <w:r w:rsidRPr="00B47289">
              <w:rPr>
                <w:rStyle w:val="hps"/>
                <w:color w:val="222222"/>
                <w:sz w:val="22"/>
                <w:szCs w:val="22"/>
              </w:rPr>
              <w:t>Hypokaliæmi</w:t>
            </w:r>
            <w:proofErr w:type="spellEnd"/>
          </w:p>
        </w:tc>
      </w:tr>
      <w:tr w:rsidR="00A75EE9" w:rsidRPr="00B47289" w:rsidTr="003B4BCE">
        <w:trPr>
          <w:trHeight w:val="2370"/>
        </w:trPr>
        <w:tc>
          <w:tcPr>
            <w:tcW w:w="788" w:type="pct"/>
            <w:tcBorders>
              <w:top w:val="single" w:sz="4" w:space="0" w:color="auto"/>
              <w:left w:val="single" w:sz="4" w:space="0" w:color="auto"/>
              <w:bottom w:val="single" w:sz="4" w:space="0" w:color="auto"/>
              <w:right w:val="single" w:sz="4" w:space="0" w:color="auto"/>
            </w:tcBorders>
            <w:hideMark/>
          </w:tcPr>
          <w:p w:rsidR="00A75EE9" w:rsidRPr="00B47289" w:rsidRDefault="00A75EE9" w:rsidP="003B4BCE">
            <w:pPr>
              <w:rPr>
                <w:noProof/>
                <w:sz w:val="22"/>
                <w:szCs w:val="22"/>
              </w:rPr>
            </w:pPr>
            <w:r w:rsidRPr="00B47289">
              <w:rPr>
                <w:noProof/>
                <w:sz w:val="22"/>
                <w:szCs w:val="22"/>
              </w:rPr>
              <w:t>Psykiske forstyrrelser</w:t>
            </w:r>
          </w:p>
        </w:tc>
        <w:tc>
          <w:tcPr>
            <w:tcW w:w="783" w:type="pct"/>
            <w:tcBorders>
              <w:top w:val="single" w:sz="4" w:space="0" w:color="auto"/>
              <w:left w:val="single" w:sz="4" w:space="0" w:color="auto"/>
              <w:bottom w:val="single" w:sz="4" w:space="0" w:color="auto"/>
              <w:right w:val="single" w:sz="4" w:space="0" w:color="auto"/>
            </w:tcBorders>
          </w:tcPr>
          <w:p w:rsidR="00A75EE9" w:rsidRPr="00B47289" w:rsidRDefault="00A75EE9" w:rsidP="003B4BCE">
            <w:pPr>
              <w:rPr>
                <w:noProof/>
                <w:sz w:val="22"/>
                <w:szCs w:val="22"/>
              </w:rPr>
            </w:pPr>
          </w:p>
        </w:tc>
        <w:tc>
          <w:tcPr>
            <w:tcW w:w="906" w:type="pct"/>
            <w:tcBorders>
              <w:top w:val="single" w:sz="4" w:space="0" w:color="auto"/>
              <w:left w:val="single" w:sz="4" w:space="0" w:color="auto"/>
              <w:bottom w:val="single" w:sz="4" w:space="0" w:color="auto"/>
              <w:right w:val="single" w:sz="4" w:space="0" w:color="auto"/>
            </w:tcBorders>
            <w:hideMark/>
          </w:tcPr>
          <w:p w:rsidR="00A75EE9" w:rsidRPr="00B47289" w:rsidRDefault="00A75EE9" w:rsidP="003B4BCE">
            <w:pPr>
              <w:rPr>
                <w:noProof/>
                <w:sz w:val="22"/>
                <w:szCs w:val="22"/>
              </w:rPr>
            </w:pPr>
            <w:r w:rsidRPr="00B47289">
              <w:rPr>
                <w:noProof/>
                <w:sz w:val="22"/>
                <w:szCs w:val="22"/>
              </w:rPr>
              <w:t>Søvnforstyrrelser</w:t>
            </w:r>
          </w:p>
        </w:tc>
        <w:tc>
          <w:tcPr>
            <w:tcW w:w="968" w:type="pct"/>
            <w:tcBorders>
              <w:top w:val="single" w:sz="4" w:space="0" w:color="auto"/>
              <w:left w:val="single" w:sz="4" w:space="0" w:color="auto"/>
              <w:bottom w:val="single" w:sz="4" w:space="0" w:color="auto"/>
              <w:right w:val="single" w:sz="4" w:space="0" w:color="auto"/>
            </w:tcBorders>
            <w:hideMark/>
          </w:tcPr>
          <w:p w:rsidR="00A75EE9" w:rsidRPr="00B47289" w:rsidRDefault="00A75EE9" w:rsidP="003B4BCE">
            <w:pPr>
              <w:rPr>
                <w:noProof/>
                <w:sz w:val="22"/>
                <w:szCs w:val="22"/>
              </w:rPr>
            </w:pPr>
            <w:r w:rsidRPr="00B47289">
              <w:rPr>
                <w:noProof/>
                <w:sz w:val="22"/>
                <w:szCs w:val="22"/>
              </w:rPr>
              <w:t>Depression (og forværring af allerede eksisterende symptomer)</w:t>
            </w:r>
          </w:p>
        </w:tc>
        <w:tc>
          <w:tcPr>
            <w:tcW w:w="790" w:type="pct"/>
            <w:tcBorders>
              <w:top w:val="single" w:sz="4" w:space="0" w:color="auto"/>
              <w:left w:val="single" w:sz="4" w:space="0" w:color="auto"/>
              <w:bottom w:val="single" w:sz="4" w:space="0" w:color="auto"/>
              <w:right w:val="single" w:sz="4" w:space="0" w:color="auto"/>
            </w:tcBorders>
            <w:hideMark/>
          </w:tcPr>
          <w:p w:rsidR="00A75EE9" w:rsidRPr="00B47289" w:rsidRDefault="00A75EE9" w:rsidP="003B4BCE">
            <w:pPr>
              <w:rPr>
                <w:noProof/>
                <w:sz w:val="22"/>
                <w:szCs w:val="22"/>
              </w:rPr>
            </w:pPr>
            <w:r w:rsidRPr="00B47289">
              <w:rPr>
                <w:noProof/>
                <w:sz w:val="22"/>
                <w:szCs w:val="22"/>
              </w:rPr>
              <w:t>Desoriente</w:t>
            </w:r>
            <w:r w:rsidRPr="00B47289">
              <w:rPr>
                <w:noProof/>
                <w:sz w:val="22"/>
                <w:szCs w:val="22"/>
              </w:rPr>
              <w:softHyphen/>
              <w:t>ring (og forværring af allerede eksisterende symptomer)</w:t>
            </w:r>
          </w:p>
        </w:tc>
        <w:tc>
          <w:tcPr>
            <w:tcW w:w="766" w:type="pct"/>
            <w:tcBorders>
              <w:top w:val="single" w:sz="4" w:space="0" w:color="auto"/>
              <w:left w:val="single" w:sz="4" w:space="0" w:color="auto"/>
              <w:bottom w:val="single" w:sz="4" w:space="0" w:color="auto"/>
              <w:right w:val="single" w:sz="4" w:space="0" w:color="auto"/>
            </w:tcBorders>
            <w:hideMark/>
          </w:tcPr>
          <w:p w:rsidR="00A75EE9" w:rsidRDefault="00A75EE9" w:rsidP="003B4BCE">
            <w:pPr>
              <w:rPr>
                <w:noProof/>
                <w:sz w:val="22"/>
                <w:szCs w:val="22"/>
              </w:rPr>
            </w:pPr>
            <w:r w:rsidRPr="00B47289">
              <w:rPr>
                <w:noProof/>
                <w:sz w:val="22"/>
                <w:szCs w:val="22"/>
              </w:rPr>
              <w:t>Hallucination</w:t>
            </w:r>
            <w:r w:rsidRPr="00B47289">
              <w:rPr>
                <w:noProof/>
                <w:sz w:val="22"/>
                <w:szCs w:val="22"/>
              </w:rPr>
              <w:softHyphen/>
              <w:t xml:space="preserve">er </w:t>
            </w:r>
          </w:p>
          <w:p w:rsidR="00A75EE9" w:rsidRPr="00B47289" w:rsidRDefault="00A75EE9" w:rsidP="003B4BCE">
            <w:pPr>
              <w:rPr>
                <w:noProof/>
                <w:sz w:val="22"/>
                <w:szCs w:val="22"/>
              </w:rPr>
            </w:pPr>
            <w:r w:rsidRPr="00B47289">
              <w:rPr>
                <w:noProof/>
                <w:sz w:val="22"/>
                <w:szCs w:val="22"/>
              </w:rPr>
              <w:t>Forvirring (især hos præ-disponerede patienter samt forværring af allerede eksisterende symptomer)</w:t>
            </w:r>
          </w:p>
        </w:tc>
      </w:tr>
      <w:tr w:rsidR="00A75EE9" w:rsidRPr="00B47289" w:rsidTr="003B4BCE">
        <w:tc>
          <w:tcPr>
            <w:tcW w:w="788" w:type="pct"/>
            <w:tcBorders>
              <w:top w:val="single" w:sz="4" w:space="0" w:color="auto"/>
              <w:left w:val="single" w:sz="4" w:space="0" w:color="auto"/>
              <w:bottom w:val="single" w:sz="4" w:space="0" w:color="auto"/>
              <w:right w:val="single" w:sz="4" w:space="0" w:color="auto"/>
            </w:tcBorders>
            <w:hideMark/>
          </w:tcPr>
          <w:p w:rsidR="00A75EE9" w:rsidRPr="00B47289" w:rsidRDefault="00A75EE9" w:rsidP="003B4BCE">
            <w:pPr>
              <w:rPr>
                <w:noProof/>
                <w:sz w:val="22"/>
                <w:szCs w:val="22"/>
              </w:rPr>
            </w:pPr>
            <w:r w:rsidRPr="00B47289">
              <w:rPr>
                <w:noProof/>
                <w:sz w:val="22"/>
                <w:szCs w:val="22"/>
              </w:rPr>
              <w:t>Nervesystemet</w:t>
            </w:r>
          </w:p>
        </w:tc>
        <w:tc>
          <w:tcPr>
            <w:tcW w:w="783" w:type="pct"/>
            <w:tcBorders>
              <w:top w:val="single" w:sz="4" w:space="0" w:color="auto"/>
              <w:left w:val="single" w:sz="4" w:space="0" w:color="auto"/>
              <w:bottom w:val="single" w:sz="4" w:space="0" w:color="auto"/>
              <w:right w:val="single" w:sz="4" w:space="0" w:color="auto"/>
            </w:tcBorders>
          </w:tcPr>
          <w:p w:rsidR="00A75EE9" w:rsidRPr="00B47289" w:rsidRDefault="00A75EE9" w:rsidP="003B4BCE">
            <w:pPr>
              <w:rPr>
                <w:noProof/>
                <w:sz w:val="22"/>
                <w:szCs w:val="22"/>
              </w:rPr>
            </w:pPr>
          </w:p>
        </w:tc>
        <w:tc>
          <w:tcPr>
            <w:tcW w:w="906" w:type="pct"/>
            <w:tcBorders>
              <w:top w:val="single" w:sz="4" w:space="0" w:color="auto"/>
              <w:left w:val="single" w:sz="4" w:space="0" w:color="auto"/>
              <w:bottom w:val="single" w:sz="4" w:space="0" w:color="auto"/>
              <w:right w:val="single" w:sz="4" w:space="0" w:color="auto"/>
            </w:tcBorders>
            <w:hideMark/>
          </w:tcPr>
          <w:p w:rsidR="00A75EE9" w:rsidRPr="00B47289" w:rsidRDefault="00A75EE9" w:rsidP="003B4BCE">
            <w:pPr>
              <w:rPr>
                <w:noProof/>
                <w:sz w:val="22"/>
                <w:szCs w:val="22"/>
              </w:rPr>
            </w:pPr>
            <w:r w:rsidRPr="00B47289">
              <w:rPr>
                <w:noProof/>
                <w:sz w:val="22"/>
                <w:szCs w:val="22"/>
              </w:rPr>
              <w:t>Hovedpine Svimmelhed</w:t>
            </w:r>
          </w:p>
        </w:tc>
        <w:tc>
          <w:tcPr>
            <w:tcW w:w="968" w:type="pct"/>
            <w:tcBorders>
              <w:top w:val="single" w:sz="4" w:space="0" w:color="auto"/>
              <w:left w:val="single" w:sz="4" w:space="0" w:color="auto"/>
              <w:bottom w:val="single" w:sz="4" w:space="0" w:color="auto"/>
              <w:right w:val="single" w:sz="4" w:space="0" w:color="auto"/>
            </w:tcBorders>
            <w:hideMark/>
          </w:tcPr>
          <w:p w:rsidR="00A75EE9" w:rsidRPr="00B47289" w:rsidRDefault="00A75EE9" w:rsidP="003B4BCE">
            <w:pPr>
              <w:spacing w:after="120"/>
              <w:rPr>
                <w:noProof/>
                <w:sz w:val="22"/>
                <w:szCs w:val="22"/>
              </w:rPr>
            </w:pPr>
            <w:proofErr w:type="spellStart"/>
            <w:r w:rsidRPr="00B47289">
              <w:rPr>
                <w:sz w:val="22"/>
                <w:szCs w:val="22"/>
              </w:rPr>
              <w:t>Smagsforstyrrel</w:t>
            </w:r>
            <w:proofErr w:type="spellEnd"/>
            <w:r w:rsidRPr="00B47289">
              <w:rPr>
                <w:sz w:val="22"/>
                <w:szCs w:val="22"/>
              </w:rPr>
              <w:t>-ser</w:t>
            </w:r>
          </w:p>
        </w:tc>
        <w:tc>
          <w:tcPr>
            <w:tcW w:w="790" w:type="pct"/>
            <w:tcBorders>
              <w:top w:val="single" w:sz="4" w:space="0" w:color="auto"/>
              <w:left w:val="single" w:sz="4" w:space="0" w:color="auto"/>
              <w:bottom w:val="single" w:sz="4" w:space="0" w:color="auto"/>
              <w:right w:val="single" w:sz="4" w:space="0" w:color="auto"/>
            </w:tcBorders>
          </w:tcPr>
          <w:p w:rsidR="00A75EE9" w:rsidRPr="00B47289" w:rsidRDefault="00A75EE9" w:rsidP="003B4BCE">
            <w:pPr>
              <w:rPr>
                <w:noProof/>
                <w:sz w:val="22"/>
                <w:szCs w:val="22"/>
              </w:rPr>
            </w:pPr>
          </w:p>
        </w:tc>
        <w:tc>
          <w:tcPr>
            <w:tcW w:w="766" w:type="pct"/>
            <w:tcBorders>
              <w:top w:val="single" w:sz="4" w:space="0" w:color="auto"/>
              <w:left w:val="single" w:sz="4" w:space="0" w:color="auto"/>
              <w:bottom w:val="single" w:sz="4" w:space="0" w:color="auto"/>
              <w:right w:val="single" w:sz="4" w:space="0" w:color="auto"/>
            </w:tcBorders>
            <w:hideMark/>
          </w:tcPr>
          <w:p w:rsidR="00A75EE9" w:rsidRPr="00B47289" w:rsidRDefault="00A75EE9" w:rsidP="003B4BCE">
            <w:pPr>
              <w:rPr>
                <w:noProof/>
                <w:sz w:val="22"/>
                <w:szCs w:val="22"/>
              </w:rPr>
            </w:pPr>
            <w:r w:rsidRPr="00B47289">
              <w:rPr>
                <w:noProof/>
                <w:sz w:val="22"/>
                <w:szCs w:val="22"/>
              </w:rPr>
              <w:t>Paræstesi</w:t>
            </w:r>
          </w:p>
        </w:tc>
      </w:tr>
      <w:tr w:rsidR="00A75EE9" w:rsidRPr="00B47289" w:rsidTr="003B4BCE">
        <w:trPr>
          <w:trHeight w:val="533"/>
        </w:trPr>
        <w:tc>
          <w:tcPr>
            <w:tcW w:w="788" w:type="pct"/>
            <w:tcBorders>
              <w:top w:val="single" w:sz="4" w:space="0" w:color="auto"/>
              <w:left w:val="single" w:sz="4" w:space="0" w:color="auto"/>
              <w:bottom w:val="single" w:sz="4" w:space="0" w:color="auto"/>
              <w:right w:val="single" w:sz="4" w:space="0" w:color="auto"/>
            </w:tcBorders>
            <w:hideMark/>
          </w:tcPr>
          <w:p w:rsidR="00A75EE9" w:rsidRPr="00B47289" w:rsidRDefault="00A75EE9" w:rsidP="003B4BCE">
            <w:pPr>
              <w:rPr>
                <w:noProof/>
                <w:sz w:val="22"/>
                <w:szCs w:val="22"/>
              </w:rPr>
            </w:pPr>
            <w:r w:rsidRPr="00B47289">
              <w:rPr>
                <w:noProof/>
                <w:sz w:val="22"/>
                <w:szCs w:val="22"/>
              </w:rPr>
              <w:t>Øjne</w:t>
            </w:r>
          </w:p>
        </w:tc>
        <w:tc>
          <w:tcPr>
            <w:tcW w:w="783" w:type="pct"/>
            <w:tcBorders>
              <w:top w:val="single" w:sz="4" w:space="0" w:color="auto"/>
              <w:left w:val="single" w:sz="4" w:space="0" w:color="auto"/>
              <w:bottom w:val="single" w:sz="4" w:space="0" w:color="auto"/>
              <w:right w:val="single" w:sz="4" w:space="0" w:color="auto"/>
            </w:tcBorders>
          </w:tcPr>
          <w:p w:rsidR="00A75EE9" w:rsidRPr="00B47289" w:rsidRDefault="00A75EE9" w:rsidP="003B4BCE">
            <w:pPr>
              <w:rPr>
                <w:noProof/>
                <w:sz w:val="22"/>
                <w:szCs w:val="22"/>
              </w:rPr>
            </w:pPr>
          </w:p>
        </w:tc>
        <w:tc>
          <w:tcPr>
            <w:tcW w:w="906" w:type="pct"/>
            <w:tcBorders>
              <w:top w:val="single" w:sz="4" w:space="0" w:color="auto"/>
              <w:left w:val="single" w:sz="4" w:space="0" w:color="auto"/>
              <w:bottom w:val="single" w:sz="4" w:space="0" w:color="auto"/>
              <w:right w:val="single" w:sz="4" w:space="0" w:color="auto"/>
            </w:tcBorders>
          </w:tcPr>
          <w:p w:rsidR="00A75EE9" w:rsidRPr="00B47289" w:rsidRDefault="00A75EE9" w:rsidP="003B4BCE">
            <w:pPr>
              <w:rPr>
                <w:noProof/>
                <w:sz w:val="22"/>
                <w:szCs w:val="22"/>
              </w:rPr>
            </w:pPr>
          </w:p>
        </w:tc>
        <w:tc>
          <w:tcPr>
            <w:tcW w:w="968" w:type="pct"/>
            <w:tcBorders>
              <w:top w:val="single" w:sz="4" w:space="0" w:color="auto"/>
              <w:left w:val="single" w:sz="4" w:space="0" w:color="auto"/>
              <w:bottom w:val="single" w:sz="4" w:space="0" w:color="auto"/>
              <w:right w:val="single" w:sz="4" w:space="0" w:color="auto"/>
            </w:tcBorders>
            <w:hideMark/>
          </w:tcPr>
          <w:p w:rsidR="00A75EE9" w:rsidRDefault="00A75EE9" w:rsidP="003B4BCE">
            <w:pPr>
              <w:rPr>
                <w:noProof/>
                <w:sz w:val="22"/>
                <w:szCs w:val="22"/>
              </w:rPr>
            </w:pPr>
            <w:r w:rsidRPr="00B47289">
              <w:rPr>
                <w:noProof/>
                <w:sz w:val="22"/>
                <w:szCs w:val="22"/>
              </w:rPr>
              <w:t>Synsforstyrrelser/</w:t>
            </w:r>
          </w:p>
          <w:p w:rsidR="00A75EE9" w:rsidRPr="00B47289" w:rsidRDefault="00A75EE9" w:rsidP="003B4BCE">
            <w:pPr>
              <w:rPr>
                <w:noProof/>
                <w:sz w:val="22"/>
                <w:szCs w:val="22"/>
              </w:rPr>
            </w:pPr>
            <w:r w:rsidRPr="00B47289">
              <w:rPr>
                <w:noProof/>
                <w:sz w:val="22"/>
                <w:szCs w:val="22"/>
              </w:rPr>
              <w:t>sløret syn</w:t>
            </w:r>
          </w:p>
        </w:tc>
        <w:tc>
          <w:tcPr>
            <w:tcW w:w="790" w:type="pct"/>
            <w:tcBorders>
              <w:top w:val="single" w:sz="4" w:space="0" w:color="auto"/>
              <w:left w:val="single" w:sz="4" w:space="0" w:color="auto"/>
              <w:bottom w:val="single" w:sz="4" w:space="0" w:color="auto"/>
              <w:right w:val="single" w:sz="4" w:space="0" w:color="auto"/>
            </w:tcBorders>
          </w:tcPr>
          <w:p w:rsidR="00A75EE9" w:rsidRPr="00B47289" w:rsidRDefault="00A75EE9" w:rsidP="003B4BCE">
            <w:pPr>
              <w:rPr>
                <w:noProof/>
                <w:sz w:val="22"/>
                <w:szCs w:val="22"/>
              </w:rPr>
            </w:pPr>
          </w:p>
        </w:tc>
        <w:tc>
          <w:tcPr>
            <w:tcW w:w="766" w:type="pct"/>
            <w:tcBorders>
              <w:top w:val="single" w:sz="4" w:space="0" w:color="auto"/>
              <w:left w:val="single" w:sz="4" w:space="0" w:color="auto"/>
              <w:bottom w:val="single" w:sz="4" w:space="0" w:color="auto"/>
              <w:right w:val="single" w:sz="4" w:space="0" w:color="auto"/>
            </w:tcBorders>
          </w:tcPr>
          <w:p w:rsidR="00A75EE9" w:rsidRPr="00B47289" w:rsidRDefault="00A75EE9" w:rsidP="003B4BCE">
            <w:pPr>
              <w:rPr>
                <w:noProof/>
                <w:sz w:val="22"/>
                <w:szCs w:val="22"/>
              </w:rPr>
            </w:pPr>
          </w:p>
        </w:tc>
      </w:tr>
      <w:tr w:rsidR="00A75EE9" w:rsidRPr="00B47289" w:rsidTr="003B4BCE">
        <w:trPr>
          <w:trHeight w:val="2839"/>
        </w:trPr>
        <w:tc>
          <w:tcPr>
            <w:tcW w:w="788" w:type="pct"/>
            <w:tcBorders>
              <w:top w:val="single" w:sz="4" w:space="0" w:color="auto"/>
              <w:left w:val="single" w:sz="4" w:space="0" w:color="auto"/>
              <w:bottom w:val="single" w:sz="4" w:space="0" w:color="auto"/>
              <w:right w:val="single" w:sz="4" w:space="0" w:color="auto"/>
            </w:tcBorders>
            <w:hideMark/>
          </w:tcPr>
          <w:p w:rsidR="00A75EE9" w:rsidRPr="00B47289" w:rsidRDefault="00A75EE9" w:rsidP="003B4BCE">
            <w:pPr>
              <w:rPr>
                <w:noProof/>
                <w:sz w:val="22"/>
                <w:szCs w:val="22"/>
              </w:rPr>
            </w:pPr>
            <w:r w:rsidRPr="00B47289">
              <w:rPr>
                <w:noProof/>
                <w:sz w:val="22"/>
                <w:szCs w:val="22"/>
              </w:rPr>
              <w:lastRenderedPageBreak/>
              <w:t>Mave-tarm-kanalen</w:t>
            </w:r>
          </w:p>
        </w:tc>
        <w:tc>
          <w:tcPr>
            <w:tcW w:w="783" w:type="pct"/>
            <w:tcBorders>
              <w:top w:val="single" w:sz="4" w:space="0" w:color="auto"/>
              <w:left w:val="single" w:sz="4" w:space="0" w:color="auto"/>
              <w:bottom w:val="single" w:sz="4" w:space="0" w:color="auto"/>
              <w:right w:val="single" w:sz="4" w:space="0" w:color="auto"/>
            </w:tcBorders>
          </w:tcPr>
          <w:p w:rsidR="00A75EE9" w:rsidRPr="00B47289" w:rsidRDefault="00A75EE9" w:rsidP="003B4BCE">
            <w:pPr>
              <w:rPr>
                <w:noProof/>
                <w:sz w:val="22"/>
                <w:szCs w:val="22"/>
              </w:rPr>
            </w:pPr>
            <w:r w:rsidRPr="00B47289">
              <w:rPr>
                <w:noProof/>
                <w:sz w:val="22"/>
                <w:szCs w:val="22"/>
              </w:rPr>
              <w:t>Benigne gastriske polypper</w:t>
            </w:r>
          </w:p>
        </w:tc>
        <w:tc>
          <w:tcPr>
            <w:tcW w:w="906" w:type="pct"/>
            <w:tcBorders>
              <w:top w:val="single" w:sz="4" w:space="0" w:color="auto"/>
              <w:left w:val="single" w:sz="4" w:space="0" w:color="auto"/>
              <w:bottom w:val="single" w:sz="4" w:space="0" w:color="auto"/>
              <w:right w:val="single" w:sz="4" w:space="0" w:color="auto"/>
            </w:tcBorders>
            <w:hideMark/>
          </w:tcPr>
          <w:p w:rsidR="00A75EE9" w:rsidRPr="00B47289" w:rsidRDefault="00A75EE9" w:rsidP="003B4BCE">
            <w:pPr>
              <w:rPr>
                <w:noProof/>
                <w:sz w:val="22"/>
                <w:szCs w:val="22"/>
              </w:rPr>
            </w:pPr>
            <w:r w:rsidRPr="00B47289">
              <w:rPr>
                <w:noProof/>
                <w:sz w:val="22"/>
                <w:szCs w:val="22"/>
              </w:rPr>
              <w:t>Diaré kvalme/opkast</w:t>
            </w:r>
            <w:r w:rsidRPr="00B47289">
              <w:rPr>
                <w:noProof/>
                <w:sz w:val="22"/>
                <w:szCs w:val="22"/>
              </w:rPr>
              <w:softHyphen/>
              <w:t>ning</w:t>
            </w:r>
          </w:p>
          <w:p w:rsidR="00A75EE9" w:rsidRPr="00B47289" w:rsidRDefault="00A75EE9" w:rsidP="003B4BCE">
            <w:pPr>
              <w:rPr>
                <w:noProof/>
                <w:sz w:val="22"/>
                <w:szCs w:val="22"/>
              </w:rPr>
            </w:pPr>
            <w:r w:rsidRPr="00B47289">
              <w:rPr>
                <w:noProof/>
                <w:sz w:val="22"/>
                <w:szCs w:val="22"/>
              </w:rPr>
              <w:t>Udspilet abdomen og oppustethed Forstoppelse Tørhed i munden Abdominale smerter og ubehag</w:t>
            </w:r>
          </w:p>
        </w:tc>
        <w:tc>
          <w:tcPr>
            <w:tcW w:w="968" w:type="pct"/>
            <w:tcBorders>
              <w:top w:val="single" w:sz="4" w:space="0" w:color="auto"/>
              <w:left w:val="single" w:sz="4" w:space="0" w:color="auto"/>
              <w:bottom w:val="single" w:sz="4" w:space="0" w:color="auto"/>
              <w:right w:val="single" w:sz="4" w:space="0" w:color="auto"/>
            </w:tcBorders>
          </w:tcPr>
          <w:p w:rsidR="00A75EE9" w:rsidRPr="00B47289" w:rsidRDefault="00A75EE9" w:rsidP="003B4BCE">
            <w:pPr>
              <w:rPr>
                <w:noProof/>
                <w:sz w:val="22"/>
                <w:szCs w:val="22"/>
              </w:rPr>
            </w:pPr>
          </w:p>
        </w:tc>
        <w:tc>
          <w:tcPr>
            <w:tcW w:w="790" w:type="pct"/>
            <w:tcBorders>
              <w:top w:val="single" w:sz="4" w:space="0" w:color="auto"/>
              <w:left w:val="single" w:sz="4" w:space="0" w:color="auto"/>
              <w:bottom w:val="single" w:sz="4" w:space="0" w:color="auto"/>
              <w:right w:val="single" w:sz="4" w:space="0" w:color="auto"/>
            </w:tcBorders>
          </w:tcPr>
          <w:p w:rsidR="00A75EE9" w:rsidRPr="00B47289" w:rsidRDefault="00A75EE9" w:rsidP="003B4BCE">
            <w:pPr>
              <w:rPr>
                <w:noProof/>
                <w:sz w:val="22"/>
                <w:szCs w:val="22"/>
              </w:rPr>
            </w:pPr>
          </w:p>
        </w:tc>
        <w:tc>
          <w:tcPr>
            <w:tcW w:w="766" w:type="pct"/>
            <w:tcBorders>
              <w:top w:val="single" w:sz="4" w:space="0" w:color="auto"/>
              <w:left w:val="single" w:sz="4" w:space="0" w:color="auto"/>
              <w:bottom w:val="single" w:sz="4" w:space="0" w:color="auto"/>
              <w:right w:val="single" w:sz="4" w:space="0" w:color="auto"/>
            </w:tcBorders>
          </w:tcPr>
          <w:p w:rsidR="00A75EE9" w:rsidRPr="00B47289" w:rsidRDefault="00A75EE9" w:rsidP="003B4BCE">
            <w:pPr>
              <w:rPr>
                <w:noProof/>
                <w:sz w:val="22"/>
                <w:szCs w:val="22"/>
              </w:rPr>
            </w:pPr>
            <w:r w:rsidRPr="00B47289">
              <w:rPr>
                <w:sz w:val="22"/>
                <w:szCs w:val="22"/>
              </w:rPr>
              <w:t>Mikroskopisk colitis</w:t>
            </w:r>
          </w:p>
        </w:tc>
      </w:tr>
      <w:tr w:rsidR="00A75EE9" w:rsidRPr="00B47289" w:rsidTr="003B4BCE">
        <w:trPr>
          <w:trHeight w:val="1130"/>
        </w:trPr>
        <w:tc>
          <w:tcPr>
            <w:tcW w:w="788" w:type="pct"/>
            <w:tcBorders>
              <w:top w:val="single" w:sz="4" w:space="0" w:color="auto"/>
              <w:left w:val="single" w:sz="4" w:space="0" w:color="auto"/>
              <w:bottom w:val="single" w:sz="4" w:space="0" w:color="auto"/>
              <w:right w:val="single" w:sz="4" w:space="0" w:color="auto"/>
            </w:tcBorders>
            <w:hideMark/>
          </w:tcPr>
          <w:p w:rsidR="00A75EE9" w:rsidRPr="00B47289" w:rsidRDefault="00A75EE9" w:rsidP="003B4BCE">
            <w:pPr>
              <w:rPr>
                <w:noProof/>
                <w:sz w:val="22"/>
                <w:szCs w:val="22"/>
              </w:rPr>
            </w:pPr>
            <w:r w:rsidRPr="00B47289">
              <w:rPr>
                <w:noProof/>
                <w:sz w:val="22"/>
                <w:szCs w:val="22"/>
              </w:rPr>
              <w:t>Lever og galdeveje</w:t>
            </w:r>
          </w:p>
        </w:tc>
        <w:tc>
          <w:tcPr>
            <w:tcW w:w="783" w:type="pct"/>
            <w:tcBorders>
              <w:top w:val="single" w:sz="4" w:space="0" w:color="auto"/>
              <w:left w:val="single" w:sz="4" w:space="0" w:color="auto"/>
              <w:bottom w:val="single" w:sz="4" w:space="0" w:color="auto"/>
              <w:right w:val="single" w:sz="4" w:space="0" w:color="auto"/>
            </w:tcBorders>
          </w:tcPr>
          <w:p w:rsidR="00A75EE9" w:rsidRPr="00B47289" w:rsidRDefault="00A75EE9" w:rsidP="003B4BCE">
            <w:pPr>
              <w:rPr>
                <w:noProof/>
                <w:sz w:val="22"/>
                <w:szCs w:val="22"/>
              </w:rPr>
            </w:pPr>
          </w:p>
        </w:tc>
        <w:tc>
          <w:tcPr>
            <w:tcW w:w="906" w:type="pct"/>
            <w:tcBorders>
              <w:top w:val="single" w:sz="4" w:space="0" w:color="auto"/>
              <w:left w:val="single" w:sz="4" w:space="0" w:color="auto"/>
              <w:bottom w:val="single" w:sz="4" w:space="0" w:color="auto"/>
              <w:right w:val="single" w:sz="4" w:space="0" w:color="auto"/>
            </w:tcBorders>
            <w:hideMark/>
          </w:tcPr>
          <w:p w:rsidR="00A75EE9" w:rsidRPr="00B47289" w:rsidRDefault="00A75EE9" w:rsidP="003B4BCE">
            <w:pPr>
              <w:rPr>
                <w:noProof/>
                <w:sz w:val="22"/>
                <w:szCs w:val="22"/>
              </w:rPr>
            </w:pPr>
            <w:r w:rsidRPr="00B47289">
              <w:rPr>
                <w:noProof/>
                <w:sz w:val="22"/>
                <w:szCs w:val="22"/>
              </w:rPr>
              <w:t>Forhøjede levertal (transaminaser, γ</w:t>
            </w:r>
            <w:r w:rsidRPr="00B47289">
              <w:rPr>
                <w:noProof/>
                <w:sz w:val="22"/>
                <w:szCs w:val="22"/>
              </w:rPr>
              <w:noBreakHyphen/>
              <w:t>GT)</w:t>
            </w:r>
          </w:p>
        </w:tc>
        <w:tc>
          <w:tcPr>
            <w:tcW w:w="968" w:type="pct"/>
            <w:tcBorders>
              <w:top w:val="single" w:sz="4" w:space="0" w:color="auto"/>
              <w:left w:val="single" w:sz="4" w:space="0" w:color="auto"/>
              <w:bottom w:val="single" w:sz="4" w:space="0" w:color="auto"/>
              <w:right w:val="single" w:sz="4" w:space="0" w:color="auto"/>
            </w:tcBorders>
            <w:hideMark/>
          </w:tcPr>
          <w:p w:rsidR="00A75EE9" w:rsidRPr="00B47289" w:rsidRDefault="00A75EE9" w:rsidP="003B4BCE">
            <w:pPr>
              <w:rPr>
                <w:noProof/>
                <w:sz w:val="22"/>
                <w:szCs w:val="22"/>
              </w:rPr>
            </w:pPr>
            <w:r w:rsidRPr="00B47289">
              <w:rPr>
                <w:noProof/>
                <w:sz w:val="22"/>
                <w:szCs w:val="22"/>
              </w:rPr>
              <w:t>Forhøjet bilirubin</w:t>
            </w:r>
          </w:p>
        </w:tc>
        <w:tc>
          <w:tcPr>
            <w:tcW w:w="790" w:type="pct"/>
            <w:tcBorders>
              <w:top w:val="single" w:sz="4" w:space="0" w:color="auto"/>
              <w:left w:val="single" w:sz="4" w:space="0" w:color="auto"/>
              <w:bottom w:val="single" w:sz="4" w:space="0" w:color="auto"/>
              <w:right w:val="single" w:sz="4" w:space="0" w:color="auto"/>
            </w:tcBorders>
          </w:tcPr>
          <w:p w:rsidR="00A75EE9" w:rsidRPr="00B47289" w:rsidRDefault="00A75EE9" w:rsidP="003B4BCE">
            <w:pPr>
              <w:rPr>
                <w:noProof/>
                <w:sz w:val="22"/>
                <w:szCs w:val="22"/>
              </w:rPr>
            </w:pPr>
          </w:p>
        </w:tc>
        <w:tc>
          <w:tcPr>
            <w:tcW w:w="766" w:type="pct"/>
            <w:tcBorders>
              <w:top w:val="single" w:sz="4" w:space="0" w:color="auto"/>
              <w:left w:val="single" w:sz="4" w:space="0" w:color="auto"/>
              <w:bottom w:val="single" w:sz="4" w:space="0" w:color="auto"/>
              <w:right w:val="single" w:sz="4" w:space="0" w:color="auto"/>
            </w:tcBorders>
            <w:hideMark/>
          </w:tcPr>
          <w:p w:rsidR="00A75EE9" w:rsidRPr="00B47289" w:rsidRDefault="00A75EE9" w:rsidP="003B4BCE">
            <w:pPr>
              <w:rPr>
                <w:noProof/>
                <w:sz w:val="22"/>
                <w:szCs w:val="22"/>
              </w:rPr>
            </w:pPr>
            <w:r w:rsidRPr="00B47289">
              <w:rPr>
                <w:noProof/>
                <w:sz w:val="22"/>
                <w:szCs w:val="22"/>
              </w:rPr>
              <w:t>Hepatocellu</w:t>
            </w:r>
            <w:r>
              <w:rPr>
                <w:noProof/>
                <w:sz w:val="22"/>
                <w:szCs w:val="22"/>
              </w:rPr>
              <w:softHyphen/>
            </w:r>
            <w:r w:rsidRPr="00B47289">
              <w:rPr>
                <w:noProof/>
                <w:sz w:val="22"/>
                <w:szCs w:val="22"/>
              </w:rPr>
              <w:t xml:space="preserve">lær skade </w:t>
            </w:r>
          </w:p>
          <w:p w:rsidR="00A75EE9" w:rsidRPr="00B47289" w:rsidRDefault="00A75EE9" w:rsidP="003B4BCE">
            <w:pPr>
              <w:rPr>
                <w:noProof/>
                <w:sz w:val="22"/>
                <w:szCs w:val="22"/>
              </w:rPr>
            </w:pPr>
            <w:r w:rsidRPr="00B47289">
              <w:rPr>
                <w:noProof/>
                <w:sz w:val="22"/>
                <w:szCs w:val="22"/>
              </w:rPr>
              <w:t>Gulsot Leversvigt</w:t>
            </w:r>
          </w:p>
        </w:tc>
      </w:tr>
      <w:tr w:rsidR="00A75EE9" w:rsidRPr="00B47289" w:rsidTr="003B4BCE">
        <w:trPr>
          <w:trHeight w:val="1103"/>
        </w:trPr>
        <w:tc>
          <w:tcPr>
            <w:tcW w:w="788" w:type="pct"/>
            <w:tcBorders>
              <w:top w:val="single" w:sz="4" w:space="0" w:color="auto"/>
              <w:left w:val="single" w:sz="4" w:space="0" w:color="auto"/>
              <w:bottom w:val="single" w:sz="4" w:space="0" w:color="auto"/>
              <w:right w:val="single" w:sz="4" w:space="0" w:color="auto"/>
            </w:tcBorders>
            <w:hideMark/>
          </w:tcPr>
          <w:p w:rsidR="00A75EE9" w:rsidRPr="00B47289" w:rsidRDefault="00A75EE9" w:rsidP="003B4BCE">
            <w:pPr>
              <w:rPr>
                <w:noProof/>
                <w:sz w:val="22"/>
                <w:szCs w:val="22"/>
              </w:rPr>
            </w:pPr>
            <w:r w:rsidRPr="00B47289">
              <w:rPr>
                <w:noProof/>
                <w:sz w:val="22"/>
                <w:szCs w:val="22"/>
              </w:rPr>
              <w:t>Hud og subkutane væv</w:t>
            </w:r>
          </w:p>
        </w:tc>
        <w:tc>
          <w:tcPr>
            <w:tcW w:w="783" w:type="pct"/>
            <w:tcBorders>
              <w:top w:val="single" w:sz="4" w:space="0" w:color="auto"/>
              <w:left w:val="single" w:sz="4" w:space="0" w:color="auto"/>
              <w:bottom w:val="single" w:sz="4" w:space="0" w:color="auto"/>
              <w:right w:val="single" w:sz="4" w:space="0" w:color="auto"/>
            </w:tcBorders>
          </w:tcPr>
          <w:p w:rsidR="00A75EE9" w:rsidRPr="00B47289" w:rsidRDefault="00A75EE9" w:rsidP="003B4BCE">
            <w:pPr>
              <w:rPr>
                <w:noProof/>
                <w:sz w:val="22"/>
                <w:szCs w:val="22"/>
              </w:rPr>
            </w:pPr>
          </w:p>
        </w:tc>
        <w:tc>
          <w:tcPr>
            <w:tcW w:w="906" w:type="pct"/>
            <w:tcBorders>
              <w:top w:val="single" w:sz="4" w:space="0" w:color="auto"/>
              <w:left w:val="single" w:sz="4" w:space="0" w:color="auto"/>
              <w:bottom w:val="single" w:sz="4" w:space="0" w:color="auto"/>
              <w:right w:val="single" w:sz="4" w:space="0" w:color="auto"/>
            </w:tcBorders>
            <w:hideMark/>
          </w:tcPr>
          <w:p w:rsidR="00A75EE9" w:rsidRPr="00B47289" w:rsidRDefault="00A75EE9" w:rsidP="003B4BCE">
            <w:pPr>
              <w:rPr>
                <w:noProof/>
                <w:sz w:val="22"/>
                <w:szCs w:val="22"/>
              </w:rPr>
            </w:pPr>
            <w:r w:rsidRPr="00B47289">
              <w:rPr>
                <w:noProof/>
                <w:sz w:val="22"/>
                <w:szCs w:val="22"/>
              </w:rPr>
              <w:t>Udslæt/eksantem/eruptioner</w:t>
            </w:r>
          </w:p>
          <w:p w:rsidR="00A75EE9" w:rsidRPr="00B47289" w:rsidRDefault="00A75EE9" w:rsidP="003B4BCE">
            <w:pPr>
              <w:rPr>
                <w:noProof/>
                <w:sz w:val="22"/>
                <w:szCs w:val="22"/>
              </w:rPr>
            </w:pPr>
            <w:r w:rsidRPr="00B47289">
              <w:rPr>
                <w:noProof/>
                <w:sz w:val="22"/>
                <w:szCs w:val="22"/>
              </w:rPr>
              <w:t>Kløe</w:t>
            </w:r>
          </w:p>
        </w:tc>
        <w:tc>
          <w:tcPr>
            <w:tcW w:w="968" w:type="pct"/>
            <w:tcBorders>
              <w:top w:val="single" w:sz="4" w:space="0" w:color="auto"/>
              <w:left w:val="single" w:sz="4" w:space="0" w:color="auto"/>
              <w:bottom w:val="single" w:sz="4" w:space="0" w:color="auto"/>
              <w:right w:val="single" w:sz="4" w:space="0" w:color="auto"/>
            </w:tcBorders>
            <w:hideMark/>
          </w:tcPr>
          <w:p w:rsidR="00A75EE9" w:rsidRPr="00B47289" w:rsidRDefault="00A75EE9" w:rsidP="003B4BCE">
            <w:pPr>
              <w:rPr>
                <w:noProof/>
                <w:sz w:val="22"/>
                <w:szCs w:val="22"/>
              </w:rPr>
            </w:pPr>
            <w:r w:rsidRPr="00B47289">
              <w:rPr>
                <w:noProof/>
                <w:sz w:val="22"/>
                <w:szCs w:val="22"/>
              </w:rPr>
              <w:t>Urticaria Angioødem</w:t>
            </w:r>
          </w:p>
        </w:tc>
        <w:tc>
          <w:tcPr>
            <w:tcW w:w="790" w:type="pct"/>
            <w:tcBorders>
              <w:top w:val="single" w:sz="4" w:space="0" w:color="auto"/>
              <w:left w:val="single" w:sz="4" w:space="0" w:color="auto"/>
              <w:bottom w:val="single" w:sz="4" w:space="0" w:color="auto"/>
              <w:right w:val="single" w:sz="4" w:space="0" w:color="auto"/>
            </w:tcBorders>
          </w:tcPr>
          <w:p w:rsidR="00A75EE9" w:rsidRPr="00B47289" w:rsidRDefault="00A75EE9" w:rsidP="003B4BCE">
            <w:pPr>
              <w:rPr>
                <w:noProof/>
                <w:sz w:val="22"/>
                <w:szCs w:val="22"/>
              </w:rPr>
            </w:pPr>
          </w:p>
        </w:tc>
        <w:tc>
          <w:tcPr>
            <w:tcW w:w="766" w:type="pct"/>
            <w:tcBorders>
              <w:top w:val="single" w:sz="4" w:space="0" w:color="auto"/>
              <w:left w:val="single" w:sz="4" w:space="0" w:color="auto"/>
              <w:bottom w:val="single" w:sz="4" w:space="0" w:color="auto"/>
              <w:right w:val="single" w:sz="4" w:space="0" w:color="auto"/>
            </w:tcBorders>
            <w:hideMark/>
          </w:tcPr>
          <w:p w:rsidR="00A75EE9" w:rsidRPr="00B47289" w:rsidRDefault="00A75EE9" w:rsidP="003B4BCE">
            <w:pPr>
              <w:rPr>
                <w:i/>
                <w:iCs/>
                <w:noProof/>
                <w:sz w:val="22"/>
                <w:szCs w:val="22"/>
              </w:rPr>
            </w:pPr>
            <w:r w:rsidRPr="00B47289">
              <w:rPr>
                <w:i/>
                <w:iCs/>
                <w:noProof/>
                <w:sz w:val="22"/>
                <w:szCs w:val="22"/>
              </w:rPr>
              <w:t xml:space="preserve">Stevens-Johnson syndrom </w:t>
            </w:r>
          </w:p>
          <w:p w:rsidR="00A75EE9" w:rsidRPr="00B47289" w:rsidRDefault="00A75EE9" w:rsidP="003B4BCE">
            <w:pPr>
              <w:rPr>
                <w:sz w:val="22"/>
                <w:szCs w:val="22"/>
              </w:rPr>
            </w:pPr>
            <w:r w:rsidRPr="00B47289">
              <w:rPr>
                <w:i/>
                <w:iCs/>
                <w:noProof/>
                <w:sz w:val="22"/>
                <w:szCs w:val="22"/>
              </w:rPr>
              <w:t>Lyell syndrome</w:t>
            </w:r>
            <w:r w:rsidRPr="00B47289">
              <w:rPr>
                <w:noProof/>
                <w:sz w:val="22"/>
                <w:szCs w:val="22"/>
              </w:rPr>
              <w:t xml:space="preserve"> Erythema multiforme Lysfølsomhed </w:t>
            </w:r>
          </w:p>
          <w:p w:rsidR="00A75EE9" w:rsidRPr="00B47289" w:rsidRDefault="00A75EE9" w:rsidP="003B4BCE">
            <w:pPr>
              <w:rPr>
                <w:noProof/>
                <w:sz w:val="22"/>
                <w:szCs w:val="22"/>
              </w:rPr>
            </w:pPr>
            <w:proofErr w:type="spellStart"/>
            <w:r w:rsidRPr="00B47289">
              <w:rPr>
                <w:sz w:val="22"/>
                <w:szCs w:val="22"/>
              </w:rPr>
              <w:t>Subakut</w:t>
            </w:r>
            <w:proofErr w:type="spellEnd"/>
            <w:r w:rsidRPr="00B47289">
              <w:rPr>
                <w:sz w:val="22"/>
                <w:szCs w:val="22"/>
              </w:rPr>
              <w:t xml:space="preserve"> </w:t>
            </w:r>
            <w:proofErr w:type="spellStart"/>
            <w:r w:rsidRPr="00B47289">
              <w:rPr>
                <w:sz w:val="22"/>
                <w:szCs w:val="22"/>
              </w:rPr>
              <w:t>kutan</w:t>
            </w:r>
            <w:proofErr w:type="spellEnd"/>
            <w:r w:rsidRPr="00B47289">
              <w:rPr>
                <w:sz w:val="22"/>
                <w:szCs w:val="22"/>
              </w:rPr>
              <w:t xml:space="preserve"> lupus </w:t>
            </w:r>
            <w:proofErr w:type="spellStart"/>
            <w:r w:rsidRPr="00B47289">
              <w:rPr>
                <w:sz w:val="22"/>
                <w:szCs w:val="22"/>
              </w:rPr>
              <w:t>erythematosus</w:t>
            </w:r>
            <w:proofErr w:type="spellEnd"/>
            <w:r w:rsidRPr="00B47289">
              <w:rPr>
                <w:sz w:val="22"/>
                <w:szCs w:val="22"/>
              </w:rPr>
              <w:t xml:space="preserve"> (se pkt. 4.4).</w:t>
            </w:r>
          </w:p>
        </w:tc>
      </w:tr>
      <w:tr w:rsidR="00A75EE9" w:rsidRPr="00B47289" w:rsidTr="003B4BCE">
        <w:tc>
          <w:tcPr>
            <w:tcW w:w="788" w:type="pct"/>
            <w:tcBorders>
              <w:top w:val="single" w:sz="4" w:space="0" w:color="auto"/>
              <w:left w:val="single" w:sz="4" w:space="0" w:color="auto"/>
              <w:bottom w:val="single" w:sz="4" w:space="0" w:color="auto"/>
              <w:right w:val="single" w:sz="4" w:space="0" w:color="auto"/>
            </w:tcBorders>
            <w:hideMark/>
          </w:tcPr>
          <w:p w:rsidR="00A75EE9" w:rsidRPr="00B47289" w:rsidRDefault="00A75EE9" w:rsidP="003B4BCE">
            <w:pPr>
              <w:rPr>
                <w:noProof/>
                <w:sz w:val="22"/>
                <w:szCs w:val="22"/>
              </w:rPr>
            </w:pPr>
            <w:r w:rsidRPr="00B47289">
              <w:rPr>
                <w:noProof/>
                <w:sz w:val="22"/>
                <w:szCs w:val="22"/>
              </w:rPr>
              <w:t>Knogler, led, muskler og bindevæv</w:t>
            </w:r>
          </w:p>
        </w:tc>
        <w:tc>
          <w:tcPr>
            <w:tcW w:w="783" w:type="pct"/>
            <w:tcBorders>
              <w:top w:val="single" w:sz="4" w:space="0" w:color="auto"/>
              <w:left w:val="single" w:sz="4" w:space="0" w:color="auto"/>
              <w:bottom w:val="single" w:sz="4" w:space="0" w:color="auto"/>
              <w:right w:val="single" w:sz="4" w:space="0" w:color="auto"/>
            </w:tcBorders>
          </w:tcPr>
          <w:p w:rsidR="00A75EE9" w:rsidRPr="00B47289" w:rsidRDefault="00A75EE9" w:rsidP="003B4BCE">
            <w:pPr>
              <w:rPr>
                <w:noProof/>
                <w:sz w:val="22"/>
                <w:szCs w:val="22"/>
              </w:rPr>
            </w:pPr>
          </w:p>
        </w:tc>
        <w:tc>
          <w:tcPr>
            <w:tcW w:w="906" w:type="pct"/>
            <w:tcBorders>
              <w:top w:val="single" w:sz="4" w:space="0" w:color="auto"/>
              <w:left w:val="single" w:sz="4" w:space="0" w:color="auto"/>
              <w:bottom w:val="single" w:sz="4" w:space="0" w:color="auto"/>
              <w:right w:val="single" w:sz="4" w:space="0" w:color="auto"/>
            </w:tcBorders>
            <w:hideMark/>
          </w:tcPr>
          <w:p w:rsidR="00A75EE9" w:rsidRPr="00B47289" w:rsidRDefault="00A75EE9" w:rsidP="003B4BCE">
            <w:pPr>
              <w:rPr>
                <w:noProof/>
                <w:sz w:val="22"/>
                <w:szCs w:val="22"/>
              </w:rPr>
            </w:pPr>
            <w:r w:rsidRPr="00B47289">
              <w:rPr>
                <w:sz w:val="22"/>
                <w:szCs w:val="22"/>
              </w:rPr>
              <w:t xml:space="preserve">Fraktur på hofte, håndled eller rygrad (se pkt. 4.4). </w:t>
            </w:r>
          </w:p>
        </w:tc>
        <w:tc>
          <w:tcPr>
            <w:tcW w:w="968" w:type="pct"/>
            <w:tcBorders>
              <w:top w:val="single" w:sz="4" w:space="0" w:color="auto"/>
              <w:left w:val="single" w:sz="4" w:space="0" w:color="auto"/>
              <w:bottom w:val="single" w:sz="4" w:space="0" w:color="auto"/>
              <w:right w:val="single" w:sz="4" w:space="0" w:color="auto"/>
            </w:tcBorders>
            <w:hideMark/>
          </w:tcPr>
          <w:p w:rsidR="00A75EE9" w:rsidRPr="00B47289" w:rsidRDefault="00A75EE9" w:rsidP="003B4BCE">
            <w:pPr>
              <w:rPr>
                <w:noProof/>
                <w:sz w:val="22"/>
                <w:szCs w:val="22"/>
              </w:rPr>
            </w:pPr>
            <w:r w:rsidRPr="00B47289">
              <w:rPr>
                <w:noProof/>
                <w:sz w:val="22"/>
                <w:szCs w:val="22"/>
              </w:rPr>
              <w:t xml:space="preserve">Arthralgi </w:t>
            </w:r>
          </w:p>
          <w:p w:rsidR="00A75EE9" w:rsidRPr="00B47289" w:rsidRDefault="00A75EE9" w:rsidP="003B4BCE">
            <w:pPr>
              <w:rPr>
                <w:noProof/>
                <w:sz w:val="22"/>
                <w:szCs w:val="22"/>
              </w:rPr>
            </w:pPr>
            <w:r w:rsidRPr="00B47289">
              <w:rPr>
                <w:noProof/>
                <w:sz w:val="22"/>
                <w:szCs w:val="22"/>
              </w:rPr>
              <w:t>Myalgi</w:t>
            </w:r>
          </w:p>
        </w:tc>
        <w:tc>
          <w:tcPr>
            <w:tcW w:w="790" w:type="pct"/>
            <w:tcBorders>
              <w:top w:val="single" w:sz="4" w:space="0" w:color="auto"/>
              <w:left w:val="single" w:sz="4" w:space="0" w:color="auto"/>
              <w:bottom w:val="single" w:sz="4" w:space="0" w:color="auto"/>
              <w:right w:val="single" w:sz="4" w:space="0" w:color="auto"/>
            </w:tcBorders>
          </w:tcPr>
          <w:p w:rsidR="00A75EE9" w:rsidRPr="00B47289" w:rsidRDefault="00A75EE9" w:rsidP="003B4BCE">
            <w:pPr>
              <w:rPr>
                <w:noProof/>
                <w:sz w:val="22"/>
                <w:szCs w:val="22"/>
              </w:rPr>
            </w:pPr>
          </w:p>
        </w:tc>
        <w:tc>
          <w:tcPr>
            <w:tcW w:w="766" w:type="pct"/>
            <w:tcBorders>
              <w:top w:val="single" w:sz="4" w:space="0" w:color="auto"/>
              <w:left w:val="single" w:sz="4" w:space="0" w:color="auto"/>
              <w:bottom w:val="single" w:sz="4" w:space="0" w:color="auto"/>
              <w:right w:val="single" w:sz="4" w:space="0" w:color="auto"/>
            </w:tcBorders>
            <w:hideMark/>
          </w:tcPr>
          <w:p w:rsidR="00A75EE9" w:rsidRPr="00B47289" w:rsidRDefault="00A75EE9" w:rsidP="003B4BCE">
            <w:pPr>
              <w:rPr>
                <w:noProof/>
                <w:sz w:val="22"/>
                <w:szCs w:val="22"/>
              </w:rPr>
            </w:pPr>
            <w:r w:rsidRPr="00B47289">
              <w:rPr>
                <w:rStyle w:val="hps"/>
                <w:color w:val="222222"/>
                <w:sz w:val="22"/>
                <w:szCs w:val="22"/>
              </w:rPr>
              <w:t>Muskelkram</w:t>
            </w:r>
            <w:r w:rsidRPr="00B47289">
              <w:rPr>
                <w:rStyle w:val="hps"/>
                <w:color w:val="222222"/>
                <w:sz w:val="22"/>
                <w:szCs w:val="22"/>
              </w:rPr>
              <w:softHyphen/>
              <w:t xml:space="preserve">per </w:t>
            </w:r>
            <w:r w:rsidRPr="00B47289">
              <w:rPr>
                <w:rStyle w:val="hps"/>
                <w:color w:val="222222"/>
                <w:sz w:val="22"/>
                <w:szCs w:val="22"/>
                <w:vertAlign w:val="superscript"/>
              </w:rPr>
              <w:t>(2)</w:t>
            </w:r>
            <w:r w:rsidRPr="00B47289">
              <w:rPr>
                <w:rStyle w:val="shorttext"/>
                <w:color w:val="222222"/>
                <w:sz w:val="22"/>
                <w:szCs w:val="22"/>
              </w:rPr>
              <w:t xml:space="preserve"> </w:t>
            </w:r>
          </w:p>
        </w:tc>
      </w:tr>
      <w:tr w:rsidR="00A75EE9" w:rsidRPr="00B47289" w:rsidTr="003B4BCE">
        <w:tc>
          <w:tcPr>
            <w:tcW w:w="788" w:type="pct"/>
            <w:tcBorders>
              <w:top w:val="single" w:sz="4" w:space="0" w:color="auto"/>
              <w:left w:val="single" w:sz="4" w:space="0" w:color="auto"/>
              <w:bottom w:val="single" w:sz="4" w:space="0" w:color="auto"/>
              <w:right w:val="single" w:sz="4" w:space="0" w:color="auto"/>
            </w:tcBorders>
            <w:hideMark/>
          </w:tcPr>
          <w:p w:rsidR="00A75EE9" w:rsidRPr="00B47289" w:rsidRDefault="00A75EE9" w:rsidP="003B4BCE">
            <w:pPr>
              <w:rPr>
                <w:noProof/>
                <w:sz w:val="22"/>
                <w:szCs w:val="22"/>
              </w:rPr>
            </w:pPr>
            <w:r w:rsidRPr="00B47289">
              <w:rPr>
                <w:noProof/>
                <w:sz w:val="22"/>
                <w:szCs w:val="22"/>
              </w:rPr>
              <w:t>Nyrer og urinveje</w:t>
            </w:r>
          </w:p>
        </w:tc>
        <w:tc>
          <w:tcPr>
            <w:tcW w:w="783" w:type="pct"/>
            <w:tcBorders>
              <w:top w:val="single" w:sz="4" w:space="0" w:color="auto"/>
              <w:left w:val="single" w:sz="4" w:space="0" w:color="auto"/>
              <w:bottom w:val="single" w:sz="4" w:space="0" w:color="auto"/>
              <w:right w:val="single" w:sz="4" w:space="0" w:color="auto"/>
            </w:tcBorders>
          </w:tcPr>
          <w:p w:rsidR="00A75EE9" w:rsidRPr="00B47289" w:rsidRDefault="00A75EE9" w:rsidP="003B4BCE">
            <w:pPr>
              <w:rPr>
                <w:noProof/>
                <w:sz w:val="22"/>
                <w:szCs w:val="22"/>
              </w:rPr>
            </w:pPr>
          </w:p>
        </w:tc>
        <w:tc>
          <w:tcPr>
            <w:tcW w:w="906" w:type="pct"/>
            <w:tcBorders>
              <w:top w:val="single" w:sz="4" w:space="0" w:color="auto"/>
              <w:left w:val="single" w:sz="4" w:space="0" w:color="auto"/>
              <w:bottom w:val="single" w:sz="4" w:space="0" w:color="auto"/>
              <w:right w:val="single" w:sz="4" w:space="0" w:color="auto"/>
            </w:tcBorders>
          </w:tcPr>
          <w:p w:rsidR="00A75EE9" w:rsidRPr="00B47289" w:rsidRDefault="00A75EE9" w:rsidP="003B4BCE">
            <w:pPr>
              <w:rPr>
                <w:noProof/>
                <w:sz w:val="22"/>
                <w:szCs w:val="22"/>
              </w:rPr>
            </w:pPr>
          </w:p>
        </w:tc>
        <w:tc>
          <w:tcPr>
            <w:tcW w:w="968" w:type="pct"/>
            <w:tcBorders>
              <w:top w:val="single" w:sz="4" w:space="0" w:color="auto"/>
              <w:left w:val="single" w:sz="4" w:space="0" w:color="auto"/>
              <w:bottom w:val="single" w:sz="4" w:space="0" w:color="auto"/>
              <w:right w:val="single" w:sz="4" w:space="0" w:color="auto"/>
            </w:tcBorders>
          </w:tcPr>
          <w:p w:rsidR="00A75EE9" w:rsidRPr="00B47289" w:rsidRDefault="00A75EE9" w:rsidP="003B4BCE">
            <w:pPr>
              <w:rPr>
                <w:noProof/>
                <w:sz w:val="22"/>
                <w:szCs w:val="22"/>
              </w:rPr>
            </w:pPr>
          </w:p>
        </w:tc>
        <w:tc>
          <w:tcPr>
            <w:tcW w:w="790" w:type="pct"/>
            <w:tcBorders>
              <w:top w:val="single" w:sz="4" w:space="0" w:color="auto"/>
              <w:left w:val="single" w:sz="4" w:space="0" w:color="auto"/>
              <w:bottom w:val="single" w:sz="4" w:space="0" w:color="auto"/>
              <w:right w:val="single" w:sz="4" w:space="0" w:color="auto"/>
            </w:tcBorders>
          </w:tcPr>
          <w:p w:rsidR="00A75EE9" w:rsidRPr="00B47289" w:rsidRDefault="00A75EE9" w:rsidP="003B4BCE">
            <w:pPr>
              <w:rPr>
                <w:noProof/>
                <w:sz w:val="22"/>
                <w:szCs w:val="22"/>
              </w:rPr>
            </w:pPr>
          </w:p>
        </w:tc>
        <w:tc>
          <w:tcPr>
            <w:tcW w:w="766" w:type="pct"/>
            <w:tcBorders>
              <w:top w:val="single" w:sz="4" w:space="0" w:color="auto"/>
              <w:left w:val="single" w:sz="4" w:space="0" w:color="auto"/>
              <w:bottom w:val="single" w:sz="4" w:space="0" w:color="auto"/>
              <w:right w:val="single" w:sz="4" w:space="0" w:color="auto"/>
            </w:tcBorders>
            <w:hideMark/>
          </w:tcPr>
          <w:p w:rsidR="00A75EE9" w:rsidRPr="00B47289" w:rsidRDefault="00A75EE9" w:rsidP="003B4BCE">
            <w:pPr>
              <w:rPr>
                <w:noProof/>
                <w:sz w:val="22"/>
                <w:szCs w:val="22"/>
              </w:rPr>
            </w:pPr>
            <w:r w:rsidRPr="00B47289">
              <w:rPr>
                <w:noProof/>
                <w:sz w:val="22"/>
                <w:szCs w:val="22"/>
              </w:rPr>
              <w:t>Interstitiel nephritis</w:t>
            </w:r>
            <w:r w:rsidRPr="00B47289">
              <w:rPr>
                <w:color w:val="222222"/>
                <w:sz w:val="22"/>
                <w:szCs w:val="22"/>
              </w:rPr>
              <w:t xml:space="preserve"> (</w:t>
            </w:r>
            <w:r w:rsidRPr="00B47289">
              <w:rPr>
                <w:rStyle w:val="hps"/>
                <w:color w:val="222222"/>
                <w:sz w:val="22"/>
                <w:szCs w:val="22"/>
              </w:rPr>
              <w:t>med</w:t>
            </w:r>
            <w:r w:rsidRPr="00B47289">
              <w:rPr>
                <w:color w:val="222222"/>
                <w:sz w:val="22"/>
                <w:szCs w:val="22"/>
              </w:rPr>
              <w:t xml:space="preserve"> </w:t>
            </w:r>
            <w:r w:rsidRPr="00B47289">
              <w:rPr>
                <w:rStyle w:val="hps"/>
                <w:color w:val="222222"/>
                <w:sz w:val="22"/>
                <w:szCs w:val="22"/>
              </w:rPr>
              <w:t>mulig</w:t>
            </w:r>
            <w:r w:rsidRPr="00B47289">
              <w:rPr>
                <w:color w:val="222222"/>
                <w:sz w:val="22"/>
                <w:szCs w:val="22"/>
              </w:rPr>
              <w:t xml:space="preserve"> </w:t>
            </w:r>
            <w:r w:rsidRPr="00B47289">
              <w:rPr>
                <w:rStyle w:val="hps"/>
                <w:color w:val="222222"/>
                <w:sz w:val="22"/>
                <w:szCs w:val="22"/>
              </w:rPr>
              <w:t>progression til</w:t>
            </w:r>
            <w:r w:rsidRPr="00B47289">
              <w:rPr>
                <w:color w:val="222222"/>
                <w:sz w:val="22"/>
                <w:szCs w:val="22"/>
              </w:rPr>
              <w:t xml:space="preserve"> </w:t>
            </w:r>
            <w:r w:rsidRPr="00B47289">
              <w:rPr>
                <w:rStyle w:val="hps"/>
                <w:color w:val="222222"/>
                <w:sz w:val="22"/>
                <w:szCs w:val="22"/>
              </w:rPr>
              <w:t>nyresvigt)</w:t>
            </w:r>
          </w:p>
        </w:tc>
      </w:tr>
      <w:tr w:rsidR="00A75EE9" w:rsidRPr="00B47289" w:rsidTr="003B4BCE">
        <w:tc>
          <w:tcPr>
            <w:tcW w:w="788" w:type="pct"/>
            <w:tcBorders>
              <w:top w:val="single" w:sz="4" w:space="0" w:color="auto"/>
              <w:left w:val="single" w:sz="4" w:space="0" w:color="auto"/>
              <w:bottom w:val="single" w:sz="4" w:space="0" w:color="auto"/>
              <w:right w:val="single" w:sz="4" w:space="0" w:color="auto"/>
            </w:tcBorders>
            <w:hideMark/>
          </w:tcPr>
          <w:p w:rsidR="00A75EE9" w:rsidRPr="00B47289" w:rsidRDefault="00A75EE9" w:rsidP="003B4BCE">
            <w:pPr>
              <w:rPr>
                <w:noProof/>
                <w:sz w:val="22"/>
                <w:szCs w:val="22"/>
              </w:rPr>
            </w:pPr>
            <w:r w:rsidRPr="00B47289">
              <w:rPr>
                <w:noProof/>
                <w:sz w:val="22"/>
                <w:szCs w:val="22"/>
              </w:rPr>
              <w:t xml:space="preserve">Det reproduktive system og mammae   </w:t>
            </w:r>
          </w:p>
        </w:tc>
        <w:tc>
          <w:tcPr>
            <w:tcW w:w="783" w:type="pct"/>
            <w:tcBorders>
              <w:top w:val="single" w:sz="4" w:space="0" w:color="auto"/>
              <w:left w:val="single" w:sz="4" w:space="0" w:color="auto"/>
              <w:bottom w:val="single" w:sz="4" w:space="0" w:color="auto"/>
              <w:right w:val="single" w:sz="4" w:space="0" w:color="auto"/>
            </w:tcBorders>
          </w:tcPr>
          <w:p w:rsidR="00A75EE9" w:rsidRPr="00B47289" w:rsidRDefault="00A75EE9" w:rsidP="003B4BCE">
            <w:pPr>
              <w:rPr>
                <w:noProof/>
                <w:sz w:val="22"/>
                <w:szCs w:val="22"/>
              </w:rPr>
            </w:pPr>
          </w:p>
        </w:tc>
        <w:tc>
          <w:tcPr>
            <w:tcW w:w="906" w:type="pct"/>
            <w:tcBorders>
              <w:top w:val="single" w:sz="4" w:space="0" w:color="auto"/>
              <w:left w:val="single" w:sz="4" w:space="0" w:color="auto"/>
              <w:bottom w:val="single" w:sz="4" w:space="0" w:color="auto"/>
              <w:right w:val="single" w:sz="4" w:space="0" w:color="auto"/>
            </w:tcBorders>
          </w:tcPr>
          <w:p w:rsidR="00A75EE9" w:rsidRPr="00B47289" w:rsidRDefault="00A75EE9" w:rsidP="003B4BCE">
            <w:pPr>
              <w:rPr>
                <w:noProof/>
                <w:sz w:val="22"/>
                <w:szCs w:val="22"/>
              </w:rPr>
            </w:pPr>
          </w:p>
        </w:tc>
        <w:tc>
          <w:tcPr>
            <w:tcW w:w="968" w:type="pct"/>
            <w:tcBorders>
              <w:top w:val="single" w:sz="4" w:space="0" w:color="auto"/>
              <w:left w:val="single" w:sz="4" w:space="0" w:color="auto"/>
              <w:bottom w:val="single" w:sz="4" w:space="0" w:color="auto"/>
              <w:right w:val="single" w:sz="4" w:space="0" w:color="auto"/>
            </w:tcBorders>
            <w:hideMark/>
          </w:tcPr>
          <w:p w:rsidR="00A75EE9" w:rsidRPr="00B47289" w:rsidRDefault="00A75EE9" w:rsidP="003B4BCE">
            <w:pPr>
              <w:rPr>
                <w:noProof/>
                <w:sz w:val="22"/>
                <w:szCs w:val="22"/>
              </w:rPr>
            </w:pPr>
            <w:r w:rsidRPr="00B47289">
              <w:rPr>
                <w:noProof/>
                <w:sz w:val="22"/>
                <w:szCs w:val="22"/>
              </w:rPr>
              <w:t xml:space="preserve">Gynækomasti </w:t>
            </w:r>
          </w:p>
        </w:tc>
        <w:tc>
          <w:tcPr>
            <w:tcW w:w="790" w:type="pct"/>
            <w:tcBorders>
              <w:top w:val="single" w:sz="4" w:space="0" w:color="auto"/>
              <w:left w:val="single" w:sz="4" w:space="0" w:color="auto"/>
              <w:bottom w:val="single" w:sz="4" w:space="0" w:color="auto"/>
              <w:right w:val="single" w:sz="4" w:space="0" w:color="auto"/>
            </w:tcBorders>
          </w:tcPr>
          <w:p w:rsidR="00A75EE9" w:rsidRPr="00B47289" w:rsidRDefault="00A75EE9" w:rsidP="003B4BCE">
            <w:pPr>
              <w:rPr>
                <w:noProof/>
                <w:sz w:val="22"/>
                <w:szCs w:val="22"/>
              </w:rPr>
            </w:pPr>
          </w:p>
        </w:tc>
        <w:tc>
          <w:tcPr>
            <w:tcW w:w="766" w:type="pct"/>
            <w:tcBorders>
              <w:top w:val="single" w:sz="4" w:space="0" w:color="auto"/>
              <w:left w:val="single" w:sz="4" w:space="0" w:color="auto"/>
              <w:bottom w:val="single" w:sz="4" w:space="0" w:color="auto"/>
              <w:right w:val="single" w:sz="4" w:space="0" w:color="auto"/>
            </w:tcBorders>
          </w:tcPr>
          <w:p w:rsidR="00A75EE9" w:rsidRPr="00B47289" w:rsidRDefault="00A75EE9" w:rsidP="003B4BCE">
            <w:pPr>
              <w:rPr>
                <w:noProof/>
                <w:sz w:val="22"/>
                <w:szCs w:val="22"/>
              </w:rPr>
            </w:pPr>
          </w:p>
        </w:tc>
      </w:tr>
      <w:tr w:rsidR="00A75EE9" w:rsidRPr="00B47289" w:rsidTr="003B4BCE">
        <w:tc>
          <w:tcPr>
            <w:tcW w:w="788" w:type="pct"/>
            <w:tcBorders>
              <w:top w:val="single" w:sz="4" w:space="0" w:color="auto"/>
              <w:left w:val="single" w:sz="4" w:space="0" w:color="auto"/>
              <w:bottom w:val="single" w:sz="4" w:space="0" w:color="auto"/>
              <w:right w:val="single" w:sz="4" w:space="0" w:color="auto"/>
            </w:tcBorders>
            <w:hideMark/>
          </w:tcPr>
          <w:p w:rsidR="00A75EE9" w:rsidRPr="00B47289" w:rsidRDefault="00A75EE9" w:rsidP="003B4BCE">
            <w:pPr>
              <w:rPr>
                <w:noProof/>
                <w:sz w:val="22"/>
                <w:szCs w:val="22"/>
              </w:rPr>
            </w:pPr>
            <w:r w:rsidRPr="00B47289">
              <w:rPr>
                <w:noProof/>
                <w:sz w:val="22"/>
                <w:szCs w:val="22"/>
              </w:rPr>
              <w:t>Almene symptomer og reaktioner på administra</w:t>
            </w:r>
            <w:r w:rsidRPr="00B47289">
              <w:rPr>
                <w:noProof/>
                <w:sz w:val="22"/>
                <w:szCs w:val="22"/>
              </w:rPr>
              <w:softHyphen/>
              <w:t>tionsstedet</w:t>
            </w:r>
          </w:p>
        </w:tc>
        <w:tc>
          <w:tcPr>
            <w:tcW w:w="783" w:type="pct"/>
            <w:tcBorders>
              <w:top w:val="single" w:sz="4" w:space="0" w:color="auto"/>
              <w:left w:val="single" w:sz="4" w:space="0" w:color="auto"/>
              <w:bottom w:val="single" w:sz="4" w:space="0" w:color="auto"/>
              <w:right w:val="single" w:sz="4" w:space="0" w:color="auto"/>
            </w:tcBorders>
            <w:hideMark/>
          </w:tcPr>
          <w:p w:rsidR="00A75EE9" w:rsidRPr="00B47289" w:rsidRDefault="00A75EE9" w:rsidP="003B4BCE">
            <w:pPr>
              <w:rPr>
                <w:noProof/>
                <w:sz w:val="22"/>
                <w:szCs w:val="22"/>
              </w:rPr>
            </w:pPr>
            <w:r w:rsidRPr="00B47289">
              <w:rPr>
                <w:noProof/>
                <w:sz w:val="22"/>
                <w:szCs w:val="22"/>
              </w:rPr>
              <w:t>Trombo-flebit på injektions-stedet</w:t>
            </w:r>
          </w:p>
        </w:tc>
        <w:tc>
          <w:tcPr>
            <w:tcW w:w="906" w:type="pct"/>
            <w:tcBorders>
              <w:top w:val="single" w:sz="4" w:space="0" w:color="auto"/>
              <w:left w:val="single" w:sz="4" w:space="0" w:color="auto"/>
              <w:bottom w:val="single" w:sz="4" w:space="0" w:color="auto"/>
              <w:right w:val="single" w:sz="4" w:space="0" w:color="auto"/>
            </w:tcBorders>
            <w:hideMark/>
          </w:tcPr>
          <w:p w:rsidR="00A75EE9" w:rsidRPr="00B47289" w:rsidRDefault="00A75EE9" w:rsidP="003B4BCE">
            <w:pPr>
              <w:rPr>
                <w:noProof/>
                <w:sz w:val="22"/>
                <w:szCs w:val="22"/>
              </w:rPr>
            </w:pPr>
            <w:r w:rsidRPr="00B47289">
              <w:rPr>
                <w:noProof/>
                <w:sz w:val="22"/>
                <w:szCs w:val="22"/>
              </w:rPr>
              <w:t xml:space="preserve">Asteni </w:t>
            </w:r>
          </w:p>
          <w:p w:rsidR="00A75EE9" w:rsidRPr="00B47289" w:rsidRDefault="00A75EE9" w:rsidP="003B4BCE">
            <w:pPr>
              <w:rPr>
                <w:noProof/>
                <w:sz w:val="22"/>
                <w:szCs w:val="22"/>
              </w:rPr>
            </w:pPr>
            <w:r w:rsidRPr="00B47289">
              <w:rPr>
                <w:noProof/>
                <w:sz w:val="22"/>
                <w:szCs w:val="22"/>
              </w:rPr>
              <w:t xml:space="preserve">Træthed </w:t>
            </w:r>
          </w:p>
          <w:p w:rsidR="00A75EE9" w:rsidRPr="00B47289" w:rsidRDefault="00A75EE9" w:rsidP="003B4BCE">
            <w:pPr>
              <w:rPr>
                <w:noProof/>
                <w:sz w:val="22"/>
                <w:szCs w:val="22"/>
              </w:rPr>
            </w:pPr>
            <w:r w:rsidRPr="00B47289">
              <w:rPr>
                <w:noProof/>
                <w:sz w:val="22"/>
                <w:szCs w:val="22"/>
              </w:rPr>
              <w:t>Utilpashed</w:t>
            </w:r>
          </w:p>
        </w:tc>
        <w:tc>
          <w:tcPr>
            <w:tcW w:w="968" w:type="pct"/>
            <w:tcBorders>
              <w:top w:val="single" w:sz="4" w:space="0" w:color="auto"/>
              <w:left w:val="single" w:sz="4" w:space="0" w:color="auto"/>
              <w:bottom w:val="single" w:sz="4" w:space="0" w:color="auto"/>
              <w:right w:val="single" w:sz="4" w:space="0" w:color="auto"/>
            </w:tcBorders>
            <w:hideMark/>
          </w:tcPr>
          <w:p w:rsidR="00A75EE9" w:rsidRPr="00B47289" w:rsidRDefault="00A75EE9" w:rsidP="003B4BCE">
            <w:pPr>
              <w:rPr>
                <w:noProof/>
                <w:sz w:val="22"/>
                <w:szCs w:val="22"/>
              </w:rPr>
            </w:pPr>
            <w:r w:rsidRPr="00B47289">
              <w:rPr>
                <w:noProof/>
                <w:sz w:val="22"/>
                <w:szCs w:val="22"/>
              </w:rPr>
              <w:t>Forhøjet kropstemperatur Perifert ødem</w:t>
            </w:r>
          </w:p>
        </w:tc>
        <w:tc>
          <w:tcPr>
            <w:tcW w:w="790" w:type="pct"/>
            <w:tcBorders>
              <w:top w:val="single" w:sz="4" w:space="0" w:color="auto"/>
              <w:left w:val="single" w:sz="4" w:space="0" w:color="auto"/>
              <w:bottom w:val="single" w:sz="4" w:space="0" w:color="auto"/>
              <w:right w:val="single" w:sz="4" w:space="0" w:color="auto"/>
            </w:tcBorders>
          </w:tcPr>
          <w:p w:rsidR="00A75EE9" w:rsidRPr="00B47289" w:rsidRDefault="00A75EE9" w:rsidP="003B4BCE">
            <w:pPr>
              <w:rPr>
                <w:noProof/>
                <w:sz w:val="22"/>
                <w:szCs w:val="22"/>
              </w:rPr>
            </w:pPr>
          </w:p>
        </w:tc>
        <w:tc>
          <w:tcPr>
            <w:tcW w:w="766" w:type="pct"/>
            <w:tcBorders>
              <w:top w:val="single" w:sz="4" w:space="0" w:color="auto"/>
              <w:left w:val="single" w:sz="4" w:space="0" w:color="auto"/>
              <w:bottom w:val="single" w:sz="4" w:space="0" w:color="auto"/>
              <w:right w:val="single" w:sz="4" w:space="0" w:color="auto"/>
            </w:tcBorders>
          </w:tcPr>
          <w:p w:rsidR="00A75EE9" w:rsidRPr="00B47289" w:rsidRDefault="00A75EE9" w:rsidP="003B4BCE">
            <w:pPr>
              <w:rPr>
                <w:noProof/>
                <w:sz w:val="22"/>
                <w:szCs w:val="22"/>
              </w:rPr>
            </w:pPr>
          </w:p>
        </w:tc>
      </w:tr>
    </w:tbl>
    <w:p w:rsidR="00A75EE9" w:rsidRPr="00BC0C1D" w:rsidRDefault="00A75EE9" w:rsidP="00A75EE9">
      <w:pPr>
        <w:tabs>
          <w:tab w:val="left" w:pos="284"/>
        </w:tabs>
        <w:autoSpaceDE w:val="0"/>
        <w:autoSpaceDN w:val="0"/>
        <w:adjustRightInd w:val="0"/>
        <w:rPr>
          <w:rStyle w:val="hps"/>
          <w:color w:val="222222"/>
          <w:sz w:val="24"/>
          <w:szCs w:val="24"/>
        </w:rPr>
      </w:pPr>
      <w:r w:rsidRPr="00BC0C1D">
        <w:rPr>
          <w:rStyle w:val="hps"/>
          <w:color w:val="222222"/>
          <w:sz w:val="24"/>
          <w:szCs w:val="24"/>
          <w:vertAlign w:val="superscript"/>
        </w:rPr>
        <w:t>1</w:t>
      </w:r>
      <w:r>
        <w:rPr>
          <w:rStyle w:val="hps"/>
          <w:color w:val="222222"/>
          <w:sz w:val="24"/>
          <w:szCs w:val="24"/>
          <w:vertAlign w:val="superscript"/>
        </w:rPr>
        <w:tab/>
      </w:r>
      <w:proofErr w:type="spellStart"/>
      <w:r w:rsidRPr="00BC0C1D">
        <w:rPr>
          <w:rStyle w:val="hps"/>
          <w:color w:val="222222"/>
          <w:sz w:val="24"/>
          <w:szCs w:val="24"/>
        </w:rPr>
        <w:t>Hypocalcæmi</w:t>
      </w:r>
      <w:proofErr w:type="spellEnd"/>
      <w:r w:rsidRPr="00BC0C1D">
        <w:rPr>
          <w:rStyle w:val="hps"/>
          <w:color w:val="222222"/>
          <w:sz w:val="24"/>
          <w:szCs w:val="24"/>
        </w:rPr>
        <w:t xml:space="preserve"> i forbindelse med</w:t>
      </w:r>
      <w:r w:rsidRPr="00BC0C1D">
        <w:rPr>
          <w:color w:val="222222"/>
          <w:sz w:val="24"/>
          <w:szCs w:val="24"/>
        </w:rPr>
        <w:t xml:space="preserve"> </w:t>
      </w:r>
      <w:proofErr w:type="spellStart"/>
      <w:r w:rsidRPr="00BC0C1D">
        <w:rPr>
          <w:rStyle w:val="hps"/>
          <w:color w:val="222222"/>
          <w:sz w:val="24"/>
          <w:szCs w:val="24"/>
        </w:rPr>
        <w:t>hypomagnesiæmi</w:t>
      </w:r>
      <w:proofErr w:type="spellEnd"/>
      <w:r w:rsidRPr="00BC0C1D">
        <w:rPr>
          <w:rStyle w:val="hps"/>
          <w:color w:val="222222"/>
          <w:sz w:val="24"/>
          <w:szCs w:val="24"/>
        </w:rPr>
        <w:t>.</w:t>
      </w:r>
    </w:p>
    <w:p w:rsidR="00A75EE9" w:rsidRPr="00BC0C1D" w:rsidRDefault="00A75EE9" w:rsidP="00A75EE9">
      <w:pPr>
        <w:tabs>
          <w:tab w:val="left" w:pos="284"/>
        </w:tabs>
        <w:autoSpaceDE w:val="0"/>
        <w:autoSpaceDN w:val="0"/>
        <w:adjustRightInd w:val="0"/>
        <w:rPr>
          <w:noProof/>
          <w:sz w:val="24"/>
          <w:szCs w:val="24"/>
          <w:u w:val="single"/>
        </w:rPr>
      </w:pPr>
      <w:r w:rsidRPr="00BC0C1D">
        <w:rPr>
          <w:rStyle w:val="hps"/>
          <w:color w:val="222222"/>
          <w:sz w:val="24"/>
          <w:szCs w:val="24"/>
          <w:vertAlign w:val="superscript"/>
        </w:rPr>
        <w:t>2</w:t>
      </w:r>
      <w:r>
        <w:rPr>
          <w:rStyle w:val="hps"/>
          <w:color w:val="222222"/>
          <w:sz w:val="24"/>
          <w:szCs w:val="24"/>
          <w:vertAlign w:val="superscript"/>
        </w:rPr>
        <w:tab/>
      </w:r>
      <w:r w:rsidRPr="00BC0C1D">
        <w:rPr>
          <w:rStyle w:val="hps"/>
          <w:color w:val="222222"/>
          <w:sz w:val="24"/>
          <w:szCs w:val="24"/>
        </w:rPr>
        <w:t>Muskelkramper som følge af</w:t>
      </w:r>
      <w:r w:rsidRPr="00BC0C1D">
        <w:rPr>
          <w:rStyle w:val="shorttext"/>
          <w:color w:val="222222"/>
          <w:sz w:val="24"/>
          <w:szCs w:val="24"/>
        </w:rPr>
        <w:t xml:space="preserve"> </w:t>
      </w:r>
      <w:r w:rsidRPr="00BC0C1D">
        <w:rPr>
          <w:rStyle w:val="hps"/>
          <w:color w:val="222222"/>
          <w:sz w:val="24"/>
          <w:szCs w:val="24"/>
        </w:rPr>
        <w:t>elektrolytforstyrrelser.</w:t>
      </w:r>
    </w:p>
    <w:p w:rsidR="00A75EE9" w:rsidRDefault="00A75EE9" w:rsidP="00A75EE9">
      <w:pPr>
        <w:autoSpaceDE w:val="0"/>
        <w:autoSpaceDN w:val="0"/>
        <w:adjustRightInd w:val="0"/>
        <w:ind w:firstLine="851"/>
        <w:rPr>
          <w:noProof/>
          <w:sz w:val="24"/>
          <w:szCs w:val="24"/>
          <w:u w:val="single"/>
        </w:rPr>
      </w:pPr>
    </w:p>
    <w:p w:rsidR="007D71C0" w:rsidRDefault="007D71C0" w:rsidP="00A75EE9">
      <w:pPr>
        <w:autoSpaceDE w:val="0"/>
        <w:autoSpaceDN w:val="0"/>
        <w:adjustRightInd w:val="0"/>
        <w:ind w:firstLine="851"/>
        <w:rPr>
          <w:noProof/>
          <w:sz w:val="24"/>
          <w:szCs w:val="24"/>
          <w:u w:val="single"/>
        </w:rPr>
      </w:pPr>
    </w:p>
    <w:p w:rsidR="007D71C0" w:rsidRDefault="007D71C0" w:rsidP="00A75EE9">
      <w:pPr>
        <w:autoSpaceDE w:val="0"/>
        <w:autoSpaceDN w:val="0"/>
        <w:adjustRightInd w:val="0"/>
        <w:ind w:firstLine="851"/>
        <w:rPr>
          <w:noProof/>
          <w:sz w:val="24"/>
          <w:szCs w:val="24"/>
          <w:u w:val="single"/>
        </w:rPr>
      </w:pPr>
    </w:p>
    <w:p w:rsidR="007D71C0" w:rsidRPr="00BC0C1D" w:rsidRDefault="007D71C0" w:rsidP="00A75EE9">
      <w:pPr>
        <w:autoSpaceDE w:val="0"/>
        <w:autoSpaceDN w:val="0"/>
        <w:adjustRightInd w:val="0"/>
        <w:ind w:firstLine="851"/>
        <w:rPr>
          <w:noProof/>
          <w:sz w:val="24"/>
          <w:szCs w:val="24"/>
          <w:u w:val="single"/>
        </w:rPr>
      </w:pPr>
    </w:p>
    <w:p w:rsidR="00A75EE9" w:rsidRPr="00721340" w:rsidRDefault="00A75EE9" w:rsidP="00A75EE9">
      <w:pPr>
        <w:autoSpaceDE w:val="0"/>
        <w:autoSpaceDN w:val="0"/>
        <w:ind w:left="851"/>
        <w:rPr>
          <w:bCs/>
          <w:sz w:val="24"/>
          <w:szCs w:val="24"/>
          <w:u w:val="single"/>
        </w:rPr>
      </w:pPr>
      <w:r w:rsidRPr="00721340">
        <w:rPr>
          <w:bCs/>
          <w:sz w:val="24"/>
          <w:szCs w:val="24"/>
          <w:u w:val="single"/>
        </w:rPr>
        <w:lastRenderedPageBreak/>
        <w:t>Indberetning af formodede bivirkninger</w:t>
      </w:r>
    </w:p>
    <w:p w:rsidR="00A75EE9" w:rsidRPr="00BC0C1D" w:rsidRDefault="00A75EE9" w:rsidP="00A75EE9">
      <w:pPr>
        <w:ind w:left="851"/>
        <w:rPr>
          <w:sz w:val="24"/>
          <w:szCs w:val="24"/>
        </w:rPr>
      </w:pPr>
      <w:r w:rsidRPr="00BC0C1D">
        <w:rPr>
          <w:sz w:val="24"/>
          <w:szCs w:val="24"/>
        </w:rPr>
        <w:t>Når lægemidlet er godkendt, er indberetning af formodede bivirkninger vigtig. Det muliggør løbende overvågning af benefit/</w:t>
      </w:r>
      <w:proofErr w:type="spellStart"/>
      <w:r w:rsidRPr="00BC0C1D">
        <w:rPr>
          <w:sz w:val="24"/>
          <w:szCs w:val="24"/>
        </w:rPr>
        <w:t>risk</w:t>
      </w:r>
      <w:proofErr w:type="spellEnd"/>
      <w:r w:rsidRPr="00BC0C1D">
        <w:rPr>
          <w:sz w:val="24"/>
          <w:szCs w:val="24"/>
        </w:rPr>
        <w:t xml:space="preserve">-forholdet for lægemidlet. </w:t>
      </w:r>
      <w:r w:rsidR="005959F7">
        <w:rPr>
          <w:sz w:val="24"/>
          <w:szCs w:val="24"/>
        </w:rPr>
        <w:t>S</w:t>
      </w:r>
      <w:r w:rsidRPr="00BC0C1D">
        <w:rPr>
          <w:sz w:val="24"/>
          <w:szCs w:val="24"/>
        </w:rPr>
        <w:t>undhedsperson</w:t>
      </w:r>
      <w:r w:rsidR="005959F7">
        <w:rPr>
          <w:sz w:val="24"/>
          <w:szCs w:val="24"/>
        </w:rPr>
        <w:t>er</w:t>
      </w:r>
      <w:r w:rsidRPr="00BC0C1D">
        <w:rPr>
          <w:sz w:val="24"/>
          <w:szCs w:val="24"/>
        </w:rPr>
        <w:t xml:space="preserve"> anmodes om at indberette alle formodede bivirkninger via:</w:t>
      </w:r>
    </w:p>
    <w:p w:rsidR="00A75EE9" w:rsidRPr="00BC0C1D" w:rsidRDefault="00A75EE9" w:rsidP="00A75EE9">
      <w:pPr>
        <w:ind w:left="851"/>
        <w:rPr>
          <w:sz w:val="24"/>
          <w:szCs w:val="24"/>
        </w:rPr>
      </w:pPr>
    </w:p>
    <w:p w:rsidR="00A75EE9" w:rsidRPr="00BC0C1D" w:rsidRDefault="00A75EE9" w:rsidP="00A75EE9">
      <w:pPr>
        <w:ind w:left="851"/>
        <w:rPr>
          <w:sz w:val="24"/>
          <w:szCs w:val="24"/>
        </w:rPr>
      </w:pPr>
      <w:r w:rsidRPr="00BC0C1D">
        <w:rPr>
          <w:sz w:val="24"/>
          <w:szCs w:val="24"/>
        </w:rPr>
        <w:t>Lægemiddelstyrelsen</w:t>
      </w:r>
    </w:p>
    <w:p w:rsidR="00A75EE9" w:rsidRPr="00BC0C1D" w:rsidRDefault="00A75EE9" w:rsidP="00A75EE9">
      <w:pPr>
        <w:ind w:left="851"/>
        <w:rPr>
          <w:sz w:val="24"/>
          <w:szCs w:val="24"/>
        </w:rPr>
      </w:pPr>
      <w:r w:rsidRPr="00BC0C1D">
        <w:rPr>
          <w:sz w:val="24"/>
          <w:szCs w:val="24"/>
        </w:rPr>
        <w:t>Axel Heides Gade 1</w:t>
      </w:r>
    </w:p>
    <w:p w:rsidR="00A75EE9" w:rsidRPr="00BC0C1D" w:rsidRDefault="00A75EE9" w:rsidP="00A75EE9">
      <w:pPr>
        <w:ind w:left="851"/>
        <w:rPr>
          <w:sz w:val="24"/>
          <w:szCs w:val="24"/>
        </w:rPr>
      </w:pPr>
      <w:r w:rsidRPr="00BC0C1D">
        <w:rPr>
          <w:sz w:val="24"/>
          <w:szCs w:val="24"/>
        </w:rPr>
        <w:t>DK-2300 København S</w:t>
      </w:r>
    </w:p>
    <w:p w:rsidR="00A75EE9" w:rsidRPr="00CE08C8" w:rsidRDefault="00A75EE9" w:rsidP="00A75EE9">
      <w:pPr>
        <w:ind w:left="851"/>
        <w:rPr>
          <w:sz w:val="24"/>
          <w:szCs w:val="24"/>
        </w:rPr>
      </w:pPr>
      <w:r w:rsidRPr="00CE08C8">
        <w:rPr>
          <w:sz w:val="24"/>
          <w:szCs w:val="24"/>
        </w:rPr>
        <w:t xml:space="preserve">Websted: </w:t>
      </w:r>
      <w:hyperlink r:id="rId8" w:history="1">
        <w:r w:rsidRPr="00CE08C8">
          <w:rPr>
            <w:rStyle w:val="Hyperlink"/>
            <w:sz w:val="24"/>
            <w:szCs w:val="24"/>
          </w:rPr>
          <w:t>www.meldenbivirkning.dk</w:t>
        </w:r>
      </w:hyperlink>
    </w:p>
    <w:p w:rsidR="00A75EE9" w:rsidRPr="00CE08C8" w:rsidRDefault="00A75EE9" w:rsidP="00A75EE9">
      <w:pPr>
        <w:ind w:left="851" w:hanging="851"/>
        <w:rPr>
          <w:sz w:val="24"/>
          <w:szCs w:val="24"/>
        </w:rPr>
      </w:pPr>
    </w:p>
    <w:p w:rsidR="00A75EE9" w:rsidRPr="00BC0C1D" w:rsidRDefault="00A75EE9" w:rsidP="00A75EE9">
      <w:pPr>
        <w:ind w:left="851" w:hanging="851"/>
        <w:rPr>
          <w:b/>
          <w:sz w:val="24"/>
          <w:szCs w:val="24"/>
        </w:rPr>
      </w:pPr>
      <w:r w:rsidRPr="00BC0C1D">
        <w:rPr>
          <w:b/>
          <w:sz w:val="24"/>
          <w:szCs w:val="24"/>
        </w:rPr>
        <w:t>4.9</w:t>
      </w:r>
      <w:r w:rsidRPr="00BC0C1D">
        <w:rPr>
          <w:b/>
          <w:sz w:val="24"/>
          <w:szCs w:val="24"/>
        </w:rPr>
        <w:tab/>
        <w:t>Overdosering</w:t>
      </w:r>
    </w:p>
    <w:p w:rsidR="00A75EE9" w:rsidRPr="00BC0C1D" w:rsidRDefault="00A75EE9" w:rsidP="00A75EE9">
      <w:pPr>
        <w:widowControl w:val="0"/>
        <w:adjustRightInd w:val="0"/>
        <w:ind w:left="850" w:firstLine="1"/>
        <w:textAlignment w:val="baseline"/>
        <w:rPr>
          <w:spacing w:val="-3"/>
          <w:sz w:val="24"/>
          <w:szCs w:val="24"/>
          <w:lang w:eastAsia="da-DK"/>
        </w:rPr>
      </w:pPr>
      <w:r w:rsidRPr="00BC0C1D">
        <w:rPr>
          <w:spacing w:val="-3"/>
          <w:sz w:val="24"/>
          <w:szCs w:val="24"/>
        </w:rPr>
        <w:t>Der er ingen kendte symptomer på overdosering hos mennesker.</w:t>
      </w:r>
    </w:p>
    <w:p w:rsidR="00A75EE9" w:rsidRDefault="00A75EE9" w:rsidP="00A75EE9">
      <w:pPr>
        <w:widowControl w:val="0"/>
        <w:adjustRightInd w:val="0"/>
        <w:ind w:left="850" w:firstLine="1"/>
        <w:textAlignment w:val="baseline"/>
        <w:rPr>
          <w:spacing w:val="-3"/>
          <w:sz w:val="24"/>
          <w:szCs w:val="24"/>
        </w:rPr>
      </w:pPr>
    </w:p>
    <w:p w:rsidR="00A75EE9" w:rsidRPr="00BC0C1D" w:rsidRDefault="00A75EE9" w:rsidP="00A75EE9">
      <w:pPr>
        <w:widowControl w:val="0"/>
        <w:adjustRightInd w:val="0"/>
        <w:ind w:left="850" w:firstLine="1"/>
        <w:textAlignment w:val="baseline"/>
        <w:rPr>
          <w:spacing w:val="-3"/>
          <w:sz w:val="24"/>
          <w:szCs w:val="24"/>
        </w:rPr>
      </w:pPr>
      <w:r w:rsidRPr="00BC0C1D">
        <w:rPr>
          <w:spacing w:val="-3"/>
          <w:sz w:val="24"/>
          <w:szCs w:val="24"/>
        </w:rPr>
        <w:t xml:space="preserve">Doser på op til 240 mg </w:t>
      </w:r>
      <w:proofErr w:type="spellStart"/>
      <w:r w:rsidRPr="00BC0C1D">
        <w:rPr>
          <w:spacing w:val="-3"/>
          <w:sz w:val="24"/>
          <w:szCs w:val="24"/>
        </w:rPr>
        <w:t>i.v</w:t>
      </w:r>
      <w:proofErr w:type="spellEnd"/>
      <w:r w:rsidRPr="00BC0C1D">
        <w:rPr>
          <w:spacing w:val="-3"/>
          <w:sz w:val="24"/>
          <w:szCs w:val="24"/>
        </w:rPr>
        <w:t>. er indgivet over 2 minutter og fundet veltolereret.</w:t>
      </w:r>
    </w:p>
    <w:p w:rsidR="00A75EE9" w:rsidRDefault="00A75EE9" w:rsidP="00A75EE9">
      <w:pPr>
        <w:widowControl w:val="0"/>
        <w:adjustRightInd w:val="0"/>
        <w:ind w:left="850" w:firstLine="1"/>
        <w:textAlignment w:val="baseline"/>
        <w:rPr>
          <w:spacing w:val="-3"/>
          <w:sz w:val="24"/>
          <w:szCs w:val="24"/>
        </w:rPr>
      </w:pPr>
    </w:p>
    <w:p w:rsidR="00A75EE9" w:rsidRPr="00BC0C1D" w:rsidRDefault="00A75EE9" w:rsidP="00A75EE9">
      <w:pPr>
        <w:widowControl w:val="0"/>
        <w:adjustRightInd w:val="0"/>
        <w:ind w:left="850" w:firstLine="1"/>
        <w:textAlignment w:val="baseline"/>
        <w:rPr>
          <w:spacing w:val="-3"/>
          <w:sz w:val="24"/>
          <w:szCs w:val="24"/>
        </w:rPr>
      </w:pPr>
      <w:r w:rsidRPr="00BC0C1D">
        <w:rPr>
          <w:spacing w:val="-3"/>
          <w:sz w:val="24"/>
          <w:szCs w:val="24"/>
        </w:rPr>
        <w:t xml:space="preserve">Da </w:t>
      </w:r>
      <w:proofErr w:type="spellStart"/>
      <w:r w:rsidRPr="00BC0C1D">
        <w:rPr>
          <w:spacing w:val="-3"/>
          <w:sz w:val="24"/>
          <w:szCs w:val="24"/>
        </w:rPr>
        <w:t>pantoprazol</w:t>
      </w:r>
      <w:proofErr w:type="spellEnd"/>
      <w:r w:rsidRPr="00BC0C1D">
        <w:rPr>
          <w:spacing w:val="-3"/>
          <w:sz w:val="24"/>
          <w:szCs w:val="24"/>
        </w:rPr>
        <w:t xml:space="preserve"> i stor udstrækning er proteinbundet, er det ikke let </w:t>
      </w:r>
      <w:proofErr w:type="spellStart"/>
      <w:r w:rsidRPr="00BC0C1D">
        <w:rPr>
          <w:spacing w:val="-3"/>
          <w:sz w:val="24"/>
          <w:szCs w:val="24"/>
        </w:rPr>
        <w:t>dialyserbart</w:t>
      </w:r>
      <w:proofErr w:type="spellEnd"/>
      <w:r w:rsidRPr="00BC0C1D">
        <w:rPr>
          <w:spacing w:val="-3"/>
          <w:sz w:val="24"/>
          <w:szCs w:val="24"/>
        </w:rPr>
        <w:t>.</w:t>
      </w:r>
    </w:p>
    <w:p w:rsidR="00A75EE9" w:rsidRPr="00BC0C1D" w:rsidRDefault="00A75EE9" w:rsidP="00A75EE9">
      <w:pPr>
        <w:widowControl w:val="0"/>
        <w:adjustRightInd w:val="0"/>
        <w:ind w:left="850" w:firstLine="1"/>
        <w:textAlignment w:val="baseline"/>
        <w:rPr>
          <w:spacing w:val="-3"/>
          <w:sz w:val="24"/>
          <w:szCs w:val="24"/>
        </w:rPr>
      </w:pPr>
    </w:p>
    <w:p w:rsidR="00A75EE9" w:rsidRPr="00BC0C1D" w:rsidRDefault="00A75EE9" w:rsidP="00A75EE9">
      <w:pPr>
        <w:ind w:left="850" w:firstLine="1"/>
        <w:rPr>
          <w:sz w:val="24"/>
          <w:szCs w:val="24"/>
        </w:rPr>
      </w:pPr>
      <w:r w:rsidRPr="00BC0C1D">
        <w:rPr>
          <w:sz w:val="24"/>
          <w:szCs w:val="24"/>
        </w:rPr>
        <w:t>I tilfælde af overdosering med kliniske tegn på forgiftning, bortset fra symptomatisk og understøttende behandling, kan der ikke gives nogle særlige terapeutiske anbefalinger.</w:t>
      </w:r>
      <w:r w:rsidRPr="00BC0C1D">
        <w:rPr>
          <w:spacing w:val="-3"/>
          <w:sz w:val="24"/>
          <w:szCs w:val="24"/>
        </w:rPr>
        <w:t xml:space="preserve"> </w:t>
      </w:r>
    </w:p>
    <w:p w:rsidR="00A75EE9" w:rsidRPr="00BC0C1D" w:rsidRDefault="00A75EE9" w:rsidP="00A75EE9">
      <w:pPr>
        <w:ind w:left="851"/>
        <w:rPr>
          <w:sz w:val="24"/>
          <w:szCs w:val="24"/>
        </w:rPr>
      </w:pPr>
    </w:p>
    <w:p w:rsidR="00A75EE9" w:rsidRPr="00BC0C1D" w:rsidRDefault="00A75EE9" w:rsidP="00A75EE9">
      <w:pPr>
        <w:ind w:left="851" w:hanging="851"/>
        <w:rPr>
          <w:b/>
          <w:sz w:val="24"/>
          <w:szCs w:val="24"/>
        </w:rPr>
      </w:pPr>
      <w:r w:rsidRPr="00BC0C1D">
        <w:rPr>
          <w:b/>
          <w:sz w:val="24"/>
          <w:szCs w:val="24"/>
        </w:rPr>
        <w:t>4.10</w:t>
      </w:r>
      <w:r w:rsidRPr="00BC0C1D">
        <w:rPr>
          <w:b/>
          <w:sz w:val="24"/>
          <w:szCs w:val="24"/>
        </w:rPr>
        <w:tab/>
        <w:t>Udlevering</w:t>
      </w:r>
    </w:p>
    <w:p w:rsidR="00A75EE9" w:rsidRPr="00BC0C1D" w:rsidRDefault="00A75EE9" w:rsidP="00A75EE9">
      <w:pPr>
        <w:ind w:left="851"/>
        <w:rPr>
          <w:sz w:val="24"/>
          <w:szCs w:val="24"/>
        </w:rPr>
      </w:pPr>
      <w:r w:rsidRPr="00BC0C1D">
        <w:rPr>
          <w:sz w:val="24"/>
          <w:szCs w:val="24"/>
        </w:rPr>
        <w:t>B</w:t>
      </w:r>
    </w:p>
    <w:p w:rsidR="00A75EE9" w:rsidRPr="00BC0C1D" w:rsidRDefault="00A75EE9" w:rsidP="00A75EE9">
      <w:pPr>
        <w:ind w:left="851"/>
        <w:rPr>
          <w:sz w:val="24"/>
          <w:szCs w:val="24"/>
        </w:rPr>
      </w:pPr>
    </w:p>
    <w:p w:rsidR="00A75EE9" w:rsidRPr="00BC0C1D" w:rsidRDefault="00A75EE9" w:rsidP="00A75EE9">
      <w:pPr>
        <w:ind w:left="851"/>
        <w:rPr>
          <w:sz w:val="24"/>
          <w:szCs w:val="24"/>
        </w:rPr>
      </w:pPr>
    </w:p>
    <w:p w:rsidR="00A75EE9" w:rsidRPr="00296351" w:rsidRDefault="00A75EE9" w:rsidP="00296351">
      <w:pPr>
        <w:ind w:left="851" w:hanging="851"/>
        <w:rPr>
          <w:b/>
          <w:sz w:val="24"/>
          <w:szCs w:val="24"/>
        </w:rPr>
      </w:pPr>
      <w:r w:rsidRPr="00BC0C1D">
        <w:rPr>
          <w:b/>
          <w:sz w:val="24"/>
          <w:szCs w:val="24"/>
        </w:rPr>
        <w:t>5.</w:t>
      </w:r>
      <w:r w:rsidRPr="00BC0C1D">
        <w:rPr>
          <w:b/>
          <w:sz w:val="24"/>
          <w:szCs w:val="24"/>
        </w:rPr>
        <w:tab/>
        <w:t>FARMAKOLOGISKE EGENSKABER</w:t>
      </w:r>
    </w:p>
    <w:p w:rsidR="00A75EE9" w:rsidRPr="00BC0C1D" w:rsidRDefault="00A75EE9" w:rsidP="00A75EE9">
      <w:pPr>
        <w:ind w:left="851"/>
        <w:rPr>
          <w:sz w:val="24"/>
          <w:szCs w:val="24"/>
        </w:rPr>
      </w:pPr>
    </w:p>
    <w:p w:rsidR="00A75EE9" w:rsidRPr="00BC0C1D" w:rsidRDefault="00A75EE9" w:rsidP="00A75EE9">
      <w:pPr>
        <w:ind w:left="851" w:hanging="851"/>
        <w:rPr>
          <w:b/>
          <w:sz w:val="24"/>
          <w:szCs w:val="24"/>
        </w:rPr>
      </w:pPr>
      <w:r w:rsidRPr="00BC0C1D">
        <w:rPr>
          <w:b/>
          <w:sz w:val="24"/>
          <w:szCs w:val="24"/>
        </w:rPr>
        <w:t>5.1</w:t>
      </w:r>
      <w:r w:rsidRPr="00BC0C1D">
        <w:rPr>
          <w:b/>
          <w:sz w:val="24"/>
          <w:szCs w:val="24"/>
        </w:rPr>
        <w:tab/>
      </w:r>
      <w:proofErr w:type="spellStart"/>
      <w:r w:rsidRPr="00BC0C1D">
        <w:rPr>
          <w:b/>
          <w:sz w:val="24"/>
          <w:szCs w:val="24"/>
        </w:rPr>
        <w:t>Farmakodynamiske</w:t>
      </w:r>
      <w:proofErr w:type="spellEnd"/>
      <w:r w:rsidRPr="00BC0C1D">
        <w:rPr>
          <w:b/>
          <w:sz w:val="24"/>
          <w:szCs w:val="24"/>
        </w:rPr>
        <w:t xml:space="preserve"> egenskaber</w:t>
      </w:r>
    </w:p>
    <w:p w:rsidR="00296351" w:rsidRPr="00BC0C1D" w:rsidRDefault="00296351" w:rsidP="00296351">
      <w:pPr>
        <w:widowControl w:val="0"/>
        <w:adjustRightInd w:val="0"/>
        <w:ind w:left="855"/>
        <w:jc w:val="both"/>
        <w:textAlignment w:val="baseline"/>
        <w:rPr>
          <w:spacing w:val="-3"/>
          <w:sz w:val="24"/>
          <w:szCs w:val="24"/>
          <w:lang w:eastAsia="da-DK"/>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r w:rsidRPr="00BC0C1D">
        <w:rPr>
          <w:spacing w:val="-3"/>
          <w:sz w:val="24"/>
          <w:szCs w:val="24"/>
        </w:rPr>
        <w:t>Protonpumpe-</w:t>
      </w:r>
      <w:proofErr w:type="spellStart"/>
      <w:r w:rsidRPr="00BC0C1D">
        <w:rPr>
          <w:spacing w:val="-3"/>
          <w:sz w:val="24"/>
          <w:szCs w:val="24"/>
        </w:rPr>
        <w:t>hæmmere</w:t>
      </w:r>
      <w:proofErr w:type="spellEnd"/>
      <w:r w:rsidRPr="00BC0C1D">
        <w:rPr>
          <w:spacing w:val="-3"/>
          <w:sz w:val="24"/>
          <w:szCs w:val="24"/>
        </w:rPr>
        <w:t>.</w:t>
      </w:r>
      <w:r>
        <w:rPr>
          <w:spacing w:val="-3"/>
          <w:sz w:val="24"/>
          <w:szCs w:val="24"/>
        </w:rPr>
        <w:t xml:space="preserve"> </w:t>
      </w:r>
      <w:r w:rsidRPr="00BC0C1D">
        <w:rPr>
          <w:sz w:val="24"/>
          <w:szCs w:val="24"/>
        </w:rPr>
        <w:t>ATC</w:t>
      </w:r>
      <w:r>
        <w:rPr>
          <w:sz w:val="24"/>
          <w:szCs w:val="24"/>
        </w:rPr>
        <w:t>-</w:t>
      </w:r>
      <w:r w:rsidRPr="00BC0C1D">
        <w:rPr>
          <w:sz w:val="24"/>
          <w:szCs w:val="24"/>
        </w:rPr>
        <w:t xml:space="preserve">kode: </w:t>
      </w:r>
      <w:r w:rsidRPr="00BC0C1D">
        <w:rPr>
          <w:spacing w:val="-3"/>
          <w:sz w:val="24"/>
          <w:szCs w:val="24"/>
        </w:rPr>
        <w:t>A 02 BC 02</w:t>
      </w:r>
      <w:r>
        <w:rPr>
          <w:spacing w:val="-3"/>
          <w:sz w:val="24"/>
          <w:szCs w:val="24"/>
        </w:rPr>
        <w:t>.</w:t>
      </w:r>
    </w:p>
    <w:p w:rsidR="00A75EE9" w:rsidRPr="00296351" w:rsidRDefault="00A75EE9" w:rsidP="00296351">
      <w:pPr>
        <w:rPr>
          <w:noProof/>
          <w:sz w:val="24"/>
          <w:szCs w:val="24"/>
        </w:rPr>
      </w:pPr>
    </w:p>
    <w:p w:rsidR="00A75EE9" w:rsidRPr="00BC0C1D" w:rsidRDefault="00A75EE9" w:rsidP="00A75EE9">
      <w:pPr>
        <w:ind w:left="851"/>
        <w:rPr>
          <w:noProof/>
          <w:sz w:val="24"/>
          <w:szCs w:val="24"/>
          <w:u w:val="single"/>
          <w:lang w:eastAsia="da-DK"/>
        </w:rPr>
      </w:pPr>
      <w:r w:rsidRPr="00BC0C1D">
        <w:rPr>
          <w:noProof/>
          <w:sz w:val="24"/>
          <w:szCs w:val="24"/>
          <w:u w:val="single"/>
        </w:rPr>
        <w:t>Virkningsmekanisme</w:t>
      </w:r>
    </w:p>
    <w:p w:rsidR="00A75EE9" w:rsidRPr="00BC0C1D" w:rsidRDefault="00A75EE9" w:rsidP="00A75EE9">
      <w:pPr>
        <w:ind w:left="851"/>
        <w:rPr>
          <w:spacing w:val="-3"/>
          <w:sz w:val="24"/>
          <w:szCs w:val="24"/>
        </w:rPr>
      </w:pPr>
      <w:proofErr w:type="spellStart"/>
      <w:r w:rsidRPr="00BC0C1D">
        <w:rPr>
          <w:spacing w:val="-3"/>
          <w:sz w:val="24"/>
          <w:szCs w:val="24"/>
        </w:rPr>
        <w:t>Pantoprazol</w:t>
      </w:r>
      <w:proofErr w:type="spellEnd"/>
      <w:r w:rsidRPr="00BC0C1D">
        <w:rPr>
          <w:spacing w:val="-3"/>
          <w:sz w:val="24"/>
          <w:szCs w:val="24"/>
        </w:rPr>
        <w:t xml:space="preserve"> er en substitueret </w:t>
      </w:r>
      <w:proofErr w:type="spellStart"/>
      <w:r w:rsidRPr="00BC0C1D">
        <w:rPr>
          <w:spacing w:val="-3"/>
          <w:sz w:val="24"/>
          <w:szCs w:val="24"/>
        </w:rPr>
        <w:t>benzimidazol</w:t>
      </w:r>
      <w:proofErr w:type="spellEnd"/>
      <w:r w:rsidRPr="00BC0C1D">
        <w:rPr>
          <w:spacing w:val="-3"/>
          <w:sz w:val="24"/>
          <w:szCs w:val="24"/>
        </w:rPr>
        <w:t xml:space="preserve">, som hæmmer sekretionen af saltsyre i maven ved en specifik virkning på </w:t>
      </w:r>
      <w:proofErr w:type="spellStart"/>
      <w:r w:rsidRPr="00BC0C1D">
        <w:rPr>
          <w:spacing w:val="-3"/>
          <w:sz w:val="24"/>
          <w:szCs w:val="24"/>
        </w:rPr>
        <w:t>parietalcellernes</w:t>
      </w:r>
      <w:proofErr w:type="spellEnd"/>
      <w:r w:rsidRPr="00BC0C1D">
        <w:rPr>
          <w:spacing w:val="-3"/>
          <w:sz w:val="24"/>
          <w:szCs w:val="24"/>
        </w:rPr>
        <w:t xml:space="preserve"> protonpumper.</w:t>
      </w:r>
    </w:p>
    <w:p w:rsidR="00A75EE9" w:rsidRPr="00BC0C1D" w:rsidRDefault="00A75EE9" w:rsidP="00A75EE9">
      <w:pPr>
        <w:pStyle w:val="Sidehoved"/>
        <w:tabs>
          <w:tab w:val="clear" w:pos="4819"/>
          <w:tab w:val="clear" w:pos="9638"/>
        </w:tabs>
        <w:ind w:left="851"/>
        <w:rPr>
          <w:spacing w:val="-3"/>
          <w:szCs w:val="24"/>
        </w:rPr>
      </w:pPr>
    </w:p>
    <w:p w:rsidR="00A75EE9" w:rsidRPr="00BC0C1D" w:rsidRDefault="00A75EE9" w:rsidP="00A75EE9">
      <w:pPr>
        <w:ind w:left="851"/>
        <w:rPr>
          <w:spacing w:val="-3"/>
          <w:sz w:val="24"/>
          <w:szCs w:val="24"/>
        </w:rPr>
      </w:pPr>
      <w:proofErr w:type="spellStart"/>
      <w:r w:rsidRPr="00BC0C1D">
        <w:rPr>
          <w:spacing w:val="-3"/>
          <w:sz w:val="24"/>
          <w:szCs w:val="24"/>
        </w:rPr>
        <w:t>Pantoprazol</w:t>
      </w:r>
      <w:proofErr w:type="spellEnd"/>
      <w:r w:rsidRPr="00BC0C1D">
        <w:rPr>
          <w:spacing w:val="-3"/>
          <w:sz w:val="24"/>
          <w:szCs w:val="24"/>
        </w:rPr>
        <w:t xml:space="preserve"> omdannes til dets aktive form i det sure miljø i </w:t>
      </w:r>
      <w:proofErr w:type="spellStart"/>
      <w:r w:rsidRPr="00BC0C1D">
        <w:rPr>
          <w:spacing w:val="-3"/>
          <w:sz w:val="24"/>
          <w:szCs w:val="24"/>
        </w:rPr>
        <w:t>parietalcellerne</w:t>
      </w:r>
      <w:proofErr w:type="spellEnd"/>
      <w:r w:rsidRPr="00BC0C1D">
        <w:rPr>
          <w:spacing w:val="-3"/>
          <w:sz w:val="24"/>
          <w:szCs w:val="24"/>
        </w:rPr>
        <w:t>, hvor det hæmmer H</w:t>
      </w:r>
      <w:r w:rsidRPr="00BC0C1D">
        <w:rPr>
          <w:spacing w:val="-3"/>
          <w:sz w:val="24"/>
          <w:szCs w:val="24"/>
          <w:vertAlign w:val="superscript"/>
        </w:rPr>
        <w:t>+</w:t>
      </w:r>
      <w:r w:rsidRPr="00BC0C1D">
        <w:rPr>
          <w:spacing w:val="-3"/>
          <w:sz w:val="24"/>
          <w:szCs w:val="24"/>
        </w:rPr>
        <w:t>/K</w:t>
      </w:r>
      <w:r w:rsidRPr="00BC0C1D">
        <w:rPr>
          <w:spacing w:val="-3"/>
          <w:sz w:val="24"/>
          <w:szCs w:val="24"/>
          <w:vertAlign w:val="superscript"/>
        </w:rPr>
        <w:t>+</w:t>
      </w:r>
      <w:r w:rsidRPr="00BC0C1D">
        <w:rPr>
          <w:spacing w:val="-3"/>
          <w:sz w:val="24"/>
          <w:szCs w:val="24"/>
        </w:rPr>
        <w:t>-</w:t>
      </w:r>
      <w:proofErr w:type="spellStart"/>
      <w:r w:rsidRPr="00BC0C1D">
        <w:rPr>
          <w:spacing w:val="-3"/>
          <w:sz w:val="24"/>
          <w:szCs w:val="24"/>
        </w:rPr>
        <w:t>ATPase</w:t>
      </w:r>
      <w:proofErr w:type="spellEnd"/>
      <w:r w:rsidRPr="00BC0C1D">
        <w:rPr>
          <w:spacing w:val="-3"/>
          <w:sz w:val="24"/>
          <w:szCs w:val="24"/>
        </w:rPr>
        <w:t xml:space="preserve"> enzymet, f.eks. det sidste stadie i produktionen af saltsyre i maven. Hæmningen er dosis-afhængig og indvirker både på den basale og den stimulerede syresekretion. </w:t>
      </w:r>
      <w:r w:rsidRPr="00BC0C1D">
        <w:rPr>
          <w:sz w:val="24"/>
          <w:szCs w:val="24"/>
        </w:rPr>
        <w:t>De fleste patienter opnår symptomfrihed i løbet af 2 uger.</w:t>
      </w:r>
    </w:p>
    <w:p w:rsidR="00A75EE9" w:rsidRPr="00BC0C1D" w:rsidRDefault="00A75EE9" w:rsidP="00A75EE9">
      <w:pPr>
        <w:ind w:left="851"/>
        <w:rPr>
          <w:spacing w:val="-3"/>
          <w:sz w:val="24"/>
          <w:szCs w:val="24"/>
        </w:rPr>
      </w:pPr>
      <w:r w:rsidRPr="00BC0C1D">
        <w:rPr>
          <w:spacing w:val="-3"/>
          <w:sz w:val="24"/>
          <w:szCs w:val="24"/>
        </w:rPr>
        <w:t>Som ved behandling med andre protonpumpeinhibitorer og H</w:t>
      </w:r>
      <w:r w:rsidRPr="00BC0C1D">
        <w:rPr>
          <w:spacing w:val="-3"/>
          <w:sz w:val="24"/>
          <w:szCs w:val="24"/>
          <w:vertAlign w:val="subscript"/>
        </w:rPr>
        <w:t>2</w:t>
      </w:r>
      <w:r w:rsidRPr="00BC0C1D">
        <w:rPr>
          <w:spacing w:val="-3"/>
          <w:sz w:val="24"/>
          <w:szCs w:val="24"/>
        </w:rPr>
        <w:t xml:space="preserve">-receptorinhibitorer forårsager behandling med </w:t>
      </w:r>
      <w:proofErr w:type="spellStart"/>
      <w:r w:rsidRPr="00BC0C1D">
        <w:rPr>
          <w:spacing w:val="-3"/>
          <w:sz w:val="24"/>
          <w:szCs w:val="24"/>
        </w:rPr>
        <w:t>pantoprazol</w:t>
      </w:r>
      <w:proofErr w:type="spellEnd"/>
      <w:r w:rsidRPr="00BC0C1D">
        <w:rPr>
          <w:spacing w:val="-3"/>
          <w:sz w:val="24"/>
          <w:szCs w:val="24"/>
        </w:rPr>
        <w:t xml:space="preserve"> en reduceret surhedsgrad i maven og dermed en forøgelse af gastrin i forhold til reduktionen af surhedsgraden. Forøgelse af gastrin er reversibel. Da </w:t>
      </w:r>
      <w:proofErr w:type="spellStart"/>
      <w:r w:rsidRPr="00BC0C1D">
        <w:rPr>
          <w:spacing w:val="-3"/>
          <w:sz w:val="24"/>
          <w:szCs w:val="24"/>
        </w:rPr>
        <w:t>pantoprazol</w:t>
      </w:r>
      <w:proofErr w:type="spellEnd"/>
      <w:r w:rsidRPr="00BC0C1D">
        <w:rPr>
          <w:spacing w:val="-3"/>
          <w:sz w:val="24"/>
          <w:szCs w:val="24"/>
        </w:rPr>
        <w:t xml:space="preserve"> bindes til enzymet </w:t>
      </w:r>
      <w:proofErr w:type="spellStart"/>
      <w:r w:rsidRPr="00BC0C1D">
        <w:rPr>
          <w:spacing w:val="-3"/>
          <w:sz w:val="24"/>
          <w:szCs w:val="24"/>
        </w:rPr>
        <w:t>distalt</w:t>
      </w:r>
      <w:proofErr w:type="spellEnd"/>
      <w:r w:rsidRPr="00BC0C1D">
        <w:rPr>
          <w:spacing w:val="-3"/>
          <w:sz w:val="24"/>
          <w:szCs w:val="24"/>
        </w:rPr>
        <w:t xml:space="preserve"> til celle receptor niveauet, kan stoffet påvirke saltsyresekretionen uafhængigt af stimulationen fra andre stoffer (</w:t>
      </w:r>
      <w:proofErr w:type="spellStart"/>
      <w:r w:rsidRPr="00BC0C1D">
        <w:rPr>
          <w:spacing w:val="-3"/>
          <w:sz w:val="24"/>
          <w:szCs w:val="24"/>
        </w:rPr>
        <w:t>acetylcholin</w:t>
      </w:r>
      <w:proofErr w:type="spellEnd"/>
      <w:r w:rsidRPr="00BC0C1D">
        <w:rPr>
          <w:spacing w:val="-3"/>
          <w:sz w:val="24"/>
          <w:szCs w:val="24"/>
        </w:rPr>
        <w:t>, histamin, gastrin). Virkningen er den samme enten produktet gives oralt eller intravenøst.</w:t>
      </w:r>
    </w:p>
    <w:p w:rsidR="00A75EE9" w:rsidRPr="00BC0C1D" w:rsidRDefault="00A75EE9" w:rsidP="00A75EE9">
      <w:pPr>
        <w:ind w:left="851"/>
        <w:rPr>
          <w:noProof/>
          <w:sz w:val="24"/>
          <w:szCs w:val="24"/>
        </w:rPr>
      </w:pPr>
    </w:p>
    <w:p w:rsidR="00A75EE9" w:rsidRPr="00BC0C1D" w:rsidRDefault="00A75EE9" w:rsidP="00A75EE9">
      <w:pPr>
        <w:ind w:left="851"/>
        <w:rPr>
          <w:noProof/>
          <w:sz w:val="24"/>
          <w:szCs w:val="24"/>
          <w:u w:val="single"/>
        </w:rPr>
      </w:pPr>
      <w:r w:rsidRPr="00BC0C1D">
        <w:rPr>
          <w:noProof/>
          <w:sz w:val="24"/>
          <w:szCs w:val="24"/>
          <w:u w:val="single"/>
        </w:rPr>
        <w:t>Farmakodynamisk virkning</w:t>
      </w:r>
    </w:p>
    <w:p w:rsidR="00A75EE9" w:rsidRPr="00BC0C1D" w:rsidRDefault="00A75EE9" w:rsidP="00A75EE9">
      <w:pPr>
        <w:ind w:left="851"/>
        <w:rPr>
          <w:noProof/>
          <w:sz w:val="24"/>
          <w:szCs w:val="24"/>
        </w:rPr>
      </w:pPr>
      <w:r w:rsidRPr="00BC0C1D">
        <w:rPr>
          <w:noProof/>
          <w:sz w:val="24"/>
          <w:szCs w:val="24"/>
        </w:rPr>
        <w:t xml:space="preserve">Fastende gastrinværdier stiger under pantoprazolbehandling. Ved anvendelse af pantoprazol i kort tid overskrider gastrinværdierne i de fleste tilfælde ikke normalområdet. Under langtidsbehandling fordobles gastrinværdierne i de fleste tilfælde. En usædvanlig stor forøgelse forekommer imidlertid kun i enkeltstående tilfælde. Som resultat heraf er en svag til moderat forøgelse af antallet af specifikke endokrine (ECL) celler i maven set hos et mindretal af patienterne under langtidsbehandling (simpel til adenomatoid hyperplasi). </w:t>
      </w:r>
      <w:r w:rsidRPr="00BC0C1D">
        <w:rPr>
          <w:noProof/>
          <w:sz w:val="24"/>
          <w:szCs w:val="24"/>
        </w:rPr>
        <w:lastRenderedPageBreak/>
        <w:t>Ifølge forsøg, som er udført indtil nu, er dannelsen af carcinoide forstadier (atypisk hyperplasi) og ventrikelcarcinoider, som er fundet i dyreforsøg, imidlertid ikke set hos mennesker i langtidsbehandling i de hidtil udførte forsøg (se pkt. 5.3).</w:t>
      </w:r>
    </w:p>
    <w:p w:rsidR="00A75EE9" w:rsidRPr="00BC0C1D" w:rsidRDefault="00A75EE9" w:rsidP="00A75EE9">
      <w:pPr>
        <w:ind w:left="851"/>
        <w:rPr>
          <w:noProof/>
          <w:sz w:val="24"/>
          <w:szCs w:val="24"/>
        </w:rPr>
      </w:pPr>
    </w:p>
    <w:p w:rsidR="00A75EE9" w:rsidRPr="00BC0C1D" w:rsidRDefault="00A75EE9" w:rsidP="00A75EE9">
      <w:pPr>
        <w:widowControl w:val="0"/>
        <w:adjustRightInd w:val="0"/>
        <w:ind w:left="850" w:hanging="850"/>
        <w:textAlignment w:val="baseline"/>
        <w:rPr>
          <w:spacing w:val="-3"/>
          <w:sz w:val="24"/>
          <w:szCs w:val="24"/>
        </w:rPr>
      </w:pPr>
      <w:r w:rsidRPr="00BC0C1D">
        <w:rPr>
          <w:noProof/>
          <w:sz w:val="24"/>
          <w:szCs w:val="24"/>
        </w:rPr>
        <w:tab/>
        <w:t>Indflydelse på skjoldbruskkirtlens endokrinologiske parametre kan ved langtidsbehandling over 1 år med pantoprazol, ikke helt udelukkes på baggrund af resultaterne fra dyreforsøg.</w:t>
      </w:r>
    </w:p>
    <w:p w:rsidR="00A75EE9" w:rsidRPr="00BC0C1D" w:rsidRDefault="00A75EE9" w:rsidP="00A75EE9">
      <w:pPr>
        <w:ind w:left="851"/>
        <w:rPr>
          <w:sz w:val="24"/>
          <w:szCs w:val="24"/>
        </w:rPr>
      </w:pPr>
    </w:p>
    <w:p w:rsidR="00A75EE9" w:rsidRPr="00BC0C1D" w:rsidRDefault="00A75EE9" w:rsidP="00A75EE9">
      <w:pPr>
        <w:ind w:left="851" w:hanging="851"/>
        <w:rPr>
          <w:b/>
          <w:sz w:val="24"/>
          <w:szCs w:val="24"/>
        </w:rPr>
      </w:pPr>
      <w:r w:rsidRPr="00BC0C1D">
        <w:rPr>
          <w:b/>
          <w:sz w:val="24"/>
          <w:szCs w:val="24"/>
        </w:rPr>
        <w:t>5.2</w:t>
      </w:r>
      <w:r w:rsidRPr="00BC0C1D">
        <w:rPr>
          <w:b/>
          <w:sz w:val="24"/>
          <w:szCs w:val="24"/>
        </w:rPr>
        <w:tab/>
      </w:r>
      <w:proofErr w:type="spellStart"/>
      <w:r w:rsidRPr="00BC0C1D">
        <w:rPr>
          <w:b/>
          <w:sz w:val="24"/>
          <w:szCs w:val="24"/>
        </w:rPr>
        <w:t>Farmakokinetiske</w:t>
      </w:r>
      <w:proofErr w:type="spellEnd"/>
      <w:r w:rsidRPr="00BC0C1D">
        <w:rPr>
          <w:b/>
          <w:sz w:val="24"/>
          <w:szCs w:val="24"/>
        </w:rPr>
        <w:t xml:space="preserve"> egenskaber</w:t>
      </w:r>
    </w:p>
    <w:p w:rsidR="00A75EE9" w:rsidRPr="00BC0C1D" w:rsidRDefault="00A75EE9" w:rsidP="00A75EE9">
      <w:pPr>
        <w:ind w:left="855"/>
        <w:rPr>
          <w:i/>
          <w:iCs/>
          <w:spacing w:val="-3"/>
          <w:sz w:val="24"/>
          <w:szCs w:val="24"/>
        </w:rPr>
      </w:pPr>
    </w:p>
    <w:p w:rsidR="00A75EE9" w:rsidRPr="00BC0C1D" w:rsidRDefault="00A75EE9" w:rsidP="00A75EE9">
      <w:pPr>
        <w:ind w:left="855"/>
        <w:rPr>
          <w:iCs/>
          <w:spacing w:val="-3"/>
          <w:sz w:val="24"/>
          <w:szCs w:val="24"/>
          <w:u w:val="single"/>
          <w:lang w:eastAsia="da-DK"/>
        </w:rPr>
      </w:pPr>
      <w:r w:rsidRPr="00BC0C1D">
        <w:rPr>
          <w:iCs/>
          <w:spacing w:val="-3"/>
          <w:sz w:val="24"/>
          <w:szCs w:val="24"/>
          <w:u w:val="single"/>
        </w:rPr>
        <w:t>Almen farmakokinetik</w:t>
      </w:r>
    </w:p>
    <w:p w:rsidR="00A75EE9" w:rsidRPr="00BC0C1D" w:rsidRDefault="00A75EE9" w:rsidP="00A75EE9">
      <w:pPr>
        <w:ind w:left="855"/>
        <w:rPr>
          <w:noProof/>
          <w:sz w:val="24"/>
          <w:szCs w:val="24"/>
        </w:rPr>
      </w:pPr>
      <w:r w:rsidRPr="00BC0C1D">
        <w:rPr>
          <w:noProof/>
          <w:sz w:val="24"/>
          <w:szCs w:val="24"/>
        </w:rPr>
        <w:t>De farmakokinetiske parametre er ens efter enkelt eller gentagen administration. Inden for dosisintervallet 10-80 mg er pantoprazols plasmakinetik lineær efter både oral og intravenøs administration.</w:t>
      </w:r>
    </w:p>
    <w:p w:rsidR="00A75EE9" w:rsidRPr="00BC0C1D" w:rsidRDefault="00A75EE9" w:rsidP="00A75EE9">
      <w:pPr>
        <w:ind w:left="855"/>
        <w:rPr>
          <w:spacing w:val="-3"/>
          <w:sz w:val="24"/>
          <w:szCs w:val="24"/>
        </w:rPr>
      </w:pPr>
    </w:p>
    <w:p w:rsidR="00A75EE9" w:rsidRPr="00BC0C1D" w:rsidRDefault="00A75EE9" w:rsidP="00A75EE9">
      <w:pPr>
        <w:ind w:left="851"/>
        <w:rPr>
          <w:iCs/>
          <w:spacing w:val="-3"/>
          <w:sz w:val="24"/>
          <w:szCs w:val="24"/>
          <w:u w:val="single"/>
        </w:rPr>
      </w:pPr>
      <w:r w:rsidRPr="00BC0C1D">
        <w:rPr>
          <w:iCs/>
          <w:spacing w:val="-3"/>
          <w:sz w:val="24"/>
          <w:szCs w:val="24"/>
          <w:u w:val="single"/>
        </w:rPr>
        <w:t>Fordeling</w:t>
      </w:r>
    </w:p>
    <w:p w:rsidR="00A75EE9" w:rsidRPr="00BC0C1D" w:rsidRDefault="00A75EE9" w:rsidP="00A75EE9">
      <w:pPr>
        <w:ind w:left="851"/>
        <w:rPr>
          <w:spacing w:val="-3"/>
          <w:sz w:val="24"/>
          <w:szCs w:val="24"/>
        </w:rPr>
      </w:pPr>
      <w:proofErr w:type="spellStart"/>
      <w:r w:rsidRPr="00BC0C1D">
        <w:rPr>
          <w:spacing w:val="-3"/>
          <w:sz w:val="24"/>
          <w:szCs w:val="24"/>
        </w:rPr>
        <w:t>Pantoprazols</w:t>
      </w:r>
      <w:proofErr w:type="spellEnd"/>
      <w:r w:rsidRPr="00BC0C1D">
        <w:rPr>
          <w:spacing w:val="-3"/>
          <w:sz w:val="24"/>
          <w:szCs w:val="24"/>
        </w:rPr>
        <w:t xml:space="preserve"> serumproteinbinding er ca. 98 %. Fordelingsvolumenet er på omkring 0,15 </w:t>
      </w:r>
      <w:r>
        <w:rPr>
          <w:spacing w:val="-3"/>
          <w:sz w:val="24"/>
          <w:szCs w:val="24"/>
        </w:rPr>
        <w:t>l</w:t>
      </w:r>
      <w:r w:rsidRPr="00BC0C1D">
        <w:rPr>
          <w:spacing w:val="-3"/>
          <w:sz w:val="24"/>
          <w:szCs w:val="24"/>
        </w:rPr>
        <w:t>/kg.</w:t>
      </w:r>
    </w:p>
    <w:p w:rsidR="00A75EE9" w:rsidRPr="00BC0C1D" w:rsidRDefault="00A75EE9" w:rsidP="00A75EE9">
      <w:pPr>
        <w:ind w:left="855"/>
        <w:rPr>
          <w:spacing w:val="-3"/>
          <w:sz w:val="24"/>
          <w:szCs w:val="24"/>
        </w:rPr>
      </w:pPr>
    </w:p>
    <w:p w:rsidR="00A75EE9" w:rsidRPr="00BC0C1D" w:rsidRDefault="00A75EE9" w:rsidP="00A75EE9">
      <w:pPr>
        <w:ind w:left="855"/>
        <w:rPr>
          <w:spacing w:val="-3"/>
          <w:sz w:val="24"/>
          <w:szCs w:val="24"/>
          <w:u w:val="single"/>
        </w:rPr>
      </w:pPr>
      <w:r w:rsidRPr="00BC0C1D">
        <w:rPr>
          <w:spacing w:val="-3"/>
          <w:sz w:val="24"/>
          <w:szCs w:val="24"/>
          <w:u w:val="single"/>
        </w:rPr>
        <w:t>Elimination</w:t>
      </w:r>
    </w:p>
    <w:p w:rsidR="00A75EE9" w:rsidRPr="00BC0C1D" w:rsidRDefault="00A75EE9" w:rsidP="00A75EE9">
      <w:pPr>
        <w:ind w:left="855"/>
        <w:rPr>
          <w:noProof/>
          <w:sz w:val="24"/>
          <w:szCs w:val="24"/>
        </w:rPr>
      </w:pPr>
      <w:r w:rsidRPr="00BC0C1D">
        <w:rPr>
          <w:spacing w:val="-3"/>
          <w:sz w:val="24"/>
          <w:szCs w:val="24"/>
        </w:rPr>
        <w:t xml:space="preserve">Stoffet </w:t>
      </w:r>
      <w:proofErr w:type="spellStart"/>
      <w:r w:rsidRPr="00BC0C1D">
        <w:rPr>
          <w:spacing w:val="-3"/>
          <w:sz w:val="24"/>
          <w:szCs w:val="24"/>
        </w:rPr>
        <w:t>metaboliseres</w:t>
      </w:r>
      <w:proofErr w:type="spellEnd"/>
      <w:r w:rsidRPr="00BC0C1D">
        <w:rPr>
          <w:spacing w:val="-3"/>
          <w:sz w:val="24"/>
          <w:szCs w:val="24"/>
        </w:rPr>
        <w:t xml:space="preserve"> næsten udelukkende i leveren.</w:t>
      </w:r>
      <w:r w:rsidRPr="00BC0C1D">
        <w:rPr>
          <w:noProof/>
          <w:sz w:val="24"/>
          <w:szCs w:val="24"/>
        </w:rPr>
        <w:t xml:space="preserve"> Den vigtigste metaboliseringsvej er demethylering via CYP2C19 med efterfølgende sulfatkonjugation, andre metaboliserings</w:t>
      </w:r>
      <w:r w:rsidRPr="00BC0C1D">
        <w:rPr>
          <w:noProof/>
          <w:sz w:val="24"/>
          <w:szCs w:val="24"/>
        </w:rPr>
        <w:softHyphen/>
        <w:t xml:space="preserve">veje inkluderer oxidation via CYP3A4. </w:t>
      </w:r>
      <w:r w:rsidRPr="00BC0C1D">
        <w:rPr>
          <w:spacing w:val="-3"/>
          <w:sz w:val="24"/>
          <w:szCs w:val="24"/>
        </w:rPr>
        <w:t xml:space="preserve">Den terminale halveringstid er ca. 1 time, og </w:t>
      </w:r>
      <w:proofErr w:type="spellStart"/>
      <w:r w:rsidRPr="00BC0C1D">
        <w:rPr>
          <w:spacing w:val="-3"/>
          <w:sz w:val="24"/>
          <w:szCs w:val="24"/>
        </w:rPr>
        <w:t>clearance</w:t>
      </w:r>
      <w:proofErr w:type="spellEnd"/>
      <w:r w:rsidRPr="00BC0C1D">
        <w:rPr>
          <w:spacing w:val="-3"/>
          <w:sz w:val="24"/>
          <w:szCs w:val="24"/>
        </w:rPr>
        <w:t xml:space="preserve"> er ca. 0,1 l/time/kg. I enkelte tilfælde var udskillelsen forlænget. På grund af den specifikke binding af </w:t>
      </w:r>
      <w:proofErr w:type="spellStart"/>
      <w:r w:rsidRPr="00BC0C1D">
        <w:rPr>
          <w:spacing w:val="-3"/>
          <w:sz w:val="24"/>
          <w:szCs w:val="24"/>
        </w:rPr>
        <w:t>pantoprazol</w:t>
      </w:r>
      <w:proofErr w:type="spellEnd"/>
      <w:r w:rsidRPr="00BC0C1D">
        <w:rPr>
          <w:spacing w:val="-3"/>
          <w:sz w:val="24"/>
          <w:szCs w:val="24"/>
        </w:rPr>
        <w:t xml:space="preserve"> til protonpumperne i de </w:t>
      </w:r>
      <w:proofErr w:type="spellStart"/>
      <w:r w:rsidRPr="00BC0C1D">
        <w:rPr>
          <w:spacing w:val="-3"/>
          <w:sz w:val="24"/>
          <w:szCs w:val="24"/>
        </w:rPr>
        <w:t>parietale</w:t>
      </w:r>
      <w:proofErr w:type="spellEnd"/>
      <w:r w:rsidRPr="00BC0C1D">
        <w:rPr>
          <w:spacing w:val="-3"/>
          <w:sz w:val="24"/>
          <w:szCs w:val="24"/>
        </w:rPr>
        <w:t xml:space="preserve"> celler svarer halveringstiden for udskillelsen ikke til den meget længere virkningsvarighed (hæmning af syresekretionen).</w:t>
      </w:r>
    </w:p>
    <w:p w:rsidR="00A75EE9" w:rsidRDefault="00A75EE9" w:rsidP="00A75EE9">
      <w:pPr>
        <w:ind w:left="855"/>
        <w:rPr>
          <w:spacing w:val="-3"/>
          <w:sz w:val="24"/>
          <w:szCs w:val="24"/>
        </w:rPr>
      </w:pPr>
    </w:p>
    <w:p w:rsidR="00A75EE9" w:rsidRPr="00BC0C1D" w:rsidRDefault="00A75EE9" w:rsidP="00A75EE9">
      <w:pPr>
        <w:ind w:left="855"/>
        <w:rPr>
          <w:spacing w:val="-3"/>
          <w:sz w:val="24"/>
          <w:szCs w:val="24"/>
        </w:rPr>
      </w:pPr>
      <w:r w:rsidRPr="00BC0C1D">
        <w:rPr>
          <w:spacing w:val="-3"/>
          <w:sz w:val="24"/>
          <w:szCs w:val="24"/>
        </w:rPr>
        <w:t xml:space="preserve">Udskillelsen gennem nyrerne repræsenterer den største del af udskillelsen (omkring 80%) for metabolitterne af </w:t>
      </w:r>
      <w:proofErr w:type="spellStart"/>
      <w:r w:rsidRPr="00BC0C1D">
        <w:rPr>
          <w:spacing w:val="-3"/>
          <w:sz w:val="24"/>
          <w:szCs w:val="24"/>
        </w:rPr>
        <w:t>pantoprazol</w:t>
      </w:r>
      <w:proofErr w:type="spellEnd"/>
      <w:r w:rsidRPr="00BC0C1D">
        <w:rPr>
          <w:spacing w:val="-3"/>
          <w:sz w:val="24"/>
          <w:szCs w:val="24"/>
        </w:rPr>
        <w:t xml:space="preserve">, mens resten udskilles med fæces. Hovedmetabolitten i både serum og urin er </w:t>
      </w:r>
      <w:proofErr w:type="spellStart"/>
      <w:r w:rsidRPr="00BC0C1D">
        <w:rPr>
          <w:spacing w:val="-3"/>
          <w:sz w:val="24"/>
          <w:szCs w:val="24"/>
        </w:rPr>
        <w:t>desmethylpantoprazol</w:t>
      </w:r>
      <w:proofErr w:type="spellEnd"/>
      <w:r w:rsidRPr="00BC0C1D">
        <w:rPr>
          <w:spacing w:val="-3"/>
          <w:sz w:val="24"/>
          <w:szCs w:val="24"/>
        </w:rPr>
        <w:t xml:space="preserve">, der er bundet til sulfat. Hovedmetabolitternes halveringstid (ca. 1,5 time) er ikke meget længere end </w:t>
      </w:r>
      <w:proofErr w:type="spellStart"/>
      <w:r w:rsidRPr="00BC0C1D">
        <w:rPr>
          <w:spacing w:val="-3"/>
          <w:sz w:val="24"/>
          <w:szCs w:val="24"/>
        </w:rPr>
        <w:t>pantoprazols</w:t>
      </w:r>
      <w:proofErr w:type="spellEnd"/>
      <w:r w:rsidRPr="00BC0C1D">
        <w:rPr>
          <w:spacing w:val="-3"/>
          <w:sz w:val="24"/>
          <w:szCs w:val="24"/>
        </w:rPr>
        <w:t>.</w:t>
      </w:r>
    </w:p>
    <w:p w:rsidR="00A75EE9" w:rsidRPr="00BC0C1D" w:rsidRDefault="00A75EE9" w:rsidP="00A75EE9">
      <w:pPr>
        <w:ind w:left="855"/>
        <w:rPr>
          <w:noProof/>
          <w:sz w:val="24"/>
          <w:szCs w:val="24"/>
        </w:rPr>
      </w:pPr>
    </w:p>
    <w:p w:rsidR="00A75EE9" w:rsidRPr="00BC0C1D" w:rsidRDefault="00A75EE9" w:rsidP="00A75EE9">
      <w:pPr>
        <w:pStyle w:val="Sidehoved"/>
        <w:tabs>
          <w:tab w:val="clear" w:pos="4819"/>
          <w:tab w:val="clear" w:pos="9638"/>
        </w:tabs>
        <w:ind w:left="855"/>
        <w:rPr>
          <w:szCs w:val="24"/>
          <w:u w:val="single"/>
        </w:rPr>
      </w:pPr>
      <w:r w:rsidRPr="00BC0C1D">
        <w:rPr>
          <w:szCs w:val="24"/>
          <w:u w:val="single"/>
        </w:rPr>
        <w:t>Særlige populationer</w:t>
      </w:r>
    </w:p>
    <w:p w:rsidR="00A75EE9" w:rsidRPr="00BC0C1D" w:rsidRDefault="00A75EE9" w:rsidP="00A75EE9">
      <w:pPr>
        <w:ind w:left="851"/>
        <w:rPr>
          <w:i/>
          <w:spacing w:val="-3"/>
          <w:sz w:val="24"/>
          <w:szCs w:val="24"/>
        </w:rPr>
      </w:pPr>
    </w:p>
    <w:p w:rsidR="00A75EE9" w:rsidRPr="004013F3" w:rsidRDefault="00A75EE9" w:rsidP="00A75EE9">
      <w:pPr>
        <w:ind w:left="851"/>
        <w:rPr>
          <w:i/>
          <w:spacing w:val="-3"/>
          <w:sz w:val="24"/>
          <w:szCs w:val="24"/>
          <w:u w:val="single"/>
        </w:rPr>
      </w:pPr>
      <w:r w:rsidRPr="004013F3">
        <w:rPr>
          <w:i/>
          <w:spacing w:val="-3"/>
          <w:sz w:val="24"/>
          <w:szCs w:val="24"/>
          <w:u w:val="single"/>
        </w:rPr>
        <w:t xml:space="preserve">Langsomme </w:t>
      </w:r>
      <w:proofErr w:type="spellStart"/>
      <w:r w:rsidRPr="004013F3">
        <w:rPr>
          <w:i/>
          <w:spacing w:val="-3"/>
          <w:sz w:val="24"/>
          <w:szCs w:val="24"/>
          <w:u w:val="single"/>
        </w:rPr>
        <w:t>omsættere</w:t>
      </w:r>
      <w:proofErr w:type="spellEnd"/>
    </w:p>
    <w:p w:rsidR="00A75EE9" w:rsidRPr="00BC0C1D" w:rsidRDefault="00A75EE9" w:rsidP="00A75EE9">
      <w:pPr>
        <w:ind w:left="851"/>
        <w:rPr>
          <w:spacing w:val="-3"/>
          <w:sz w:val="24"/>
          <w:szCs w:val="24"/>
        </w:rPr>
      </w:pPr>
      <w:r w:rsidRPr="00BC0C1D">
        <w:rPr>
          <w:spacing w:val="-3"/>
          <w:sz w:val="24"/>
          <w:szCs w:val="24"/>
        </w:rPr>
        <w:t xml:space="preserve">Omkring 3 % af den europæiske population mangler et funktionsdygtigt CYP2C19 enzym og kaldes langsomme </w:t>
      </w:r>
      <w:proofErr w:type="spellStart"/>
      <w:r w:rsidRPr="00BC0C1D">
        <w:rPr>
          <w:spacing w:val="-3"/>
          <w:sz w:val="24"/>
          <w:szCs w:val="24"/>
        </w:rPr>
        <w:t>omsættere</w:t>
      </w:r>
      <w:proofErr w:type="spellEnd"/>
      <w:r w:rsidRPr="00BC0C1D">
        <w:rPr>
          <w:spacing w:val="-3"/>
          <w:sz w:val="24"/>
          <w:szCs w:val="24"/>
        </w:rPr>
        <w:t xml:space="preserve">. Hos disse individer er </w:t>
      </w:r>
      <w:proofErr w:type="spellStart"/>
      <w:r w:rsidRPr="00BC0C1D">
        <w:rPr>
          <w:spacing w:val="-3"/>
          <w:sz w:val="24"/>
          <w:szCs w:val="24"/>
        </w:rPr>
        <w:t>metaboliseringen</w:t>
      </w:r>
      <w:proofErr w:type="spellEnd"/>
      <w:r w:rsidRPr="00BC0C1D">
        <w:rPr>
          <w:spacing w:val="-3"/>
          <w:sz w:val="24"/>
          <w:szCs w:val="24"/>
        </w:rPr>
        <w:t xml:space="preserve"> af </w:t>
      </w:r>
      <w:proofErr w:type="spellStart"/>
      <w:r w:rsidRPr="00BC0C1D">
        <w:rPr>
          <w:spacing w:val="-3"/>
          <w:sz w:val="24"/>
          <w:szCs w:val="24"/>
        </w:rPr>
        <w:t>pantoprazol</w:t>
      </w:r>
      <w:proofErr w:type="spellEnd"/>
      <w:r w:rsidRPr="00BC0C1D">
        <w:rPr>
          <w:spacing w:val="-3"/>
          <w:sz w:val="24"/>
          <w:szCs w:val="24"/>
        </w:rPr>
        <w:t xml:space="preserve"> formodentlig hovedsagelig katalyseret via CYP3A4. Efter administration af en enkelt dosis på 40 mg </w:t>
      </w:r>
      <w:proofErr w:type="spellStart"/>
      <w:r w:rsidRPr="00BC0C1D">
        <w:rPr>
          <w:spacing w:val="-3"/>
          <w:sz w:val="24"/>
          <w:szCs w:val="24"/>
        </w:rPr>
        <w:t>pantoprazol</w:t>
      </w:r>
      <w:proofErr w:type="spellEnd"/>
      <w:r w:rsidRPr="00BC0C1D">
        <w:rPr>
          <w:spacing w:val="-3"/>
          <w:sz w:val="24"/>
          <w:szCs w:val="24"/>
        </w:rPr>
        <w:t xml:space="preserve">, var gennemsnitsarealet under plasmakoncentrations-kurven omkring 6 gange højere for dårlige </w:t>
      </w:r>
      <w:proofErr w:type="spellStart"/>
      <w:r w:rsidRPr="00BC0C1D">
        <w:rPr>
          <w:spacing w:val="-3"/>
          <w:sz w:val="24"/>
          <w:szCs w:val="24"/>
        </w:rPr>
        <w:t>omsættere</w:t>
      </w:r>
      <w:proofErr w:type="spellEnd"/>
      <w:r w:rsidRPr="00BC0C1D">
        <w:rPr>
          <w:spacing w:val="-3"/>
          <w:sz w:val="24"/>
          <w:szCs w:val="24"/>
        </w:rPr>
        <w:t xml:space="preserve"> end hos individer med et funktionsdygtigt CYP2C19 enzym (hurtige </w:t>
      </w:r>
      <w:proofErr w:type="spellStart"/>
      <w:r w:rsidRPr="00BC0C1D">
        <w:rPr>
          <w:spacing w:val="-3"/>
          <w:sz w:val="24"/>
          <w:szCs w:val="24"/>
        </w:rPr>
        <w:t>omsættere</w:t>
      </w:r>
      <w:proofErr w:type="spellEnd"/>
      <w:r w:rsidRPr="00BC0C1D">
        <w:rPr>
          <w:spacing w:val="-3"/>
          <w:sz w:val="24"/>
          <w:szCs w:val="24"/>
        </w:rPr>
        <w:t xml:space="preserve">). Gennemsnitlig maksimal plasmakoncentration blev øget med omkring 60 %. Disse fund har ingen betydning for </w:t>
      </w:r>
      <w:proofErr w:type="spellStart"/>
      <w:r w:rsidRPr="00BC0C1D">
        <w:rPr>
          <w:spacing w:val="-3"/>
          <w:sz w:val="24"/>
          <w:szCs w:val="24"/>
        </w:rPr>
        <w:t>dosologien</w:t>
      </w:r>
      <w:proofErr w:type="spellEnd"/>
      <w:r w:rsidRPr="00BC0C1D">
        <w:rPr>
          <w:spacing w:val="-3"/>
          <w:sz w:val="24"/>
          <w:szCs w:val="24"/>
        </w:rPr>
        <w:t xml:space="preserve"> af </w:t>
      </w:r>
      <w:proofErr w:type="spellStart"/>
      <w:r w:rsidRPr="00BC0C1D">
        <w:rPr>
          <w:spacing w:val="-3"/>
          <w:sz w:val="24"/>
          <w:szCs w:val="24"/>
        </w:rPr>
        <w:t>pantoprazol</w:t>
      </w:r>
      <w:proofErr w:type="spellEnd"/>
      <w:r w:rsidRPr="00BC0C1D">
        <w:rPr>
          <w:spacing w:val="-3"/>
          <w:sz w:val="24"/>
          <w:szCs w:val="24"/>
        </w:rPr>
        <w:t>.</w:t>
      </w:r>
    </w:p>
    <w:p w:rsidR="00A75EE9" w:rsidRPr="00BC0C1D" w:rsidRDefault="00A75EE9" w:rsidP="00A75EE9">
      <w:pPr>
        <w:ind w:left="851"/>
        <w:rPr>
          <w:spacing w:val="-3"/>
          <w:sz w:val="24"/>
          <w:szCs w:val="24"/>
        </w:rPr>
      </w:pPr>
    </w:p>
    <w:p w:rsidR="00A75EE9" w:rsidRPr="00BC0C1D" w:rsidRDefault="00A75EE9" w:rsidP="00A75EE9">
      <w:pPr>
        <w:ind w:left="851"/>
        <w:rPr>
          <w:i/>
          <w:spacing w:val="-3"/>
          <w:sz w:val="24"/>
          <w:szCs w:val="24"/>
          <w:u w:val="single"/>
        </w:rPr>
      </w:pPr>
      <w:r w:rsidRPr="00BC0C1D">
        <w:rPr>
          <w:i/>
          <w:spacing w:val="-3"/>
          <w:sz w:val="24"/>
          <w:szCs w:val="24"/>
          <w:u w:val="single"/>
        </w:rPr>
        <w:t>Nedsat nyrefunktion</w:t>
      </w:r>
    </w:p>
    <w:p w:rsidR="00A75EE9" w:rsidRPr="00BC0C1D" w:rsidRDefault="00A75EE9" w:rsidP="00A75EE9">
      <w:pPr>
        <w:ind w:left="851"/>
        <w:rPr>
          <w:spacing w:val="-3"/>
          <w:sz w:val="24"/>
          <w:szCs w:val="24"/>
        </w:rPr>
      </w:pPr>
      <w:r w:rsidRPr="00BC0C1D">
        <w:rPr>
          <w:spacing w:val="-3"/>
          <w:sz w:val="24"/>
          <w:szCs w:val="24"/>
        </w:rPr>
        <w:t xml:space="preserve">Der kræves ingen dosisreduktion, når </w:t>
      </w:r>
      <w:proofErr w:type="spellStart"/>
      <w:r w:rsidRPr="00BC0C1D">
        <w:rPr>
          <w:spacing w:val="-3"/>
          <w:sz w:val="24"/>
          <w:szCs w:val="24"/>
        </w:rPr>
        <w:t>pantoprazol</w:t>
      </w:r>
      <w:proofErr w:type="spellEnd"/>
      <w:r w:rsidRPr="00BC0C1D">
        <w:rPr>
          <w:spacing w:val="-3"/>
          <w:sz w:val="24"/>
          <w:szCs w:val="24"/>
        </w:rPr>
        <w:t xml:space="preserve"> gives til patienter med nedsat nyrefunktion (inkl. dialysepatienter). Som hos raske forsøgspersoner, er </w:t>
      </w:r>
      <w:proofErr w:type="spellStart"/>
      <w:r w:rsidRPr="00BC0C1D">
        <w:rPr>
          <w:spacing w:val="-3"/>
          <w:sz w:val="24"/>
          <w:szCs w:val="24"/>
        </w:rPr>
        <w:t>pantoprazols</w:t>
      </w:r>
      <w:proofErr w:type="spellEnd"/>
      <w:r w:rsidRPr="00BC0C1D">
        <w:rPr>
          <w:spacing w:val="-3"/>
          <w:sz w:val="24"/>
          <w:szCs w:val="24"/>
        </w:rPr>
        <w:t xml:space="preserve"> halveringstid kort. Kun ganske små mængder </w:t>
      </w:r>
      <w:proofErr w:type="spellStart"/>
      <w:r w:rsidRPr="00BC0C1D">
        <w:rPr>
          <w:spacing w:val="-3"/>
          <w:sz w:val="24"/>
          <w:szCs w:val="24"/>
        </w:rPr>
        <w:t>pantoprazol</w:t>
      </w:r>
      <w:proofErr w:type="spellEnd"/>
      <w:r w:rsidRPr="00BC0C1D">
        <w:rPr>
          <w:spacing w:val="-3"/>
          <w:sz w:val="24"/>
          <w:szCs w:val="24"/>
        </w:rPr>
        <w:t xml:space="preserve"> er genstand for dialyse. Skønt hovedmetabolitten har en moderat forsinket halveringstid (2-3 timer), er udskillelsen stadig hurtig, og akkumulation finder således ikke sted.</w:t>
      </w:r>
    </w:p>
    <w:p w:rsidR="00A75EE9" w:rsidRDefault="00A75EE9" w:rsidP="00A75EE9">
      <w:pPr>
        <w:rPr>
          <w:spacing w:val="-3"/>
          <w:sz w:val="24"/>
          <w:szCs w:val="24"/>
        </w:rPr>
      </w:pPr>
      <w:r>
        <w:rPr>
          <w:spacing w:val="-3"/>
          <w:sz w:val="24"/>
          <w:szCs w:val="24"/>
        </w:rPr>
        <w:br w:type="page"/>
      </w:r>
    </w:p>
    <w:p w:rsidR="00A75EE9" w:rsidRPr="00BC0C1D" w:rsidRDefault="00A75EE9" w:rsidP="00A75EE9">
      <w:pPr>
        <w:ind w:left="851"/>
        <w:rPr>
          <w:spacing w:val="-3"/>
          <w:sz w:val="24"/>
          <w:szCs w:val="24"/>
        </w:rPr>
      </w:pPr>
    </w:p>
    <w:p w:rsidR="00A75EE9" w:rsidRPr="00BC0C1D" w:rsidRDefault="00A75EE9" w:rsidP="00A75EE9">
      <w:pPr>
        <w:ind w:left="851"/>
        <w:rPr>
          <w:i/>
          <w:spacing w:val="-3"/>
          <w:sz w:val="24"/>
          <w:szCs w:val="24"/>
          <w:u w:val="single"/>
        </w:rPr>
      </w:pPr>
      <w:r w:rsidRPr="00BC0C1D">
        <w:rPr>
          <w:i/>
          <w:spacing w:val="-3"/>
          <w:sz w:val="24"/>
          <w:szCs w:val="24"/>
          <w:u w:val="single"/>
        </w:rPr>
        <w:t>Nedsat leverfunktion</w:t>
      </w:r>
    </w:p>
    <w:p w:rsidR="00A75EE9" w:rsidRPr="00BC0C1D" w:rsidRDefault="00A75EE9" w:rsidP="00A75EE9">
      <w:pPr>
        <w:ind w:left="851"/>
        <w:rPr>
          <w:spacing w:val="-3"/>
          <w:sz w:val="24"/>
          <w:szCs w:val="24"/>
        </w:rPr>
      </w:pPr>
      <w:r w:rsidRPr="00BC0C1D">
        <w:rPr>
          <w:spacing w:val="-3"/>
          <w:sz w:val="24"/>
          <w:szCs w:val="24"/>
        </w:rPr>
        <w:t xml:space="preserve">Selvom halveringstiden øgedes til mellem 3 og 6 timer, og AUC værdierne stiger med en faktor 3-5 hos patienter med </w:t>
      </w:r>
      <w:proofErr w:type="spellStart"/>
      <w:r w:rsidRPr="00BC0C1D">
        <w:rPr>
          <w:spacing w:val="-3"/>
          <w:sz w:val="24"/>
          <w:szCs w:val="24"/>
        </w:rPr>
        <w:t>levercirrhose</w:t>
      </w:r>
      <w:proofErr w:type="spellEnd"/>
      <w:r w:rsidRPr="00BC0C1D">
        <w:rPr>
          <w:spacing w:val="-3"/>
          <w:sz w:val="24"/>
          <w:szCs w:val="24"/>
        </w:rPr>
        <w:t xml:space="preserve"> (klasse A og B ifølge Child) steg den maksimale serumkoncentration kun let med en faktor 1,3 i forhold til raske forsøgspersoner.</w:t>
      </w:r>
    </w:p>
    <w:p w:rsidR="00A75EE9" w:rsidRPr="00BC0C1D" w:rsidRDefault="00A75EE9" w:rsidP="00A75EE9">
      <w:pPr>
        <w:ind w:left="851"/>
        <w:rPr>
          <w:spacing w:val="-3"/>
          <w:sz w:val="24"/>
          <w:szCs w:val="24"/>
        </w:rPr>
      </w:pPr>
    </w:p>
    <w:p w:rsidR="00A75EE9" w:rsidRPr="00BC0C1D" w:rsidRDefault="00A75EE9" w:rsidP="00A75EE9">
      <w:pPr>
        <w:ind w:left="851"/>
        <w:rPr>
          <w:i/>
          <w:spacing w:val="-3"/>
          <w:sz w:val="24"/>
          <w:szCs w:val="24"/>
          <w:u w:val="single"/>
        </w:rPr>
      </w:pPr>
      <w:r w:rsidRPr="00BC0C1D">
        <w:rPr>
          <w:i/>
          <w:spacing w:val="-3"/>
          <w:sz w:val="24"/>
          <w:szCs w:val="24"/>
          <w:u w:val="single"/>
        </w:rPr>
        <w:t>Ældre</w:t>
      </w:r>
    </w:p>
    <w:p w:rsidR="00A75EE9" w:rsidRPr="00BC0C1D" w:rsidRDefault="00A75EE9" w:rsidP="00A75EE9">
      <w:pPr>
        <w:ind w:left="851"/>
        <w:rPr>
          <w:spacing w:val="-3"/>
          <w:sz w:val="24"/>
          <w:szCs w:val="24"/>
        </w:rPr>
      </w:pPr>
      <w:r w:rsidRPr="00BC0C1D">
        <w:rPr>
          <w:spacing w:val="-3"/>
          <w:sz w:val="24"/>
          <w:szCs w:val="24"/>
        </w:rPr>
        <w:t xml:space="preserve">En beskeden stigning i AUC og </w:t>
      </w:r>
      <w:proofErr w:type="spellStart"/>
      <w:r w:rsidRPr="00BC0C1D">
        <w:rPr>
          <w:spacing w:val="-3"/>
          <w:sz w:val="24"/>
          <w:szCs w:val="24"/>
        </w:rPr>
        <w:t>C</w:t>
      </w:r>
      <w:r w:rsidRPr="00BC0C1D">
        <w:rPr>
          <w:spacing w:val="-3"/>
          <w:sz w:val="24"/>
          <w:szCs w:val="24"/>
          <w:vertAlign w:val="subscript"/>
        </w:rPr>
        <w:t>max</w:t>
      </w:r>
      <w:proofErr w:type="spellEnd"/>
      <w:r w:rsidRPr="00BC0C1D">
        <w:rPr>
          <w:spacing w:val="-3"/>
          <w:sz w:val="24"/>
          <w:szCs w:val="24"/>
          <w:vertAlign w:val="subscript"/>
        </w:rPr>
        <w:t xml:space="preserve"> </w:t>
      </w:r>
      <w:r w:rsidRPr="00BC0C1D">
        <w:rPr>
          <w:spacing w:val="-3"/>
          <w:sz w:val="24"/>
          <w:szCs w:val="24"/>
        </w:rPr>
        <w:t>hos ældre forsøgspersoner sammenlignet med yngre har heller ingen klinisk betydning.</w:t>
      </w:r>
    </w:p>
    <w:p w:rsidR="00A75EE9" w:rsidRPr="00BC0C1D" w:rsidRDefault="00A75EE9" w:rsidP="00A75EE9">
      <w:pPr>
        <w:ind w:left="851"/>
        <w:rPr>
          <w:bCs/>
          <w:spacing w:val="-3"/>
          <w:sz w:val="24"/>
          <w:szCs w:val="24"/>
        </w:rPr>
      </w:pPr>
    </w:p>
    <w:p w:rsidR="00A75EE9" w:rsidRPr="00BC0C1D" w:rsidRDefault="00A75EE9" w:rsidP="00A75EE9">
      <w:pPr>
        <w:ind w:left="851"/>
        <w:rPr>
          <w:i/>
          <w:spacing w:val="-3"/>
          <w:sz w:val="24"/>
          <w:szCs w:val="24"/>
          <w:u w:val="single"/>
        </w:rPr>
      </w:pPr>
      <w:r w:rsidRPr="00BC0C1D">
        <w:rPr>
          <w:i/>
          <w:spacing w:val="-3"/>
          <w:sz w:val="24"/>
          <w:szCs w:val="24"/>
          <w:u w:val="single"/>
        </w:rPr>
        <w:t>Pædiatrisk population</w:t>
      </w:r>
    </w:p>
    <w:p w:rsidR="00A75EE9" w:rsidRPr="00BC0C1D" w:rsidRDefault="00A75EE9" w:rsidP="00A75EE9">
      <w:pPr>
        <w:ind w:left="851"/>
        <w:rPr>
          <w:spacing w:val="-3"/>
          <w:sz w:val="24"/>
          <w:szCs w:val="24"/>
        </w:rPr>
      </w:pPr>
      <w:r w:rsidRPr="00BC0C1D">
        <w:rPr>
          <w:sz w:val="24"/>
          <w:szCs w:val="24"/>
        </w:rPr>
        <w:t xml:space="preserve">Efter indgift af en enkelt intravenøs dosis </w:t>
      </w:r>
      <w:proofErr w:type="spellStart"/>
      <w:r w:rsidRPr="00BC0C1D">
        <w:rPr>
          <w:sz w:val="24"/>
          <w:szCs w:val="24"/>
        </w:rPr>
        <w:t>pantoprazol</w:t>
      </w:r>
      <w:proofErr w:type="spellEnd"/>
      <w:r w:rsidRPr="00BC0C1D">
        <w:rPr>
          <w:sz w:val="24"/>
          <w:szCs w:val="24"/>
        </w:rPr>
        <w:t xml:space="preserve"> på 0,8 eller 1,6 mg/kg hos børn på 2-16 år sås ingen signifikant forbindelse mellem </w:t>
      </w:r>
      <w:proofErr w:type="spellStart"/>
      <w:r w:rsidRPr="00BC0C1D">
        <w:rPr>
          <w:sz w:val="24"/>
          <w:szCs w:val="24"/>
        </w:rPr>
        <w:t>clearance</w:t>
      </w:r>
      <w:proofErr w:type="spellEnd"/>
      <w:r w:rsidRPr="00BC0C1D">
        <w:rPr>
          <w:sz w:val="24"/>
          <w:szCs w:val="24"/>
        </w:rPr>
        <w:t xml:space="preserve"> af </w:t>
      </w:r>
      <w:proofErr w:type="spellStart"/>
      <w:r w:rsidRPr="00BC0C1D">
        <w:rPr>
          <w:sz w:val="24"/>
          <w:szCs w:val="24"/>
        </w:rPr>
        <w:t>pantoprazol</w:t>
      </w:r>
      <w:proofErr w:type="spellEnd"/>
      <w:r w:rsidRPr="00BC0C1D">
        <w:rPr>
          <w:sz w:val="24"/>
          <w:szCs w:val="24"/>
        </w:rPr>
        <w:t xml:space="preserve"> og alder og vægt. AUC og fordelingsvolumen svarede til data fra voksne.</w:t>
      </w:r>
    </w:p>
    <w:p w:rsidR="00A75EE9" w:rsidRPr="00BC0C1D" w:rsidRDefault="00A75EE9" w:rsidP="00A75EE9">
      <w:pPr>
        <w:ind w:left="851"/>
        <w:rPr>
          <w:sz w:val="24"/>
          <w:szCs w:val="24"/>
        </w:rPr>
      </w:pPr>
    </w:p>
    <w:p w:rsidR="00A75EE9" w:rsidRPr="00BC0C1D" w:rsidRDefault="00A75EE9" w:rsidP="00A75EE9">
      <w:pPr>
        <w:ind w:left="851" w:hanging="851"/>
        <w:rPr>
          <w:b/>
          <w:sz w:val="24"/>
          <w:szCs w:val="24"/>
        </w:rPr>
      </w:pPr>
      <w:r w:rsidRPr="00BC0C1D">
        <w:rPr>
          <w:b/>
          <w:sz w:val="24"/>
          <w:szCs w:val="24"/>
        </w:rPr>
        <w:t>5.3</w:t>
      </w:r>
      <w:r w:rsidRPr="00BC0C1D">
        <w:rPr>
          <w:b/>
          <w:sz w:val="24"/>
          <w:szCs w:val="24"/>
        </w:rPr>
        <w:tab/>
      </w:r>
      <w:r w:rsidR="00296351">
        <w:rPr>
          <w:b/>
          <w:sz w:val="24"/>
          <w:szCs w:val="24"/>
        </w:rPr>
        <w:t>Non-</w:t>
      </w:r>
      <w:r w:rsidRPr="00BC0C1D">
        <w:rPr>
          <w:b/>
          <w:sz w:val="24"/>
          <w:szCs w:val="24"/>
        </w:rPr>
        <w:t>kliniske sikkerhedsdata</w:t>
      </w:r>
    </w:p>
    <w:p w:rsidR="00A75EE9" w:rsidRPr="00BC0C1D" w:rsidRDefault="00296351" w:rsidP="00A75EE9">
      <w:pPr>
        <w:ind w:left="851"/>
        <w:rPr>
          <w:spacing w:val="-3"/>
          <w:sz w:val="24"/>
          <w:szCs w:val="24"/>
          <w:lang w:eastAsia="da-DK"/>
        </w:rPr>
      </w:pPr>
      <w:r>
        <w:rPr>
          <w:spacing w:val="-3"/>
          <w:sz w:val="24"/>
          <w:szCs w:val="24"/>
        </w:rPr>
        <w:t>Non-</w:t>
      </w:r>
      <w:r w:rsidR="00A75EE9" w:rsidRPr="00BC0C1D">
        <w:rPr>
          <w:spacing w:val="-3"/>
          <w:sz w:val="24"/>
          <w:szCs w:val="24"/>
        </w:rPr>
        <w:t xml:space="preserve">kliniske data, baseret på konventionelle studier af </w:t>
      </w:r>
      <w:proofErr w:type="spellStart"/>
      <w:r w:rsidR="00A75EE9" w:rsidRPr="00BC0C1D">
        <w:rPr>
          <w:spacing w:val="-3"/>
          <w:sz w:val="24"/>
          <w:szCs w:val="24"/>
        </w:rPr>
        <w:t>safety</w:t>
      </w:r>
      <w:proofErr w:type="spellEnd"/>
      <w:r w:rsidR="00A75EE9" w:rsidRPr="00BC0C1D">
        <w:rPr>
          <w:spacing w:val="-3"/>
          <w:sz w:val="24"/>
          <w:szCs w:val="24"/>
        </w:rPr>
        <w:t xml:space="preserve"> farmakologi, gentagen dosis toksicitet og gentoksicitet, tyder ikke på specielle risici for mennesker.</w:t>
      </w:r>
    </w:p>
    <w:p w:rsidR="00A75EE9" w:rsidRPr="00BC0C1D" w:rsidRDefault="00A75EE9" w:rsidP="00A75EE9">
      <w:pPr>
        <w:ind w:left="851"/>
        <w:rPr>
          <w:spacing w:val="-3"/>
          <w:sz w:val="24"/>
          <w:szCs w:val="24"/>
        </w:rPr>
      </w:pPr>
    </w:p>
    <w:p w:rsidR="00A75EE9" w:rsidRPr="00BC0C1D" w:rsidRDefault="00A75EE9" w:rsidP="00A75EE9">
      <w:pPr>
        <w:ind w:left="851"/>
        <w:rPr>
          <w:spacing w:val="-3"/>
          <w:sz w:val="24"/>
          <w:szCs w:val="24"/>
        </w:rPr>
      </w:pPr>
      <w:r w:rsidRPr="00BC0C1D">
        <w:rPr>
          <w:spacing w:val="-3"/>
          <w:sz w:val="24"/>
          <w:szCs w:val="24"/>
        </w:rPr>
        <w:t xml:space="preserve">I et to årigt </w:t>
      </w:r>
      <w:proofErr w:type="spellStart"/>
      <w:r w:rsidRPr="00BC0C1D">
        <w:rPr>
          <w:spacing w:val="-3"/>
          <w:sz w:val="24"/>
          <w:szCs w:val="24"/>
        </w:rPr>
        <w:t>karcinogenitetsforsøg</w:t>
      </w:r>
      <w:proofErr w:type="spellEnd"/>
      <w:r w:rsidRPr="00BC0C1D">
        <w:rPr>
          <w:spacing w:val="-3"/>
          <w:sz w:val="24"/>
          <w:szCs w:val="24"/>
        </w:rPr>
        <w:t xml:space="preserve"> på rotter - fandt man </w:t>
      </w:r>
      <w:proofErr w:type="spellStart"/>
      <w:r w:rsidRPr="00BC0C1D">
        <w:rPr>
          <w:spacing w:val="-3"/>
          <w:sz w:val="24"/>
          <w:szCs w:val="24"/>
        </w:rPr>
        <w:t>neuroendokrin</w:t>
      </w:r>
      <w:proofErr w:type="spellEnd"/>
      <w:r w:rsidRPr="00BC0C1D">
        <w:rPr>
          <w:spacing w:val="-3"/>
          <w:sz w:val="24"/>
          <w:szCs w:val="24"/>
        </w:rPr>
        <w:t xml:space="preserve"> </w:t>
      </w:r>
      <w:proofErr w:type="spellStart"/>
      <w:r w:rsidRPr="00BC0C1D">
        <w:rPr>
          <w:spacing w:val="-3"/>
          <w:sz w:val="24"/>
          <w:szCs w:val="24"/>
        </w:rPr>
        <w:t>neoplasi</w:t>
      </w:r>
      <w:proofErr w:type="spellEnd"/>
      <w:r w:rsidRPr="00BC0C1D">
        <w:rPr>
          <w:spacing w:val="-3"/>
          <w:sz w:val="24"/>
          <w:szCs w:val="24"/>
        </w:rPr>
        <w:t xml:space="preserve">. Desuden blev der fundet </w:t>
      </w:r>
      <w:proofErr w:type="spellStart"/>
      <w:r w:rsidRPr="00BC0C1D">
        <w:rPr>
          <w:spacing w:val="-3"/>
          <w:sz w:val="24"/>
          <w:szCs w:val="24"/>
        </w:rPr>
        <w:t>planocellulære</w:t>
      </w:r>
      <w:proofErr w:type="spellEnd"/>
      <w:r w:rsidRPr="00BC0C1D">
        <w:rPr>
          <w:spacing w:val="-3"/>
          <w:sz w:val="24"/>
          <w:szCs w:val="24"/>
        </w:rPr>
        <w:t xml:space="preserve"> </w:t>
      </w:r>
      <w:proofErr w:type="spellStart"/>
      <w:r w:rsidRPr="00BC0C1D">
        <w:rPr>
          <w:spacing w:val="-3"/>
          <w:sz w:val="24"/>
          <w:szCs w:val="24"/>
        </w:rPr>
        <w:t>papillomer</w:t>
      </w:r>
      <w:proofErr w:type="spellEnd"/>
      <w:r w:rsidRPr="00BC0C1D">
        <w:rPr>
          <w:spacing w:val="-3"/>
          <w:sz w:val="24"/>
          <w:szCs w:val="24"/>
        </w:rPr>
        <w:t xml:space="preserve"> i </w:t>
      </w:r>
      <w:proofErr w:type="spellStart"/>
      <w:r w:rsidRPr="00BC0C1D">
        <w:rPr>
          <w:spacing w:val="-3"/>
          <w:sz w:val="24"/>
          <w:szCs w:val="24"/>
        </w:rPr>
        <w:t>formaven</w:t>
      </w:r>
      <w:proofErr w:type="spellEnd"/>
      <w:r w:rsidRPr="00BC0C1D">
        <w:rPr>
          <w:spacing w:val="-3"/>
          <w:sz w:val="24"/>
          <w:szCs w:val="24"/>
        </w:rPr>
        <w:t xml:space="preserve"> på rotterne. Den mekanisme, der fører til, at substituerede </w:t>
      </w:r>
      <w:proofErr w:type="spellStart"/>
      <w:r w:rsidRPr="00BC0C1D">
        <w:rPr>
          <w:spacing w:val="-3"/>
          <w:sz w:val="24"/>
          <w:szCs w:val="24"/>
        </w:rPr>
        <w:t>benzimidazoler</w:t>
      </w:r>
      <w:proofErr w:type="spellEnd"/>
      <w:r w:rsidRPr="00BC0C1D">
        <w:rPr>
          <w:spacing w:val="-3"/>
          <w:sz w:val="24"/>
          <w:szCs w:val="24"/>
        </w:rPr>
        <w:t xml:space="preserve"> giver ventrikelcancer er undersøgt nøje. Konklusionen er, at ventrikelcanceren er en sekundær reaktion til den kraftige forøgelse af </w:t>
      </w:r>
      <w:proofErr w:type="spellStart"/>
      <w:r w:rsidRPr="00BC0C1D">
        <w:rPr>
          <w:spacing w:val="-3"/>
          <w:sz w:val="24"/>
          <w:szCs w:val="24"/>
        </w:rPr>
        <w:t>serumgastrinniveauet</w:t>
      </w:r>
      <w:proofErr w:type="spellEnd"/>
      <w:r w:rsidRPr="00BC0C1D">
        <w:rPr>
          <w:spacing w:val="-3"/>
          <w:sz w:val="24"/>
          <w:szCs w:val="24"/>
        </w:rPr>
        <w:t xml:space="preserve"> hos rotter i kronisk behandling. I 2-års studierne blev et forøget antal af levertumorer set hos rotter og </w:t>
      </w:r>
      <w:proofErr w:type="spellStart"/>
      <w:r w:rsidRPr="00BC0C1D">
        <w:rPr>
          <w:spacing w:val="-3"/>
          <w:sz w:val="24"/>
          <w:szCs w:val="24"/>
        </w:rPr>
        <w:t>hunmus</w:t>
      </w:r>
      <w:proofErr w:type="spellEnd"/>
      <w:r w:rsidRPr="00BC0C1D">
        <w:rPr>
          <w:spacing w:val="-3"/>
          <w:sz w:val="24"/>
          <w:szCs w:val="24"/>
        </w:rPr>
        <w:t xml:space="preserve">, hvilket blev tolket som en konsekvens af </w:t>
      </w:r>
      <w:proofErr w:type="spellStart"/>
      <w:r w:rsidRPr="00BC0C1D">
        <w:rPr>
          <w:spacing w:val="-3"/>
          <w:sz w:val="24"/>
          <w:szCs w:val="24"/>
        </w:rPr>
        <w:t>pantoprazols</w:t>
      </w:r>
      <w:proofErr w:type="spellEnd"/>
      <w:r w:rsidRPr="00BC0C1D">
        <w:rPr>
          <w:spacing w:val="-3"/>
          <w:sz w:val="24"/>
          <w:szCs w:val="24"/>
        </w:rPr>
        <w:t xml:space="preserve"> høje metaboliske omsætning i leveren. </w:t>
      </w:r>
    </w:p>
    <w:p w:rsidR="00A75EE9" w:rsidRPr="00BC0C1D" w:rsidRDefault="00A75EE9" w:rsidP="00A75EE9">
      <w:pPr>
        <w:ind w:left="851"/>
        <w:rPr>
          <w:spacing w:val="-3"/>
          <w:sz w:val="24"/>
          <w:szCs w:val="24"/>
        </w:rPr>
      </w:pPr>
    </w:p>
    <w:p w:rsidR="00A75EE9" w:rsidRPr="00BC0C1D" w:rsidRDefault="00A75EE9" w:rsidP="00A75EE9">
      <w:pPr>
        <w:ind w:left="851"/>
        <w:rPr>
          <w:spacing w:val="-3"/>
          <w:sz w:val="24"/>
          <w:szCs w:val="24"/>
        </w:rPr>
      </w:pPr>
      <w:r w:rsidRPr="00BC0C1D">
        <w:rPr>
          <w:spacing w:val="-3"/>
          <w:sz w:val="24"/>
          <w:szCs w:val="24"/>
        </w:rPr>
        <w:t xml:space="preserve">En beskeden forøgelse af de neoplastiske forandringer af </w:t>
      </w:r>
      <w:proofErr w:type="spellStart"/>
      <w:r w:rsidRPr="00BC0C1D">
        <w:rPr>
          <w:spacing w:val="-3"/>
          <w:sz w:val="24"/>
          <w:szCs w:val="24"/>
        </w:rPr>
        <w:t>thyreoidea</w:t>
      </w:r>
      <w:proofErr w:type="spellEnd"/>
      <w:r w:rsidRPr="00BC0C1D">
        <w:rPr>
          <w:spacing w:val="-3"/>
          <w:sz w:val="24"/>
          <w:szCs w:val="24"/>
        </w:rPr>
        <w:t xml:space="preserve"> blev set i den gruppe rotter, der fik den højeste dosis (200 mg/kg). Forekomsten af disse neoplastiske ændringer hænger sammen med de </w:t>
      </w:r>
      <w:proofErr w:type="spellStart"/>
      <w:r w:rsidRPr="00BC0C1D">
        <w:rPr>
          <w:spacing w:val="-3"/>
          <w:sz w:val="24"/>
          <w:szCs w:val="24"/>
        </w:rPr>
        <w:t>pantoprazolinducerede</w:t>
      </w:r>
      <w:proofErr w:type="spellEnd"/>
      <w:r w:rsidRPr="00BC0C1D">
        <w:rPr>
          <w:spacing w:val="-3"/>
          <w:sz w:val="24"/>
          <w:szCs w:val="24"/>
        </w:rPr>
        <w:t xml:space="preserve"> forandringer i nedbrydning af </w:t>
      </w:r>
      <w:proofErr w:type="spellStart"/>
      <w:r w:rsidRPr="00BC0C1D">
        <w:rPr>
          <w:spacing w:val="-3"/>
          <w:sz w:val="24"/>
          <w:szCs w:val="24"/>
        </w:rPr>
        <w:t>thyroxin</w:t>
      </w:r>
      <w:proofErr w:type="spellEnd"/>
      <w:r w:rsidRPr="00BC0C1D">
        <w:rPr>
          <w:spacing w:val="-3"/>
          <w:sz w:val="24"/>
          <w:szCs w:val="24"/>
        </w:rPr>
        <w:t xml:space="preserve"> i rotteleveren. Da den terapeutiske dosis hos mennesker er lav, forventes ingen bivirkninger på skjoldbruskkirtlen.</w:t>
      </w:r>
    </w:p>
    <w:p w:rsidR="00A75EE9" w:rsidRPr="00BC0C1D" w:rsidRDefault="00A75EE9" w:rsidP="00A75EE9">
      <w:pPr>
        <w:ind w:left="851"/>
        <w:rPr>
          <w:sz w:val="24"/>
          <w:szCs w:val="24"/>
        </w:rPr>
      </w:pPr>
    </w:p>
    <w:p w:rsidR="00A75EE9" w:rsidRPr="00BC0C1D" w:rsidRDefault="00A75EE9" w:rsidP="00A75EE9">
      <w:pPr>
        <w:ind w:left="851"/>
        <w:rPr>
          <w:spacing w:val="-3"/>
          <w:sz w:val="24"/>
          <w:szCs w:val="24"/>
        </w:rPr>
      </w:pPr>
      <w:r w:rsidRPr="00BC0C1D">
        <w:rPr>
          <w:spacing w:val="-3"/>
          <w:sz w:val="24"/>
          <w:szCs w:val="24"/>
        </w:rPr>
        <w:t xml:space="preserve">I dyrereproduktionsforsøg, blev tegn på embryotoksicitet observeret ved doser over 5 mg/kg. </w:t>
      </w:r>
    </w:p>
    <w:p w:rsidR="00A75EE9" w:rsidRDefault="00A75EE9" w:rsidP="00A75EE9">
      <w:pPr>
        <w:ind w:left="851"/>
        <w:rPr>
          <w:spacing w:val="-3"/>
          <w:sz w:val="24"/>
          <w:szCs w:val="24"/>
        </w:rPr>
      </w:pPr>
    </w:p>
    <w:p w:rsidR="00A75EE9" w:rsidRPr="00BC0C1D" w:rsidRDefault="00A75EE9" w:rsidP="00A75EE9">
      <w:pPr>
        <w:ind w:left="851"/>
        <w:rPr>
          <w:spacing w:val="-3"/>
          <w:sz w:val="24"/>
          <w:szCs w:val="24"/>
        </w:rPr>
      </w:pPr>
      <w:r w:rsidRPr="00BC0C1D">
        <w:rPr>
          <w:spacing w:val="-3"/>
          <w:sz w:val="24"/>
          <w:szCs w:val="24"/>
        </w:rPr>
        <w:t xml:space="preserve">Undersøgelserne viste intet tegn på nedsat fertilitet eller </w:t>
      </w:r>
      <w:proofErr w:type="spellStart"/>
      <w:r w:rsidRPr="00BC0C1D">
        <w:rPr>
          <w:spacing w:val="-3"/>
          <w:sz w:val="24"/>
          <w:szCs w:val="24"/>
        </w:rPr>
        <w:t>teratogen</w:t>
      </w:r>
      <w:proofErr w:type="spellEnd"/>
      <w:r w:rsidRPr="00BC0C1D">
        <w:rPr>
          <w:spacing w:val="-3"/>
          <w:sz w:val="24"/>
          <w:szCs w:val="24"/>
        </w:rPr>
        <w:t xml:space="preserve"> effekt. </w:t>
      </w:r>
    </w:p>
    <w:p w:rsidR="00A75EE9" w:rsidRPr="00BC0C1D" w:rsidRDefault="00A75EE9" w:rsidP="00A75EE9">
      <w:pPr>
        <w:ind w:left="851"/>
        <w:rPr>
          <w:spacing w:val="-3"/>
          <w:sz w:val="24"/>
          <w:szCs w:val="24"/>
        </w:rPr>
      </w:pPr>
    </w:p>
    <w:p w:rsidR="00A75EE9" w:rsidRPr="00BC0C1D" w:rsidRDefault="00A75EE9" w:rsidP="00A75EE9">
      <w:pPr>
        <w:ind w:left="851"/>
        <w:rPr>
          <w:sz w:val="24"/>
          <w:szCs w:val="24"/>
        </w:rPr>
      </w:pPr>
      <w:r w:rsidRPr="00BC0C1D">
        <w:rPr>
          <w:spacing w:val="-3"/>
          <w:sz w:val="24"/>
          <w:szCs w:val="24"/>
        </w:rPr>
        <w:t xml:space="preserve">Passagen over placenta hos rotter blev undersøgt og fandtes at stige med fremskreden graviditet. Som en konsekvens heraf øgedes koncentrationen af </w:t>
      </w:r>
      <w:proofErr w:type="spellStart"/>
      <w:r w:rsidRPr="00BC0C1D">
        <w:rPr>
          <w:spacing w:val="-3"/>
          <w:sz w:val="24"/>
          <w:szCs w:val="24"/>
        </w:rPr>
        <w:t>pantoprazol</w:t>
      </w:r>
      <w:proofErr w:type="spellEnd"/>
      <w:r w:rsidRPr="00BC0C1D">
        <w:rPr>
          <w:spacing w:val="-3"/>
          <w:sz w:val="24"/>
          <w:szCs w:val="24"/>
        </w:rPr>
        <w:t xml:space="preserve"> i fosteret kort før fødslen.</w:t>
      </w:r>
    </w:p>
    <w:p w:rsidR="00A75EE9" w:rsidRPr="00BC0C1D" w:rsidRDefault="00A75EE9" w:rsidP="00A75EE9">
      <w:pPr>
        <w:ind w:left="851"/>
        <w:rPr>
          <w:sz w:val="24"/>
          <w:szCs w:val="24"/>
        </w:rPr>
      </w:pPr>
    </w:p>
    <w:p w:rsidR="00A75EE9" w:rsidRPr="00BC0C1D" w:rsidRDefault="00A75EE9" w:rsidP="00A75EE9">
      <w:pPr>
        <w:ind w:left="851"/>
        <w:rPr>
          <w:sz w:val="24"/>
          <w:szCs w:val="24"/>
        </w:rPr>
      </w:pPr>
    </w:p>
    <w:p w:rsidR="00A75EE9" w:rsidRPr="00BC0C1D" w:rsidRDefault="00A75EE9" w:rsidP="00A75EE9">
      <w:pPr>
        <w:ind w:left="851" w:hanging="851"/>
        <w:rPr>
          <w:b/>
          <w:sz w:val="24"/>
          <w:szCs w:val="24"/>
        </w:rPr>
      </w:pPr>
      <w:r w:rsidRPr="00BC0C1D">
        <w:rPr>
          <w:b/>
          <w:sz w:val="24"/>
          <w:szCs w:val="24"/>
        </w:rPr>
        <w:t>6.</w:t>
      </w:r>
      <w:r w:rsidRPr="00BC0C1D">
        <w:rPr>
          <w:b/>
          <w:sz w:val="24"/>
          <w:szCs w:val="24"/>
        </w:rPr>
        <w:tab/>
        <w:t>FARMACEUTISKE OPLYSNINGER</w:t>
      </w:r>
    </w:p>
    <w:p w:rsidR="00A75EE9" w:rsidRPr="00BC0C1D" w:rsidRDefault="00A75EE9" w:rsidP="00A75EE9">
      <w:pPr>
        <w:ind w:left="851"/>
        <w:rPr>
          <w:sz w:val="24"/>
          <w:szCs w:val="24"/>
        </w:rPr>
      </w:pPr>
    </w:p>
    <w:p w:rsidR="00A75EE9" w:rsidRPr="00BC0C1D" w:rsidRDefault="00A75EE9" w:rsidP="00A75EE9">
      <w:pPr>
        <w:ind w:left="851" w:hanging="851"/>
        <w:rPr>
          <w:b/>
          <w:sz w:val="24"/>
          <w:szCs w:val="24"/>
        </w:rPr>
      </w:pPr>
      <w:r w:rsidRPr="00BC0C1D">
        <w:rPr>
          <w:b/>
          <w:sz w:val="24"/>
          <w:szCs w:val="24"/>
        </w:rPr>
        <w:t>6.1</w:t>
      </w:r>
      <w:r w:rsidRPr="00BC0C1D">
        <w:rPr>
          <w:b/>
          <w:sz w:val="24"/>
          <w:szCs w:val="24"/>
        </w:rPr>
        <w:tab/>
        <w:t>Hjælpestoffer</w:t>
      </w:r>
    </w:p>
    <w:p w:rsidR="00A75EE9" w:rsidRPr="00BC0C1D" w:rsidRDefault="00A75EE9" w:rsidP="00A75EE9">
      <w:pPr>
        <w:widowControl w:val="0"/>
        <w:adjustRightInd w:val="0"/>
        <w:ind w:left="855"/>
        <w:textAlignment w:val="baseline"/>
        <w:rPr>
          <w:sz w:val="24"/>
          <w:szCs w:val="24"/>
          <w:lang w:eastAsia="da-DK"/>
        </w:rPr>
      </w:pPr>
      <w:proofErr w:type="spellStart"/>
      <w:r w:rsidRPr="00BC0C1D">
        <w:rPr>
          <w:sz w:val="24"/>
          <w:szCs w:val="24"/>
        </w:rPr>
        <w:t>Dinatriumedetat</w:t>
      </w:r>
      <w:proofErr w:type="spellEnd"/>
    </w:p>
    <w:p w:rsidR="00A75EE9" w:rsidRPr="00BC0C1D" w:rsidRDefault="00A75EE9" w:rsidP="00A75EE9">
      <w:pPr>
        <w:ind w:left="851"/>
        <w:rPr>
          <w:sz w:val="24"/>
          <w:szCs w:val="24"/>
        </w:rPr>
      </w:pPr>
    </w:p>
    <w:p w:rsidR="00A75EE9" w:rsidRPr="00BC0C1D" w:rsidRDefault="00A75EE9" w:rsidP="00A75EE9">
      <w:pPr>
        <w:ind w:left="851" w:hanging="851"/>
        <w:rPr>
          <w:b/>
          <w:sz w:val="24"/>
          <w:szCs w:val="24"/>
        </w:rPr>
      </w:pPr>
      <w:r w:rsidRPr="00BC0C1D">
        <w:rPr>
          <w:b/>
          <w:sz w:val="24"/>
          <w:szCs w:val="24"/>
        </w:rPr>
        <w:t>6.2</w:t>
      </w:r>
      <w:r w:rsidRPr="00BC0C1D">
        <w:rPr>
          <w:b/>
          <w:sz w:val="24"/>
          <w:szCs w:val="24"/>
        </w:rPr>
        <w:tab/>
        <w:t>Uforligeligheder</w:t>
      </w:r>
    </w:p>
    <w:p w:rsidR="00A75EE9" w:rsidRPr="00BC0C1D" w:rsidRDefault="00A75EE9" w:rsidP="00A75EE9">
      <w:pPr>
        <w:ind w:left="851"/>
        <w:rPr>
          <w:sz w:val="24"/>
          <w:szCs w:val="24"/>
          <w:lang w:eastAsia="da-DK"/>
        </w:rPr>
      </w:pPr>
      <w:r w:rsidRPr="00BC0C1D">
        <w:rPr>
          <w:sz w:val="24"/>
          <w:szCs w:val="24"/>
        </w:rPr>
        <w:t>Dette lægemiddel må ikke blandes med andre lægemidler end dem, der er anført under pkt. 6.6.</w:t>
      </w:r>
    </w:p>
    <w:p w:rsidR="00A75EE9" w:rsidRPr="00BC0C1D" w:rsidRDefault="00A75EE9" w:rsidP="00A75EE9">
      <w:pPr>
        <w:ind w:left="851"/>
        <w:rPr>
          <w:sz w:val="24"/>
          <w:szCs w:val="24"/>
        </w:rPr>
      </w:pPr>
    </w:p>
    <w:p w:rsidR="00A75EE9" w:rsidRPr="00BC0C1D" w:rsidRDefault="00A75EE9" w:rsidP="00A75EE9">
      <w:pPr>
        <w:ind w:left="851" w:hanging="851"/>
        <w:rPr>
          <w:b/>
          <w:sz w:val="24"/>
          <w:szCs w:val="24"/>
        </w:rPr>
      </w:pPr>
      <w:r w:rsidRPr="00BC0C1D">
        <w:rPr>
          <w:b/>
          <w:sz w:val="24"/>
          <w:szCs w:val="24"/>
        </w:rPr>
        <w:lastRenderedPageBreak/>
        <w:t>6.3</w:t>
      </w:r>
      <w:r w:rsidRPr="00BC0C1D">
        <w:rPr>
          <w:b/>
          <w:sz w:val="24"/>
          <w:szCs w:val="24"/>
        </w:rPr>
        <w:tab/>
        <w:t>Opbevaringstid</w:t>
      </w:r>
    </w:p>
    <w:p w:rsidR="00A75EE9" w:rsidRPr="00BC0C1D" w:rsidRDefault="00A75EE9" w:rsidP="00A75EE9">
      <w:pPr>
        <w:widowControl w:val="0"/>
        <w:adjustRightInd w:val="0"/>
        <w:ind w:left="855"/>
        <w:textAlignment w:val="baseline"/>
        <w:rPr>
          <w:sz w:val="24"/>
          <w:szCs w:val="24"/>
          <w:lang w:eastAsia="da-DK"/>
        </w:rPr>
      </w:pPr>
      <w:r w:rsidRPr="00BC0C1D">
        <w:rPr>
          <w:sz w:val="24"/>
          <w:szCs w:val="24"/>
        </w:rPr>
        <w:t>Uåbnet: 2 år.</w:t>
      </w:r>
    </w:p>
    <w:p w:rsidR="00A75EE9" w:rsidRPr="00BC0C1D" w:rsidRDefault="00A75EE9" w:rsidP="00A75EE9">
      <w:pPr>
        <w:ind w:left="851"/>
        <w:rPr>
          <w:spacing w:val="-3"/>
          <w:sz w:val="24"/>
          <w:szCs w:val="24"/>
        </w:rPr>
      </w:pPr>
      <w:r w:rsidRPr="00BC0C1D">
        <w:rPr>
          <w:spacing w:val="-3"/>
          <w:sz w:val="24"/>
          <w:szCs w:val="24"/>
        </w:rPr>
        <w:t xml:space="preserve">Efter </w:t>
      </w:r>
      <w:proofErr w:type="spellStart"/>
      <w:r w:rsidRPr="00BC0C1D">
        <w:rPr>
          <w:spacing w:val="-3"/>
          <w:sz w:val="24"/>
          <w:szCs w:val="24"/>
        </w:rPr>
        <w:t>rekonstituering</w:t>
      </w:r>
      <w:proofErr w:type="spellEnd"/>
      <w:r w:rsidRPr="00BC0C1D">
        <w:rPr>
          <w:spacing w:val="-3"/>
          <w:sz w:val="24"/>
          <w:szCs w:val="24"/>
        </w:rPr>
        <w:t xml:space="preserve"> eller </w:t>
      </w:r>
      <w:proofErr w:type="spellStart"/>
      <w:r w:rsidRPr="00BC0C1D">
        <w:rPr>
          <w:spacing w:val="-3"/>
          <w:sz w:val="24"/>
          <w:szCs w:val="24"/>
        </w:rPr>
        <w:t>rekonstituering</w:t>
      </w:r>
      <w:proofErr w:type="spellEnd"/>
      <w:r w:rsidRPr="00BC0C1D">
        <w:rPr>
          <w:spacing w:val="-3"/>
          <w:sz w:val="24"/>
          <w:szCs w:val="24"/>
        </w:rPr>
        <w:t xml:space="preserve"> og fortynding er opløsningen </w:t>
      </w:r>
      <w:r w:rsidRPr="00BC0C1D">
        <w:rPr>
          <w:noProof/>
          <w:sz w:val="24"/>
          <w:szCs w:val="24"/>
        </w:rPr>
        <w:t xml:space="preserve">fysisk og kemisk stabil i 6 timer ved </w:t>
      </w:r>
      <w:r w:rsidRPr="00BC0C1D">
        <w:rPr>
          <w:spacing w:val="-3"/>
          <w:sz w:val="24"/>
          <w:szCs w:val="24"/>
        </w:rPr>
        <w:t xml:space="preserve">25 </w:t>
      </w:r>
      <w:r w:rsidRPr="00BC0C1D">
        <w:rPr>
          <w:spacing w:val="-3"/>
          <w:sz w:val="24"/>
          <w:szCs w:val="24"/>
        </w:rPr>
        <w:sym w:font="Symbol" w:char="F0B0"/>
      </w:r>
      <w:r w:rsidRPr="00BC0C1D">
        <w:rPr>
          <w:spacing w:val="-3"/>
          <w:sz w:val="24"/>
          <w:szCs w:val="24"/>
        </w:rPr>
        <w:t>C.</w:t>
      </w:r>
    </w:p>
    <w:p w:rsidR="00A75EE9" w:rsidRPr="00BC0C1D" w:rsidRDefault="00A75EE9" w:rsidP="00A75EE9">
      <w:pPr>
        <w:ind w:left="851"/>
        <w:rPr>
          <w:spacing w:val="-3"/>
          <w:sz w:val="24"/>
          <w:szCs w:val="24"/>
        </w:rPr>
      </w:pPr>
      <w:r w:rsidRPr="00BC0C1D">
        <w:rPr>
          <w:spacing w:val="-3"/>
          <w:sz w:val="24"/>
          <w:szCs w:val="24"/>
        </w:rPr>
        <w:t>Ud fra en mikrobiologisk synsvinkel bør opløsningen bruges øjeblikkeligt, medmindre metoden ved åbning/</w:t>
      </w:r>
      <w:proofErr w:type="spellStart"/>
      <w:r w:rsidRPr="00BC0C1D">
        <w:rPr>
          <w:spacing w:val="-3"/>
          <w:sz w:val="24"/>
          <w:szCs w:val="24"/>
        </w:rPr>
        <w:t>rekonstituering</w:t>
      </w:r>
      <w:proofErr w:type="spellEnd"/>
      <w:r w:rsidRPr="00BC0C1D">
        <w:rPr>
          <w:spacing w:val="-3"/>
          <w:sz w:val="24"/>
          <w:szCs w:val="24"/>
        </w:rPr>
        <w:t xml:space="preserve">/fortynding udelukker risikoen for mikrobiologisk kontaminering. </w:t>
      </w:r>
    </w:p>
    <w:p w:rsidR="00A75EE9" w:rsidRPr="00BC0C1D" w:rsidRDefault="00A75EE9" w:rsidP="00A75EE9">
      <w:pPr>
        <w:widowControl w:val="0"/>
        <w:adjustRightInd w:val="0"/>
        <w:ind w:left="850" w:hanging="850"/>
        <w:textAlignment w:val="baseline"/>
        <w:rPr>
          <w:spacing w:val="-3"/>
          <w:sz w:val="24"/>
          <w:szCs w:val="24"/>
        </w:rPr>
      </w:pPr>
      <w:r w:rsidRPr="00BC0C1D">
        <w:rPr>
          <w:spacing w:val="-3"/>
          <w:sz w:val="24"/>
          <w:szCs w:val="24"/>
        </w:rPr>
        <w:tab/>
        <w:t>Bruges opløsningen ikke med det samme, har brugeren det fulde ansvar for korrekt opbevaringstid og -temperatur, indtil opløsningen anvendes.</w:t>
      </w:r>
    </w:p>
    <w:p w:rsidR="00A75EE9" w:rsidRPr="00BC0C1D" w:rsidRDefault="00A75EE9" w:rsidP="00A75EE9">
      <w:pPr>
        <w:ind w:left="851"/>
        <w:rPr>
          <w:sz w:val="24"/>
          <w:szCs w:val="24"/>
        </w:rPr>
      </w:pPr>
    </w:p>
    <w:p w:rsidR="00A75EE9" w:rsidRPr="00BC0C1D" w:rsidRDefault="00A75EE9" w:rsidP="00A75EE9">
      <w:pPr>
        <w:ind w:left="851" w:hanging="851"/>
        <w:rPr>
          <w:b/>
          <w:sz w:val="24"/>
          <w:szCs w:val="24"/>
        </w:rPr>
      </w:pPr>
      <w:r w:rsidRPr="00BC0C1D">
        <w:rPr>
          <w:b/>
          <w:sz w:val="24"/>
          <w:szCs w:val="24"/>
        </w:rPr>
        <w:t>6.4</w:t>
      </w:r>
      <w:r w:rsidRPr="00BC0C1D">
        <w:rPr>
          <w:b/>
          <w:sz w:val="24"/>
          <w:szCs w:val="24"/>
        </w:rPr>
        <w:tab/>
        <w:t>Særlige opbevaringsforhold</w:t>
      </w:r>
    </w:p>
    <w:p w:rsidR="00A75EE9" w:rsidRPr="00BC0C1D" w:rsidRDefault="00A75EE9" w:rsidP="00A75EE9">
      <w:pPr>
        <w:widowControl w:val="0"/>
        <w:adjustRightInd w:val="0"/>
        <w:ind w:left="851"/>
        <w:textAlignment w:val="baseline"/>
        <w:rPr>
          <w:sz w:val="24"/>
          <w:szCs w:val="24"/>
        </w:rPr>
      </w:pPr>
      <w:r w:rsidRPr="00BC0C1D">
        <w:rPr>
          <w:sz w:val="24"/>
          <w:szCs w:val="24"/>
        </w:rPr>
        <w:t xml:space="preserve">Opbevar hætteglasset i den ydre karton og i ikke </w:t>
      </w:r>
      <w:proofErr w:type="spellStart"/>
      <w:r w:rsidRPr="00BC0C1D">
        <w:rPr>
          <w:sz w:val="24"/>
          <w:szCs w:val="24"/>
        </w:rPr>
        <w:t>re</w:t>
      </w:r>
      <w:r w:rsidRPr="00BC0C1D">
        <w:rPr>
          <w:spacing w:val="-3"/>
          <w:sz w:val="24"/>
          <w:szCs w:val="24"/>
        </w:rPr>
        <w:t>konstitueret</w:t>
      </w:r>
      <w:proofErr w:type="spellEnd"/>
      <w:r w:rsidRPr="00BC0C1D">
        <w:rPr>
          <w:spacing w:val="-3"/>
          <w:sz w:val="24"/>
          <w:szCs w:val="24"/>
        </w:rPr>
        <w:t xml:space="preserve"> form. </w:t>
      </w:r>
    </w:p>
    <w:p w:rsidR="00A75EE9" w:rsidRPr="00BC0C1D" w:rsidRDefault="00A75EE9" w:rsidP="00A75EE9">
      <w:pPr>
        <w:widowControl w:val="0"/>
        <w:adjustRightInd w:val="0"/>
        <w:ind w:left="851"/>
        <w:textAlignment w:val="baseline"/>
        <w:rPr>
          <w:spacing w:val="-3"/>
          <w:sz w:val="24"/>
          <w:szCs w:val="24"/>
        </w:rPr>
      </w:pPr>
      <w:r w:rsidRPr="00BC0C1D">
        <w:rPr>
          <w:spacing w:val="-3"/>
          <w:sz w:val="24"/>
          <w:szCs w:val="24"/>
        </w:rPr>
        <w:t xml:space="preserve">Må ikke opbevares ved temperaturer over 30 °C. </w:t>
      </w:r>
    </w:p>
    <w:p w:rsidR="00A75EE9" w:rsidRPr="00BC0C1D" w:rsidRDefault="00A75EE9" w:rsidP="00A75EE9">
      <w:pPr>
        <w:widowControl w:val="0"/>
        <w:adjustRightInd w:val="0"/>
        <w:ind w:left="851"/>
        <w:textAlignment w:val="baseline"/>
        <w:rPr>
          <w:spacing w:val="-3"/>
          <w:sz w:val="24"/>
          <w:szCs w:val="24"/>
          <w:lang w:eastAsia="da-DK"/>
        </w:rPr>
      </w:pPr>
      <w:r w:rsidRPr="00BC0C1D">
        <w:rPr>
          <w:spacing w:val="-3"/>
          <w:sz w:val="24"/>
          <w:szCs w:val="24"/>
        </w:rPr>
        <w:t>Opbevares i den originale yderpakning for at beskytte mod lys.</w:t>
      </w:r>
    </w:p>
    <w:p w:rsidR="00A75EE9" w:rsidRPr="00BC0C1D" w:rsidRDefault="00A75EE9" w:rsidP="00A75EE9">
      <w:pPr>
        <w:widowControl w:val="0"/>
        <w:adjustRightInd w:val="0"/>
        <w:ind w:left="851"/>
        <w:textAlignment w:val="baseline"/>
        <w:rPr>
          <w:spacing w:val="-3"/>
          <w:sz w:val="24"/>
          <w:szCs w:val="24"/>
        </w:rPr>
      </w:pPr>
    </w:p>
    <w:p w:rsidR="00A75EE9" w:rsidRPr="00BC0C1D" w:rsidRDefault="00A75EE9" w:rsidP="00A75EE9">
      <w:pPr>
        <w:widowControl w:val="0"/>
        <w:adjustRightInd w:val="0"/>
        <w:ind w:left="851"/>
        <w:textAlignment w:val="baseline"/>
        <w:rPr>
          <w:spacing w:val="-3"/>
          <w:sz w:val="24"/>
          <w:szCs w:val="24"/>
        </w:rPr>
      </w:pPr>
      <w:r w:rsidRPr="00BC0C1D">
        <w:rPr>
          <w:spacing w:val="-3"/>
          <w:sz w:val="24"/>
          <w:szCs w:val="24"/>
        </w:rPr>
        <w:t xml:space="preserve">Opbevaringsforhold efter </w:t>
      </w:r>
      <w:proofErr w:type="spellStart"/>
      <w:r w:rsidRPr="00BC0C1D">
        <w:rPr>
          <w:spacing w:val="-3"/>
          <w:sz w:val="24"/>
          <w:szCs w:val="24"/>
        </w:rPr>
        <w:t>rekonstituering</w:t>
      </w:r>
      <w:proofErr w:type="spellEnd"/>
      <w:r w:rsidRPr="00BC0C1D">
        <w:rPr>
          <w:spacing w:val="-3"/>
          <w:sz w:val="24"/>
          <w:szCs w:val="24"/>
        </w:rPr>
        <w:t xml:space="preserve"> og fortynding af lægemidlet, se pkt. 6.3.</w:t>
      </w:r>
    </w:p>
    <w:p w:rsidR="00A75EE9" w:rsidRPr="00BC0C1D" w:rsidRDefault="00A75EE9" w:rsidP="00A75EE9">
      <w:pPr>
        <w:widowControl w:val="0"/>
        <w:adjustRightInd w:val="0"/>
        <w:ind w:left="850" w:hanging="850"/>
        <w:textAlignment w:val="baseline"/>
        <w:rPr>
          <w:sz w:val="24"/>
          <w:szCs w:val="24"/>
        </w:rPr>
      </w:pPr>
    </w:p>
    <w:p w:rsidR="00A75EE9" w:rsidRPr="00BC0C1D" w:rsidRDefault="00A75EE9" w:rsidP="00A75EE9">
      <w:pPr>
        <w:ind w:left="851" w:hanging="851"/>
        <w:rPr>
          <w:b/>
          <w:sz w:val="24"/>
          <w:szCs w:val="24"/>
        </w:rPr>
      </w:pPr>
      <w:r w:rsidRPr="00BC0C1D">
        <w:rPr>
          <w:b/>
          <w:sz w:val="24"/>
          <w:szCs w:val="24"/>
        </w:rPr>
        <w:t>6.5</w:t>
      </w:r>
      <w:r w:rsidRPr="00BC0C1D">
        <w:rPr>
          <w:b/>
          <w:sz w:val="24"/>
          <w:szCs w:val="24"/>
        </w:rPr>
        <w:tab/>
        <w:t>Emballagetype og pakningsstørrelser</w:t>
      </w:r>
    </w:p>
    <w:p w:rsidR="00A75EE9" w:rsidRPr="00BC0C1D" w:rsidRDefault="00A75EE9" w:rsidP="00A75EE9">
      <w:pPr>
        <w:widowControl w:val="0"/>
        <w:adjustRightInd w:val="0"/>
        <w:ind w:left="855"/>
        <w:textAlignment w:val="baseline"/>
        <w:rPr>
          <w:spacing w:val="-3"/>
          <w:sz w:val="24"/>
          <w:szCs w:val="24"/>
          <w:lang w:eastAsia="da-DK"/>
        </w:rPr>
      </w:pPr>
      <w:r w:rsidRPr="00BC0C1D">
        <w:rPr>
          <w:sz w:val="24"/>
          <w:szCs w:val="24"/>
        </w:rPr>
        <w:t>Dette lægemiddel findes i pakninger som indeholder et farveløst h</w:t>
      </w:r>
      <w:r w:rsidRPr="00BC0C1D">
        <w:rPr>
          <w:spacing w:val="-3"/>
          <w:sz w:val="24"/>
          <w:szCs w:val="24"/>
        </w:rPr>
        <w:t xml:space="preserve">ætteglas (type I), lukket med en </w:t>
      </w:r>
      <w:proofErr w:type="spellStart"/>
      <w:r w:rsidRPr="00BC0C1D">
        <w:rPr>
          <w:spacing w:val="-3"/>
          <w:sz w:val="24"/>
          <w:szCs w:val="24"/>
        </w:rPr>
        <w:t>chlorbutylprop</w:t>
      </w:r>
      <w:proofErr w:type="spellEnd"/>
      <w:r w:rsidRPr="00BC0C1D">
        <w:rPr>
          <w:spacing w:val="-3"/>
          <w:sz w:val="24"/>
          <w:szCs w:val="24"/>
        </w:rPr>
        <w:t xml:space="preserve"> og forseglet med aluminiumslåg, indeholdende 40 mg pulver til injektion, opløsning.</w:t>
      </w:r>
    </w:p>
    <w:p w:rsidR="00A75EE9" w:rsidRDefault="00A75EE9" w:rsidP="00A75EE9">
      <w:pPr>
        <w:widowControl w:val="0"/>
        <w:adjustRightInd w:val="0"/>
        <w:ind w:left="851"/>
        <w:textAlignment w:val="baseline"/>
        <w:rPr>
          <w:spacing w:val="-3"/>
          <w:sz w:val="24"/>
          <w:szCs w:val="24"/>
        </w:rPr>
      </w:pPr>
    </w:p>
    <w:p w:rsidR="00A75EE9" w:rsidRPr="00BC0C1D" w:rsidRDefault="00A75EE9" w:rsidP="00A75EE9">
      <w:pPr>
        <w:widowControl w:val="0"/>
        <w:adjustRightInd w:val="0"/>
        <w:ind w:left="851"/>
        <w:textAlignment w:val="baseline"/>
        <w:rPr>
          <w:spacing w:val="-3"/>
          <w:sz w:val="24"/>
          <w:szCs w:val="24"/>
        </w:rPr>
      </w:pPr>
      <w:r w:rsidRPr="00BC0C1D">
        <w:rPr>
          <w:spacing w:val="-3"/>
          <w:sz w:val="24"/>
          <w:szCs w:val="24"/>
        </w:rPr>
        <w:t>Pakningsstørrelser: 1, 5, 10 og 50 hætteglas med pulver til injektionsvæske, opløsning.</w:t>
      </w:r>
    </w:p>
    <w:p w:rsidR="00A75EE9" w:rsidRPr="00BC0C1D" w:rsidRDefault="00A75EE9" w:rsidP="00A75EE9">
      <w:pPr>
        <w:widowControl w:val="0"/>
        <w:adjustRightInd w:val="0"/>
        <w:ind w:left="855"/>
        <w:textAlignment w:val="baseline"/>
        <w:rPr>
          <w:spacing w:val="-3"/>
          <w:sz w:val="24"/>
          <w:szCs w:val="24"/>
        </w:rPr>
      </w:pPr>
    </w:p>
    <w:p w:rsidR="00A75EE9" w:rsidRPr="00BC0C1D" w:rsidRDefault="00A75EE9" w:rsidP="00A75EE9">
      <w:pPr>
        <w:ind w:left="851"/>
        <w:rPr>
          <w:sz w:val="24"/>
          <w:szCs w:val="24"/>
        </w:rPr>
      </w:pPr>
      <w:r w:rsidRPr="00BC0C1D">
        <w:rPr>
          <w:spacing w:val="-3"/>
          <w:sz w:val="24"/>
          <w:szCs w:val="24"/>
        </w:rPr>
        <w:t>Ikke alle pakningsstørrelser er nødvendigvis markedsført.</w:t>
      </w:r>
    </w:p>
    <w:p w:rsidR="00A75EE9" w:rsidRPr="00BC0C1D" w:rsidRDefault="00A75EE9" w:rsidP="00A75EE9">
      <w:pPr>
        <w:ind w:left="851"/>
        <w:rPr>
          <w:sz w:val="24"/>
          <w:szCs w:val="24"/>
        </w:rPr>
      </w:pPr>
    </w:p>
    <w:p w:rsidR="00A75EE9" w:rsidRPr="00BC0C1D" w:rsidRDefault="00A75EE9" w:rsidP="00A75EE9">
      <w:pPr>
        <w:ind w:left="851" w:hanging="851"/>
        <w:rPr>
          <w:b/>
          <w:sz w:val="24"/>
          <w:szCs w:val="24"/>
        </w:rPr>
      </w:pPr>
      <w:r w:rsidRPr="00BC0C1D">
        <w:rPr>
          <w:b/>
          <w:sz w:val="24"/>
          <w:szCs w:val="24"/>
        </w:rPr>
        <w:t>6.6</w:t>
      </w:r>
      <w:r w:rsidRPr="00BC0C1D">
        <w:rPr>
          <w:b/>
          <w:sz w:val="24"/>
          <w:szCs w:val="24"/>
        </w:rPr>
        <w:tab/>
        <w:t xml:space="preserve">Regler for </w:t>
      </w:r>
      <w:r w:rsidR="00296351">
        <w:rPr>
          <w:b/>
          <w:sz w:val="24"/>
          <w:szCs w:val="24"/>
        </w:rPr>
        <w:t>bortskaffelse</w:t>
      </w:r>
      <w:r w:rsidRPr="00BC0C1D">
        <w:rPr>
          <w:b/>
          <w:sz w:val="24"/>
          <w:szCs w:val="24"/>
        </w:rPr>
        <w:t xml:space="preserve"> og anden håndtering</w:t>
      </w:r>
    </w:p>
    <w:p w:rsidR="00A75EE9" w:rsidRPr="00BC0C1D" w:rsidRDefault="00A75EE9" w:rsidP="00A75EE9">
      <w:pPr>
        <w:widowControl w:val="0"/>
        <w:adjustRightInd w:val="0"/>
        <w:ind w:left="850" w:firstLine="1"/>
        <w:textAlignment w:val="baseline"/>
        <w:rPr>
          <w:spacing w:val="-3"/>
          <w:sz w:val="24"/>
          <w:szCs w:val="24"/>
          <w:lang w:eastAsia="da-DK"/>
        </w:rPr>
      </w:pPr>
      <w:r w:rsidRPr="00BC0C1D">
        <w:rPr>
          <w:spacing w:val="-3"/>
          <w:sz w:val="24"/>
          <w:szCs w:val="24"/>
        </w:rPr>
        <w:t xml:space="preserve">En opløsning, som er klar til brug, tilberedes ved at injicere 10 ml </w:t>
      </w:r>
      <w:proofErr w:type="spellStart"/>
      <w:r w:rsidRPr="00BC0C1D">
        <w:rPr>
          <w:spacing w:val="-3"/>
          <w:sz w:val="24"/>
          <w:szCs w:val="24"/>
        </w:rPr>
        <w:t>natriumchlorid</w:t>
      </w:r>
      <w:proofErr w:type="spellEnd"/>
      <w:r w:rsidRPr="00BC0C1D">
        <w:rPr>
          <w:spacing w:val="-3"/>
          <w:sz w:val="24"/>
          <w:szCs w:val="24"/>
        </w:rPr>
        <w:t xml:space="preserve"> 9 mg/ml (0,9 %) i hætteglasset indeholdende pulveret. Udseende af præparatet efter tilberedning er en klar til svagt gul opløsning. Denne opløsning kan indgives direkte eller kan indgives efter yderligere </w:t>
      </w:r>
      <w:proofErr w:type="spellStart"/>
      <w:r w:rsidRPr="00BC0C1D">
        <w:rPr>
          <w:spacing w:val="-3"/>
          <w:sz w:val="24"/>
          <w:szCs w:val="24"/>
        </w:rPr>
        <w:t>tilblanding</w:t>
      </w:r>
      <w:proofErr w:type="spellEnd"/>
      <w:r w:rsidRPr="00BC0C1D">
        <w:rPr>
          <w:spacing w:val="-3"/>
          <w:sz w:val="24"/>
          <w:szCs w:val="24"/>
        </w:rPr>
        <w:t xml:space="preserve"> af 100 ml fysiologisk </w:t>
      </w:r>
      <w:proofErr w:type="spellStart"/>
      <w:r w:rsidRPr="00BC0C1D">
        <w:rPr>
          <w:spacing w:val="-3"/>
          <w:sz w:val="24"/>
          <w:szCs w:val="24"/>
        </w:rPr>
        <w:t>natriumchlorid</w:t>
      </w:r>
      <w:proofErr w:type="spellEnd"/>
      <w:r w:rsidRPr="00BC0C1D">
        <w:rPr>
          <w:spacing w:val="-3"/>
          <w:sz w:val="24"/>
          <w:szCs w:val="24"/>
        </w:rPr>
        <w:t xml:space="preserve"> 9 mg/ml (0,9 %) injektionsvæske eller 5 % (55 mg/ml) </w:t>
      </w:r>
      <w:proofErr w:type="spellStart"/>
      <w:r w:rsidRPr="00BC0C1D">
        <w:rPr>
          <w:spacing w:val="-3"/>
          <w:sz w:val="24"/>
          <w:szCs w:val="24"/>
        </w:rPr>
        <w:t>glucose</w:t>
      </w:r>
      <w:proofErr w:type="spellEnd"/>
      <w:r w:rsidRPr="00BC0C1D">
        <w:rPr>
          <w:spacing w:val="-3"/>
          <w:sz w:val="24"/>
          <w:szCs w:val="24"/>
        </w:rPr>
        <w:t xml:space="preserve"> injektionsvæske. Beholdere af glas eller plastik bør anvendes ved fortynding.</w:t>
      </w:r>
    </w:p>
    <w:p w:rsidR="00A75EE9" w:rsidRPr="00BC0C1D" w:rsidRDefault="00A75EE9" w:rsidP="00A75EE9">
      <w:pPr>
        <w:widowControl w:val="0"/>
        <w:adjustRightInd w:val="0"/>
        <w:ind w:left="850" w:firstLine="1"/>
        <w:textAlignment w:val="baseline"/>
        <w:rPr>
          <w:noProof/>
          <w:sz w:val="24"/>
          <w:szCs w:val="24"/>
        </w:rPr>
      </w:pPr>
    </w:p>
    <w:p w:rsidR="00A75EE9" w:rsidRPr="00BC0C1D" w:rsidRDefault="00A75EE9" w:rsidP="00A75EE9">
      <w:pPr>
        <w:widowControl w:val="0"/>
        <w:adjustRightInd w:val="0"/>
        <w:ind w:left="850" w:firstLine="1"/>
        <w:textAlignment w:val="baseline"/>
        <w:rPr>
          <w:spacing w:val="-3"/>
          <w:sz w:val="24"/>
          <w:szCs w:val="24"/>
        </w:rPr>
      </w:pPr>
      <w:r w:rsidRPr="00BC0C1D">
        <w:rPr>
          <w:noProof/>
          <w:sz w:val="24"/>
          <w:szCs w:val="24"/>
        </w:rPr>
        <w:t xml:space="preserve">Efter rekonstitution eller rekonstitution og fortynding er opløsningen fysisk og kemisk stabil i 6 timer ved </w:t>
      </w:r>
      <w:r w:rsidRPr="00BC0C1D">
        <w:rPr>
          <w:spacing w:val="-3"/>
          <w:sz w:val="24"/>
          <w:szCs w:val="24"/>
        </w:rPr>
        <w:t xml:space="preserve">25 </w:t>
      </w:r>
      <w:r w:rsidRPr="00BC0C1D">
        <w:rPr>
          <w:spacing w:val="-3"/>
          <w:sz w:val="24"/>
          <w:szCs w:val="24"/>
        </w:rPr>
        <w:sym w:font="Symbol" w:char="F0B0"/>
      </w:r>
      <w:r w:rsidRPr="00BC0C1D">
        <w:rPr>
          <w:spacing w:val="-3"/>
          <w:sz w:val="24"/>
          <w:szCs w:val="24"/>
        </w:rPr>
        <w:t>C.</w:t>
      </w:r>
    </w:p>
    <w:p w:rsidR="00A75EE9" w:rsidRPr="00BC0C1D" w:rsidRDefault="00A75EE9" w:rsidP="00A75EE9">
      <w:pPr>
        <w:widowControl w:val="0"/>
        <w:adjustRightInd w:val="0"/>
        <w:ind w:left="850" w:firstLine="1"/>
        <w:textAlignment w:val="baseline"/>
        <w:rPr>
          <w:spacing w:val="-3"/>
          <w:sz w:val="24"/>
          <w:szCs w:val="24"/>
        </w:rPr>
      </w:pPr>
    </w:p>
    <w:p w:rsidR="00A75EE9" w:rsidRPr="00BC0C1D" w:rsidRDefault="00A75EE9" w:rsidP="00A75EE9">
      <w:pPr>
        <w:widowControl w:val="0"/>
        <w:adjustRightInd w:val="0"/>
        <w:ind w:left="850" w:firstLine="1"/>
        <w:textAlignment w:val="baseline"/>
        <w:rPr>
          <w:spacing w:val="-3"/>
          <w:sz w:val="24"/>
          <w:szCs w:val="24"/>
        </w:rPr>
      </w:pPr>
      <w:r w:rsidRPr="00BC0C1D">
        <w:rPr>
          <w:spacing w:val="-3"/>
          <w:sz w:val="24"/>
          <w:szCs w:val="24"/>
        </w:rPr>
        <w:t xml:space="preserve">Ud fra en mikrobiologisk synsvinkel bør opløsningen bruges øjeblikkeligt. </w:t>
      </w:r>
    </w:p>
    <w:p w:rsidR="00A75EE9" w:rsidRPr="00BC0C1D" w:rsidRDefault="00A75EE9" w:rsidP="00A75EE9">
      <w:pPr>
        <w:widowControl w:val="0"/>
        <w:adjustRightInd w:val="0"/>
        <w:ind w:left="850" w:firstLine="1"/>
        <w:textAlignment w:val="baseline"/>
        <w:rPr>
          <w:spacing w:val="-3"/>
          <w:sz w:val="24"/>
          <w:szCs w:val="24"/>
        </w:rPr>
      </w:pPr>
    </w:p>
    <w:p w:rsidR="00A75EE9" w:rsidRPr="00BC0C1D" w:rsidRDefault="007D71C0" w:rsidP="00A75EE9">
      <w:pPr>
        <w:widowControl w:val="0"/>
        <w:adjustRightInd w:val="0"/>
        <w:ind w:left="850" w:firstLine="1"/>
        <w:textAlignment w:val="baseline"/>
        <w:rPr>
          <w:spacing w:val="-3"/>
          <w:sz w:val="24"/>
          <w:szCs w:val="24"/>
        </w:rPr>
      </w:pPr>
      <w:proofErr w:type="spellStart"/>
      <w:r>
        <w:rPr>
          <w:spacing w:val="-3"/>
          <w:sz w:val="24"/>
          <w:szCs w:val="24"/>
        </w:rPr>
        <w:t>Pantoprazol</w:t>
      </w:r>
      <w:proofErr w:type="spellEnd"/>
      <w:r>
        <w:rPr>
          <w:spacing w:val="-3"/>
          <w:sz w:val="24"/>
          <w:szCs w:val="24"/>
        </w:rPr>
        <w:t xml:space="preserve"> </w:t>
      </w:r>
      <w:r w:rsidR="00DB7F7A">
        <w:rPr>
          <w:spacing w:val="-3"/>
          <w:sz w:val="24"/>
          <w:szCs w:val="24"/>
        </w:rPr>
        <w:t>"</w:t>
      </w:r>
      <w:proofErr w:type="spellStart"/>
      <w:r w:rsidR="00F251D2">
        <w:rPr>
          <w:spacing w:val="-3"/>
          <w:sz w:val="24"/>
          <w:szCs w:val="24"/>
        </w:rPr>
        <w:t>Oresund</w:t>
      </w:r>
      <w:proofErr w:type="spellEnd"/>
      <w:r w:rsidR="00F251D2">
        <w:rPr>
          <w:spacing w:val="-3"/>
          <w:sz w:val="24"/>
          <w:szCs w:val="24"/>
        </w:rPr>
        <w:t xml:space="preserve"> Pharma</w:t>
      </w:r>
      <w:r w:rsidR="00DB7F7A">
        <w:rPr>
          <w:spacing w:val="-3"/>
          <w:sz w:val="24"/>
          <w:szCs w:val="24"/>
        </w:rPr>
        <w:t>"</w:t>
      </w:r>
      <w:r w:rsidR="00A75EE9" w:rsidRPr="00BC0C1D">
        <w:rPr>
          <w:spacing w:val="-3"/>
          <w:sz w:val="24"/>
          <w:szCs w:val="24"/>
        </w:rPr>
        <w:t xml:space="preserve">, pulver til injektionsvæske, må ikke tilberedes eller blandes med andre opløsninger end de nævnte. </w:t>
      </w:r>
    </w:p>
    <w:p w:rsidR="00A75EE9" w:rsidRPr="00BC0C1D" w:rsidRDefault="00A75EE9" w:rsidP="00A75EE9">
      <w:pPr>
        <w:widowControl w:val="0"/>
        <w:adjustRightInd w:val="0"/>
        <w:ind w:left="850" w:firstLine="1"/>
        <w:textAlignment w:val="baseline"/>
        <w:rPr>
          <w:spacing w:val="-3"/>
          <w:sz w:val="24"/>
          <w:szCs w:val="24"/>
        </w:rPr>
      </w:pPr>
    </w:p>
    <w:p w:rsidR="00A75EE9" w:rsidRPr="00BC0C1D" w:rsidRDefault="00A75EE9" w:rsidP="00A75EE9">
      <w:pPr>
        <w:widowControl w:val="0"/>
        <w:adjustRightInd w:val="0"/>
        <w:ind w:left="850" w:firstLine="1"/>
        <w:textAlignment w:val="baseline"/>
        <w:rPr>
          <w:spacing w:val="-3"/>
          <w:sz w:val="24"/>
          <w:szCs w:val="24"/>
        </w:rPr>
      </w:pPr>
      <w:r w:rsidRPr="00BC0C1D">
        <w:rPr>
          <w:spacing w:val="-3"/>
          <w:sz w:val="24"/>
          <w:szCs w:val="24"/>
        </w:rPr>
        <w:t>Præparatet bør indgives intravenøst over 2-15 minutter.</w:t>
      </w:r>
    </w:p>
    <w:p w:rsidR="00A75EE9" w:rsidRPr="00BC0C1D" w:rsidRDefault="00A75EE9" w:rsidP="00A75EE9">
      <w:pPr>
        <w:widowControl w:val="0"/>
        <w:adjustRightInd w:val="0"/>
        <w:ind w:left="850" w:firstLine="1"/>
        <w:textAlignment w:val="baseline"/>
        <w:rPr>
          <w:spacing w:val="-3"/>
          <w:sz w:val="24"/>
          <w:szCs w:val="24"/>
        </w:rPr>
      </w:pPr>
    </w:p>
    <w:p w:rsidR="00A75EE9" w:rsidRPr="00BC0C1D" w:rsidRDefault="00A75EE9" w:rsidP="00A75EE9">
      <w:pPr>
        <w:widowControl w:val="0"/>
        <w:adjustRightInd w:val="0"/>
        <w:ind w:left="850" w:firstLine="1"/>
        <w:textAlignment w:val="baseline"/>
        <w:rPr>
          <w:spacing w:val="-3"/>
          <w:sz w:val="24"/>
          <w:szCs w:val="24"/>
        </w:rPr>
      </w:pPr>
      <w:r w:rsidRPr="00BC0C1D">
        <w:rPr>
          <w:spacing w:val="-3"/>
          <w:sz w:val="24"/>
          <w:szCs w:val="24"/>
        </w:rPr>
        <w:t>Hætteglassets indhold er kun til engangsbrug. Resterende lægemiddel som er tilbage i beholderen eller hvis udseendet har ændret sig (f.eks. hvis lægemidlet bliver grumset eller bundfald forekommer) bør kasseres i henhold til lokale krav.</w:t>
      </w:r>
    </w:p>
    <w:p w:rsidR="00A75EE9" w:rsidRDefault="00A75EE9" w:rsidP="00A75EE9">
      <w:pPr>
        <w:rPr>
          <w:sz w:val="24"/>
          <w:szCs w:val="24"/>
        </w:rPr>
      </w:pPr>
      <w:r>
        <w:rPr>
          <w:sz w:val="24"/>
          <w:szCs w:val="24"/>
        </w:rPr>
        <w:br w:type="page"/>
      </w:r>
    </w:p>
    <w:p w:rsidR="00A75EE9" w:rsidRPr="00BC0C1D" w:rsidRDefault="00A75EE9" w:rsidP="00A75EE9">
      <w:pPr>
        <w:ind w:left="851"/>
        <w:jc w:val="both"/>
        <w:rPr>
          <w:sz w:val="24"/>
          <w:szCs w:val="24"/>
        </w:rPr>
      </w:pPr>
    </w:p>
    <w:p w:rsidR="00A75EE9" w:rsidRPr="00BC0C1D" w:rsidRDefault="00A75EE9" w:rsidP="00A75EE9">
      <w:pPr>
        <w:ind w:left="851" w:hanging="851"/>
        <w:rPr>
          <w:b/>
          <w:sz w:val="24"/>
          <w:szCs w:val="24"/>
        </w:rPr>
      </w:pPr>
      <w:r w:rsidRPr="00BC0C1D">
        <w:rPr>
          <w:b/>
          <w:sz w:val="24"/>
          <w:szCs w:val="24"/>
        </w:rPr>
        <w:t>7.</w:t>
      </w:r>
      <w:r w:rsidRPr="00BC0C1D">
        <w:rPr>
          <w:b/>
          <w:sz w:val="24"/>
          <w:szCs w:val="24"/>
        </w:rPr>
        <w:tab/>
        <w:t>INDEHAVER AF MARKEDSFØRINGSTILLADELSEN</w:t>
      </w:r>
    </w:p>
    <w:p w:rsidR="00921B26" w:rsidRPr="00A660E4" w:rsidRDefault="00921B26" w:rsidP="00921B26">
      <w:pPr>
        <w:tabs>
          <w:tab w:val="left" w:pos="851"/>
        </w:tabs>
        <w:ind w:left="851"/>
        <w:rPr>
          <w:spacing w:val="-3"/>
          <w:sz w:val="24"/>
          <w:szCs w:val="24"/>
        </w:rPr>
      </w:pPr>
      <w:r w:rsidRPr="00A660E4">
        <w:rPr>
          <w:spacing w:val="-3"/>
          <w:sz w:val="24"/>
          <w:szCs w:val="24"/>
        </w:rPr>
        <w:t>Øresund Pharma ApS</w:t>
      </w:r>
    </w:p>
    <w:p w:rsidR="00296351" w:rsidRDefault="00296351" w:rsidP="00921B26">
      <w:pPr>
        <w:tabs>
          <w:tab w:val="left" w:pos="851"/>
        </w:tabs>
        <w:ind w:left="851"/>
        <w:rPr>
          <w:spacing w:val="-3"/>
          <w:sz w:val="24"/>
          <w:szCs w:val="24"/>
        </w:rPr>
      </w:pPr>
      <w:r w:rsidRPr="00296351">
        <w:rPr>
          <w:spacing w:val="-3"/>
          <w:sz w:val="24"/>
          <w:szCs w:val="24"/>
        </w:rPr>
        <w:t>Orient Plads 1</w:t>
      </w:r>
    </w:p>
    <w:p w:rsidR="00A75EE9" w:rsidRDefault="00296351" w:rsidP="00A75EE9">
      <w:pPr>
        <w:ind w:left="851"/>
        <w:rPr>
          <w:spacing w:val="-3"/>
          <w:sz w:val="24"/>
          <w:szCs w:val="24"/>
        </w:rPr>
      </w:pPr>
      <w:r w:rsidRPr="00296351">
        <w:rPr>
          <w:spacing w:val="-3"/>
          <w:sz w:val="24"/>
          <w:szCs w:val="24"/>
        </w:rPr>
        <w:t>2150 Nordhavn</w:t>
      </w:r>
    </w:p>
    <w:p w:rsidR="00296351" w:rsidRPr="00BC0C1D" w:rsidRDefault="00296351" w:rsidP="00A75EE9">
      <w:pPr>
        <w:ind w:left="851"/>
        <w:rPr>
          <w:sz w:val="24"/>
          <w:szCs w:val="24"/>
        </w:rPr>
      </w:pPr>
    </w:p>
    <w:p w:rsidR="00A75EE9" w:rsidRPr="00BC0C1D" w:rsidRDefault="00A75EE9" w:rsidP="00A75EE9">
      <w:pPr>
        <w:ind w:left="851" w:hanging="851"/>
        <w:rPr>
          <w:b/>
          <w:sz w:val="24"/>
          <w:szCs w:val="24"/>
        </w:rPr>
      </w:pPr>
      <w:r w:rsidRPr="00BC0C1D">
        <w:rPr>
          <w:b/>
          <w:sz w:val="24"/>
          <w:szCs w:val="24"/>
        </w:rPr>
        <w:t>8.</w:t>
      </w:r>
      <w:r w:rsidRPr="00BC0C1D">
        <w:rPr>
          <w:b/>
          <w:sz w:val="24"/>
          <w:szCs w:val="24"/>
        </w:rPr>
        <w:tab/>
        <w:t>MARKEDSFØRINGSTILLADELSESNUMMER (</w:t>
      </w:r>
      <w:r w:rsidR="00296351">
        <w:rPr>
          <w:b/>
          <w:sz w:val="24"/>
          <w:szCs w:val="24"/>
        </w:rPr>
        <w:t>-</w:t>
      </w:r>
      <w:r w:rsidRPr="00BC0C1D">
        <w:rPr>
          <w:b/>
          <w:sz w:val="24"/>
          <w:szCs w:val="24"/>
        </w:rPr>
        <w:t>NUMRE)</w:t>
      </w:r>
    </w:p>
    <w:p w:rsidR="00A75EE9" w:rsidRPr="00BC0C1D" w:rsidRDefault="00A75EE9" w:rsidP="00A75EE9">
      <w:pPr>
        <w:ind w:left="851"/>
        <w:rPr>
          <w:sz w:val="24"/>
          <w:szCs w:val="24"/>
        </w:rPr>
      </w:pPr>
      <w:r w:rsidRPr="00BC0C1D">
        <w:rPr>
          <w:sz w:val="24"/>
          <w:szCs w:val="24"/>
        </w:rPr>
        <w:t>55994</w:t>
      </w:r>
    </w:p>
    <w:p w:rsidR="00A75EE9" w:rsidRPr="00BC0C1D" w:rsidRDefault="00A75EE9" w:rsidP="00A75EE9">
      <w:pPr>
        <w:ind w:left="851"/>
        <w:jc w:val="both"/>
        <w:rPr>
          <w:sz w:val="24"/>
          <w:szCs w:val="24"/>
        </w:rPr>
      </w:pPr>
    </w:p>
    <w:p w:rsidR="00A75EE9" w:rsidRPr="00BC0C1D" w:rsidRDefault="00A75EE9" w:rsidP="00A75EE9">
      <w:pPr>
        <w:ind w:left="851" w:hanging="851"/>
        <w:rPr>
          <w:b/>
          <w:sz w:val="24"/>
          <w:szCs w:val="24"/>
        </w:rPr>
      </w:pPr>
      <w:r w:rsidRPr="00BC0C1D">
        <w:rPr>
          <w:b/>
          <w:sz w:val="24"/>
          <w:szCs w:val="24"/>
        </w:rPr>
        <w:t>9.</w:t>
      </w:r>
      <w:r w:rsidRPr="00BC0C1D">
        <w:rPr>
          <w:b/>
          <w:sz w:val="24"/>
          <w:szCs w:val="24"/>
        </w:rPr>
        <w:tab/>
        <w:t>DATO FOR FØRSTE MARKEDSFØRINGSTILLADELSE</w:t>
      </w:r>
    </w:p>
    <w:p w:rsidR="00A75EE9" w:rsidRPr="00BC0C1D" w:rsidRDefault="00A75EE9" w:rsidP="00A75EE9">
      <w:pPr>
        <w:ind w:left="851"/>
        <w:rPr>
          <w:sz w:val="24"/>
          <w:szCs w:val="24"/>
        </w:rPr>
      </w:pPr>
      <w:r w:rsidRPr="00BC0C1D">
        <w:rPr>
          <w:sz w:val="24"/>
          <w:szCs w:val="24"/>
        </w:rPr>
        <w:t>16. september 2016</w:t>
      </w:r>
    </w:p>
    <w:p w:rsidR="00A75EE9" w:rsidRPr="00BC0C1D" w:rsidRDefault="00A75EE9" w:rsidP="00A75EE9">
      <w:pPr>
        <w:ind w:left="851"/>
        <w:rPr>
          <w:sz w:val="24"/>
          <w:szCs w:val="24"/>
        </w:rPr>
      </w:pPr>
    </w:p>
    <w:p w:rsidR="00A75EE9" w:rsidRPr="00BC0C1D" w:rsidRDefault="00A75EE9" w:rsidP="00A75EE9">
      <w:pPr>
        <w:ind w:left="851" w:hanging="851"/>
        <w:rPr>
          <w:b/>
          <w:sz w:val="24"/>
          <w:szCs w:val="24"/>
        </w:rPr>
      </w:pPr>
      <w:r w:rsidRPr="00BC0C1D">
        <w:rPr>
          <w:b/>
          <w:sz w:val="24"/>
          <w:szCs w:val="24"/>
        </w:rPr>
        <w:t>10.</w:t>
      </w:r>
      <w:r w:rsidRPr="00BC0C1D">
        <w:rPr>
          <w:b/>
          <w:sz w:val="24"/>
          <w:szCs w:val="24"/>
        </w:rPr>
        <w:tab/>
        <w:t>DATO FOR ÆNDRING AF TEKSTEN</w:t>
      </w:r>
    </w:p>
    <w:p w:rsidR="00A75EE9" w:rsidRPr="00A53D24" w:rsidRDefault="00296351" w:rsidP="00921B26">
      <w:pPr>
        <w:ind w:left="851"/>
      </w:pPr>
      <w:r>
        <w:rPr>
          <w:sz w:val="24"/>
          <w:szCs w:val="24"/>
        </w:rPr>
        <w:t>8. august 2024</w:t>
      </w:r>
    </w:p>
    <w:p w:rsidR="00A75EE9" w:rsidRPr="00FE5405" w:rsidRDefault="00A75EE9" w:rsidP="00A75EE9"/>
    <w:p w:rsidR="009260DE" w:rsidRPr="00A75EE9" w:rsidRDefault="009260DE" w:rsidP="00A75EE9"/>
    <w:sectPr w:rsidR="009260DE" w:rsidRPr="00A75EE9"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5EE9" w:rsidRDefault="00A75EE9">
      <w:r>
        <w:separator/>
      </w:r>
    </w:p>
  </w:endnote>
  <w:endnote w:type="continuationSeparator" w:id="0">
    <w:p w:rsidR="00A75EE9" w:rsidRDefault="00A75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49F" w:rsidRDefault="0014749F" w:rsidP="0014749F">
    <w:pPr>
      <w:pStyle w:val="Sidefod"/>
      <w:pBdr>
        <w:bottom w:val="single" w:sz="6" w:space="1" w:color="auto"/>
      </w:pBdr>
    </w:pPr>
  </w:p>
  <w:p w:rsidR="0014749F" w:rsidRDefault="0014749F" w:rsidP="0014749F">
    <w:pPr>
      <w:pStyle w:val="Sidefod"/>
      <w:tabs>
        <w:tab w:val="clear" w:pos="4819"/>
        <w:tab w:val="left" w:pos="8505"/>
      </w:tabs>
      <w:rPr>
        <w:i/>
        <w:sz w:val="18"/>
        <w:szCs w:val="18"/>
      </w:rPr>
    </w:pPr>
  </w:p>
  <w:p w:rsidR="0014749F" w:rsidRPr="00B373D7" w:rsidRDefault="0014749F" w:rsidP="0014749F">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DB7F7A">
      <w:rPr>
        <w:i/>
        <w:noProof/>
        <w:sz w:val="18"/>
        <w:szCs w:val="18"/>
      </w:rPr>
      <w:t xml:space="preserve">Pantoprazol </w:t>
    </w:r>
    <w:r w:rsidR="00F251D2">
      <w:rPr>
        <w:i/>
        <w:noProof/>
        <w:sz w:val="18"/>
        <w:szCs w:val="18"/>
      </w:rPr>
      <w:t>Oresund Pharma</w:t>
    </w:r>
    <w:r w:rsidR="00DB7F7A">
      <w:rPr>
        <w:i/>
        <w:noProof/>
        <w:sz w:val="18"/>
        <w:szCs w:val="18"/>
      </w:rPr>
      <w:t>, pulver til injektionsvæske, opløsning 40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sz w:val="18"/>
        <w:szCs w:val="18"/>
      </w:rPr>
      <w:t>1</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5EE9" w:rsidRDefault="00A75EE9">
      <w:r>
        <w:separator/>
      </w:r>
    </w:p>
  </w:footnote>
  <w:footnote w:type="continuationSeparator" w:id="0">
    <w:p w:rsidR="00A75EE9" w:rsidRDefault="00A75E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0B60CDD"/>
    <w:multiLevelType w:val="hybridMultilevel"/>
    <w:tmpl w:val="0BD09910"/>
    <w:lvl w:ilvl="0" w:tplc="E9B8F768">
      <w:start w:val="2007"/>
      <w:numFmt w:val="bullet"/>
      <w:lvlText w:val="-"/>
      <w:lvlJc w:val="left"/>
      <w:pPr>
        <w:tabs>
          <w:tab w:val="num" w:pos="1211"/>
        </w:tabs>
        <w:ind w:left="1211" w:hanging="360"/>
      </w:pPr>
      <w:rPr>
        <w:rFonts w:ascii="Times New Roman" w:eastAsia="Times New Roman" w:hAnsi="Times New Roman" w:cs="Times New Roman" w:hint="default"/>
      </w:rPr>
    </w:lvl>
    <w:lvl w:ilvl="1" w:tplc="04090003">
      <w:start w:val="1"/>
      <w:numFmt w:val="bullet"/>
      <w:lvlText w:val="o"/>
      <w:lvlJc w:val="left"/>
      <w:pPr>
        <w:tabs>
          <w:tab w:val="num" w:pos="1931"/>
        </w:tabs>
        <w:ind w:left="1931" w:hanging="360"/>
      </w:pPr>
      <w:rPr>
        <w:rFonts w:ascii="Courier New" w:hAnsi="Courier New" w:cs="Courier New" w:hint="default"/>
      </w:rPr>
    </w:lvl>
    <w:lvl w:ilvl="2" w:tplc="04090005">
      <w:start w:val="1"/>
      <w:numFmt w:val="bullet"/>
      <w:lvlText w:val=""/>
      <w:lvlJc w:val="left"/>
      <w:pPr>
        <w:tabs>
          <w:tab w:val="num" w:pos="2651"/>
        </w:tabs>
        <w:ind w:left="2651" w:hanging="360"/>
      </w:pPr>
      <w:rPr>
        <w:rFonts w:ascii="Wingdings" w:hAnsi="Wingdings" w:hint="default"/>
      </w:rPr>
    </w:lvl>
    <w:lvl w:ilvl="3" w:tplc="04090001">
      <w:start w:val="1"/>
      <w:numFmt w:val="bullet"/>
      <w:lvlText w:val=""/>
      <w:lvlJc w:val="left"/>
      <w:pPr>
        <w:tabs>
          <w:tab w:val="num" w:pos="3371"/>
        </w:tabs>
        <w:ind w:left="3371" w:hanging="360"/>
      </w:pPr>
      <w:rPr>
        <w:rFonts w:ascii="Symbol" w:hAnsi="Symbol" w:hint="default"/>
      </w:rPr>
    </w:lvl>
    <w:lvl w:ilvl="4" w:tplc="04090003">
      <w:start w:val="1"/>
      <w:numFmt w:val="bullet"/>
      <w:lvlText w:val="o"/>
      <w:lvlJc w:val="left"/>
      <w:pPr>
        <w:tabs>
          <w:tab w:val="num" w:pos="4091"/>
        </w:tabs>
        <w:ind w:left="4091" w:hanging="360"/>
      </w:pPr>
      <w:rPr>
        <w:rFonts w:ascii="Courier New" w:hAnsi="Courier New" w:cs="Courier New" w:hint="default"/>
      </w:rPr>
    </w:lvl>
    <w:lvl w:ilvl="5" w:tplc="04090005">
      <w:start w:val="1"/>
      <w:numFmt w:val="bullet"/>
      <w:lvlText w:val=""/>
      <w:lvlJc w:val="left"/>
      <w:pPr>
        <w:tabs>
          <w:tab w:val="num" w:pos="4811"/>
        </w:tabs>
        <w:ind w:left="4811" w:hanging="360"/>
      </w:pPr>
      <w:rPr>
        <w:rFonts w:ascii="Wingdings" w:hAnsi="Wingdings" w:hint="default"/>
      </w:rPr>
    </w:lvl>
    <w:lvl w:ilvl="6" w:tplc="04090001">
      <w:start w:val="1"/>
      <w:numFmt w:val="bullet"/>
      <w:lvlText w:val=""/>
      <w:lvlJc w:val="left"/>
      <w:pPr>
        <w:tabs>
          <w:tab w:val="num" w:pos="5531"/>
        </w:tabs>
        <w:ind w:left="5531" w:hanging="360"/>
      </w:pPr>
      <w:rPr>
        <w:rFonts w:ascii="Symbol" w:hAnsi="Symbol" w:hint="default"/>
      </w:rPr>
    </w:lvl>
    <w:lvl w:ilvl="7" w:tplc="04090003">
      <w:start w:val="1"/>
      <w:numFmt w:val="bullet"/>
      <w:lvlText w:val="o"/>
      <w:lvlJc w:val="left"/>
      <w:pPr>
        <w:tabs>
          <w:tab w:val="num" w:pos="6251"/>
        </w:tabs>
        <w:ind w:left="6251" w:hanging="360"/>
      </w:pPr>
      <w:rPr>
        <w:rFonts w:ascii="Courier New" w:hAnsi="Courier New" w:cs="Courier New" w:hint="default"/>
      </w:rPr>
    </w:lvl>
    <w:lvl w:ilvl="8" w:tplc="04090005">
      <w:start w:val="1"/>
      <w:numFmt w:val="bullet"/>
      <w:lvlText w:val=""/>
      <w:lvlJc w:val="left"/>
      <w:pPr>
        <w:tabs>
          <w:tab w:val="num" w:pos="6971"/>
        </w:tabs>
        <w:ind w:left="6971" w:hanging="36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EE9"/>
    <w:rsid w:val="000259B9"/>
    <w:rsid w:val="00041491"/>
    <w:rsid w:val="00050D16"/>
    <w:rsid w:val="000572AF"/>
    <w:rsid w:val="00074F2A"/>
    <w:rsid w:val="000A1CA8"/>
    <w:rsid w:val="000A466B"/>
    <w:rsid w:val="000B058C"/>
    <w:rsid w:val="000E4EE6"/>
    <w:rsid w:val="00105C5F"/>
    <w:rsid w:val="00126CC4"/>
    <w:rsid w:val="001454E2"/>
    <w:rsid w:val="0014749F"/>
    <w:rsid w:val="0018601C"/>
    <w:rsid w:val="00206CE8"/>
    <w:rsid w:val="0021526C"/>
    <w:rsid w:val="00283A2B"/>
    <w:rsid w:val="00296351"/>
    <w:rsid w:val="002B30AD"/>
    <w:rsid w:val="002C2C01"/>
    <w:rsid w:val="003A29AE"/>
    <w:rsid w:val="003A32D7"/>
    <w:rsid w:val="003B4074"/>
    <w:rsid w:val="003B5027"/>
    <w:rsid w:val="003C769A"/>
    <w:rsid w:val="003F1838"/>
    <w:rsid w:val="0045746C"/>
    <w:rsid w:val="0049104B"/>
    <w:rsid w:val="004E3B12"/>
    <w:rsid w:val="00532310"/>
    <w:rsid w:val="00560ECC"/>
    <w:rsid w:val="00565F0F"/>
    <w:rsid w:val="00594A86"/>
    <w:rsid w:val="005959F7"/>
    <w:rsid w:val="00596D86"/>
    <w:rsid w:val="00637F5A"/>
    <w:rsid w:val="006560B1"/>
    <w:rsid w:val="006756DD"/>
    <w:rsid w:val="006E11F6"/>
    <w:rsid w:val="00737275"/>
    <w:rsid w:val="00740EEC"/>
    <w:rsid w:val="00754298"/>
    <w:rsid w:val="0078011A"/>
    <w:rsid w:val="00782AF4"/>
    <w:rsid w:val="00790EE7"/>
    <w:rsid w:val="00794B32"/>
    <w:rsid w:val="007B6649"/>
    <w:rsid w:val="007D71C0"/>
    <w:rsid w:val="0081546F"/>
    <w:rsid w:val="0082576E"/>
    <w:rsid w:val="00907F75"/>
    <w:rsid w:val="00921B26"/>
    <w:rsid w:val="009260DE"/>
    <w:rsid w:val="0093258A"/>
    <w:rsid w:val="009C7BA3"/>
    <w:rsid w:val="009D1F5A"/>
    <w:rsid w:val="00A067DD"/>
    <w:rsid w:val="00A75EE9"/>
    <w:rsid w:val="00B003BF"/>
    <w:rsid w:val="00B373D7"/>
    <w:rsid w:val="00BF4178"/>
    <w:rsid w:val="00C36276"/>
    <w:rsid w:val="00C42586"/>
    <w:rsid w:val="00C60CCD"/>
    <w:rsid w:val="00C63986"/>
    <w:rsid w:val="00C84483"/>
    <w:rsid w:val="00C95551"/>
    <w:rsid w:val="00CB20D7"/>
    <w:rsid w:val="00D020B0"/>
    <w:rsid w:val="00D11748"/>
    <w:rsid w:val="00D366CF"/>
    <w:rsid w:val="00DB7F7A"/>
    <w:rsid w:val="00E108AA"/>
    <w:rsid w:val="00E31812"/>
    <w:rsid w:val="00E3749A"/>
    <w:rsid w:val="00E7437F"/>
    <w:rsid w:val="00E77B9C"/>
    <w:rsid w:val="00E865B8"/>
    <w:rsid w:val="00EC0B9B"/>
    <w:rsid w:val="00ED5E9F"/>
    <w:rsid w:val="00F251D2"/>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E67048"/>
  <w15:chartTrackingRefBased/>
  <w15:docId w15:val="{0C6EAD67-0173-4E14-8D22-07B59A0ED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635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indrykning2">
    <w:name w:val="Body Text Indent 2"/>
    <w:basedOn w:val="Normal"/>
    <w:link w:val="Brdtekstindrykning2Tegn"/>
    <w:semiHidden/>
    <w:unhideWhenUsed/>
    <w:rsid w:val="00A75EE9"/>
    <w:pPr>
      <w:spacing w:after="120" w:line="480" w:lineRule="auto"/>
      <w:ind w:left="283"/>
    </w:pPr>
    <w:rPr>
      <w:sz w:val="24"/>
      <w:lang w:eastAsia="da-DK"/>
    </w:rPr>
  </w:style>
  <w:style w:type="character" w:customStyle="1" w:styleId="Brdtekstindrykning2Tegn">
    <w:name w:val="Brødtekstindrykning 2 Tegn"/>
    <w:basedOn w:val="Standardskrifttypeiafsnit"/>
    <w:link w:val="Brdtekstindrykning2"/>
    <w:semiHidden/>
    <w:rsid w:val="00A75EE9"/>
    <w:rPr>
      <w:sz w:val="24"/>
    </w:rPr>
  </w:style>
  <w:style w:type="paragraph" w:customStyle="1" w:styleId="Default">
    <w:name w:val="Default"/>
    <w:rsid w:val="00A75EE9"/>
    <w:pPr>
      <w:autoSpaceDE w:val="0"/>
      <w:autoSpaceDN w:val="0"/>
      <w:adjustRightInd w:val="0"/>
    </w:pPr>
    <w:rPr>
      <w:rFonts w:ascii="Verdana" w:hAnsi="Verdana" w:cs="Verdana"/>
      <w:color w:val="000000"/>
      <w:sz w:val="24"/>
      <w:szCs w:val="24"/>
      <w:lang w:val="en-US" w:eastAsia="zh-CN"/>
    </w:rPr>
  </w:style>
  <w:style w:type="character" w:customStyle="1" w:styleId="hps">
    <w:name w:val="hps"/>
    <w:rsid w:val="00A75EE9"/>
  </w:style>
  <w:style w:type="character" w:styleId="Hyperlink">
    <w:name w:val="Hyperlink"/>
    <w:uiPriority w:val="99"/>
    <w:semiHidden/>
    <w:unhideWhenUsed/>
    <w:rsid w:val="00A75EE9"/>
    <w:rPr>
      <w:color w:val="0000FF"/>
      <w:u w:val="single"/>
    </w:rPr>
  </w:style>
  <w:style w:type="character" w:customStyle="1" w:styleId="shorttext">
    <w:name w:val="short_text"/>
    <w:rsid w:val="00A75EE9"/>
  </w:style>
  <w:style w:type="paragraph" w:styleId="Brdtekst">
    <w:name w:val="Body Text"/>
    <w:basedOn w:val="Normal"/>
    <w:link w:val="BrdtekstTegn"/>
    <w:uiPriority w:val="99"/>
    <w:semiHidden/>
    <w:unhideWhenUsed/>
    <w:rsid w:val="00A75EE9"/>
    <w:pPr>
      <w:spacing w:after="120"/>
    </w:pPr>
  </w:style>
  <w:style w:type="character" w:customStyle="1" w:styleId="BrdtekstTegn">
    <w:name w:val="Brødtekst Tegn"/>
    <w:basedOn w:val="Standardskrifttypeiafsnit"/>
    <w:link w:val="Brdtekst"/>
    <w:uiPriority w:val="99"/>
    <w:semiHidden/>
    <w:rsid w:val="00A75EE9"/>
    <w:rPr>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3125</Words>
  <Characters>20919</Characters>
  <Application>Microsoft Office Word</Application>
  <DocSecurity>0</DocSecurity>
  <Lines>174</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2024052929_x000d_
Ændring af MAH adresse</dc:description>
  <cp:lastModifiedBy>Marianne Ott Jensen</cp:lastModifiedBy>
  <cp:revision>3</cp:revision>
  <cp:lastPrinted>2012-08-22T08:53:00Z</cp:lastPrinted>
  <dcterms:created xsi:type="dcterms:W3CDTF">2024-08-08T09:11:00Z</dcterms:created>
  <dcterms:modified xsi:type="dcterms:W3CDTF">2024-08-08T09:14:00Z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