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1F" w:rsidRDefault="0074531F" w:rsidP="00872FA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532E5A7" wp14:editId="0CA0E2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72FA3" w:rsidRPr="00C84483" w:rsidRDefault="00872FA3" w:rsidP="00872FA3">
      <w:pPr>
        <w:rPr>
          <w:b/>
          <w:szCs w:val="24"/>
        </w:rPr>
      </w:pPr>
    </w:p>
    <w:p w:rsidR="0074531F" w:rsidRPr="00C84483" w:rsidRDefault="0074531F" w:rsidP="0074531F">
      <w:pPr>
        <w:pStyle w:val="Titel"/>
        <w:tabs>
          <w:tab w:val="right" w:pos="9356"/>
        </w:tabs>
        <w:jc w:val="left"/>
        <w:rPr>
          <w:b w:val="0"/>
          <w:szCs w:val="24"/>
          <w:lang w:eastAsia="en-US"/>
        </w:rPr>
      </w:pPr>
      <w:r w:rsidRPr="00C84483">
        <w:rPr>
          <w:b w:val="0"/>
          <w:szCs w:val="24"/>
          <w:lang w:eastAsia="en-US"/>
        </w:rPr>
        <w:tab/>
      </w:r>
      <w:r w:rsidR="003F4B77">
        <w:rPr>
          <w:szCs w:val="24"/>
        </w:rPr>
        <w:t>28</w:t>
      </w:r>
      <w:r w:rsidR="002661C3">
        <w:rPr>
          <w:szCs w:val="24"/>
        </w:rPr>
        <w:t xml:space="preserve">. </w:t>
      </w:r>
      <w:r w:rsidR="00872FA3">
        <w:rPr>
          <w:szCs w:val="24"/>
        </w:rPr>
        <w:t>maj 2024</w:t>
      </w:r>
    </w:p>
    <w:p w:rsidR="0074531F" w:rsidRPr="00C84483" w:rsidRDefault="0074531F" w:rsidP="0074531F">
      <w:pPr>
        <w:pStyle w:val="Titel"/>
        <w:tabs>
          <w:tab w:val="left" w:pos="8222"/>
        </w:tabs>
        <w:jc w:val="left"/>
        <w:rPr>
          <w:b w:val="0"/>
          <w:szCs w:val="24"/>
        </w:rPr>
      </w:pPr>
    </w:p>
    <w:p w:rsidR="0074531F" w:rsidRPr="00C84483" w:rsidRDefault="0074531F" w:rsidP="0074531F">
      <w:pPr>
        <w:pStyle w:val="Titel"/>
        <w:jc w:val="left"/>
        <w:rPr>
          <w:b w:val="0"/>
          <w:szCs w:val="24"/>
        </w:rPr>
      </w:pPr>
    </w:p>
    <w:p w:rsidR="0074531F" w:rsidRPr="00C84483" w:rsidRDefault="0074531F" w:rsidP="0074531F">
      <w:pPr>
        <w:pStyle w:val="Titel"/>
        <w:jc w:val="left"/>
        <w:rPr>
          <w:b w:val="0"/>
          <w:szCs w:val="24"/>
        </w:rPr>
      </w:pPr>
    </w:p>
    <w:p w:rsidR="0074531F" w:rsidRPr="00C84483" w:rsidRDefault="0074531F" w:rsidP="0074531F">
      <w:pPr>
        <w:jc w:val="center"/>
        <w:rPr>
          <w:b/>
          <w:sz w:val="24"/>
          <w:szCs w:val="24"/>
        </w:rPr>
      </w:pPr>
      <w:r w:rsidRPr="00C84483">
        <w:rPr>
          <w:b/>
          <w:sz w:val="24"/>
          <w:szCs w:val="24"/>
        </w:rPr>
        <w:t>PRODUKTRESUMÉ</w:t>
      </w:r>
    </w:p>
    <w:p w:rsidR="0074531F" w:rsidRPr="00C84483" w:rsidRDefault="0074531F" w:rsidP="0074531F">
      <w:pPr>
        <w:tabs>
          <w:tab w:val="left" w:pos="351"/>
        </w:tabs>
        <w:rPr>
          <w:b/>
          <w:sz w:val="24"/>
          <w:szCs w:val="24"/>
        </w:rPr>
      </w:pPr>
      <w:r>
        <w:rPr>
          <w:b/>
          <w:sz w:val="24"/>
          <w:szCs w:val="24"/>
        </w:rPr>
        <w:tab/>
      </w:r>
    </w:p>
    <w:p w:rsidR="0074531F" w:rsidRDefault="0074531F" w:rsidP="0074531F">
      <w:pPr>
        <w:jc w:val="center"/>
        <w:rPr>
          <w:b/>
          <w:sz w:val="24"/>
          <w:szCs w:val="24"/>
        </w:rPr>
      </w:pPr>
      <w:r w:rsidRPr="00C84483">
        <w:rPr>
          <w:b/>
          <w:sz w:val="24"/>
          <w:szCs w:val="24"/>
        </w:rPr>
        <w:t>for</w:t>
      </w:r>
    </w:p>
    <w:p w:rsidR="0074531F" w:rsidRPr="00C84483" w:rsidRDefault="0074531F" w:rsidP="0074531F">
      <w:pPr>
        <w:jc w:val="center"/>
        <w:rPr>
          <w:b/>
          <w:sz w:val="24"/>
          <w:szCs w:val="24"/>
        </w:rPr>
      </w:pPr>
    </w:p>
    <w:p w:rsidR="0074531F" w:rsidRPr="00C84483" w:rsidRDefault="0074531F" w:rsidP="0074531F">
      <w:pPr>
        <w:jc w:val="center"/>
        <w:rPr>
          <w:b/>
          <w:sz w:val="24"/>
          <w:szCs w:val="24"/>
        </w:rPr>
      </w:pPr>
      <w:proofErr w:type="spellStart"/>
      <w:r>
        <w:rPr>
          <w:b/>
          <w:sz w:val="24"/>
          <w:szCs w:val="24"/>
        </w:rPr>
        <w:t>Pantoprazol</w:t>
      </w:r>
      <w:proofErr w:type="spellEnd"/>
      <w:r>
        <w:rPr>
          <w:b/>
          <w:sz w:val="24"/>
          <w:szCs w:val="24"/>
        </w:rPr>
        <w:t xml:space="preserve"> "Orion", </w:t>
      </w:r>
      <w:proofErr w:type="spellStart"/>
      <w:r>
        <w:rPr>
          <w:b/>
          <w:sz w:val="24"/>
          <w:szCs w:val="24"/>
        </w:rPr>
        <w:t>enterotabletter</w:t>
      </w:r>
      <w:proofErr w:type="spellEnd"/>
      <w:r>
        <w:rPr>
          <w:b/>
          <w:sz w:val="24"/>
          <w:szCs w:val="24"/>
        </w:rPr>
        <w:t xml:space="preserve"> 40 mg</w:t>
      </w:r>
    </w:p>
    <w:p w:rsidR="0074531F" w:rsidRPr="00C84483" w:rsidRDefault="0074531F" w:rsidP="0074531F">
      <w:pPr>
        <w:jc w:val="both"/>
        <w:rPr>
          <w:sz w:val="24"/>
          <w:szCs w:val="24"/>
        </w:rPr>
      </w:pPr>
    </w:p>
    <w:p w:rsidR="0074531F" w:rsidRPr="00C84483" w:rsidRDefault="0074531F" w:rsidP="0074531F">
      <w:pPr>
        <w:jc w:val="both"/>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0.</w:t>
      </w:r>
      <w:r w:rsidRPr="00C84483">
        <w:rPr>
          <w:b/>
          <w:sz w:val="24"/>
          <w:szCs w:val="24"/>
        </w:rPr>
        <w:tab/>
        <w:t>D.SP.NR.</w:t>
      </w:r>
    </w:p>
    <w:p w:rsidR="0074531F" w:rsidRPr="00C84483" w:rsidRDefault="0074531F" w:rsidP="0074531F">
      <w:pPr>
        <w:tabs>
          <w:tab w:val="left" w:pos="851"/>
        </w:tabs>
        <w:ind w:left="851"/>
        <w:rPr>
          <w:sz w:val="24"/>
          <w:szCs w:val="24"/>
        </w:rPr>
      </w:pPr>
      <w:r>
        <w:rPr>
          <w:sz w:val="24"/>
          <w:szCs w:val="24"/>
        </w:rPr>
        <w:t>30514</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1.</w:t>
      </w:r>
      <w:r w:rsidRPr="00C84483">
        <w:rPr>
          <w:b/>
          <w:sz w:val="24"/>
          <w:szCs w:val="24"/>
        </w:rPr>
        <w:tab/>
        <w:t>LÆGEMIDLETS NAVN</w:t>
      </w:r>
    </w:p>
    <w:p w:rsidR="0074531F" w:rsidRPr="00C84483" w:rsidRDefault="0074531F" w:rsidP="0074531F">
      <w:pPr>
        <w:tabs>
          <w:tab w:val="left" w:pos="851"/>
        </w:tabs>
        <w:ind w:left="851"/>
        <w:rPr>
          <w:sz w:val="24"/>
          <w:szCs w:val="24"/>
        </w:rPr>
      </w:pPr>
      <w:proofErr w:type="spellStart"/>
      <w:r>
        <w:rPr>
          <w:sz w:val="24"/>
          <w:szCs w:val="24"/>
        </w:rPr>
        <w:t>Pantoprazol</w:t>
      </w:r>
      <w:proofErr w:type="spellEnd"/>
      <w:r>
        <w:rPr>
          <w:sz w:val="24"/>
          <w:szCs w:val="24"/>
        </w:rPr>
        <w:t xml:space="preserve"> "Orion"</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4531F" w:rsidRPr="002B5638" w:rsidRDefault="0074531F" w:rsidP="0074531F">
      <w:pPr>
        <w:ind w:left="851"/>
        <w:rPr>
          <w:sz w:val="24"/>
          <w:szCs w:val="24"/>
        </w:rPr>
      </w:pPr>
      <w:r w:rsidRPr="002B5638">
        <w:rPr>
          <w:sz w:val="24"/>
          <w:szCs w:val="24"/>
        </w:rPr>
        <w:t xml:space="preserve">Hver </w:t>
      </w:r>
      <w:proofErr w:type="spellStart"/>
      <w:r w:rsidRPr="002B5638">
        <w:rPr>
          <w:sz w:val="24"/>
          <w:szCs w:val="24"/>
        </w:rPr>
        <w:t>enterotablet</w:t>
      </w:r>
      <w:proofErr w:type="spellEnd"/>
      <w:r w:rsidRPr="002B5638">
        <w:rPr>
          <w:sz w:val="24"/>
          <w:szCs w:val="24"/>
        </w:rPr>
        <w:t xml:space="preserve"> indeholder </w:t>
      </w:r>
      <w:proofErr w:type="spellStart"/>
      <w:r w:rsidRPr="002B5638">
        <w:rPr>
          <w:sz w:val="24"/>
          <w:szCs w:val="24"/>
        </w:rPr>
        <w:t>pantoprazolnatr</w:t>
      </w:r>
      <w:r>
        <w:rPr>
          <w:sz w:val="24"/>
          <w:szCs w:val="24"/>
        </w:rPr>
        <w:t>i</w:t>
      </w:r>
      <w:r w:rsidRPr="002B5638">
        <w:rPr>
          <w:sz w:val="24"/>
          <w:szCs w:val="24"/>
        </w:rPr>
        <w:t>umsesquihydrat</w:t>
      </w:r>
      <w:proofErr w:type="spellEnd"/>
      <w:r w:rsidRPr="002B5638">
        <w:rPr>
          <w:sz w:val="24"/>
          <w:szCs w:val="24"/>
        </w:rPr>
        <w:t xml:space="preserve"> svarende til </w:t>
      </w:r>
      <w:r>
        <w:rPr>
          <w:sz w:val="24"/>
          <w:szCs w:val="24"/>
        </w:rPr>
        <w:t>4</w:t>
      </w:r>
      <w:r w:rsidRPr="002B5638">
        <w:rPr>
          <w:sz w:val="24"/>
          <w:szCs w:val="24"/>
        </w:rPr>
        <w:t xml:space="preserve">0 mg </w:t>
      </w:r>
      <w:proofErr w:type="spellStart"/>
      <w:r w:rsidRPr="002B5638">
        <w:rPr>
          <w:sz w:val="24"/>
          <w:szCs w:val="24"/>
        </w:rPr>
        <w:t>pantoprazol</w:t>
      </w:r>
      <w:proofErr w:type="spellEnd"/>
      <w:r w:rsidRPr="002B5638">
        <w:rPr>
          <w:sz w:val="24"/>
          <w:szCs w:val="24"/>
        </w:rPr>
        <w:t>.</w:t>
      </w:r>
    </w:p>
    <w:p w:rsidR="0074531F" w:rsidRPr="002B5638" w:rsidRDefault="0074531F" w:rsidP="0074531F">
      <w:pPr>
        <w:ind w:left="851"/>
        <w:rPr>
          <w:sz w:val="24"/>
          <w:szCs w:val="24"/>
        </w:rPr>
      </w:pPr>
    </w:p>
    <w:p w:rsidR="0074531F" w:rsidRPr="0085375F" w:rsidRDefault="0074531F" w:rsidP="0074531F">
      <w:pPr>
        <w:pStyle w:val="EMEAEnBodyText"/>
        <w:autoSpaceDE w:val="0"/>
        <w:autoSpaceDN w:val="0"/>
        <w:adjustRightInd w:val="0"/>
        <w:spacing w:before="0" w:after="0"/>
        <w:ind w:left="851"/>
        <w:jc w:val="left"/>
        <w:rPr>
          <w:iCs/>
          <w:sz w:val="24"/>
          <w:szCs w:val="24"/>
          <w:u w:val="single"/>
        </w:rPr>
      </w:pPr>
      <w:r w:rsidRPr="002B5638">
        <w:rPr>
          <w:sz w:val="24"/>
          <w:szCs w:val="24"/>
        </w:rPr>
        <w:t>Alle hjælpestoffer er anført under pkt. 6.1.</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3.</w:t>
      </w:r>
      <w:r w:rsidRPr="00C84483">
        <w:rPr>
          <w:b/>
          <w:sz w:val="24"/>
          <w:szCs w:val="24"/>
        </w:rPr>
        <w:tab/>
        <w:t>LÆGEMIDDELFORM</w:t>
      </w:r>
    </w:p>
    <w:p w:rsidR="0074531F" w:rsidRPr="002B5638" w:rsidRDefault="0074531F" w:rsidP="0074531F">
      <w:pPr>
        <w:ind w:left="851"/>
        <w:rPr>
          <w:sz w:val="24"/>
          <w:szCs w:val="24"/>
        </w:rPr>
      </w:pPr>
      <w:proofErr w:type="spellStart"/>
      <w:r w:rsidRPr="002B5638">
        <w:rPr>
          <w:sz w:val="24"/>
          <w:szCs w:val="24"/>
        </w:rPr>
        <w:t>Enterotabletter</w:t>
      </w:r>
      <w:proofErr w:type="spellEnd"/>
    </w:p>
    <w:p w:rsidR="0074531F" w:rsidRPr="002B5638" w:rsidRDefault="0074531F" w:rsidP="0074531F">
      <w:pPr>
        <w:ind w:left="851"/>
        <w:rPr>
          <w:sz w:val="24"/>
          <w:szCs w:val="24"/>
        </w:rPr>
      </w:pPr>
    </w:p>
    <w:p w:rsidR="0074531F" w:rsidRPr="00C84483" w:rsidRDefault="0074531F" w:rsidP="0074531F">
      <w:pPr>
        <w:tabs>
          <w:tab w:val="left" w:pos="851"/>
        </w:tabs>
        <w:ind w:left="851"/>
        <w:rPr>
          <w:sz w:val="24"/>
          <w:szCs w:val="24"/>
        </w:rPr>
      </w:pPr>
      <w:r w:rsidRPr="002B5638">
        <w:rPr>
          <w:sz w:val="24"/>
          <w:szCs w:val="24"/>
        </w:rPr>
        <w:t>Lysegul</w:t>
      </w:r>
      <w:r>
        <w:rPr>
          <w:sz w:val="24"/>
          <w:szCs w:val="24"/>
        </w:rPr>
        <w:t xml:space="preserve">e, ovale, </w:t>
      </w:r>
      <w:proofErr w:type="spellStart"/>
      <w:r>
        <w:rPr>
          <w:sz w:val="24"/>
          <w:szCs w:val="24"/>
        </w:rPr>
        <w:t>bikonvekse</w:t>
      </w:r>
      <w:proofErr w:type="spellEnd"/>
      <w:r>
        <w:rPr>
          <w:sz w:val="24"/>
          <w:szCs w:val="24"/>
        </w:rPr>
        <w:t xml:space="preserve"> tabletter 11,9</w:t>
      </w:r>
      <w:r w:rsidRPr="002B5638">
        <w:rPr>
          <w:sz w:val="24"/>
          <w:szCs w:val="24"/>
        </w:rPr>
        <w:t> mm</w:t>
      </w:r>
      <w:r w:rsidRPr="002B5638">
        <w:rPr>
          <w:color w:val="000000"/>
          <w:sz w:val="24"/>
          <w:szCs w:val="24"/>
        </w:rPr>
        <w:t>×</w:t>
      </w:r>
      <w:r>
        <w:rPr>
          <w:sz w:val="24"/>
          <w:szCs w:val="24"/>
        </w:rPr>
        <w:t>6</w:t>
      </w:r>
      <w:r w:rsidRPr="002B5638">
        <w:rPr>
          <w:sz w:val="24"/>
          <w:szCs w:val="24"/>
        </w:rPr>
        <w:t>,</w:t>
      </w:r>
      <w:r>
        <w:rPr>
          <w:sz w:val="24"/>
          <w:szCs w:val="24"/>
        </w:rPr>
        <w:t>2</w:t>
      </w:r>
      <w:r w:rsidRPr="002B5638">
        <w:rPr>
          <w:sz w:val="24"/>
          <w:szCs w:val="24"/>
        </w:rPr>
        <w:t> mm.</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4.</w:t>
      </w:r>
      <w:r w:rsidRPr="00C84483">
        <w:rPr>
          <w:b/>
          <w:sz w:val="24"/>
          <w:szCs w:val="24"/>
        </w:rPr>
        <w:tab/>
        <w:t>KLINISKE OPLYSNINGER</w:t>
      </w:r>
    </w:p>
    <w:p w:rsidR="0074531F" w:rsidRPr="00C84483" w:rsidRDefault="0074531F" w:rsidP="0074531F">
      <w:pPr>
        <w:tabs>
          <w:tab w:val="left" w:pos="851"/>
        </w:tabs>
        <w:ind w:left="851"/>
        <w:rPr>
          <w:b/>
          <w:sz w:val="24"/>
          <w:szCs w:val="24"/>
        </w:rPr>
      </w:pPr>
    </w:p>
    <w:p w:rsidR="0074531F" w:rsidRPr="00C84483" w:rsidRDefault="0074531F" w:rsidP="0074531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4531F" w:rsidRDefault="0074531F" w:rsidP="0074531F">
      <w:pPr>
        <w:tabs>
          <w:tab w:val="left" w:pos="1134"/>
        </w:tabs>
        <w:ind w:left="851"/>
        <w:rPr>
          <w:i/>
          <w:sz w:val="24"/>
          <w:szCs w:val="24"/>
        </w:rPr>
      </w:pPr>
    </w:p>
    <w:p w:rsidR="00312801" w:rsidRDefault="00312801" w:rsidP="00312801">
      <w:pPr>
        <w:tabs>
          <w:tab w:val="left" w:pos="1134"/>
        </w:tabs>
        <w:ind w:left="1134" w:hanging="283"/>
        <w:rPr>
          <w:sz w:val="24"/>
          <w:szCs w:val="24"/>
          <w:u w:val="single"/>
        </w:rPr>
      </w:pPr>
      <w:r>
        <w:rPr>
          <w:sz w:val="24"/>
          <w:szCs w:val="24"/>
          <w:u w:val="single"/>
        </w:rPr>
        <w:t>Voksne og unge over 12 år</w:t>
      </w:r>
    </w:p>
    <w:p w:rsidR="00312801" w:rsidRDefault="00312801" w:rsidP="00312801">
      <w:pPr>
        <w:pStyle w:val="Listeafsnit"/>
        <w:numPr>
          <w:ilvl w:val="0"/>
          <w:numId w:val="10"/>
        </w:numPr>
        <w:tabs>
          <w:tab w:val="left" w:pos="1134"/>
        </w:tabs>
        <w:ind w:left="1134" w:hanging="283"/>
        <w:rPr>
          <w:sz w:val="24"/>
          <w:szCs w:val="24"/>
        </w:rPr>
      </w:pPr>
      <w:proofErr w:type="spellStart"/>
      <w:r>
        <w:rPr>
          <w:sz w:val="24"/>
          <w:szCs w:val="24"/>
        </w:rPr>
        <w:t>Refluksøsofagitis</w:t>
      </w:r>
      <w:proofErr w:type="spellEnd"/>
    </w:p>
    <w:p w:rsidR="00312801" w:rsidRDefault="00312801" w:rsidP="00312801">
      <w:pPr>
        <w:tabs>
          <w:tab w:val="left" w:pos="1134"/>
        </w:tabs>
        <w:ind w:left="1134" w:hanging="283"/>
        <w:rPr>
          <w:i/>
          <w:sz w:val="24"/>
          <w:szCs w:val="24"/>
        </w:rPr>
      </w:pPr>
    </w:p>
    <w:p w:rsidR="00312801" w:rsidRDefault="00312801" w:rsidP="00312801">
      <w:pPr>
        <w:tabs>
          <w:tab w:val="left" w:pos="1134"/>
        </w:tabs>
        <w:ind w:left="1134" w:hanging="283"/>
        <w:rPr>
          <w:sz w:val="24"/>
          <w:szCs w:val="24"/>
          <w:u w:val="single"/>
        </w:rPr>
      </w:pPr>
      <w:r>
        <w:rPr>
          <w:sz w:val="24"/>
          <w:szCs w:val="24"/>
          <w:u w:val="single"/>
        </w:rPr>
        <w:t>Voksne</w:t>
      </w:r>
    </w:p>
    <w:p w:rsidR="00312801" w:rsidRDefault="00312801" w:rsidP="00312801">
      <w:pPr>
        <w:pStyle w:val="Listeafsnit"/>
        <w:numPr>
          <w:ilvl w:val="0"/>
          <w:numId w:val="11"/>
        </w:numPr>
        <w:tabs>
          <w:tab w:val="left" w:pos="1134"/>
        </w:tabs>
        <w:ind w:left="1134" w:hanging="283"/>
        <w:rPr>
          <w:sz w:val="24"/>
          <w:szCs w:val="24"/>
        </w:rPr>
      </w:pPr>
      <w:proofErr w:type="spellStart"/>
      <w:r>
        <w:rPr>
          <w:sz w:val="24"/>
          <w:szCs w:val="24"/>
        </w:rPr>
        <w:t>Eradikation</w:t>
      </w:r>
      <w:proofErr w:type="spellEnd"/>
      <w:r>
        <w:rPr>
          <w:sz w:val="24"/>
          <w:szCs w:val="24"/>
        </w:rPr>
        <w:t xml:space="preserve"> af </w:t>
      </w:r>
      <w:proofErr w:type="spellStart"/>
      <w:r w:rsidRPr="00312801">
        <w:rPr>
          <w:i/>
          <w:sz w:val="24"/>
          <w:szCs w:val="24"/>
        </w:rPr>
        <w:t>Helicobacter</w:t>
      </w:r>
      <w:proofErr w:type="spellEnd"/>
      <w:r w:rsidRPr="00312801">
        <w:rPr>
          <w:i/>
          <w:sz w:val="24"/>
          <w:szCs w:val="24"/>
        </w:rPr>
        <w:t xml:space="preserve"> </w:t>
      </w:r>
      <w:proofErr w:type="spellStart"/>
      <w:r w:rsidRPr="00312801">
        <w:rPr>
          <w:i/>
          <w:sz w:val="24"/>
          <w:szCs w:val="24"/>
        </w:rPr>
        <w:t>pylori</w:t>
      </w:r>
      <w:proofErr w:type="spellEnd"/>
      <w:r>
        <w:rPr>
          <w:sz w:val="24"/>
          <w:szCs w:val="24"/>
        </w:rPr>
        <w:t xml:space="preserve"> i kombination med to egnede antibiotika hos patienter med </w:t>
      </w:r>
      <w:proofErr w:type="spellStart"/>
      <w:r>
        <w:rPr>
          <w:sz w:val="24"/>
          <w:szCs w:val="24"/>
        </w:rPr>
        <w:t>peptisk</w:t>
      </w:r>
      <w:proofErr w:type="spellEnd"/>
      <w:r>
        <w:rPr>
          <w:sz w:val="24"/>
          <w:szCs w:val="24"/>
        </w:rPr>
        <w:t xml:space="preserve"> ulcus forårsaget af </w:t>
      </w:r>
      <w:proofErr w:type="spellStart"/>
      <w:r w:rsidRPr="00312801">
        <w:rPr>
          <w:i/>
          <w:sz w:val="24"/>
          <w:szCs w:val="24"/>
        </w:rPr>
        <w:t>Helicobacter</w:t>
      </w:r>
      <w:proofErr w:type="spellEnd"/>
      <w:r w:rsidRPr="00312801">
        <w:rPr>
          <w:i/>
          <w:sz w:val="24"/>
          <w:szCs w:val="24"/>
        </w:rPr>
        <w:t xml:space="preserve"> </w:t>
      </w:r>
      <w:proofErr w:type="spellStart"/>
      <w:r w:rsidRPr="00312801">
        <w:rPr>
          <w:i/>
          <w:sz w:val="24"/>
          <w:szCs w:val="24"/>
        </w:rPr>
        <w:t>pylori</w:t>
      </w:r>
      <w:proofErr w:type="spellEnd"/>
      <w:r>
        <w:rPr>
          <w:sz w:val="24"/>
          <w:szCs w:val="24"/>
        </w:rPr>
        <w:t>.</w:t>
      </w:r>
    </w:p>
    <w:p w:rsidR="00312801" w:rsidRDefault="00312801" w:rsidP="00312801">
      <w:pPr>
        <w:pStyle w:val="Listeafsnit"/>
        <w:numPr>
          <w:ilvl w:val="0"/>
          <w:numId w:val="11"/>
        </w:numPr>
        <w:tabs>
          <w:tab w:val="left" w:pos="1134"/>
        </w:tabs>
        <w:ind w:left="1134" w:hanging="283"/>
        <w:rPr>
          <w:sz w:val="24"/>
          <w:szCs w:val="24"/>
        </w:rPr>
      </w:pPr>
      <w:r>
        <w:rPr>
          <w:sz w:val="24"/>
          <w:szCs w:val="24"/>
        </w:rPr>
        <w:t xml:space="preserve">Ulcus </w:t>
      </w:r>
      <w:proofErr w:type="spellStart"/>
      <w:r>
        <w:rPr>
          <w:sz w:val="24"/>
          <w:szCs w:val="24"/>
        </w:rPr>
        <w:t>duodeni</w:t>
      </w:r>
      <w:proofErr w:type="spellEnd"/>
      <w:r>
        <w:rPr>
          <w:sz w:val="24"/>
          <w:szCs w:val="24"/>
        </w:rPr>
        <w:t xml:space="preserve"> og ulcus </w:t>
      </w:r>
      <w:proofErr w:type="spellStart"/>
      <w:r>
        <w:rPr>
          <w:sz w:val="24"/>
          <w:szCs w:val="24"/>
        </w:rPr>
        <w:t>ventriculi</w:t>
      </w:r>
      <w:proofErr w:type="spellEnd"/>
      <w:r>
        <w:rPr>
          <w:sz w:val="24"/>
          <w:szCs w:val="24"/>
        </w:rPr>
        <w:t>.</w:t>
      </w:r>
    </w:p>
    <w:p w:rsidR="00312801" w:rsidRDefault="00312801" w:rsidP="00312801">
      <w:pPr>
        <w:pStyle w:val="Listeafsnit"/>
        <w:numPr>
          <w:ilvl w:val="0"/>
          <w:numId w:val="11"/>
        </w:numPr>
        <w:tabs>
          <w:tab w:val="left" w:pos="1134"/>
        </w:tabs>
        <w:ind w:left="1134" w:hanging="283"/>
        <w:rPr>
          <w:sz w:val="24"/>
          <w:szCs w:val="24"/>
        </w:rPr>
      </w:pPr>
      <w:proofErr w:type="spellStart"/>
      <w:r>
        <w:rPr>
          <w:sz w:val="24"/>
          <w:szCs w:val="24"/>
        </w:rPr>
        <w:t>Zollinger</w:t>
      </w:r>
      <w:proofErr w:type="spellEnd"/>
      <w:r>
        <w:rPr>
          <w:sz w:val="24"/>
          <w:szCs w:val="24"/>
        </w:rPr>
        <w:t>-</w:t>
      </w:r>
      <w:proofErr w:type="spellStart"/>
      <w:r>
        <w:rPr>
          <w:sz w:val="24"/>
          <w:szCs w:val="24"/>
        </w:rPr>
        <w:t>Ellison</w:t>
      </w:r>
      <w:proofErr w:type="spellEnd"/>
      <w:r>
        <w:rPr>
          <w:sz w:val="24"/>
          <w:szCs w:val="24"/>
        </w:rPr>
        <w:t xml:space="preserve">-syndrom og andre patologiske, </w:t>
      </w:r>
      <w:proofErr w:type="spellStart"/>
      <w:r>
        <w:rPr>
          <w:sz w:val="24"/>
          <w:szCs w:val="24"/>
        </w:rPr>
        <w:t>hypersekretoriske</w:t>
      </w:r>
      <w:proofErr w:type="spellEnd"/>
      <w:r>
        <w:rPr>
          <w:sz w:val="24"/>
          <w:szCs w:val="24"/>
        </w:rPr>
        <w:t xml:space="preserve"> tilstande.</w:t>
      </w:r>
    </w:p>
    <w:p w:rsidR="0074531F" w:rsidRDefault="0074531F" w:rsidP="0074531F">
      <w:pPr>
        <w:rPr>
          <w:sz w:val="24"/>
          <w:szCs w:val="24"/>
        </w:rPr>
      </w:pPr>
      <w:r>
        <w:rPr>
          <w:sz w:val="24"/>
          <w:szCs w:val="24"/>
        </w:rPr>
        <w:br w:type="page"/>
      </w:r>
    </w:p>
    <w:p w:rsidR="0074531F" w:rsidRPr="00C84483" w:rsidRDefault="0074531F" w:rsidP="0074531F">
      <w:pPr>
        <w:tabs>
          <w:tab w:val="left" w:pos="851"/>
        </w:tabs>
        <w:ind w:left="851"/>
        <w:rPr>
          <w:sz w:val="24"/>
          <w:szCs w:val="24"/>
        </w:rPr>
      </w:pPr>
    </w:p>
    <w:p w:rsidR="0074531F" w:rsidRDefault="0074531F" w:rsidP="0074531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661C3">
        <w:rPr>
          <w:b/>
          <w:sz w:val="24"/>
          <w:szCs w:val="24"/>
        </w:rPr>
        <w:t>administration</w:t>
      </w:r>
    </w:p>
    <w:p w:rsidR="0074531F" w:rsidRPr="002D2D9E" w:rsidRDefault="0074531F" w:rsidP="0074531F">
      <w:pPr>
        <w:tabs>
          <w:tab w:val="left" w:pos="851"/>
        </w:tabs>
        <w:ind w:left="851"/>
        <w:rPr>
          <w:sz w:val="24"/>
          <w:szCs w:val="24"/>
        </w:rPr>
      </w:pPr>
    </w:p>
    <w:p w:rsidR="0074531F" w:rsidRPr="002D2D9E" w:rsidRDefault="0074531F" w:rsidP="0074531F">
      <w:pPr>
        <w:tabs>
          <w:tab w:val="left" w:pos="851"/>
        </w:tabs>
        <w:ind w:left="851"/>
        <w:rPr>
          <w:b/>
          <w:sz w:val="24"/>
          <w:szCs w:val="24"/>
        </w:rPr>
      </w:pPr>
      <w:r w:rsidRPr="002D2D9E">
        <w:rPr>
          <w:b/>
          <w:sz w:val="24"/>
          <w:szCs w:val="24"/>
        </w:rPr>
        <w:t>Dosering</w:t>
      </w:r>
    </w:p>
    <w:p w:rsidR="0074531F" w:rsidRDefault="0074531F" w:rsidP="0074531F">
      <w:pPr>
        <w:tabs>
          <w:tab w:val="left" w:pos="851"/>
        </w:tabs>
        <w:ind w:left="851"/>
        <w:rPr>
          <w:iCs/>
          <w:sz w:val="24"/>
          <w:szCs w:val="24"/>
          <w:u w:val="single"/>
        </w:rPr>
      </w:pPr>
    </w:p>
    <w:p w:rsidR="0074531F" w:rsidRPr="002D2D9E" w:rsidRDefault="0074531F" w:rsidP="0074531F">
      <w:pPr>
        <w:tabs>
          <w:tab w:val="left" w:pos="851"/>
        </w:tabs>
        <w:ind w:left="851"/>
        <w:rPr>
          <w:iCs/>
          <w:sz w:val="24"/>
          <w:szCs w:val="24"/>
          <w:u w:val="single"/>
        </w:rPr>
      </w:pPr>
      <w:r w:rsidRPr="002D2D9E">
        <w:rPr>
          <w:iCs/>
          <w:sz w:val="24"/>
          <w:szCs w:val="24"/>
          <w:u w:val="single"/>
        </w:rPr>
        <w:t xml:space="preserve">Voksne og unge over 12 år </w:t>
      </w:r>
    </w:p>
    <w:p w:rsidR="0074531F" w:rsidRPr="002D2D9E" w:rsidRDefault="0074531F" w:rsidP="0074531F">
      <w:pPr>
        <w:tabs>
          <w:tab w:val="left" w:pos="851"/>
        </w:tabs>
        <w:ind w:left="851"/>
        <w:rPr>
          <w:iCs/>
          <w:sz w:val="24"/>
          <w:szCs w:val="24"/>
          <w:u w:val="single"/>
        </w:rPr>
      </w:pPr>
    </w:p>
    <w:p w:rsidR="0074531F" w:rsidRPr="00F01C67" w:rsidRDefault="0074531F" w:rsidP="0074531F">
      <w:pPr>
        <w:keepNext/>
        <w:ind w:left="851"/>
        <w:rPr>
          <w:i/>
          <w:sz w:val="24"/>
          <w:szCs w:val="24"/>
        </w:rPr>
      </w:pPr>
      <w:proofErr w:type="spellStart"/>
      <w:r>
        <w:rPr>
          <w:i/>
          <w:sz w:val="24"/>
          <w:szCs w:val="24"/>
        </w:rPr>
        <w:t>Refluksøsofagitis</w:t>
      </w:r>
      <w:proofErr w:type="spellEnd"/>
    </w:p>
    <w:p w:rsidR="00872FA3" w:rsidRPr="00F01C67" w:rsidRDefault="00872FA3" w:rsidP="00872FA3">
      <w:pPr>
        <w:ind w:left="851"/>
        <w:rPr>
          <w:sz w:val="24"/>
          <w:szCs w:val="24"/>
        </w:rPr>
      </w:pPr>
      <w:r w:rsidRPr="00F01C67">
        <w:rPr>
          <w:sz w:val="24"/>
          <w:szCs w:val="24"/>
        </w:rPr>
        <w:t xml:space="preserve">En 40 mg tablet </w:t>
      </w:r>
      <w:r>
        <w:rPr>
          <w:sz w:val="24"/>
          <w:szCs w:val="24"/>
        </w:rPr>
        <w:t>daglig</w:t>
      </w:r>
      <w:r w:rsidRPr="00F01C67">
        <w:rPr>
          <w:sz w:val="24"/>
          <w:szCs w:val="24"/>
        </w:rPr>
        <w:t>. I individuelle tilfælde kan dosis fordobles til 2</w:t>
      </w:r>
      <w:r>
        <w:rPr>
          <w:sz w:val="24"/>
          <w:szCs w:val="24"/>
        </w:rPr>
        <w:t> </w:t>
      </w:r>
      <w:r w:rsidRPr="00F01C67">
        <w:rPr>
          <w:sz w:val="24"/>
          <w:szCs w:val="24"/>
        </w:rPr>
        <w:t xml:space="preserve">tabletter daglig, specielt til patienter, der ikke har responderet på anden behandling. En 4 ugers behandlingsperiode er normalt nødvendig til behandling af </w:t>
      </w:r>
      <w:proofErr w:type="spellStart"/>
      <w:r w:rsidRPr="00F01C67">
        <w:rPr>
          <w:sz w:val="24"/>
          <w:szCs w:val="24"/>
        </w:rPr>
        <w:t>refluks-esofagitis</w:t>
      </w:r>
      <w:proofErr w:type="spellEnd"/>
      <w:r w:rsidRPr="00F01C67">
        <w:rPr>
          <w:sz w:val="24"/>
          <w:szCs w:val="24"/>
        </w:rPr>
        <w:t>. Hvis dette ikke er tilstrækkeligt, vil symptomlindring sædvanligvis opnås inden for yderligere 4 ugers behandling.</w:t>
      </w:r>
    </w:p>
    <w:p w:rsidR="00872FA3" w:rsidRDefault="00872FA3" w:rsidP="0074531F">
      <w:pPr>
        <w:keepNext/>
        <w:ind w:left="851"/>
        <w:rPr>
          <w:sz w:val="24"/>
          <w:szCs w:val="24"/>
          <w:u w:val="single"/>
        </w:rPr>
      </w:pPr>
    </w:p>
    <w:p w:rsidR="0074531F" w:rsidRPr="00F01C67" w:rsidRDefault="0074531F" w:rsidP="0074531F">
      <w:pPr>
        <w:keepNext/>
        <w:ind w:left="851"/>
        <w:rPr>
          <w:sz w:val="24"/>
          <w:szCs w:val="24"/>
          <w:u w:val="single"/>
        </w:rPr>
      </w:pPr>
      <w:r w:rsidRPr="00F01C67">
        <w:rPr>
          <w:sz w:val="24"/>
          <w:szCs w:val="24"/>
          <w:u w:val="single"/>
        </w:rPr>
        <w:t>Voksne</w:t>
      </w:r>
    </w:p>
    <w:p w:rsidR="0074531F" w:rsidRDefault="0074531F" w:rsidP="0074531F">
      <w:pPr>
        <w:keepNext/>
        <w:ind w:left="851"/>
        <w:rPr>
          <w:i/>
          <w:sz w:val="24"/>
          <w:szCs w:val="24"/>
        </w:rPr>
      </w:pPr>
    </w:p>
    <w:p w:rsidR="0074531F" w:rsidRPr="00F01C67" w:rsidRDefault="0074531F" w:rsidP="0074531F">
      <w:pPr>
        <w:keepNext/>
        <w:ind w:left="851"/>
        <w:rPr>
          <w:i/>
          <w:sz w:val="24"/>
          <w:szCs w:val="24"/>
        </w:rPr>
      </w:pPr>
      <w:proofErr w:type="spellStart"/>
      <w:r w:rsidRPr="00F01C67">
        <w:rPr>
          <w:i/>
          <w:sz w:val="24"/>
          <w:szCs w:val="24"/>
        </w:rPr>
        <w:t>Eradikation</w:t>
      </w:r>
      <w:proofErr w:type="spellEnd"/>
      <w:r w:rsidRPr="00F01C67">
        <w:rPr>
          <w:i/>
          <w:sz w:val="24"/>
          <w:szCs w:val="24"/>
        </w:rPr>
        <w:t xml:space="preserve"> af </w:t>
      </w:r>
      <w:proofErr w:type="spellStart"/>
      <w:r w:rsidRPr="00F01C67">
        <w:rPr>
          <w:i/>
          <w:sz w:val="24"/>
          <w:szCs w:val="24"/>
        </w:rPr>
        <w:t>Helicobacter</w:t>
      </w:r>
      <w:proofErr w:type="spellEnd"/>
      <w:r w:rsidRPr="00F01C67">
        <w:rPr>
          <w:i/>
          <w:sz w:val="24"/>
          <w:szCs w:val="24"/>
        </w:rPr>
        <w:t xml:space="preserve"> </w:t>
      </w:r>
      <w:proofErr w:type="spellStart"/>
      <w:r w:rsidRPr="00F01C67">
        <w:rPr>
          <w:i/>
          <w:sz w:val="24"/>
          <w:szCs w:val="24"/>
        </w:rPr>
        <w:t>pylori</w:t>
      </w:r>
      <w:proofErr w:type="spellEnd"/>
      <w:r w:rsidRPr="00F01C67">
        <w:rPr>
          <w:i/>
          <w:sz w:val="24"/>
          <w:szCs w:val="24"/>
        </w:rPr>
        <w:t xml:space="preserve"> i kombination med to egnede antibiotika</w:t>
      </w:r>
    </w:p>
    <w:p w:rsidR="00872FA3" w:rsidRPr="00F01C67" w:rsidRDefault="0074531F" w:rsidP="00872FA3">
      <w:pPr>
        <w:ind w:left="851"/>
        <w:rPr>
          <w:sz w:val="24"/>
          <w:szCs w:val="24"/>
        </w:rPr>
      </w:pPr>
      <w:r w:rsidRPr="00F01C67">
        <w:rPr>
          <w:sz w:val="24"/>
          <w:szCs w:val="24"/>
        </w:rPr>
        <w:t xml:space="preserve">Hos </w:t>
      </w:r>
      <w:proofErr w:type="spellStart"/>
      <w:r w:rsidRPr="00F01C67">
        <w:rPr>
          <w:i/>
          <w:sz w:val="24"/>
          <w:szCs w:val="24"/>
        </w:rPr>
        <w:t>Helicobacter</w:t>
      </w:r>
      <w:proofErr w:type="spellEnd"/>
      <w:r w:rsidRPr="00F01C67">
        <w:rPr>
          <w:i/>
          <w:sz w:val="24"/>
          <w:szCs w:val="24"/>
        </w:rPr>
        <w:t xml:space="preserve"> </w:t>
      </w:r>
      <w:proofErr w:type="spellStart"/>
      <w:r w:rsidRPr="00F01C67">
        <w:rPr>
          <w:i/>
          <w:sz w:val="24"/>
          <w:szCs w:val="24"/>
        </w:rPr>
        <w:t>pylori</w:t>
      </w:r>
      <w:proofErr w:type="spellEnd"/>
      <w:r w:rsidRPr="00F01C67">
        <w:rPr>
          <w:sz w:val="24"/>
          <w:szCs w:val="24"/>
        </w:rPr>
        <w:t xml:space="preserve">-positive patienter med ventrikel- eller </w:t>
      </w:r>
      <w:proofErr w:type="spellStart"/>
      <w:r w:rsidRPr="00F01C67">
        <w:rPr>
          <w:sz w:val="24"/>
          <w:szCs w:val="24"/>
        </w:rPr>
        <w:t>duodenalsår</w:t>
      </w:r>
      <w:proofErr w:type="spellEnd"/>
      <w:r w:rsidRPr="00F01C67">
        <w:rPr>
          <w:sz w:val="24"/>
          <w:szCs w:val="24"/>
        </w:rPr>
        <w:t xml:space="preserve"> bør </w:t>
      </w:r>
      <w:proofErr w:type="spellStart"/>
      <w:r w:rsidRPr="00F01C67">
        <w:rPr>
          <w:sz w:val="24"/>
          <w:szCs w:val="24"/>
        </w:rPr>
        <w:t>eradikationen</w:t>
      </w:r>
      <w:proofErr w:type="spellEnd"/>
      <w:r w:rsidRPr="00F01C67">
        <w:rPr>
          <w:sz w:val="24"/>
          <w:szCs w:val="24"/>
        </w:rPr>
        <w:t xml:space="preserve"> af bakterien ske ved kombinationsterapi. Der skal tages hensyn til officielle lokale retningslinjer (f.eks. nationale anbefalinger) angående bakteriel resistens samt hensigtsmæssig brug og udskrivning af antibakterielle lægemidler. Afhængigt af resistensmønstret kan følgende kombinationer anbefales til </w:t>
      </w:r>
      <w:proofErr w:type="spellStart"/>
      <w:r w:rsidRPr="00F01C67">
        <w:rPr>
          <w:sz w:val="24"/>
          <w:szCs w:val="24"/>
        </w:rPr>
        <w:t>eradikation</w:t>
      </w:r>
      <w:proofErr w:type="spellEnd"/>
      <w:r w:rsidRPr="00F01C67">
        <w:rPr>
          <w:sz w:val="24"/>
          <w:szCs w:val="24"/>
        </w:rPr>
        <w:t xml:space="preserve"> af </w:t>
      </w:r>
      <w:proofErr w:type="spellStart"/>
      <w:r w:rsidRPr="00F01C67">
        <w:rPr>
          <w:i/>
          <w:sz w:val="24"/>
          <w:szCs w:val="24"/>
        </w:rPr>
        <w:t>Helicobacter</w:t>
      </w:r>
      <w:proofErr w:type="spellEnd"/>
      <w:r w:rsidRPr="00F01C67">
        <w:rPr>
          <w:i/>
          <w:sz w:val="24"/>
          <w:szCs w:val="24"/>
        </w:rPr>
        <w:t xml:space="preserve"> </w:t>
      </w:r>
      <w:proofErr w:type="spellStart"/>
      <w:r w:rsidR="00872FA3" w:rsidRPr="00F01C67">
        <w:rPr>
          <w:i/>
          <w:sz w:val="24"/>
          <w:szCs w:val="24"/>
        </w:rPr>
        <w:t>pylori</w:t>
      </w:r>
      <w:proofErr w:type="spellEnd"/>
      <w:r w:rsidR="00872FA3" w:rsidRPr="00F01C67">
        <w:rPr>
          <w:sz w:val="24"/>
          <w:szCs w:val="24"/>
        </w:rPr>
        <w:t>:</w:t>
      </w:r>
    </w:p>
    <w:p w:rsidR="00872FA3" w:rsidRPr="00F01C67" w:rsidRDefault="00872FA3" w:rsidP="00872FA3">
      <w:pPr>
        <w:pStyle w:val="Listeafsnit"/>
        <w:numPr>
          <w:ilvl w:val="0"/>
          <w:numId w:val="12"/>
        </w:numPr>
        <w:ind w:left="1418" w:hanging="567"/>
        <w:rPr>
          <w:sz w:val="24"/>
          <w:szCs w:val="24"/>
        </w:rPr>
      </w:pPr>
      <w:r w:rsidRPr="00F01C67">
        <w:rPr>
          <w:sz w:val="24"/>
          <w:szCs w:val="24"/>
        </w:rPr>
        <w:t xml:space="preserve">1 </w:t>
      </w:r>
      <w:proofErr w:type="spellStart"/>
      <w:r w:rsidRPr="00F01C67">
        <w:rPr>
          <w:sz w:val="24"/>
          <w:szCs w:val="24"/>
        </w:rPr>
        <w:t>pantoprazol</w:t>
      </w:r>
      <w:proofErr w:type="spellEnd"/>
      <w:r w:rsidRPr="00F01C67">
        <w:rPr>
          <w:sz w:val="24"/>
          <w:szCs w:val="24"/>
        </w:rPr>
        <w:t xml:space="preserve"> 40 mg tablet 2</w:t>
      </w:r>
      <w:r>
        <w:rPr>
          <w:sz w:val="24"/>
          <w:szCs w:val="24"/>
        </w:rPr>
        <w:t> </w:t>
      </w:r>
      <w:r w:rsidRPr="00F01C67">
        <w:rPr>
          <w:sz w:val="24"/>
          <w:szCs w:val="24"/>
        </w:rPr>
        <w:t xml:space="preserve">gange daglig </w:t>
      </w:r>
    </w:p>
    <w:p w:rsidR="00872FA3" w:rsidRPr="00F821F0" w:rsidRDefault="00872FA3" w:rsidP="00872FA3">
      <w:pPr>
        <w:pStyle w:val="Listeafsnit"/>
        <w:ind w:left="1418"/>
        <w:rPr>
          <w:sz w:val="24"/>
          <w:szCs w:val="24"/>
        </w:rPr>
      </w:pPr>
      <w:r w:rsidRPr="00F821F0">
        <w:rPr>
          <w:sz w:val="24"/>
          <w:szCs w:val="24"/>
        </w:rPr>
        <w:t xml:space="preserve">+ 1.000 mg </w:t>
      </w:r>
      <w:proofErr w:type="spellStart"/>
      <w:r w:rsidRPr="00F821F0">
        <w:rPr>
          <w:sz w:val="24"/>
          <w:szCs w:val="24"/>
        </w:rPr>
        <w:t>amoxicillin</w:t>
      </w:r>
      <w:proofErr w:type="spellEnd"/>
      <w:r w:rsidRPr="00F821F0">
        <w:rPr>
          <w:sz w:val="24"/>
          <w:szCs w:val="24"/>
        </w:rPr>
        <w:t xml:space="preserve"> 2 gange daglig</w:t>
      </w:r>
    </w:p>
    <w:p w:rsidR="00872FA3" w:rsidRPr="00F821F0" w:rsidRDefault="00872FA3" w:rsidP="00872FA3">
      <w:pPr>
        <w:pStyle w:val="Listeafsnit"/>
        <w:ind w:left="1418"/>
        <w:rPr>
          <w:sz w:val="24"/>
          <w:szCs w:val="24"/>
        </w:rPr>
      </w:pPr>
      <w:r w:rsidRPr="00F821F0">
        <w:rPr>
          <w:sz w:val="24"/>
          <w:szCs w:val="24"/>
        </w:rPr>
        <w:t xml:space="preserve">+ 500 mg </w:t>
      </w:r>
      <w:proofErr w:type="spellStart"/>
      <w:r w:rsidRPr="00F821F0">
        <w:rPr>
          <w:sz w:val="24"/>
          <w:szCs w:val="24"/>
        </w:rPr>
        <w:t>clarithromycin</w:t>
      </w:r>
      <w:proofErr w:type="spellEnd"/>
      <w:r w:rsidRPr="00F821F0">
        <w:rPr>
          <w:sz w:val="24"/>
          <w:szCs w:val="24"/>
        </w:rPr>
        <w:t xml:space="preserve"> 2 gange daglig</w:t>
      </w:r>
    </w:p>
    <w:p w:rsidR="00872FA3" w:rsidRPr="00F01C67" w:rsidRDefault="00872FA3" w:rsidP="00872FA3">
      <w:pPr>
        <w:pStyle w:val="Listeafsnit"/>
        <w:numPr>
          <w:ilvl w:val="0"/>
          <w:numId w:val="12"/>
        </w:numPr>
        <w:ind w:left="1418" w:hanging="567"/>
        <w:rPr>
          <w:sz w:val="24"/>
          <w:szCs w:val="24"/>
        </w:rPr>
      </w:pPr>
      <w:r w:rsidRPr="00F01C67">
        <w:rPr>
          <w:sz w:val="24"/>
          <w:szCs w:val="24"/>
        </w:rPr>
        <w:t xml:space="preserve">1 </w:t>
      </w:r>
      <w:proofErr w:type="spellStart"/>
      <w:r w:rsidRPr="00F01C67">
        <w:rPr>
          <w:sz w:val="24"/>
          <w:szCs w:val="24"/>
        </w:rPr>
        <w:t>pantoprazol</w:t>
      </w:r>
      <w:proofErr w:type="spellEnd"/>
      <w:r w:rsidRPr="00F01C67">
        <w:rPr>
          <w:sz w:val="24"/>
          <w:szCs w:val="24"/>
        </w:rPr>
        <w:t xml:space="preserve"> 40 mg tablet 2</w:t>
      </w:r>
      <w:r>
        <w:rPr>
          <w:sz w:val="24"/>
          <w:szCs w:val="24"/>
        </w:rPr>
        <w:t> </w:t>
      </w:r>
      <w:r w:rsidRPr="00F01C67">
        <w:rPr>
          <w:sz w:val="24"/>
          <w:szCs w:val="24"/>
        </w:rPr>
        <w:t xml:space="preserve">gange daglig </w:t>
      </w:r>
    </w:p>
    <w:p w:rsidR="00872FA3" w:rsidRPr="00F821F0" w:rsidRDefault="00872FA3" w:rsidP="00872FA3">
      <w:pPr>
        <w:pStyle w:val="Listeafsnit"/>
        <w:ind w:left="1418"/>
        <w:rPr>
          <w:sz w:val="24"/>
          <w:szCs w:val="24"/>
        </w:rPr>
      </w:pPr>
      <w:r w:rsidRPr="00F821F0">
        <w:rPr>
          <w:sz w:val="24"/>
          <w:szCs w:val="24"/>
        </w:rPr>
        <w:t>+ 400</w:t>
      </w:r>
      <w:r w:rsidRPr="00F821F0">
        <w:rPr>
          <w:sz w:val="24"/>
          <w:szCs w:val="24"/>
        </w:rPr>
        <w:noBreakHyphen/>
        <w:t xml:space="preserve">500 mg </w:t>
      </w:r>
      <w:proofErr w:type="spellStart"/>
      <w:r w:rsidRPr="00F821F0">
        <w:rPr>
          <w:sz w:val="24"/>
          <w:szCs w:val="24"/>
        </w:rPr>
        <w:t>metronidazol</w:t>
      </w:r>
      <w:proofErr w:type="spellEnd"/>
      <w:r w:rsidRPr="00F821F0">
        <w:rPr>
          <w:sz w:val="24"/>
          <w:szCs w:val="24"/>
        </w:rPr>
        <w:t xml:space="preserve"> (eller 500 mg </w:t>
      </w:r>
      <w:proofErr w:type="spellStart"/>
      <w:r w:rsidRPr="00F821F0">
        <w:rPr>
          <w:sz w:val="24"/>
          <w:szCs w:val="24"/>
        </w:rPr>
        <w:t>tinidazol</w:t>
      </w:r>
      <w:proofErr w:type="spellEnd"/>
      <w:r w:rsidRPr="00F821F0">
        <w:rPr>
          <w:sz w:val="24"/>
          <w:szCs w:val="24"/>
        </w:rPr>
        <w:t>) 2 gange daglig</w:t>
      </w:r>
    </w:p>
    <w:p w:rsidR="00872FA3" w:rsidRPr="00F821F0" w:rsidRDefault="00872FA3" w:rsidP="00872FA3">
      <w:pPr>
        <w:pStyle w:val="Listeafsnit"/>
        <w:ind w:left="1418"/>
        <w:rPr>
          <w:sz w:val="24"/>
          <w:szCs w:val="24"/>
        </w:rPr>
      </w:pPr>
      <w:r w:rsidRPr="00F821F0">
        <w:rPr>
          <w:sz w:val="24"/>
          <w:szCs w:val="24"/>
        </w:rPr>
        <w:t>+ 250</w:t>
      </w:r>
      <w:r w:rsidRPr="00F821F0">
        <w:rPr>
          <w:sz w:val="24"/>
          <w:szCs w:val="24"/>
        </w:rPr>
        <w:noBreakHyphen/>
        <w:t xml:space="preserve">500 mg </w:t>
      </w:r>
      <w:proofErr w:type="spellStart"/>
      <w:r w:rsidRPr="00F821F0">
        <w:rPr>
          <w:sz w:val="24"/>
          <w:szCs w:val="24"/>
        </w:rPr>
        <w:t>clarithromycin</w:t>
      </w:r>
      <w:proofErr w:type="spellEnd"/>
      <w:r w:rsidRPr="00F821F0">
        <w:rPr>
          <w:sz w:val="24"/>
          <w:szCs w:val="24"/>
        </w:rPr>
        <w:t xml:space="preserve"> 2 gange daglig</w:t>
      </w:r>
    </w:p>
    <w:p w:rsidR="00872FA3" w:rsidRPr="00F01C67" w:rsidRDefault="00872FA3" w:rsidP="00872FA3">
      <w:pPr>
        <w:pStyle w:val="Listeafsnit"/>
        <w:numPr>
          <w:ilvl w:val="0"/>
          <w:numId w:val="12"/>
        </w:numPr>
        <w:ind w:left="1418" w:hanging="567"/>
        <w:rPr>
          <w:sz w:val="24"/>
          <w:szCs w:val="24"/>
        </w:rPr>
      </w:pPr>
      <w:r w:rsidRPr="00F01C67">
        <w:rPr>
          <w:sz w:val="24"/>
          <w:szCs w:val="24"/>
        </w:rPr>
        <w:t xml:space="preserve">1 </w:t>
      </w:r>
      <w:proofErr w:type="spellStart"/>
      <w:r w:rsidRPr="00F01C67">
        <w:rPr>
          <w:sz w:val="24"/>
          <w:szCs w:val="24"/>
        </w:rPr>
        <w:t>pantoprazol</w:t>
      </w:r>
      <w:proofErr w:type="spellEnd"/>
      <w:r w:rsidRPr="00F01C67">
        <w:rPr>
          <w:sz w:val="24"/>
          <w:szCs w:val="24"/>
        </w:rPr>
        <w:t xml:space="preserve"> 40 mg tablet 2</w:t>
      </w:r>
      <w:r>
        <w:rPr>
          <w:sz w:val="24"/>
          <w:szCs w:val="24"/>
        </w:rPr>
        <w:t> </w:t>
      </w:r>
      <w:r w:rsidRPr="00F01C67">
        <w:rPr>
          <w:sz w:val="24"/>
          <w:szCs w:val="24"/>
        </w:rPr>
        <w:t xml:space="preserve">gange daglig </w:t>
      </w:r>
    </w:p>
    <w:p w:rsidR="00872FA3" w:rsidRPr="00F821F0" w:rsidRDefault="00872FA3" w:rsidP="00872FA3">
      <w:pPr>
        <w:pStyle w:val="Listeafsnit"/>
        <w:ind w:left="1418"/>
        <w:rPr>
          <w:sz w:val="24"/>
          <w:szCs w:val="24"/>
        </w:rPr>
      </w:pPr>
      <w:r w:rsidRPr="00F821F0">
        <w:rPr>
          <w:sz w:val="24"/>
          <w:szCs w:val="24"/>
        </w:rPr>
        <w:t xml:space="preserve">+ 1.000 mg </w:t>
      </w:r>
      <w:proofErr w:type="spellStart"/>
      <w:r w:rsidRPr="00F821F0">
        <w:rPr>
          <w:sz w:val="24"/>
          <w:szCs w:val="24"/>
        </w:rPr>
        <w:t>amoxicillin</w:t>
      </w:r>
      <w:proofErr w:type="spellEnd"/>
      <w:r w:rsidRPr="00F821F0">
        <w:rPr>
          <w:sz w:val="24"/>
          <w:szCs w:val="24"/>
        </w:rPr>
        <w:t xml:space="preserve"> 2 gange daglig</w:t>
      </w:r>
    </w:p>
    <w:p w:rsidR="00872FA3" w:rsidRPr="00F821F0" w:rsidRDefault="00872FA3" w:rsidP="00872FA3">
      <w:pPr>
        <w:pStyle w:val="Listeafsnit"/>
        <w:ind w:left="1418"/>
        <w:rPr>
          <w:sz w:val="24"/>
          <w:szCs w:val="24"/>
        </w:rPr>
      </w:pPr>
      <w:r w:rsidRPr="00F821F0">
        <w:rPr>
          <w:sz w:val="24"/>
          <w:szCs w:val="24"/>
        </w:rPr>
        <w:t>+ 400</w:t>
      </w:r>
      <w:r w:rsidRPr="00F821F0">
        <w:rPr>
          <w:sz w:val="24"/>
          <w:szCs w:val="24"/>
        </w:rPr>
        <w:noBreakHyphen/>
        <w:t xml:space="preserve">500 mg </w:t>
      </w:r>
      <w:proofErr w:type="spellStart"/>
      <w:r w:rsidRPr="00F821F0">
        <w:rPr>
          <w:sz w:val="24"/>
          <w:szCs w:val="24"/>
        </w:rPr>
        <w:t>metronidazol</w:t>
      </w:r>
      <w:proofErr w:type="spellEnd"/>
      <w:r w:rsidRPr="00F821F0">
        <w:rPr>
          <w:sz w:val="24"/>
          <w:szCs w:val="24"/>
        </w:rPr>
        <w:t xml:space="preserve"> (eller 500 mg </w:t>
      </w:r>
      <w:proofErr w:type="spellStart"/>
      <w:r w:rsidRPr="00F821F0">
        <w:rPr>
          <w:sz w:val="24"/>
          <w:szCs w:val="24"/>
        </w:rPr>
        <w:t>tinidazol</w:t>
      </w:r>
      <w:proofErr w:type="spellEnd"/>
      <w:r w:rsidRPr="00F821F0">
        <w:rPr>
          <w:sz w:val="24"/>
          <w:szCs w:val="24"/>
        </w:rPr>
        <w:t>) 2 gange daglig</w:t>
      </w:r>
    </w:p>
    <w:p w:rsidR="00872FA3" w:rsidRPr="00F01C67" w:rsidRDefault="00872FA3" w:rsidP="00872FA3">
      <w:pPr>
        <w:ind w:left="851"/>
        <w:rPr>
          <w:sz w:val="24"/>
          <w:szCs w:val="24"/>
        </w:rPr>
      </w:pPr>
    </w:p>
    <w:p w:rsidR="0074531F" w:rsidRPr="00F01C67" w:rsidRDefault="0074531F" w:rsidP="00872FA3">
      <w:pPr>
        <w:ind w:left="851"/>
        <w:rPr>
          <w:sz w:val="24"/>
          <w:szCs w:val="24"/>
        </w:rPr>
      </w:pPr>
      <w:r w:rsidRPr="00F01C67">
        <w:rPr>
          <w:sz w:val="24"/>
          <w:szCs w:val="24"/>
        </w:rPr>
        <w:t xml:space="preserve">Ved kombinationsbehandling for </w:t>
      </w:r>
      <w:proofErr w:type="spellStart"/>
      <w:r w:rsidRPr="00F01C67">
        <w:rPr>
          <w:sz w:val="24"/>
          <w:szCs w:val="24"/>
        </w:rPr>
        <w:t>eradikation</w:t>
      </w:r>
      <w:proofErr w:type="spellEnd"/>
      <w:r w:rsidRPr="00F01C67">
        <w:rPr>
          <w:sz w:val="24"/>
          <w:szCs w:val="24"/>
        </w:rPr>
        <w:t xml:space="preserve"> af </w:t>
      </w:r>
      <w:proofErr w:type="spellStart"/>
      <w:r w:rsidRPr="00F01C67">
        <w:rPr>
          <w:i/>
          <w:sz w:val="24"/>
          <w:szCs w:val="24"/>
        </w:rPr>
        <w:t>Helicobacter</w:t>
      </w:r>
      <w:proofErr w:type="spellEnd"/>
      <w:r w:rsidRPr="00F01C67">
        <w:rPr>
          <w:i/>
          <w:sz w:val="24"/>
          <w:szCs w:val="24"/>
        </w:rPr>
        <w:t xml:space="preserve"> </w:t>
      </w:r>
      <w:proofErr w:type="spellStart"/>
      <w:r w:rsidRPr="00F01C67">
        <w:rPr>
          <w:i/>
          <w:sz w:val="24"/>
          <w:szCs w:val="24"/>
        </w:rPr>
        <w:t>pylori</w:t>
      </w:r>
      <w:proofErr w:type="spellEnd"/>
      <w:r w:rsidRPr="00F01C67">
        <w:rPr>
          <w:sz w:val="24"/>
          <w:szCs w:val="24"/>
        </w:rPr>
        <w:t xml:space="preserve"> infektion skal den anden </w:t>
      </w:r>
      <w:proofErr w:type="spellStart"/>
      <w:r w:rsidRPr="00F01C67">
        <w:rPr>
          <w:sz w:val="24"/>
          <w:szCs w:val="24"/>
        </w:rPr>
        <w:t>pantoprazol</w:t>
      </w:r>
      <w:proofErr w:type="spellEnd"/>
      <w:r w:rsidRPr="00F01C67">
        <w:rPr>
          <w:sz w:val="24"/>
          <w:szCs w:val="24"/>
        </w:rPr>
        <w:t xml:space="preserve"> 40 mg tablet indtages 1 time før aftensmåltidet. Kombinationsbehandlingen skal i almindelighed gennemføres i 7 dage, men kan forlænges med yderligere 7 dage til maksimalt 2 uger. Hvis yderligere behandling med </w:t>
      </w:r>
      <w:proofErr w:type="spellStart"/>
      <w:r w:rsidRPr="00F01C67">
        <w:rPr>
          <w:sz w:val="24"/>
          <w:szCs w:val="24"/>
        </w:rPr>
        <w:t>pantoprazol</w:t>
      </w:r>
      <w:proofErr w:type="spellEnd"/>
      <w:r w:rsidRPr="00F01C67">
        <w:rPr>
          <w:sz w:val="24"/>
          <w:szCs w:val="24"/>
        </w:rPr>
        <w:t xml:space="preserve"> er påkrævet for at sikre </w:t>
      </w:r>
      <w:proofErr w:type="spellStart"/>
      <w:r w:rsidRPr="00F01C67">
        <w:rPr>
          <w:sz w:val="24"/>
          <w:szCs w:val="24"/>
        </w:rPr>
        <w:t>opheling</w:t>
      </w:r>
      <w:proofErr w:type="spellEnd"/>
      <w:r w:rsidRPr="00F01C67">
        <w:rPr>
          <w:sz w:val="24"/>
          <w:szCs w:val="24"/>
        </w:rPr>
        <w:t xml:space="preserve"> af ulcus, bør dosisvejledningen for ulcus </w:t>
      </w:r>
      <w:proofErr w:type="spellStart"/>
      <w:r w:rsidRPr="00F01C67">
        <w:rPr>
          <w:sz w:val="24"/>
          <w:szCs w:val="24"/>
        </w:rPr>
        <w:t>duodeni</w:t>
      </w:r>
      <w:proofErr w:type="spellEnd"/>
      <w:r w:rsidRPr="00F01C67">
        <w:rPr>
          <w:sz w:val="24"/>
          <w:szCs w:val="24"/>
        </w:rPr>
        <w:t xml:space="preserve"> og ulcus </w:t>
      </w:r>
      <w:proofErr w:type="spellStart"/>
      <w:r w:rsidRPr="00F01C67">
        <w:rPr>
          <w:sz w:val="24"/>
          <w:szCs w:val="24"/>
        </w:rPr>
        <w:t>ventriculi</w:t>
      </w:r>
      <w:proofErr w:type="spellEnd"/>
      <w:r w:rsidRPr="00F01C67">
        <w:rPr>
          <w:sz w:val="24"/>
          <w:szCs w:val="24"/>
        </w:rPr>
        <w:t xml:space="preserve"> tages i betragtning.</w:t>
      </w:r>
    </w:p>
    <w:p w:rsidR="0074531F" w:rsidRPr="00F01C67" w:rsidRDefault="0074531F" w:rsidP="0074531F">
      <w:pPr>
        <w:ind w:left="851"/>
        <w:rPr>
          <w:sz w:val="24"/>
          <w:szCs w:val="24"/>
        </w:rPr>
      </w:pPr>
    </w:p>
    <w:p w:rsidR="0074531F" w:rsidRPr="00F01C67" w:rsidRDefault="0074531F" w:rsidP="0074531F">
      <w:pPr>
        <w:ind w:left="851"/>
        <w:rPr>
          <w:sz w:val="24"/>
          <w:szCs w:val="24"/>
        </w:rPr>
      </w:pPr>
      <w:r w:rsidRPr="00F01C67">
        <w:rPr>
          <w:sz w:val="24"/>
          <w:szCs w:val="24"/>
        </w:rPr>
        <w:t xml:space="preserve">Hvis kombinationsterapi ikke er en løsning, f.eks. hvis patienten er blevet testet negativ for </w:t>
      </w:r>
      <w:proofErr w:type="spellStart"/>
      <w:r w:rsidRPr="00F01C67">
        <w:rPr>
          <w:i/>
          <w:sz w:val="24"/>
          <w:szCs w:val="24"/>
        </w:rPr>
        <w:t>Helicobacter</w:t>
      </w:r>
      <w:proofErr w:type="spellEnd"/>
      <w:r w:rsidRPr="00F01C67">
        <w:rPr>
          <w:i/>
          <w:sz w:val="24"/>
          <w:szCs w:val="24"/>
        </w:rPr>
        <w:t xml:space="preserve"> </w:t>
      </w:r>
      <w:proofErr w:type="spellStart"/>
      <w:r w:rsidRPr="00F01C67">
        <w:rPr>
          <w:i/>
          <w:sz w:val="24"/>
          <w:szCs w:val="24"/>
        </w:rPr>
        <w:t>pylori</w:t>
      </w:r>
      <w:proofErr w:type="spellEnd"/>
      <w:r w:rsidRPr="00F01C67">
        <w:rPr>
          <w:sz w:val="24"/>
          <w:szCs w:val="24"/>
        </w:rPr>
        <w:t xml:space="preserve">, bør følgende retningslinjer for </w:t>
      </w:r>
      <w:proofErr w:type="spellStart"/>
      <w:r w:rsidRPr="00F01C67">
        <w:rPr>
          <w:sz w:val="24"/>
          <w:szCs w:val="24"/>
        </w:rPr>
        <w:t>pantoprazole</w:t>
      </w:r>
      <w:proofErr w:type="spellEnd"/>
      <w:r w:rsidRPr="00F01C67">
        <w:rPr>
          <w:sz w:val="24"/>
          <w:szCs w:val="24"/>
        </w:rPr>
        <w:t xml:space="preserve"> monoterapi benyttes:</w:t>
      </w:r>
    </w:p>
    <w:p w:rsidR="0074531F" w:rsidRPr="00F01C67" w:rsidRDefault="0074531F" w:rsidP="0074531F">
      <w:pPr>
        <w:ind w:left="851"/>
        <w:rPr>
          <w:sz w:val="24"/>
          <w:szCs w:val="24"/>
        </w:rPr>
      </w:pPr>
    </w:p>
    <w:p w:rsidR="0074531F" w:rsidRPr="00F01C67" w:rsidRDefault="0074531F" w:rsidP="0074531F">
      <w:pPr>
        <w:keepNext/>
        <w:ind w:left="851"/>
        <w:rPr>
          <w:i/>
          <w:sz w:val="24"/>
          <w:szCs w:val="24"/>
        </w:rPr>
      </w:pPr>
      <w:r w:rsidRPr="00F01C67">
        <w:rPr>
          <w:i/>
          <w:sz w:val="24"/>
          <w:szCs w:val="24"/>
        </w:rPr>
        <w:t xml:space="preserve">Behandling af ulcus </w:t>
      </w:r>
      <w:proofErr w:type="spellStart"/>
      <w:r w:rsidRPr="00F01C67">
        <w:rPr>
          <w:i/>
          <w:sz w:val="24"/>
          <w:szCs w:val="24"/>
        </w:rPr>
        <w:t>ventriculi</w:t>
      </w:r>
      <w:proofErr w:type="spellEnd"/>
    </w:p>
    <w:p w:rsidR="0074531F" w:rsidRPr="00F01C67" w:rsidRDefault="00872FA3" w:rsidP="0074531F">
      <w:pPr>
        <w:ind w:left="851"/>
        <w:rPr>
          <w:sz w:val="24"/>
          <w:szCs w:val="24"/>
        </w:rPr>
      </w:pPr>
      <w:r w:rsidRPr="00F01C67">
        <w:rPr>
          <w:sz w:val="24"/>
          <w:szCs w:val="24"/>
        </w:rPr>
        <w:t xml:space="preserve">En 40 mg tablet </w:t>
      </w:r>
      <w:r>
        <w:rPr>
          <w:sz w:val="24"/>
          <w:szCs w:val="24"/>
        </w:rPr>
        <w:t>daglig</w:t>
      </w:r>
      <w:r w:rsidRPr="00F01C67">
        <w:rPr>
          <w:sz w:val="24"/>
          <w:szCs w:val="24"/>
        </w:rPr>
        <w:t>. I individuelle tilfælde kan dosis fordobles (til 2</w:t>
      </w:r>
      <w:r>
        <w:rPr>
          <w:sz w:val="24"/>
          <w:szCs w:val="24"/>
        </w:rPr>
        <w:t> </w:t>
      </w:r>
      <w:r w:rsidRPr="00F01C67">
        <w:rPr>
          <w:sz w:val="24"/>
          <w:szCs w:val="24"/>
        </w:rPr>
        <w:t>tabletter daglig</w:t>
      </w:r>
      <w:r w:rsidR="0074531F" w:rsidRPr="00F01C67">
        <w:rPr>
          <w:sz w:val="24"/>
          <w:szCs w:val="24"/>
        </w:rPr>
        <w:t xml:space="preserve">), specielt til patienter, der ikke har responderet på anden behandling. En 4 ugers behandlingsperiode er normalt nødvendig til behandling af ulcus </w:t>
      </w:r>
      <w:proofErr w:type="spellStart"/>
      <w:r w:rsidR="0074531F" w:rsidRPr="00F01C67">
        <w:rPr>
          <w:sz w:val="24"/>
          <w:szCs w:val="24"/>
        </w:rPr>
        <w:t>ventriculi</w:t>
      </w:r>
      <w:proofErr w:type="spellEnd"/>
      <w:r w:rsidR="0074531F" w:rsidRPr="00F01C67">
        <w:rPr>
          <w:sz w:val="24"/>
          <w:szCs w:val="24"/>
        </w:rPr>
        <w:t>. Hvis dette ikke er tilstrækkeligt, vil symptomlindring sædvanligvis opnås inden for yderligere 4 ugers behandling.</w:t>
      </w:r>
    </w:p>
    <w:p w:rsidR="0074531F" w:rsidRPr="00F01C67" w:rsidRDefault="0074531F" w:rsidP="0074531F">
      <w:pPr>
        <w:ind w:left="851"/>
        <w:rPr>
          <w:sz w:val="24"/>
          <w:szCs w:val="24"/>
        </w:rPr>
      </w:pPr>
    </w:p>
    <w:p w:rsidR="0074531F" w:rsidRPr="00F01C67" w:rsidRDefault="0074531F" w:rsidP="0074531F">
      <w:pPr>
        <w:keepNext/>
        <w:ind w:left="851"/>
        <w:rPr>
          <w:i/>
          <w:sz w:val="24"/>
          <w:szCs w:val="24"/>
        </w:rPr>
      </w:pPr>
      <w:r w:rsidRPr="00F01C67">
        <w:rPr>
          <w:i/>
          <w:sz w:val="24"/>
          <w:szCs w:val="24"/>
        </w:rPr>
        <w:lastRenderedPageBreak/>
        <w:t xml:space="preserve">Behandling af ulcus </w:t>
      </w:r>
      <w:proofErr w:type="spellStart"/>
      <w:r w:rsidRPr="00F01C67">
        <w:rPr>
          <w:i/>
          <w:sz w:val="24"/>
          <w:szCs w:val="24"/>
        </w:rPr>
        <w:t>duodeni</w:t>
      </w:r>
      <w:proofErr w:type="spellEnd"/>
    </w:p>
    <w:p w:rsidR="0074531F" w:rsidRPr="00F01C67" w:rsidRDefault="0074531F" w:rsidP="0074531F">
      <w:pPr>
        <w:ind w:left="851"/>
        <w:rPr>
          <w:sz w:val="24"/>
          <w:szCs w:val="24"/>
        </w:rPr>
      </w:pPr>
      <w:r w:rsidRPr="00F01C67">
        <w:rPr>
          <w:sz w:val="24"/>
          <w:szCs w:val="24"/>
        </w:rPr>
        <w:t xml:space="preserve">En 40 mg tablet </w:t>
      </w:r>
      <w:r>
        <w:rPr>
          <w:sz w:val="24"/>
          <w:szCs w:val="24"/>
        </w:rPr>
        <w:t>daglig</w:t>
      </w:r>
      <w:r w:rsidRPr="00F01C67">
        <w:rPr>
          <w:sz w:val="24"/>
          <w:szCs w:val="24"/>
        </w:rPr>
        <w:t>. I individuelle tilfælde kan dosis fordobles (</w:t>
      </w:r>
      <w:r w:rsidR="00872FA3" w:rsidRPr="00F01C67">
        <w:rPr>
          <w:sz w:val="24"/>
          <w:szCs w:val="24"/>
        </w:rPr>
        <w:t>til 2</w:t>
      </w:r>
      <w:r w:rsidR="00872FA3">
        <w:rPr>
          <w:sz w:val="24"/>
          <w:szCs w:val="24"/>
        </w:rPr>
        <w:t> </w:t>
      </w:r>
      <w:r w:rsidR="00872FA3" w:rsidRPr="00F01C67">
        <w:rPr>
          <w:sz w:val="24"/>
          <w:szCs w:val="24"/>
        </w:rPr>
        <w:t>tabletter daglig</w:t>
      </w:r>
      <w:r w:rsidRPr="00F01C67">
        <w:rPr>
          <w:sz w:val="24"/>
          <w:szCs w:val="24"/>
        </w:rPr>
        <w:t xml:space="preserve">), specielt til patienter, der ikke har responderet på anden behandling. En behandlingsperiode på 2 uger er normalt tilstrækkelig til </w:t>
      </w:r>
      <w:proofErr w:type="spellStart"/>
      <w:r w:rsidRPr="00F01C67">
        <w:rPr>
          <w:sz w:val="24"/>
          <w:szCs w:val="24"/>
        </w:rPr>
        <w:t>opheling</w:t>
      </w:r>
      <w:proofErr w:type="spellEnd"/>
      <w:r w:rsidRPr="00F01C67">
        <w:rPr>
          <w:sz w:val="24"/>
          <w:szCs w:val="24"/>
        </w:rPr>
        <w:t xml:space="preserve"> af </w:t>
      </w:r>
      <w:proofErr w:type="spellStart"/>
      <w:r w:rsidRPr="00F01C67">
        <w:rPr>
          <w:sz w:val="24"/>
          <w:szCs w:val="24"/>
        </w:rPr>
        <w:t>duodenalsår</w:t>
      </w:r>
      <w:proofErr w:type="spellEnd"/>
      <w:r w:rsidRPr="00F01C67">
        <w:rPr>
          <w:sz w:val="24"/>
          <w:szCs w:val="24"/>
        </w:rPr>
        <w:t xml:space="preserve">. Hvis en 2 ugers behandlingsperiode ikke er tilstrækkelig, vil </w:t>
      </w:r>
      <w:proofErr w:type="spellStart"/>
      <w:r w:rsidRPr="00F01C67">
        <w:rPr>
          <w:sz w:val="24"/>
          <w:szCs w:val="24"/>
        </w:rPr>
        <w:t>opheling</w:t>
      </w:r>
      <w:proofErr w:type="spellEnd"/>
      <w:r w:rsidRPr="00F01C67">
        <w:rPr>
          <w:sz w:val="24"/>
          <w:szCs w:val="24"/>
        </w:rPr>
        <w:t xml:space="preserve"> af såret i næsten alle tilfælde opnås inden for yderligere 2 ugers behandling.</w:t>
      </w:r>
    </w:p>
    <w:p w:rsidR="0074531F" w:rsidRPr="00F01C67" w:rsidRDefault="0074531F" w:rsidP="0074531F">
      <w:pPr>
        <w:ind w:left="851"/>
        <w:rPr>
          <w:sz w:val="24"/>
          <w:szCs w:val="24"/>
        </w:rPr>
      </w:pPr>
    </w:p>
    <w:p w:rsidR="0074531F" w:rsidRPr="00F01C67" w:rsidRDefault="0074531F" w:rsidP="0074531F">
      <w:pPr>
        <w:keepNext/>
        <w:ind w:left="851"/>
        <w:rPr>
          <w:i/>
          <w:sz w:val="24"/>
          <w:szCs w:val="24"/>
        </w:rPr>
      </w:pPr>
      <w:proofErr w:type="spellStart"/>
      <w:r w:rsidRPr="00F01C67">
        <w:rPr>
          <w:i/>
          <w:sz w:val="24"/>
          <w:szCs w:val="24"/>
        </w:rPr>
        <w:t>Zollinger</w:t>
      </w:r>
      <w:proofErr w:type="spellEnd"/>
      <w:r w:rsidRPr="00F01C67">
        <w:rPr>
          <w:i/>
          <w:sz w:val="24"/>
          <w:szCs w:val="24"/>
        </w:rPr>
        <w:t>-</w:t>
      </w:r>
      <w:proofErr w:type="spellStart"/>
      <w:r w:rsidRPr="00F01C67">
        <w:rPr>
          <w:i/>
          <w:sz w:val="24"/>
          <w:szCs w:val="24"/>
        </w:rPr>
        <w:t>Ellison</w:t>
      </w:r>
      <w:proofErr w:type="spellEnd"/>
      <w:r w:rsidRPr="00F01C67">
        <w:rPr>
          <w:i/>
          <w:sz w:val="24"/>
          <w:szCs w:val="24"/>
        </w:rPr>
        <w:t xml:space="preserve">-syndrom og andre patologiske, </w:t>
      </w:r>
      <w:proofErr w:type="spellStart"/>
      <w:r w:rsidRPr="00F01C67">
        <w:rPr>
          <w:i/>
          <w:sz w:val="24"/>
          <w:szCs w:val="24"/>
        </w:rPr>
        <w:t>hypersekretoriske</w:t>
      </w:r>
      <w:proofErr w:type="spellEnd"/>
      <w:r w:rsidRPr="00F01C67">
        <w:rPr>
          <w:i/>
          <w:sz w:val="24"/>
          <w:szCs w:val="24"/>
        </w:rPr>
        <w:t xml:space="preserve"> tilstande</w:t>
      </w:r>
    </w:p>
    <w:p w:rsidR="00872FA3" w:rsidRPr="00F01C67" w:rsidRDefault="00872FA3" w:rsidP="00872FA3">
      <w:pPr>
        <w:ind w:left="851"/>
        <w:rPr>
          <w:sz w:val="24"/>
          <w:szCs w:val="24"/>
        </w:rPr>
      </w:pPr>
      <w:r w:rsidRPr="00F01C67">
        <w:rPr>
          <w:sz w:val="24"/>
          <w:szCs w:val="24"/>
        </w:rPr>
        <w:t xml:space="preserve">Til langtidsbehandling af </w:t>
      </w:r>
      <w:proofErr w:type="spellStart"/>
      <w:r w:rsidRPr="00F01C67">
        <w:rPr>
          <w:sz w:val="24"/>
          <w:szCs w:val="24"/>
        </w:rPr>
        <w:t>Zollinger</w:t>
      </w:r>
      <w:proofErr w:type="spellEnd"/>
      <w:r w:rsidRPr="00F01C67">
        <w:rPr>
          <w:sz w:val="24"/>
          <w:szCs w:val="24"/>
        </w:rPr>
        <w:t>-</w:t>
      </w:r>
      <w:proofErr w:type="spellStart"/>
      <w:r w:rsidRPr="00F01C67">
        <w:rPr>
          <w:sz w:val="24"/>
          <w:szCs w:val="24"/>
        </w:rPr>
        <w:t>Ellison</w:t>
      </w:r>
      <w:proofErr w:type="spellEnd"/>
      <w:r w:rsidRPr="00F01C67">
        <w:rPr>
          <w:sz w:val="24"/>
          <w:szCs w:val="24"/>
        </w:rPr>
        <w:t xml:space="preserve">-syndrom og andre patologisk </w:t>
      </w:r>
      <w:proofErr w:type="spellStart"/>
      <w:r w:rsidRPr="00F01C67">
        <w:rPr>
          <w:sz w:val="24"/>
          <w:szCs w:val="24"/>
        </w:rPr>
        <w:t>hypersekretoriske</w:t>
      </w:r>
      <w:proofErr w:type="spellEnd"/>
      <w:r w:rsidRPr="00F01C67">
        <w:rPr>
          <w:sz w:val="24"/>
          <w:szCs w:val="24"/>
        </w:rPr>
        <w:t xml:space="preserve"> tilstande bør patienter begynde behandlingen med 80 mg daglig (to tabletter á 40 mg). Herefter kan dosis titreres op eller ned vejledt af målinger af mavesyresekretionen. Ved doser over 80 mg daglig, bør dosis deles og gives 2</w:t>
      </w:r>
      <w:r>
        <w:rPr>
          <w:sz w:val="24"/>
          <w:szCs w:val="24"/>
        </w:rPr>
        <w:t> </w:t>
      </w:r>
      <w:r w:rsidRPr="00F01C67">
        <w:rPr>
          <w:sz w:val="24"/>
          <w:szCs w:val="24"/>
        </w:rPr>
        <w:t>gange daglig. En midlertidig øgning af dosis til over 160</w:t>
      </w:r>
      <w:r>
        <w:rPr>
          <w:sz w:val="24"/>
          <w:szCs w:val="24"/>
        </w:rPr>
        <w:t> </w:t>
      </w:r>
      <w:r w:rsidRPr="00F01C67">
        <w:rPr>
          <w:sz w:val="24"/>
          <w:szCs w:val="24"/>
        </w:rPr>
        <w:t xml:space="preserve">mg </w:t>
      </w:r>
      <w:proofErr w:type="spellStart"/>
      <w:r w:rsidRPr="00F01C67">
        <w:rPr>
          <w:sz w:val="24"/>
          <w:szCs w:val="24"/>
        </w:rPr>
        <w:t>pantoprazol</w:t>
      </w:r>
      <w:proofErr w:type="spellEnd"/>
      <w:r w:rsidRPr="00F01C67">
        <w:rPr>
          <w:sz w:val="24"/>
          <w:szCs w:val="24"/>
        </w:rPr>
        <w:t xml:space="preserve"> er mulig, men bør ikke opretholdes længere end nødvendigt for opnåelse af tilstrækkelig syrekontrol.</w:t>
      </w:r>
    </w:p>
    <w:p w:rsidR="0074531F" w:rsidRPr="00F01C67" w:rsidRDefault="0074531F" w:rsidP="0074531F">
      <w:pPr>
        <w:ind w:left="851"/>
        <w:rPr>
          <w:sz w:val="24"/>
          <w:szCs w:val="24"/>
        </w:rPr>
      </w:pPr>
    </w:p>
    <w:p w:rsidR="0074531F" w:rsidRPr="00F01C67" w:rsidRDefault="0074531F" w:rsidP="0074531F">
      <w:pPr>
        <w:ind w:left="851"/>
        <w:rPr>
          <w:sz w:val="24"/>
          <w:szCs w:val="24"/>
        </w:rPr>
      </w:pPr>
      <w:r w:rsidRPr="00F01C67">
        <w:rPr>
          <w:sz w:val="24"/>
          <w:szCs w:val="24"/>
        </w:rPr>
        <w:t xml:space="preserve">Behandlingsvarigheden af </w:t>
      </w:r>
      <w:proofErr w:type="spellStart"/>
      <w:r w:rsidRPr="00F01C67">
        <w:rPr>
          <w:sz w:val="24"/>
          <w:szCs w:val="24"/>
        </w:rPr>
        <w:t>Zollinger</w:t>
      </w:r>
      <w:proofErr w:type="spellEnd"/>
      <w:r w:rsidRPr="00F01C67">
        <w:rPr>
          <w:sz w:val="24"/>
          <w:szCs w:val="24"/>
        </w:rPr>
        <w:t>-</w:t>
      </w:r>
      <w:proofErr w:type="spellStart"/>
      <w:r w:rsidRPr="00F01C67">
        <w:rPr>
          <w:sz w:val="24"/>
          <w:szCs w:val="24"/>
        </w:rPr>
        <w:t>Ellison</w:t>
      </w:r>
      <w:proofErr w:type="spellEnd"/>
      <w:r w:rsidRPr="00F01C67">
        <w:rPr>
          <w:sz w:val="24"/>
          <w:szCs w:val="24"/>
        </w:rPr>
        <w:t xml:space="preserve">-syndrom og andre patologisk </w:t>
      </w:r>
      <w:proofErr w:type="spellStart"/>
      <w:r w:rsidRPr="00F01C67">
        <w:rPr>
          <w:sz w:val="24"/>
          <w:szCs w:val="24"/>
        </w:rPr>
        <w:t>hypersekretoriske</w:t>
      </w:r>
      <w:proofErr w:type="spellEnd"/>
      <w:r w:rsidRPr="00F01C67">
        <w:rPr>
          <w:sz w:val="24"/>
          <w:szCs w:val="24"/>
        </w:rPr>
        <w:t xml:space="preserve"> tilstande er ikke begrænset og bør tilpasses det kliniske behov.</w:t>
      </w:r>
    </w:p>
    <w:p w:rsidR="0074531F" w:rsidRPr="00F01C67" w:rsidRDefault="0074531F" w:rsidP="0074531F">
      <w:pPr>
        <w:ind w:left="851"/>
        <w:rPr>
          <w:sz w:val="24"/>
          <w:szCs w:val="24"/>
        </w:rPr>
      </w:pPr>
    </w:p>
    <w:p w:rsidR="0074531F" w:rsidRPr="00E42091" w:rsidRDefault="0074531F" w:rsidP="0074531F">
      <w:pPr>
        <w:keepNext/>
        <w:ind w:left="851"/>
        <w:rPr>
          <w:sz w:val="24"/>
          <w:szCs w:val="24"/>
          <w:u w:val="single"/>
        </w:rPr>
      </w:pPr>
      <w:r w:rsidRPr="00E42091">
        <w:rPr>
          <w:sz w:val="24"/>
          <w:szCs w:val="24"/>
          <w:u w:val="single"/>
        </w:rPr>
        <w:t>Særlige populationer</w:t>
      </w:r>
    </w:p>
    <w:p w:rsidR="0074531F" w:rsidRDefault="0074531F" w:rsidP="0074531F">
      <w:pPr>
        <w:keepNext/>
        <w:ind w:left="851"/>
        <w:rPr>
          <w:iCs/>
          <w:sz w:val="24"/>
          <w:szCs w:val="24"/>
          <w:u w:val="single"/>
        </w:rPr>
      </w:pPr>
    </w:p>
    <w:p w:rsidR="0074531F" w:rsidRPr="00E42091" w:rsidRDefault="0074531F" w:rsidP="0074531F">
      <w:pPr>
        <w:keepNext/>
        <w:ind w:left="851"/>
        <w:rPr>
          <w:i/>
          <w:iCs/>
          <w:sz w:val="24"/>
          <w:szCs w:val="24"/>
        </w:rPr>
      </w:pPr>
      <w:r w:rsidRPr="00E42091">
        <w:rPr>
          <w:i/>
          <w:iCs/>
          <w:sz w:val="24"/>
          <w:szCs w:val="24"/>
        </w:rPr>
        <w:t>Patienter med nedsat leverfunktion</w:t>
      </w:r>
    </w:p>
    <w:p w:rsidR="00872FA3" w:rsidRPr="00F01C67" w:rsidRDefault="00872FA3" w:rsidP="00872FA3">
      <w:pPr>
        <w:ind w:left="851"/>
        <w:rPr>
          <w:sz w:val="24"/>
          <w:szCs w:val="24"/>
        </w:rPr>
      </w:pPr>
      <w:r w:rsidRPr="00F01C67">
        <w:rPr>
          <w:sz w:val="24"/>
          <w:szCs w:val="24"/>
        </w:rPr>
        <w:t xml:space="preserve">En daglig dosis på 20 mg </w:t>
      </w:r>
      <w:proofErr w:type="spellStart"/>
      <w:r w:rsidRPr="00F01C67">
        <w:rPr>
          <w:sz w:val="24"/>
          <w:szCs w:val="24"/>
        </w:rPr>
        <w:t>pantoprazol</w:t>
      </w:r>
      <w:proofErr w:type="spellEnd"/>
      <w:r w:rsidRPr="00F01C67">
        <w:rPr>
          <w:sz w:val="24"/>
          <w:szCs w:val="24"/>
        </w:rPr>
        <w:t xml:space="preserve"> </w:t>
      </w:r>
      <w:r>
        <w:rPr>
          <w:sz w:val="24"/>
          <w:szCs w:val="24"/>
        </w:rPr>
        <w:t xml:space="preserve">(1 tablet </w:t>
      </w:r>
      <w:proofErr w:type="spellStart"/>
      <w:r>
        <w:rPr>
          <w:sz w:val="24"/>
          <w:szCs w:val="24"/>
        </w:rPr>
        <w:t>pantoprazol</w:t>
      </w:r>
      <w:proofErr w:type="spellEnd"/>
      <w:r>
        <w:rPr>
          <w:sz w:val="24"/>
          <w:szCs w:val="24"/>
        </w:rPr>
        <w:t xml:space="preserve"> 20 mg) </w:t>
      </w:r>
      <w:r w:rsidRPr="00F01C67">
        <w:rPr>
          <w:sz w:val="24"/>
          <w:szCs w:val="24"/>
        </w:rPr>
        <w:t>bør ikke overskrides til patienter med stærkt nedsat leverfunktion (se pkt.</w:t>
      </w:r>
      <w:r>
        <w:rPr>
          <w:sz w:val="24"/>
          <w:szCs w:val="24"/>
        </w:rPr>
        <w:t> </w:t>
      </w:r>
      <w:r w:rsidRPr="00F01C67">
        <w:rPr>
          <w:sz w:val="24"/>
          <w:szCs w:val="24"/>
        </w:rPr>
        <w:t>4.4).</w:t>
      </w:r>
    </w:p>
    <w:p w:rsidR="00872FA3" w:rsidRPr="00F01C67" w:rsidRDefault="00872FA3" w:rsidP="00872FA3">
      <w:pPr>
        <w:ind w:left="851"/>
        <w:rPr>
          <w:sz w:val="24"/>
          <w:szCs w:val="24"/>
        </w:rPr>
      </w:pPr>
    </w:p>
    <w:p w:rsidR="00872FA3" w:rsidRPr="00F01C67" w:rsidRDefault="00872FA3" w:rsidP="00872FA3">
      <w:pPr>
        <w:ind w:left="851"/>
        <w:rPr>
          <w:sz w:val="24"/>
          <w:szCs w:val="24"/>
        </w:rPr>
      </w:pPr>
      <w:proofErr w:type="spellStart"/>
      <w:r>
        <w:rPr>
          <w:sz w:val="24"/>
          <w:szCs w:val="24"/>
        </w:rPr>
        <w:t>Pantoprazol</w:t>
      </w:r>
      <w:proofErr w:type="spellEnd"/>
      <w:r>
        <w:rPr>
          <w:sz w:val="24"/>
          <w:szCs w:val="24"/>
        </w:rPr>
        <w:t xml:space="preserve"> "Orion"</w:t>
      </w:r>
      <w:r w:rsidRPr="00F01C67">
        <w:rPr>
          <w:sz w:val="24"/>
          <w:szCs w:val="24"/>
        </w:rPr>
        <w:t xml:space="preserve"> 40 mg må ikke anvendes ved kombinationsbehandling med henblik på </w:t>
      </w:r>
      <w:proofErr w:type="spellStart"/>
      <w:r w:rsidRPr="00F01C67">
        <w:rPr>
          <w:sz w:val="24"/>
          <w:szCs w:val="24"/>
        </w:rPr>
        <w:t>eradikation</w:t>
      </w:r>
      <w:proofErr w:type="spellEnd"/>
      <w:r w:rsidRPr="00F01C67">
        <w:rPr>
          <w:sz w:val="24"/>
          <w:szCs w:val="24"/>
        </w:rPr>
        <w:t xml:space="preserve"> af </w:t>
      </w:r>
      <w:proofErr w:type="spellStart"/>
      <w:r w:rsidRPr="00F01C67">
        <w:rPr>
          <w:i/>
          <w:sz w:val="24"/>
          <w:szCs w:val="24"/>
        </w:rPr>
        <w:t>Helicobacter</w:t>
      </w:r>
      <w:proofErr w:type="spellEnd"/>
      <w:r w:rsidRPr="00F01C67">
        <w:rPr>
          <w:i/>
          <w:sz w:val="24"/>
          <w:szCs w:val="24"/>
        </w:rPr>
        <w:t xml:space="preserve"> </w:t>
      </w:r>
      <w:proofErr w:type="spellStart"/>
      <w:r w:rsidRPr="00F01C67">
        <w:rPr>
          <w:i/>
          <w:sz w:val="24"/>
          <w:szCs w:val="24"/>
        </w:rPr>
        <w:t>pylori</w:t>
      </w:r>
      <w:proofErr w:type="spellEnd"/>
      <w:r w:rsidRPr="00F01C67">
        <w:rPr>
          <w:sz w:val="24"/>
          <w:szCs w:val="24"/>
        </w:rPr>
        <w:t xml:space="preserve"> hos patienter med moderat til svær nedsat leverfunktion, da der på nuværende tidspunkt ikke foreligger data for sikkerhed og virkning af </w:t>
      </w:r>
      <w:proofErr w:type="spellStart"/>
      <w:r w:rsidRPr="00F01C67">
        <w:rPr>
          <w:sz w:val="24"/>
          <w:szCs w:val="24"/>
        </w:rPr>
        <w:t>pantoprazol</w:t>
      </w:r>
      <w:proofErr w:type="spellEnd"/>
      <w:r w:rsidRPr="00F01C67">
        <w:rPr>
          <w:sz w:val="24"/>
          <w:szCs w:val="24"/>
        </w:rPr>
        <w:t xml:space="preserve"> ved kombinationsbehandling til disse patienter (se pkt.</w:t>
      </w:r>
      <w:r>
        <w:rPr>
          <w:sz w:val="24"/>
          <w:szCs w:val="24"/>
        </w:rPr>
        <w:t> </w:t>
      </w:r>
      <w:r w:rsidRPr="00F01C67">
        <w:rPr>
          <w:sz w:val="24"/>
          <w:szCs w:val="24"/>
        </w:rPr>
        <w:t xml:space="preserve">4.4). </w:t>
      </w:r>
    </w:p>
    <w:p w:rsidR="00872FA3" w:rsidRPr="00F01C67" w:rsidRDefault="00872FA3" w:rsidP="00872FA3">
      <w:pPr>
        <w:ind w:left="851"/>
        <w:rPr>
          <w:sz w:val="24"/>
          <w:szCs w:val="24"/>
        </w:rPr>
      </w:pPr>
    </w:p>
    <w:p w:rsidR="00872FA3" w:rsidRPr="00E42091" w:rsidRDefault="00872FA3" w:rsidP="00872FA3">
      <w:pPr>
        <w:keepNext/>
        <w:ind w:left="851"/>
        <w:rPr>
          <w:i/>
          <w:iCs/>
          <w:sz w:val="24"/>
          <w:szCs w:val="24"/>
        </w:rPr>
      </w:pPr>
      <w:r w:rsidRPr="00E42091">
        <w:rPr>
          <w:i/>
          <w:iCs/>
          <w:sz w:val="24"/>
          <w:szCs w:val="24"/>
        </w:rPr>
        <w:t>Patienter med nedsat nyrefunktion</w:t>
      </w:r>
    </w:p>
    <w:p w:rsidR="00872FA3" w:rsidRPr="00F01C67" w:rsidRDefault="00872FA3" w:rsidP="00872FA3">
      <w:pPr>
        <w:ind w:left="851"/>
        <w:rPr>
          <w:sz w:val="24"/>
          <w:szCs w:val="24"/>
        </w:rPr>
      </w:pPr>
      <w:r w:rsidRPr="00F01C67">
        <w:rPr>
          <w:sz w:val="24"/>
          <w:szCs w:val="24"/>
        </w:rPr>
        <w:t>Dosisjustering er ikke nødvendig hos patienter med nedsat nyrefunktion (se pkt. 5.2).</w:t>
      </w:r>
    </w:p>
    <w:p w:rsidR="00872FA3" w:rsidRPr="00F01C67" w:rsidRDefault="00872FA3" w:rsidP="00872FA3">
      <w:pPr>
        <w:ind w:left="851"/>
        <w:rPr>
          <w:sz w:val="24"/>
          <w:szCs w:val="24"/>
        </w:rPr>
      </w:pPr>
    </w:p>
    <w:p w:rsidR="00872FA3" w:rsidRPr="00F01C67" w:rsidRDefault="00872FA3" w:rsidP="00872FA3">
      <w:pPr>
        <w:ind w:left="851"/>
        <w:rPr>
          <w:sz w:val="24"/>
          <w:szCs w:val="24"/>
        </w:rPr>
      </w:pPr>
      <w:proofErr w:type="spellStart"/>
      <w:r>
        <w:rPr>
          <w:sz w:val="24"/>
          <w:szCs w:val="24"/>
        </w:rPr>
        <w:t>Pantoprazol</w:t>
      </w:r>
      <w:proofErr w:type="spellEnd"/>
      <w:r>
        <w:rPr>
          <w:sz w:val="24"/>
          <w:szCs w:val="24"/>
        </w:rPr>
        <w:t xml:space="preserve"> "Orion"</w:t>
      </w:r>
      <w:r w:rsidRPr="00F01C67">
        <w:rPr>
          <w:sz w:val="24"/>
          <w:szCs w:val="24"/>
        </w:rPr>
        <w:t xml:space="preserve"> 40 mg må ikke anvendes ved kombinationsbehandling med henblik på </w:t>
      </w:r>
      <w:proofErr w:type="spellStart"/>
      <w:r w:rsidRPr="00F01C67">
        <w:rPr>
          <w:sz w:val="24"/>
          <w:szCs w:val="24"/>
        </w:rPr>
        <w:t>eradikation</w:t>
      </w:r>
      <w:proofErr w:type="spellEnd"/>
      <w:r w:rsidRPr="00F01C67">
        <w:rPr>
          <w:sz w:val="24"/>
          <w:szCs w:val="24"/>
        </w:rPr>
        <w:t xml:space="preserve"> af </w:t>
      </w:r>
      <w:proofErr w:type="spellStart"/>
      <w:r w:rsidRPr="00F01C67">
        <w:rPr>
          <w:i/>
          <w:sz w:val="24"/>
          <w:szCs w:val="24"/>
        </w:rPr>
        <w:t>Helicobacter</w:t>
      </w:r>
      <w:proofErr w:type="spellEnd"/>
      <w:r w:rsidRPr="00F01C67">
        <w:rPr>
          <w:i/>
          <w:sz w:val="24"/>
          <w:szCs w:val="24"/>
        </w:rPr>
        <w:t xml:space="preserve"> </w:t>
      </w:r>
      <w:proofErr w:type="spellStart"/>
      <w:r w:rsidRPr="00F01C67">
        <w:rPr>
          <w:i/>
          <w:sz w:val="24"/>
          <w:szCs w:val="24"/>
        </w:rPr>
        <w:t>pylori</w:t>
      </w:r>
      <w:proofErr w:type="spellEnd"/>
      <w:r w:rsidRPr="00F01C67">
        <w:rPr>
          <w:sz w:val="24"/>
          <w:szCs w:val="24"/>
        </w:rPr>
        <w:t xml:space="preserve"> hos patienter med nedsat nyrefunktion, da der på nuværende tidspunkt ikke foreligger data for sikkerhed og virkning af </w:t>
      </w:r>
      <w:proofErr w:type="spellStart"/>
      <w:r w:rsidRPr="00F01C67">
        <w:rPr>
          <w:sz w:val="24"/>
          <w:szCs w:val="24"/>
        </w:rPr>
        <w:t>pantoprazol</w:t>
      </w:r>
      <w:proofErr w:type="spellEnd"/>
      <w:r w:rsidRPr="00F01C67">
        <w:rPr>
          <w:sz w:val="24"/>
          <w:szCs w:val="24"/>
        </w:rPr>
        <w:t xml:space="preserve"> ved kombinationsbehandling til disse patienter (se pkt.</w:t>
      </w:r>
      <w:r>
        <w:rPr>
          <w:sz w:val="24"/>
          <w:szCs w:val="24"/>
        </w:rPr>
        <w:t> </w:t>
      </w:r>
      <w:r w:rsidRPr="00F01C67">
        <w:rPr>
          <w:sz w:val="24"/>
          <w:szCs w:val="24"/>
        </w:rPr>
        <w:t>5.2).</w:t>
      </w:r>
    </w:p>
    <w:p w:rsidR="00872FA3" w:rsidRPr="00F01C67" w:rsidRDefault="00872FA3" w:rsidP="00872FA3">
      <w:pPr>
        <w:ind w:left="851"/>
        <w:rPr>
          <w:sz w:val="24"/>
          <w:szCs w:val="24"/>
        </w:rPr>
      </w:pPr>
    </w:p>
    <w:p w:rsidR="00872FA3" w:rsidRPr="00E42091" w:rsidRDefault="00872FA3" w:rsidP="00872FA3">
      <w:pPr>
        <w:keepNext/>
        <w:ind w:left="851"/>
        <w:rPr>
          <w:i/>
          <w:iCs/>
          <w:sz w:val="24"/>
          <w:szCs w:val="24"/>
        </w:rPr>
      </w:pPr>
      <w:r w:rsidRPr="00E42091">
        <w:rPr>
          <w:i/>
          <w:iCs/>
          <w:sz w:val="24"/>
          <w:szCs w:val="24"/>
        </w:rPr>
        <w:t>Ældre</w:t>
      </w:r>
    </w:p>
    <w:p w:rsidR="00872FA3" w:rsidRPr="00F01C67" w:rsidRDefault="00872FA3" w:rsidP="00872FA3">
      <w:pPr>
        <w:ind w:left="851"/>
        <w:rPr>
          <w:sz w:val="24"/>
          <w:szCs w:val="24"/>
        </w:rPr>
      </w:pPr>
      <w:r w:rsidRPr="00F01C67">
        <w:rPr>
          <w:sz w:val="24"/>
          <w:szCs w:val="24"/>
        </w:rPr>
        <w:t xml:space="preserve">Dosisjustering er ikke nødvendig hos </w:t>
      </w:r>
      <w:r>
        <w:rPr>
          <w:sz w:val="24"/>
          <w:szCs w:val="24"/>
        </w:rPr>
        <w:t>ældre</w:t>
      </w:r>
      <w:r w:rsidRPr="00F01C67">
        <w:rPr>
          <w:sz w:val="24"/>
          <w:szCs w:val="24"/>
        </w:rPr>
        <w:t xml:space="preserve"> (se pkt. 5.2).</w:t>
      </w:r>
    </w:p>
    <w:p w:rsidR="00872FA3" w:rsidRPr="00F01C67" w:rsidRDefault="00872FA3" w:rsidP="00872FA3">
      <w:pPr>
        <w:ind w:left="851"/>
        <w:rPr>
          <w:sz w:val="24"/>
          <w:szCs w:val="24"/>
        </w:rPr>
      </w:pPr>
    </w:p>
    <w:p w:rsidR="00872FA3" w:rsidRPr="00E42091" w:rsidRDefault="00872FA3" w:rsidP="00872FA3">
      <w:pPr>
        <w:keepNext/>
        <w:ind w:left="851"/>
        <w:rPr>
          <w:i/>
          <w:iCs/>
          <w:sz w:val="24"/>
          <w:szCs w:val="24"/>
        </w:rPr>
      </w:pPr>
      <w:r w:rsidRPr="00E42091">
        <w:rPr>
          <w:i/>
          <w:iCs/>
          <w:sz w:val="24"/>
          <w:szCs w:val="24"/>
        </w:rPr>
        <w:t>Pædiatrisk population</w:t>
      </w:r>
    </w:p>
    <w:p w:rsidR="00872FA3" w:rsidRPr="00F01C67" w:rsidRDefault="00872FA3" w:rsidP="00872FA3">
      <w:pPr>
        <w:ind w:left="851"/>
        <w:rPr>
          <w:sz w:val="24"/>
          <w:szCs w:val="24"/>
        </w:rPr>
      </w:pPr>
      <w:proofErr w:type="spellStart"/>
      <w:r>
        <w:rPr>
          <w:sz w:val="24"/>
          <w:szCs w:val="24"/>
        </w:rPr>
        <w:t>Pantoprazol</w:t>
      </w:r>
      <w:proofErr w:type="spellEnd"/>
      <w:r>
        <w:rPr>
          <w:sz w:val="24"/>
          <w:szCs w:val="24"/>
        </w:rPr>
        <w:t xml:space="preserve"> "Orion"</w:t>
      </w:r>
      <w:r w:rsidRPr="00F01C67">
        <w:rPr>
          <w:sz w:val="24"/>
          <w:szCs w:val="24"/>
        </w:rPr>
        <w:t xml:space="preserve"> bør ikke anvendes til børn under 12 år på grund af utilstrækkelig dokumentation for sikkerhed og virkning i denne aldersgruppe (se pkt.</w:t>
      </w:r>
      <w:r>
        <w:rPr>
          <w:sz w:val="24"/>
          <w:szCs w:val="24"/>
        </w:rPr>
        <w:t> </w:t>
      </w:r>
      <w:r w:rsidRPr="00F01C67">
        <w:rPr>
          <w:sz w:val="24"/>
          <w:szCs w:val="24"/>
        </w:rPr>
        <w:t>5.2).</w:t>
      </w:r>
    </w:p>
    <w:p w:rsidR="0074531F" w:rsidRPr="00F01C67" w:rsidRDefault="0074531F" w:rsidP="0074531F">
      <w:pPr>
        <w:ind w:left="851"/>
        <w:rPr>
          <w:sz w:val="24"/>
          <w:szCs w:val="24"/>
        </w:rPr>
      </w:pPr>
    </w:p>
    <w:p w:rsidR="0074531F" w:rsidRPr="00F01C67" w:rsidRDefault="0074531F" w:rsidP="0074531F">
      <w:pPr>
        <w:keepNext/>
        <w:ind w:left="851"/>
        <w:rPr>
          <w:b/>
          <w:sz w:val="24"/>
          <w:szCs w:val="24"/>
        </w:rPr>
      </w:pPr>
      <w:r w:rsidRPr="00F01C67">
        <w:rPr>
          <w:b/>
          <w:sz w:val="24"/>
          <w:szCs w:val="24"/>
        </w:rPr>
        <w:t>Administration</w:t>
      </w:r>
    </w:p>
    <w:p w:rsidR="0074531F" w:rsidRPr="00F01C67" w:rsidRDefault="0074531F" w:rsidP="0074531F">
      <w:pPr>
        <w:ind w:left="851"/>
        <w:rPr>
          <w:sz w:val="24"/>
          <w:szCs w:val="24"/>
        </w:rPr>
      </w:pPr>
      <w:r w:rsidRPr="00F01C67">
        <w:rPr>
          <w:sz w:val="24"/>
          <w:szCs w:val="24"/>
        </w:rPr>
        <w:t>Oral anvendelse.</w:t>
      </w:r>
    </w:p>
    <w:p w:rsidR="0074531F" w:rsidRPr="00F01C67" w:rsidRDefault="0074531F" w:rsidP="0074531F">
      <w:pPr>
        <w:ind w:left="851"/>
        <w:rPr>
          <w:sz w:val="24"/>
          <w:szCs w:val="24"/>
        </w:rPr>
      </w:pPr>
      <w:r w:rsidRPr="00F01C67">
        <w:rPr>
          <w:sz w:val="24"/>
          <w:szCs w:val="24"/>
        </w:rPr>
        <w:t xml:space="preserve">Tabletterne må ikke tygges eller </w:t>
      </w:r>
      <w:r w:rsidR="00312801">
        <w:rPr>
          <w:sz w:val="24"/>
          <w:szCs w:val="24"/>
        </w:rPr>
        <w:t>knuses, men skal</w:t>
      </w:r>
      <w:r w:rsidRPr="00F01C67">
        <w:rPr>
          <w:sz w:val="24"/>
          <w:szCs w:val="24"/>
        </w:rPr>
        <w:t xml:space="preserve"> sluges hele med vand en time før et måltid.</w:t>
      </w:r>
    </w:p>
    <w:p w:rsidR="0074531F" w:rsidRPr="00C84483" w:rsidRDefault="0074531F" w:rsidP="0074531F">
      <w:pPr>
        <w:tabs>
          <w:tab w:val="left" w:pos="851"/>
        </w:tabs>
        <w:ind w:left="851" w:hanging="851"/>
        <w:rPr>
          <w:b/>
          <w:sz w:val="24"/>
          <w:szCs w:val="24"/>
        </w:rPr>
      </w:pPr>
    </w:p>
    <w:p w:rsidR="0074531F" w:rsidRPr="00C84483" w:rsidRDefault="0074531F" w:rsidP="00312801">
      <w:pPr>
        <w:keepNext/>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872FA3" w:rsidRPr="00C84483" w:rsidRDefault="00872FA3" w:rsidP="00872FA3">
      <w:pPr>
        <w:ind w:left="851"/>
        <w:rPr>
          <w:sz w:val="24"/>
          <w:szCs w:val="24"/>
        </w:rPr>
      </w:pPr>
      <w:r w:rsidRPr="002B5638">
        <w:rPr>
          <w:sz w:val="24"/>
          <w:szCs w:val="24"/>
        </w:rPr>
        <w:t xml:space="preserve">Overfølsomhed over for det aktive stof, substituerede </w:t>
      </w:r>
      <w:proofErr w:type="spellStart"/>
      <w:r w:rsidRPr="002B5638">
        <w:rPr>
          <w:sz w:val="24"/>
          <w:szCs w:val="24"/>
        </w:rPr>
        <w:t>benzimidazoler</w:t>
      </w:r>
      <w:proofErr w:type="spellEnd"/>
      <w:r w:rsidRPr="002B5638">
        <w:rPr>
          <w:sz w:val="24"/>
          <w:szCs w:val="24"/>
        </w:rPr>
        <w:t xml:space="preserve"> eller over for et eller flere af hjælpestofferne anført i pkt.</w:t>
      </w:r>
      <w:r>
        <w:rPr>
          <w:sz w:val="24"/>
          <w:szCs w:val="24"/>
        </w:rPr>
        <w:t> </w:t>
      </w:r>
      <w:r w:rsidRPr="002B5638">
        <w:rPr>
          <w:sz w:val="24"/>
          <w:szCs w:val="24"/>
        </w:rPr>
        <w:t>6.1.</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4531F" w:rsidRDefault="0074531F" w:rsidP="0074531F">
      <w:pPr>
        <w:keepNext/>
        <w:ind w:left="851"/>
        <w:rPr>
          <w:iCs/>
          <w:sz w:val="24"/>
          <w:szCs w:val="24"/>
          <w:u w:val="single"/>
        </w:rPr>
      </w:pPr>
    </w:p>
    <w:p w:rsidR="0074531F" w:rsidRPr="002B5638" w:rsidRDefault="0074531F" w:rsidP="0074531F">
      <w:pPr>
        <w:keepNext/>
        <w:ind w:left="851"/>
        <w:rPr>
          <w:iCs/>
          <w:sz w:val="24"/>
          <w:szCs w:val="24"/>
          <w:u w:val="single"/>
        </w:rPr>
      </w:pPr>
      <w:r w:rsidRPr="002B5638">
        <w:rPr>
          <w:iCs/>
          <w:sz w:val="24"/>
          <w:szCs w:val="24"/>
          <w:u w:val="single"/>
        </w:rPr>
        <w:t>Nedsat leverfunktion</w:t>
      </w:r>
    </w:p>
    <w:p w:rsidR="0074531F" w:rsidRPr="002B5638" w:rsidRDefault="0074531F" w:rsidP="0074531F">
      <w:pPr>
        <w:ind w:left="851"/>
        <w:rPr>
          <w:sz w:val="24"/>
          <w:szCs w:val="24"/>
        </w:rPr>
      </w:pPr>
      <w:r w:rsidRPr="002B5638">
        <w:rPr>
          <w:sz w:val="24"/>
          <w:szCs w:val="24"/>
        </w:rPr>
        <w:t xml:space="preserve">Hos patienter med svært nedsat leverfunktion bør leverenzymerne monitoreres regelmæssigt under behandling med </w:t>
      </w:r>
      <w:proofErr w:type="spellStart"/>
      <w:r w:rsidRPr="002B5638">
        <w:rPr>
          <w:sz w:val="24"/>
          <w:szCs w:val="24"/>
        </w:rPr>
        <w:t>pantoprazol</w:t>
      </w:r>
      <w:proofErr w:type="spellEnd"/>
      <w:r w:rsidRPr="002B5638">
        <w:rPr>
          <w:sz w:val="24"/>
          <w:szCs w:val="24"/>
        </w:rPr>
        <w:t xml:space="preserve">, især ved langtidsbehandling. I tilfælde af stigning i leverenzymværdierne bør behandlingen med </w:t>
      </w:r>
      <w:proofErr w:type="spellStart"/>
      <w:r w:rsidRPr="002B5638">
        <w:rPr>
          <w:sz w:val="24"/>
          <w:szCs w:val="24"/>
        </w:rPr>
        <w:t>pantoprazol</w:t>
      </w:r>
      <w:proofErr w:type="spellEnd"/>
      <w:r w:rsidRPr="002B5638">
        <w:rPr>
          <w:sz w:val="24"/>
          <w:szCs w:val="24"/>
        </w:rPr>
        <w:t xml:space="preserve"> afbrydes (</w:t>
      </w:r>
      <w:r w:rsidR="00872FA3" w:rsidRPr="002B5638">
        <w:rPr>
          <w:sz w:val="24"/>
          <w:szCs w:val="24"/>
        </w:rPr>
        <w:t>se pkt.</w:t>
      </w:r>
      <w:r w:rsidR="00872FA3">
        <w:rPr>
          <w:sz w:val="24"/>
          <w:szCs w:val="24"/>
        </w:rPr>
        <w:t> </w:t>
      </w:r>
      <w:r w:rsidR="00872FA3" w:rsidRPr="002B5638">
        <w:rPr>
          <w:sz w:val="24"/>
          <w:szCs w:val="24"/>
        </w:rPr>
        <w:t>4.2</w:t>
      </w:r>
      <w:r w:rsidRPr="002B5638">
        <w:rPr>
          <w:sz w:val="24"/>
          <w:szCs w:val="24"/>
        </w:rPr>
        <w:t>).</w:t>
      </w:r>
    </w:p>
    <w:p w:rsidR="0074531F" w:rsidRPr="002B5638" w:rsidRDefault="0074531F" w:rsidP="0074531F">
      <w:pPr>
        <w:ind w:left="851"/>
        <w:rPr>
          <w:sz w:val="24"/>
          <w:szCs w:val="24"/>
        </w:rPr>
      </w:pPr>
    </w:p>
    <w:p w:rsidR="0074531F" w:rsidRPr="00CB554F" w:rsidRDefault="0074531F" w:rsidP="0074531F">
      <w:pPr>
        <w:pStyle w:val="Sidehoved"/>
        <w:tabs>
          <w:tab w:val="clear" w:pos="4819"/>
          <w:tab w:val="clear" w:pos="9638"/>
          <w:tab w:val="left" w:pos="0"/>
          <w:tab w:val="left" w:pos="851"/>
          <w:tab w:val="left" w:pos="2097"/>
          <w:tab w:val="left" w:pos="3675"/>
        </w:tabs>
        <w:ind w:left="850"/>
        <w:rPr>
          <w:rStyle w:val="hps"/>
          <w:color w:val="222222"/>
        </w:rPr>
      </w:pPr>
      <w:r w:rsidRPr="002661C3">
        <w:rPr>
          <w:rStyle w:val="hps"/>
          <w:color w:val="222222"/>
          <w:u w:val="single"/>
        </w:rPr>
        <w:t>Kombinationsbehandling</w:t>
      </w:r>
    </w:p>
    <w:p w:rsidR="0074531F" w:rsidRPr="008D0571" w:rsidRDefault="0074531F" w:rsidP="0074531F">
      <w:pPr>
        <w:pStyle w:val="Sidehoved"/>
        <w:tabs>
          <w:tab w:val="left" w:pos="0"/>
          <w:tab w:val="left" w:pos="851"/>
          <w:tab w:val="left" w:pos="2097"/>
          <w:tab w:val="left" w:pos="3403"/>
          <w:tab w:val="left" w:pos="4253"/>
          <w:tab w:val="left" w:pos="5103"/>
          <w:tab w:val="left" w:pos="5953"/>
          <w:tab w:val="left" w:pos="6803"/>
          <w:tab w:val="left" w:pos="7653"/>
          <w:tab w:val="left" w:pos="8503"/>
        </w:tabs>
        <w:ind w:left="850"/>
        <w:rPr>
          <w:rStyle w:val="hps"/>
          <w:color w:val="222222"/>
        </w:rPr>
      </w:pPr>
      <w:r w:rsidRPr="008D0571">
        <w:rPr>
          <w:rStyle w:val="hps"/>
          <w:color w:val="222222"/>
        </w:rPr>
        <w:t>I tilfælde af</w:t>
      </w:r>
      <w:r w:rsidRPr="008D0571">
        <w:rPr>
          <w:color w:val="222222"/>
        </w:rPr>
        <w:t xml:space="preserve"> </w:t>
      </w:r>
      <w:r w:rsidRPr="008D0571">
        <w:rPr>
          <w:rStyle w:val="hps"/>
          <w:color w:val="222222"/>
        </w:rPr>
        <w:t>kombinationsbehandling</w:t>
      </w:r>
      <w:r w:rsidRPr="008D0571">
        <w:rPr>
          <w:color w:val="222222"/>
        </w:rPr>
        <w:t xml:space="preserve"> </w:t>
      </w:r>
      <w:r w:rsidRPr="008D0571">
        <w:rPr>
          <w:rStyle w:val="hps"/>
          <w:color w:val="222222"/>
        </w:rPr>
        <w:t>bør produktresum</w:t>
      </w:r>
      <w:r>
        <w:rPr>
          <w:rStyle w:val="hps"/>
          <w:color w:val="222222"/>
        </w:rPr>
        <w:t>éerne for de respektive lægemidler o</w:t>
      </w:r>
      <w:r w:rsidRPr="008D0571">
        <w:rPr>
          <w:rStyle w:val="hps"/>
          <w:color w:val="222222"/>
        </w:rPr>
        <w:t>verholdes</w:t>
      </w:r>
      <w:r>
        <w:rPr>
          <w:rStyle w:val="hps"/>
          <w:color w:val="222222"/>
        </w:rPr>
        <w:t>.</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r w:rsidRPr="002B5638">
        <w:rPr>
          <w:iCs/>
          <w:sz w:val="24"/>
          <w:szCs w:val="24"/>
          <w:u w:val="single"/>
        </w:rPr>
        <w:t xml:space="preserve">Gastrisk </w:t>
      </w:r>
      <w:proofErr w:type="spellStart"/>
      <w:r w:rsidRPr="002B5638">
        <w:rPr>
          <w:iCs/>
          <w:sz w:val="24"/>
          <w:szCs w:val="24"/>
          <w:u w:val="single"/>
        </w:rPr>
        <w:t>malignitet</w:t>
      </w:r>
      <w:proofErr w:type="spellEnd"/>
    </w:p>
    <w:p w:rsidR="0074531F" w:rsidRPr="002B5638" w:rsidRDefault="0074531F" w:rsidP="0074531F">
      <w:pPr>
        <w:ind w:left="851"/>
        <w:rPr>
          <w:sz w:val="24"/>
          <w:szCs w:val="24"/>
        </w:rPr>
      </w:pPr>
      <w:r w:rsidRPr="002B5638">
        <w:rPr>
          <w:sz w:val="24"/>
          <w:szCs w:val="24"/>
        </w:rPr>
        <w:t xml:space="preserve">Symptomatisk reaktion på </w:t>
      </w:r>
      <w:proofErr w:type="spellStart"/>
      <w:r w:rsidRPr="002B5638">
        <w:rPr>
          <w:sz w:val="24"/>
          <w:szCs w:val="24"/>
        </w:rPr>
        <w:t>pantoprazol</w:t>
      </w:r>
      <w:proofErr w:type="spellEnd"/>
      <w:r w:rsidRPr="002B5638">
        <w:rPr>
          <w:sz w:val="24"/>
          <w:szCs w:val="24"/>
        </w:rPr>
        <w:t xml:space="preserve"> kan maskere symptomerne på gastrisk </w:t>
      </w:r>
      <w:proofErr w:type="spellStart"/>
      <w:r w:rsidRPr="002B5638">
        <w:rPr>
          <w:sz w:val="24"/>
          <w:szCs w:val="24"/>
        </w:rPr>
        <w:t>malignitet</w:t>
      </w:r>
      <w:proofErr w:type="spellEnd"/>
      <w:r w:rsidRPr="002B5638">
        <w:rPr>
          <w:sz w:val="24"/>
          <w:szCs w:val="24"/>
        </w:rPr>
        <w:t xml:space="preserve"> og kan forsinke diagnosen. Hvis der, samtidig med mistænkt eller kendt ulcus, ses et eller flere alarmsymptomer (f.eks. signifikant utilsigtet vægttab, tilbagevendende opkastning, </w:t>
      </w:r>
      <w:proofErr w:type="spellStart"/>
      <w:r w:rsidRPr="002B5638">
        <w:rPr>
          <w:sz w:val="24"/>
          <w:szCs w:val="24"/>
        </w:rPr>
        <w:t>dysfagi</w:t>
      </w:r>
      <w:proofErr w:type="spellEnd"/>
      <w:r w:rsidRPr="002B5638">
        <w:rPr>
          <w:sz w:val="24"/>
          <w:szCs w:val="24"/>
        </w:rPr>
        <w:t xml:space="preserve">, </w:t>
      </w:r>
      <w:proofErr w:type="spellStart"/>
      <w:r w:rsidRPr="002B5638">
        <w:rPr>
          <w:sz w:val="24"/>
          <w:szCs w:val="24"/>
        </w:rPr>
        <w:t>hæmatemese</w:t>
      </w:r>
      <w:proofErr w:type="spellEnd"/>
      <w:r w:rsidRPr="002B5638">
        <w:rPr>
          <w:sz w:val="24"/>
          <w:szCs w:val="24"/>
        </w:rPr>
        <w:t xml:space="preserve">, anæmi eller </w:t>
      </w:r>
      <w:proofErr w:type="spellStart"/>
      <w:r w:rsidRPr="002B5638">
        <w:rPr>
          <w:sz w:val="24"/>
          <w:szCs w:val="24"/>
        </w:rPr>
        <w:t>melæna</w:t>
      </w:r>
      <w:proofErr w:type="spellEnd"/>
      <w:r w:rsidRPr="002B5638">
        <w:rPr>
          <w:sz w:val="24"/>
          <w:szCs w:val="24"/>
        </w:rPr>
        <w:t>), bør malign sygdom udelukkes.</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Ved persisterende symptomer på trods af adækvat behandling bør yderligere undersøgelser overvejes.</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r w:rsidRPr="002B5638">
        <w:rPr>
          <w:iCs/>
          <w:sz w:val="24"/>
          <w:szCs w:val="24"/>
          <w:u w:val="single"/>
        </w:rPr>
        <w:t xml:space="preserve">Samtidig behandling med HIV </w:t>
      </w:r>
      <w:proofErr w:type="spellStart"/>
      <w:r w:rsidRPr="002B5638">
        <w:rPr>
          <w:iCs/>
          <w:sz w:val="24"/>
          <w:szCs w:val="24"/>
          <w:u w:val="single"/>
        </w:rPr>
        <w:t>protease-hæmmere</w:t>
      </w:r>
      <w:proofErr w:type="spellEnd"/>
    </w:p>
    <w:p w:rsidR="0074531F" w:rsidRPr="002B5638" w:rsidRDefault="0074531F" w:rsidP="0074531F">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frarådes grundet en signifikant reduktion af disses biotilgængelighed (</w:t>
      </w:r>
      <w:r w:rsidR="00872FA3" w:rsidRPr="002B5638">
        <w:rPr>
          <w:sz w:val="24"/>
          <w:szCs w:val="24"/>
        </w:rPr>
        <w:t>se pkt.</w:t>
      </w:r>
      <w:r w:rsidR="00872FA3">
        <w:rPr>
          <w:sz w:val="24"/>
          <w:szCs w:val="24"/>
        </w:rPr>
        <w:t> </w:t>
      </w:r>
      <w:r w:rsidR="00872FA3" w:rsidRPr="002B5638">
        <w:rPr>
          <w:sz w:val="24"/>
          <w:szCs w:val="24"/>
        </w:rPr>
        <w:t>4.5</w:t>
      </w:r>
      <w:r w:rsidRPr="002B5638">
        <w:rPr>
          <w:sz w:val="24"/>
          <w:szCs w:val="24"/>
        </w:rPr>
        <w:t xml:space="preserve">). </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r w:rsidRPr="002B5638">
        <w:rPr>
          <w:iCs/>
          <w:sz w:val="24"/>
          <w:szCs w:val="24"/>
          <w:u w:val="single"/>
        </w:rPr>
        <w:t>Påvirkning af absorptionen af vitamin B</w:t>
      </w:r>
      <w:r w:rsidRPr="002B5638">
        <w:rPr>
          <w:iCs/>
          <w:sz w:val="24"/>
          <w:szCs w:val="24"/>
          <w:u w:val="single"/>
          <w:vertAlign w:val="subscript"/>
        </w:rPr>
        <w:t>12</w:t>
      </w:r>
    </w:p>
    <w:p w:rsidR="002B2718" w:rsidRDefault="002B2718" w:rsidP="002B2718">
      <w:pPr>
        <w:ind w:left="851"/>
        <w:rPr>
          <w:sz w:val="24"/>
          <w:szCs w:val="24"/>
        </w:rPr>
      </w:pPr>
      <w:r>
        <w:rPr>
          <w:sz w:val="24"/>
          <w:szCs w:val="24"/>
        </w:rPr>
        <w:t xml:space="preserve">Hos patienter med </w:t>
      </w:r>
      <w:proofErr w:type="spellStart"/>
      <w:r>
        <w:rPr>
          <w:sz w:val="24"/>
          <w:szCs w:val="24"/>
        </w:rPr>
        <w:t>Zollinger-Ellison</w:t>
      </w:r>
      <w:proofErr w:type="spellEnd"/>
      <w:r>
        <w:rPr>
          <w:sz w:val="24"/>
          <w:szCs w:val="24"/>
        </w:rPr>
        <w:t xml:space="preserve"> syndrom og andre </w:t>
      </w:r>
      <w:proofErr w:type="spellStart"/>
      <w:r>
        <w:rPr>
          <w:sz w:val="24"/>
          <w:szCs w:val="24"/>
        </w:rPr>
        <w:t>hypersekretoriske</w:t>
      </w:r>
      <w:proofErr w:type="spellEnd"/>
      <w:r>
        <w:rPr>
          <w:sz w:val="24"/>
          <w:szCs w:val="24"/>
        </w:rPr>
        <w:t xml:space="preserve"> patologiske sygdomme der kræver langtidsbehandling, kan </w:t>
      </w:r>
      <w:proofErr w:type="spellStart"/>
      <w:r>
        <w:rPr>
          <w:sz w:val="24"/>
          <w:szCs w:val="24"/>
        </w:rPr>
        <w:t>pantoprazol</w:t>
      </w:r>
      <w:proofErr w:type="spellEnd"/>
      <w:r>
        <w:rPr>
          <w:sz w:val="24"/>
          <w:szCs w:val="24"/>
        </w:rPr>
        <w:t xml:space="preserve"> som alle syreblokerende præparater, reducere absorptionen af vitamin B</w:t>
      </w:r>
      <w:r>
        <w:rPr>
          <w:sz w:val="24"/>
          <w:szCs w:val="24"/>
          <w:vertAlign w:val="subscript"/>
        </w:rPr>
        <w:t>12</w:t>
      </w:r>
      <w:r>
        <w:rPr>
          <w:sz w:val="24"/>
          <w:szCs w:val="24"/>
        </w:rPr>
        <w:t xml:space="preserve"> (</w:t>
      </w:r>
      <w:proofErr w:type="spellStart"/>
      <w:r>
        <w:rPr>
          <w:sz w:val="24"/>
          <w:szCs w:val="24"/>
        </w:rPr>
        <w:t>cyanocobalamin</w:t>
      </w:r>
      <w:proofErr w:type="spellEnd"/>
      <w:r>
        <w:rPr>
          <w:sz w:val="24"/>
          <w:szCs w:val="24"/>
        </w:rPr>
        <w:t xml:space="preserve">), hvilket skyldes </w:t>
      </w:r>
      <w:proofErr w:type="spellStart"/>
      <w:r>
        <w:rPr>
          <w:sz w:val="24"/>
          <w:szCs w:val="24"/>
        </w:rPr>
        <w:t>hypo</w:t>
      </w:r>
      <w:proofErr w:type="spellEnd"/>
      <w:r>
        <w:rPr>
          <w:sz w:val="24"/>
          <w:szCs w:val="24"/>
        </w:rPr>
        <w:t xml:space="preserve">- eller </w:t>
      </w:r>
      <w:proofErr w:type="spellStart"/>
      <w:r>
        <w:rPr>
          <w:sz w:val="24"/>
          <w:szCs w:val="24"/>
        </w:rPr>
        <w:t>aklorhydri</w:t>
      </w:r>
      <w:proofErr w:type="spellEnd"/>
      <w:r>
        <w:rPr>
          <w:sz w:val="24"/>
          <w:szCs w:val="24"/>
        </w:rPr>
        <w:t xml:space="preserve">. Dette bør tages i betragtning, hvis de pågældende kliniske symptomer observeres hos patienter, som har et lille depot af </w:t>
      </w:r>
      <w:proofErr w:type="spellStart"/>
      <w:proofErr w:type="gramStart"/>
      <w:r>
        <w:rPr>
          <w:sz w:val="24"/>
          <w:szCs w:val="24"/>
        </w:rPr>
        <w:t>cyanocobalamin,eller</w:t>
      </w:r>
      <w:proofErr w:type="spellEnd"/>
      <w:proofErr w:type="gramEnd"/>
      <w:r>
        <w:rPr>
          <w:sz w:val="24"/>
          <w:szCs w:val="24"/>
        </w:rPr>
        <w:t xml:space="preserve"> risikofaktorer for nedsat </w:t>
      </w:r>
      <w:proofErr w:type="spellStart"/>
      <w:r>
        <w:rPr>
          <w:sz w:val="24"/>
          <w:szCs w:val="24"/>
        </w:rPr>
        <w:t>cyanocobalamin</w:t>
      </w:r>
      <w:proofErr w:type="spellEnd"/>
      <w:r>
        <w:rPr>
          <w:sz w:val="24"/>
          <w:szCs w:val="24"/>
        </w:rPr>
        <w:t>-absorption ved langtidsbehandling, eller hvis der observeres relevante kliniske symptomer.</w:t>
      </w:r>
    </w:p>
    <w:p w:rsidR="002B2718" w:rsidRDefault="002B2718" w:rsidP="002B2718">
      <w:pPr>
        <w:ind w:left="851"/>
        <w:rPr>
          <w:sz w:val="24"/>
          <w:szCs w:val="24"/>
        </w:rPr>
      </w:pPr>
    </w:p>
    <w:p w:rsidR="002B2718" w:rsidRDefault="002B2718" w:rsidP="002B2718">
      <w:pPr>
        <w:keepNext/>
        <w:ind w:left="851"/>
        <w:rPr>
          <w:iCs/>
          <w:sz w:val="24"/>
          <w:szCs w:val="24"/>
          <w:u w:val="single"/>
        </w:rPr>
      </w:pPr>
      <w:r>
        <w:rPr>
          <w:iCs/>
          <w:sz w:val="24"/>
          <w:szCs w:val="24"/>
          <w:u w:val="single"/>
        </w:rPr>
        <w:t>Langtidsbehandling</w:t>
      </w:r>
    </w:p>
    <w:p w:rsidR="002B2718" w:rsidRDefault="002B2718" w:rsidP="002B2718">
      <w:pPr>
        <w:ind w:left="851"/>
        <w:rPr>
          <w:sz w:val="24"/>
          <w:szCs w:val="24"/>
        </w:rPr>
      </w:pPr>
      <w:r>
        <w:rPr>
          <w:sz w:val="24"/>
          <w:szCs w:val="24"/>
        </w:rPr>
        <w:t>Patienter, der er i langtidsbehandling, bør kontrolleres regelmæssigt, specielt når behandlingsvarigheden er over 1 år.</w:t>
      </w:r>
    </w:p>
    <w:p w:rsidR="002B2718" w:rsidRDefault="002B2718" w:rsidP="002B2718">
      <w:pPr>
        <w:ind w:left="851"/>
        <w:rPr>
          <w:sz w:val="24"/>
          <w:szCs w:val="24"/>
        </w:rPr>
      </w:pPr>
    </w:p>
    <w:p w:rsidR="002B2718" w:rsidRDefault="002B2718" w:rsidP="002B2718">
      <w:pPr>
        <w:keepNext/>
        <w:ind w:left="851"/>
        <w:rPr>
          <w:iCs/>
          <w:sz w:val="24"/>
          <w:szCs w:val="24"/>
          <w:u w:val="single"/>
        </w:rPr>
      </w:pPr>
      <w:proofErr w:type="spellStart"/>
      <w:r>
        <w:rPr>
          <w:iCs/>
          <w:sz w:val="24"/>
          <w:szCs w:val="24"/>
          <w:u w:val="single"/>
        </w:rPr>
        <w:t>Gastrointestinale</w:t>
      </w:r>
      <w:proofErr w:type="spellEnd"/>
      <w:r>
        <w:rPr>
          <w:iCs/>
          <w:sz w:val="24"/>
          <w:szCs w:val="24"/>
          <w:u w:val="single"/>
        </w:rPr>
        <w:t xml:space="preserve"> infektioner forårsaget af bakterier</w:t>
      </w:r>
    </w:p>
    <w:p w:rsidR="002B2718" w:rsidRDefault="002B2718" w:rsidP="002B2718">
      <w:pPr>
        <w:ind w:left="851"/>
        <w:rPr>
          <w:sz w:val="24"/>
          <w:szCs w:val="24"/>
        </w:rPr>
      </w:pPr>
      <w:r>
        <w:rPr>
          <w:sz w:val="24"/>
          <w:szCs w:val="24"/>
        </w:rPr>
        <w:t xml:space="preserve">Behandling med </w:t>
      </w:r>
      <w:proofErr w:type="spellStart"/>
      <w:r>
        <w:rPr>
          <w:sz w:val="24"/>
          <w:szCs w:val="24"/>
        </w:rPr>
        <w:t>pantoprazol</w:t>
      </w:r>
      <w:proofErr w:type="spellEnd"/>
      <w:r>
        <w:rPr>
          <w:sz w:val="24"/>
          <w:szCs w:val="24"/>
        </w:rPr>
        <w:t xml:space="preserve"> </w:t>
      </w:r>
      <w:r>
        <w:rPr>
          <w:b/>
          <w:bCs/>
          <w:sz w:val="24"/>
          <w:szCs w:val="24"/>
        </w:rPr>
        <w:t>kan medføre en let forøget</w:t>
      </w:r>
      <w:r>
        <w:rPr>
          <w:sz w:val="24"/>
          <w:szCs w:val="24"/>
        </w:rPr>
        <w:t xml:space="preserve"> risiko for </w:t>
      </w:r>
      <w:proofErr w:type="spellStart"/>
      <w:r>
        <w:rPr>
          <w:sz w:val="24"/>
          <w:szCs w:val="24"/>
        </w:rPr>
        <w:t>gastrointestinale</w:t>
      </w:r>
      <w:proofErr w:type="spellEnd"/>
      <w:r>
        <w:rPr>
          <w:sz w:val="24"/>
          <w:szCs w:val="24"/>
        </w:rPr>
        <w:t xml:space="preserve"> infektioner forårsaget af bakterier som f.eks. </w:t>
      </w:r>
      <w:r>
        <w:rPr>
          <w:i/>
          <w:sz w:val="24"/>
          <w:szCs w:val="24"/>
        </w:rPr>
        <w:t>Salmonella, Campylobacter</w:t>
      </w:r>
      <w:r>
        <w:rPr>
          <w:sz w:val="24"/>
          <w:szCs w:val="24"/>
        </w:rPr>
        <w:t xml:space="preserve"> og </w:t>
      </w:r>
      <w:proofErr w:type="spellStart"/>
      <w:r>
        <w:rPr>
          <w:i/>
          <w:iCs/>
          <w:sz w:val="24"/>
          <w:szCs w:val="24"/>
        </w:rPr>
        <w:t>Clostridium</w:t>
      </w:r>
      <w:proofErr w:type="spellEnd"/>
      <w:r>
        <w:rPr>
          <w:i/>
          <w:iCs/>
          <w:sz w:val="24"/>
          <w:szCs w:val="24"/>
        </w:rPr>
        <w:t xml:space="preserve"> difficile</w:t>
      </w:r>
      <w:r>
        <w:rPr>
          <w:sz w:val="24"/>
          <w:szCs w:val="24"/>
        </w:rPr>
        <w:t>.</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proofErr w:type="spellStart"/>
      <w:r w:rsidRPr="002B5638">
        <w:rPr>
          <w:iCs/>
          <w:sz w:val="24"/>
          <w:szCs w:val="24"/>
          <w:u w:val="single"/>
        </w:rPr>
        <w:t>Hypomagnesiæmi</w:t>
      </w:r>
      <w:proofErr w:type="spellEnd"/>
    </w:p>
    <w:p w:rsidR="00872FA3" w:rsidRPr="002B5638" w:rsidRDefault="00872FA3" w:rsidP="00872FA3">
      <w:pPr>
        <w:ind w:left="851"/>
        <w:rPr>
          <w:sz w:val="24"/>
          <w:szCs w:val="24"/>
        </w:rPr>
      </w:pPr>
      <w:r>
        <w:rPr>
          <w:sz w:val="24"/>
          <w:szCs w:val="24"/>
        </w:rPr>
        <w:t xml:space="preserve">Alvorlig </w:t>
      </w:r>
      <w:proofErr w:type="spellStart"/>
      <w:r>
        <w:rPr>
          <w:sz w:val="24"/>
          <w:szCs w:val="24"/>
        </w:rPr>
        <w:t>hypomagnesiæmi</w:t>
      </w:r>
      <w:proofErr w:type="spellEnd"/>
      <w:r>
        <w:rPr>
          <w:sz w:val="24"/>
          <w:szCs w:val="24"/>
        </w:rPr>
        <w:t xml:space="preserve"> har sjældent været rapporteret hos patienter behandlet med </w:t>
      </w:r>
      <w:proofErr w:type="spellStart"/>
      <w:r>
        <w:rPr>
          <w:sz w:val="24"/>
          <w:szCs w:val="24"/>
        </w:rPr>
        <w:t>protonpumpehæmmere</w:t>
      </w:r>
      <w:proofErr w:type="spellEnd"/>
      <w:r>
        <w:rPr>
          <w:sz w:val="24"/>
          <w:szCs w:val="24"/>
        </w:rPr>
        <w:t xml:space="preserve"> (</w:t>
      </w:r>
      <w:proofErr w:type="spellStart"/>
      <w:r>
        <w:rPr>
          <w:sz w:val="24"/>
          <w:szCs w:val="24"/>
        </w:rPr>
        <w:t>PPI’er</w:t>
      </w:r>
      <w:proofErr w:type="spellEnd"/>
      <w:r>
        <w:rPr>
          <w:sz w:val="24"/>
          <w:szCs w:val="24"/>
        </w:rPr>
        <w:t xml:space="preserve">), såsom </w:t>
      </w:r>
      <w:proofErr w:type="spellStart"/>
      <w:r>
        <w:rPr>
          <w:sz w:val="24"/>
          <w:szCs w:val="24"/>
        </w:rPr>
        <w:t>pantoprazol</w:t>
      </w:r>
      <w:proofErr w:type="spellEnd"/>
      <w:r>
        <w:rPr>
          <w:sz w:val="24"/>
          <w:szCs w:val="24"/>
        </w:rPr>
        <w:t xml:space="preserve">, i mindst tre måneder og i de fleste tilfælde i et år. Alvorlige manifestationer af </w:t>
      </w:r>
      <w:proofErr w:type="spellStart"/>
      <w:r>
        <w:rPr>
          <w:sz w:val="24"/>
          <w:szCs w:val="24"/>
        </w:rPr>
        <w:t>hypomagnesiæmi</w:t>
      </w:r>
      <w:proofErr w:type="spellEnd"/>
      <w:r>
        <w:rPr>
          <w:sz w:val="24"/>
          <w:szCs w:val="24"/>
        </w:rPr>
        <w:t xml:space="preserve"> som træthed, tetani, </w:t>
      </w:r>
      <w:r>
        <w:rPr>
          <w:sz w:val="24"/>
          <w:szCs w:val="24"/>
        </w:rPr>
        <w:lastRenderedPageBreak/>
        <w:t xml:space="preserve">delirium, kramper, svimmelhed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kan forekomme, men kan begynde stille og blive overset. </w:t>
      </w:r>
      <w:proofErr w:type="spellStart"/>
      <w:r>
        <w:rPr>
          <w:sz w:val="24"/>
          <w:szCs w:val="24"/>
        </w:rPr>
        <w:t>Hypomagnesiæmi</w:t>
      </w:r>
      <w:proofErr w:type="spellEnd"/>
      <w:r>
        <w:rPr>
          <w:sz w:val="24"/>
          <w:szCs w:val="24"/>
        </w:rPr>
        <w:t xml:space="preserve"> kan føre til </w:t>
      </w:r>
      <w:proofErr w:type="spellStart"/>
      <w:r>
        <w:rPr>
          <w:sz w:val="24"/>
          <w:szCs w:val="24"/>
        </w:rPr>
        <w:t>hypokalcæmi</w:t>
      </w:r>
      <w:proofErr w:type="spellEnd"/>
      <w:r>
        <w:rPr>
          <w:sz w:val="24"/>
          <w:szCs w:val="24"/>
        </w:rPr>
        <w:t xml:space="preserve"> og/eller </w:t>
      </w:r>
      <w:proofErr w:type="spellStart"/>
      <w:r>
        <w:rPr>
          <w:sz w:val="24"/>
          <w:szCs w:val="24"/>
        </w:rPr>
        <w:t>hypokaliæmi</w:t>
      </w:r>
      <w:proofErr w:type="spellEnd"/>
      <w:r>
        <w:rPr>
          <w:sz w:val="24"/>
          <w:szCs w:val="24"/>
        </w:rPr>
        <w:t xml:space="preserve"> (se pkt. 4.8). Hos de fleste patienter forbedres </w:t>
      </w:r>
      <w:proofErr w:type="spellStart"/>
      <w:r>
        <w:rPr>
          <w:sz w:val="24"/>
          <w:szCs w:val="24"/>
        </w:rPr>
        <w:t>hypomagnesiæmi</w:t>
      </w:r>
      <w:proofErr w:type="spellEnd"/>
      <w:r>
        <w:rPr>
          <w:sz w:val="24"/>
          <w:szCs w:val="24"/>
        </w:rPr>
        <w:t xml:space="preserve"> (og </w:t>
      </w:r>
      <w:proofErr w:type="spellStart"/>
      <w:r>
        <w:rPr>
          <w:sz w:val="24"/>
          <w:szCs w:val="24"/>
        </w:rPr>
        <w:t>hypomagnesiæmi</w:t>
      </w:r>
      <w:proofErr w:type="spellEnd"/>
      <w:r>
        <w:rPr>
          <w:sz w:val="24"/>
          <w:szCs w:val="24"/>
        </w:rPr>
        <w:t xml:space="preserve"> relateret </w:t>
      </w:r>
      <w:proofErr w:type="spellStart"/>
      <w:r>
        <w:rPr>
          <w:sz w:val="24"/>
          <w:szCs w:val="24"/>
        </w:rPr>
        <w:t>hypokalcæmi</w:t>
      </w:r>
      <w:proofErr w:type="spellEnd"/>
      <w:r>
        <w:rPr>
          <w:sz w:val="24"/>
          <w:szCs w:val="24"/>
        </w:rPr>
        <w:t xml:space="preserve"> og/eller </w:t>
      </w:r>
      <w:proofErr w:type="spellStart"/>
      <w:r>
        <w:rPr>
          <w:sz w:val="24"/>
          <w:szCs w:val="24"/>
        </w:rPr>
        <w:t>hypokaliæmi</w:t>
      </w:r>
      <w:proofErr w:type="spellEnd"/>
      <w:r>
        <w:rPr>
          <w:sz w:val="24"/>
          <w:szCs w:val="24"/>
        </w:rPr>
        <w:t xml:space="preserve">) efter magnesium erstatning og </w:t>
      </w:r>
      <w:proofErr w:type="spellStart"/>
      <w:r>
        <w:rPr>
          <w:sz w:val="24"/>
          <w:szCs w:val="24"/>
        </w:rPr>
        <w:t>seponering</w:t>
      </w:r>
      <w:proofErr w:type="spellEnd"/>
      <w:r>
        <w:rPr>
          <w:sz w:val="24"/>
          <w:szCs w:val="24"/>
        </w:rPr>
        <w:t xml:space="preserve"> af PPI.</w:t>
      </w:r>
    </w:p>
    <w:p w:rsidR="0074531F" w:rsidRPr="002B5638" w:rsidRDefault="0074531F" w:rsidP="0074531F">
      <w:pPr>
        <w:ind w:left="851"/>
        <w:rPr>
          <w:sz w:val="24"/>
          <w:szCs w:val="24"/>
        </w:rPr>
      </w:pPr>
    </w:p>
    <w:p w:rsidR="00872FA3" w:rsidRPr="002B5638" w:rsidRDefault="00872FA3" w:rsidP="00872FA3">
      <w:pPr>
        <w:ind w:left="851"/>
        <w:rPr>
          <w:sz w:val="24"/>
          <w:szCs w:val="24"/>
        </w:rPr>
      </w:pPr>
      <w:r w:rsidRPr="002B5638">
        <w:rPr>
          <w:sz w:val="24"/>
          <w:szCs w:val="24"/>
        </w:rPr>
        <w:t>Det bør overvejes at måle serummagnesium før opstart af PPI</w:t>
      </w:r>
      <w:r>
        <w:rPr>
          <w:sz w:val="24"/>
          <w:szCs w:val="24"/>
        </w:rPr>
        <w:t>-</w:t>
      </w:r>
      <w:r w:rsidRPr="002B5638">
        <w:rPr>
          <w:sz w:val="24"/>
          <w:szCs w:val="24"/>
        </w:rPr>
        <w:t xml:space="preserve">behandling og regelmæssigt under behandlingen hos patienter, der forventes at være i langvarig behandling eller tager </w:t>
      </w:r>
      <w:proofErr w:type="spellStart"/>
      <w:r w:rsidRPr="002B5638">
        <w:rPr>
          <w:sz w:val="24"/>
          <w:szCs w:val="24"/>
        </w:rPr>
        <w:t>PPI’er</w:t>
      </w:r>
      <w:proofErr w:type="spellEnd"/>
      <w:r w:rsidRPr="002B5638">
        <w:rPr>
          <w:sz w:val="24"/>
          <w:szCs w:val="24"/>
        </w:rPr>
        <w:t xml:space="preserve"> samtidigt med </w:t>
      </w:r>
      <w:proofErr w:type="spellStart"/>
      <w:r w:rsidRPr="002B5638">
        <w:rPr>
          <w:sz w:val="24"/>
          <w:szCs w:val="24"/>
        </w:rPr>
        <w:t>digoxin</w:t>
      </w:r>
      <w:proofErr w:type="spellEnd"/>
      <w:r w:rsidRPr="002B5638">
        <w:rPr>
          <w:sz w:val="24"/>
          <w:szCs w:val="24"/>
        </w:rPr>
        <w:t xml:space="preserve"> eller andre lægemidler, der kan forårsage </w:t>
      </w:r>
      <w:proofErr w:type="spellStart"/>
      <w:r w:rsidRPr="002B5638">
        <w:rPr>
          <w:sz w:val="24"/>
          <w:szCs w:val="24"/>
        </w:rPr>
        <w:t>hypomagnesiæmi</w:t>
      </w:r>
      <w:proofErr w:type="spellEnd"/>
      <w:r w:rsidRPr="002B5638">
        <w:rPr>
          <w:sz w:val="24"/>
          <w:szCs w:val="24"/>
        </w:rPr>
        <w:t xml:space="preserve"> (f.eks. </w:t>
      </w:r>
      <w:proofErr w:type="spellStart"/>
      <w:r w:rsidRPr="002B5638">
        <w:rPr>
          <w:sz w:val="24"/>
          <w:szCs w:val="24"/>
        </w:rPr>
        <w:t>diuretika</w:t>
      </w:r>
      <w:proofErr w:type="spellEnd"/>
      <w:r w:rsidRPr="002B5638">
        <w:rPr>
          <w:sz w:val="24"/>
          <w:szCs w:val="24"/>
        </w:rPr>
        <w:t>).</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r w:rsidRPr="002B5638">
        <w:rPr>
          <w:iCs/>
          <w:sz w:val="24"/>
          <w:szCs w:val="24"/>
          <w:u w:val="single"/>
        </w:rPr>
        <w:t>Knoglefrakturer</w:t>
      </w:r>
    </w:p>
    <w:p w:rsidR="00872FA3" w:rsidRDefault="00872FA3" w:rsidP="00872FA3">
      <w:pPr>
        <w:ind w:left="851"/>
        <w:rPr>
          <w:sz w:val="24"/>
          <w:szCs w:val="24"/>
        </w:rPr>
      </w:pPr>
      <w:proofErr w:type="spellStart"/>
      <w:r w:rsidRPr="002B5638">
        <w:rPr>
          <w:sz w:val="24"/>
          <w:szCs w:val="24"/>
        </w:rPr>
        <w:t>Protonpumpehæmmere</w:t>
      </w:r>
      <w:proofErr w:type="spellEnd"/>
      <w:r w:rsidRPr="002B5638">
        <w:rPr>
          <w:sz w:val="24"/>
          <w:szCs w:val="24"/>
        </w:rPr>
        <w:t xml:space="preserve"> kan øge risikoen for hofte-, håndleds- og rygfrakturer, hovedsageligt beskedent, hovedsageligt hos ældre eller ved tilstedeværelse af andre kendte risikofaktorer, især hvis det bruges i høje doser og i lange behandlingsperioder (&gt;</w:t>
      </w:r>
      <w:r>
        <w:rPr>
          <w:sz w:val="24"/>
          <w:szCs w:val="24"/>
        </w:rPr>
        <w:t> </w:t>
      </w:r>
      <w:r w:rsidRPr="002B5638">
        <w:rPr>
          <w:sz w:val="24"/>
          <w:szCs w:val="24"/>
        </w:rPr>
        <w:t xml:space="preserve">1 år). Observationsstudier antyder, at </w:t>
      </w:r>
      <w:proofErr w:type="spellStart"/>
      <w:r w:rsidRPr="002B5638">
        <w:rPr>
          <w:sz w:val="24"/>
          <w:szCs w:val="24"/>
        </w:rPr>
        <w:t>protonpumpehæmmere</w:t>
      </w:r>
      <w:proofErr w:type="spellEnd"/>
      <w:r w:rsidRPr="002B5638">
        <w:rPr>
          <w:sz w:val="24"/>
          <w:szCs w:val="24"/>
        </w:rPr>
        <w:t xml:space="preserve"> kan øge den overordnede risiko for fraktur med 10</w:t>
      </w:r>
      <w:r>
        <w:rPr>
          <w:sz w:val="24"/>
          <w:szCs w:val="24"/>
        </w:rPr>
        <w:t>‒</w:t>
      </w:r>
      <w:r w:rsidRPr="002B5638">
        <w:rPr>
          <w:sz w:val="24"/>
          <w:szCs w:val="24"/>
        </w:rPr>
        <w:t>40</w:t>
      </w:r>
      <w:r>
        <w:rPr>
          <w:sz w:val="24"/>
          <w:szCs w:val="24"/>
        </w:rPr>
        <w:t xml:space="preserve"> %</w:t>
      </w:r>
      <w:r w:rsidRPr="002B5638">
        <w:rPr>
          <w:sz w:val="24"/>
          <w:szCs w:val="24"/>
        </w:rPr>
        <w:t>. Noget af denne øgning kan skyldes andre risikofaktorer. Patienter med risiko for osteoporose bør modtage behandling i henhold til gældende kliniske guidelines, og de bør have et tilstrækkeligt indtag af vitamin D og calcium.</w:t>
      </w:r>
    </w:p>
    <w:p w:rsidR="00872FA3" w:rsidRDefault="00872FA3" w:rsidP="00872FA3">
      <w:pPr>
        <w:ind w:left="851"/>
        <w:rPr>
          <w:sz w:val="24"/>
          <w:szCs w:val="24"/>
        </w:rPr>
      </w:pPr>
    </w:p>
    <w:p w:rsidR="00872FA3" w:rsidRPr="00045661" w:rsidRDefault="00872FA3" w:rsidP="00872FA3">
      <w:pPr>
        <w:ind w:left="851"/>
        <w:rPr>
          <w:sz w:val="24"/>
          <w:szCs w:val="24"/>
          <w:u w:val="single"/>
        </w:rPr>
      </w:pPr>
      <w:r w:rsidRPr="00045661">
        <w:rPr>
          <w:sz w:val="24"/>
          <w:szCs w:val="24"/>
          <w:u w:val="single"/>
        </w:rPr>
        <w:t xml:space="preserve">Alvorlige </w:t>
      </w:r>
      <w:proofErr w:type="spellStart"/>
      <w:r w:rsidRPr="00045661">
        <w:rPr>
          <w:sz w:val="24"/>
          <w:szCs w:val="24"/>
          <w:u w:val="single"/>
        </w:rPr>
        <w:t>kutane</w:t>
      </w:r>
      <w:proofErr w:type="spellEnd"/>
      <w:r w:rsidRPr="00045661">
        <w:rPr>
          <w:sz w:val="24"/>
          <w:szCs w:val="24"/>
          <w:u w:val="single"/>
        </w:rPr>
        <w:t xml:space="preserve"> bivirkninger (SCAR)  </w:t>
      </w:r>
    </w:p>
    <w:p w:rsidR="00872FA3" w:rsidRPr="00045661" w:rsidRDefault="00872FA3" w:rsidP="00872FA3">
      <w:pPr>
        <w:ind w:left="851"/>
        <w:rPr>
          <w:sz w:val="24"/>
          <w:szCs w:val="24"/>
        </w:rPr>
      </w:pPr>
      <w:r w:rsidRPr="00045661">
        <w:rPr>
          <w:sz w:val="24"/>
          <w:szCs w:val="24"/>
        </w:rPr>
        <w:t xml:space="preserve">Tilfælde af alvorlige </w:t>
      </w:r>
      <w:proofErr w:type="spellStart"/>
      <w:r w:rsidRPr="00045661">
        <w:rPr>
          <w:sz w:val="24"/>
          <w:szCs w:val="24"/>
        </w:rPr>
        <w:t>kutane</w:t>
      </w:r>
      <w:proofErr w:type="spellEnd"/>
      <w:r w:rsidRPr="00045661">
        <w:rPr>
          <w:sz w:val="24"/>
          <w:szCs w:val="24"/>
        </w:rPr>
        <w:t xml:space="preserve"> bivirkninger (SCAR) herunder </w:t>
      </w:r>
      <w:proofErr w:type="spellStart"/>
      <w:r w:rsidRPr="00045661">
        <w:rPr>
          <w:sz w:val="24"/>
          <w:szCs w:val="24"/>
        </w:rPr>
        <w:t>erythema</w:t>
      </w:r>
      <w:proofErr w:type="spellEnd"/>
      <w:r w:rsidRPr="00045661">
        <w:rPr>
          <w:sz w:val="24"/>
          <w:szCs w:val="24"/>
        </w:rPr>
        <w:t xml:space="preserve"> multiforme, Stevens-Johnson</w:t>
      </w:r>
      <w:r>
        <w:rPr>
          <w:sz w:val="24"/>
          <w:szCs w:val="24"/>
        </w:rPr>
        <w:t>s</w:t>
      </w:r>
      <w:r w:rsidRPr="00045661">
        <w:rPr>
          <w:sz w:val="24"/>
          <w:szCs w:val="24"/>
        </w:rPr>
        <w:t xml:space="preserve"> syndrom (SJS), toksisk </w:t>
      </w:r>
      <w:proofErr w:type="spellStart"/>
      <w:r w:rsidRPr="00045661">
        <w:rPr>
          <w:sz w:val="24"/>
          <w:szCs w:val="24"/>
        </w:rPr>
        <w:t>epidermal</w:t>
      </w:r>
      <w:proofErr w:type="spellEnd"/>
      <w:r w:rsidRPr="00045661">
        <w:rPr>
          <w:sz w:val="24"/>
          <w:szCs w:val="24"/>
        </w:rPr>
        <w:t xml:space="preserve"> </w:t>
      </w:r>
      <w:proofErr w:type="spellStart"/>
      <w:r w:rsidRPr="00045661">
        <w:rPr>
          <w:sz w:val="24"/>
          <w:szCs w:val="24"/>
        </w:rPr>
        <w:t>nekrolyse</w:t>
      </w:r>
      <w:proofErr w:type="spellEnd"/>
      <w:r w:rsidRPr="00045661">
        <w:rPr>
          <w:sz w:val="24"/>
          <w:szCs w:val="24"/>
        </w:rPr>
        <w:t xml:space="preserve"> (TEN) og lægemiddelrelateret reaktion med </w:t>
      </w:r>
      <w:proofErr w:type="spellStart"/>
      <w:r w:rsidRPr="00045661">
        <w:rPr>
          <w:sz w:val="24"/>
          <w:szCs w:val="24"/>
        </w:rPr>
        <w:t>eosinofili</w:t>
      </w:r>
      <w:proofErr w:type="spellEnd"/>
      <w:r w:rsidRPr="00045661">
        <w:rPr>
          <w:sz w:val="24"/>
          <w:szCs w:val="24"/>
        </w:rPr>
        <w:t xml:space="preserve"> og systemiske symptomer (DRESS), som kan være livstruende eller dødelig, er rapporteret i forbindelse med </w:t>
      </w:r>
      <w:proofErr w:type="spellStart"/>
      <w:r w:rsidRPr="00045661">
        <w:rPr>
          <w:sz w:val="24"/>
          <w:szCs w:val="24"/>
        </w:rPr>
        <w:t>pantoprazol</w:t>
      </w:r>
      <w:proofErr w:type="spellEnd"/>
      <w:r w:rsidRPr="00045661">
        <w:rPr>
          <w:sz w:val="24"/>
          <w:szCs w:val="24"/>
        </w:rPr>
        <w:t xml:space="preserve"> med hyppigheden ikke kendt (se pkt.</w:t>
      </w:r>
      <w:r>
        <w:rPr>
          <w:sz w:val="24"/>
          <w:szCs w:val="24"/>
        </w:rPr>
        <w:t> </w:t>
      </w:r>
      <w:r w:rsidRPr="00045661">
        <w:rPr>
          <w:sz w:val="24"/>
          <w:szCs w:val="24"/>
        </w:rPr>
        <w:t xml:space="preserve">4.8). På tidspunktet for ordinationen, skal patienten informeres om tegn og symptomer og monitoreres nøje for hudreaktioner. Hvis der opstår tegn og symptomer på disse reaktioner, skal </w:t>
      </w:r>
      <w:proofErr w:type="spellStart"/>
      <w:r w:rsidRPr="00045661">
        <w:rPr>
          <w:sz w:val="24"/>
          <w:szCs w:val="24"/>
        </w:rPr>
        <w:t>pantoprazol</w:t>
      </w:r>
      <w:proofErr w:type="spellEnd"/>
      <w:r w:rsidRPr="00045661">
        <w:rPr>
          <w:sz w:val="24"/>
          <w:szCs w:val="24"/>
        </w:rPr>
        <w:t xml:space="preserve"> seponeres med det samme og en alternativ behandling overvejes.</w:t>
      </w:r>
    </w:p>
    <w:p w:rsidR="00872FA3" w:rsidRPr="002B5638" w:rsidRDefault="00872FA3" w:rsidP="00872FA3">
      <w:pPr>
        <w:rPr>
          <w:sz w:val="24"/>
          <w:szCs w:val="24"/>
        </w:rPr>
      </w:pPr>
    </w:p>
    <w:p w:rsidR="00872FA3" w:rsidRPr="00BD635E" w:rsidRDefault="00872FA3" w:rsidP="00872FA3">
      <w:pPr>
        <w:keepNext/>
        <w:ind w:left="851"/>
        <w:rPr>
          <w:iCs/>
          <w:sz w:val="24"/>
          <w:szCs w:val="24"/>
          <w:u w:val="single"/>
        </w:rPr>
      </w:pPr>
      <w:r w:rsidRPr="00BD635E">
        <w:rPr>
          <w:iCs/>
          <w:sz w:val="24"/>
          <w:szCs w:val="24"/>
          <w:u w:val="single"/>
        </w:rPr>
        <w:t>Subakut kutan lupus erythematosus (SCLE)</w:t>
      </w:r>
    </w:p>
    <w:p w:rsidR="00872FA3" w:rsidRPr="002B5638" w:rsidRDefault="00872FA3" w:rsidP="00872FA3">
      <w:pPr>
        <w:ind w:left="851"/>
        <w:rPr>
          <w:sz w:val="24"/>
          <w:szCs w:val="24"/>
        </w:rPr>
      </w:pPr>
      <w:proofErr w:type="spellStart"/>
      <w:r w:rsidRPr="002B5638">
        <w:rPr>
          <w:sz w:val="24"/>
          <w:szCs w:val="24"/>
        </w:rPr>
        <w:t>Protonpumpehæmmere</w:t>
      </w:r>
      <w:proofErr w:type="spellEnd"/>
      <w:r w:rsidRPr="002B5638">
        <w:rPr>
          <w:sz w:val="24"/>
          <w:szCs w:val="24"/>
        </w:rPr>
        <w:t xml:space="preserve"> er forbundet med meget sjældne tilfælde af SCLE. Hvis læsioner forekomme</w:t>
      </w:r>
      <w:r>
        <w:rPr>
          <w:sz w:val="24"/>
          <w:szCs w:val="24"/>
        </w:rPr>
        <w:t>r</w:t>
      </w:r>
      <w:r w:rsidRPr="002B5638">
        <w:rPr>
          <w:sz w:val="24"/>
          <w:szCs w:val="24"/>
        </w:rPr>
        <w:t xml:space="preserve">, især i sol-udsatte områder af huden, og hvis de ledsages af </w:t>
      </w:r>
      <w:proofErr w:type="spellStart"/>
      <w:r w:rsidRPr="002B5638">
        <w:rPr>
          <w:sz w:val="24"/>
          <w:szCs w:val="24"/>
        </w:rPr>
        <w:t>arthralgi</w:t>
      </w:r>
      <w:proofErr w:type="spellEnd"/>
      <w:r w:rsidRPr="002B5638">
        <w:rPr>
          <w:sz w:val="24"/>
          <w:szCs w:val="24"/>
        </w:rPr>
        <w:t xml:space="preserve">, bør patienten omgående søge lægehjælp, og den sundhedsprofessionelle bør overveje at stoppe behandlingen med </w:t>
      </w:r>
      <w:proofErr w:type="spellStart"/>
      <w:r w:rsidRPr="002B5638">
        <w:rPr>
          <w:sz w:val="24"/>
          <w:szCs w:val="24"/>
        </w:rPr>
        <w:t>pantoprazol</w:t>
      </w:r>
      <w:proofErr w:type="spellEnd"/>
      <w:r w:rsidRPr="002B5638">
        <w:rPr>
          <w:sz w:val="24"/>
          <w:szCs w:val="24"/>
        </w:rPr>
        <w:t xml:space="preserve">. SCLE efter tidligere behandling med en protonpumpehæmmer kan øge risikoen for SCLE med andre </w:t>
      </w:r>
      <w:proofErr w:type="spellStart"/>
      <w:r w:rsidRPr="002B5638">
        <w:rPr>
          <w:sz w:val="24"/>
          <w:szCs w:val="24"/>
        </w:rPr>
        <w:t>protonpumpehæmmere</w:t>
      </w:r>
      <w:proofErr w:type="spellEnd"/>
      <w:r w:rsidRPr="002B5638">
        <w:rPr>
          <w:sz w:val="24"/>
          <w:szCs w:val="24"/>
        </w:rPr>
        <w:t>.</w:t>
      </w:r>
    </w:p>
    <w:p w:rsidR="00872FA3" w:rsidRDefault="00872FA3" w:rsidP="0074531F">
      <w:pPr>
        <w:ind w:left="851"/>
        <w:rPr>
          <w:sz w:val="24"/>
          <w:szCs w:val="24"/>
          <w:u w:val="single"/>
        </w:rPr>
      </w:pPr>
    </w:p>
    <w:p w:rsidR="0074531F" w:rsidRPr="002B5638" w:rsidRDefault="0074531F" w:rsidP="0074531F">
      <w:pPr>
        <w:ind w:left="851"/>
        <w:rPr>
          <w:sz w:val="24"/>
          <w:szCs w:val="24"/>
          <w:u w:val="single"/>
        </w:rPr>
      </w:pPr>
      <w:r w:rsidRPr="002B5638">
        <w:rPr>
          <w:sz w:val="24"/>
          <w:szCs w:val="24"/>
          <w:u w:val="single"/>
        </w:rPr>
        <w:t xml:space="preserve">Interferens med laboratorieundersøgelser </w:t>
      </w:r>
    </w:p>
    <w:p w:rsidR="00872FA3" w:rsidRDefault="00872FA3" w:rsidP="00872FA3">
      <w:pPr>
        <w:ind w:left="851"/>
        <w:rPr>
          <w:sz w:val="24"/>
          <w:szCs w:val="24"/>
        </w:rPr>
      </w:pPr>
      <w:r w:rsidRPr="002B5638">
        <w:rPr>
          <w:sz w:val="24"/>
          <w:szCs w:val="24"/>
        </w:rPr>
        <w:t xml:space="preserve">Forhøjet </w:t>
      </w:r>
      <w:proofErr w:type="spellStart"/>
      <w:r w:rsidRPr="002B5638">
        <w:rPr>
          <w:sz w:val="24"/>
          <w:szCs w:val="24"/>
        </w:rPr>
        <w:t>chromogranin</w:t>
      </w:r>
      <w:proofErr w:type="spellEnd"/>
      <w:r w:rsidRPr="002B5638">
        <w:rPr>
          <w:sz w:val="24"/>
          <w:szCs w:val="24"/>
        </w:rPr>
        <w:t xml:space="preserve"> A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For at undgå interferens, bør </w:t>
      </w:r>
      <w:proofErr w:type="spellStart"/>
      <w:r>
        <w:rPr>
          <w:sz w:val="24"/>
          <w:szCs w:val="24"/>
        </w:rPr>
        <w:t>Pantoprazol</w:t>
      </w:r>
      <w:proofErr w:type="spellEnd"/>
      <w:r>
        <w:rPr>
          <w:sz w:val="24"/>
          <w:szCs w:val="24"/>
        </w:rPr>
        <w:t xml:space="preserve"> "Orion"</w:t>
      </w:r>
      <w:r w:rsidRPr="002B5638">
        <w:rPr>
          <w:sz w:val="24"/>
          <w:szCs w:val="24"/>
        </w:rPr>
        <w:t xml:space="preserve"> behandlingen seponeres mindst 5</w:t>
      </w:r>
      <w:r>
        <w:rPr>
          <w:sz w:val="24"/>
          <w:szCs w:val="24"/>
        </w:rPr>
        <w:t> </w:t>
      </w:r>
      <w:r w:rsidRPr="002B5638">
        <w:rPr>
          <w:sz w:val="24"/>
          <w:szCs w:val="24"/>
        </w:rPr>
        <w:t xml:space="preserve">dage inden måling af </w:t>
      </w:r>
      <w:proofErr w:type="spellStart"/>
      <w:r w:rsidRPr="002B5638">
        <w:rPr>
          <w:sz w:val="24"/>
          <w:szCs w:val="24"/>
        </w:rPr>
        <w:t>CgA</w:t>
      </w:r>
      <w:proofErr w:type="spellEnd"/>
      <w:r w:rsidRPr="002B5638">
        <w:rPr>
          <w:sz w:val="24"/>
          <w:szCs w:val="24"/>
        </w:rPr>
        <w:t xml:space="preserve"> (se pkt.</w:t>
      </w:r>
      <w:r>
        <w:rPr>
          <w:sz w:val="24"/>
          <w:szCs w:val="24"/>
        </w:rPr>
        <w:t> </w:t>
      </w:r>
      <w:r w:rsidRPr="002B5638">
        <w:rPr>
          <w:sz w:val="24"/>
          <w:szCs w:val="24"/>
        </w:rPr>
        <w:t xml:space="preserve">5.1). Hvis indholdet af </w:t>
      </w:r>
      <w:proofErr w:type="spellStart"/>
      <w:r w:rsidRPr="002B5638">
        <w:rPr>
          <w:sz w:val="24"/>
          <w:szCs w:val="24"/>
        </w:rPr>
        <w:t>CgA</w:t>
      </w:r>
      <w:proofErr w:type="spellEnd"/>
      <w:r w:rsidRPr="002B5638">
        <w:rPr>
          <w:sz w:val="24"/>
          <w:szCs w:val="24"/>
        </w:rPr>
        <w:t xml:space="preserve"> og gastrin ikke er returneret til referenceintervallet ved den første måling, bør målingen gentages 14 dage efter </w:t>
      </w:r>
      <w:proofErr w:type="spellStart"/>
      <w:r w:rsidRPr="002B5638">
        <w:rPr>
          <w:sz w:val="24"/>
          <w:szCs w:val="24"/>
        </w:rPr>
        <w:t>seponering</w:t>
      </w:r>
      <w:proofErr w:type="spellEnd"/>
      <w:r w:rsidRPr="002B5638">
        <w:rPr>
          <w:sz w:val="24"/>
          <w:szCs w:val="24"/>
        </w:rPr>
        <w:t xml:space="preserve"> af protonpumpehæmmeren.</w:t>
      </w:r>
    </w:p>
    <w:p w:rsidR="002B2718" w:rsidRDefault="002B2718" w:rsidP="002B2718">
      <w:pPr>
        <w:tabs>
          <w:tab w:val="left" w:pos="851"/>
        </w:tabs>
        <w:ind w:left="851"/>
        <w:rPr>
          <w:sz w:val="24"/>
          <w:szCs w:val="24"/>
        </w:rPr>
      </w:pPr>
    </w:p>
    <w:p w:rsidR="002B2718" w:rsidRDefault="002B2718" w:rsidP="002B2718">
      <w:pPr>
        <w:tabs>
          <w:tab w:val="left" w:pos="851"/>
        </w:tabs>
        <w:ind w:left="851"/>
        <w:rPr>
          <w:sz w:val="24"/>
          <w:szCs w:val="24"/>
          <w:u w:val="single"/>
        </w:rPr>
      </w:pPr>
      <w:r>
        <w:rPr>
          <w:sz w:val="24"/>
          <w:szCs w:val="24"/>
          <w:u w:val="single"/>
        </w:rPr>
        <w:t>Hjælpestoffer</w:t>
      </w:r>
    </w:p>
    <w:p w:rsidR="00872FA3" w:rsidRDefault="00872FA3" w:rsidP="00872FA3">
      <w:pPr>
        <w:tabs>
          <w:tab w:val="left" w:pos="851"/>
        </w:tabs>
        <w:ind w:left="851"/>
        <w:rPr>
          <w:sz w:val="24"/>
          <w:szCs w:val="24"/>
        </w:rPr>
      </w:pPr>
      <w:r>
        <w:rPr>
          <w:sz w:val="24"/>
          <w:szCs w:val="24"/>
        </w:rPr>
        <w:t>Dette lægemiddel indeholder mindre end 1 mmol (23 mg) natrium pr. tablet, dvs. det er i det væsentlige natriumfrit.</w:t>
      </w:r>
    </w:p>
    <w:p w:rsidR="0074531F" w:rsidRDefault="0074531F" w:rsidP="0074531F">
      <w:pPr>
        <w:tabs>
          <w:tab w:val="left" w:pos="851"/>
        </w:tabs>
        <w:ind w:left="851"/>
        <w:rPr>
          <w:sz w:val="24"/>
          <w:szCs w:val="24"/>
        </w:rPr>
      </w:pPr>
    </w:p>
    <w:p w:rsidR="00872FA3" w:rsidRDefault="00872FA3" w:rsidP="0074531F">
      <w:pPr>
        <w:tabs>
          <w:tab w:val="left" w:pos="851"/>
        </w:tabs>
        <w:ind w:left="851"/>
        <w:rPr>
          <w:sz w:val="24"/>
          <w:szCs w:val="24"/>
        </w:rPr>
      </w:pPr>
    </w:p>
    <w:p w:rsidR="00872FA3" w:rsidRDefault="00872FA3" w:rsidP="0074531F">
      <w:pPr>
        <w:tabs>
          <w:tab w:val="left" w:pos="851"/>
        </w:tabs>
        <w:ind w:left="851"/>
        <w:rPr>
          <w:sz w:val="24"/>
          <w:szCs w:val="24"/>
        </w:rPr>
      </w:pPr>
    </w:p>
    <w:p w:rsidR="00872FA3" w:rsidRPr="00C84483" w:rsidRDefault="00872FA3"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74531F" w:rsidRDefault="0074531F" w:rsidP="0074531F">
      <w:pPr>
        <w:keepNext/>
        <w:ind w:left="851"/>
        <w:rPr>
          <w:iCs/>
          <w:sz w:val="24"/>
          <w:szCs w:val="24"/>
          <w:u w:val="single"/>
        </w:rPr>
      </w:pPr>
    </w:p>
    <w:p w:rsidR="00872FA3" w:rsidRPr="002B5638" w:rsidRDefault="00872FA3" w:rsidP="00872FA3">
      <w:pPr>
        <w:keepNext/>
        <w:ind w:left="851"/>
        <w:rPr>
          <w:iCs/>
          <w:sz w:val="24"/>
          <w:szCs w:val="24"/>
          <w:u w:val="single"/>
        </w:rPr>
      </w:pPr>
      <w:r w:rsidRPr="002B5638">
        <w:rPr>
          <w:iCs/>
          <w:sz w:val="24"/>
          <w:szCs w:val="24"/>
          <w:u w:val="single"/>
        </w:rPr>
        <w:t>Lægemidler med pH-afhængig absorptionsfarmakokinetik</w:t>
      </w:r>
    </w:p>
    <w:p w:rsidR="00872FA3" w:rsidRPr="002B5638" w:rsidRDefault="00872FA3" w:rsidP="00872FA3">
      <w:pPr>
        <w:ind w:left="851"/>
        <w:rPr>
          <w:sz w:val="24"/>
          <w:szCs w:val="24"/>
        </w:rPr>
      </w:pPr>
      <w:r w:rsidRPr="002B5638">
        <w:rPr>
          <w:sz w:val="24"/>
          <w:szCs w:val="24"/>
        </w:rPr>
        <w:t>På grund af den markante og langvarige hæm</w:t>
      </w:r>
      <w:r>
        <w:rPr>
          <w:sz w:val="24"/>
          <w:szCs w:val="24"/>
        </w:rPr>
        <w:t>n</w:t>
      </w:r>
      <w:r w:rsidRPr="002B5638">
        <w:rPr>
          <w:sz w:val="24"/>
          <w:szCs w:val="24"/>
        </w:rPr>
        <w:t xml:space="preserve">ing af mavesyresekretionen, kan </w:t>
      </w:r>
      <w:proofErr w:type="spellStart"/>
      <w:r w:rsidRPr="002B5638">
        <w:rPr>
          <w:sz w:val="24"/>
          <w:szCs w:val="24"/>
        </w:rPr>
        <w:t>pantroprazol</w:t>
      </w:r>
      <w:proofErr w:type="spellEnd"/>
      <w:r w:rsidRPr="002B5638">
        <w:rPr>
          <w:sz w:val="24"/>
          <w:szCs w:val="24"/>
        </w:rPr>
        <w:t xml:space="preserve"> påvirke absorptionen af lægemidler,</w:t>
      </w:r>
      <w:r>
        <w:rPr>
          <w:sz w:val="24"/>
          <w:szCs w:val="24"/>
        </w:rPr>
        <w:t xml:space="preserve"> for hvilke gastrisk pH har væsentlig betydning for den orale </w:t>
      </w:r>
      <w:r w:rsidRPr="002B5638">
        <w:rPr>
          <w:sz w:val="24"/>
          <w:szCs w:val="24"/>
        </w:rPr>
        <w:t xml:space="preserve">biotilgængelighed, dette gælder f.eks. nogle </w:t>
      </w:r>
      <w:proofErr w:type="spellStart"/>
      <w:r w:rsidRPr="002B5638">
        <w:rPr>
          <w:sz w:val="24"/>
          <w:szCs w:val="24"/>
        </w:rPr>
        <w:t>azol</w:t>
      </w:r>
      <w:proofErr w:type="spellEnd"/>
      <w:r w:rsidRPr="002B5638">
        <w:rPr>
          <w:sz w:val="24"/>
          <w:szCs w:val="24"/>
        </w:rPr>
        <w:t xml:space="preserve">-svampemidler som </w:t>
      </w:r>
      <w:proofErr w:type="spellStart"/>
      <w:r w:rsidRPr="002B5638">
        <w:rPr>
          <w:sz w:val="24"/>
          <w:szCs w:val="24"/>
        </w:rPr>
        <w:t>ketoconazol</w:t>
      </w:r>
      <w:proofErr w:type="spellEnd"/>
      <w:r w:rsidRPr="002B5638">
        <w:rPr>
          <w:sz w:val="24"/>
          <w:szCs w:val="24"/>
        </w:rPr>
        <w:t xml:space="preserve">, </w:t>
      </w:r>
      <w:proofErr w:type="spellStart"/>
      <w:r w:rsidRPr="002B5638">
        <w:rPr>
          <w:sz w:val="24"/>
          <w:szCs w:val="24"/>
        </w:rPr>
        <w:t>itraconazol</w:t>
      </w:r>
      <w:proofErr w:type="spellEnd"/>
      <w:r w:rsidRPr="002B5638">
        <w:rPr>
          <w:sz w:val="24"/>
          <w:szCs w:val="24"/>
        </w:rPr>
        <w:t xml:space="preserve">, </w:t>
      </w:r>
      <w:proofErr w:type="spellStart"/>
      <w:r w:rsidRPr="002B5638">
        <w:rPr>
          <w:sz w:val="24"/>
          <w:szCs w:val="24"/>
        </w:rPr>
        <w:t>posaconazol</w:t>
      </w:r>
      <w:proofErr w:type="spellEnd"/>
      <w:r w:rsidRPr="002B5638">
        <w:rPr>
          <w:sz w:val="24"/>
          <w:szCs w:val="24"/>
        </w:rPr>
        <w:t xml:space="preserve"> og anden medicin som </w:t>
      </w:r>
      <w:proofErr w:type="spellStart"/>
      <w:r w:rsidRPr="002B5638">
        <w:rPr>
          <w:sz w:val="24"/>
          <w:szCs w:val="24"/>
        </w:rPr>
        <w:t>erlotinib</w:t>
      </w:r>
      <w:proofErr w:type="spellEnd"/>
      <w:r w:rsidRPr="002B5638">
        <w:rPr>
          <w:sz w:val="24"/>
          <w:szCs w:val="24"/>
        </w:rPr>
        <w:t>.</w:t>
      </w:r>
    </w:p>
    <w:p w:rsidR="00872FA3" w:rsidRPr="002B5638" w:rsidRDefault="00872FA3" w:rsidP="00872FA3">
      <w:pPr>
        <w:ind w:left="851"/>
        <w:rPr>
          <w:sz w:val="24"/>
          <w:szCs w:val="24"/>
        </w:rPr>
      </w:pPr>
    </w:p>
    <w:p w:rsidR="00872FA3" w:rsidRPr="002B5638" w:rsidRDefault="00872FA3" w:rsidP="00872FA3">
      <w:pPr>
        <w:keepNext/>
        <w:ind w:left="851"/>
        <w:rPr>
          <w:iCs/>
          <w:sz w:val="24"/>
          <w:szCs w:val="24"/>
          <w:u w:val="single"/>
        </w:rPr>
      </w:pPr>
      <w:r w:rsidRPr="002B5638">
        <w:rPr>
          <w:iCs/>
          <w:sz w:val="24"/>
          <w:szCs w:val="24"/>
          <w:u w:val="single"/>
        </w:rPr>
        <w:t xml:space="preserve">HIV </w:t>
      </w:r>
      <w:proofErr w:type="spellStart"/>
      <w:r w:rsidRPr="002B5638">
        <w:rPr>
          <w:iCs/>
          <w:sz w:val="24"/>
          <w:szCs w:val="24"/>
          <w:u w:val="single"/>
        </w:rPr>
        <w:t>protease-hæmmere</w:t>
      </w:r>
      <w:proofErr w:type="spellEnd"/>
    </w:p>
    <w:p w:rsidR="00872FA3" w:rsidRPr="002B5638" w:rsidRDefault="00872FA3" w:rsidP="00872FA3">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frarådes grundet en signifikant reduktion af disses biotilgængelighed (se pkt.</w:t>
      </w:r>
      <w:r>
        <w:rPr>
          <w:sz w:val="24"/>
          <w:szCs w:val="24"/>
        </w:rPr>
        <w:t> </w:t>
      </w:r>
      <w:r w:rsidRPr="002B5638">
        <w:rPr>
          <w:sz w:val="24"/>
          <w:szCs w:val="24"/>
        </w:rPr>
        <w:t>4.4).</w:t>
      </w:r>
    </w:p>
    <w:p w:rsidR="00872FA3" w:rsidRPr="002B5638" w:rsidRDefault="00872FA3" w:rsidP="00872FA3">
      <w:pPr>
        <w:ind w:left="851"/>
        <w:rPr>
          <w:sz w:val="24"/>
          <w:szCs w:val="24"/>
        </w:rPr>
      </w:pPr>
    </w:p>
    <w:p w:rsidR="00872FA3" w:rsidRPr="002B5638" w:rsidRDefault="00872FA3" w:rsidP="00872FA3">
      <w:pPr>
        <w:ind w:left="851"/>
        <w:rPr>
          <w:sz w:val="24"/>
          <w:szCs w:val="24"/>
        </w:rPr>
      </w:pPr>
      <w:r w:rsidRPr="002B5638">
        <w:rPr>
          <w:sz w:val="24"/>
          <w:szCs w:val="24"/>
        </w:rPr>
        <w:t xml:space="preserve">Hvis kombinationen af HIV </w:t>
      </w:r>
      <w:proofErr w:type="spellStart"/>
      <w:r w:rsidRPr="002B5638">
        <w:rPr>
          <w:sz w:val="24"/>
          <w:szCs w:val="24"/>
        </w:rPr>
        <w:t>protease-hæmmere</w:t>
      </w:r>
      <w:proofErr w:type="spellEnd"/>
      <w:r w:rsidRPr="002B5638">
        <w:rPr>
          <w:sz w:val="24"/>
          <w:szCs w:val="24"/>
        </w:rPr>
        <w:t xml:space="preserve"> og en protonpumpehæmmer vurderes at være uundgåelig, anbefales tæt klinisk monitorering (f.eks. </w:t>
      </w:r>
      <w:r>
        <w:rPr>
          <w:sz w:val="24"/>
          <w:szCs w:val="24"/>
        </w:rPr>
        <w:t>v</w:t>
      </w:r>
      <w:r w:rsidRPr="002B5638">
        <w:rPr>
          <w:sz w:val="24"/>
          <w:szCs w:val="24"/>
        </w:rPr>
        <w:t xml:space="preserve">irusbelastning). En daglig </w:t>
      </w:r>
      <w:proofErr w:type="spellStart"/>
      <w:r w:rsidRPr="002B5638">
        <w:rPr>
          <w:sz w:val="24"/>
          <w:szCs w:val="24"/>
        </w:rPr>
        <w:t>pantoprazol</w:t>
      </w:r>
      <w:proofErr w:type="spellEnd"/>
      <w:r w:rsidRPr="002B5638">
        <w:rPr>
          <w:sz w:val="24"/>
          <w:szCs w:val="24"/>
        </w:rPr>
        <w:t xml:space="preserve"> dosis på 20 mg bør ikke overskrides. Det kan være nødvendigt at justere dosis af HIV </w:t>
      </w:r>
      <w:proofErr w:type="spellStart"/>
      <w:r w:rsidRPr="002B5638">
        <w:rPr>
          <w:sz w:val="24"/>
          <w:szCs w:val="24"/>
        </w:rPr>
        <w:t>protease-hæmmeren</w:t>
      </w:r>
      <w:proofErr w:type="spellEnd"/>
      <w:r w:rsidRPr="002B5638">
        <w:rPr>
          <w:sz w:val="24"/>
          <w:szCs w:val="24"/>
        </w:rPr>
        <w:t>.</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proofErr w:type="spellStart"/>
      <w:r w:rsidRPr="002B5638">
        <w:rPr>
          <w:iCs/>
          <w:sz w:val="24"/>
          <w:szCs w:val="24"/>
          <w:u w:val="single"/>
        </w:rPr>
        <w:t>Koumarinantikoagulantia</w:t>
      </w:r>
      <w:proofErr w:type="spellEnd"/>
      <w:r w:rsidRPr="002B5638">
        <w:rPr>
          <w:iCs/>
          <w:sz w:val="24"/>
          <w:szCs w:val="24"/>
          <w:u w:val="single"/>
        </w:rPr>
        <w:t xml:space="preserve"> (</w:t>
      </w:r>
      <w:proofErr w:type="spellStart"/>
      <w:r w:rsidRPr="002B5638">
        <w:rPr>
          <w:iCs/>
          <w:sz w:val="24"/>
          <w:szCs w:val="24"/>
          <w:u w:val="single"/>
        </w:rPr>
        <w:t>phenprocoumon</w:t>
      </w:r>
      <w:proofErr w:type="spellEnd"/>
      <w:r w:rsidRPr="002B5638">
        <w:rPr>
          <w:iCs/>
          <w:sz w:val="24"/>
          <w:szCs w:val="24"/>
          <w:u w:val="single"/>
        </w:rPr>
        <w:t xml:space="preserve"> eller </w:t>
      </w:r>
      <w:proofErr w:type="spellStart"/>
      <w:r w:rsidRPr="002B5638">
        <w:rPr>
          <w:iCs/>
          <w:sz w:val="24"/>
          <w:szCs w:val="24"/>
          <w:u w:val="single"/>
        </w:rPr>
        <w:t>warfarin</w:t>
      </w:r>
      <w:proofErr w:type="spellEnd"/>
      <w:r w:rsidRPr="002B5638">
        <w:rPr>
          <w:iCs/>
          <w:sz w:val="24"/>
          <w:szCs w:val="24"/>
          <w:u w:val="single"/>
        </w:rPr>
        <w:t>)</w:t>
      </w:r>
    </w:p>
    <w:p w:rsidR="0074531F" w:rsidRPr="002B5638" w:rsidRDefault="0074531F" w:rsidP="0074531F">
      <w:pPr>
        <w:ind w:left="851"/>
        <w:rPr>
          <w:sz w:val="24"/>
          <w:szCs w:val="24"/>
        </w:rPr>
      </w:pPr>
      <w:r w:rsidRPr="002B5638">
        <w:rPr>
          <w:sz w:val="24"/>
          <w:szCs w:val="24"/>
        </w:rPr>
        <w:t xml:space="preserve">Samtidig administration af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påvirkede ikke </w:t>
      </w:r>
      <w:proofErr w:type="spellStart"/>
      <w:r w:rsidRPr="002B5638">
        <w:rPr>
          <w:sz w:val="24"/>
          <w:szCs w:val="24"/>
        </w:rPr>
        <w:t>pharmakokinetikken</w:t>
      </w:r>
      <w:proofErr w:type="spellEnd"/>
      <w:r w:rsidRPr="002B5638">
        <w:rPr>
          <w:sz w:val="24"/>
          <w:szCs w:val="24"/>
        </w:rPr>
        <w:t xml:space="preserve"> af </w:t>
      </w:r>
      <w:proofErr w:type="spellStart"/>
      <w:r w:rsidRPr="002B5638">
        <w:rPr>
          <w:sz w:val="24"/>
          <w:szCs w:val="24"/>
        </w:rPr>
        <w:t>warfarin</w:t>
      </w:r>
      <w:proofErr w:type="spellEnd"/>
      <w:r w:rsidRPr="002B5638">
        <w:rPr>
          <w:sz w:val="24"/>
          <w:szCs w:val="24"/>
        </w:rPr>
        <w:t xml:space="preserve">, </w:t>
      </w:r>
      <w:proofErr w:type="spellStart"/>
      <w:r w:rsidRPr="002B5638">
        <w:rPr>
          <w:sz w:val="24"/>
          <w:szCs w:val="24"/>
        </w:rPr>
        <w:t>phenprocoumon</w:t>
      </w:r>
      <w:proofErr w:type="spellEnd"/>
      <w:r w:rsidRPr="002B5638">
        <w:rPr>
          <w:sz w:val="24"/>
          <w:szCs w:val="24"/>
        </w:rPr>
        <w:t xml:space="preserve"> eller INR. Der har dog været rapporter om øget INR og </w:t>
      </w:r>
      <w:proofErr w:type="spellStart"/>
      <w:r w:rsidRPr="002B5638">
        <w:rPr>
          <w:sz w:val="24"/>
          <w:szCs w:val="24"/>
        </w:rPr>
        <w:t>protrombintid</w:t>
      </w:r>
      <w:proofErr w:type="spellEnd"/>
      <w:r w:rsidRPr="002B5638">
        <w:rPr>
          <w:sz w:val="24"/>
          <w:szCs w:val="24"/>
        </w:rPr>
        <w:t xml:space="preserve"> hos patienter, der modtog </w:t>
      </w:r>
      <w:proofErr w:type="spellStart"/>
      <w:r w:rsidRPr="002B5638">
        <w:rPr>
          <w:sz w:val="24"/>
          <w:szCs w:val="24"/>
        </w:rPr>
        <w:t>PPIer</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samtidigt. Stigninger i INR og </w:t>
      </w:r>
      <w:proofErr w:type="spellStart"/>
      <w:r w:rsidRPr="002B5638">
        <w:rPr>
          <w:sz w:val="24"/>
          <w:szCs w:val="24"/>
        </w:rPr>
        <w:t>protrombintid</w:t>
      </w:r>
      <w:proofErr w:type="spellEnd"/>
      <w:r w:rsidRPr="002B5638">
        <w:rPr>
          <w:sz w:val="24"/>
          <w:szCs w:val="24"/>
        </w:rPr>
        <w:t xml:space="preserve"> kan føre til unormal blødning, og endda død. Hos patienter, der behandles med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kan det være nødvendigt at overvåge for stigninger i INR og </w:t>
      </w:r>
      <w:proofErr w:type="spellStart"/>
      <w:r w:rsidRPr="002B5638">
        <w:rPr>
          <w:sz w:val="24"/>
          <w:szCs w:val="24"/>
        </w:rPr>
        <w:t>protrombintid</w:t>
      </w:r>
      <w:proofErr w:type="spellEnd"/>
      <w:r w:rsidRPr="002B5638">
        <w:rPr>
          <w:sz w:val="24"/>
          <w:szCs w:val="24"/>
        </w:rPr>
        <w:t>.</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proofErr w:type="spellStart"/>
      <w:r w:rsidRPr="002B5638">
        <w:rPr>
          <w:iCs/>
          <w:sz w:val="24"/>
          <w:szCs w:val="24"/>
          <w:u w:val="single"/>
        </w:rPr>
        <w:t>Methotrexat</w:t>
      </w:r>
      <w:proofErr w:type="spellEnd"/>
    </w:p>
    <w:p w:rsidR="0074531F" w:rsidRPr="002B5638" w:rsidRDefault="0074531F" w:rsidP="0074531F">
      <w:pPr>
        <w:ind w:left="851"/>
        <w:rPr>
          <w:sz w:val="24"/>
          <w:szCs w:val="24"/>
        </w:rPr>
      </w:pPr>
      <w:r w:rsidRPr="002B5638">
        <w:rPr>
          <w:sz w:val="24"/>
          <w:szCs w:val="24"/>
        </w:rPr>
        <w:t xml:space="preserve">Samtidig anvendelse af høje doser </w:t>
      </w:r>
      <w:proofErr w:type="spellStart"/>
      <w:r w:rsidRPr="002B5638">
        <w:rPr>
          <w:sz w:val="24"/>
          <w:szCs w:val="24"/>
        </w:rPr>
        <w:t>methotrexat</w:t>
      </w:r>
      <w:proofErr w:type="spellEnd"/>
      <w:r w:rsidRPr="002B5638">
        <w:rPr>
          <w:sz w:val="24"/>
          <w:szCs w:val="24"/>
        </w:rPr>
        <w:t xml:space="preserve"> (dvs. 300 mg) og </w:t>
      </w:r>
      <w:proofErr w:type="spellStart"/>
      <w:r w:rsidRPr="002B5638">
        <w:rPr>
          <w:sz w:val="24"/>
          <w:szCs w:val="24"/>
        </w:rPr>
        <w:t>protonpumpehæmmere</w:t>
      </w:r>
      <w:proofErr w:type="spellEnd"/>
      <w:r w:rsidRPr="002B5638">
        <w:rPr>
          <w:sz w:val="24"/>
          <w:szCs w:val="24"/>
        </w:rPr>
        <w:t xml:space="preserve"> er blevet rapporteret at øge </w:t>
      </w:r>
      <w:proofErr w:type="spellStart"/>
      <w:r w:rsidRPr="002B5638">
        <w:rPr>
          <w:sz w:val="24"/>
          <w:szCs w:val="24"/>
        </w:rPr>
        <w:t>methotrexatniveauet</w:t>
      </w:r>
      <w:proofErr w:type="spellEnd"/>
      <w:r w:rsidRPr="002B5638">
        <w:rPr>
          <w:sz w:val="24"/>
          <w:szCs w:val="24"/>
        </w:rPr>
        <w:t xml:space="preserve"> hos nogle patienter. Derfor kan det, hvor højdosis </w:t>
      </w:r>
      <w:proofErr w:type="spellStart"/>
      <w:r w:rsidRPr="002B5638">
        <w:rPr>
          <w:sz w:val="24"/>
          <w:szCs w:val="24"/>
        </w:rPr>
        <w:t>methotrexat</w:t>
      </w:r>
      <w:proofErr w:type="spellEnd"/>
      <w:r w:rsidRPr="002B5638">
        <w:rPr>
          <w:sz w:val="24"/>
          <w:szCs w:val="24"/>
        </w:rPr>
        <w:t xml:space="preserve"> anvendes, f.eks. ved cancer og psoriasis, være nødvendigt at overveje en midlertidig </w:t>
      </w:r>
      <w:proofErr w:type="spellStart"/>
      <w:r w:rsidRPr="002B5638">
        <w:rPr>
          <w:sz w:val="24"/>
          <w:szCs w:val="24"/>
        </w:rPr>
        <w:t>seponering</w:t>
      </w:r>
      <w:proofErr w:type="spellEnd"/>
      <w:r w:rsidRPr="002B5638">
        <w:rPr>
          <w:sz w:val="24"/>
          <w:szCs w:val="24"/>
        </w:rPr>
        <w:t xml:space="preserve"> af </w:t>
      </w:r>
      <w:proofErr w:type="spellStart"/>
      <w:r w:rsidRPr="002B5638">
        <w:rPr>
          <w:sz w:val="24"/>
          <w:szCs w:val="24"/>
        </w:rPr>
        <w:t>pantoprazol</w:t>
      </w:r>
      <w:proofErr w:type="spellEnd"/>
      <w:r w:rsidRPr="002B5638">
        <w:rPr>
          <w:sz w:val="24"/>
          <w:szCs w:val="24"/>
        </w:rPr>
        <w:t>.</w:t>
      </w:r>
    </w:p>
    <w:p w:rsidR="0074531F" w:rsidRPr="002B5638" w:rsidRDefault="0074531F" w:rsidP="0074531F">
      <w:pPr>
        <w:ind w:left="851"/>
        <w:rPr>
          <w:sz w:val="24"/>
          <w:szCs w:val="24"/>
        </w:rPr>
      </w:pPr>
    </w:p>
    <w:p w:rsidR="0074531F" w:rsidRPr="002B5638" w:rsidRDefault="0074531F" w:rsidP="0074531F">
      <w:pPr>
        <w:keepNext/>
        <w:ind w:left="851"/>
        <w:rPr>
          <w:iCs/>
          <w:sz w:val="24"/>
          <w:szCs w:val="24"/>
          <w:u w:val="single"/>
        </w:rPr>
      </w:pPr>
      <w:r w:rsidRPr="002B5638">
        <w:rPr>
          <w:iCs/>
          <w:sz w:val="24"/>
          <w:szCs w:val="24"/>
          <w:u w:val="single"/>
        </w:rPr>
        <w:t>Andre interaktionsstudier</w:t>
      </w:r>
    </w:p>
    <w:p w:rsidR="0074531F" w:rsidRPr="002B5638" w:rsidRDefault="0074531F" w:rsidP="0074531F">
      <w:pPr>
        <w:ind w:left="851"/>
        <w:rPr>
          <w:sz w:val="24"/>
          <w:szCs w:val="24"/>
        </w:rPr>
      </w:pPr>
      <w:proofErr w:type="spellStart"/>
      <w:r w:rsidRPr="002B5638">
        <w:rPr>
          <w:sz w:val="24"/>
          <w:szCs w:val="24"/>
        </w:rPr>
        <w:t>Pantoprazol</w:t>
      </w:r>
      <w:proofErr w:type="spellEnd"/>
      <w:r w:rsidRPr="002B5638">
        <w:rPr>
          <w:sz w:val="24"/>
          <w:szCs w:val="24"/>
        </w:rPr>
        <w:t xml:space="preserve"> </w:t>
      </w:r>
      <w:proofErr w:type="spellStart"/>
      <w:r w:rsidRPr="002B5638">
        <w:rPr>
          <w:sz w:val="24"/>
          <w:szCs w:val="24"/>
        </w:rPr>
        <w:t>metaboliseres</w:t>
      </w:r>
      <w:proofErr w:type="spellEnd"/>
      <w:r w:rsidRPr="002B5638">
        <w:rPr>
          <w:sz w:val="24"/>
          <w:szCs w:val="24"/>
        </w:rPr>
        <w:t xml:space="preserve"> i leveren via </w:t>
      </w:r>
      <w:proofErr w:type="spellStart"/>
      <w:r w:rsidRPr="002B5638">
        <w:rPr>
          <w:sz w:val="24"/>
          <w:szCs w:val="24"/>
        </w:rPr>
        <w:t>cytokrom</w:t>
      </w:r>
      <w:proofErr w:type="spellEnd"/>
      <w:r w:rsidRPr="002B5638">
        <w:rPr>
          <w:sz w:val="24"/>
          <w:szCs w:val="24"/>
        </w:rPr>
        <w:t xml:space="preserve"> P450-enzymsystemet.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og andre </w:t>
      </w:r>
      <w:proofErr w:type="spellStart"/>
      <w:r w:rsidRPr="002B5638">
        <w:rPr>
          <w:sz w:val="24"/>
          <w:szCs w:val="24"/>
        </w:rPr>
        <w:t>metaboliseringsveje</w:t>
      </w:r>
      <w:proofErr w:type="spellEnd"/>
      <w:r w:rsidRPr="002B5638">
        <w:rPr>
          <w:sz w:val="24"/>
          <w:szCs w:val="24"/>
        </w:rPr>
        <w:t xml:space="preserve"> inkluderer oxidation via CYP3A4.</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Interaktionsstudier med lægemidler </w:t>
      </w:r>
      <w:proofErr w:type="spellStart"/>
      <w:r w:rsidRPr="002B5638">
        <w:rPr>
          <w:sz w:val="24"/>
          <w:szCs w:val="24"/>
        </w:rPr>
        <w:t>metaboliseret</w:t>
      </w:r>
      <w:proofErr w:type="spellEnd"/>
      <w:r w:rsidRPr="002B5638">
        <w:rPr>
          <w:sz w:val="24"/>
          <w:szCs w:val="24"/>
        </w:rPr>
        <w:t xml:space="preserve"> ad denne vej som f.eks. </w:t>
      </w:r>
      <w:proofErr w:type="spellStart"/>
      <w:r w:rsidRPr="002B5638">
        <w:rPr>
          <w:sz w:val="24"/>
          <w:szCs w:val="24"/>
        </w:rPr>
        <w:t>carbamazepin</w:t>
      </w:r>
      <w:proofErr w:type="spellEnd"/>
      <w:r w:rsidRPr="002B5638">
        <w:rPr>
          <w:sz w:val="24"/>
          <w:szCs w:val="24"/>
        </w:rPr>
        <w:t xml:space="preserve">, </w:t>
      </w:r>
      <w:proofErr w:type="spellStart"/>
      <w:r w:rsidRPr="002B5638">
        <w:rPr>
          <w:sz w:val="24"/>
          <w:szCs w:val="24"/>
        </w:rPr>
        <w:t>diazepam</w:t>
      </w:r>
      <w:proofErr w:type="spellEnd"/>
      <w:r w:rsidRPr="002B5638">
        <w:rPr>
          <w:sz w:val="24"/>
          <w:szCs w:val="24"/>
        </w:rPr>
        <w:t xml:space="preserve">, </w:t>
      </w:r>
      <w:proofErr w:type="spellStart"/>
      <w:r w:rsidRPr="002B5638">
        <w:rPr>
          <w:sz w:val="24"/>
          <w:szCs w:val="24"/>
        </w:rPr>
        <w:t>glibenclamid</w:t>
      </w:r>
      <w:proofErr w:type="spellEnd"/>
      <w:r w:rsidRPr="002B5638">
        <w:rPr>
          <w:sz w:val="24"/>
          <w:szCs w:val="24"/>
        </w:rPr>
        <w:t xml:space="preserve">, </w:t>
      </w:r>
      <w:proofErr w:type="spellStart"/>
      <w:r w:rsidRPr="002B5638">
        <w:rPr>
          <w:sz w:val="24"/>
          <w:szCs w:val="24"/>
        </w:rPr>
        <w:t>nifedipin</w:t>
      </w:r>
      <w:proofErr w:type="spellEnd"/>
      <w:r w:rsidRPr="002B5638">
        <w:rPr>
          <w:sz w:val="24"/>
          <w:szCs w:val="24"/>
        </w:rPr>
        <w:t xml:space="preserve"> og orale </w:t>
      </w:r>
      <w:proofErr w:type="spellStart"/>
      <w:r w:rsidRPr="002B5638">
        <w:rPr>
          <w:sz w:val="24"/>
          <w:szCs w:val="24"/>
        </w:rPr>
        <w:t>contraceptive</w:t>
      </w:r>
      <w:proofErr w:type="spellEnd"/>
      <w:r w:rsidRPr="002B5638">
        <w:rPr>
          <w:sz w:val="24"/>
          <w:szCs w:val="24"/>
        </w:rPr>
        <w:t xml:space="preserve"> produkter som </w:t>
      </w:r>
      <w:proofErr w:type="spellStart"/>
      <w:r w:rsidRPr="002B5638">
        <w:rPr>
          <w:sz w:val="24"/>
          <w:szCs w:val="24"/>
        </w:rPr>
        <w:t>levonorgestrol</w:t>
      </w:r>
      <w:proofErr w:type="spellEnd"/>
      <w:r w:rsidRPr="002B5638">
        <w:rPr>
          <w:sz w:val="24"/>
          <w:szCs w:val="24"/>
        </w:rPr>
        <w:t xml:space="preserve"> og </w:t>
      </w:r>
      <w:proofErr w:type="spellStart"/>
      <w:r w:rsidRPr="002B5638">
        <w:rPr>
          <w:sz w:val="24"/>
          <w:szCs w:val="24"/>
        </w:rPr>
        <w:t>ethinyløstradiol</w:t>
      </w:r>
      <w:proofErr w:type="spellEnd"/>
      <w:r w:rsidRPr="002B5638">
        <w:rPr>
          <w:sz w:val="24"/>
          <w:szCs w:val="24"/>
        </w:rPr>
        <w:t xml:space="preserve"> udviser ingen klinisk signifikante interaktioner.</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En interaktion mellem </w:t>
      </w:r>
      <w:proofErr w:type="spellStart"/>
      <w:r w:rsidRPr="002B5638">
        <w:rPr>
          <w:sz w:val="24"/>
          <w:szCs w:val="24"/>
        </w:rPr>
        <w:t>pantoprazol</w:t>
      </w:r>
      <w:proofErr w:type="spellEnd"/>
      <w:r w:rsidRPr="002B5638">
        <w:rPr>
          <w:sz w:val="24"/>
          <w:szCs w:val="24"/>
        </w:rPr>
        <w:t xml:space="preserve"> og andre lægemidler eller forbindelser, der </w:t>
      </w:r>
      <w:proofErr w:type="spellStart"/>
      <w:r w:rsidRPr="002B5638">
        <w:rPr>
          <w:sz w:val="24"/>
          <w:szCs w:val="24"/>
        </w:rPr>
        <w:t>metaboliseres</w:t>
      </w:r>
      <w:proofErr w:type="spellEnd"/>
      <w:r w:rsidRPr="002B5638">
        <w:rPr>
          <w:sz w:val="24"/>
          <w:szCs w:val="24"/>
        </w:rPr>
        <w:t xml:space="preserve"> af de</w:t>
      </w:r>
      <w:r w:rsidR="009C57FD">
        <w:rPr>
          <w:sz w:val="24"/>
          <w:szCs w:val="24"/>
        </w:rPr>
        <w:t>t</w:t>
      </w:r>
      <w:r w:rsidRPr="002B5638">
        <w:rPr>
          <w:sz w:val="24"/>
          <w:szCs w:val="24"/>
        </w:rPr>
        <w:t xml:space="preserve"> samme enzymsystem, kan ikke udelukkes.</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Resultater fra en række interaktionsforsøg viser, at </w:t>
      </w:r>
      <w:proofErr w:type="spellStart"/>
      <w:r w:rsidRPr="002B5638">
        <w:rPr>
          <w:sz w:val="24"/>
          <w:szCs w:val="24"/>
        </w:rPr>
        <w:t>pantoprazol</w:t>
      </w:r>
      <w:proofErr w:type="spellEnd"/>
      <w:r w:rsidRPr="002B5638">
        <w:rPr>
          <w:sz w:val="24"/>
          <w:szCs w:val="24"/>
        </w:rPr>
        <w:t xml:space="preserve"> ikke påvirker </w:t>
      </w:r>
      <w:proofErr w:type="spellStart"/>
      <w:r w:rsidRPr="002B5638">
        <w:rPr>
          <w:sz w:val="24"/>
          <w:szCs w:val="24"/>
        </w:rPr>
        <w:t>metaboliseringen</w:t>
      </w:r>
      <w:proofErr w:type="spellEnd"/>
      <w:r w:rsidRPr="002B5638">
        <w:rPr>
          <w:sz w:val="24"/>
          <w:szCs w:val="24"/>
        </w:rPr>
        <w:t xml:space="preserve"> af aktive stoffer, som </w:t>
      </w:r>
      <w:proofErr w:type="spellStart"/>
      <w:r w:rsidRPr="002B5638">
        <w:rPr>
          <w:sz w:val="24"/>
          <w:szCs w:val="24"/>
        </w:rPr>
        <w:t>metaboliseres</w:t>
      </w:r>
      <w:proofErr w:type="spellEnd"/>
      <w:r w:rsidRPr="002B5638">
        <w:rPr>
          <w:sz w:val="24"/>
          <w:szCs w:val="24"/>
        </w:rPr>
        <w:t xml:space="preserve"> af CYP1A2 (såsom koffein, </w:t>
      </w:r>
      <w:proofErr w:type="spellStart"/>
      <w:r w:rsidRPr="002B5638">
        <w:rPr>
          <w:sz w:val="24"/>
          <w:szCs w:val="24"/>
        </w:rPr>
        <w:t>theophyllin</w:t>
      </w:r>
      <w:proofErr w:type="spellEnd"/>
      <w:r w:rsidRPr="002B5638">
        <w:rPr>
          <w:sz w:val="24"/>
          <w:szCs w:val="24"/>
        </w:rPr>
        <w:t xml:space="preserve">), CYP2C9 (såsom </w:t>
      </w:r>
      <w:proofErr w:type="spellStart"/>
      <w:r w:rsidRPr="002B5638">
        <w:rPr>
          <w:sz w:val="24"/>
          <w:szCs w:val="24"/>
        </w:rPr>
        <w:t>piroxicam</w:t>
      </w:r>
      <w:proofErr w:type="spellEnd"/>
      <w:r w:rsidRPr="002B5638">
        <w:rPr>
          <w:sz w:val="24"/>
          <w:szCs w:val="24"/>
        </w:rPr>
        <w:t xml:space="preserve">, </w:t>
      </w:r>
      <w:proofErr w:type="spellStart"/>
      <w:r w:rsidRPr="002B5638">
        <w:rPr>
          <w:sz w:val="24"/>
          <w:szCs w:val="24"/>
        </w:rPr>
        <w:t>diclofenac</w:t>
      </w:r>
      <w:proofErr w:type="spellEnd"/>
      <w:r w:rsidRPr="002B5638">
        <w:rPr>
          <w:sz w:val="24"/>
          <w:szCs w:val="24"/>
        </w:rPr>
        <w:t xml:space="preserve">, </w:t>
      </w:r>
      <w:proofErr w:type="spellStart"/>
      <w:r w:rsidRPr="002B5638">
        <w:rPr>
          <w:sz w:val="24"/>
          <w:szCs w:val="24"/>
        </w:rPr>
        <w:t>naproxen</w:t>
      </w:r>
      <w:proofErr w:type="spellEnd"/>
      <w:r w:rsidRPr="002B5638">
        <w:rPr>
          <w:sz w:val="24"/>
          <w:szCs w:val="24"/>
        </w:rPr>
        <w:t xml:space="preserve">), CYP2D6 (såsom </w:t>
      </w:r>
      <w:proofErr w:type="spellStart"/>
      <w:r w:rsidRPr="002B5638">
        <w:rPr>
          <w:sz w:val="24"/>
          <w:szCs w:val="24"/>
        </w:rPr>
        <w:t>metoprolol</w:t>
      </w:r>
      <w:proofErr w:type="spellEnd"/>
      <w:r w:rsidRPr="002B5638">
        <w:rPr>
          <w:sz w:val="24"/>
          <w:szCs w:val="24"/>
        </w:rPr>
        <w:t xml:space="preserve">), CYP2E1 (såsom </w:t>
      </w:r>
      <w:proofErr w:type="spellStart"/>
      <w:r w:rsidRPr="002B5638">
        <w:rPr>
          <w:sz w:val="24"/>
          <w:szCs w:val="24"/>
        </w:rPr>
        <w:t>ethanol</w:t>
      </w:r>
      <w:proofErr w:type="spellEnd"/>
      <w:r w:rsidRPr="002B5638">
        <w:rPr>
          <w:sz w:val="24"/>
          <w:szCs w:val="24"/>
        </w:rPr>
        <w:t>), eller ikke forstyrrer p-</w:t>
      </w:r>
      <w:proofErr w:type="spellStart"/>
      <w:r w:rsidRPr="002B5638">
        <w:rPr>
          <w:sz w:val="24"/>
          <w:szCs w:val="24"/>
        </w:rPr>
        <w:t>glycoprotein</w:t>
      </w:r>
      <w:proofErr w:type="spellEnd"/>
      <w:r w:rsidRPr="002B5638">
        <w:rPr>
          <w:sz w:val="24"/>
          <w:szCs w:val="24"/>
        </w:rPr>
        <w:t xml:space="preserve"> relateret absorption af </w:t>
      </w:r>
      <w:proofErr w:type="spellStart"/>
      <w:r w:rsidRPr="002B5638">
        <w:rPr>
          <w:sz w:val="24"/>
          <w:szCs w:val="24"/>
        </w:rPr>
        <w:t>digoxin</w:t>
      </w:r>
      <w:proofErr w:type="spellEnd"/>
      <w:r w:rsidRPr="002B5638">
        <w:rPr>
          <w:sz w:val="24"/>
          <w:szCs w:val="24"/>
        </w:rPr>
        <w: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lastRenderedPageBreak/>
        <w:t xml:space="preserve">Der er ikke fundet interaktioner med samtidigt indgivne </w:t>
      </w:r>
      <w:proofErr w:type="spellStart"/>
      <w:r w:rsidRPr="002B5638">
        <w:rPr>
          <w:sz w:val="24"/>
          <w:szCs w:val="24"/>
        </w:rPr>
        <w:t>antacida</w:t>
      </w:r>
      <w:proofErr w:type="spellEnd"/>
      <w:r w:rsidRPr="002B5638">
        <w:rPr>
          <w:sz w:val="24"/>
          <w:szCs w:val="24"/>
        </w:rPr>
        <w: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Interaktionsstudier er blevet udført, idet der blev indgivet </w:t>
      </w:r>
      <w:proofErr w:type="spellStart"/>
      <w:r w:rsidRPr="002B5638">
        <w:rPr>
          <w:sz w:val="24"/>
          <w:szCs w:val="24"/>
        </w:rPr>
        <w:t>pantoprazol</w:t>
      </w:r>
      <w:proofErr w:type="spellEnd"/>
      <w:r w:rsidRPr="002B5638">
        <w:rPr>
          <w:sz w:val="24"/>
          <w:szCs w:val="24"/>
        </w:rPr>
        <w:t xml:space="preserve"> samtidigt med de respektive antibiotika (</w:t>
      </w:r>
      <w:proofErr w:type="spellStart"/>
      <w:r w:rsidRPr="002B5638">
        <w:rPr>
          <w:sz w:val="24"/>
          <w:szCs w:val="24"/>
        </w:rPr>
        <w:t>clarithromycin</w:t>
      </w:r>
      <w:proofErr w:type="spellEnd"/>
      <w:r w:rsidRPr="002B5638">
        <w:rPr>
          <w:sz w:val="24"/>
          <w:szCs w:val="24"/>
        </w:rPr>
        <w:t xml:space="preserve">, </w:t>
      </w:r>
      <w:proofErr w:type="spellStart"/>
      <w:r w:rsidRPr="002B5638">
        <w:rPr>
          <w:sz w:val="24"/>
          <w:szCs w:val="24"/>
        </w:rPr>
        <w:t>metronidazol</w:t>
      </w:r>
      <w:proofErr w:type="spellEnd"/>
      <w:r w:rsidRPr="002B5638">
        <w:rPr>
          <w:sz w:val="24"/>
          <w:szCs w:val="24"/>
        </w:rPr>
        <w:t xml:space="preserve"> og </w:t>
      </w:r>
      <w:proofErr w:type="spellStart"/>
      <w:r w:rsidRPr="002B5638">
        <w:rPr>
          <w:sz w:val="24"/>
          <w:szCs w:val="24"/>
        </w:rPr>
        <w:t>amoxicillin</w:t>
      </w:r>
      <w:proofErr w:type="spellEnd"/>
      <w:r w:rsidRPr="002B5638">
        <w:rPr>
          <w:sz w:val="24"/>
          <w:szCs w:val="24"/>
        </w:rPr>
        <w:t>). Der blev ikke fundet klinisk relevante interaktioner.</w:t>
      </w:r>
    </w:p>
    <w:p w:rsidR="0074531F" w:rsidRPr="002B5638" w:rsidRDefault="0074531F" w:rsidP="0074531F">
      <w:pPr>
        <w:ind w:left="851"/>
        <w:rPr>
          <w:sz w:val="24"/>
          <w:szCs w:val="24"/>
        </w:rPr>
      </w:pPr>
    </w:p>
    <w:p w:rsidR="0074531F" w:rsidRPr="002B5638" w:rsidRDefault="0074531F" w:rsidP="0074531F">
      <w:pPr>
        <w:keepNext/>
        <w:ind w:left="851"/>
        <w:rPr>
          <w:i/>
          <w:sz w:val="24"/>
          <w:szCs w:val="24"/>
        </w:rPr>
      </w:pPr>
      <w:r w:rsidRPr="002B5638">
        <w:rPr>
          <w:i/>
          <w:sz w:val="24"/>
          <w:szCs w:val="24"/>
        </w:rPr>
        <w:t>Lægemidler, der hæmmer eller inducerer CYP2C19</w:t>
      </w:r>
    </w:p>
    <w:p w:rsidR="0074531F" w:rsidRPr="002B5638" w:rsidRDefault="0074531F" w:rsidP="0074531F">
      <w:pPr>
        <w:ind w:left="851"/>
        <w:rPr>
          <w:sz w:val="24"/>
          <w:szCs w:val="24"/>
        </w:rPr>
      </w:pPr>
      <w:proofErr w:type="spellStart"/>
      <w:r w:rsidRPr="002B5638">
        <w:rPr>
          <w:sz w:val="24"/>
          <w:szCs w:val="24"/>
        </w:rPr>
        <w:t>Hæmmere</w:t>
      </w:r>
      <w:proofErr w:type="spellEnd"/>
      <w:r w:rsidRPr="002B5638">
        <w:rPr>
          <w:sz w:val="24"/>
          <w:szCs w:val="24"/>
        </w:rPr>
        <w:t xml:space="preserve"> af CYP2C19 såsom </w:t>
      </w:r>
      <w:proofErr w:type="spellStart"/>
      <w:r w:rsidRPr="002B5638">
        <w:rPr>
          <w:sz w:val="24"/>
          <w:szCs w:val="24"/>
        </w:rPr>
        <w:t>fluvoxamin</w:t>
      </w:r>
      <w:proofErr w:type="spellEnd"/>
      <w:r w:rsidRPr="002B5638">
        <w:rPr>
          <w:sz w:val="24"/>
          <w:szCs w:val="24"/>
        </w:rPr>
        <w:t xml:space="preserve"> kan øge den systemiske eksponering af </w:t>
      </w:r>
      <w:proofErr w:type="spellStart"/>
      <w:r w:rsidRPr="002B5638">
        <w:rPr>
          <w:sz w:val="24"/>
          <w:szCs w:val="24"/>
        </w:rPr>
        <w:t>pantoprazol</w:t>
      </w:r>
      <w:proofErr w:type="spellEnd"/>
      <w:r w:rsidRPr="002B5638">
        <w:rPr>
          <w:sz w:val="24"/>
          <w:szCs w:val="24"/>
        </w:rPr>
        <w:t xml:space="preserve">. En reduktion af dosis kan overvejes til patienter, der er i langvarig behandling med høje doser af </w:t>
      </w:r>
      <w:proofErr w:type="spellStart"/>
      <w:r w:rsidRPr="002B5638">
        <w:rPr>
          <w:sz w:val="24"/>
          <w:szCs w:val="24"/>
        </w:rPr>
        <w:t>pantoprazol</w:t>
      </w:r>
      <w:proofErr w:type="spellEnd"/>
      <w:r w:rsidRPr="002B5638">
        <w:rPr>
          <w:sz w:val="24"/>
          <w:szCs w:val="24"/>
        </w:rPr>
        <w:t>, eller har nedsat leverfunktion.</w:t>
      </w:r>
    </w:p>
    <w:p w:rsidR="0074531F" w:rsidRPr="002B5638" w:rsidRDefault="0074531F" w:rsidP="0074531F">
      <w:pPr>
        <w:ind w:left="851"/>
        <w:rPr>
          <w:sz w:val="24"/>
          <w:szCs w:val="24"/>
        </w:rPr>
      </w:pPr>
    </w:p>
    <w:p w:rsidR="0074531F" w:rsidRDefault="0074531F" w:rsidP="0074531F">
      <w:pPr>
        <w:ind w:left="851"/>
        <w:rPr>
          <w:sz w:val="24"/>
          <w:szCs w:val="24"/>
        </w:rPr>
      </w:pPr>
      <w:r w:rsidRPr="002B5638">
        <w:rPr>
          <w:sz w:val="24"/>
          <w:szCs w:val="24"/>
        </w:rPr>
        <w:t xml:space="preserve">Enzyminducere, der påvirker CYP2C19 og CYP3A4, såsom </w:t>
      </w:r>
      <w:proofErr w:type="spellStart"/>
      <w:r w:rsidRPr="002B5638">
        <w:rPr>
          <w:sz w:val="24"/>
          <w:szCs w:val="24"/>
        </w:rPr>
        <w:t>rifampicin</w:t>
      </w:r>
      <w:proofErr w:type="spellEnd"/>
      <w:r w:rsidRPr="002B5638">
        <w:rPr>
          <w:sz w:val="24"/>
          <w:szCs w:val="24"/>
        </w:rPr>
        <w:t xml:space="preserve"> og prikbladet perikum (</w:t>
      </w:r>
      <w:r w:rsidRPr="002B5638">
        <w:rPr>
          <w:i/>
          <w:sz w:val="24"/>
          <w:szCs w:val="24"/>
        </w:rPr>
        <w:t xml:space="preserve">Hypericum </w:t>
      </w:r>
      <w:proofErr w:type="spellStart"/>
      <w:r w:rsidRPr="002B5638">
        <w:rPr>
          <w:i/>
          <w:sz w:val="24"/>
          <w:szCs w:val="24"/>
        </w:rPr>
        <w:t>perforatum</w:t>
      </w:r>
      <w:proofErr w:type="spellEnd"/>
      <w:r w:rsidRPr="002B5638">
        <w:rPr>
          <w:sz w:val="24"/>
          <w:szCs w:val="24"/>
        </w:rPr>
        <w:t xml:space="preserve">) kan reducere plasmakoncentrationerne af PPI, der </w:t>
      </w:r>
      <w:proofErr w:type="spellStart"/>
      <w:r w:rsidRPr="002B5638">
        <w:rPr>
          <w:sz w:val="24"/>
          <w:szCs w:val="24"/>
        </w:rPr>
        <w:t>metaboliseres</w:t>
      </w:r>
      <w:proofErr w:type="spellEnd"/>
      <w:r w:rsidRPr="002B5638">
        <w:rPr>
          <w:sz w:val="24"/>
          <w:szCs w:val="24"/>
        </w:rPr>
        <w:t xml:space="preserve"> via disse enzymsystemer.</w:t>
      </w:r>
    </w:p>
    <w:p w:rsidR="00DA39E1" w:rsidRDefault="00DA39E1" w:rsidP="0074531F">
      <w:pPr>
        <w:ind w:left="851"/>
        <w:rPr>
          <w:sz w:val="24"/>
          <w:szCs w:val="24"/>
        </w:rPr>
      </w:pPr>
    </w:p>
    <w:p w:rsidR="00DA39E1" w:rsidRPr="00063090" w:rsidRDefault="00DA39E1" w:rsidP="00DA39E1">
      <w:pPr>
        <w:ind w:left="851"/>
        <w:rPr>
          <w:i/>
          <w:iCs/>
          <w:sz w:val="24"/>
          <w:szCs w:val="24"/>
        </w:rPr>
      </w:pPr>
      <w:r w:rsidRPr="00063090">
        <w:rPr>
          <w:i/>
          <w:iCs/>
          <w:sz w:val="24"/>
          <w:szCs w:val="24"/>
        </w:rPr>
        <w:t>Interaktioner med laboratorietests</w:t>
      </w:r>
    </w:p>
    <w:p w:rsidR="00DA39E1" w:rsidRPr="00C84483" w:rsidRDefault="00DA39E1" w:rsidP="00DA39E1">
      <w:pPr>
        <w:ind w:left="851"/>
        <w:rPr>
          <w:sz w:val="24"/>
          <w:szCs w:val="24"/>
        </w:rPr>
      </w:pPr>
      <w:r w:rsidRPr="00063090">
        <w:rPr>
          <w:sz w:val="24"/>
          <w:szCs w:val="24"/>
        </w:rPr>
        <w:t>Der er</w:t>
      </w:r>
      <w:r>
        <w:rPr>
          <w:sz w:val="24"/>
          <w:szCs w:val="24"/>
        </w:rPr>
        <w:t xml:space="preserve"> blevet </w:t>
      </w:r>
      <w:r w:rsidRPr="00063090">
        <w:rPr>
          <w:sz w:val="24"/>
          <w:szCs w:val="24"/>
        </w:rPr>
        <w:t>rapporteret falsk-positive resultater af nogle urinscreening</w:t>
      </w:r>
      <w:r>
        <w:rPr>
          <w:sz w:val="24"/>
          <w:szCs w:val="24"/>
        </w:rPr>
        <w:t>s</w:t>
      </w:r>
      <w:r w:rsidRPr="00063090">
        <w:rPr>
          <w:sz w:val="24"/>
          <w:szCs w:val="24"/>
        </w:rPr>
        <w:t xml:space="preserve">tests for </w:t>
      </w:r>
      <w:proofErr w:type="spellStart"/>
      <w:r w:rsidRPr="00063090">
        <w:rPr>
          <w:sz w:val="24"/>
          <w:szCs w:val="24"/>
        </w:rPr>
        <w:t>tetrahydrocannabinol</w:t>
      </w:r>
      <w:proofErr w:type="spellEnd"/>
      <w:r w:rsidRPr="00063090">
        <w:rPr>
          <w:sz w:val="24"/>
          <w:szCs w:val="24"/>
        </w:rPr>
        <w:t xml:space="preserve"> (THC) hos patienter, der fik </w:t>
      </w:r>
      <w:proofErr w:type="spellStart"/>
      <w:r w:rsidRPr="00063090">
        <w:rPr>
          <w:sz w:val="24"/>
          <w:szCs w:val="24"/>
        </w:rPr>
        <w:t>pantoprazol</w:t>
      </w:r>
      <w:proofErr w:type="spellEnd"/>
      <w:r w:rsidRPr="00063090">
        <w:rPr>
          <w:sz w:val="24"/>
          <w:szCs w:val="24"/>
        </w:rPr>
        <w:t>. Der bør overvejes en alternativ metode til at verificere positive resultater.</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4.6</w:t>
      </w:r>
      <w:r w:rsidRPr="00C84483">
        <w:rPr>
          <w:b/>
          <w:sz w:val="24"/>
          <w:szCs w:val="24"/>
        </w:rPr>
        <w:tab/>
      </w:r>
      <w:r w:rsidR="002661C3">
        <w:rPr>
          <w:b/>
          <w:sz w:val="24"/>
          <w:szCs w:val="24"/>
        </w:rPr>
        <w:t>Fertilitet, g</w:t>
      </w:r>
      <w:r w:rsidRPr="00C84483">
        <w:rPr>
          <w:b/>
          <w:sz w:val="24"/>
          <w:szCs w:val="24"/>
        </w:rPr>
        <w:t>raviditet og amning</w:t>
      </w:r>
    </w:p>
    <w:p w:rsidR="0074531F" w:rsidRDefault="0074531F" w:rsidP="0074531F">
      <w:pPr>
        <w:ind w:left="851"/>
        <w:rPr>
          <w:sz w:val="24"/>
          <w:szCs w:val="24"/>
        </w:rPr>
      </w:pPr>
    </w:p>
    <w:p w:rsidR="0074531F" w:rsidRDefault="0074531F" w:rsidP="0074531F">
      <w:pPr>
        <w:ind w:left="851"/>
        <w:rPr>
          <w:sz w:val="24"/>
          <w:szCs w:val="24"/>
          <w:u w:val="single"/>
        </w:rPr>
      </w:pPr>
      <w:r>
        <w:rPr>
          <w:sz w:val="24"/>
          <w:szCs w:val="24"/>
          <w:u w:val="single"/>
        </w:rPr>
        <w:t>Graviditet</w:t>
      </w:r>
    </w:p>
    <w:p w:rsidR="00E51D09" w:rsidRPr="002B5638" w:rsidRDefault="00E51D09" w:rsidP="00E51D09">
      <w:pPr>
        <w:ind w:left="851"/>
        <w:rPr>
          <w:sz w:val="24"/>
          <w:szCs w:val="24"/>
        </w:rPr>
      </w:pPr>
      <w:r w:rsidRPr="002B5638">
        <w:rPr>
          <w:sz w:val="24"/>
          <w:szCs w:val="24"/>
        </w:rPr>
        <w:t xml:space="preserve">En moderat mængde data om gravide kvinder (mellem </w:t>
      </w:r>
      <w:r w:rsidRPr="00CD4720">
        <w:rPr>
          <w:sz w:val="24"/>
          <w:szCs w:val="24"/>
        </w:rPr>
        <w:t>300‒1.000</w:t>
      </w:r>
      <w:r w:rsidRPr="002B5638">
        <w:rPr>
          <w:sz w:val="24"/>
          <w:szCs w:val="24"/>
        </w:rPr>
        <w:t xml:space="preserve"> graviditeter) indikerer ingen misdannelser eller </w:t>
      </w:r>
      <w:proofErr w:type="spellStart"/>
      <w:r w:rsidRPr="002B5638">
        <w:rPr>
          <w:sz w:val="24"/>
          <w:szCs w:val="24"/>
        </w:rPr>
        <w:t>føtal</w:t>
      </w:r>
      <w:proofErr w:type="spellEnd"/>
      <w:r w:rsidRPr="002B5638">
        <w:rPr>
          <w:sz w:val="24"/>
          <w:szCs w:val="24"/>
        </w:rPr>
        <w:t xml:space="preserve"> / neonatal toksicitet af </w:t>
      </w:r>
      <w:proofErr w:type="spellStart"/>
      <w:r w:rsidRPr="002B5638">
        <w:rPr>
          <w:sz w:val="24"/>
          <w:szCs w:val="24"/>
        </w:rPr>
        <w:t>pantoprazol</w:t>
      </w:r>
      <w:proofErr w:type="spellEnd"/>
      <w:r w:rsidRPr="002B5638">
        <w:rPr>
          <w:sz w:val="24"/>
          <w:szCs w:val="24"/>
        </w:rPr>
        <w:t xml:space="preserve">. </w:t>
      </w:r>
    </w:p>
    <w:p w:rsidR="00E51D09" w:rsidRPr="002B5638" w:rsidRDefault="00E51D09" w:rsidP="00E51D09">
      <w:pPr>
        <w:ind w:left="851"/>
        <w:rPr>
          <w:sz w:val="24"/>
          <w:szCs w:val="24"/>
        </w:rPr>
      </w:pPr>
    </w:p>
    <w:p w:rsidR="00E51D09" w:rsidRPr="002B5638" w:rsidRDefault="00E51D09" w:rsidP="00E51D09">
      <w:pPr>
        <w:ind w:left="851"/>
        <w:rPr>
          <w:sz w:val="24"/>
          <w:szCs w:val="24"/>
        </w:rPr>
      </w:pPr>
      <w:r w:rsidRPr="002B5638">
        <w:rPr>
          <w:sz w:val="24"/>
          <w:szCs w:val="24"/>
        </w:rPr>
        <w:t>Dyreforsøg har vist reproduktionstoksicitet (se pkt.</w:t>
      </w:r>
      <w:r>
        <w:rPr>
          <w:sz w:val="24"/>
          <w:szCs w:val="24"/>
        </w:rPr>
        <w:t> </w:t>
      </w:r>
      <w:r w:rsidRPr="002B5638">
        <w:rPr>
          <w:sz w:val="24"/>
          <w:szCs w:val="24"/>
        </w:rPr>
        <w:t>5.3).</w:t>
      </w:r>
    </w:p>
    <w:p w:rsidR="00E51D09" w:rsidRPr="002B5638" w:rsidRDefault="00E51D09" w:rsidP="00E51D09">
      <w:pPr>
        <w:ind w:left="851"/>
        <w:rPr>
          <w:sz w:val="24"/>
          <w:szCs w:val="24"/>
        </w:rPr>
      </w:pPr>
    </w:p>
    <w:p w:rsidR="00E51D09" w:rsidRPr="002B5638" w:rsidRDefault="00E51D09" w:rsidP="00E51D09">
      <w:pPr>
        <w:ind w:left="851"/>
        <w:rPr>
          <w:sz w:val="24"/>
          <w:szCs w:val="24"/>
        </w:rPr>
      </w:pPr>
      <w:r w:rsidRPr="002B5638">
        <w:rPr>
          <w:sz w:val="24"/>
          <w:szCs w:val="24"/>
        </w:rPr>
        <w:t xml:space="preserve">Som en sikkerhedsforanstaltning, er det at foretrække at undgå brug af </w:t>
      </w:r>
      <w:proofErr w:type="spellStart"/>
      <w:r w:rsidRPr="002B5638">
        <w:rPr>
          <w:sz w:val="24"/>
          <w:szCs w:val="24"/>
        </w:rPr>
        <w:t>pantoprazol</w:t>
      </w:r>
      <w:proofErr w:type="spellEnd"/>
      <w:r w:rsidRPr="002B5638">
        <w:rPr>
          <w:sz w:val="24"/>
          <w:szCs w:val="24"/>
        </w:rPr>
        <w:t xml:space="preserve"> under graviditet.</w:t>
      </w:r>
    </w:p>
    <w:p w:rsidR="0074531F" w:rsidRPr="002B5638" w:rsidRDefault="0074531F" w:rsidP="0074531F">
      <w:pPr>
        <w:ind w:left="851"/>
        <w:rPr>
          <w:sz w:val="24"/>
          <w:szCs w:val="24"/>
        </w:rPr>
      </w:pPr>
    </w:p>
    <w:p w:rsidR="0074531F" w:rsidRPr="002B5638" w:rsidRDefault="0074531F" w:rsidP="0074531F">
      <w:pPr>
        <w:keepNext/>
        <w:ind w:left="851"/>
        <w:rPr>
          <w:sz w:val="24"/>
          <w:szCs w:val="24"/>
          <w:u w:val="single"/>
        </w:rPr>
      </w:pPr>
      <w:r w:rsidRPr="002B5638">
        <w:rPr>
          <w:sz w:val="24"/>
          <w:szCs w:val="24"/>
          <w:u w:val="single"/>
        </w:rPr>
        <w:t>Amning</w:t>
      </w:r>
    </w:p>
    <w:p w:rsidR="0074531F" w:rsidRPr="002B5638" w:rsidRDefault="0074531F" w:rsidP="0074531F">
      <w:pPr>
        <w:ind w:left="851"/>
        <w:rPr>
          <w:sz w:val="24"/>
          <w:szCs w:val="24"/>
        </w:rPr>
      </w:pPr>
      <w:proofErr w:type="spellStart"/>
      <w:r w:rsidRPr="002B5638">
        <w:rPr>
          <w:sz w:val="24"/>
          <w:szCs w:val="24"/>
        </w:rPr>
        <w:t>Dyreforesøg</w:t>
      </w:r>
      <w:proofErr w:type="spellEnd"/>
      <w:r w:rsidRPr="002B5638">
        <w:rPr>
          <w:sz w:val="24"/>
          <w:szCs w:val="24"/>
        </w:rPr>
        <w:t xml:space="preserve"> har vist, at </w:t>
      </w:r>
      <w:proofErr w:type="spellStart"/>
      <w:r w:rsidRPr="002B5638">
        <w:rPr>
          <w:sz w:val="24"/>
          <w:szCs w:val="24"/>
        </w:rPr>
        <w:t>pantoprazol</w:t>
      </w:r>
      <w:proofErr w:type="spellEnd"/>
      <w:r w:rsidRPr="002B5638">
        <w:rPr>
          <w:sz w:val="24"/>
          <w:szCs w:val="24"/>
        </w:rPr>
        <w:t xml:space="preserve"> udskilles i modermælk. Det er uvist, om </w:t>
      </w:r>
      <w:proofErr w:type="spellStart"/>
      <w:r w:rsidRPr="002B5638">
        <w:rPr>
          <w:sz w:val="24"/>
          <w:szCs w:val="24"/>
        </w:rPr>
        <w:t>pantoprazol</w:t>
      </w:r>
      <w:proofErr w:type="spellEnd"/>
      <w:r w:rsidRPr="002B5638">
        <w:rPr>
          <w:sz w:val="24"/>
          <w:szCs w:val="24"/>
        </w:rPr>
        <w:t xml:space="preserve"> udskilles i modermælk hos mennesker, men det er rapporteret. En risiko for nyfødte/spædbørn kan ikke udelukkes. Beslutningen om enten at afslutte amning eller at afslutte/afstå fra </w:t>
      </w:r>
      <w:proofErr w:type="spellStart"/>
      <w:r w:rsidRPr="002B5638">
        <w:rPr>
          <w:sz w:val="24"/>
          <w:szCs w:val="24"/>
        </w:rPr>
        <w:t>pantoprazol</w:t>
      </w:r>
      <w:proofErr w:type="spellEnd"/>
      <w:r w:rsidRPr="002B5638">
        <w:rPr>
          <w:sz w:val="24"/>
          <w:szCs w:val="24"/>
        </w:rPr>
        <w:t xml:space="preserve"> behandling, skal vurderes ved at opgøre fordelen ved amning for barnet overfor fordelen af </w:t>
      </w:r>
      <w:proofErr w:type="spellStart"/>
      <w:r w:rsidRPr="002B5638">
        <w:rPr>
          <w:sz w:val="24"/>
          <w:szCs w:val="24"/>
        </w:rPr>
        <w:t>pantoprazol</w:t>
      </w:r>
      <w:proofErr w:type="spellEnd"/>
      <w:r w:rsidRPr="002B5638">
        <w:rPr>
          <w:sz w:val="24"/>
          <w:szCs w:val="24"/>
        </w:rPr>
        <w:t xml:space="preserve"> behandling for kvinden.</w:t>
      </w:r>
    </w:p>
    <w:p w:rsidR="0074531F" w:rsidRPr="002B5638" w:rsidRDefault="0074531F" w:rsidP="0074531F">
      <w:pPr>
        <w:ind w:left="851"/>
        <w:rPr>
          <w:sz w:val="24"/>
          <w:szCs w:val="24"/>
        </w:rPr>
      </w:pPr>
    </w:p>
    <w:p w:rsidR="0074531F" w:rsidRPr="002B5638" w:rsidRDefault="0074531F" w:rsidP="0074531F">
      <w:pPr>
        <w:keepNext/>
        <w:ind w:left="851"/>
        <w:rPr>
          <w:sz w:val="24"/>
          <w:szCs w:val="24"/>
          <w:u w:val="single"/>
        </w:rPr>
      </w:pPr>
      <w:r w:rsidRPr="002B5638">
        <w:rPr>
          <w:sz w:val="24"/>
          <w:szCs w:val="24"/>
          <w:u w:val="single"/>
        </w:rPr>
        <w:t>Fertilitet</w:t>
      </w:r>
    </w:p>
    <w:p w:rsidR="00AF1C41" w:rsidRPr="00C84483" w:rsidRDefault="00AF1C41" w:rsidP="00AF1C41">
      <w:pPr>
        <w:ind w:left="851"/>
        <w:rPr>
          <w:sz w:val="24"/>
          <w:szCs w:val="24"/>
        </w:rPr>
      </w:pPr>
      <w:r w:rsidRPr="002B5638">
        <w:rPr>
          <w:sz w:val="24"/>
          <w:szCs w:val="24"/>
        </w:rPr>
        <w:t xml:space="preserve">Der var ingen tegn på nedsat fertilitet efter administration af </w:t>
      </w:r>
      <w:proofErr w:type="spellStart"/>
      <w:r w:rsidRPr="002B5638">
        <w:rPr>
          <w:sz w:val="24"/>
          <w:szCs w:val="24"/>
        </w:rPr>
        <w:t>pantoprazol</w:t>
      </w:r>
      <w:proofErr w:type="spellEnd"/>
      <w:r w:rsidRPr="002B5638">
        <w:rPr>
          <w:sz w:val="24"/>
          <w:szCs w:val="24"/>
        </w:rPr>
        <w:t xml:space="preserve"> i dyreforsøg (se pkt.</w:t>
      </w:r>
      <w:r>
        <w:rPr>
          <w:sz w:val="24"/>
          <w:szCs w:val="24"/>
        </w:rPr>
        <w:t> </w:t>
      </w:r>
      <w:r w:rsidRPr="002B5638">
        <w:rPr>
          <w:sz w:val="24"/>
          <w:szCs w:val="24"/>
        </w:rPr>
        <w:t>5.3).</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661C3">
        <w:rPr>
          <w:b/>
          <w:sz w:val="24"/>
          <w:szCs w:val="24"/>
        </w:rPr>
        <w:t>og</w:t>
      </w:r>
      <w:r w:rsidRPr="00C84483">
        <w:rPr>
          <w:b/>
          <w:sz w:val="24"/>
          <w:szCs w:val="24"/>
        </w:rPr>
        <w:t xml:space="preserve"> betjene maskiner</w:t>
      </w:r>
    </w:p>
    <w:p w:rsidR="0074531F" w:rsidRPr="002B5638" w:rsidRDefault="0074531F" w:rsidP="0074531F">
      <w:pPr>
        <w:ind w:left="851"/>
        <w:rPr>
          <w:sz w:val="24"/>
          <w:szCs w:val="24"/>
        </w:rPr>
      </w:pPr>
      <w:r w:rsidRPr="002B5638">
        <w:rPr>
          <w:sz w:val="24"/>
          <w:szCs w:val="24"/>
        </w:rPr>
        <w:t>Ikke mærkning.</w:t>
      </w:r>
      <w:r w:rsidRPr="002B5638">
        <w:rPr>
          <w:sz w:val="24"/>
          <w:szCs w:val="24"/>
        </w:rPr>
        <w:br/>
      </w:r>
      <w:proofErr w:type="spellStart"/>
      <w:r>
        <w:rPr>
          <w:sz w:val="24"/>
          <w:szCs w:val="24"/>
        </w:rPr>
        <w:t>Pantoprazol</w:t>
      </w:r>
      <w:proofErr w:type="spellEnd"/>
      <w:r>
        <w:rPr>
          <w:sz w:val="24"/>
          <w:szCs w:val="24"/>
        </w:rPr>
        <w:t xml:space="preserve"> "Orion"</w:t>
      </w:r>
      <w:r w:rsidRPr="002B5638">
        <w:rPr>
          <w:sz w:val="24"/>
          <w:szCs w:val="24"/>
        </w:rPr>
        <w:t xml:space="preserve"> påvirker ikke eller kun i ubetydelig grad evnen til at føre motorkøretøj og betjene maskiner.</w:t>
      </w:r>
    </w:p>
    <w:p w:rsidR="0074531F" w:rsidRPr="002B5638" w:rsidRDefault="0074531F" w:rsidP="0074531F">
      <w:pPr>
        <w:ind w:left="851"/>
        <w:rPr>
          <w:sz w:val="24"/>
          <w:szCs w:val="24"/>
        </w:rPr>
      </w:pPr>
    </w:p>
    <w:p w:rsidR="0074531F" w:rsidRPr="00C84483" w:rsidRDefault="0074531F" w:rsidP="0074531F">
      <w:pPr>
        <w:ind w:left="851"/>
        <w:rPr>
          <w:sz w:val="24"/>
          <w:szCs w:val="24"/>
        </w:rPr>
      </w:pPr>
      <w:r w:rsidRPr="002B5638">
        <w:rPr>
          <w:sz w:val="24"/>
          <w:szCs w:val="24"/>
        </w:rPr>
        <w:t>Der kan forekomme bivirkninger som f.eks. svimmelhed og synsforstyrrelser (se pkt. 4.8). Patienter, der påvirkes af disse, må ikke føre motorkøretøj eller betjene maskiner.</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4.8</w:t>
      </w:r>
      <w:r w:rsidRPr="00C84483">
        <w:rPr>
          <w:b/>
          <w:sz w:val="24"/>
          <w:szCs w:val="24"/>
        </w:rPr>
        <w:tab/>
        <w:t>Bivirkninger</w:t>
      </w:r>
    </w:p>
    <w:p w:rsidR="00AF1C41" w:rsidRDefault="00AF1C41" w:rsidP="00AF1C41">
      <w:pPr>
        <w:ind w:left="851"/>
        <w:rPr>
          <w:sz w:val="24"/>
          <w:szCs w:val="24"/>
        </w:rPr>
      </w:pPr>
      <w:r>
        <w:rPr>
          <w:sz w:val="24"/>
          <w:szCs w:val="24"/>
        </w:rPr>
        <w:lastRenderedPageBreak/>
        <w:t xml:space="preserve">Det forventes, at der i gennemsnit er 5 % af patienterne, som oplever bivirkninger. </w:t>
      </w:r>
    </w:p>
    <w:p w:rsidR="002661C3" w:rsidRDefault="002661C3" w:rsidP="002661C3">
      <w:pPr>
        <w:ind w:left="851"/>
        <w:rPr>
          <w:sz w:val="24"/>
          <w:szCs w:val="24"/>
        </w:rPr>
      </w:pPr>
    </w:p>
    <w:p w:rsidR="002661C3" w:rsidRDefault="002661C3" w:rsidP="002661C3">
      <w:pPr>
        <w:ind w:left="900"/>
        <w:rPr>
          <w:noProof/>
          <w:sz w:val="24"/>
          <w:szCs w:val="22"/>
        </w:rPr>
      </w:pPr>
      <w:r>
        <w:rPr>
          <w:sz w:val="24"/>
          <w:szCs w:val="24"/>
        </w:rPr>
        <w:t xml:space="preserve">I nedenstående tabel er bivirkninger rapporteret ved brug af </w:t>
      </w:r>
      <w:proofErr w:type="spellStart"/>
      <w:r>
        <w:rPr>
          <w:sz w:val="24"/>
          <w:szCs w:val="24"/>
        </w:rPr>
        <w:t>pantoprazol</w:t>
      </w:r>
      <w:proofErr w:type="spellEnd"/>
      <w:r>
        <w:rPr>
          <w:sz w:val="24"/>
          <w:szCs w:val="24"/>
        </w:rPr>
        <w:t xml:space="preserve"> ordnet efter følgende hyppighedsklassifikation: </w:t>
      </w:r>
      <w:r>
        <w:rPr>
          <w:noProof/>
          <w:szCs w:val="22"/>
        </w:rPr>
        <w:t>Meget almindelig (≥ 1/10); almindelig (≥ 1/100 til &lt; 1/10); ikke almindelig (≥ 1/1.000 til &lt; 1/100); sjælden (≥ 1/10.000 til &lt; 1/1.000); meget sjælden (&lt; 1/10.000), ikke kendt (kan ikke estimeres ud fra forhåndenværende data).</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For bivirkninger, der er rapporteret ved post-marketing erfaring, er det ikke muligt at anvende en bivirkningsfrekvens, og derfor er frekvensen for disse anført som </w:t>
      </w:r>
      <w:r>
        <w:rPr>
          <w:szCs w:val="24"/>
        </w:rPr>
        <w:t>"</w:t>
      </w:r>
      <w:r w:rsidRPr="002B5638">
        <w:rPr>
          <w:sz w:val="24"/>
          <w:szCs w:val="24"/>
        </w:rPr>
        <w:t>ikke kendt</w:t>
      </w:r>
      <w:r>
        <w:rPr>
          <w:szCs w:val="24"/>
        </w:rPr>
        <w:t>"</w:t>
      </w:r>
      <w:r w:rsidRPr="002B5638">
        <w:rPr>
          <w:sz w:val="24"/>
          <w:szCs w:val="24"/>
        </w:rPr>
        <w: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Inden for hver enkelt frekvensgruppe er bivirkningerne opstillet således at de alvorligste står først.</w:t>
      </w:r>
    </w:p>
    <w:p w:rsidR="0074531F" w:rsidRPr="002B5638" w:rsidRDefault="0074531F" w:rsidP="0074531F">
      <w:pPr>
        <w:ind w:left="851"/>
        <w:rPr>
          <w:sz w:val="24"/>
          <w:szCs w:val="24"/>
        </w:rPr>
      </w:pPr>
    </w:p>
    <w:p w:rsidR="00AF1C41" w:rsidRPr="002B5638" w:rsidRDefault="00AF1C41" w:rsidP="00AF1C41">
      <w:pPr>
        <w:keepNext/>
        <w:ind w:left="851"/>
        <w:rPr>
          <w:sz w:val="24"/>
          <w:szCs w:val="24"/>
        </w:rPr>
      </w:pPr>
      <w:r w:rsidRPr="002B5638">
        <w:rPr>
          <w:sz w:val="24"/>
          <w:szCs w:val="24"/>
        </w:rPr>
        <w:t>Tabel</w:t>
      </w:r>
      <w:r>
        <w:rPr>
          <w:sz w:val="24"/>
          <w:szCs w:val="24"/>
        </w:rPr>
        <w:t> </w:t>
      </w:r>
      <w:r w:rsidRPr="002B5638">
        <w:rPr>
          <w:sz w:val="24"/>
          <w:szCs w:val="24"/>
        </w:rPr>
        <w:t xml:space="preserve">1. Bivirkninger, der er observeret ved brug af </w:t>
      </w:r>
      <w:proofErr w:type="spellStart"/>
      <w:r w:rsidRPr="002B5638">
        <w:rPr>
          <w:sz w:val="24"/>
          <w:szCs w:val="24"/>
        </w:rPr>
        <w:t>pantoprazol</w:t>
      </w:r>
      <w:proofErr w:type="spellEnd"/>
      <w:r w:rsidRPr="002B5638">
        <w:rPr>
          <w:sz w:val="24"/>
          <w:szCs w:val="24"/>
        </w:rPr>
        <w:t xml:space="preserve"> i kliniske studier og efter markedsføringen.</w:t>
      </w:r>
    </w:p>
    <w:p w:rsidR="002661C3" w:rsidRDefault="002661C3" w:rsidP="002661C3">
      <w:pPr>
        <w:keepNext/>
        <w:ind w:left="851"/>
        <w:rPr>
          <w:sz w:val="24"/>
          <w:szCs w:val="24"/>
        </w:rPr>
      </w:pPr>
    </w:p>
    <w:tbl>
      <w:tblPr>
        <w:tblStyle w:val="Tabel-Gitter"/>
        <w:tblW w:w="0" w:type="auto"/>
        <w:tblLayout w:type="fixed"/>
        <w:tblLook w:val="04A0" w:firstRow="1" w:lastRow="0" w:firstColumn="1" w:lastColumn="0" w:noHBand="0" w:noVBand="1"/>
      </w:tblPr>
      <w:tblGrid>
        <w:gridCol w:w="1696"/>
        <w:gridCol w:w="1276"/>
        <w:gridCol w:w="1701"/>
        <w:gridCol w:w="1843"/>
        <w:gridCol w:w="1417"/>
        <w:gridCol w:w="1695"/>
      </w:tblGrid>
      <w:tr w:rsidR="002661C3" w:rsidTr="002661C3">
        <w:trPr>
          <w:cantSplit/>
          <w:tblHeader/>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b/>
                <w:bCs/>
                <w:sz w:val="22"/>
              </w:rPr>
              <w:t>Hyppighed</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661C3" w:rsidRDefault="002661C3">
            <w:pPr>
              <w:ind w:right="-56"/>
              <w:rPr>
                <w:rFonts w:ascii="Times New Roman" w:hAnsi="Times New Roman" w:cs="Times New Roman"/>
                <w:b/>
                <w:bCs/>
                <w:sz w:val="22"/>
              </w:rPr>
            </w:pPr>
            <w:r>
              <w:rPr>
                <w:rFonts w:ascii="Times New Roman" w:hAnsi="Times New Roman" w:cs="Times New Roman"/>
                <w:b/>
                <w:bCs/>
                <w:sz w:val="22"/>
              </w:rPr>
              <w:t>Almindelig</w:t>
            </w:r>
          </w:p>
          <w:p w:rsidR="002661C3" w:rsidRDefault="002661C3">
            <w:pPr>
              <w:rPr>
                <w:rFonts w:ascii="Times New Roman" w:hAnsi="Times New Roman" w:cs="Times New Roman"/>
                <w:b/>
                <w:bCs/>
                <w:sz w:val="22"/>
              </w:rPr>
            </w:pPr>
            <w:r>
              <w:rPr>
                <w:rFonts w:ascii="Times New Roman" w:hAnsi="Times New Roman" w:cs="Times New Roman"/>
                <w:sz w:val="22"/>
              </w:rPr>
              <w:t>(</w:t>
            </w:r>
            <w:r>
              <w:rPr>
                <w:rFonts w:ascii="Times New Roman" w:hAnsi="Times New Roman" w:cs="Times New Roman"/>
                <w:sz w:val="22"/>
              </w:rPr>
              <w:sym w:font="Symbol" w:char="F0B3"/>
            </w:r>
            <w:r>
              <w:rPr>
                <w:rFonts w:ascii="Times New Roman" w:hAnsi="Times New Roman" w:cs="Times New Roman"/>
                <w:sz w:val="22"/>
              </w:rPr>
              <w:t> 1/100 til &lt; 1/10)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b/>
                <w:bCs/>
                <w:sz w:val="22"/>
              </w:rPr>
            </w:pPr>
            <w:r>
              <w:rPr>
                <w:rFonts w:ascii="Times New Roman" w:hAnsi="Times New Roman" w:cs="Times New Roman"/>
                <w:b/>
                <w:bCs/>
                <w:sz w:val="22"/>
              </w:rPr>
              <w:t>Ikke almindelig</w:t>
            </w:r>
          </w:p>
          <w:p w:rsidR="002661C3" w:rsidRDefault="002661C3">
            <w:pPr>
              <w:ind w:right="-80"/>
              <w:rPr>
                <w:rFonts w:ascii="Times New Roman" w:hAnsi="Times New Roman" w:cs="Times New Roman"/>
                <w:sz w:val="22"/>
              </w:rPr>
            </w:pPr>
            <w:r>
              <w:rPr>
                <w:rFonts w:ascii="Times New Roman" w:hAnsi="Times New Roman" w:cs="Times New Roman"/>
                <w:sz w:val="22"/>
              </w:rPr>
              <w:t>(≥ 1/1.000 til &lt; 1/100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b/>
                <w:bCs/>
                <w:sz w:val="22"/>
              </w:rPr>
            </w:pPr>
            <w:r>
              <w:rPr>
                <w:rFonts w:ascii="Times New Roman" w:hAnsi="Times New Roman" w:cs="Times New Roman"/>
                <w:b/>
                <w:bCs/>
                <w:sz w:val="22"/>
              </w:rPr>
              <w:t>Sjælden</w:t>
            </w:r>
          </w:p>
          <w:p w:rsidR="002661C3" w:rsidRDefault="002661C3">
            <w:pPr>
              <w:rPr>
                <w:rFonts w:ascii="Times New Roman" w:hAnsi="Times New Roman" w:cs="Times New Roman"/>
                <w:sz w:val="22"/>
              </w:rPr>
            </w:pPr>
            <w:r>
              <w:rPr>
                <w:rFonts w:ascii="Times New Roman" w:hAnsi="Times New Roman" w:cs="Times New Roman"/>
                <w:sz w:val="22"/>
              </w:rPr>
              <w:t>(≥ 1/10.000 til &lt; 1/1.000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661C3" w:rsidRDefault="002661C3">
            <w:pPr>
              <w:ind w:right="-56"/>
              <w:rPr>
                <w:rFonts w:ascii="Times New Roman" w:hAnsi="Times New Roman" w:cs="Times New Roman"/>
                <w:b/>
                <w:bCs/>
                <w:sz w:val="22"/>
              </w:rPr>
            </w:pPr>
            <w:r>
              <w:rPr>
                <w:rFonts w:ascii="Times New Roman" w:hAnsi="Times New Roman" w:cs="Times New Roman"/>
                <w:b/>
                <w:bCs/>
                <w:sz w:val="22"/>
              </w:rPr>
              <w:t>Meget sjælden</w:t>
            </w:r>
          </w:p>
          <w:p w:rsidR="002661C3" w:rsidRDefault="002661C3">
            <w:pPr>
              <w:ind w:right="-56"/>
              <w:rPr>
                <w:rFonts w:ascii="Times New Roman" w:hAnsi="Times New Roman" w:cs="Times New Roman"/>
                <w:sz w:val="22"/>
              </w:rPr>
            </w:pPr>
            <w:r>
              <w:rPr>
                <w:rFonts w:ascii="Times New Roman" w:hAnsi="Times New Roman" w:cs="Times New Roman"/>
                <w:sz w:val="22"/>
              </w:rPr>
              <w:t>(&lt; 1/10.000)</w:t>
            </w:r>
          </w:p>
        </w:tc>
        <w:tc>
          <w:tcPr>
            <w:tcW w:w="1695" w:type="dxa"/>
            <w:vMerge w:val="restart"/>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b/>
                <w:bCs/>
                <w:sz w:val="22"/>
              </w:rPr>
            </w:pPr>
            <w:r>
              <w:rPr>
                <w:rFonts w:ascii="Times New Roman" w:hAnsi="Times New Roman" w:cs="Times New Roman"/>
                <w:b/>
                <w:bCs/>
                <w:sz w:val="22"/>
              </w:rPr>
              <w:t>Ikke kendt</w:t>
            </w:r>
          </w:p>
          <w:p w:rsidR="002661C3" w:rsidRDefault="002661C3">
            <w:pPr>
              <w:rPr>
                <w:rFonts w:ascii="Times New Roman" w:hAnsi="Times New Roman" w:cs="Times New Roman"/>
                <w:sz w:val="22"/>
              </w:rPr>
            </w:pPr>
            <w:r>
              <w:rPr>
                <w:rFonts w:ascii="Times New Roman" w:hAnsi="Times New Roman" w:cs="Times New Roman"/>
                <w:sz w:val="22"/>
              </w:rPr>
              <w:t>Hyppigheden kan ikke estimeres ud fra forhåndenvæ</w:t>
            </w:r>
            <w:r>
              <w:rPr>
                <w:rFonts w:ascii="Times New Roman" w:hAnsi="Times New Roman" w:cs="Times New Roman"/>
                <w:sz w:val="22"/>
              </w:rPr>
              <w:softHyphen/>
              <w:t>rende data.</w:t>
            </w:r>
          </w:p>
        </w:tc>
      </w:tr>
      <w:tr w:rsidR="002661C3" w:rsidTr="002661C3">
        <w:trPr>
          <w:cantSplit/>
          <w:tblHeader/>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b/>
                <w:bCs/>
                <w:sz w:val="22"/>
              </w:rPr>
              <w:t>Systemorgan-klasse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61C3" w:rsidRDefault="002661C3">
            <w:pPr>
              <w:rPr>
                <w:rFonts w:ascii="Times New Roman" w:hAnsi="Times New Roman" w:cs="Times New Roman"/>
                <w:b/>
                <w:bCs/>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61C3" w:rsidRDefault="002661C3">
            <w:pPr>
              <w:rPr>
                <w:rFonts w:ascii="Times New Roman" w:hAnsi="Times New Roman" w:cs="Times New Roman"/>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61C3" w:rsidRDefault="002661C3">
            <w:pPr>
              <w:rPr>
                <w:rFonts w:ascii="Times New Roman" w:hAnsi="Times New Roman" w:cs="Times New Roman"/>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61C3" w:rsidRDefault="002661C3">
            <w:pPr>
              <w:rPr>
                <w:rFonts w:ascii="Times New Roman" w:hAnsi="Times New Roman" w:cs="Times New Roman"/>
                <w:sz w:val="22"/>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2661C3" w:rsidRDefault="002661C3">
            <w:pPr>
              <w:rPr>
                <w:rFonts w:ascii="Times New Roman" w:hAnsi="Times New Roman" w:cs="Times New Roman"/>
                <w:sz w:val="22"/>
              </w:rPr>
            </w:pP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Blod og lymfesystem</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661C3" w:rsidRDefault="002661C3">
            <w:pPr>
              <w:ind w:right="-74"/>
              <w:rPr>
                <w:rFonts w:ascii="Times New Roman" w:hAnsi="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proofErr w:type="spellStart"/>
            <w:r>
              <w:rPr>
                <w:rFonts w:ascii="Times New Roman" w:hAnsi="Times New Roman" w:cs="Times New Roman"/>
                <w:sz w:val="22"/>
              </w:rPr>
              <w:t>Agranulocytose</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661C3" w:rsidRDefault="002661C3">
            <w:pPr>
              <w:ind w:right="-56"/>
              <w:rPr>
                <w:rFonts w:ascii="Times New Roman" w:hAnsi="Times New Roman" w:cs="Times New Roman"/>
                <w:sz w:val="22"/>
              </w:rPr>
            </w:pPr>
            <w:proofErr w:type="spellStart"/>
            <w:r>
              <w:rPr>
                <w:rFonts w:ascii="Times New Roman" w:hAnsi="Times New Roman" w:cs="Times New Roman"/>
                <w:sz w:val="22"/>
              </w:rPr>
              <w:t>Trombocyto</w:t>
            </w:r>
            <w:r>
              <w:rPr>
                <w:rFonts w:ascii="Times New Roman" w:hAnsi="Times New Roman" w:cs="Times New Roman"/>
                <w:sz w:val="22"/>
              </w:rPr>
              <w:softHyphen/>
              <w:t>peni</w:t>
            </w:r>
            <w:proofErr w:type="spellEnd"/>
            <w:r>
              <w:rPr>
                <w:rFonts w:ascii="Times New Roman" w:hAnsi="Times New Roman" w:cs="Times New Roman"/>
                <w:sz w:val="22"/>
              </w:rPr>
              <w:t xml:space="preserve">, </w:t>
            </w:r>
            <w:proofErr w:type="spellStart"/>
            <w:r>
              <w:rPr>
                <w:rFonts w:ascii="Times New Roman" w:hAnsi="Times New Roman" w:cs="Times New Roman"/>
                <w:sz w:val="22"/>
              </w:rPr>
              <w:t>leukopeni</w:t>
            </w:r>
            <w:proofErr w:type="spellEnd"/>
            <w:r>
              <w:rPr>
                <w:rFonts w:ascii="Times New Roman" w:hAnsi="Times New Roman" w:cs="Times New Roman"/>
                <w:sz w:val="22"/>
              </w:rPr>
              <w:t xml:space="preserve">, </w:t>
            </w:r>
            <w:proofErr w:type="spellStart"/>
            <w:r>
              <w:rPr>
                <w:rFonts w:ascii="Times New Roman" w:hAnsi="Times New Roman" w:cs="Times New Roman"/>
                <w:sz w:val="22"/>
              </w:rPr>
              <w:t>pancytopeni</w:t>
            </w:r>
            <w:proofErr w:type="spellEnd"/>
          </w:p>
        </w:tc>
        <w:tc>
          <w:tcPr>
            <w:tcW w:w="1695" w:type="dxa"/>
            <w:tcBorders>
              <w:top w:val="single" w:sz="4" w:space="0" w:color="auto"/>
              <w:left w:val="single" w:sz="4" w:space="0" w:color="auto"/>
              <w:bottom w:val="single" w:sz="4" w:space="0" w:color="auto"/>
              <w:right w:val="single" w:sz="4" w:space="0" w:color="auto"/>
            </w:tcBorders>
          </w:tcPr>
          <w:p w:rsidR="002661C3" w:rsidRDefault="002661C3">
            <w:pPr>
              <w:ind w:right="-50"/>
              <w:rPr>
                <w:rFonts w:ascii="Times New Roman" w:hAnsi="Times New Roman" w:cs="Times New Roman"/>
                <w:sz w:val="22"/>
              </w:rPr>
            </w:pP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Immunsystemet</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661C3" w:rsidRDefault="002661C3">
            <w:pPr>
              <w:ind w:right="-74"/>
              <w:rPr>
                <w:rFonts w:ascii="Times New Roman" w:hAnsi="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 xml:space="preserve">Overfølsomhed (inklusive </w:t>
            </w:r>
            <w:proofErr w:type="spellStart"/>
            <w:r>
              <w:rPr>
                <w:rFonts w:ascii="Times New Roman" w:hAnsi="Times New Roman" w:cs="Times New Roman"/>
                <w:sz w:val="22"/>
              </w:rPr>
              <w:t>anafylaktiske</w:t>
            </w:r>
            <w:proofErr w:type="spellEnd"/>
            <w:r>
              <w:rPr>
                <w:rFonts w:ascii="Times New Roman" w:hAnsi="Times New Roman" w:cs="Times New Roman"/>
                <w:sz w:val="22"/>
              </w:rPr>
              <w:t xml:space="preserve"> reaktioner og </w:t>
            </w:r>
            <w:proofErr w:type="spellStart"/>
            <w:r>
              <w:rPr>
                <w:rFonts w:ascii="Times New Roman" w:hAnsi="Times New Roman" w:cs="Times New Roman"/>
                <w:sz w:val="22"/>
              </w:rPr>
              <w:t>anafylaktisk</w:t>
            </w:r>
            <w:proofErr w:type="spellEnd"/>
            <w:r>
              <w:rPr>
                <w:rFonts w:ascii="Times New Roman" w:hAnsi="Times New Roman" w:cs="Times New Roman"/>
                <w:sz w:val="22"/>
              </w:rPr>
              <w:t xml:space="preserve"> </w:t>
            </w:r>
            <w:proofErr w:type="spellStart"/>
            <w:r>
              <w:rPr>
                <w:rFonts w:ascii="Times New Roman" w:hAnsi="Times New Roman" w:cs="Times New Roman"/>
                <w:sz w:val="22"/>
              </w:rPr>
              <w:t>shock</w:t>
            </w:r>
            <w:proofErr w:type="spellEnd"/>
            <w:r>
              <w:rPr>
                <w:rFonts w:ascii="Times New Roman" w:hAnsi="Times New Roman" w:cs="Times New Roman"/>
                <w:sz w:val="22"/>
              </w:rPr>
              <w:t>)</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tcPr>
          <w:p w:rsidR="002661C3" w:rsidRDefault="002661C3">
            <w:pPr>
              <w:ind w:right="-50"/>
              <w:rPr>
                <w:rFonts w:ascii="Times New Roman" w:hAnsi="Times New Roman" w:cs="Times New Roman"/>
                <w:sz w:val="22"/>
              </w:rPr>
            </w:pP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Metabolisme og ernæring</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661C3" w:rsidRDefault="002661C3">
            <w:pPr>
              <w:ind w:right="-74"/>
              <w:rPr>
                <w:rFonts w:ascii="Times New Roman" w:hAnsi="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proofErr w:type="spellStart"/>
            <w:r>
              <w:rPr>
                <w:rFonts w:ascii="Times New Roman" w:hAnsi="Times New Roman" w:cs="Times New Roman"/>
                <w:sz w:val="22"/>
              </w:rPr>
              <w:t>Hyperlipidæmi</w:t>
            </w:r>
            <w:proofErr w:type="spellEnd"/>
            <w:r>
              <w:rPr>
                <w:rFonts w:ascii="Times New Roman" w:hAnsi="Times New Roman" w:cs="Times New Roman"/>
                <w:sz w:val="22"/>
              </w:rPr>
              <w:t xml:space="preserve"> og forhøjede lipider (triglycerider, </w:t>
            </w:r>
            <w:proofErr w:type="spellStart"/>
            <w:r>
              <w:rPr>
                <w:rFonts w:ascii="Times New Roman" w:hAnsi="Times New Roman" w:cs="Times New Roman"/>
                <w:sz w:val="22"/>
              </w:rPr>
              <w:t>cholesterol</w:t>
            </w:r>
            <w:proofErr w:type="spellEnd"/>
            <w:r>
              <w:rPr>
                <w:rFonts w:ascii="Times New Roman" w:hAnsi="Times New Roman" w:cs="Times New Roman"/>
                <w:sz w:val="22"/>
              </w:rPr>
              <w:t>), ændring i kropsvægt</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proofErr w:type="spellStart"/>
            <w:r>
              <w:rPr>
                <w:rFonts w:ascii="Times New Roman" w:hAnsi="Times New Roman" w:cs="Times New Roman"/>
                <w:sz w:val="22"/>
              </w:rPr>
              <w:t>Hyponatræmi</w:t>
            </w:r>
            <w:proofErr w:type="spellEnd"/>
            <w:r>
              <w:rPr>
                <w:rFonts w:ascii="Times New Roman" w:hAnsi="Times New Roman" w:cs="Times New Roman"/>
                <w:sz w:val="22"/>
              </w:rPr>
              <w:t xml:space="preserve">, </w:t>
            </w:r>
            <w:proofErr w:type="spellStart"/>
            <w:r>
              <w:rPr>
                <w:rFonts w:ascii="Times New Roman" w:hAnsi="Times New Roman" w:cs="Times New Roman"/>
                <w:sz w:val="22"/>
              </w:rPr>
              <w:t>hypomagnesiæmi</w:t>
            </w:r>
            <w:proofErr w:type="spellEnd"/>
            <w:r>
              <w:rPr>
                <w:rFonts w:ascii="Times New Roman" w:hAnsi="Times New Roman" w:cs="Times New Roman"/>
                <w:sz w:val="22"/>
              </w:rPr>
              <w:t xml:space="preserve"> (se pkt. 4.4), hypokalcæmi</w:t>
            </w:r>
            <w:r>
              <w:rPr>
                <w:rFonts w:ascii="Times New Roman" w:hAnsi="Times New Roman" w:cs="Times New Roman"/>
                <w:sz w:val="22"/>
                <w:vertAlign w:val="superscript"/>
              </w:rPr>
              <w:t>1</w:t>
            </w:r>
            <w:r>
              <w:rPr>
                <w:rFonts w:ascii="Times New Roman" w:hAnsi="Times New Roman" w:cs="Times New Roman"/>
                <w:sz w:val="22"/>
              </w:rPr>
              <w:t>, hypokalæmi</w:t>
            </w:r>
            <w:r>
              <w:rPr>
                <w:rFonts w:ascii="Times New Roman" w:hAnsi="Times New Roman" w:cs="Times New Roman"/>
                <w:sz w:val="22"/>
                <w:vertAlign w:val="superscript"/>
              </w:rPr>
              <w:t>1</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Psykiske forstyrrelser</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2661C3" w:rsidRDefault="002661C3">
            <w:pPr>
              <w:ind w:right="-74"/>
              <w:rPr>
                <w:rFonts w:ascii="Times New Roman" w:hAnsi="Times New Roman" w:cs="Times New Roman"/>
                <w:sz w:val="22"/>
              </w:rPr>
            </w:pPr>
            <w:r>
              <w:rPr>
                <w:rFonts w:ascii="Times New Roman" w:hAnsi="Times New Roman" w:cs="Times New Roman"/>
                <w:sz w:val="22"/>
              </w:rPr>
              <w:t>Søvnforstyrrelser</w:t>
            </w: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Depression (og forværring af allerede eksisterende symptomer)</w:t>
            </w:r>
          </w:p>
        </w:tc>
        <w:tc>
          <w:tcPr>
            <w:tcW w:w="1417" w:type="dxa"/>
            <w:tcBorders>
              <w:top w:val="single" w:sz="4" w:space="0" w:color="auto"/>
              <w:left w:val="single" w:sz="4" w:space="0" w:color="auto"/>
              <w:bottom w:val="single" w:sz="4" w:space="0" w:color="auto"/>
              <w:right w:val="single" w:sz="4" w:space="0" w:color="auto"/>
            </w:tcBorders>
            <w:hideMark/>
          </w:tcPr>
          <w:p w:rsidR="002661C3" w:rsidRDefault="002661C3">
            <w:pPr>
              <w:ind w:right="-56"/>
              <w:rPr>
                <w:rFonts w:ascii="Times New Roman" w:hAnsi="Times New Roman" w:cs="Times New Roman"/>
                <w:sz w:val="22"/>
              </w:rPr>
            </w:pPr>
            <w:r>
              <w:rPr>
                <w:rFonts w:ascii="Times New Roman" w:hAnsi="Times New Roman" w:cs="Times New Roman"/>
                <w:sz w:val="22"/>
              </w:rPr>
              <w:t>Desoriente</w:t>
            </w:r>
            <w:r>
              <w:rPr>
                <w:rFonts w:ascii="Times New Roman" w:hAnsi="Times New Roman" w:cs="Times New Roman"/>
                <w:sz w:val="22"/>
              </w:rPr>
              <w:softHyphen/>
              <w:t>ring (og forværring af allerede eksisterende symptomer)</w:t>
            </w: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r>
              <w:rPr>
                <w:rFonts w:ascii="Times New Roman" w:hAnsi="Times New Roman" w:cs="Times New Roman"/>
                <w:sz w:val="22"/>
              </w:rPr>
              <w:t>Hallucinatio</w:t>
            </w:r>
            <w:r>
              <w:rPr>
                <w:rFonts w:ascii="Times New Roman" w:hAnsi="Times New Roman" w:cs="Times New Roman"/>
                <w:sz w:val="22"/>
              </w:rPr>
              <w:softHyphen/>
              <w:t>ner, konfusion (især hos prædisponere</w:t>
            </w:r>
            <w:r>
              <w:rPr>
                <w:rFonts w:ascii="Times New Roman" w:hAnsi="Times New Roman" w:cs="Times New Roman"/>
                <w:sz w:val="22"/>
              </w:rPr>
              <w:softHyphen/>
              <w:t>de patienter samt forværring af allerede eksisterende symptomer)</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Nervesystemet</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2661C3" w:rsidRDefault="002661C3">
            <w:pPr>
              <w:ind w:right="-74"/>
              <w:rPr>
                <w:rFonts w:ascii="Times New Roman" w:hAnsi="Times New Roman" w:cs="Times New Roman"/>
                <w:sz w:val="22"/>
              </w:rPr>
            </w:pPr>
            <w:r>
              <w:rPr>
                <w:rFonts w:ascii="Times New Roman" w:hAnsi="Times New Roman" w:cs="Times New Roman"/>
                <w:sz w:val="22"/>
              </w:rPr>
              <w:t>Hovedpine; svimmelhed</w:t>
            </w: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Smagsforstyrrel</w:t>
            </w:r>
            <w:r>
              <w:rPr>
                <w:rFonts w:ascii="Times New Roman" w:hAnsi="Times New Roman" w:cs="Times New Roman"/>
                <w:sz w:val="22"/>
              </w:rPr>
              <w:softHyphen/>
              <w:t>ser</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proofErr w:type="spellStart"/>
            <w:r>
              <w:rPr>
                <w:rFonts w:ascii="Times New Roman" w:hAnsi="Times New Roman" w:cs="Times New Roman"/>
                <w:sz w:val="22"/>
              </w:rPr>
              <w:t>Paræstesi</w:t>
            </w:r>
            <w:proofErr w:type="spellEnd"/>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Øjne</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661C3" w:rsidRDefault="002661C3">
            <w:pPr>
              <w:ind w:right="-74"/>
              <w:rPr>
                <w:rFonts w:ascii="Times New Roman" w:hAnsi="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Synsforstyrrel</w:t>
            </w:r>
            <w:r>
              <w:rPr>
                <w:rFonts w:ascii="Times New Roman" w:hAnsi="Times New Roman" w:cs="Times New Roman"/>
                <w:sz w:val="22"/>
              </w:rPr>
              <w:softHyphen/>
              <w:t>ser/sløret syn</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tcPr>
          <w:p w:rsidR="002661C3" w:rsidRDefault="002661C3">
            <w:pPr>
              <w:ind w:right="-50"/>
              <w:rPr>
                <w:rFonts w:ascii="Times New Roman" w:hAnsi="Times New Roman" w:cs="Times New Roman"/>
                <w:sz w:val="22"/>
              </w:rPr>
            </w:pP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lastRenderedPageBreak/>
              <w:t>Mave-tarm-kanalen</w:t>
            </w:r>
          </w:p>
        </w:tc>
        <w:tc>
          <w:tcPr>
            <w:tcW w:w="1276"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 xml:space="preserve">Polypper på </w:t>
            </w:r>
            <w:proofErr w:type="spellStart"/>
            <w:r>
              <w:rPr>
                <w:rFonts w:ascii="Times New Roman" w:hAnsi="Times New Roman" w:cs="Times New Roman"/>
                <w:sz w:val="22"/>
              </w:rPr>
              <w:t>fundus</w:t>
            </w:r>
            <w:proofErr w:type="spellEnd"/>
            <w:r>
              <w:rPr>
                <w:rFonts w:ascii="Times New Roman" w:hAnsi="Times New Roman" w:cs="Times New Roman"/>
                <w:sz w:val="22"/>
              </w:rPr>
              <w:t xml:space="preserve"> (godartede)</w:t>
            </w:r>
          </w:p>
        </w:tc>
        <w:tc>
          <w:tcPr>
            <w:tcW w:w="1701" w:type="dxa"/>
            <w:tcBorders>
              <w:top w:val="single" w:sz="4" w:space="0" w:color="auto"/>
              <w:left w:val="single" w:sz="4" w:space="0" w:color="auto"/>
              <w:bottom w:val="single" w:sz="4" w:space="0" w:color="auto"/>
              <w:right w:val="single" w:sz="4" w:space="0" w:color="auto"/>
            </w:tcBorders>
            <w:hideMark/>
          </w:tcPr>
          <w:p w:rsidR="002661C3" w:rsidRDefault="002661C3">
            <w:pPr>
              <w:ind w:right="-74"/>
              <w:rPr>
                <w:rFonts w:ascii="Times New Roman" w:hAnsi="Times New Roman" w:cs="Times New Roman"/>
                <w:sz w:val="22"/>
              </w:rPr>
            </w:pPr>
            <w:r>
              <w:rPr>
                <w:rFonts w:ascii="Times New Roman" w:hAnsi="Times New Roman" w:cs="Times New Roman"/>
                <w:sz w:val="22"/>
              </w:rPr>
              <w:t>Diarré kvalme/opkast</w:t>
            </w:r>
            <w:r>
              <w:rPr>
                <w:rFonts w:ascii="Times New Roman" w:hAnsi="Times New Roman" w:cs="Times New Roman"/>
                <w:sz w:val="22"/>
              </w:rPr>
              <w:softHyphen/>
              <w:t xml:space="preserve">ning, udspilet abdomen og oppustethed, forstoppelse, tørhed i munden, </w:t>
            </w:r>
            <w:proofErr w:type="spellStart"/>
            <w:r>
              <w:rPr>
                <w:rFonts w:ascii="Times New Roman" w:hAnsi="Times New Roman" w:cs="Times New Roman"/>
                <w:sz w:val="22"/>
              </w:rPr>
              <w:t>abdominale</w:t>
            </w:r>
            <w:proofErr w:type="spellEnd"/>
            <w:r>
              <w:rPr>
                <w:rFonts w:ascii="Times New Roman" w:hAnsi="Times New Roman" w:cs="Times New Roman"/>
                <w:sz w:val="22"/>
              </w:rPr>
              <w:t xml:space="preserve"> smerter og ubehag</w:t>
            </w:r>
          </w:p>
        </w:tc>
        <w:tc>
          <w:tcPr>
            <w:tcW w:w="1843"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r>
              <w:rPr>
                <w:rFonts w:ascii="Times New Roman" w:hAnsi="Times New Roman" w:cs="Times New Roman"/>
                <w:sz w:val="22"/>
              </w:rPr>
              <w:t>Mikroskopisk colitis</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Lever og galdeveje</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2661C3" w:rsidRDefault="002661C3">
            <w:pPr>
              <w:ind w:right="-74"/>
              <w:rPr>
                <w:rFonts w:ascii="Times New Roman" w:hAnsi="Times New Roman" w:cs="Times New Roman"/>
                <w:sz w:val="22"/>
              </w:rPr>
            </w:pPr>
            <w:r>
              <w:rPr>
                <w:rFonts w:ascii="Times New Roman" w:hAnsi="Times New Roman" w:cs="Times New Roman"/>
                <w:sz w:val="22"/>
              </w:rPr>
              <w:t>Forhøjede leverenzymer (</w:t>
            </w:r>
            <w:proofErr w:type="spellStart"/>
            <w:r>
              <w:rPr>
                <w:rFonts w:ascii="Times New Roman" w:hAnsi="Times New Roman" w:cs="Times New Roman"/>
                <w:sz w:val="22"/>
              </w:rPr>
              <w:t>transaminaser</w:t>
            </w:r>
            <w:proofErr w:type="spellEnd"/>
            <w:r>
              <w:rPr>
                <w:rFonts w:ascii="Times New Roman" w:hAnsi="Times New Roman" w:cs="Times New Roman"/>
                <w:sz w:val="22"/>
              </w:rPr>
              <w:t>, γ</w:t>
            </w:r>
            <w:r>
              <w:rPr>
                <w:rFonts w:ascii="Times New Roman" w:hAnsi="Times New Roman" w:cs="Times New Roman"/>
                <w:sz w:val="22"/>
              </w:rPr>
              <w:noBreakHyphen/>
              <w:t>GT)</w:t>
            </w: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Forhøjet bilirubin</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proofErr w:type="spellStart"/>
            <w:r>
              <w:rPr>
                <w:rFonts w:ascii="Times New Roman" w:hAnsi="Times New Roman" w:cs="Times New Roman"/>
                <w:sz w:val="22"/>
              </w:rPr>
              <w:t>Hepatocellulær</w:t>
            </w:r>
            <w:proofErr w:type="spellEnd"/>
            <w:r>
              <w:rPr>
                <w:rFonts w:ascii="Times New Roman" w:hAnsi="Times New Roman" w:cs="Times New Roman"/>
                <w:sz w:val="22"/>
              </w:rPr>
              <w:t xml:space="preserve"> skade, gulsot, leversvigt</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Hud og subkutane væv</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2661C3" w:rsidRDefault="002661C3">
            <w:pPr>
              <w:ind w:right="-74"/>
              <w:rPr>
                <w:rFonts w:ascii="Times New Roman" w:hAnsi="Times New Roman" w:cs="Times New Roman"/>
                <w:sz w:val="22"/>
              </w:rPr>
            </w:pPr>
            <w:r>
              <w:rPr>
                <w:rFonts w:ascii="Times New Roman" w:hAnsi="Times New Roman" w:cs="Times New Roman"/>
                <w:sz w:val="22"/>
              </w:rPr>
              <w:t>Udslæt/</w:t>
            </w:r>
            <w:proofErr w:type="spellStart"/>
            <w:r>
              <w:rPr>
                <w:rFonts w:ascii="Times New Roman" w:hAnsi="Times New Roman" w:cs="Times New Roman"/>
                <w:sz w:val="22"/>
              </w:rPr>
              <w:t>eksantem</w:t>
            </w:r>
            <w:proofErr w:type="spellEnd"/>
            <w:r>
              <w:rPr>
                <w:rFonts w:ascii="Times New Roman" w:hAnsi="Times New Roman" w:cs="Times New Roman"/>
                <w:sz w:val="22"/>
              </w:rPr>
              <w:t>/eruptioner, kløe</w:t>
            </w: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proofErr w:type="spellStart"/>
            <w:r>
              <w:rPr>
                <w:rFonts w:ascii="Times New Roman" w:hAnsi="Times New Roman" w:cs="Times New Roman"/>
                <w:sz w:val="22"/>
              </w:rPr>
              <w:t>Urticaria</w:t>
            </w:r>
            <w:proofErr w:type="spellEnd"/>
            <w:r>
              <w:rPr>
                <w:rFonts w:ascii="Times New Roman" w:hAnsi="Times New Roman" w:cs="Times New Roman"/>
                <w:sz w:val="22"/>
              </w:rPr>
              <w:t xml:space="preserve">, </w:t>
            </w:r>
            <w:proofErr w:type="spellStart"/>
            <w:r>
              <w:rPr>
                <w:rFonts w:ascii="Times New Roman" w:hAnsi="Times New Roman" w:cs="Times New Roman"/>
                <w:sz w:val="22"/>
              </w:rPr>
              <w:t>angioødem</w:t>
            </w:r>
            <w:proofErr w:type="spellEnd"/>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AF1C41" w:rsidRPr="00BD635E" w:rsidRDefault="00AF1C41" w:rsidP="00BD635E">
            <w:pPr>
              <w:ind w:right="-52"/>
              <w:rPr>
                <w:rFonts w:ascii="Times New Roman" w:hAnsi="Times New Roman" w:cs="Times New Roman"/>
                <w:sz w:val="22"/>
                <w:lang w:val="sv-SE"/>
              </w:rPr>
            </w:pPr>
            <w:r w:rsidRPr="00BD635E">
              <w:rPr>
                <w:sz w:val="22"/>
                <w:lang w:val="sv-SE"/>
              </w:rPr>
              <w:t>Stevens-Johnsons syndrom,</w:t>
            </w:r>
          </w:p>
          <w:p w:rsidR="00AF1C41" w:rsidRPr="00AF1C41" w:rsidRDefault="00AF1C41" w:rsidP="00BD635E">
            <w:pPr>
              <w:ind w:right="-52"/>
              <w:rPr>
                <w:rFonts w:ascii="Times New Roman" w:hAnsi="Times New Roman" w:cs="Times New Roman"/>
                <w:sz w:val="22"/>
                <w:lang w:val="sv-SE"/>
              </w:rPr>
            </w:pPr>
            <w:r w:rsidRPr="00BD635E">
              <w:rPr>
                <w:sz w:val="22"/>
                <w:lang w:val="sv-SE"/>
              </w:rPr>
              <w:t>Lyells syndrom (TEN),</w:t>
            </w:r>
          </w:p>
          <w:p w:rsidR="002661C3" w:rsidRDefault="00AF1C41" w:rsidP="00AF1C41">
            <w:pPr>
              <w:ind w:right="-50"/>
              <w:rPr>
                <w:rFonts w:ascii="Times New Roman" w:hAnsi="Times New Roman" w:cs="Times New Roman"/>
                <w:sz w:val="22"/>
              </w:rPr>
            </w:pPr>
            <w:r w:rsidRPr="000A551F">
              <w:rPr>
                <w:rFonts w:ascii="Times New Roman" w:hAnsi="Times New Roman" w:cs="Times New Roman"/>
                <w:sz w:val="22"/>
              </w:rPr>
              <w:t xml:space="preserve">lægemiddel-relateret reaktion med </w:t>
            </w:r>
            <w:proofErr w:type="spellStart"/>
            <w:r w:rsidRPr="000A551F">
              <w:rPr>
                <w:rFonts w:ascii="Times New Roman" w:hAnsi="Times New Roman" w:cs="Times New Roman"/>
                <w:sz w:val="22"/>
              </w:rPr>
              <w:t>eosinofili</w:t>
            </w:r>
            <w:proofErr w:type="spellEnd"/>
            <w:r w:rsidRPr="000A551F">
              <w:rPr>
                <w:rFonts w:ascii="Times New Roman" w:hAnsi="Times New Roman" w:cs="Times New Roman"/>
                <w:sz w:val="22"/>
              </w:rPr>
              <w:t xml:space="preserve"> og systemiske symptomer (DRESS),</w:t>
            </w:r>
            <w:r>
              <w:rPr>
                <w:rFonts w:ascii="Times New Roman" w:hAnsi="Times New Roman" w:cs="Times New Roman"/>
                <w:sz w:val="22"/>
              </w:rPr>
              <w:t xml:space="preserve"> </w:t>
            </w:r>
            <w:proofErr w:type="spellStart"/>
            <w:r>
              <w:rPr>
                <w:rFonts w:ascii="Times New Roman" w:hAnsi="Times New Roman" w:cs="Times New Roman"/>
                <w:sz w:val="22"/>
              </w:rPr>
              <w:t>erythema</w:t>
            </w:r>
            <w:proofErr w:type="spellEnd"/>
            <w:r>
              <w:rPr>
                <w:rFonts w:ascii="Times New Roman" w:hAnsi="Times New Roman" w:cs="Times New Roman"/>
                <w:sz w:val="22"/>
              </w:rPr>
              <w:t xml:space="preserve"> multiforme, fotosensibilitet, </w:t>
            </w:r>
            <w:proofErr w:type="spellStart"/>
            <w:r>
              <w:rPr>
                <w:rFonts w:ascii="Times New Roman" w:hAnsi="Times New Roman" w:cs="Times New Roman"/>
                <w:sz w:val="22"/>
              </w:rPr>
              <w:t>subakut</w:t>
            </w:r>
            <w:proofErr w:type="spellEnd"/>
            <w:r>
              <w:rPr>
                <w:rFonts w:ascii="Times New Roman" w:hAnsi="Times New Roman" w:cs="Times New Roman"/>
                <w:sz w:val="22"/>
              </w:rPr>
              <w:t xml:space="preserve"> </w:t>
            </w:r>
            <w:proofErr w:type="spellStart"/>
            <w:r>
              <w:rPr>
                <w:rFonts w:ascii="Times New Roman" w:hAnsi="Times New Roman" w:cs="Times New Roman"/>
                <w:sz w:val="22"/>
              </w:rPr>
              <w:t>kutan</w:t>
            </w:r>
            <w:proofErr w:type="spellEnd"/>
            <w:r>
              <w:rPr>
                <w:rFonts w:ascii="Times New Roman" w:hAnsi="Times New Roman" w:cs="Times New Roman"/>
                <w:sz w:val="22"/>
              </w:rPr>
              <w:t xml:space="preserve"> lupus </w:t>
            </w:r>
            <w:proofErr w:type="spellStart"/>
            <w:r>
              <w:rPr>
                <w:rFonts w:ascii="Times New Roman" w:hAnsi="Times New Roman" w:cs="Times New Roman"/>
                <w:sz w:val="22"/>
              </w:rPr>
              <w:t>erythematosus</w:t>
            </w:r>
            <w:proofErr w:type="spellEnd"/>
            <w:r>
              <w:rPr>
                <w:rFonts w:ascii="Times New Roman" w:hAnsi="Times New Roman" w:cs="Times New Roman"/>
                <w:sz w:val="22"/>
              </w:rPr>
              <w:t xml:space="preserve"> (se pkt. 4.4).</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Knogler, led, muskler og bindevæv</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2661C3" w:rsidRDefault="00AF1C41">
            <w:pPr>
              <w:ind w:right="-74"/>
              <w:rPr>
                <w:rFonts w:ascii="Times New Roman" w:hAnsi="Times New Roman" w:cs="Times New Roman"/>
                <w:sz w:val="22"/>
              </w:rPr>
            </w:pPr>
            <w:r>
              <w:rPr>
                <w:rFonts w:ascii="Times New Roman" w:hAnsi="Times New Roman" w:cs="Times New Roman"/>
                <w:sz w:val="22"/>
              </w:rPr>
              <w:t>Fraktur på hofte, håndled eller rygrad (se pkt.  4.4)</w:t>
            </w: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proofErr w:type="spellStart"/>
            <w:r>
              <w:rPr>
                <w:rFonts w:ascii="Times New Roman" w:hAnsi="Times New Roman" w:cs="Times New Roman"/>
                <w:sz w:val="22"/>
              </w:rPr>
              <w:t>Artralgi</w:t>
            </w:r>
            <w:proofErr w:type="spellEnd"/>
            <w:r>
              <w:rPr>
                <w:rFonts w:ascii="Times New Roman" w:hAnsi="Times New Roman" w:cs="Times New Roman"/>
                <w:sz w:val="22"/>
              </w:rPr>
              <w:t>, myalgi</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r>
              <w:rPr>
                <w:rFonts w:ascii="Times New Roman" w:hAnsi="Times New Roman" w:cs="Times New Roman"/>
                <w:sz w:val="22"/>
              </w:rPr>
              <w:t>Muskelkram</w:t>
            </w:r>
            <w:r>
              <w:rPr>
                <w:rFonts w:ascii="Times New Roman" w:hAnsi="Times New Roman" w:cs="Times New Roman"/>
                <w:sz w:val="22"/>
              </w:rPr>
              <w:softHyphen/>
              <w:t>per</w:t>
            </w:r>
            <w:r>
              <w:rPr>
                <w:rFonts w:ascii="Times New Roman" w:hAnsi="Times New Roman" w:cs="Times New Roman"/>
                <w:sz w:val="22"/>
                <w:vertAlign w:val="superscript"/>
              </w:rPr>
              <w:t>2</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Nyrer og urinveje</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661C3" w:rsidRDefault="002661C3">
            <w:pPr>
              <w:ind w:right="-74"/>
              <w:rPr>
                <w:rFonts w:ascii="Times New Roman" w:hAnsi="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hideMark/>
          </w:tcPr>
          <w:p w:rsidR="002661C3" w:rsidRDefault="002661C3">
            <w:pPr>
              <w:ind w:right="-50"/>
              <w:rPr>
                <w:rFonts w:ascii="Times New Roman" w:hAnsi="Times New Roman" w:cs="Times New Roman"/>
                <w:sz w:val="22"/>
              </w:rPr>
            </w:pPr>
            <w:proofErr w:type="spellStart"/>
            <w:r>
              <w:rPr>
                <w:rFonts w:ascii="Times New Roman" w:hAnsi="Times New Roman" w:cs="Times New Roman"/>
                <w:sz w:val="22"/>
              </w:rPr>
              <w:t>Interstitiel</w:t>
            </w:r>
            <w:proofErr w:type="spellEnd"/>
            <w:r>
              <w:rPr>
                <w:rFonts w:ascii="Times New Roman" w:hAnsi="Times New Roman" w:cs="Times New Roman"/>
                <w:sz w:val="22"/>
              </w:rPr>
              <w:t xml:space="preserve"> </w:t>
            </w:r>
            <w:proofErr w:type="spellStart"/>
            <w:r>
              <w:rPr>
                <w:rFonts w:ascii="Times New Roman" w:hAnsi="Times New Roman" w:cs="Times New Roman"/>
                <w:sz w:val="22"/>
              </w:rPr>
              <w:t>nefritis</w:t>
            </w:r>
            <w:proofErr w:type="spellEnd"/>
            <w:r>
              <w:rPr>
                <w:rFonts w:ascii="Times New Roman" w:hAnsi="Times New Roman" w:cs="Times New Roman"/>
                <w:sz w:val="22"/>
              </w:rPr>
              <w:t xml:space="preserve"> (med risiko for progression til nyresvigt)</w:t>
            </w: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t>Det reproduktive system og mammae</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661C3" w:rsidRDefault="002661C3">
            <w:pPr>
              <w:ind w:right="-74"/>
              <w:rPr>
                <w:rFonts w:ascii="Times New Roman" w:hAnsi="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proofErr w:type="spellStart"/>
            <w:r>
              <w:rPr>
                <w:rFonts w:ascii="Times New Roman" w:hAnsi="Times New Roman" w:cs="Times New Roman"/>
                <w:sz w:val="22"/>
              </w:rPr>
              <w:t>Gynækomasti</w:t>
            </w:r>
            <w:proofErr w:type="spellEnd"/>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tcPr>
          <w:p w:rsidR="002661C3" w:rsidRDefault="002661C3">
            <w:pPr>
              <w:ind w:right="-50"/>
              <w:rPr>
                <w:rFonts w:ascii="Times New Roman" w:hAnsi="Times New Roman" w:cs="Times New Roman"/>
                <w:sz w:val="22"/>
              </w:rPr>
            </w:pPr>
          </w:p>
        </w:tc>
      </w:tr>
      <w:tr w:rsidR="002661C3" w:rsidTr="002661C3">
        <w:trPr>
          <w:cantSplit/>
        </w:trPr>
        <w:tc>
          <w:tcPr>
            <w:tcW w:w="1696" w:type="dxa"/>
            <w:tcBorders>
              <w:top w:val="single" w:sz="4" w:space="0" w:color="auto"/>
              <w:left w:val="single" w:sz="4" w:space="0" w:color="auto"/>
              <w:bottom w:val="single" w:sz="4" w:space="0" w:color="auto"/>
              <w:right w:val="single" w:sz="4" w:space="0" w:color="auto"/>
            </w:tcBorders>
            <w:hideMark/>
          </w:tcPr>
          <w:p w:rsidR="002661C3" w:rsidRDefault="002661C3">
            <w:pPr>
              <w:rPr>
                <w:rFonts w:ascii="Times New Roman" w:hAnsi="Times New Roman" w:cs="Times New Roman"/>
                <w:sz w:val="22"/>
              </w:rPr>
            </w:pPr>
            <w:r>
              <w:rPr>
                <w:rFonts w:ascii="Times New Roman" w:hAnsi="Times New Roman" w:cs="Times New Roman"/>
                <w:sz w:val="22"/>
              </w:rPr>
              <w:lastRenderedPageBreak/>
              <w:t>Almene symptomer og reaktioner på administrations</w:t>
            </w:r>
            <w:r>
              <w:rPr>
                <w:rFonts w:ascii="Times New Roman" w:hAnsi="Times New Roman" w:cs="Times New Roman"/>
                <w:sz w:val="22"/>
              </w:rPr>
              <w:softHyphen/>
              <w:t>stedet</w:t>
            </w:r>
          </w:p>
        </w:tc>
        <w:tc>
          <w:tcPr>
            <w:tcW w:w="1276" w:type="dxa"/>
            <w:tcBorders>
              <w:top w:val="single" w:sz="4" w:space="0" w:color="auto"/>
              <w:left w:val="single" w:sz="4" w:space="0" w:color="auto"/>
              <w:bottom w:val="single" w:sz="4" w:space="0" w:color="auto"/>
              <w:right w:val="single" w:sz="4" w:space="0" w:color="auto"/>
            </w:tcBorders>
          </w:tcPr>
          <w:p w:rsidR="002661C3" w:rsidRDefault="002661C3">
            <w:pPr>
              <w:ind w:right="-52"/>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2661C3" w:rsidRDefault="002661C3">
            <w:pPr>
              <w:ind w:right="-74"/>
              <w:rPr>
                <w:rFonts w:ascii="Times New Roman" w:hAnsi="Times New Roman" w:cs="Times New Roman"/>
                <w:sz w:val="22"/>
              </w:rPr>
            </w:pPr>
            <w:r>
              <w:rPr>
                <w:rFonts w:ascii="Times New Roman" w:hAnsi="Times New Roman" w:cs="Times New Roman"/>
                <w:sz w:val="22"/>
              </w:rPr>
              <w:t>Asteni; træthed og utilpashed</w:t>
            </w:r>
          </w:p>
        </w:tc>
        <w:tc>
          <w:tcPr>
            <w:tcW w:w="1843" w:type="dxa"/>
            <w:tcBorders>
              <w:top w:val="single" w:sz="4" w:space="0" w:color="auto"/>
              <w:left w:val="single" w:sz="4" w:space="0" w:color="auto"/>
              <w:bottom w:val="single" w:sz="4" w:space="0" w:color="auto"/>
              <w:right w:val="single" w:sz="4" w:space="0" w:color="auto"/>
            </w:tcBorders>
            <w:hideMark/>
          </w:tcPr>
          <w:p w:rsidR="002661C3" w:rsidRDefault="002661C3">
            <w:pPr>
              <w:ind w:right="-52"/>
              <w:rPr>
                <w:rFonts w:ascii="Times New Roman" w:hAnsi="Times New Roman" w:cs="Times New Roman"/>
                <w:sz w:val="22"/>
              </w:rPr>
            </w:pPr>
            <w:r>
              <w:rPr>
                <w:rFonts w:ascii="Times New Roman" w:hAnsi="Times New Roman" w:cs="Times New Roman"/>
                <w:sz w:val="22"/>
              </w:rPr>
              <w:t>Forhøjet legemstemperatur, perifert ødem</w:t>
            </w:r>
          </w:p>
        </w:tc>
        <w:tc>
          <w:tcPr>
            <w:tcW w:w="1417" w:type="dxa"/>
            <w:tcBorders>
              <w:top w:val="single" w:sz="4" w:space="0" w:color="auto"/>
              <w:left w:val="single" w:sz="4" w:space="0" w:color="auto"/>
              <w:bottom w:val="single" w:sz="4" w:space="0" w:color="auto"/>
              <w:right w:val="single" w:sz="4" w:space="0" w:color="auto"/>
            </w:tcBorders>
          </w:tcPr>
          <w:p w:rsidR="002661C3" w:rsidRDefault="002661C3">
            <w:pPr>
              <w:ind w:right="-56"/>
              <w:rPr>
                <w:rFonts w:ascii="Times New Roman" w:hAnsi="Times New Roman" w:cs="Times New Roman"/>
                <w:sz w:val="22"/>
              </w:rPr>
            </w:pPr>
          </w:p>
        </w:tc>
        <w:tc>
          <w:tcPr>
            <w:tcW w:w="1695" w:type="dxa"/>
            <w:tcBorders>
              <w:top w:val="single" w:sz="4" w:space="0" w:color="auto"/>
              <w:left w:val="single" w:sz="4" w:space="0" w:color="auto"/>
              <w:bottom w:val="single" w:sz="4" w:space="0" w:color="auto"/>
              <w:right w:val="single" w:sz="4" w:space="0" w:color="auto"/>
            </w:tcBorders>
          </w:tcPr>
          <w:p w:rsidR="002661C3" w:rsidRDefault="002661C3">
            <w:pPr>
              <w:ind w:right="-50"/>
              <w:rPr>
                <w:rFonts w:ascii="Times New Roman" w:hAnsi="Times New Roman" w:cs="Times New Roman"/>
                <w:sz w:val="22"/>
              </w:rPr>
            </w:pPr>
          </w:p>
        </w:tc>
      </w:tr>
    </w:tbl>
    <w:p w:rsidR="002661C3" w:rsidRDefault="002661C3" w:rsidP="002661C3">
      <w:pPr>
        <w:ind w:left="851"/>
        <w:rPr>
          <w:sz w:val="22"/>
          <w:szCs w:val="22"/>
        </w:rPr>
      </w:pPr>
      <w:r>
        <w:rPr>
          <w:sz w:val="22"/>
          <w:szCs w:val="22"/>
          <w:vertAlign w:val="superscript"/>
        </w:rPr>
        <w:t>1</w:t>
      </w:r>
      <w:r>
        <w:rPr>
          <w:sz w:val="22"/>
          <w:szCs w:val="22"/>
        </w:rPr>
        <w:t xml:space="preserve"> </w:t>
      </w:r>
      <w:proofErr w:type="spellStart"/>
      <w:r>
        <w:rPr>
          <w:sz w:val="22"/>
          <w:szCs w:val="22"/>
        </w:rPr>
        <w:t>Hypokalcæmi</w:t>
      </w:r>
      <w:proofErr w:type="spellEnd"/>
      <w:r>
        <w:rPr>
          <w:sz w:val="22"/>
          <w:szCs w:val="22"/>
        </w:rPr>
        <w:t xml:space="preserve"> og/eller </w:t>
      </w:r>
      <w:proofErr w:type="spellStart"/>
      <w:r>
        <w:rPr>
          <w:sz w:val="22"/>
          <w:szCs w:val="22"/>
        </w:rPr>
        <w:t>hypokaliæmi</w:t>
      </w:r>
      <w:proofErr w:type="spellEnd"/>
      <w:r>
        <w:rPr>
          <w:sz w:val="22"/>
          <w:szCs w:val="22"/>
        </w:rPr>
        <w:t xml:space="preserve"> kan være relateret til forekomsten af </w:t>
      </w:r>
      <w:proofErr w:type="spellStart"/>
      <w:r>
        <w:rPr>
          <w:sz w:val="22"/>
          <w:szCs w:val="22"/>
        </w:rPr>
        <w:t>hypomagnesiæmi</w:t>
      </w:r>
      <w:proofErr w:type="spellEnd"/>
      <w:r>
        <w:rPr>
          <w:sz w:val="22"/>
          <w:szCs w:val="22"/>
        </w:rPr>
        <w:t xml:space="preserve"> (se pkt. 4.4).</w:t>
      </w:r>
    </w:p>
    <w:p w:rsidR="002661C3" w:rsidRDefault="002661C3" w:rsidP="002661C3">
      <w:pPr>
        <w:ind w:left="851"/>
        <w:rPr>
          <w:sz w:val="22"/>
          <w:szCs w:val="22"/>
        </w:rPr>
      </w:pPr>
      <w:r>
        <w:rPr>
          <w:sz w:val="22"/>
          <w:szCs w:val="22"/>
          <w:vertAlign w:val="superscript"/>
        </w:rPr>
        <w:t>2</w:t>
      </w:r>
      <w:r>
        <w:rPr>
          <w:sz w:val="22"/>
          <w:szCs w:val="22"/>
        </w:rPr>
        <w:t xml:space="preserve"> Muskelkramper som konsekvens af elektrolytforstyrrelser</w:t>
      </w:r>
    </w:p>
    <w:p w:rsidR="002661C3" w:rsidRDefault="002661C3" w:rsidP="002661C3">
      <w:pPr>
        <w:ind w:left="851"/>
        <w:rPr>
          <w:sz w:val="24"/>
          <w:szCs w:val="24"/>
        </w:rPr>
      </w:pPr>
    </w:p>
    <w:p w:rsidR="0074531F" w:rsidRPr="002B5638" w:rsidRDefault="0074531F" w:rsidP="0074531F">
      <w:pPr>
        <w:keepNext/>
        <w:autoSpaceDE w:val="0"/>
        <w:autoSpaceDN w:val="0"/>
        <w:adjustRightInd w:val="0"/>
        <w:ind w:left="851"/>
        <w:rPr>
          <w:sz w:val="24"/>
          <w:szCs w:val="24"/>
          <w:u w:val="single"/>
        </w:rPr>
      </w:pPr>
      <w:r w:rsidRPr="002B5638">
        <w:rPr>
          <w:sz w:val="24"/>
          <w:szCs w:val="24"/>
          <w:u w:val="single"/>
        </w:rPr>
        <w:t>Indberetning af formodede bivirkninger</w:t>
      </w:r>
    </w:p>
    <w:p w:rsidR="0074531F" w:rsidRPr="002B5638" w:rsidRDefault="0074531F" w:rsidP="0074531F">
      <w:pPr>
        <w:autoSpaceDE w:val="0"/>
        <w:autoSpaceDN w:val="0"/>
        <w:adjustRightInd w:val="0"/>
        <w:ind w:left="851"/>
        <w:rPr>
          <w:sz w:val="24"/>
          <w:szCs w:val="24"/>
        </w:rPr>
      </w:pPr>
      <w:r w:rsidRPr="002B5638">
        <w:rPr>
          <w:sz w:val="24"/>
          <w:szCs w:val="24"/>
        </w:rPr>
        <w:t>Når lægemidlet er godkendt, er indberetning af formodede bivirkninger vigtig. Det muliggør løbende overvågning af benefit/</w:t>
      </w:r>
      <w:proofErr w:type="spellStart"/>
      <w:r w:rsidRPr="002B5638">
        <w:rPr>
          <w:sz w:val="24"/>
          <w:szCs w:val="24"/>
        </w:rPr>
        <w:t>risk</w:t>
      </w:r>
      <w:proofErr w:type="spellEnd"/>
      <w:r w:rsidRPr="002B5638">
        <w:rPr>
          <w:sz w:val="24"/>
          <w:szCs w:val="24"/>
        </w:rPr>
        <w:t xml:space="preserve">-forholdet for lægemidlet. </w:t>
      </w:r>
      <w:r w:rsidR="00611946">
        <w:rPr>
          <w:sz w:val="24"/>
          <w:szCs w:val="24"/>
        </w:rPr>
        <w:t>S</w:t>
      </w:r>
      <w:r w:rsidRPr="002B5638">
        <w:rPr>
          <w:sz w:val="24"/>
          <w:szCs w:val="24"/>
        </w:rPr>
        <w:t>undhedsperson</w:t>
      </w:r>
      <w:r w:rsidR="00611946">
        <w:rPr>
          <w:sz w:val="24"/>
          <w:szCs w:val="24"/>
        </w:rPr>
        <w:t>er</w:t>
      </w:r>
      <w:r w:rsidRPr="002B5638">
        <w:rPr>
          <w:sz w:val="24"/>
          <w:szCs w:val="24"/>
        </w:rPr>
        <w:t xml:space="preserve"> anmodes om at indberette </w:t>
      </w:r>
      <w:r>
        <w:rPr>
          <w:sz w:val="24"/>
          <w:szCs w:val="24"/>
        </w:rPr>
        <w:t>alle formodede bivirkninger via:</w:t>
      </w:r>
      <w:r w:rsidRPr="002B5638">
        <w:rPr>
          <w:sz w:val="24"/>
          <w:szCs w:val="24"/>
        </w:rPr>
        <w:br/>
      </w:r>
    </w:p>
    <w:p w:rsidR="0074531F" w:rsidRDefault="0074531F" w:rsidP="0074531F">
      <w:pPr>
        <w:autoSpaceDE w:val="0"/>
        <w:autoSpaceDN w:val="0"/>
        <w:adjustRightInd w:val="0"/>
        <w:ind w:left="851"/>
        <w:rPr>
          <w:sz w:val="24"/>
          <w:szCs w:val="24"/>
        </w:rPr>
      </w:pPr>
      <w:r w:rsidRPr="002B5638">
        <w:rPr>
          <w:sz w:val="24"/>
          <w:szCs w:val="24"/>
        </w:rPr>
        <w:t>Lægemiddelstyrelsen</w:t>
      </w:r>
      <w:r w:rsidRPr="002B5638">
        <w:rPr>
          <w:sz w:val="24"/>
          <w:szCs w:val="24"/>
        </w:rPr>
        <w:cr/>
        <w:t>Axel Heides</w:t>
      </w:r>
      <w:r w:rsidR="00611946">
        <w:rPr>
          <w:sz w:val="24"/>
          <w:szCs w:val="24"/>
        </w:rPr>
        <w:t xml:space="preserve"> G</w:t>
      </w:r>
      <w:r w:rsidRPr="002B5638">
        <w:rPr>
          <w:sz w:val="24"/>
          <w:szCs w:val="24"/>
        </w:rPr>
        <w:t>ade 1</w:t>
      </w:r>
      <w:r w:rsidRPr="002B5638">
        <w:rPr>
          <w:sz w:val="24"/>
          <w:szCs w:val="24"/>
        </w:rPr>
        <w:cr/>
        <w:t>DK-2300 København S</w:t>
      </w:r>
      <w:r w:rsidRPr="002B5638">
        <w:rPr>
          <w:sz w:val="24"/>
          <w:szCs w:val="24"/>
        </w:rPr>
        <w:cr/>
        <w:t>Web</w:t>
      </w:r>
      <w:r>
        <w:rPr>
          <w:sz w:val="24"/>
          <w:szCs w:val="24"/>
        </w:rPr>
        <w:t xml:space="preserve">sted: </w:t>
      </w:r>
      <w:hyperlink r:id="rId8" w:history="1">
        <w:r w:rsidRPr="00DA51AE">
          <w:rPr>
            <w:rStyle w:val="Hyperlink"/>
            <w:sz w:val="24"/>
            <w:szCs w:val="24"/>
          </w:rPr>
          <w:t>www.meldenbivirkning.dk</w:t>
        </w:r>
      </w:hyperlink>
    </w:p>
    <w:p w:rsidR="0074531F" w:rsidRPr="00C84483" w:rsidRDefault="0074531F" w:rsidP="0074531F">
      <w:pPr>
        <w:pStyle w:val="Sidehoved"/>
        <w:tabs>
          <w:tab w:val="left" w:pos="851"/>
        </w:tabs>
        <w:ind w:left="851"/>
        <w:rPr>
          <w:szCs w:val="24"/>
        </w:rPr>
      </w:pPr>
    </w:p>
    <w:p w:rsidR="0074531F" w:rsidRPr="00C84483" w:rsidRDefault="0074531F" w:rsidP="0074531F">
      <w:pPr>
        <w:tabs>
          <w:tab w:val="left" w:pos="851"/>
        </w:tabs>
        <w:ind w:left="851" w:hanging="851"/>
        <w:rPr>
          <w:b/>
          <w:sz w:val="24"/>
          <w:szCs w:val="24"/>
        </w:rPr>
      </w:pPr>
      <w:r w:rsidRPr="00C84483">
        <w:rPr>
          <w:b/>
          <w:sz w:val="24"/>
          <w:szCs w:val="24"/>
        </w:rPr>
        <w:t>4.9</w:t>
      </w:r>
      <w:r w:rsidRPr="00C84483">
        <w:rPr>
          <w:b/>
          <w:sz w:val="24"/>
          <w:szCs w:val="24"/>
        </w:rPr>
        <w:tab/>
        <w:t>Overdosering</w:t>
      </w:r>
    </w:p>
    <w:p w:rsidR="0074531F" w:rsidRPr="002B5638" w:rsidRDefault="0074531F" w:rsidP="0074531F">
      <w:pPr>
        <w:ind w:left="851"/>
        <w:rPr>
          <w:sz w:val="24"/>
          <w:szCs w:val="24"/>
        </w:rPr>
      </w:pPr>
      <w:r w:rsidRPr="002B5638">
        <w:rPr>
          <w:sz w:val="24"/>
          <w:szCs w:val="24"/>
        </w:rPr>
        <w:t>Der er ingen kendte symptomer på overdosering</w:t>
      </w:r>
      <w:r>
        <w:rPr>
          <w:sz w:val="24"/>
          <w:szCs w:val="24"/>
        </w:rPr>
        <w:t xml:space="preserve"> hos mennesker</w:t>
      </w:r>
      <w:r w:rsidRPr="002B5638">
        <w:rPr>
          <w:sz w:val="24"/>
          <w:szCs w:val="24"/>
        </w:rPr>
        <w: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Doser op til 240 mg indgivet </w:t>
      </w:r>
      <w:proofErr w:type="spellStart"/>
      <w:r w:rsidRPr="002B5638">
        <w:rPr>
          <w:sz w:val="24"/>
          <w:szCs w:val="24"/>
        </w:rPr>
        <w:t>i.v</w:t>
      </w:r>
      <w:proofErr w:type="spellEnd"/>
      <w:r w:rsidRPr="002B5638">
        <w:rPr>
          <w:sz w:val="24"/>
          <w:szCs w:val="24"/>
        </w:rPr>
        <w:t>. over 2 minutter er fundet veltolereret.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Da </w:t>
      </w:r>
      <w:proofErr w:type="spellStart"/>
      <w:r w:rsidRPr="002B5638">
        <w:rPr>
          <w:sz w:val="24"/>
          <w:szCs w:val="24"/>
        </w:rPr>
        <w:t>pantoprazol</w:t>
      </w:r>
      <w:proofErr w:type="spellEnd"/>
      <w:r w:rsidRPr="002B5638">
        <w:rPr>
          <w:sz w:val="24"/>
          <w:szCs w:val="24"/>
        </w:rPr>
        <w:t xml:space="preserve"> i stor udstrækning er proteinbundet, er det ikke let </w:t>
      </w:r>
      <w:proofErr w:type="spellStart"/>
      <w:r w:rsidRPr="002B5638">
        <w:rPr>
          <w:sz w:val="24"/>
          <w:szCs w:val="24"/>
        </w:rPr>
        <w:t>dialyserbart</w:t>
      </w:r>
      <w:proofErr w:type="spellEnd"/>
      <w:r w:rsidRPr="002B5638">
        <w:rPr>
          <w:sz w:val="24"/>
          <w:szCs w:val="24"/>
        </w:rPr>
        <w:t>.</w:t>
      </w:r>
    </w:p>
    <w:p w:rsidR="0074531F" w:rsidRPr="002B5638" w:rsidRDefault="0074531F" w:rsidP="0074531F">
      <w:pPr>
        <w:ind w:left="851"/>
        <w:rPr>
          <w:sz w:val="24"/>
          <w:szCs w:val="24"/>
        </w:rPr>
      </w:pPr>
    </w:p>
    <w:p w:rsidR="0074531F" w:rsidRPr="00C84483" w:rsidRDefault="0074531F" w:rsidP="0074531F">
      <w:pPr>
        <w:ind w:left="851"/>
        <w:rPr>
          <w:sz w:val="24"/>
          <w:szCs w:val="24"/>
        </w:rPr>
      </w:pPr>
      <w:r w:rsidRPr="002B5638">
        <w:rPr>
          <w:sz w:val="24"/>
          <w:szCs w:val="24"/>
        </w:rPr>
        <w:t>I tilfælde af overdosering med kliniske tegn på forgiftning, kan der ikke gives nogle specifikke terapeutiske anbefalinger, bortset fra symptomatisk og understøttende behandling.</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4.10</w:t>
      </w:r>
      <w:r w:rsidRPr="00C84483">
        <w:rPr>
          <w:b/>
          <w:sz w:val="24"/>
          <w:szCs w:val="24"/>
        </w:rPr>
        <w:tab/>
        <w:t>Udlevering</w:t>
      </w:r>
    </w:p>
    <w:p w:rsidR="0074531F" w:rsidRPr="00C84483" w:rsidRDefault="0074531F" w:rsidP="0074531F">
      <w:pPr>
        <w:tabs>
          <w:tab w:val="left" w:pos="851"/>
        </w:tabs>
        <w:ind w:left="851"/>
        <w:rPr>
          <w:sz w:val="24"/>
          <w:szCs w:val="24"/>
        </w:rPr>
      </w:pPr>
      <w:r>
        <w:rPr>
          <w:sz w:val="24"/>
          <w:szCs w:val="24"/>
        </w:rPr>
        <w:t>B</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4531F" w:rsidRPr="00C84483" w:rsidRDefault="0074531F" w:rsidP="0074531F">
      <w:pPr>
        <w:tabs>
          <w:tab w:val="left" w:pos="851"/>
        </w:tabs>
        <w:ind w:left="851"/>
        <w:rPr>
          <w:sz w:val="24"/>
          <w:szCs w:val="24"/>
        </w:rPr>
      </w:pPr>
    </w:p>
    <w:p w:rsidR="0074531F" w:rsidRPr="00C84483" w:rsidRDefault="0074531F" w:rsidP="0074531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4531F" w:rsidRDefault="0074531F" w:rsidP="0074531F">
      <w:pPr>
        <w:keepNext/>
        <w:ind w:left="851"/>
        <w:rPr>
          <w:sz w:val="24"/>
          <w:szCs w:val="24"/>
          <w:u w:val="single"/>
        </w:rPr>
      </w:pPr>
    </w:p>
    <w:p w:rsidR="002661C3" w:rsidRDefault="002661C3" w:rsidP="0074531F">
      <w:pPr>
        <w:keepNext/>
        <w:ind w:left="851"/>
        <w:rPr>
          <w:sz w:val="24"/>
          <w:szCs w:val="24"/>
        </w:rPr>
      </w:pPr>
      <w:proofErr w:type="spellStart"/>
      <w:r w:rsidRPr="002661C3">
        <w:rPr>
          <w:sz w:val="24"/>
          <w:szCs w:val="24"/>
        </w:rPr>
        <w:t>Farmakoterapeutisk</w:t>
      </w:r>
      <w:proofErr w:type="spellEnd"/>
      <w:r w:rsidRPr="002661C3">
        <w:rPr>
          <w:sz w:val="24"/>
          <w:szCs w:val="24"/>
        </w:rPr>
        <w:t xml:space="preserve"> klassifikation</w:t>
      </w:r>
      <w:r>
        <w:rPr>
          <w:sz w:val="24"/>
          <w:szCs w:val="24"/>
        </w:rPr>
        <w:t xml:space="preserve">: Midler mod syrerelaterede forstyrrelser, </w:t>
      </w:r>
      <w:proofErr w:type="spellStart"/>
      <w:r w:rsidR="00AF1C41">
        <w:rPr>
          <w:sz w:val="24"/>
          <w:szCs w:val="24"/>
        </w:rPr>
        <w:t>Protonpumpehæmmere</w:t>
      </w:r>
      <w:proofErr w:type="spellEnd"/>
      <w:r w:rsidR="00AF1C41">
        <w:rPr>
          <w:sz w:val="24"/>
          <w:szCs w:val="24"/>
        </w:rPr>
        <w:t xml:space="preserve">. </w:t>
      </w:r>
      <w:r w:rsidR="00AF1C41" w:rsidRPr="002B5638">
        <w:rPr>
          <w:sz w:val="24"/>
          <w:szCs w:val="24"/>
        </w:rPr>
        <w:t>ATC</w:t>
      </w:r>
      <w:r w:rsidR="00AF1C41">
        <w:rPr>
          <w:sz w:val="24"/>
          <w:szCs w:val="24"/>
        </w:rPr>
        <w:t>-</w:t>
      </w:r>
      <w:r w:rsidR="00AF1C41" w:rsidRPr="002B5638">
        <w:rPr>
          <w:sz w:val="24"/>
          <w:szCs w:val="24"/>
        </w:rPr>
        <w:t>kode: A</w:t>
      </w:r>
      <w:r w:rsidR="00AF1C41">
        <w:rPr>
          <w:sz w:val="24"/>
          <w:szCs w:val="24"/>
        </w:rPr>
        <w:t> </w:t>
      </w:r>
      <w:r w:rsidR="00AF1C41" w:rsidRPr="002B5638">
        <w:rPr>
          <w:sz w:val="24"/>
          <w:szCs w:val="24"/>
        </w:rPr>
        <w:t>02</w:t>
      </w:r>
      <w:r w:rsidR="00AF1C41">
        <w:rPr>
          <w:sz w:val="24"/>
          <w:szCs w:val="24"/>
        </w:rPr>
        <w:t> </w:t>
      </w:r>
      <w:r w:rsidR="00AF1C41" w:rsidRPr="002B5638">
        <w:rPr>
          <w:sz w:val="24"/>
          <w:szCs w:val="24"/>
        </w:rPr>
        <w:t>BC</w:t>
      </w:r>
      <w:r w:rsidR="00AF1C41">
        <w:rPr>
          <w:sz w:val="24"/>
          <w:szCs w:val="24"/>
        </w:rPr>
        <w:t> </w:t>
      </w:r>
      <w:r w:rsidR="00AF1C41" w:rsidRPr="002B5638">
        <w:rPr>
          <w:sz w:val="24"/>
          <w:szCs w:val="24"/>
        </w:rPr>
        <w:t>02</w:t>
      </w:r>
      <w:r w:rsidR="00AF1C41">
        <w:rPr>
          <w:sz w:val="24"/>
          <w:szCs w:val="24"/>
        </w:rPr>
        <w:t>.</w:t>
      </w:r>
    </w:p>
    <w:p w:rsidR="00AF1C41" w:rsidRDefault="00AF1C41" w:rsidP="0074531F">
      <w:pPr>
        <w:keepNext/>
        <w:ind w:left="851"/>
        <w:rPr>
          <w:sz w:val="24"/>
          <w:szCs w:val="24"/>
          <w:u w:val="single"/>
        </w:rPr>
      </w:pPr>
    </w:p>
    <w:p w:rsidR="0074531F" w:rsidRPr="002B5638" w:rsidRDefault="0074531F" w:rsidP="0074531F">
      <w:pPr>
        <w:keepNext/>
        <w:ind w:left="851"/>
        <w:rPr>
          <w:sz w:val="24"/>
          <w:szCs w:val="24"/>
          <w:u w:val="single"/>
        </w:rPr>
      </w:pPr>
      <w:r w:rsidRPr="002B5638">
        <w:rPr>
          <w:sz w:val="24"/>
          <w:szCs w:val="24"/>
          <w:u w:val="single"/>
        </w:rPr>
        <w:t>Virkningsmekanisme</w:t>
      </w:r>
    </w:p>
    <w:p w:rsidR="0074531F" w:rsidRPr="002B5638" w:rsidRDefault="0074531F" w:rsidP="0074531F">
      <w:pPr>
        <w:ind w:left="851"/>
        <w:rPr>
          <w:sz w:val="24"/>
          <w:szCs w:val="24"/>
        </w:rPr>
      </w:pPr>
      <w:proofErr w:type="spellStart"/>
      <w:r w:rsidRPr="002B5638">
        <w:rPr>
          <w:sz w:val="24"/>
          <w:szCs w:val="24"/>
        </w:rPr>
        <w:t>Pantoprazol</w:t>
      </w:r>
      <w:proofErr w:type="spellEnd"/>
      <w:r w:rsidRPr="002B5638">
        <w:rPr>
          <w:sz w:val="24"/>
          <w:szCs w:val="24"/>
        </w:rPr>
        <w:t xml:space="preserve"> er en substitueret </w:t>
      </w:r>
      <w:proofErr w:type="spellStart"/>
      <w:r w:rsidRPr="002B5638">
        <w:rPr>
          <w:sz w:val="24"/>
          <w:szCs w:val="24"/>
        </w:rPr>
        <w:t>benzimidazol</w:t>
      </w:r>
      <w:proofErr w:type="spellEnd"/>
      <w:r w:rsidRPr="002B5638">
        <w:rPr>
          <w:sz w:val="24"/>
          <w:szCs w:val="24"/>
        </w:rPr>
        <w:t xml:space="preserve">, som hæmmer sekretionen af saltsyre i maven ved en specifik blokade af </w:t>
      </w:r>
      <w:proofErr w:type="spellStart"/>
      <w:r w:rsidRPr="002B5638">
        <w:rPr>
          <w:sz w:val="24"/>
          <w:szCs w:val="24"/>
        </w:rPr>
        <w:t>parietalcellernes</w:t>
      </w:r>
      <w:proofErr w:type="spellEnd"/>
      <w:r w:rsidRPr="002B5638">
        <w:rPr>
          <w:sz w:val="24"/>
          <w:szCs w:val="24"/>
        </w:rPr>
        <w:t xml:space="preserve"> protonpumper.</w:t>
      </w:r>
    </w:p>
    <w:p w:rsidR="0074531F" w:rsidRPr="002B5638" w:rsidRDefault="0074531F" w:rsidP="0074531F">
      <w:pPr>
        <w:ind w:left="851"/>
        <w:rPr>
          <w:sz w:val="24"/>
          <w:szCs w:val="24"/>
        </w:rPr>
      </w:pPr>
    </w:p>
    <w:p w:rsidR="0074531F" w:rsidRPr="002B5638" w:rsidRDefault="0074531F" w:rsidP="0074531F">
      <w:pPr>
        <w:ind w:left="851"/>
        <w:rPr>
          <w:sz w:val="24"/>
          <w:szCs w:val="24"/>
        </w:rPr>
      </w:pPr>
      <w:proofErr w:type="spellStart"/>
      <w:r w:rsidRPr="002B5638">
        <w:rPr>
          <w:sz w:val="24"/>
          <w:szCs w:val="24"/>
        </w:rPr>
        <w:lastRenderedPageBreak/>
        <w:t>Pantoprazol</w:t>
      </w:r>
      <w:proofErr w:type="spellEnd"/>
      <w:r w:rsidRPr="002B5638">
        <w:rPr>
          <w:sz w:val="24"/>
          <w:szCs w:val="24"/>
        </w:rPr>
        <w:t xml:space="preserve"> omdannes til dets aktive form i det sure miljø i </w:t>
      </w:r>
      <w:proofErr w:type="spellStart"/>
      <w:r w:rsidRPr="002B5638">
        <w:rPr>
          <w:sz w:val="24"/>
          <w:szCs w:val="24"/>
        </w:rPr>
        <w:t>parietalcellerne</w:t>
      </w:r>
      <w:proofErr w:type="spellEnd"/>
      <w:r w:rsidRPr="002B5638">
        <w:rPr>
          <w:sz w:val="24"/>
          <w:szCs w:val="24"/>
        </w:rPr>
        <w:t>, hvor det hæmmer H+/K+-</w:t>
      </w:r>
      <w:proofErr w:type="spellStart"/>
      <w:r w:rsidRPr="002B5638">
        <w:rPr>
          <w:sz w:val="24"/>
          <w:szCs w:val="24"/>
        </w:rPr>
        <w:t>ATPase</w:t>
      </w:r>
      <w:proofErr w:type="spellEnd"/>
      <w:r w:rsidRPr="002B5638">
        <w:rPr>
          <w:sz w:val="24"/>
          <w:szCs w:val="24"/>
        </w:rPr>
        <w:t>-enzymet, dvs. det sidste stadie i produktionen af saltsyre i maven. Hæmningen er dosisafhængig og indvirker både på den basale og den stimulerede syresekretion. De fleste patienter vil opnå symptomfrihed inden for to uger. Som for andre protonpumpe-</w:t>
      </w:r>
      <w:proofErr w:type="spellStart"/>
      <w:r w:rsidRPr="002B5638">
        <w:rPr>
          <w:sz w:val="24"/>
          <w:szCs w:val="24"/>
        </w:rPr>
        <w:t>hæmmere</w:t>
      </w:r>
      <w:proofErr w:type="spellEnd"/>
      <w:r w:rsidRPr="002B5638">
        <w:rPr>
          <w:sz w:val="24"/>
          <w:szCs w:val="24"/>
        </w:rPr>
        <w:t xml:space="preserve"> og H2-receptorantagonister nedsætter behandling med </w:t>
      </w:r>
      <w:proofErr w:type="spellStart"/>
      <w:r w:rsidRPr="002B5638">
        <w:rPr>
          <w:sz w:val="24"/>
          <w:szCs w:val="24"/>
        </w:rPr>
        <w:t>pantoprazol</w:t>
      </w:r>
      <w:proofErr w:type="spellEnd"/>
      <w:r w:rsidRPr="002B5638">
        <w:rPr>
          <w:sz w:val="24"/>
          <w:szCs w:val="24"/>
        </w:rPr>
        <w:t xml:space="preserve"> surhedsgraden i maven og øger derved gastrin proportionalt med reduktionen af surhedsgrad. Øgningen af gastrin er reversibel. Da </w:t>
      </w:r>
      <w:proofErr w:type="spellStart"/>
      <w:r w:rsidRPr="002B5638">
        <w:rPr>
          <w:sz w:val="24"/>
          <w:szCs w:val="24"/>
        </w:rPr>
        <w:t>pantoprazol</w:t>
      </w:r>
      <w:proofErr w:type="spellEnd"/>
      <w:r w:rsidRPr="002B5638">
        <w:rPr>
          <w:sz w:val="24"/>
          <w:szCs w:val="24"/>
        </w:rPr>
        <w:t xml:space="preserve"> bindes til enzymet </w:t>
      </w:r>
      <w:proofErr w:type="spellStart"/>
      <w:r w:rsidRPr="002B5638">
        <w:rPr>
          <w:sz w:val="24"/>
          <w:szCs w:val="24"/>
        </w:rPr>
        <w:t>distalt</w:t>
      </w:r>
      <w:proofErr w:type="spellEnd"/>
      <w:r w:rsidRPr="002B5638">
        <w:rPr>
          <w:sz w:val="24"/>
          <w:szCs w:val="24"/>
        </w:rPr>
        <w:t xml:space="preserve"> for cellereceptorniveauet, kan stoffet hæmme saltsyresekretionen uafhængigt af stimulationen fra andre stoffer (</w:t>
      </w:r>
      <w:proofErr w:type="spellStart"/>
      <w:r w:rsidRPr="002B5638">
        <w:rPr>
          <w:sz w:val="24"/>
          <w:szCs w:val="24"/>
        </w:rPr>
        <w:t>acetylcholin</w:t>
      </w:r>
      <w:proofErr w:type="spellEnd"/>
      <w:r w:rsidRPr="002B5638">
        <w:rPr>
          <w:sz w:val="24"/>
          <w:szCs w:val="24"/>
        </w:rPr>
        <w:t>, histamin, gastrin). Virkningen er den samme, uanset om det aktive stof gives oralt eller intravenøst.</w:t>
      </w:r>
    </w:p>
    <w:p w:rsidR="0074531F" w:rsidRPr="002B5638" w:rsidRDefault="0074531F" w:rsidP="0074531F">
      <w:pPr>
        <w:ind w:left="851"/>
        <w:rPr>
          <w:sz w:val="24"/>
          <w:szCs w:val="24"/>
        </w:rPr>
      </w:pPr>
    </w:p>
    <w:p w:rsidR="0074531F" w:rsidRPr="002B5638" w:rsidRDefault="0074531F" w:rsidP="0074531F">
      <w:pPr>
        <w:keepNext/>
        <w:ind w:left="851"/>
        <w:rPr>
          <w:sz w:val="24"/>
          <w:szCs w:val="24"/>
          <w:u w:val="single"/>
        </w:rPr>
      </w:pPr>
      <w:proofErr w:type="spellStart"/>
      <w:r w:rsidRPr="002B5638">
        <w:rPr>
          <w:sz w:val="24"/>
          <w:szCs w:val="24"/>
          <w:u w:val="single"/>
        </w:rPr>
        <w:t>Farmakodynamiske</w:t>
      </w:r>
      <w:proofErr w:type="spellEnd"/>
      <w:r w:rsidRPr="002B5638">
        <w:rPr>
          <w:sz w:val="24"/>
          <w:szCs w:val="24"/>
          <w:u w:val="single"/>
        </w:rPr>
        <w:t xml:space="preserve"> virkninger</w:t>
      </w:r>
    </w:p>
    <w:p w:rsidR="0074531F" w:rsidRPr="002B5638" w:rsidRDefault="0074531F" w:rsidP="0074531F">
      <w:pPr>
        <w:ind w:left="851"/>
        <w:rPr>
          <w:sz w:val="24"/>
          <w:szCs w:val="24"/>
        </w:rPr>
      </w:pPr>
      <w:r w:rsidRPr="002B5638">
        <w:rPr>
          <w:sz w:val="24"/>
          <w:szCs w:val="24"/>
        </w:rPr>
        <w:t xml:space="preserve">Fastende gastrinværdier stiger under </w:t>
      </w:r>
      <w:proofErr w:type="spellStart"/>
      <w:r w:rsidRPr="002B5638">
        <w:rPr>
          <w:sz w:val="24"/>
          <w:szCs w:val="24"/>
        </w:rPr>
        <w:t>pantoprazolbehandling</w:t>
      </w:r>
      <w:proofErr w:type="spellEnd"/>
      <w:r w:rsidRPr="002B5638">
        <w:rPr>
          <w:sz w:val="24"/>
          <w:szCs w:val="24"/>
        </w:rPr>
        <w:t xml:space="preserve">. Ved anvendelse af </w:t>
      </w:r>
      <w:proofErr w:type="spellStart"/>
      <w:r w:rsidRPr="002B5638">
        <w:rPr>
          <w:sz w:val="24"/>
          <w:szCs w:val="24"/>
        </w:rPr>
        <w:t>pantoprazol</w:t>
      </w:r>
      <w:proofErr w:type="spellEnd"/>
      <w:r w:rsidRPr="002B5638">
        <w:rPr>
          <w:sz w:val="24"/>
          <w:szCs w:val="24"/>
        </w:rPr>
        <w:t xml:space="preserve"> i kort tid overskrider gastrinværdierne i de fleste tilfælde ikke den øvre grænse i normalområdet. Under langtidsbehandling fordobles gastrinværdierne i de fleste tilfælde. En usædvanlig stor forøgelse forekommer imidlertid kun i enkeltstående tilfælde. Som resultat heraf er en let til moderat forøgelse af antallet af specifikke endokrine (ECL) celler i maven set hos et mindretal af patienterne under langtidsbehandling (simpel til </w:t>
      </w:r>
      <w:proofErr w:type="spellStart"/>
      <w:r w:rsidRPr="002B5638">
        <w:rPr>
          <w:sz w:val="24"/>
          <w:szCs w:val="24"/>
        </w:rPr>
        <w:t>adenomatoid</w:t>
      </w:r>
      <w:proofErr w:type="spellEnd"/>
      <w:r w:rsidRPr="002B5638">
        <w:rPr>
          <w:sz w:val="24"/>
          <w:szCs w:val="24"/>
        </w:rPr>
        <w:t xml:space="preserve"> </w:t>
      </w:r>
      <w:proofErr w:type="spellStart"/>
      <w:r w:rsidRPr="002B5638">
        <w:rPr>
          <w:sz w:val="24"/>
          <w:szCs w:val="24"/>
        </w:rPr>
        <w:t>hyperplasi</w:t>
      </w:r>
      <w:proofErr w:type="spellEnd"/>
      <w:r w:rsidRPr="002B5638">
        <w:rPr>
          <w:sz w:val="24"/>
          <w:szCs w:val="24"/>
        </w:rPr>
        <w:t xml:space="preserve">). Dannelse af </w:t>
      </w:r>
      <w:proofErr w:type="spellStart"/>
      <w:r w:rsidRPr="002B5638">
        <w:rPr>
          <w:sz w:val="24"/>
          <w:szCs w:val="24"/>
        </w:rPr>
        <w:t>karcinoide</w:t>
      </w:r>
      <w:proofErr w:type="spellEnd"/>
      <w:r w:rsidRPr="002B5638">
        <w:rPr>
          <w:sz w:val="24"/>
          <w:szCs w:val="24"/>
        </w:rPr>
        <w:t xml:space="preserve"> forstadier (atypisk </w:t>
      </w:r>
      <w:proofErr w:type="spellStart"/>
      <w:r w:rsidRPr="002B5638">
        <w:rPr>
          <w:sz w:val="24"/>
          <w:szCs w:val="24"/>
        </w:rPr>
        <w:t>hyperplasi</w:t>
      </w:r>
      <w:proofErr w:type="spellEnd"/>
      <w:r w:rsidRPr="002B5638">
        <w:rPr>
          <w:sz w:val="24"/>
          <w:szCs w:val="24"/>
        </w:rPr>
        <w:t xml:space="preserve">) og </w:t>
      </w:r>
      <w:proofErr w:type="spellStart"/>
      <w:r w:rsidRPr="002B5638">
        <w:rPr>
          <w:sz w:val="24"/>
          <w:szCs w:val="24"/>
        </w:rPr>
        <w:t>ventrikelkarcinoider</w:t>
      </w:r>
      <w:proofErr w:type="spellEnd"/>
      <w:r w:rsidRPr="002B5638">
        <w:rPr>
          <w:sz w:val="24"/>
          <w:szCs w:val="24"/>
        </w:rPr>
        <w:t>, som er fundet i dyreforsøg, er imidlertid ikke set hos mennesker i langtidsbehandling i de hidtil udførte forsøg (</w:t>
      </w:r>
      <w:r w:rsidR="00AF1C41" w:rsidRPr="002B5638">
        <w:rPr>
          <w:sz w:val="24"/>
          <w:szCs w:val="24"/>
        </w:rPr>
        <w:t>se pkt.</w:t>
      </w:r>
      <w:r w:rsidR="00AF1C41">
        <w:rPr>
          <w:sz w:val="24"/>
          <w:szCs w:val="24"/>
        </w:rPr>
        <w:t> </w:t>
      </w:r>
      <w:r w:rsidR="00AF1C41" w:rsidRPr="002B5638">
        <w:rPr>
          <w:sz w:val="24"/>
          <w:szCs w:val="24"/>
        </w:rPr>
        <w:t>5.3</w:t>
      </w:r>
      <w:r w:rsidRPr="002B5638">
        <w:rPr>
          <w:sz w:val="24"/>
          <w:szCs w:val="24"/>
        </w:rPr>
        <w: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På baggrund af resultaterne fra dyreforsøg kan det ikke helt udelukkes, at langtidsbehandling med </w:t>
      </w:r>
      <w:proofErr w:type="spellStart"/>
      <w:r w:rsidRPr="002B5638">
        <w:rPr>
          <w:sz w:val="24"/>
          <w:szCs w:val="24"/>
        </w:rPr>
        <w:t>pantoprazol</w:t>
      </w:r>
      <w:proofErr w:type="spellEnd"/>
      <w:r w:rsidRPr="002B5638">
        <w:rPr>
          <w:sz w:val="24"/>
          <w:szCs w:val="24"/>
        </w:rPr>
        <w:t xml:space="preserve"> over 1 år kan have indflydelse på skjoldbruskkirtlens endokrine parametre.</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Under behandling med sekretionshæmmende lægemidler stiger indholdet af gastrin i serum som reaktion på den nedsatte syresekretion. Også indholdet af </w:t>
      </w:r>
      <w:proofErr w:type="spellStart"/>
      <w:r w:rsidRPr="002B5638">
        <w:rPr>
          <w:sz w:val="24"/>
          <w:szCs w:val="24"/>
        </w:rPr>
        <w:t>CgA</w:t>
      </w:r>
      <w:proofErr w:type="spellEnd"/>
      <w:r w:rsidRPr="002B5638">
        <w:rPr>
          <w:sz w:val="24"/>
          <w:szCs w:val="24"/>
        </w:rPr>
        <w:t xml:space="preserve"> stiger på grund af den nedsatte gastriske </w:t>
      </w:r>
      <w:proofErr w:type="spellStart"/>
      <w:r w:rsidRPr="002B5638">
        <w:rPr>
          <w:sz w:val="24"/>
          <w:szCs w:val="24"/>
        </w:rPr>
        <w:t>aciditet</w:t>
      </w:r>
      <w:proofErr w:type="spellEnd"/>
      <w:r w:rsidRPr="002B5638">
        <w:rPr>
          <w:sz w:val="24"/>
          <w:szCs w:val="24"/>
        </w:rPr>
        <w:t xml:space="preserve"> Det forhøjede indhold af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w:t>
      </w:r>
    </w:p>
    <w:p w:rsidR="0074531F" w:rsidRPr="002B5638" w:rsidRDefault="0074531F" w:rsidP="0074531F">
      <w:pPr>
        <w:ind w:left="851"/>
        <w:rPr>
          <w:sz w:val="24"/>
          <w:szCs w:val="24"/>
        </w:rPr>
      </w:pPr>
    </w:p>
    <w:p w:rsidR="0074531F" w:rsidRPr="00C84483" w:rsidRDefault="0074531F" w:rsidP="0074531F">
      <w:pPr>
        <w:ind w:left="851"/>
        <w:rPr>
          <w:sz w:val="24"/>
          <w:szCs w:val="24"/>
        </w:rPr>
      </w:pPr>
      <w:r w:rsidRPr="002B5638">
        <w:rPr>
          <w:sz w:val="24"/>
          <w:szCs w:val="24"/>
        </w:rPr>
        <w:t xml:space="preserve">Den foreliggende publicerede dokumentation antyder, at </w:t>
      </w:r>
      <w:proofErr w:type="spellStart"/>
      <w:r w:rsidRPr="002B5638">
        <w:rPr>
          <w:sz w:val="24"/>
          <w:szCs w:val="24"/>
        </w:rPr>
        <w:t>protonpumpehæmmere</w:t>
      </w:r>
      <w:proofErr w:type="spellEnd"/>
      <w:r w:rsidRPr="002B5638">
        <w:rPr>
          <w:sz w:val="24"/>
          <w:szCs w:val="24"/>
        </w:rPr>
        <w:t xml:space="preserve"> bør seponeres mellem 5 dage og 2 uger før måling af </w:t>
      </w:r>
      <w:proofErr w:type="spellStart"/>
      <w:r w:rsidRPr="002B5638">
        <w:rPr>
          <w:sz w:val="24"/>
          <w:szCs w:val="24"/>
        </w:rPr>
        <w:t>CgA</w:t>
      </w:r>
      <w:proofErr w:type="spellEnd"/>
      <w:r w:rsidRPr="002B5638">
        <w:rPr>
          <w:sz w:val="24"/>
          <w:szCs w:val="24"/>
        </w:rPr>
        <w:t xml:space="preserve">. Dette er for at eventuelle falskt forhøjede værdier af </w:t>
      </w:r>
      <w:proofErr w:type="spellStart"/>
      <w:r w:rsidRPr="002B5638">
        <w:rPr>
          <w:sz w:val="24"/>
          <w:szCs w:val="24"/>
        </w:rPr>
        <w:t>CgA</w:t>
      </w:r>
      <w:proofErr w:type="spellEnd"/>
      <w:r w:rsidRPr="002B5638">
        <w:rPr>
          <w:sz w:val="24"/>
          <w:szCs w:val="24"/>
        </w:rPr>
        <w:t xml:space="preserve"> i forbindelse med behandling med </w:t>
      </w:r>
      <w:proofErr w:type="spellStart"/>
      <w:r w:rsidRPr="002B5638">
        <w:rPr>
          <w:sz w:val="24"/>
          <w:szCs w:val="24"/>
        </w:rPr>
        <w:t>protonpumpehæmmere</w:t>
      </w:r>
      <w:proofErr w:type="spellEnd"/>
      <w:r w:rsidRPr="002B5638">
        <w:rPr>
          <w:sz w:val="24"/>
          <w:szCs w:val="24"/>
        </w:rPr>
        <w:t xml:space="preserve"> kan vende tilbage til referenceområdet.</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4531F" w:rsidRDefault="0074531F" w:rsidP="0074531F">
      <w:pPr>
        <w:keepNext/>
        <w:ind w:left="851"/>
        <w:rPr>
          <w:sz w:val="24"/>
          <w:szCs w:val="24"/>
          <w:u w:val="single"/>
        </w:rPr>
      </w:pPr>
    </w:p>
    <w:p w:rsidR="0074531F" w:rsidRPr="002B5638" w:rsidRDefault="0074531F" w:rsidP="0074531F">
      <w:pPr>
        <w:keepNext/>
        <w:ind w:left="851"/>
        <w:rPr>
          <w:sz w:val="24"/>
          <w:szCs w:val="24"/>
          <w:u w:val="single"/>
        </w:rPr>
      </w:pPr>
      <w:r w:rsidRPr="002B5638">
        <w:rPr>
          <w:sz w:val="24"/>
          <w:szCs w:val="24"/>
          <w:u w:val="single"/>
        </w:rPr>
        <w:t>Absorption</w:t>
      </w:r>
    </w:p>
    <w:p w:rsidR="00AF1C41" w:rsidRPr="002B5638" w:rsidRDefault="00AF1C41" w:rsidP="00AF1C41">
      <w:pPr>
        <w:ind w:left="851"/>
        <w:rPr>
          <w:sz w:val="24"/>
          <w:szCs w:val="24"/>
        </w:rPr>
      </w:pPr>
      <w:proofErr w:type="spellStart"/>
      <w:r w:rsidRPr="002B5638">
        <w:rPr>
          <w:sz w:val="24"/>
          <w:szCs w:val="24"/>
        </w:rPr>
        <w:t>Pantoprazol</w:t>
      </w:r>
      <w:proofErr w:type="spellEnd"/>
      <w:r w:rsidRPr="002B5638">
        <w:rPr>
          <w:sz w:val="24"/>
          <w:szCs w:val="24"/>
        </w:rPr>
        <w:t xml:space="preserve"> absorberes hurtigt, og der opnås maksimal plasmakoncentration selv efter en enkelt oral dosis på 20 mg (40 mg). I gennemsnit opnås maksimal serumkoncentration på </w:t>
      </w:r>
      <w:r>
        <w:rPr>
          <w:sz w:val="24"/>
          <w:szCs w:val="24"/>
        </w:rPr>
        <w:t>1‒1,5 </w:t>
      </w:r>
      <w:proofErr w:type="spellStart"/>
      <w:r>
        <w:rPr>
          <w:sz w:val="24"/>
          <w:szCs w:val="24"/>
        </w:rPr>
        <w:t>mikrog</w:t>
      </w:r>
      <w:proofErr w:type="spellEnd"/>
      <w:r>
        <w:rPr>
          <w:sz w:val="24"/>
          <w:szCs w:val="24"/>
        </w:rPr>
        <w:t>/ml (2‒3 </w:t>
      </w:r>
      <w:proofErr w:type="spellStart"/>
      <w:r>
        <w:rPr>
          <w:sz w:val="24"/>
          <w:szCs w:val="24"/>
        </w:rPr>
        <w:t>mikrog</w:t>
      </w:r>
      <w:proofErr w:type="spellEnd"/>
      <w:r>
        <w:rPr>
          <w:sz w:val="24"/>
          <w:szCs w:val="24"/>
        </w:rPr>
        <w:t>/ml)</w:t>
      </w:r>
      <w:r w:rsidRPr="002B5638">
        <w:rPr>
          <w:sz w:val="24"/>
          <w:szCs w:val="24"/>
        </w:rPr>
        <w:t xml:space="preserve"> ca. 2</w:t>
      </w:r>
      <w:r>
        <w:rPr>
          <w:sz w:val="24"/>
          <w:szCs w:val="24"/>
        </w:rPr>
        <w:t>‒</w:t>
      </w:r>
      <w:r w:rsidRPr="002B5638">
        <w:rPr>
          <w:sz w:val="24"/>
          <w:szCs w:val="24"/>
        </w:rPr>
        <w:t xml:space="preserve">2,5 time (2,5 timer) efter indtagelsen, og disse værdier forbliver konstante ved gentagen dosering. De </w:t>
      </w:r>
      <w:proofErr w:type="spellStart"/>
      <w:r w:rsidRPr="002B5638">
        <w:rPr>
          <w:sz w:val="24"/>
          <w:szCs w:val="24"/>
        </w:rPr>
        <w:t>farmakokinetiske</w:t>
      </w:r>
      <w:proofErr w:type="spellEnd"/>
      <w:r w:rsidRPr="002B5638">
        <w:rPr>
          <w:sz w:val="24"/>
          <w:szCs w:val="24"/>
        </w:rPr>
        <w:t xml:space="preserve"> parametre er ens efter enkelt eller gentagen administration. Inden for dosisintervallet 10</w:t>
      </w:r>
      <w:r>
        <w:rPr>
          <w:sz w:val="24"/>
          <w:szCs w:val="24"/>
        </w:rPr>
        <w:t>‒</w:t>
      </w:r>
      <w:r w:rsidRPr="002B5638">
        <w:rPr>
          <w:sz w:val="24"/>
          <w:szCs w:val="24"/>
        </w:rPr>
        <w:t xml:space="preserve">80 mg er </w:t>
      </w:r>
      <w:proofErr w:type="spellStart"/>
      <w:r w:rsidRPr="002B5638">
        <w:rPr>
          <w:sz w:val="24"/>
          <w:szCs w:val="24"/>
        </w:rPr>
        <w:t>pantoprazols</w:t>
      </w:r>
      <w:proofErr w:type="spellEnd"/>
      <w:r w:rsidRPr="002B5638">
        <w:rPr>
          <w:sz w:val="24"/>
          <w:szCs w:val="24"/>
        </w:rPr>
        <w:t xml:space="preserve"> plasmakinetik lineær efter både oral og intravenøs administration.</w:t>
      </w:r>
    </w:p>
    <w:p w:rsidR="00AF1C41" w:rsidRPr="002B5638" w:rsidRDefault="00AF1C41" w:rsidP="00AF1C41">
      <w:pPr>
        <w:ind w:left="851"/>
        <w:rPr>
          <w:sz w:val="24"/>
          <w:szCs w:val="24"/>
        </w:rPr>
      </w:pPr>
    </w:p>
    <w:p w:rsidR="00AF1C41" w:rsidRPr="002B5638" w:rsidRDefault="00AF1C41" w:rsidP="00AF1C41">
      <w:pPr>
        <w:ind w:left="851"/>
        <w:rPr>
          <w:sz w:val="24"/>
          <w:szCs w:val="24"/>
        </w:rPr>
      </w:pPr>
      <w:r w:rsidRPr="002B5638">
        <w:rPr>
          <w:sz w:val="24"/>
          <w:szCs w:val="24"/>
        </w:rPr>
        <w:t>Den absolutte biotilgængelighed er fundet til at være omkring 77</w:t>
      </w:r>
      <w:r>
        <w:rPr>
          <w:sz w:val="24"/>
          <w:szCs w:val="24"/>
        </w:rPr>
        <w:t> %</w:t>
      </w:r>
      <w:r w:rsidRPr="002B5638">
        <w:rPr>
          <w:sz w:val="24"/>
          <w:szCs w:val="24"/>
        </w:rPr>
        <w:t xml:space="preserve">. Samtidig fødeindtagelse har ingen indvirkning på AUC eller den maksimale serumkoncentration og således heller ikke på biotilgængeligheden. Kun variationen i </w:t>
      </w:r>
      <w:r w:rsidRPr="002B5638">
        <w:rPr>
          <w:i/>
          <w:sz w:val="24"/>
          <w:szCs w:val="24"/>
        </w:rPr>
        <w:t>lag-time</w:t>
      </w:r>
      <w:r w:rsidRPr="002B5638">
        <w:rPr>
          <w:sz w:val="24"/>
          <w:szCs w:val="24"/>
        </w:rPr>
        <w:t xml:space="preserve"> forøges ved samtidig fødeindtagelse.</w:t>
      </w:r>
    </w:p>
    <w:p w:rsidR="00AF1C41" w:rsidRPr="002B5638" w:rsidRDefault="00AF1C41" w:rsidP="00AF1C41">
      <w:pPr>
        <w:ind w:left="851"/>
        <w:rPr>
          <w:sz w:val="24"/>
          <w:szCs w:val="24"/>
        </w:rPr>
      </w:pPr>
    </w:p>
    <w:p w:rsidR="00AF1C41" w:rsidRPr="002B5638" w:rsidRDefault="00AF1C41" w:rsidP="00AF1C41">
      <w:pPr>
        <w:keepNext/>
        <w:ind w:left="851"/>
        <w:rPr>
          <w:sz w:val="24"/>
          <w:szCs w:val="24"/>
          <w:u w:val="single"/>
        </w:rPr>
      </w:pPr>
      <w:r w:rsidRPr="002B5638">
        <w:rPr>
          <w:sz w:val="24"/>
          <w:szCs w:val="24"/>
          <w:u w:val="single"/>
        </w:rPr>
        <w:lastRenderedPageBreak/>
        <w:t>Fordeling</w:t>
      </w:r>
    </w:p>
    <w:p w:rsidR="00AF1C41" w:rsidRPr="002B5638" w:rsidRDefault="00AF1C41" w:rsidP="00AF1C41">
      <w:pPr>
        <w:ind w:left="851"/>
        <w:rPr>
          <w:sz w:val="24"/>
          <w:szCs w:val="24"/>
        </w:rPr>
      </w:pPr>
      <w:proofErr w:type="spellStart"/>
      <w:r w:rsidRPr="002B5638">
        <w:rPr>
          <w:sz w:val="24"/>
          <w:szCs w:val="24"/>
        </w:rPr>
        <w:t>Pantoprazols</w:t>
      </w:r>
      <w:proofErr w:type="spellEnd"/>
      <w:r w:rsidRPr="002B5638">
        <w:rPr>
          <w:sz w:val="24"/>
          <w:szCs w:val="24"/>
        </w:rPr>
        <w:t xml:space="preserve"> serumproteinbinding er ca. 98</w:t>
      </w:r>
      <w:r>
        <w:rPr>
          <w:sz w:val="24"/>
          <w:szCs w:val="24"/>
        </w:rPr>
        <w:t> %</w:t>
      </w:r>
      <w:r w:rsidRPr="002B5638">
        <w:rPr>
          <w:sz w:val="24"/>
          <w:szCs w:val="24"/>
        </w:rPr>
        <w:t>. Fordelingsvolumenet er på omkring 0,15 l/kg.</w:t>
      </w:r>
    </w:p>
    <w:p w:rsidR="0074531F" w:rsidRPr="002B5638" w:rsidRDefault="0074531F" w:rsidP="0074531F">
      <w:pPr>
        <w:ind w:left="851"/>
        <w:rPr>
          <w:sz w:val="24"/>
          <w:szCs w:val="24"/>
        </w:rPr>
      </w:pPr>
    </w:p>
    <w:p w:rsidR="0074531F" w:rsidRPr="002B5638" w:rsidRDefault="0074531F" w:rsidP="0074531F">
      <w:pPr>
        <w:keepNext/>
        <w:ind w:left="851"/>
        <w:rPr>
          <w:sz w:val="24"/>
          <w:szCs w:val="24"/>
          <w:u w:val="single"/>
        </w:rPr>
      </w:pPr>
      <w:r w:rsidRPr="002B5638">
        <w:rPr>
          <w:sz w:val="24"/>
          <w:szCs w:val="24"/>
          <w:u w:val="single"/>
        </w:rPr>
        <w:t>Biotransformation</w:t>
      </w:r>
    </w:p>
    <w:p w:rsidR="0074531F" w:rsidRPr="002B5638" w:rsidRDefault="0074531F" w:rsidP="0074531F">
      <w:pPr>
        <w:ind w:left="851"/>
        <w:rPr>
          <w:sz w:val="24"/>
          <w:szCs w:val="24"/>
        </w:rPr>
      </w:pPr>
      <w:r w:rsidRPr="002B5638">
        <w:rPr>
          <w:sz w:val="24"/>
          <w:szCs w:val="24"/>
        </w:rPr>
        <w:t xml:space="preserve">Stoffet </w:t>
      </w:r>
      <w:proofErr w:type="spellStart"/>
      <w:r w:rsidRPr="002B5638">
        <w:rPr>
          <w:sz w:val="24"/>
          <w:szCs w:val="24"/>
        </w:rPr>
        <w:t>metaboliseres</w:t>
      </w:r>
      <w:proofErr w:type="spellEnd"/>
      <w:r w:rsidRPr="002B5638">
        <w:rPr>
          <w:sz w:val="24"/>
          <w:szCs w:val="24"/>
        </w:rPr>
        <w:t xml:space="preserve"> næsten udelukkende i leveren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med efterfølgende sulfatkonjugation, andre </w:t>
      </w:r>
      <w:proofErr w:type="spellStart"/>
      <w:r w:rsidRPr="002B5638">
        <w:rPr>
          <w:sz w:val="24"/>
          <w:szCs w:val="24"/>
        </w:rPr>
        <w:t>metaboliseringsveje</w:t>
      </w:r>
      <w:proofErr w:type="spellEnd"/>
      <w:r w:rsidRPr="002B5638">
        <w:rPr>
          <w:sz w:val="24"/>
          <w:szCs w:val="24"/>
        </w:rPr>
        <w:t xml:space="preserve"> inkluderer oxidation via CYP3A4.</w:t>
      </w:r>
    </w:p>
    <w:p w:rsidR="0074531F" w:rsidRPr="002B5638" w:rsidRDefault="0074531F" w:rsidP="0074531F">
      <w:pPr>
        <w:ind w:left="851"/>
        <w:rPr>
          <w:sz w:val="24"/>
          <w:szCs w:val="24"/>
        </w:rPr>
      </w:pPr>
    </w:p>
    <w:p w:rsidR="0074531F" w:rsidRPr="002B5638" w:rsidRDefault="0074531F" w:rsidP="0074531F">
      <w:pPr>
        <w:keepNext/>
        <w:ind w:left="851"/>
        <w:rPr>
          <w:sz w:val="24"/>
          <w:szCs w:val="24"/>
          <w:u w:val="single"/>
        </w:rPr>
      </w:pPr>
      <w:r w:rsidRPr="002B5638">
        <w:rPr>
          <w:sz w:val="24"/>
          <w:szCs w:val="24"/>
          <w:u w:val="single"/>
        </w:rPr>
        <w:t>Elimination</w:t>
      </w:r>
    </w:p>
    <w:p w:rsidR="0074531F" w:rsidRPr="002B5638" w:rsidRDefault="0074531F" w:rsidP="0074531F">
      <w:pPr>
        <w:ind w:left="851"/>
        <w:rPr>
          <w:sz w:val="24"/>
          <w:szCs w:val="24"/>
        </w:rPr>
      </w:pPr>
      <w:r w:rsidRPr="002B5638">
        <w:rPr>
          <w:sz w:val="24"/>
          <w:szCs w:val="24"/>
        </w:rPr>
        <w:t xml:space="preserve">Den terminale halveringstid er ca. 1 time, og </w:t>
      </w:r>
      <w:proofErr w:type="spellStart"/>
      <w:r w:rsidRPr="002B5638">
        <w:rPr>
          <w:sz w:val="24"/>
          <w:szCs w:val="24"/>
        </w:rPr>
        <w:t>clearance</w:t>
      </w:r>
      <w:proofErr w:type="spellEnd"/>
      <w:r w:rsidRPr="002B5638">
        <w:rPr>
          <w:sz w:val="24"/>
          <w:szCs w:val="24"/>
        </w:rPr>
        <w:t xml:space="preserve"> er ca. 0,1 l/time/kg. I enkelte tilfælde var udskillelsen forlænget. På grund af den specifikke binding af </w:t>
      </w:r>
      <w:proofErr w:type="spellStart"/>
      <w:r w:rsidRPr="002B5638">
        <w:rPr>
          <w:sz w:val="24"/>
          <w:szCs w:val="24"/>
        </w:rPr>
        <w:t>pantoprazol</w:t>
      </w:r>
      <w:proofErr w:type="spellEnd"/>
      <w:r w:rsidRPr="002B5638">
        <w:rPr>
          <w:sz w:val="24"/>
          <w:szCs w:val="24"/>
        </w:rPr>
        <w:t xml:space="preserve"> til protonpumperne i </w:t>
      </w:r>
      <w:proofErr w:type="spellStart"/>
      <w:r w:rsidRPr="002B5638">
        <w:rPr>
          <w:sz w:val="24"/>
          <w:szCs w:val="24"/>
        </w:rPr>
        <w:t>parietalcellerne</w:t>
      </w:r>
      <w:proofErr w:type="spellEnd"/>
      <w:r w:rsidRPr="002B5638">
        <w:rPr>
          <w:sz w:val="24"/>
          <w:szCs w:val="24"/>
        </w:rPr>
        <w:t xml:space="preserve"> svarer halveringstiden for udskillelsen ikke til den meget længere virkningsvarighed (hæmning af syresekretionen).</w:t>
      </w:r>
    </w:p>
    <w:p w:rsidR="0074531F" w:rsidRPr="002B5638" w:rsidRDefault="0074531F" w:rsidP="0074531F">
      <w:pPr>
        <w:ind w:left="851"/>
        <w:rPr>
          <w:sz w:val="24"/>
          <w:szCs w:val="24"/>
        </w:rPr>
      </w:pPr>
    </w:p>
    <w:p w:rsidR="00AF1C41" w:rsidRPr="002B5638" w:rsidRDefault="00AF1C41" w:rsidP="00AF1C41">
      <w:pPr>
        <w:ind w:left="851"/>
        <w:rPr>
          <w:sz w:val="24"/>
          <w:szCs w:val="24"/>
        </w:rPr>
      </w:pPr>
      <w:proofErr w:type="spellStart"/>
      <w:r w:rsidRPr="002B5638">
        <w:rPr>
          <w:sz w:val="24"/>
          <w:szCs w:val="24"/>
        </w:rPr>
        <w:t>Renal</w:t>
      </w:r>
      <w:proofErr w:type="spellEnd"/>
      <w:r w:rsidRPr="002B5638">
        <w:rPr>
          <w:sz w:val="24"/>
          <w:szCs w:val="24"/>
        </w:rPr>
        <w:t xml:space="preserve"> elimination repræsenterer den vigtigste udskillelsesvej (omkring 80</w:t>
      </w:r>
      <w:r>
        <w:rPr>
          <w:sz w:val="24"/>
          <w:szCs w:val="24"/>
        </w:rPr>
        <w:t> %</w:t>
      </w:r>
      <w:r w:rsidRPr="002B5638">
        <w:rPr>
          <w:sz w:val="24"/>
          <w:szCs w:val="24"/>
        </w:rPr>
        <w:t xml:space="preserve">) for </w:t>
      </w:r>
      <w:proofErr w:type="spellStart"/>
      <w:r w:rsidRPr="002B5638">
        <w:rPr>
          <w:sz w:val="24"/>
          <w:szCs w:val="24"/>
        </w:rPr>
        <w:t>pantoprazols</w:t>
      </w:r>
      <w:proofErr w:type="spellEnd"/>
      <w:r w:rsidRPr="002B5638">
        <w:rPr>
          <w:sz w:val="24"/>
          <w:szCs w:val="24"/>
        </w:rPr>
        <w:t xml:space="preserve"> metabolitter, mens resten udskilles med fæces. Hovedmetabolitten i både serum og urin er </w:t>
      </w:r>
      <w:proofErr w:type="spellStart"/>
      <w:r w:rsidRPr="002B5638">
        <w:rPr>
          <w:sz w:val="24"/>
          <w:szCs w:val="24"/>
        </w:rPr>
        <w:t>desmethylpantoprazol</w:t>
      </w:r>
      <w:proofErr w:type="spellEnd"/>
      <w:r w:rsidRPr="002B5638">
        <w:rPr>
          <w:sz w:val="24"/>
          <w:szCs w:val="24"/>
        </w:rPr>
        <w:t xml:space="preserve">, der er bundet til sulfat. Hovedmetabolitternes halveringstid (ca. 1,5 time) er ikke meget længere end </w:t>
      </w:r>
      <w:proofErr w:type="spellStart"/>
      <w:r w:rsidRPr="002B5638">
        <w:rPr>
          <w:sz w:val="24"/>
          <w:szCs w:val="24"/>
        </w:rPr>
        <w:t>pantoprazols</w:t>
      </w:r>
      <w:proofErr w:type="spellEnd"/>
      <w:r w:rsidRPr="002B5638">
        <w:rPr>
          <w:sz w:val="24"/>
          <w:szCs w:val="24"/>
        </w:rPr>
        <w:t>.</w:t>
      </w:r>
    </w:p>
    <w:p w:rsidR="00AF1C41" w:rsidRPr="002B5638" w:rsidRDefault="00AF1C41" w:rsidP="00AF1C41">
      <w:pPr>
        <w:ind w:left="851"/>
        <w:rPr>
          <w:sz w:val="24"/>
          <w:szCs w:val="24"/>
        </w:rPr>
      </w:pPr>
    </w:p>
    <w:p w:rsidR="00AF1C41" w:rsidRPr="002B5638" w:rsidRDefault="00AF1C41" w:rsidP="00AF1C41">
      <w:pPr>
        <w:keepNext/>
        <w:ind w:left="851"/>
        <w:rPr>
          <w:sz w:val="24"/>
          <w:szCs w:val="24"/>
          <w:u w:val="single"/>
        </w:rPr>
      </w:pPr>
      <w:r w:rsidRPr="002B5638">
        <w:rPr>
          <w:sz w:val="24"/>
          <w:szCs w:val="24"/>
          <w:u w:val="single"/>
        </w:rPr>
        <w:t>Særlige populationer</w:t>
      </w:r>
    </w:p>
    <w:p w:rsidR="00AF1C41" w:rsidRDefault="00AF1C41" w:rsidP="00AF1C41">
      <w:pPr>
        <w:keepNext/>
        <w:ind w:left="851"/>
        <w:rPr>
          <w:i/>
          <w:iCs/>
          <w:sz w:val="24"/>
          <w:szCs w:val="24"/>
        </w:rPr>
      </w:pPr>
    </w:p>
    <w:p w:rsidR="00AF1C41" w:rsidRPr="002B5638" w:rsidRDefault="00AF1C41" w:rsidP="00AF1C41">
      <w:pPr>
        <w:keepNext/>
        <w:ind w:left="851"/>
        <w:rPr>
          <w:i/>
          <w:iCs/>
          <w:sz w:val="24"/>
          <w:szCs w:val="24"/>
        </w:rPr>
      </w:pPr>
      <w:r w:rsidRPr="002B5638">
        <w:rPr>
          <w:i/>
          <w:iCs/>
          <w:sz w:val="24"/>
          <w:szCs w:val="24"/>
        </w:rPr>
        <w:t xml:space="preserve">Langsomme </w:t>
      </w:r>
      <w:proofErr w:type="spellStart"/>
      <w:r w:rsidRPr="002B5638">
        <w:rPr>
          <w:i/>
          <w:iCs/>
          <w:sz w:val="24"/>
          <w:szCs w:val="24"/>
        </w:rPr>
        <w:t>omsættere</w:t>
      </w:r>
      <w:proofErr w:type="spellEnd"/>
    </w:p>
    <w:p w:rsidR="00AF1C41" w:rsidRPr="002B5638" w:rsidRDefault="00AF1C41" w:rsidP="00AF1C41">
      <w:pPr>
        <w:ind w:left="851"/>
        <w:rPr>
          <w:sz w:val="24"/>
          <w:szCs w:val="24"/>
        </w:rPr>
      </w:pPr>
      <w:r w:rsidRPr="002B5638">
        <w:rPr>
          <w:sz w:val="24"/>
          <w:szCs w:val="24"/>
        </w:rPr>
        <w:t>Omkring 3</w:t>
      </w:r>
      <w:r>
        <w:rPr>
          <w:sz w:val="24"/>
          <w:szCs w:val="24"/>
        </w:rPr>
        <w:t> %</w:t>
      </w:r>
      <w:r w:rsidRPr="002B5638">
        <w:rPr>
          <w:sz w:val="24"/>
          <w:szCs w:val="24"/>
        </w:rPr>
        <w:t xml:space="preserve"> af den europæiske population mangler et funktionsdygtigt CYP2C19-enzym og kaldes </w:t>
      </w:r>
      <w:proofErr w:type="spellStart"/>
      <w:r w:rsidRPr="002B5638">
        <w:rPr>
          <w:i/>
          <w:sz w:val="24"/>
          <w:szCs w:val="24"/>
        </w:rPr>
        <w:t>poor</w:t>
      </w:r>
      <w:proofErr w:type="spellEnd"/>
      <w:r w:rsidRPr="002B5638">
        <w:rPr>
          <w:i/>
          <w:sz w:val="24"/>
          <w:szCs w:val="24"/>
        </w:rPr>
        <w:t xml:space="preserve"> </w:t>
      </w:r>
      <w:proofErr w:type="spellStart"/>
      <w:r w:rsidRPr="002B5638">
        <w:rPr>
          <w:i/>
          <w:sz w:val="24"/>
          <w:szCs w:val="24"/>
        </w:rPr>
        <w:t>metabolisers</w:t>
      </w:r>
      <w:proofErr w:type="spellEnd"/>
      <w:r w:rsidRPr="002B5638">
        <w:rPr>
          <w:sz w:val="24"/>
          <w:szCs w:val="24"/>
        </w:rPr>
        <w:t xml:space="preserve"> (langsomme </w:t>
      </w:r>
      <w:proofErr w:type="spellStart"/>
      <w:r w:rsidRPr="002B5638">
        <w:rPr>
          <w:sz w:val="24"/>
          <w:szCs w:val="24"/>
        </w:rPr>
        <w:t>omsættere</w:t>
      </w:r>
      <w:proofErr w:type="spellEnd"/>
      <w:r w:rsidRPr="002B5638">
        <w:rPr>
          <w:sz w:val="24"/>
          <w:szCs w:val="24"/>
        </w:rPr>
        <w:t xml:space="preserve">). Hos disse individer er </w:t>
      </w:r>
      <w:proofErr w:type="spellStart"/>
      <w:r w:rsidRPr="002B5638">
        <w:rPr>
          <w:sz w:val="24"/>
          <w:szCs w:val="24"/>
        </w:rPr>
        <w:t>metaboliseringen</w:t>
      </w:r>
      <w:proofErr w:type="spellEnd"/>
      <w:r w:rsidRPr="002B5638">
        <w:rPr>
          <w:sz w:val="24"/>
          <w:szCs w:val="24"/>
        </w:rPr>
        <w:t xml:space="preserve"> af </w:t>
      </w:r>
      <w:proofErr w:type="spellStart"/>
      <w:r w:rsidRPr="002B5638">
        <w:rPr>
          <w:sz w:val="24"/>
          <w:szCs w:val="24"/>
        </w:rPr>
        <w:t>pantoprazol</w:t>
      </w:r>
      <w:proofErr w:type="spellEnd"/>
      <w:r w:rsidRPr="002B5638">
        <w:rPr>
          <w:sz w:val="24"/>
          <w:szCs w:val="24"/>
        </w:rPr>
        <w:t xml:space="preserve"> formodentlig hovedsagelig katalyseret via CYP3A4. Efter administration af en enkelt dosis på 40 mg </w:t>
      </w:r>
      <w:proofErr w:type="spellStart"/>
      <w:r w:rsidRPr="002B5638">
        <w:rPr>
          <w:sz w:val="24"/>
          <w:szCs w:val="24"/>
        </w:rPr>
        <w:t>pantoprazol</w:t>
      </w:r>
      <w:proofErr w:type="spellEnd"/>
      <w:r w:rsidRPr="002B5638">
        <w:rPr>
          <w:sz w:val="24"/>
          <w:szCs w:val="24"/>
        </w:rPr>
        <w:t xml:space="preserve"> var gennemsnitsarealet under plasmakoncentrationskurven omkring 6</w:t>
      </w:r>
      <w:r>
        <w:rPr>
          <w:sz w:val="24"/>
          <w:szCs w:val="24"/>
        </w:rPr>
        <w:t> </w:t>
      </w:r>
      <w:r w:rsidRPr="002B5638">
        <w:rPr>
          <w:sz w:val="24"/>
          <w:szCs w:val="24"/>
        </w:rPr>
        <w:t xml:space="preserve">gange højere for </w:t>
      </w:r>
      <w:proofErr w:type="spellStart"/>
      <w:r w:rsidRPr="002B5638">
        <w:rPr>
          <w:i/>
          <w:sz w:val="24"/>
          <w:szCs w:val="24"/>
        </w:rPr>
        <w:t>poor</w:t>
      </w:r>
      <w:proofErr w:type="spellEnd"/>
      <w:r w:rsidRPr="002B5638">
        <w:rPr>
          <w:i/>
          <w:sz w:val="24"/>
          <w:szCs w:val="24"/>
        </w:rPr>
        <w:t xml:space="preserve"> </w:t>
      </w:r>
      <w:proofErr w:type="spellStart"/>
      <w:r w:rsidRPr="002B5638">
        <w:rPr>
          <w:i/>
          <w:sz w:val="24"/>
          <w:szCs w:val="24"/>
        </w:rPr>
        <w:t>metabolisers</w:t>
      </w:r>
      <w:proofErr w:type="spellEnd"/>
      <w:r w:rsidRPr="002B5638">
        <w:rPr>
          <w:sz w:val="24"/>
          <w:szCs w:val="24"/>
        </w:rPr>
        <w:t xml:space="preserve"> end for individer med et funktionsdygtigt CYP2C19-enzym (hurtige </w:t>
      </w:r>
      <w:proofErr w:type="spellStart"/>
      <w:r w:rsidRPr="002B5638">
        <w:rPr>
          <w:sz w:val="24"/>
          <w:szCs w:val="24"/>
        </w:rPr>
        <w:t>omsættere</w:t>
      </w:r>
      <w:proofErr w:type="spellEnd"/>
      <w:r w:rsidRPr="002B5638">
        <w:rPr>
          <w:sz w:val="24"/>
          <w:szCs w:val="24"/>
        </w:rPr>
        <w:t>). Gennemsnitlig maksimal plasmakoncentration blev øget med omkring 60</w:t>
      </w:r>
      <w:r>
        <w:rPr>
          <w:sz w:val="24"/>
          <w:szCs w:val="24"/>
        </w:rPr>
        <w:t> %</w:t>
      </w:r>
      <w:r w:rsidRPr="002B5638">
        <w:rPr>
          <w:sz w:val="24"/>
          <w:szCs w:val="24"/>
        </w:rPr>
        <w:t xml:space="preserve">. Disse fund har ingen betydning for doseringen af </w:t>
      </w:r>
      <w:proofErr w:type="spellStart"/>
      <w:r w:rsidRPr="002B5638">
        <w:rPr>
          <w:sz w:val="24"/>
          <w:szCs w:val="24"/>
        </w:rPr>
        <w:t>pantoprazol</w:t>
      </w:r>
      <w:proofErr w:type="spellEnd"/>
      <w:r w:rsidRPr="002B5638">
        <w:rPr>
          <w:sz w:val="24"/>
          <w:szCs w:val="24"/>
        </w:rPr>
        <w:t>.</w:t>
      </w:r>
    </w:p>
    <w:p w:rsidR="00AF1C41" w:rsidRPr="002B5638" w:rsidRDefault="00AF1C41" w:rsidP="00AF1C41">
      <w:pPr>
        <w:ind w:left="851"/>
        <w:rPr>
          <w:sz w:val="24"/>
          <w:szCs w:val="24"/>
        </w:rPr>
      </w:pPr>
    </w:p>
    <w:p w:rsidR="00AF1C41" w:rsidRPr="002B5638" w:rsidRDefault="00AF1C41" w:rsidP="00AF1C41">
      <w:pPr>
        <w:keepNext/>
        <w:ind w:left="851"/>
        <w:rPr>
          <w:i/>
          <w:iCs/>
          <w:sz w:val="24"/>
          <w:szCs w:val="24"/>
        </w:rPr>
      </w:pPr>
      <w:r w:rsidRPr="002B5638">
        <w:rPr>
          <w:i/>
          <w:iCs/>
          <w:sz w:val="24"/>
          <w:szCs w:val="24"/>
        </w:rPr>
        <w:t>Nedsat nyrefunktion</w:t>
      </w:r>
    </w:p>
    <w:p w:rsidR="00AF1C41" w:rsidRPr="002B5638" w:rsidRDefault="00AF1C41" w:rsidP="00AF1C41">
      <w:pPr>
        <w:ind w:left="851"/>
        <w:rPr>
          <w:sz w:val="24"/>
          <w:szCs w:val="24"/>
        </w:rPr>
      </w:pPr>
      <w:r w:rsidRPr="002B5638">
        <w:rPr>
          <w:sz w:val="24"/>
          <w:szCs w:val="24"/>
        </w:rPr>
        <w:t xml:space="preserve">Dosisreduktion anbefales ikke, når </w:t>
      </w:r>
      <w:proofErr w:type="spellStart"/>
      <w:r w:rsidRPr="002B5638">
        <w:rPr>
          <w:sz w:val="24"/>
          <w:szCs w:val="24"/>
        </w:rPr>
        <w:t>pantoprazol</w:t>
      </w:r>
      <w:proofErr w:type="spellEnd"/>
      <w:r w:rsidRPr="002B5638">
        <w:rPr>
          <w:sz w:val="24"/>
          <w:szCs w:val="24"/>
        </w:rPr>
        <w:t xml:space="preserve"> gives til patienter med nedsat nyrefunktion (inkl. dialysepatienter). Som hos raske forsøgspersoner er </w:t>
      </w:r>
      <w:proofErr w:type="spellStart"/>
      <w:r w:rsidRPr="002B5638">
        <w:rPr>
          <w:sz w:val="24"/>
          <w:szCs w:val="24"/>
        </w:rPr>
        <w:t>pantoprazols</w:t>
      </w:r>
      <w:proofErr w:type="spellEnd"/>
      <w:r w:rsidRPr="002B5638">
        <w:rPr>
          <w:sz w:val="24"/>
          <w:szCs w:val="24"/>
        </w:rPr>
        <w:t xml:space="preserve"> halveringstid kort. Kun ganske små mængder </w:t>
      </w:r>
      <w:proofErr w:type="spellStart"/>
      <w:r w:rsidRPr="002B5638">
        <w:rPr>
          <w:sz w:val="24"/>
          <w:szCs w:val="24"/>
        </w:rPr>
        <w:t>pantoprazol</w:t>
      </w:r>
      <w:proofErr w:type="spellEnd"/>
      <w:r w:rsidRPr="002B5638">
        <w:rPr>
          <w:sz w:val="24"/>
          <w:szCs w:val="24"/>
        </w:rPr>
        <w:t xml:space="preserve"> dialyseres. Skønt hovedmetabolitten har en moderat forlænget halveringstid (2</w:t>
      </w:r>
      <w:r>
        <w:rPr>
          <w:sz w:val="24"/>
          <w:szCs w:val="24"/>
        </w:rPr>
        <w:t>‒</w:t>
      </w:r>
      <w:r w:rsidRPr="002B5638">
        <w:rPr>
          <w:sz w:val="24"/>
          <w:szCs w:val="24"/>
        </w:rPr>
        <w:t>3 timer), er udskillelsen stadig hurtig, og akkumulation finder således ikke sted.</w:t>
      </w:r>
    </w:p>
    <w:p w:rsidR="0074531F" w:rsidRPr="002B5638" w:rsidRDefault="0074531F" w:rsidP="0074531F">
      <w:pPr>
        <w:tabs>
          <w:tab w:val="left" w:pos="2542"/>
        </w:tabs>
        <w:ind w:left="851"/>
        <w:rPr>
          <w:sz w:val="24"/>
          <w:szCs w:val="24"/>
        </w:rPr>
      </w:pPr>
      <w:r w:rsidRPr="002B5638">
        <w:rPr>
          <w:sz w:val="24"/>
          <w:szCs w:val="24"/>
        </w:rPr>
        <w:tab/>
      </w:r>
    </w:p>
    <w:p w:rsidR="00AF1C41" w:rsidRPr="002B5638" w:rsidRDefault="00AF1C41" w:rsidP="00AF1C41">
      <w:pPr>
        <w:keepNext/>
        <w:ind w:left="851"/>
        <w:rPr>
          <w:i/>
          <w:iCs/>
          <w:sz w:val="24"/>
          <w:szCs w:val="24"/>
        </w:rPr>
      </w:pPr>
      <w:r w:rsidRPr="002B5638">
        <w:rPr>
          <w:i/>
          <w:iCs/>
          <w:sz w:val="24"/>
          <w:szCs w:val="24"/>
        </w:rPr>
        <w:t>Nedsat leverfunktion</w:t>
      </w:r>
    </w:p>
    <w:p w:rsidR="00AF1C41" w:rsidRPr="002B5638" w:rsidRDefault="00AF1C41" w:rsidP="00AF1C41">
      <w:pPr>
        <w:ind w:left="851"/>
        <w:rPr>
          <w:sz w:val="24"/>
          <w:szCs w:val="24"/>
        </w:rPr>
      </w:pPr>
      <w:r w:rsidRPr="002B5638">
        <w:rPr>
          <w:sz w:val="24"/>
          <w:szCs w:val="24"/>
        </w:rPr>
        <w:t>Selvom halveringstiden øgedes til mellem 3 og 6 timer (7</w:t>
      </w:r>
      <w:r>
        <w:rPr>
          <w:sz w:val="24"/>
          <w:szCs w:val="24"/>
        </w:rPr>
        <w:t>‒</w:t>
      </w:r>
      <w:r w:rsidRPr="002B5638">
        <w:rPr>
          <w:sz w:val="24"/>
          <w:szCs w:val="24"/>
        </w:rPr>
        <w:t>9 timer), og AUC-værdierne steg med faktor 3</w:t>
      </w:r>
      <w:r>
        <w:rPr>
          <w:sz w:val="24"/>
          <w:szCs w:val="24"/>
        </w:rPr>
        <w:t>‒</w:t>
      </w:r>
      <w:r w:rsidRPr="002B5638">
        <w:rPr>
          <w:sz w:val="24"/>
          <w:szCs w:val="24"/>
        </w:rPr>
        <w:t>5 (5</w:t>
      </w:r>
      <w:r>
        <w:rPr>
          <w:sz w:val="24"/>
          <w:szCs w:val="24"/>
        </w:rPr>
        <w:t>‒</w:t>
      </w:r>
      <w:r w:rsidRPr="002B5638">
        <w:rPr>
          <w:sz w:val="24"/>
          <w:szCs w:val="24"/>
        </w:rPr>
        <w:t>7) hos patienter med levercirrose (klasse A og B ifølge Child), steg den maksimale serumkoncentration kun let med faktor 1,3 (1,5) i forhold til raske forsøgspersoner.</w:t>
      </w:r>
    </w:p>
    <w:p w:rsidR="0074531F" w:rsidRPr="002B5638" w:rsidRDefault="0074531F" w:rsidP="0074531F">
      <w:pPr>
        <w:ind w:left="851"/>
        <w:rPr>
          <w:sz w:val="24"/>
          <w:szCs w:val="24"/>
        </w:rPr>
      </w:pPr>
    </w:p>
    <w:p w:rsidR="0074531F" w:rsidRPr="002B5638" w:rsidRDefault="0074531F" w:rsidP="0074531F">
      <w:pPr>
        <w:keepNext/>
        <w:ind w:left="851"/>
        <w:rPr>
          <w:i/>
          <w:iCs/>
          <w:sz w:val="24"/>
          <w:szCs w:val="24"/>
        </w:rPr>
      </w:pPr>
      <w:r w:rsidRPr="002B5638">
        <w:rPr>
          <w:i/>
          <w:iCs/>
          <w:sz w:val="24"/>
          <w:szCs w:val="24"/>
        </w:rPr>
        <w:t>Ældre</w:t>
      </w:r>
    </w:p>
    <w:p w:rsidR="0074531F" w:rsidRPr="002B5638" w:rsidRDefault="0074531F" w:rsidP="0074531F">
      <w:pPr>
        <w:ind w:left="851"/>
        <w:rPr>
          <w:sz w:val="24"/>
          <w:szCs w:val="24"/>
        </w:rPr>
      </w:pPr>
      <w:r w:rsidRPr="002B5638">
        <w:rPr>
          <w:sz w:val="24"/>
          <w:szCs w:val="24"/>
        </w:rPr>
        <w:t xml:space="preserve">En beskeden stigning i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hos ældre forsøgspersoner sammenlignet med yngre har heller ingen klinisk betydning.</w:t>
      </w:r>
    </w:p>
    <w:p w:rsidR="0074531F" w:rsidRPr="002B5638" w:rsidRDefault="0074531F" w:rsidP="0074531F">
      <w:pPr>
        <w:ind w:left="851"/>
        <w:rPr>
          <w:sz w:val="24"/>
          <w:szCs w:val="24"/>
        </w:rPr>
      </w:pPr>
    </w:p>
    <w:p w:rsidR="00AF1C41" w:rsidRPr="002B5638" w:rsidRDefault="00AF1C41" w:rsidP="00AF1C41">
      <w:pPr>
        <w:keepNext/>
        <w:ind w:left="851"/>
        <w:rPr>
          <w:i/>
          <w:iCs/>
          <w:sz w:val="24"/>
          <w:szCs w:val="24"/>
        </w:rPr>
      </w:pPr>
      <w:r w:rsidRPr="002B5638">
        <w:rPr>
          <w:i/>
          <w:iCs/>
          <w:sz w:val="24"/>
          <w:szCs w:val="24"/>
        </w:rPr>
        <w:lastRenderedPageBreak/>
        <w:t>Pædiatrisk population</w:t>
      </w:r>
    </w:p>
    <w:p w:rsidR="00AF1C41" w:rsidRPr="002B5638" w:rsidRDefault="00AF1C41" w:rsidP="00AF1C41">
      <w:pPr>
        <w:ind w:left="851"/>
        <w:rPr>
          <w:sz w:val="24"/>
          <w:szCs w:val="24"/>
        </w:rPr>
      </w:pPr>
      <w:r w:rsidRPr="002B5638">
        <w:rPr>
          <w:sz w:val="24"/>
          <w:szCs w:val="24"/>
        </w:rPr>
        <w:t xml:space="preserve">Efter administration af enkelt dosis på 20 eller 40 mg </w:t>
      </w:r>
      <w:proofErr w:type="spellStart"/>
      <w:r w:rsidRPr="002B5638">
        <w:rPr>
          <w:sz w:val="24"/>
          <w:szCs w:val="24"/>
        </w:rPr>
        <w:t>pantoprazol</w:t>
      </w:r>
      <w:proofErr w:type="spellEnd"/>
      <w:r w:rsidRPr="002B5638">
        <w:rPr>
          <w:sz w:val="24"/>
          <w:szCs w:val="24"/>
        </w:rPr>
        <w:t xml:space="preserve"> til børn mellem 5</w:t>
      </w:r>
      <w:r>
        <w:rPr>
          <w:sz w:val="24"/>
          <w:szCs w:val="24"/>
        </w:rPr>
        <w:t>‒</w:t>
      </w:r>
      <w:r w:rsidRPr="002B5638">
        <w:rPr>
          <w:sz w:val="24"/>
          <w:szCs w:val="24"/>
        </w:rPr>
        <w:t xml:space="preserve">16 år svarer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til de værdier, der ses hos voksne.</w:t>
      </w:r>
    </w:p>
    <w:p w:rsidR="0074531F" w:rsidRPr="002B5638" w:rsidRDefault="0074531F" w:rsidP="0074531F">
      <w:pPr>
        <w:ind w:left="851"/>
        <w:rPr>
          <w:sz w:val="24"/>
          <w:szCs w:val="24"/>
        </w:rPr>
      </w:pPr>
    </w:p>
    <w:p w:rsidR="0074531F" w:rsidRPr="00C84483" w:rsidRDefault="0074531F" w:rsidP="0074531F">
      <w:pPr>
        <w:ind w:left="851"/>
        <w:rPr>
          <w:sz w:val="24"/>
          <w:szCs w:val="24"/>
        </w:rPr>
      </w:pPr>
      <w:r w:rsidRPr="002B5638">
        <w:rPr>
          <w:sz w:val="24"/>
          <w:szCs w:val="24"/>
        </w:rPr>
        <w:t xml:space="preserve">Efter administration af enkeltdosis på 0,8 eller 1,6 mg </w:t>
      </w:r>
      <w:proofErr w:type="spellStart"/>
      <w:r w:rsidRPr="002B5638">
        <w:rPr>
          <w:sz w:val="24"/>
          <w:szCs w:val="24"/>
        </w:rPr>
        <w:t>pantoprazol</w:t>
      </w:r>
      <w:proofErr w:type="spellEnd"/>
      <w:r w:rsidRPr="002B5638">
        <w:rPr>
          <w:sz w:val="24"/>
          <w:szCs w:val="24"/>
        </w:rPr>
        <w:t xml:space="preserve">/kg legemsvægt </w:t>
      </w:r>
      <w:proofErr w:type="spellStart"/>
      <w:r w:rsidRPr="002B5638">
        <w:rPr>
          <w:sz w:val="24"/>
          <w:szCs w:val="24"/>
        </w:rPr>
        <w:t>i.v</w:t>
      </w:r>
      <w:proofErr w:type="spellEnd"/>
      <w:r w:rsidRPr="002B5638">
        <w:rPr>
          <w:sz w:val="24"/>
          <w:szCs w:val="24"/>
        </w:rPr>
        <w:t xml:space="preserve">. til børn mellem 2 og 16 år sås ikke signifikant sammenhæng mellem </w:t>
      </w:r>
      <w:proofErr w:type="spellStart"/>
      <w:r w:rsidRPr="002B5638">
        <w:rPr>
          <w:sz w:val="24"/>
          <w:szCs w:val="24"/>
        </w:rPr>
        <w:t>pantoprazolclearance</w:t>
      </w:r>
      <w:proofErr w:type="spellEnd"/>
      <w:r w:rsidRPr="002B5638">
        <w:rPr>
          <w:sz w:val="24"/>
          <w:szCs w:val="24"/>
        </w:rPr>
        <w:t xml:space="preserve"> og børnenes alder og vægt. AUC og fordelingsvolumen svarer til værdierne set hos voksne.</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5.3</w:t>
      </w:r>
      <w:r w:rsidRPr="00C84483">
        <w:rPr>
          <w:b/>
          <w:sz w:val="24"/>
          <w:szCs w:val="24"/>
        </w:rPr>
        <w:tab/>
      </w:r>
      <w:r w:rsidR="00384E82">
        <w:rPr>
          <w:b/>
          <w:sz w:val="24"/>
          <w:szCs w:val="24"/>
        </w:rPr>
        <w:t>Non-</w:t>
      </w:r>
      <w:r w:rsidRPr="00C84483">
        <w:rPr>
          <w:b/>
          <w:sz w:val="24"/>
          <w:szCs w:val="24"/>
        </w:rPr>
        <w:t>kliniske sikkerhedsdata</w:t>
      </w:r>
    </w:p>
    <w:p w:rsidR="0074531F" w:rsidRPr="002B5638" w:rsidRDefault="0074531F" w:rsidP="0074531F">
      <w:pPr>
        <w:ind w:left="851"/>
        <w:rPr>
          <w:sz w:val="24"/>
          <w:szCs w:val="24"/>
        </w:rPr>
      </w:pPr>
      <w:r w:rsidRPr="002B5638">
        <w:rPr>
          <w:sz w:val="24"/>
          <w:szCs w:val="24"/>
        </w:rPr>
        <w:t>Non-kliniske data viser ingen særlig risiko for mennesker vurderet ud fra konventionelle undersøgelser af sikkerhedsfarmakologi, toksicitet efter gentagne doser og genotoksicitet.</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I et toårigt </w:t>
      </w:r>
      <w:proofErr w:type="spellStart"/>
      <w:r w:rsidRPr="002B5638">
        <w:rPr>
          <w:sz w:val="24"/>
          <w:szCs w:val="24"/>
        </w:rPr>
        <w:t>karcinogenicitetsforsøg</w:t>
      </w:r>
      <w:proofErr w:type="spellEnd"/>
      <w:r w:rsidRPr="002B5638">
        <w:rPr>
          <w:sz w:val="24"/>
          <w:szCs w:val="24"/>
        </w:rPr>
        <w:t xml:space="preserve"> på rotter fandt man </w:t>
      </w:r>
      <w:proofErr w:type="spellStart"/>
      <w:r w:rsidRPr="002B5638">
        <w:rPr>
          <w:sz w:val="24"/>
          <w:szCs w:val="24"/>
        </w:rPr>
        <w:t>neuroendokrine</w:t>
      </w:r>
      <w:proofErr w:type="spellEnd"/>
      <w:r w:rsidRPr="002B5638">
        <w:rPr>
          <w:sz w:val="24"/>
          <w:szCs w:val="24"/>
        </w:rPr>
        <w:t xml:space="preserve"> neoplasmer. Desuden blev der fundet </w:t>
      </w:r>
      <w:proofErr w:type="spellStart"/>
      <w:r w:rsidRPr="002B5638">
        <w:rPr>
          <w:sz w:val="24"/>
          <w:szCs w:val="24"/>
        </w:rPr>
        <w:t>planocellulære</w:t>
      </w:r>
      <w:proofErr w:type="spellEnd"/>
      <w:r w:rsidRPr="002B5638">
        <w:rPr>
          <w:sz w:val="24"/>
          <w:szCs w:val="24"/>
        </w:rPr>
        <w:t xml:space="preserve"> </w:t>
      </w:r>
      <w:proofErr w:type="spellStart"/>
      <w:r w:rsidRPr="002B5638">
        <w:rPr>
          <w:sz w:val="24"/>
          <w:szCs w:val="24"/>
        </w:rPr>
        <w:t>papillomer</w:t>
      </w:r>
      <w:proofErr w:type="spellEnd"/>
      <w:r w:rsidRPr="002B5638">
        <w:rPr>
          <w:sz w:val="24"/>
          <w:szCs w:val="24"/>
        </w:rPr>
        <w:t xml:space="preserve"> i </w:t>
      </w:r>
      <w:proofErr w:type="spellStart"/>
      <w:r w:rsidRPr="002B5638">
        <w:rPr>
          <w:sz w:val="24"/>
          <w:szCs w:val="24"/>
        </w:rPr>
        <w:t>formaven</w:t>
      </w:r>
      <w:proofErr w:type="spellEnd"/>
      <w:r w:rsidRPr="002B5638">
        <w:rPr>
          <w:sz w:val="24"/>
          <w:szCs w:val="24"/>
        </w:rPr>
        <w:t xml:space="preserve"> på rotter. Den mekanisme, der fører til, at substituerede </w:t>
      </w:r>
      <w:proofErr w:type="spellStart"/>
      <w:r w:rsidRPr="002B5638">
        <w:rPr>
          <w:sz w:val="24"/>
          <w:szCs w:val="24"/>
        </w:rPr>
        <w:t>benzimidazoler</w:t>
      </w:r>
      <w:proofErr w:type="spellEnd"/>
      <w:r w:rsidRPr="002B5638">
        <w:rPr>
          <w:sz w:val="24"/>
          <w:szCs w:val="24"/>
        </w:rPr>
        <w:t xml:space="preserve"> giver ventrikelcancer, er undersøgt nøje, og konklusionen er, at ventrikelcancer er en sekundær reaktion til den kraftige forøgelse af </w:t>
      </w:r>
      <w:proofErr w:type="spellStart"/>
      <w:r w:rsidRPr="002B5638">
        <w:rPr>
          <w:sz w:val="24"/>
          <w:szCs w:val="24"/>
        </w:rPr>
        <w:t>serumgastrinniveauet</w:t>
      </w:r>
      <w:proofErr w:type="spellEnd"/>
      <w:r w:rsidRPr="002B5638">
        <w:rPr>
          <w:sz w:val="24"/>
          <w:szCs w:val="24"/>
        </w:rPr>
        <w:t xml:space="preserve"> hos rotter i kronisk højdosisbehandling. I toårs-forsøgene med gnavere blev der observeret et øget antal levertumorer hos rotter og hos </w:t>
      </w:r>
      <w:proofErr w:type="spellStart"/>
      <w:r w:rsidRPr="002B5638">
        <w:rPr>
          <w:sz w:val="24"/>
          <w:szCs w:val="24"/>
        </w:rPr>
        <w:t>hunmus</w:t>
      </w:r>
      <w:proofErr w:type="spellEnd"/>
      <w:r w:rsidRPr="002B5638">
        <w:rPr>
          <w:sz w:val="24"/>
          <w:szCs w:val="24"/>
        </w:rPr>
        <w:t xml:space="preserve">, hvilket blev tolket til at være en konsekvens af, at </w:t>
      </w:r>
      <w:proofErr w:type="spellStart"/>
      <w:r w:rsidRPr="002B5638">
        <w:rPr>
          <w:sz w:val="24"/>
          <w:szCs w:val="24"/>
        </w:rPr>
        <w:t>pantoprazol</w:t>
      </w:r>
      <w:proofErr w:type="spellEnd"/>
      <w:r w:rsidRPr="002B5638">
        <w:rPr>
          <w:sz w:val="24"/>
          <w:szCs w:val="24"/>
        </w:rPr>
        <w:t xml:space="preserve"> i udstrakt grad </w:t>
      </w:r>
      <w:proofErr w:type="spellStart"/>
      <w:r w:rsidRPr="002B5638">
        <w:rPr>
          <w:sz w:val="24"/>
          <w:szCs w:val="24"/>
        </w:rPr>
        <w:t>metaboliseres</w:t>
      </w:r>
      <w:proofErr w:type="spellEnd"/>
      <w:r w:rsidRPr="002B5638">
        <w:rPr>
          <w:sz w:val="24"/>
          <w:szCs w:val="24"/>
        </w:rPr>
        <w:t xml:space="preserve"> i leveren.</w:t>
      </w:r>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En beskeden forøgelse af neoplastiske forandringer i </w:t>
      </w:r>
      <w:proofErr w:type="spellStart"/>
      <w:r w:rsidRPr="002B5638">
        <w:rPr>
          <w:sz w:val="24"/>
          <w:szCs w:val="24"/>
        </w:rPr>
        <w:t>thyreoidea</w:t>
      </w:r>
      <w:proofErr w:type="spellEnd"/>
      <w:r w:rsidRPr="002B5638">
        <w:rPr>
          <w:sz w:val="24"/>
          <w:szCs w:val="24"/>
        </w:rPr>
        <w:t xml:space="preserve"> blev set i den gruppe rotter, der fik den højeste dosis (200 mg/kg). Forekomsten af disse neoplasmer hænger sammen med de </w:t>
      </w:r>
      <w:proofErr w:type="spellStart"/>
      <w:r w:rsidRPr="002B5638">
        <w:rPr>
          <w:sz w:val="24"/>
          <w:szCs w:val="24"/>
        </w:rPr>
        <w:t>pantoprazol</w:t>
      </w:r>
      <w:proofErr w:type="spellEnd"/>
      <w:r w:rsidRPr="002B5638">
        <w:rPr>
          <w:sz w:val="24"/>
          <w:szCs w:val="24"/>
        </w:rPr>
        <w:t xml:space="preserve">-inducerede forandringer i nedbrydningen af </w:t>
      </w:r>
      <w:proofErr w:type="spellStart"/>
      <w:r w:rsidRPr="002B5638">
        <w:rPr>
          <w:sz w:val="24"/>
          <w:szCs w:val="24"/>
        </w:rPr>
        <w:t>thyroxin</w:t>
      </w:r>
      <w:proofErr w:type="spellEnd"/>
      <w:r w:rsidRPr="002B5638">
        <w:rPr>
          <w:sz w:val="24"/>
          <w:szCs w:val="24"/>
        </w:rPr>
        <w:t xml:space="preserve"> i rotteleveren. Der forventes ingen skadelige virkninger på skjoldbruskkirtlen, da den terapeutiske dosis hos mennesker er lav.</w:t>
      </w:r>
    </w:p>
    <w:p w:rsidR="0074531F" w:rsidRPr="002B5638" w:rsidRDefault="0074531F" w:rsidP="0074531F">
      <w:pPr>
        <w:ind w:left="851"/>
        <w:rPr>
          <w:sz w:val="24"/>
          <w:szCs w:val="24"/>
        </w:rPr>
      </w:pPr>
    </w:p>
    <w:p w:rsidR="004B30D3" w:rsidRDefault="004B30D3" w:rsidP="004B30D3">
      <w:pPr>
        <w:ind w:left="851"/>
        <w:rPr>
          <w:sz w:val="24"/>
          <w:szCs w:val="24"/>
        </w:rPr>
      </w:pPr>
      <w:bookmarkStart w:id="1" w:name="_Hlk75441182"/>
      <w:r>
        <w:rPr>
          <w:sz w:val="24"/>
          <w:szCs w:val="24"/>
        </w:rPr>
        <w:t xml:space="preserve">I et </w:t>
      </w:r>
      <w:proofErr w:type="spellStart"/>
      <w:r>
        <w:rPr>
          <w:sz w:val="24"/>
          <w:szCs w:val="24"/>
        </w:rPr>
        <w:t>peri-postnatalt</w:t>
      </w:r>
      <w:proofErr w:type="spellEnd"/>
      <w:r>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Pr>
          <w:sz w:val="24"/>
          <w:szCs w:val="24"/>
        </w:rPr>
        <w:t>C</w:t>
      </w:r>
      <w:r>
        <w:rPr>
          <w:sz w:val="24"/>
          <w:szCs w:val="24"/>
          <w:vertAlign w:val="subscript"/>
        </w:rPr>
        <w:t>max</w:t>
      </w:r>
      <w:proofErr w:type="spellEnd"/>
      <w:r>
        <w:rPr>
          <w:sz w:val="24"/>
          <w:szCs w:val="24"/>
        </w:rPr>
        <w:t xml:space="preserve">) på omtrent 2 gange den menneskelige kliniske eksponering. Ved udgangen af rekonvalescensperioden var knogleparametrene ens i alle grupper, og der var desuden en tendens mod </w:t>
      </w:r>
      <w:proofErr w:type="spellStart"/>
      <w:r>
        <w:rPr>
          <w:sz w:val="24"/>
          <w:szCs w:val="24"/>
        </w:rPr>
        <w:t>reversabilitet</w:t>
      </w:r>
      <w:proofErr w:type="spellEnd"/>
      <w:r>
        <w:rPr>
          <w:sz w:val="24"/>
          <w:szCs w:val="24"/>
        </w:rPr>
        <w:t xml:space="preserve"> for legemsvægt efter en rekonvalescensperiode uden lægemidler. Den øgede mortalitet er kun blevet rapporteret for</w:t>
      </w:r>
    </w:p>
    <w:p w:rsidR="004B30D3" w:rsidRDefault="004B30D3" w:rsidP="004B30D3">
      <w:pPr>
        <w:ind w:left="851"/>
        <w:rPr>
          <w:sz w:val="24"/>
          <w:szCs w:val="24"/>
        </w:rPr>
      </w:pPr>
      <w:r>
        <w:rPr>
          <w:sz w:val="24"/>
          <w:szCs w:val="24"/>
        </w:rPr>
        <w:t xml:space="preserve">rotteunger inden afvænning (op til 21 dage gamle), hvilket anslås at korrespondere med spædbørn op til 2 år. Relevansen af dette fund for den pædiatriske population er uklar. Et tidligere </w:t>
      </w:r>
      <w:proofErr w:type="spellStart"/>
      <w:r>
        <w:rPr>
          <w:sz w:val="24"/>
          <w:szCs w:val="24"/>
        </w:rPr>
        <w:t>peri-postnatalt</w:t>
      </w:r>
      <w:proofErr w:type="spellEnd"/>
      <w:r>
        <w:rPr>
          <w:sz w:val="24"/>
          <w:szCs w:val="24"/>
        </w:rPr>
        <w:t xml:space="preserve"> studie med rotter, som fik lidt lavere doser, fandt ingen bivirkninger ved 3 mg/kg sammenlignet med en lav dosis på 5 mg/kg i dette studie.</w:t>
      </w:r>
      <w:bookmarkEnd w:id="1"/>
    </w:p>
    <w:p w:rsidR="0074531F" w:rsidRPr="002B5638" w:rsidRDefault="0074531F" w:rsidP="0074531F">
      <w:pPr>
        <w:ind w:left="851"/>
        <w:rPr>
          <w:sz w:val="24"/>
          <w:szCs w:val="24"/>
        </w:rPr>
      </w:pPr>
    </w:p>
    <w:p w:rsidR="0074531F" w:rsidRPr="002B5638" w:rsidRDefault="0074531F" w:rsidP="0074531F">
      <w:pPr>
        <w:ind w:left="851"/>
        <w:rPr>
          <w:sz w:val="24"/>
          <w:szCs w:val="24"/>
        </w:rPr>
      </w:pPr>
      <w:r w:rsidRPr="002B5638">
        <w:rPr>
          <w:sz w:val="24"/>
          <w:szCs w:val="24"/>
        </w:rPr>
        <w:t xml:space="preserve">Undersøgelserne viste intet tegn på nedsat fertilitet eller </w:t>
      </w:r>
      <w:proofErr w:type="spellStart"/>
      <w:r w:rsidRPr="002B5638">
        <w:rPr>
          <w:sz w:val="24"/>
          <w:szCs w:val="24"/>
        </w:rPr>
        <w:t>teratogen</w:t>
      </w:r>
      <w:proofErr w:type="spellEnd"/>
      <w:r w:rsidRPr="002B5638">
        <w:rPr>
          <w:sz w:val="24"/>
          <w:szCs w:val="24"/>
        </w:rPr>
        <w:t xml:space="preserve"> effekt. </w:t>
      </w:r>
    </w:p>
    <w:p w:rsidR="0074531F" w:rsidRPr="002B5638" w:rsidRDefault="0074531F" w:rsidP="0074531F">
      <w:pPr>
        <w:ind w:left="851"/>
        <w:rPr>
          <w:sz w:val="24"/>
          <w:szCs w:val="24"/>
        </w:rPr>
      </w:pPr>
    </w:p>
    <w:p w:rsidR="0074531F" w:rsidRPr="00C84483" w:rsidRDefault="0074531F" w:rsidP="0074531F">
      <w:pPr>
        <w:ind w:left="851"/>
        <w:rPr>
          <w:sz w:val="24"/>
          <w:szCs w:val="24"/>
        </w:rPr>
      </w:pPr>
      <w:r w:rsidRPr="002B5638">
        <w:rPr>
          <w:sz w:val="24"/>
          <w:szCs w:val="24"/>
        </w:rPr>
        <w:t xml:space="preserve">Passagen over placenta blev undersøgt hos rotter og blev fundet at stige ved fremskreden drægtighed. Som en konsekvens heraf øgedes koncentrationen af </w:t>
      </w:r>
      <w:proofErr w:type="spellStart"/>
      <w:r w:rsidRPr="002B5638">
        <w:rPr>
          <w:sz w:val="24"/>
          <w:szCs w:val="24"/>
        </w:rPr>
        <w:t>pantoprazol</w:t>
      </w:r>
      <w:proofErr w:type="spellEnd"/>
      <w:r w:rsidRPr="002B5638">
        <w:rPr>
          <w:sz w:val="24"/>
          <w:szCs w:val="24"/>
        </w:rPr>
        <w:t xml:space="preserve"> i fosteret kort før fødslen.</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4531F" w:rsidRPr="00BA09F1"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6.1</w:t>
      </w:r>
      <w:r w:rsidRPr="00C84483">
        <w:rPr>
          <w:b/>
          <w:sz w:val="24"/>
          <w:szCs w:val="24"/>
        </w:rPr>
        <w:tab/>
        <w:t>Hjælpestoffer</w:t>
      </w:r>
    </w:p>
    <w:p w:rsidR="0074531F" w:rsidRDefault="0074531F" w:rsidP="0074531F">
      <w:pPr>
        <w:keepNext/>
        <w:ind w:left="851"/>
        <w:rPr>
          <w:iCs/>
          <w:sz w:val="24"/>
          <w:szCs w:val="24"/>
          <w:u w:val="single"/>
        </w:rPr>
      </w:pPr>
    </w:p>
    <w:p w:rsidR="004B30D3" w:rsidRDefault="004B30D3" w:rsidP="0074531F">
      <w:pPr>
        <w:ind w:left="851"/>
        <w:rPr>
          <w:iCs/>
          <w:sz w:val="24"/>
          <w:szCs w:val="24"/>
          <w:u w:val="single"/>
        </w:rPr>
      </w:pPr>
      <w:r>
        <w:rPr>
          <w:iCs/>
          <w:sz w:val="24"/>
          <w:szCs w:val="24"/>
          <w:u w:val="single"/>
        </w:rPr>
        <w:t>Tabletkerne</w:t>
      </w:r>
    </w:p>
    <w:p w:rsidR="0074531F" w:rsidRPr="002B5638" w:rsidRDefault="0074531F" w:rsidP="0074531F">
      <w:pPr>
        <w:ind w:left="851"/>
        <w:rPr>
          <w:sz w:val="24"/>
          <w:szCs w:val="24"/>
        </w:rPr>
      </w:pPr>
      <w:proofErr w:type="spellStart"/>
      <w:r w:rsidRPr="002B5638">
        <w:rPr>
          <w:sz w:val="24"/>
          <w:szCs w:val="24"/>
        </w:rPr>
        <w:lastRenderedPageBreak/>
        <w:t>Mannitol</w:t>
      </w:r>
      <w:proofErr w:type="spellEnd"/>
      <w:r w:rsidRPr="002B5638">
        <w:rPr>
          <w:sz w:val="24"/>
          <w:szCs w:val="24"/>
        </w:rPr>
        <w:t xml:space="preserve"> (E421)</w:t>
      </w:r>
    </w:p>
    <w:p w:rsidR="0074531F" w:rsidRPr="001B42A0" w:rsidRDefault="0074531F" w:rsidP="0074531F">
      <w:pPr>
        <w:ind w:left="851"/>
        <w:rPr>
          <w:sz w:val="24"/>
          <w:szCs w:val="24"/>
        </w:rPr>
      </w:pPr>
      <w:proofErr w:type="spellStart"/>
      <w:r w:rsidRPr="001B42A0">
        <w:rPr>
          <w:sz w:val="24"/>
          <w:szCs w:val="24"/>
        </w:rPr>
        <w:t>Crospovidon</w:t>
      </w:r>
      <w:proofErr w:type="spellEnd"/>
    </w:p>
    <w:p w:rsidR="0074531F" w:rsidRPr="001B42A0" w:rsidRDefault="0074531F" w:rsidP="0074531F">
      <w:pPr>
        <w:ind w:left="851"/>
        <w:rPr>
          <w:sz w:val="24"/>
          <w:szCs w:val="24"/>
        </w:rPr>
      </w:pPr>
      <w:proofErr w:type="spellStart"/>
      <w:r w:rsidRPr="001B42A0">
        <w:rPr>
          <w:sz w:val="24"/>
          <w:szCs w:val="24"/>
        </w:rPr>
        <w:t>Natriumcarbonat</w:t>
      </w:r>
      <w:proofErr w:type="spellEnd"/>
    </w:p>
    <w:p w:rsidR="0074531F" w:rsidRPr="001B42A0" w:rsidRDefault="0074531F" w:rsidP="0074531F">
      <w:pPr>
        <w:ind w:left="851"/>
        <w:rPr>
          <w:sz w:val="24"/>
          <w:szCs w:val="24"/>
        </w:rPr>
      </w:pPr>
      <w:proofErr w:type="spellStart"/>
      <w:r w:rsidRPr="001B42A0">
        <w:rPr>
          <w:sz w:val="24"/>
          <w:szCs w:val="24"/>
        </w:rPr>
        <w:t>Hydroxypropylcellulose</w:t>
      </w:r>
      <w:proofErr w:type="spellEnd"/>
    </w:p>
    <w:p w:rsidR="0074531F" w:rsidRPr="001B42A0" w:rsidRDefault="0074531F" w:rsidP="0074531F">
      <w:pPr>
        <w:ind w:left="851"/>
        <w:rPr>
          <w:sz w:val="24"/>
          <w:szCs w:val="24"/>
        </w:rPr>
      </w:pPr>
      <w:proofErr w:type="spellStart"/>
      <w:r w:rsidRPr="001B42A0">
        <w:rPr>
          <w:sz w:val="24"/>
          <w:szCs w:val="24"/>
        </w:rPr>
        <w:t>Calciumstearat</w:t>
      </w:r>
      <w:proofErr w:type="spellEnd"/>
    </w:p>
    <w:p w:rsidR="0074531F" w:rsidRPr="001B42A0" w:rsidRDefault="0074531F" w:rsidP="0074531F">
      <w:pPr>
        <w:ind w:left="851"/>
        <w:rPr>
          <w:sz w:val="24"/>
          <w:szCs w:val="24"/>
        </w:rPr>
      </w:pPr>
    </w:p>
    <w:p w:rsidR="0074531F" w:rsidRPr="001B42A0" w:rsidRDefault="0074531F" w:rsidP="0074531F">
      <w:pPr>
        <w:keepNext/>
        <w:ind w:left="851"/>
        <w:rPr>
          <w:iCs/>
          <w:sz w:val="24"/>
          <w:szCs w:val="24"/>
          <w:u w:val="single"/>
        </w:rPr>
      </w:pPr>
      <w:r w:rsidRPr="001B42A0">
        <w:rPr>
          <w:iCs/>
          <w:sz w:val="24"/>
          <w:szCs w:val="24"/>
          <w:u w:val="single"/>
        </w:rPr>
        <w:t>Overtræk</w:t>
      </w:r>
    </w:p>
    <w:p w:rsidR="0074531F" w:rsidRPr="001B42A0" w:rsidRDefault="0074531F" w:rsidP="0074531F">
      <w:pPr>
        <w:ind w:left="851"/>
        <w:rPr>
          <w:sz w:val="24"/>
          <w:szCs w:val="24"/>
        </w:rPr>
      </w:pPr>
      <w:proofErr w:type="spellStart"/>
      <w:r w:rsidRPr="001B42A0">
        <w:rPr>
          <w:sz w:val="24"/>
          <w:szCs w:val="24"/>
        </w:rPr>
        <w:t>Methacrylsyre-ethylacrylat</w:t>
      </w:r>
      <w:proofErr w:type="spellEnd"/>
      <w:r w:rsidRPr="001B42A0">
        <w:rPr>
          <w:sz w:val="24"/>
          <w:szCs w:val="24"/>
        </w:rPr>
        <w:t xml:space="preserve"> </w:t>
      </w:r>
      <w:proofErr w:type="spellStart"/>
      <w:r w:rsidRPr="001B42A0">
        <w:rPr>
          <w:sz w:val="24"/>
          <w:szCs w:val="24"/>
        </w:rPr>
        <w:t>copolymer</w:t>
      </w:r>
      <w:proofErr w:type="spellEnd"/>
      <w:r w:rsidRPr="001B42A0">
        <w:rPr>
          <w:sz w:val="24"/>
          <w:szCs w:val="24"/>
        </w:rPr>
        <w:t xml:space="preserve"> (1:1)</w:t>
      </w:r>
    </w:p>
    <w:p w:rsidR="0074531F" w:rsidRPr="001B42A0" w:rsidRDefault="0074531F" w:rsidP="0074531F">
      <w:pPr>
        <w:ind w:left="851"/>
        <w:rPr>
          <w:sz w:val="24"/>
          <w:szCs w:val="24"/>
        </w:rPr>
      </w:pPr>
      <w:proofErr w:type="spellStart"/>
      <w:r w:rsidRPr="001B42A0">
        <w:rPr>
          <w:sz w:val="24"/>
          <w:szCs w:val="24"/>
        </w:rPr>
        <w:t>Hypromellose</w:t>
      </w:r>
      <w:proofErr w:type="spellEnd"/>
    </w:p>
    <w:p w:rsidR="0074531F" w:rsidRPr="001B42A0" w:rsidRDefault="0074531F" w:rsidP="0074531F">
      <w:pPr>
        <w:ind w:left="851"/>
        <w:rPr>
          <w:sz w:val="24"/>
          <w:szCs w:val="24"/>
        </w:rPr>
      </w:pPr>
      <w:proofErr w:type="spellStart"/>
      <w:r w:rsidRPr="001B42A0">
        <w:rPr>
          <w:sz w:val="24"/>
          <w:szCs w:val="24"/>
        </w:rPr>
        <w:t>Triethylcitrat</w:t>
      </w:r>
      <w:proofErr w:type="spellEnd"/>
    </w:p>
    <w:p w:rsidR="0074531F" w:rsidRPr="001B42A0" w:rsidRDefault="0074531F" w:rsidP="0074531F">
      <w:pPr>
        <w:ind w:left="851"/>
        <w:rPr>
          <w:sz w:val="24"/>
          <w:szCs w:val="24"/>
        </w:rPr>
      </w:pPr>
      <w:r w:rsidRPr="001B42A0">
        <w:rPr>
          <w:sz w:val="24"/>
          <w:szCs w:val="24"/>
        </w:rPr>
        <w:t>Gul jernoxid (E172)</w:t>
      </w:r>
    </w:p>
    <w:p w:rsidR="0074531F" w:rsidRPr="001B42A0"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6.2</w:t>
      </w:r>
      <w:r w:rsidRPr="00C84483">
        <w:rPr>
          <w:b/>
          <w:sz w:val="24"/>
          <w:szCs w:val="24"/>
        </w:rPr>
        <w:tab/>
        <w:t>Uforligeligheder</w:t>
      </w:r>
    </w:p>
    <w:p w:rsidR="0074531F" w:rsidRPr="00C84483" w:rsidRDefault="0074531F" w:rsidP="0074531F">
      <w:pPr>
        <w:tabs>
          <w:tab w:val="left" w:pos="851"/>
        </w:tabs>
        <w:ind w:left="851"/>
        <w:rPr>
          <w:sz w:val="24"/>
          <w:szCs w:val="24"/>
        </w:rPr>
      </w:pPr>
      <w:r>
        <w:rPr>
          <w:sz w:val="24"/>
          <w:szCs w:val="24"/>
        </w:rPr>
        <w:t>Ikke relevant.</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6.3</w:t>
      </w:r>
      <w:r w:rsidRPr="00C84483">
        <w:rPr>
          <w:b/>
          <w:sz w:val="24"/>
          <w:szCs w:val="24"/>
        </w:rPr>
        <w:tab/>
        <w:t>Opbevaringstid</w:t>
      </w:r>
    </w:p>
    <w:p w:rsidR="0074531F" w:rsidRPr="00C84483" w:rsidRDefault="0074531F" w:rsidP="00AF1C41">
      <w:pPr>
        <w:tabs>
          <w:tab w:val="left" w:pos="851"/>
        </w:tabs>
        <w:ind w:left="851" w:hanging="851"/>
        <w:rPr>
          <w:sz w:val="24"/>
          <w:szCs w:val="24"/>
        </w:rPr>
      </w:pPr>
      <w:r w:rsidRPr="00C84483">
        <w:rPr>
          <w:sz w:val="24"/>
          <w:szCs w:val="24"/>
        </w:rPr>
        <w:tab/>
      </w:r>
      <w:r w:rsidR="00AF1C41">
        <w:rPr>
          <w:sz w:val="24"/>
          <w:szCs w:val="24"/>
        </w:rPr>
        <w:t>3 år.</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4531F" w:rsidRPr="00C84483" w:rsidRDefault="0074531F" w:rsidP="0074531F">
      <w:pPr>
        <w:ind w:left="851"/>
        <w:rPr>
          <w:sz w:val="24"/>
          <w:szCs w:val="24"/>
        </w:rPr>
      </w:pPr>
      <w:r w:rsidRPr="002B5638">
        <w:rPr>
          <w:sz w:val="24"/>
          <w:szCs w:val="24"/>
        </w:rPr>
        <w:t xml:space="preserve">Må ikke opbevares </w:t>
      </w:r>
      <w:r>
        <w:rPr>
          <w:sz w:val="24"/>
          <w:szCs w:val="24"/>
        </w:rPr>
        <w:t xml:space="preserve">ved temperaturer </w:t>
      </w:r>
      <w:r w:rsidRPr="002B5638">
        <w:rPr>
          <w:sz w:val="24"/>
          <w:szCs w:val="24"/>
        </w:rPr>
        <w:t>over 30</w:t>
      </w:r>
      <w:r w:rsidR="002661C3">
        <w:rPr>
          <w:sz w:val="24"/>
          <w:szCs w:val="24"/>
        </w:rPr>
        <w:t> </w:t>
      </w:r>
      <w:r w:rsidR="008943FC">
        <w:rPr>
          <w:sz w:val="24"/>
          <w:szCs w:val="24"/>
        </w:rPr>
        <w:t>°</w:t>
      </w:r>
      <w:r w:rsidRPr="002B5638">
        <w:rPr>
          <w:sz w:val="24"/>
          <w:szCs w:val="24"/>
        </w:rPr>
        <w:t>C</w:t>
      </w:r>
      <w:r>
        <w:rPr>
          <w:sz w:val="24"/>
          <w:szCs w:val="24"/>
        </w:rPr>
        <w:t>.</w:t>
      </w:r>
      <w:r w:rsidRPr="00C84483">
        <w:rPr>
          <w:sz w:val="24"/>
          <w:szCs w:val="24"/>
        </w:rPr>
        <w:t xml:space="preserve"> </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4531F" w:rsidRDefault="0074531F" w:rsidP="0074531F">
      <w:pPr>
        <w:ind w:left="851"/>
        <w:rPr>
          <w:sz w:val="24"/>
          <w:szCs w:val="24"/>
        </w:rPr>
      </w:pPr>
    </w:p>
    <w:p w:rsidR="0074531F" w:rsidRPr="007474DD" w:rsidRDefault="0074531F" w:rsidP="0074531F">
      <w:pPr>
        <w:ind w:left="851"/>
        <w:rPr>
          <w:sz w:val="24"/>
          <w:szCs w:val="24"/>
          <w:u w:val="single"/>
        </w:rPr>
      </w:pPr>
      <w:r w:rsidRPr="007474DD">
        <w:rPr>
          <w:sz w:val="24"/>
          <w:szCs w:val="24"/>
          <w:u w:val="single"/>
        </w:rPr>
        <w:t>Polyamid/</w:t>
      </w:r>
      <w:proofErr w:type="spellStart"/>
      <w:r w:rsidRPr="007474DD">
        <w:rPr>
          <w:sz w:val="24"/>
          <w:szCs w:val="24"/>
          <w:u w:val="single"/>
        </w:rPr>
        <w:t>Alu</w:t>
      </w:r>
      <w:proofErr w:type="spellEnd"/>
      <w:r w:rsidRPr="007474DD">
        <w:rPr>
          <w:sz w:val="24"/>
          <w:szCs w:val="24"/>
          <w:u w:val="single"/>
        </w:rPr>
        <w:t>/PVC/</w:t>
      </w:r>
      <w:proofErr w:type="spellStart"/>
      <w:r w:rsidRPr="007474DD">
        <w:rPr>
          <w:sz w:val="24"/>
          <w:szCs w:val="24"/>
          <w:u w:val="single"/>
        </w:rPr>
        <w:t>Alu</w:t>
      </w:r>
      <w:proofErr w:type="spellEnd"/>
      <w:r w:rsidRPr="007474DD">
        <w:rPr>
          <w:sz w:val="24"/>
          <w:szCs w:val="24"/>
          <w:u w:val="single"/>
        </w:rPr>
        <w:t xml:space="preserve"> blisterpakning</w:t>
      </w:r>
    </w:p>
    <w:p w:rsidR="00AF1C41" w:rsidRDefault="00AF1C41" w:rsidP="00AF1C41">
      <w:pPr>
        <w:ind w:left="851"/>
        <w:rPr>
          <w:sz w:val="24"/>
          <w:szCs w:val="24"/>
        </w:rPr>
      </w:pPr>
      <w:r>
        <w:rPr>
          <w:sz w:val="24"/>
          <w:szCs w:val="24"/>
        </w:rPr>
        <w:t>Pakningsstørrelser: 7, 14, 15, 28, 30, 56, 60, 98, 100 og 500 stk.</w:t>
      </w:r>
    </w:p>
    <w:p w:rsidR="0074531F" w:rsidRDefault="0074531F" w:rsidP="0074531F">
      <w:pPr>
        <w:ind w:left="851"/>
        <w:rPr>
          <w:sz w:val="24"/>
          <w:szCs w:val="24"/>
        </w:rPr>
      </w:pPr>
    </w:p>
    <w:p w:rsidR="0074531F" w:rsidRPr="007474DD" w:rsidRDefault="0074531F" w:rsidP="0074531F">
      <w:pPr>
        <w:ind w:left="851"/>
        <w:rPr>
          <w:sz w:val="24"/>
          <w:szCs w:val="24"/>
          <w:u w:val="single"/>
        </w:rPr>
      </w:pPr>
      <w:r w:rsidRPr="007474DD">
        <w:rPr>
          <w:sz w:val="24"/>
          <w:szCs w:val="24"/>
          <w:u w:val="single"/>
        </w:rPr>
        <w:t>HDPE-beholder med polypropylen tillukning med forseglingsforing</w:t>
      </w:r>
    </w:p>
    <w:p w:rsidR="0074531F" w:rsidRDefault="0074531F" w:rsidP="0074531F">
      <w:pPr>
        <w:ind w:left="851"/>
        <w:rPr>
          <w:sz w:val="24"/>
          <w:szCs w:val="24"/>
        </w:rPr>
      </w:pPr>
      <w:r>
        <w:rPr>
          <w:sz w:val="24"/>
          <w:szCs w:val="24"/>
        </w:rPr>
        <w:t>Pakningsstørrelser: 14, 56, 60, 98, 100, 140 og 500 stk.</w:t>
      </w:r>
    </w:p>
    <w:p w:rsidR="0074531F" w:rsidRPr="002B5638" w:rsidRDefault="0074531F" w:rsidP="0074531F">
      <w:pPr>
        <w:ind w:left="851"/>
        <w:rPr>
          <w:sz w:val="24"/>
          <w:szCs w:val="24"/>
        </w:rPr>
      </w:pPr>
    </w:p>
    <w:p w:rsidR="0074531F" w:rsidRPr="00C84483" w:rsidRDefault="0074531F" w:rsidP="0074531F">
      <w:pPr>
        <w:ind w:left="851"/>
        <w:rPr>
          <w:sz w:val="24"/>
          <w:szCs w:val="24"/>
        </w:rPr>
      </w:pPr>
      <w:r w:rsidRPr="002B5638">
        <w:rPr>
          <w:sz w:val="24"/>
          <w:szCs w:val="24"/>
        </w:rPr>
        <w:t>Ikke alle pakningsstørrelser er nødvendigvis markedsført.</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84E82">
        <w:rPr>
          <w:b/>
          <w:sz w:val="24"/>
          <w:szCs w:val="24"/>
        </w:rPr>
        <w:t>bortskaffelse</w:t>
      </w:r>
      <w:r w:rsidRPr="00C84483">
        <w:rPr>
          <w:b/>
          <w:sz w:val="24"/>
          <w:szCs w:val="24"/>
        </w:rPr>
        <w:t xml:space="preserve"> og anden håndtering</w:t>
      </w:r>
    </w:p>
    <w:p w:rsidR="0074531F" w:rsidRPr="00C84483" w:rsidRDefault="004B30D3" w:rsidP="004B30D3">
      <w:pPr>
        <w:ind w:left="851"/>
        <w:rPr>
          <w:sz w:val="24"/>
          <w:szCs w:val="24"/>
        </w:rPr>
      </w:pPr>
      <w:r>
        <w:rPr>
          <w:sz w:val="24"/>
          <w:szCs w:val="24"/>
        </w:rPr>
        <w:t>Ikke anvendt lægemiddel samt affald heraf skal bortskaffes i henhold til lokale retningslinjer.</w:t>
      </w:r>
    </w:p>
    <w:p w:rsidR="0074531F" w:rsidRPr="00C84483" w:rsidRDefault="0074531F" w:rsidP="0074531F">
      <w:pPr>
        <w:tabs>
          <w:tab w:val="left" w:pos="851"/>
        </w:tabs>
        <w:ind w:left="851"/>
        <w:jc w:val="both"/>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4531F" w:rsidRPr="00B86855" w:rsidRDefault="0074531F" w:rsidP="0074531F">
      <w:pPr>
        <w:ind w:left="851"/>
        <w:rPr>
          <w:sz w:val="24"/>
          <w:szCs w:val="24"/>
        </w:rPr>
      </w:pPr>
      <w:r w:rsidRPr="00B86855">
        <w:rPr>
          <w:sz w:val="24"/>
          <w:szCs w:val="24"/>
        </w:rPr>
        <w:t xml:space="preserve">Orion Corporation </w:t>
      </w:r>
    </w:p>
    <w:p w:rsidR="0074531F" w:rsidRPr="00B86855" w:rsidRDefault="0074531F" w:rsidP="0074531F">
      <w:pPr>
        <w:ind w:left="851"/>
        <w:rPr>
          <w:sz w:val="24"/>
          <w:szCs w:val="24"/>
        </w:rPr>
      </w:pPr>
      <w:proofErr w:type="spellStart"/>
      <w:r w:rsidRPr="00B86855">
        <w:rPr>
          <w:sz w:val="24"/>
          <w:szCs w:val="24"/>
        </w:rPr>
        <w:t>Orionintie</w:t>
      </w:r>
      <w:proofErr w:type="spellEnd"/>
      <w:r w:rsidRPr="00B86855">
        <w:rPr>
          <w:sz w:val="24"/>
          <w:szCs w:val="24"/>
        </w:rPr>
        <w:t xml:space="preserve"> 1</w:t>
      </w:r>
    </w:p>
    <w:p w:rsidR="0074531F" w:rsidRPr="00CD34E6" w:rsidRDefault="0074531F" w:rsidP="0074531F">
      <w:pPr>
        <w:ind w:left="851"/>
        <w:rPr>
          <w:sz w:val="24"/>
          <w:szCs w:val="24"/>
          <w:lang w:val="en-US"/>
        </w:rPr>
      </w:pPr>
      <w:r w:rsidRPr="00CD34E6">
        <w:rPr>
          <w:sz w:val="24"/>
          <w:szCs w:val="24"/>
          <w:lang w:val="en-US"/>
        </w:rPr>
        <w:t>FI-02200 Espoo</w:t>
      </w:r>
    </w:p>
    <w:p w:rsidR="0074531F" w:rsidRPr="00CD34E6" w:rsidRDefault="0074531F" w:rsidP="0074531F">
      <w:pPr>
        <w:ind w:left="851"/>
        <w:rPr>
          <w:sz w:val="24"/>
          <w:szCs w:val="24"/>
          <w:lang w:val="en-US"/>
        </w:rPr>
      </w:pPr>
      <w:r w:rsidRPr="00CD34E6">
        <w:rPr>
          <w:sz w:val="24"/>
          <w:szCs w:val="24"/>
          <w:lang w:val="en-US"/>
        </w:rPr>
        <w:t>Finland</w:t>
      </w:r>
    </w:p>
    <w:p w:rsidR="0074531F" w:rsidRPr="00CD34E6" w:rsidRDefault="0074531F" w:rsidP="0074531F">
      <w:pPr>
        <w:ind w:left="851"/>
        <w:rPr>
          <w:sz w:val="24"/>
          <w:szCs w:val="24"/>
          <w:lang w:val="en-US"/>
        </w:rPr>
      </w:pPr>
    </w:p>
    <w:p w:rsidR="0074531F" w:rsidRPr="00C42856" w:rsidRDefault="0074531F" w:rsidP="0074531F">
      <w:pPr>
        <w:ind w:left="851"/>
        <w:rPr>
          <w:b/>
          <w:sz w:val="24"/>
          <w:szCs w:val="24"/>
          <w:lang w:val="en-US"/>
        </w:rPr>
      </w:pPr>
      <w:proofErr w:type="spellStart"/>
      <w:r w:rsidRPr="00C42856">
        <w:rPr>
          <w:b/>
          <w:sz w:val="24"/>
          <w:szCs w:val="24"/>
          <w:lang w:val="en-US"/>
        </w:rPr>
        <w:t>Repræsentant</w:t>
      </w:r>
      <w:proofErr w:type="spellEnd"/>
    </w:p>
    <w:p w:rsidR="0074531F" w:rsidRPr="00B86855" w:rsidRDefault="0074531F" w:rsidP="0074531F">
      <w:pPr>
        <w:ind w:left="851"/>
        <w:rPr>
          <w:sz w:val="24"/>
          <w:szCs w:val="24"/>
          <w:lang w:val="en-US"/>
        </w:rPr>
      </w:pPr>
      <w:r w:rsidRPr="00B86855">
        <w:rPr>
          <w:sz w:val="24"/>
          <w:szCs w:val="24"/>
          <w:lang w:val="en-US"/>
        </w:rPr>
        <w:t>Orion Pharma A/S</w:t>
      </w:r>
    </w:p>
    <w:p w:rsidR="0074531F" w:rsidRPr="00C42856" w:rsidRDefault="0074531F" w:rsidP="0074531F">
      <w:pPr>
        <w:ind w:left="851"/>
        <w:rPr>
          <w:sz w:val="24"/>
          <w:szCs w:val="24"/>
        </w:rPr>
      </w:pPr>
      <w:r w:rsidRPr="00C42856">
        <w:rPr>
          <w:sz w:val="24"/>
          <w:szCs w:val="24"/>
        </w:rPr>
        <w:t>Ørestads Boulevard 73</w:t>
      </w:r>
    </w:p>
    <w:p w:rsidR="0074531F" w:rsidRPr="00C84483" w:rsidRDefault="0074531F" w:rsidP="0074531F">
      <w:pPr>
        <w:ind w:left="851"/>
        <w:rPr>
          <w:sz w:val="24"/>
          <w:szCs w:val="24"/>
        </w:rPr>
      </w:pPr>
      <w:r w:rsidRPr="002B5638">
        <w:rPr>
          <w:sz w:val="24"/>
          <w:szCs w:val="24"/>
        </w:rPr>
        <w:t>2300 København S</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84E82">
        <w:rPr>
          <w:b/>
          <w:sz w:val="24"/>
          <w:szCs w:val="24"/>
        </w:rPr>
        <w:t>-</w:t>
      </w:r>
      <w:r w:rsidRPr="00C84483">
        <w:rPr>
          <w:b/>
          <w:sz w:val="24"/>
          <w:szCs w:val="24"/>
        </w:rPr>
        <w:t>NUMRE)</w:t>
      </w:r>
    </w:p>
    <w:p w:rsidR="0074531F" w:rsidRPr="00C84483" w:rsidRDefault="0074531F" w:rsidP="0074531F">
      <w:pPr>
        <w:tabs>
          <w:tab w:val="left" w:pos="851"/>
        </w:tabs>
        <w:ind w:left="851"/>
        <w:rPr>
          <w:sz w:val="24"/>
          <w:szCs w:val="24"/>
        </w:rPr>
      </w:pPr>
      <w:r>
        <w:rPr>
          <w:sz w:val="24"/>
          <w:szCs w:val="24"/>
        </w:rPr>
        <w:t>58617</w:t>
      </w:r>
    </w:p>
    <w:p w:rsidR="0074531F" w:rsidRPr="00C84483" w:rsidRDefault="0074531F" w:rsidP="0074531F">
      <w:pPr>
        <w:tabs>
          <w:tab w:val="left" w:pos="851"/>
        </w:tabs>
        <w:ind w:left="851"/>
        <w:jc w:val="both"/>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4531F" w:rsidRPr="00C84483" w:rsidRDefault="0074531F" w:rsidP="0074531F">
      <w:pPr>
        <w:tabs>
          <w:tab w:val="left" w:pos="851"/>
        </w:tabs>
        <w:ind w:left="851"/>
        <w:rPr>
          <w:sz w:val="24"/>
          <w:szCs w:val="24"/>
        </w:rPr>
      </w:pPr>
      <w:r>
        <w:rPr>
          <w:sz w:val="24"/>
          <w:szCs w:val="24"/>
        </w:rPr>
        <w:t>20. februar 2018</w:t>
      </w:r>
    </w:p>
    <w:p w:rsidR="0074531F" w:rsidRPr="00C84483" w:rsidRDefault="0074531F" w:rsidP="0074531F">
      <w:pPr>
        <w:tabs>
          <w:tab w:val="left" w:pos="851"/>
        </w:tabs>
        <w:ind w:left="851"/>
        <w:rPr>
          <w:sz w:val="24"/>
          <w:szCs w:val="24"/>
        </w:rPr>
      </w:pPr>
    </w:p>
    <w:p w:rsidR="0074531F" w:rsidRPr="00C84483" w:rsidRDefault="0074531F" w:rsidP="0074531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4531F" w:rsidRPr="00C84483" w:rsidRDefault="003F4B77" w:rsidP="0074531F">
      <w:pPr>
        <w:tabs>
          <w:tab w:val="left" w:pos="851"/>
        </w:tabs>
        <w:ind w:left="851"/>
        <w:rPr>
          <w:sz w:val="24"/>
          <w:szCs w:val="24"/>
        </w:rPr>
      </w:pPr>
      <w:r>
        <w:rPr>
          <w:sz w:val="24"/>
          <w:szCs w:val="24"/>
        </w:rPr>
        <w:t>28</w:t>
      </w:r>
      <w:r w:rsidR="00872FA3">
        <w:rPr>
          <w:sz w:val="24"/>
          <w:szCs w:val="24"/>
        </w:rPr>
        <w:t>. maj 2024</w:t>
      </w:r>
    </w:p>
    <w:p w:rsidR="009260DE" w:rsidRPr="0074531F" w:rsidRDefault="009260DE" w:rsidP="0074531F"/>
    <w:sectPr w:rsidR="009260DE" w:rsidRPr="0074531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CE2" w:rsidRDefault="00385CE2">
      <w:r>
        <w:separator/>
      </w:r>
    </w:p>
  </w:endnote>
  <w:endnote w:type="continuationSeparator" w:id="0">
    <w:p w:rsidR="00385CE2" w:rsidRDefault="0038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12801">
      <w:rPr>
        <w:i/>
        <w:noProof/>
        <w:sz w:val="18"/>
        <w:szCs w:val="18"/>
      </w:rPr>
      <w:t>Pantoprazol Orion, enterotabletter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CE2" w:rsidRDefault="00385CE2">
      <w:r>
        <w:separator/>
      </w:r>
    </w:p>
  </w:footnote>
  <w:footnote w:type="continuationSeparator" w:id="0">
    <w:p w:rsidR="00385CE2" w:rsidRDefault="0038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F94D5E"/>
    <w:multiLevelType w:val="hybridMultilevel"/>
    <w:tmpl w:val="B46651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A2474FC"/>
    <w:multiLevelType w:val="hybridMultilevel"/>
    <w:tmpl w:val="4FC46B00"/>
    <w:lvl w:ilvl="0" w:tplc="5F4ECFE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B4E3B"/>
    <w:multiLevelType w:val="hybridMultilevel"/>
    <w:tmpl w:val="F048991C"/>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55524D"/>
    <w:multiLevelType w:val="hybridMultilevel"/>
    <w:tmpl w:val="3E1C108E"/>
    <w:lvl w:ilvl="0" w:tplc="5F4ECFE4">
      <w:start w:val="1"/>
      <w:numFmt w:val="bullet"/>
      <w:lvlText w:val="-"/>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6015B8"/>
    <w:multiLevelType w:val="hybridMultilevel"/>
    <w:tmpl w:val="E74CCB82"/>
    <w:lvl w:ilvl="0" w:tplc="6C78C26E">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0" w15:restartNumberingAfterBreak="0">
    <w:nsid w:val="73E445A1"/>
    <w:multiLevelType w:val="hybridMultilevel"/>
    <w:tmpl w:val="D7AC900E"/>
    <w:lvl w:ilvl="0" w:tplc="5F4ECFE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F15C3A"/>
    <w:multiLevelType w:val="hybridMultilevel"/>
    <w:tmpl w:val="C9A8D838"/>
    <w:lvl w:ilvl="0" w:tplc="6C78C26E">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 w:numId="9">
    <w:abstractNumId w:val="1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1F"/>
    <w:rsid w:val="000043AA"/>
    <w:rsid w:val="000259B9"/>
    <w:rsid w:val="00041491"/>
    <w:rsid w:val="00050D16"/>
    <w:rsid w:val="0005750A"/>
    <w:rsid w:val="00074F2A"/>
    <w:rsid w:val="000A1CA8"/>
    <w:rsid w:val="000A466B"/>
    <w:rsid w:val="000B058C"/>
    <w:rsid w:val="000E4EE6"/>
    <w:rsid w:val="001454E2"/>
    <w:rsid w:val="001A5274"/>
    <w:rsid w:val="001B42A0"/>
    <w:rsid w:val="00206CE8"/>
    <w:rsid w:val="0021526C"/>
    <w:rsid w:val="002661C3"/>
    <w:rsid w:val="00283A2B"/>
    <w:rsid w:val="002A65FA"/>
    <w:rsid w:val="002B2718"/>
    <w:rsid w:val="002B30AD"/>
    <w:rsid w:val="002C2C01"/>
    <w:rsid w:val="002E5143"/>
    <w:rsid w:val="00312801"/>
    <w:rsid w:val="00384E82"/>
    <w:rsid w:val="00385CE2"/>
    <w:rsid w:val="003A29AE"/>
    <w:rsid w:val="003A32D7"/>
    <w:rsid w:val="003B4074"/>
    <w:rsid w:val="003C769A"/>
    <w:rsid w:val="003F1838"/>
    <w:rsid w:val="003F4B77"/>
    <w:rsid w:val="0045746C"/>
    <w:rsid w:val="0049104B"/>
    <w:rsid w:val="004B30D3"/>
    <w:rsid w:val="004E3B12"/>
    <w:rsid w:val="00532310"/>
    <w:rsid w:val="00560ECC"/>
    <w:rsid w:val="00565F0F"/>
    <w:rsid w:val="00594A86"/>
    <w:rsid w:val="00596D86"/>
    <w:rsid w:val="00611946"/>
    <w:rsid w:val="00637F5A"/>
    <w:rsid w:val="006560B1"/>
    <w:rsid w:val="006756DD"/>
    <w:rsid w:val="00737275"/>
    <w:rsid w:val="00740EEC"/>
    <w:rsid w:val="0074531F"/>
    <w:rsid w:val="0078011A"/>
    <w:rsid w:val="00782AF4"/>
    <w:rsid w:val="00784B58"/>
    <w:rsid w:val="00790EE7"/>
    <w:rsid w:val="007A1B53"/>
    <w:rsid w:val="007B6649"/>
    <w:rsid w:val="0081546F"/>
    <w:rsid w:val="0082576E"/>
    <w:rsid w:val="00872FA3"/>
    <w:rsid w:val="008943FC"/>
    <w:rsid w:val="008E7875"/>
    <w:rsid w:val="00907F75"/>
    <w:rsid w:val="009260DE"/>
    <w:rsid w:val="0093258A"/>
    <w:rsid w:val="00941897"/>
    <w:rsid w:val="009C57FD"/>
    <w:rsid w:val="009C7BA3"/>
    <w:rsid w:val="009D1F5A"/>
    <w:rsid w:val="009D2AF2"/>
    <w:rsid w:val="00AF1C41"/>
    <w:rsid w:val="00B003BF"/>
    <w:rsid w:val="00B373D7"/>
    <w:rsid w:val="00B86855"/>
    <w:rsid w:val="00BD635E"/>
    <w:rsid w:val="00BF6B39"/>
    <w:rsid w:val="00C36276"/>
    <w:rsid w:val="00C42586"/>
    <w:rsid w:val="00C42856"/>
    <w:rsid w:val="00C60CCD"/>
    <w:rsid w:val="00C84483"/>
    <w:rsid w:val="00C95551"/>
    <w:rsid w:val="00CB20D7"/>
    <w:rsid w:val="00D020B0"/>
    <w:rsid w:val="00D11748"/>
    <w:rsid w:val="00D15641"/>
    <w:rsid w:val="00D366CF"/>
    <w:rsid w:val="00DA39E1"/>
    <w:rsid w:val="00E108AA"/>
    <w:rsid w:val="00E31812"/>
    <w:rsid w:val="00E3749A"/>
    <w:rsid w:val="00E51D09"/>
    <w:rsid w:val="00E7437F"/>
    <w:rsid w:val="00E75B3C"/>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6B282-6417-41D2-8696-79A9EF63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4531F"/>
    <w:pPr>
      <w:spacing w:before="120" w:after="120"/>
      <w:jc w:val="both"/>
    </w:pPr>
    <w:rPr>
      <w:sz w:val="22"/>
    </w:rPr>
  </w:style>
  <w:style w:type="table" w:styleId="Tabel-Gitter">
    <w:name w:val="Table Grid"/>
    <w:basedOn w:val="Tabel-Normal"/>
    <w:uiPriority w:val="39"/>
    <w:rsid w:val="007453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4531F"/>
    <w:pPr>
      <w:ind w:left="720"/>
      <w:contextualSpacing/>
    </w:pPr>
  </w:style>
  <w:style w:type="character" w:customStyle="1" w:styleId="hps">
    <w:name w:val="hps"/>
    <w:rsid w:val="0074531F"/>
  </w:style>
  <w:style w:type="character" w:styleId="Hyperlink">
    <w:name w:val="Hyperlink"/>
    <w:basedOn w:val="Standardskrifttypeiafsnit"/>
    <w:uiPriority w:val="99"/>
    <w:unhideWhenUsed/>
    <w:rsid w:val="00745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69870774">
      <w:bodyDiv w:val="1"/>
      <w:marLeft w:val="0"/>
      <w:marRight w:val="0"/>
      <w:marTop w:val="0"/>
      <w:marBottom w:val="0"/>
      <w:divBdr>
        <w:top w:val="none" w:sz="0" w:space="0" w:color="auto"/>
        <w:left w:val="none" w:sz="0" w:space="0" w:color="auto"/>
        <w:bottom w:val="none" w:sz="0" w:space="0" w:color="auto"/>
        <w:right w:val="none" w:sz="0" w:space="0" w:color="auto"/>
      </w:divBdr>
    </w:div>
    <w:div w:id="911624012">
      <w:bodyDiv w:val="1"/>
      <w:marLeft w:val="0"/>
      <w:marRight w:val="0"/>
      <w:marTop w:val="0"/>
      <w:marBottom w:val="0"/>
      <w:divBdr>
        <w:top w:val="none" w:sz="0" w:space="0" w:color="auto"/>
        <w:left w:val="none" w:sz="0" w:space="0" w:color="auto"/>
        <w:bottom w:val="none" w:sz="0" w:space="0" w:color="auto"/>
        <w:right w:val="none" w:sz="0" w:space="0" w:color="auto"/>
      </w:divBdr>
    </w:div>
    <w:div w:id="1296062734">
      <w:bodyDiv w:val="1"/>
      <w:marLeft w:val="0"/>
      <w:marRight w:val="0"/>
      <w:marTop w:val="0"/>
      <w:marBottom w:val="0"/>
      <w:divBdr>
        <w:top w:val="none" w:sz="0" w:space="0" w:color="auto"/>
        <w:left w:val="none" w:sz="0" w:space="0" w:color="auto"/>
        <w:bottom w:val="none" w:sz="0" w:space="0" w:color="auto"/>
        <w:right w:val="none" w:sz="0" w:space="0" w:color="auto"/>
      </w:divBdr>
    </w:div>
    <w:div w:id="1387291551">
      <w:bodyDiv w:val="1"/>
      <w:marLeft w:val="0"/>
      <w:marRight w:val="0"/>
      <w:marTop w:val="0"/>
      <w:marBottom w:val="0"/>
      <w:divBdr>
        <w:top w:val="none" w:sz="0" w:space="0" w:color="auto"/>
        <w:left w:val="none" w:sz="0" w:space="0" w:color="auto"/>
        <w:bottom w:val="none" w:sz="0" w:space="0" w:color="auto"/>
        <w:right w:val="none" w:sz="0" w:space="0" w:color="auto"/>
      </w:divBdr>
    </w:div>
    <w:div w:id="1423254634">
      <w:bodyDiv w:val="1"/>
      <w:marLeft w:val="0"/>
      <w:marRight w:val="0"/>
      <w:marTop w:val="0"/>
      <w:marBottom w:val="0"/>
      <w:divBdr>
        <w:top w:val="none" w:sz="0" w:space="0" w:color="auto"/>
        <w:left w:val="none" w:sz="0" w:space="0" w:color="auto"/>
        <w:bottom w:val="none" w:sz="0" w:space="0" w:color="auto"/>
        <w:right w:val="none" w:sz="0" w:space="0" w:color="auto"/>
      </w:divBdr>
    </w:div>
    <w:div w:id="1430081296">
      <w:bodyDiv w:val="1"/>
      <w:marLeft w:val="0"/>
      <w:marRight w:val="0"/>
      <w:marTop w:val="0"/>
      <w:marBottom w:val="0"/>
      <w:divBdr>
        <w:top w:val="none" w:sz="0" w:space="0" w:color="auto"/>
        <w:left w:val="none" w:sz="0" w:space="0" w:color="auto"/>
        <w:bottom w:val="none" w:sz="0" w:space="0" w:color="auto"/>
        <w:right w:val="none" w:sz="0" w:space="0" w:color="auto"/>
      </w:divBdr>
    </w:div>
    <w:div w:id="20480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3921</Words>
  <Characters>26268</Characters>
  <Application>Microsoft Office Word</Application>
  <DocSecurity>4</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2023120786_x000d_
Rettelser:2., 4.2, 4.3, 4.4, 4.5, 4.6, 4.8, 5.1, 5.2, 6.3, 6.5, 7., 9.</dc:description>
  <cp:lastModifiedBy>Gitte Ronnovius</cp:lastModifiedBy>
  <cp:revision>2</cp:revision>
  <cp:lastPrinted>2012-08-22T08:53:00Z</cp:lastPrinted>
  <dcterms:created xsi:type="dcterms:W3CDTF">2024-05-28T08:36:00Z</dcterms:created>
  <dcterms:modified xsi:type="dcterms:W3CDTF">2024-05-28T08:36:00Z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