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4902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EEC48A7" wp14:editId="59AC01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A2A621C" w14:textId="77777777" w:rsidR="009260DE" w:rsidRPr="00C84483" w:rsidRDefault="009260DE" w:rsidP="009260DE">
      <w:pPr>
        <w:pStyle w:val="Titel"/>
        <w:tabs>
          <w:tab w:val="right" w:pos="9356"/>
        </w:tabs>
        <w:jc w:val="left"/>
        <w:rPr>
          <w:b w:val="0"/>
          <w:szCs w:val="24"/>
          <w:lang w:eastAsia="en-US"/>
        </w:rPr>
      </w:pPr>
    </w:p>
    <w:p w14:paraId="2702AC62" w14:textId="73B096E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953D4">
        <w:rPr>
          <w:szCs w:val="24"/>
        </w:rPr>
        <w:t>3. januar 2025</w:t>
      </w:r>
    </w:p>
    <w:p w14:paraId="2C9BE7C5" w14:textId="77777777" w:rsidR="009260DE" w:rsidRPr="00C84483" w:rsidRDefault="009260DE" w:rsidP="009260DE">
      <w:pPr>
        <w:pStyle w:val="Titel"/>
        <w:tabs>
          <w:tab w:val="left" w:pos="8222"/>
        </w:tabs>
        <w:jc w:val="left"/>
        <w:rPr>
          <w:b w:val="0"/>
          <w:szCs w:val="24"/>
        </w:rPr>
      </w:pPr>
    </w:p>
    <w:p w14:paraId="741744EF" w14:textId="77777777" w:rsidR="009260DE" w:rsidRPr="00C84483" w:rsidRDefault="009260DE" w:rsidP="009260DE">
      <w:pPr>
        <w:pStyle w:val="Titel"/>
        <w:jc w:val="left"/>
        <w:rPr>
          <w:b w:val="0"/>
          <w:szCs w:val="24"/>
        </w:rPr>
      </w:pPr>
    </w:p>
    <w:p w14:paraId="3BBC72E5" w14:textId="77777777" w:rsidR="009260DE" w:rsidRPr="00C84483" w:rsidRDefault="009260DE" w:rsidP="009260DE">
      <w:pPr>
        <w:pStyle w:val="Titel"/>
        <w:jc w:val="left"/>
        <w:rPr>
          <w:b w:val="0"/>
          <w:szCs w:val="24"/>
        </w:rPr>
      </w:pPr>
    </w:p>
    <w:p w14:paraId="47908E96" w14:textId="77777777" w:rsidR="009260DE" w:rsidRPr="00C84483" w:rsidRDefault="009260DE" w:rsidP="009260DE">
      <w:pPr>
        <w:jc w:val="center"/>
        <w:rPr>
          <w:b/>
          <w:sz w:val="24"/>
          <w:szCs w:val="24"/>
        </w:rPr>
      </w:pPr>
      <w:r w:rsidRPr="00C84483">
        <w:rPr>
          <w:b/>
          <w:sz w:val="24"/>
          <w:szCs w:val="24"/>
        </w:rPr>
        <w:t>PRODUKTRESUMÉ</w:t>
      </w:r>
    </w:p>
    <w:p w14:paraId="0FBAF0B4" w14:textId="77777777" w:rsidR="009260DE" w:rsidRPr="00C84483" w:rsidRDefault="009260DE" w:rsidP="009260DE">
      <w:pPr>
        <w:jc w:val="center"/>
        <w:rPr>
          <w:b/>
          <w:sz w:val="24"/>
          <w:szCs w:val="24"/>
        </w:rPr>
      </w:pPr>
    </w:p>
    <w:p w14:paraId="11B0E590" w14:textId="77777777" w:rsidR="009260DE" w:rsidRDefault="009260DE" w:rsidP="009260DE">
      <w:pPr>
        <w:jc w:val="center"/>
        <w:rPr>
          <w:b/>
          <w:sz w:val="24"/>
          <w:szCs w:val="24"/>
        </w:rPr>
      </w:pPr>
      <w:r w:rsidRPr="00C84483">
        <w:rPr>
          <w:b/>
          <w:sz w:val="24"/>
          <w:szCs w:val="24"/>
        </w:rPr>
        <w:t>for</w:t>
      </w:r>
    </w:p>
    <w:p w14:paraId="4A637351" w14:textId="77777777" w:rsidR="000B058C" w:rsidRPr="00C84483" w:rsidRDefault="000B058C" w:rsidP="009260DE">
      <w:pPr>
        <w:jc w:val="center"/>
        <w:rPr>
          <w:b/>
          <w:sz w:val="24"/>
          <w:szCs w:val="24"/>
        </w:rPr>
      </w:pPr>
    </w:p>
    <w:p w14:paraId="644BD87E" w14:textId="421B9E3D" w:rsidR="009260DE" w:rsidRPr="00C84483" w:rsidRDefault="00622A0D" w:rsidP="009260DE">
      <w:pPr>
        <w:jc w:val="center"/>
        <w:rPr>
          <w:b/>
          <w:sz w:val="24"/>
          <w:szCs w:val="24"/>
        </w:rPr>
      </w:pPr>
      <w:r>
        <w:rPr>
          <w:b/>
          <w:sz w:val="24"/>
          <w:szCs w:val="24"/>
        </w:rPr>
        <w:t xml:space="preserve">Pantoprazol "SUN Pharma", </w:t>
      </w:r>
      <w:r w:rsidR="003F75F9">
        <w:rPr>
          <w:b/>
          <w:sz w:val="24"/>
          <w:szCs w:val="24"/>
        </w:rPr>
        <w:t xml:space="preserve">pulver til </w:t>
      </w:r>
      <w:r>
        <w:rPr>
          <w:b/>
          <w:sz w:val="24"/>
          <w:szCs w:val="24"/>
        </w:rPr>
        <w:t>injektionsvæske, opløsning</w:t>
      </w:r>
    </w:p>
    <w:p w14:paraId="4CBD5375" w14:textId="77777777" w:rsidR="009260DE" w:rsidRPr="00C84483" w:rsidRDefault="009260DE" w:rsidP="009260DE">
      <w:pPr>
        <w:jc w:val="both"/>
        <w:rPr>
          <w:sz w:val="24"/>
          <w:szCs w:val="24"/>
        </w:rPr>
      </w:pPr>
    </w:p>
    <w:p w14:paraId="163788BF" w14:textId="77777777" w:rsidR="009260DE" w:rsidRPr="00C84483" w:rsidRDefault="009260DE" w:rsidP="009260DE">
      <w:pPr>
        <w:jc w:val="both"/>
        <w:rPr>
          <w:sz w:val="24"/>
          <w:szCs w:val="24"/>
        </w:rPr>
      </w:pPr>
    </w:p>
    <w:p w14:paraId="6B85C7A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4A0BD9" w14:textId="02BFD498" w:rsidR="009260DE" w:rsidRPr="00C84483" w:rsidRDefault="003F75F9" w:rsidP="009260DE">
      <w:pPr>
        <w:tabs>
          <w:tab w:val="left" w:pos="851"/>
        </w:tabs>
        <w:ind w:left="851"/>
        <w:rPr>
          <w:sz w:val="24"/>
          <w:szCs w:val="24"/>
        </w:rPr>
      </w:pPr>
      <w:r>
        <w:rPr>
          <w:sz w:val="24"/>
          <w:szCs w:val="24"/>
        </w:rPr>
        <w:t>33704</w:t>
      </w:r>
    </w:p>
    <w:p w14:paraId="61B528C5" w14:textId="77777777" w:rsidR="009260DE" w:rsidRPr="00C84483" w:rsidRDefault="009260DE" w:rsidP="009260DE">
      <w:pPr>
        <w:tabs>
          <w:tab w:val="left" w:pos="851"/>
        </w:tabs>
        <w:ind w:left="851"/>
        <w:rPr>
          <w:sz w:val="24"/>
          <w:szCs w:val="24"/>
        </w:rPr>
      </w:pPr>
    </w:p>
    <w:p w14:paraId="7DE9FC7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4870E1E" w14:textId="326ACB7E" w:rsidR="009260DE" w:rsidRPr="00C84483" w:rsidRDefault="003F75F9" w:rsidP="009260DE">
      <w:pPr>
        <w:tabs>
          <w:tab w:val="left" w:pos="851"/>
        </w:tabs>
        <w:ind w:left="851"/>
        <w:rPr>
          <w:sz w:val="24"/>
          <w:szCs w:val="24"/>
        </w:rPr>
      </w:pPr>
      <w:r>
        <w:rPr>
          <w:sz w:val="24"/>
          <w:szCs w:val="24"/>
        </w:rPr>
        <w:t>Pantoprazol "SUN Pharma"</w:t>
      </w:r>
    </w:p>
    <w:p w14:paraId="1C3540E2" w14:textId="77777777" w:rsidR="009260DE" w:rsidRPr="00C84483" w:rsidRDefault="009260DE" w:rsidP="009260DE">
      <w:pPr>
        <w:tabs>
          <w:tab w:val="left" w:pos="851"/>
        </w:tabs>
        <w:ind w:left="851"/>
        <w:rPr>
          <w:sz w:val="24"/>
          <w:szCs w:val="24"/>
        </w:rPr>
      </w:pPr>
    </w:p>
    <w:p w14:paraId="4206E97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5005F6D" w14:textId="77777777" w:rsidR="003F75F9" w:rsidRPr="003F75F9" w:rsidRDefault="003F75F9" w:rsidP="003F75F9">
      <w:pPr>
        <w:tabs>
          <w:tab w:val="left" w:pos="851"/>
        </w:tabs>
        <w:ind w:left="851"/>
        <w:rPr>
          <w:sz w:val="24"/>
          <w:szCs w:val="24"/>
        </w:rPr>
      </w:pPr>
      <w:r w:rsidRPr="003F75F9">
        <w:rPr>
          <w:sz w:val="24"/>
          <w:szCs w:val="24"/>
        </w:rPr>
        <w:t>Hvert hætteglas indeholder 40 mg pantoprazol (som pantoprazolnatriumsesquihydrat).</w:t>
      </w:r>
    </w:p>
    <w:p w14:paraId="4A599F7B" w14:textId="77777777" w:rsidR="003F75F9" w:rsidRPr="003F75F9" w:rsidRDefault="003F75F9" w:rsidP="003F75F9">
      <w:pPr>
        <w:tabs>
          <w:tab w:val="left" w:pos="851"/>
        </w:tabs>
        <w:ind w:left="851"/>
        <w:rPr>
          <w:sz w:val="24"/>
          <w:szCs w:val="24"/>
        </w:rPr>
      </w:pPr>
    </w:p>
    <w:p w14:paraId="6B480514" w14:textId="20444DD9" w:rsidR="003F75F9" w:rsidRPr="003F75F9" w:rsidRDefault="003F75F9" w:rsidP="003F75F9">
      <w:pPr>
        <w:tabs>
          <w:tab w:val="left" w:pos="851"/>
        </w:tabs>
        <w:ind w:left="851"/>
        <w:rPr>
          <w:sz w:val="24"/>
          <w:szCs w:val="24"/>
        </w:rPr>
      </w:pPr>
      <w:r w:rsidRPr="003F75F9">
        <w:rPr>
          <w:sz w:val="24"/>
          <w:szCs w:val="24"/>
        </w:rPr>
        <w:t>Alle hjælpestoffer er anført under punkt 6.1.</w:t>
      </w:r>
    </w:p>
    <w:p w14:paraId="61135132" w14:textId="77777777" w:rsidR="009260DE" w:rsidRPr="00C84483" w:rsidRDefault="009260DE" w:rsidP="009260DE">
      <w:pPr>
        <w:tabs>
          <w:tab w:val="left" w:pos="851"/>
        </w:tabs>
        <w:ind w:left="851"/>
        <w:rPr>
          <w:sz w:val="24"/>
          <w:szCs w:val="24"/>
        </w:rPr>
      </w:pPr>
    </w:p>
    <w:p w14:paraId="3D1EE42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EA369FC" w14:textId="4975F400" w:rsidR="003F75F9" w:rsidRPr="003F75F9" w:rsidRDefault="003F75F9" w:rsidP="003F75F9">
      <w:pPr>
        <w:tabs>
          <w:tab w:val="left" w:pos="851"/>
        </w:tabs>
        <w:ind w:left="851"/>
        <w:rPr>
          <w:sz w:val="24"/>
          <w:szCs w:val="24"/>
        </w:rPr>
      </w:pPr>
      <w:r w:rsidRPr="003F75F9">
        <w:rPr>
          <w:sz w:val="24"/>
          <w:szCs w:val="24"/>
        </w:rPr>
        <w:t>Pulver til injektionsvæske, opløsning</w:t>
      </w:r>
    </w:p>
    <w:p w14:paraId="3E25D02C" w14:textId="77777777" w:rsidR="003F75F9" w:rsidRPr="003F75F9" w:rsidRDefault="003F75F9" w:rsidP="003F75F9">
      <w:pPr>
        <w:tabs>
          <w:tab w:val="left" w:pos="851"/>
        </w:tabs>
        <w:ind w:left="851"/>
        <w:rPr>
          <w:sz w:val="24"/>
          <w:szCs w:val="24"/>
        </w:rPr>
      </w:pPr>
    </w:p>
    <w:p w14:paraId="4BB009D7" w14:textId="5DEEF997" w:rsidR="003F75F9" w:rsidRPr="003F75F9" w:rsidRDefault="003F75F9" w:rsidP="003F75F9">
      <w:pPr>
        <w:tabs>
          <w:tab w:val="left" w:pos="851"/>
        </w:tabs>
        <w:ind w:left="851"/>
        <w:rPr>
          <w:sz w:val="24"/>
          <w:szCs w:val="24"/>
        </w:rPr>
      </w:pPr>
      <w:r w:rsidRPr="003F75F9">
        <w:rPr>
          <w:sz w:val="24"/>
          <w:szCs w:val="24"/>
        </w:rPr>
        <w:t>Hvidt eller næsten hvidt pulver.</w:t>
      </w:r>
    </w:p>
    <w:p w14:paraId="3B765F7D" w14:textId="77777777" w:rsidR="003F75F9" w:rsidRPr="003F75F9" w:rsidRDefault="003F75F9" w:rsidP="003F75F9">
      <w:pPr>
        <w:tabs>
          <w:tab w:val="left" w:pos="851"/>
        </w:tabs>
        <w:ind w:left="851"/>
        <w:rPr>
          <w:sz w:val="24"/>
          <w:szCs w:val="24"/>
        </w:rPr>
      </w:pPr>
    </w:p>
    <w:p w14:paraId="473A04D8" w14:textId="33EA00DB" w:rsidR="003F75F9" w:rsidRPr="003F75F9" w:rsidRDefault="003F75F9" w:rsidP="003F75F9">
      <w:pPr>
        <w:tabs>
          <w:tab w:val="left" w:pos="851"/>
        </w:tabs>
        <w:ind w:left="851"/>
        <w:rPr>
          <w:sz w:val="24"/>
          <w:szCs w:val="24"/>
        </w:rPr>
      </w:pPr>
      <w:r w:rsidRPr="003F75F9">
        <w:rPr>
          <w:sz w:val="24"/>
          <w:szCs w:val="24"/>
        </w:rPr>
        <w:t>For opløsningen rekonstitueret med 10 ml 0,9 % NaCl-opløsning er pH ca. 10, og osmolariteten er ca. 300 mOsm/Kg.</w:t>
      </w:r>
    </w:p>
    <w:p w14:paraId="17D8A26C" w14:textId="196B6E5F" w:rsidR="003F75F9" w:rsidRPr="003F75F9" w:rsidRDefault="003F75F9" w:rsidP="003F75F9">
      <w:pPr>
        <w:tabs>
          <w:tab w:val="left" w:pos="851"/>
        </w:tabs>
        <w:ind w:left="851"/>
        <w:rPr>
          <w:sz w:val="24"/>
          <w:szCs w:val="24"/>
        </w:rPr>
      </w:pPr>
      <w:r w:rsidRPr="003F75F9">
        <w:rPr>
          <w:sz w:val="24"/>
          <w:szCs w:val="24"/>
        </w:rPr>
        <w:t>For opløsningen rekonstitueret med yderligere 100 ml 0,9 % NaCl-opløsning eller 5 % glucoseopløsning er pH-værdien mellem 8,5 og 11.</w:t>
      </w:r>
    </w:p>
    <w:p w14:paraId="3D9A0A2D" w14:textId="77777777" w:rsidR="009260DE" w:rsidRPr="00C84483" w:rsidRDefault="009260DE" w:rsidP="009260DE">
      <w:pPr>
        <w:tabs>
          <w:tab w:val="left" w:pos="851"/>
        </w:tabs>
        <w:ind w:left="851"/>
        <w:rPr>
          <w:sz w:val="24"/>
          <w:szCs w:val="24"/>
        </w:rPr>
      </w:pPr>
    </w:p>
    <w:p w14:paraId="598530F8" w14:textId="77777777" w:rsidR="009260DE" w:rsidRPr="00C84483" w:rsidRDefault="009260DE" w:rsidP="009260DE">
      <w:pPr>
        <w:tabs>
          <w:tab w:val="left" w:pos="851"/>
        </w:tabs>
        <w:ind w:left="851"/>
        <w:rPr>
          <w:sz w:val="24"/>
          <w:szCs w:val="24"/>
        </w:rPr>
      </w:pPr>
    </w:p>
    <w:p w14:paraId="65B4850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95FCC02" w14:textId="77777777" w:rsidR="009260DE" w:rsidRPr="00C84483" w:rsidRDefault="009260DE" w:rsidP="009260DE">
      <w:pPr>
        <w:tabs>
          <w:tab w:val="left" w:pos="851"/>
        </w:tabs>
        <w:ind w:left="851"/>
        <w:rPr>
          <w:b/>
          <w:sz w:val="24"/>
          <w:szCs w:val="24"/>
        </w:rPr>
      </w:pPr>
    </w:p>
    <w:p w14:paraId="4B22559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57F897D" w14:textId="5D3C9989" w:rsidR="003F75F9" w:rsidRPr="003F75F9" w:rsidRDefault="003F75F9" w:rsidP="003F75F9">
      <w:pPr>
        <w:tabs>
          <w:tab w:val="left" w:pos="851"/>
        </w:tabs>
        <w:ind w:left="851"/>
        <w:rPr>
          <w:sz w:val="24"/>
          <w:szCs w:val="24"/>
        </w:rPr>
      </w:pPr>
      <w:bookmarkStart w:id="1" w:name="_Hlk109383583"/>
      <w:r w:rsidRPr="003F75F9">
        <w:rPr>
          <w:sz w:val="24"/>
          <w:szCs w:val="24"/>
        </w:rPr>
        <w:t xml:space="preserve">Pantoprazol </w:t>
      </w:r>
      <w:r>
        <w:rPr>
          <w:sz w:val="24"/>
          <w:szCs w:val="24"/>
        </w:rPr>
        <w:t>"</w:t>
      </w:r>
      <w:r w:rsidRPr="003F75F9">
        <w:rPr>
          <w:sz w:val="24"/>
          <w:szCs w:val="24"/>
        </w:rPr>
        <w:t xml:space="preserve">SUN </w:t>
      </w:r>
      <w:r>
        <w:rPr>
          <w:sz w:val="24"/>
          <w:szCs w:val="24"/>
        </w:rPr>
        <w:t>Pharma"</w:t>
      </w:r>
      <w:r w:rsidRPr="003F75F9">
        <w:rPr>
          <w:sz w:val="24"/>
          <w:szCs w:val="24"/>
        </w:rPr>
        <w:t xml:space="preserve">er indiceret til voksne til: </w:t>
      </w:r>
    </w:p>
    <w:p w14:paraId="38CA7B85" w14:textId="77777777" w:rsidR="003F75F9" w:rsidRPr="003F75F9" w:rsidRDefault="003F75F9" w:rsidP="003F75F9">
      <w:pPr>
        <w:tabs>
          <w:tab w:val="left" w:pos="851"/>
        </w:tabs>
        <w:ind w:left="851"/>
        <w:rPr>
          <w:sz w:val="24"/>
          <w:szCs w:val="24"/>
        </w:rPr>
      </w:pPr>
      <w:r w:rsidRPr="003F75F9">
        <w:rPr>
          <w:sz w:val="24"/>
          <w:szCs w:val="24"/>
        </w:rPr>
        <w:t>- refluksøsofagitis</w:t>
      </w:r>
    </w:p>
    <w:p w14:paraId="4AF16193" w14:textId="77777777" w:rsidR="003F75F9" w:rsidRPr="003F75F9" w:rsidRDefault="003F75F9" w:rsidP="003F75F9">
      <w:pPr>
        <w:tabs>
          <w:tab w:val="left" w:pos="851"/>
        </w:tabs>
        <w:ind w:left="851"/>
        <w:rPr>
          <w:sz w:val="24"/>
          <w:szCs w:val="24"/>
        </w:rPr>
      </w:pPr>
      <w:r w:rsidRPr="003F75F9">
        <w:rPr>
          <w:sz w:val="24"/>
          <w:szCs w:val="24"/>
        </w:rPr>
        <w:t>- ulcus duodeni og ulcus ventriculi</w:t>
      </w:r>
    </w:p>
    <w:p w14:paraId="29393073" w14:textId="77777777" w:rsidR="003F75F9" w:rsidRPr="003F75F9" w:rsidRDefault="003F75F9" w:rsidP="003F75F9">
      <w:pPr>
        <w:tabs>
          <w:tab w:val="left" w:pos="851"/>
        </w:tabs>
        <w:ind w:left="851"/>
        <w:rPr>
          <w:sz w:val="24"/>
          <w:szCs w:val="24"/>
        </w:rPr>
      </w:pPr>
      <w:r w:rsidRPr="003F75F9">
        <w:rPr>
          <w:sz w:val="24"/>
          <w:szCs w:val="24"/>
        </w:rPr>
        <w:t>- Zollinger-Ellison-syndrom og andre patologiske, hypersekretoriske tilstande.</w:t>
      </w:r>
    </w:p>
    <w:bookmarkEnd w:id="1"/>
    <w:p w14:paraId="07EBEDF4" w14:textId="77777777" w:rsidR="009260DE" w:rsidRPr="00C84483" w:rsidRDefault="009260DE" w:rsidP="009260DE">
      <w:pPr>
        <w:tabs>
          <w:tab w:val="left" w:pos="851"/>
        </w:tabs>
        <w:ind w:left="851"/>
        <w:rPr>
          <w:sz w:val="24"/>
          <w:szCs w:val="24"/>
        </w:rPr>
      </w:pPr>
    </w:p>
    <w:p w14:paraId="0114640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A55D9FA" w14:textId="77777777" w:rsidR="003F75F9" w:rsidRPr="003F75F9" w:rsidRDefault="003F75F9" w:rsidP="003F75F9">
      <w:pPr>
        <w:tabs>
          <w:tab w:val="left" w:pos="851"/>
        </w:tabs>
        <w:ind w:left="851"/>
        <w:rPr>
          <w:sz w:val="24"/>
          <w:szCs w:val="24"/>
        </w:rPr>
      </w:pPr>
      <w:bookmarkStart w:id="2" w:name="_Hlk109383637"/>
      <w:r w:rsidRPr="003F75F9">
        <w:rPr>
          <w:sz w:val="24"/>
          <w:szCs w:val="24"/>
        </w:rPr>
        <w:t xml:space="preserve">Dette lægemiddel skal administreres af sundhedspersonale og under passende lægelig supervision. Intravenøs administration af Pantoprazol "SUN Pharma" anbefales kun, hvis oral administration ikke er hensigtsmæssig. Der foreligger data for intravenøs anvendelse i </w:t>
      </w:r>
      <w:r w:rsidRPr="003F75F9">
        <w:rPr>
          <w:sz w:val="24"/>
          <w:szCs w:val="24"/>
        </w:rPr>
        <w:lastRenderedPageBreak/>
        <w:t>op til 7 dage, hvorfor i.v. indgift af pantoprazol skal seponeres så hurtigt som muligt og erstattes af 40 mg oral pantoprazol.</w:t>
      </w:r>
    </w:p>
    <w:p w14:paraId="4A984EF2" w14:textId="77777777" w:rsidR="003F75F9" w:rsidRPr="003F75F9" w:rsidRDefault="003F75F9" w:rsidP="003F75F9">
      <w:pPr>
        <w:tabs>
          <w:tab w:val="left" w:pos="851"/>
        </w:tabs>
        <w:ind w:left="851"/>
        <w:rPr>
          <w:sz w:val="24"/>
          <w:szCs w:val="24"/>
        </w:rPr>
      </w:pPr>
    </w:p>
    <w:p w14:paraId="50196EF5" w14:textId="77777777" w:rsidR="003F75F9" w:rsidRPr="003F75F9" w:rsidRDefault="003F75F9" w:rsidP="003F75F9">
      <w:pPr>
        <w:tabs>
          <w:tab w:val="left" w:pos="851"/>
        </w:tabs>
        <w:ind w:left="851"/>
        <w:rPr>
          <w:sz w:val="24"/>
          <w:szCs w:val="24"/>
          <w:u w:val="single"/>
        </w:rPr>
      </w:pPr>
      <w:r w:rsidRPr="003F75F9">
        <w:rPr>
          <w:sz w:val="24"/>
          <w:szCs w:val="24"/>
          <w:u w:val="single"/>
        </w:rPr>
        <w:t>Dosering</w:t>
      </w:r>
    </w:p>
    <w:p w14:paraId="2962230C" w14:textId="77777777" w:rsidR="003F75F9" w:rsidRDefault="003F75F9" w:rsidP="003F75F9">
      <w:pPr>
        <w:tabs>
          <w:tab w:val="left" w:pos="851"/>
        </w:tabs>
        <w:ind w:left="851"/>
        <w:rPr>
          <w:i/>
          <w:sz w:val="24"/>
          <w:szCs w:val="24"/>
        </w:rPr>
      </w:pPr>
    </w:p>
    <w:p w14:paraId="7AC28D0F" w14:textId="300776B7" w:rsidR="003F75F9" w:rsidRPr="003F75F9" w:rsidRDefault="003F75F9" w:rsidP="003F75F9">
      <w:pPr>
        <w:tabs>
          <w:tab w:val="left" w:pos="851"/>
        </w:tabs>
        <w:ind w:left="851"/>
        <w:rPr>
          <w:i/>
          <w:sz w:val="24"/>
          <w:szCs w:val="24"/>
        </w:rPr>
      </w:pPr>
      <w:r w:rsidRPr="003F75F9">
        <w:rPr>
          <w:i/>
          <w:sz w:val="24"/>
          <w:szCs w:val="24"/>
        </w:rPr>
        <w:t>Ulcus duodeni, ulcus ventriculi, refluksøsofagitis</w:t>
      </w:r>
    </w:p>
    <w:p w14:paraId="14AA7369" w14:textId="77777777" w:rsidR="003F75F9" w:rsidRPr="003F75F9" w:rsidRDefault="003F75F9" w:rsidP="003F75F9">
      <w:pPr>
        <w:tabs>
          <w:tab w:val="left" w:pos="851"/>
        </w:tabs>
        <w:ind w:left="851"/>
        <w:rPr>
          <w:sz w:val="24"/>
          <w:szCs w:val="24"/>
        </w:rPr>
      </w:pPr>
      <w:r w:rsidRPr="003F75F9">
        <w:rPr>
          <w:sz w:val="24"/>
          <w:szCs w:val="24"/>
        </w:rPr>
        <w:t>Den anbefalede intravenøse dosis er 1 hætteglas (40 mg pantoprazol) Pantoprazol "SUN Pharma" dagligt.</w:t>
      </w:r>
    </w:p>
    <w:p w14:paraId="6A1A3977" w14:textId="77777777" w:rsidR="003F75F9" w:rsidRPr="003F75F9" w:rsidRDefault="003F75F9" w:rsidP="003F75F9">
      <w:pPr>
        <w:tabs>
          <w:tab w:val="left" w:pos="851"/>
        </w:tabs>
        <w:ind w:left="851"/>
        <w:rPr>
          <w:sz w:val="24"/>
          <w:szCs w:val="24"/>
        </w:rPr>
      </w:pPr>
    </w:p>
    <w:p w14:paraId="0B1B7E86" w14:textId="77777777" w:rsidR="003F75F9" w:rsidRPr="003F75F9" w:rsidRDefault="003F75F9" w:rsidP="003F75F9">
      <w:pPr>
        <w:tabs>
          <w:tab w:val="left" w:pos="851"/>
        </w:tabs>
        <w:ind w:left="851"/>
        <w:rPr>
          <w:i/>
          <w:sz w:val="24"/>
          <w:szCs w:val="24"/>
        </w:rPr>
      </w:pPr>
      <w:r w:rsidRPr="003F75F9">
        <w:rPr>
          <w:i/>
          <w:sz w:val="24"/>
          <w:szCs w:val="24"/>
        </w:rPr>
        <w:t>Zollinger-Ellison-syndrom og andre patologiske, hypersekretoriske tilstande</w:t>
      </w:r>
    </w:p>
    <w:p w14:paraId="38D18A8F" w14:textId="77777777" w:rsidR="003F75F9" w:rsidRPr="003F75F9" w:rsidRDefault="003F75F9" w:rsidP="003F75F9">
      <w:pPr>
        <w:tabs>
          <w:tab w:val="left" w:pos="851"/>
        </w:tabs>
        <w:ind w:left="851"/>
        <w:rPr>
          <w:sz w:val="24"/>
          <w:szCs w:val="24"/>
        </w:rPr>
      </w:pPr>
      <w:r w:rsidRPr="003F75F9">
        <w:rPr>
          <w:sz w:val="24"/>
          <w:szCs w:val="24"/>
        </w:rPr>
        <w:t xml:space="preserve">Til langtidsbehandling af Zollinger-Ellison-syndrom og andre patologiske hypersekretoriske tilstande bør patienter begynde behandlingen med en daglig dosis på 80 mg Pantoprazol "SUN Pharma". Herefter kan dosis titreres op eller ned, vejledt af målinger af mavesyresekretionen. Daglige doser over 80 mg bør deles og gives som to daglige administrationer. En midlertidig forhøjelse af dosis til over 160 mg pantoprazol er mulig, men bør ikke opretholdes længere end nødvendigt for opnå af passende syrekontrol. </w:t>
      </w:r>
    </w:p>
    <w:p w14:paraId="59BD6C69" w14:textId="77777777" w:rsidR="003F75F9" w:rsidRPr="003F75F9" w:rsidRDefault="003F75F9" w:rsidP="003F75F9">
      <w:pPr>
        <w:tabs>
          <w:tab w:val="left" w:pos="851"/>
        </w:tabs>
        <w:ind w:left="851"/>
        <w:rPr>
          <w:sz w:val="24"/>
          <w:szCs w:val="24"/>
        </w:rPr>
      </w:pPr>
      <w:r w:rsidRPr="003F75F9">
        <w:rPr>
          <w:sz w:val="24"/>
          <w:szCs w:val="24"/>
        </w:rPr>
        <w:t xml:space="preserve">I tilfælde, hvor hurtig syrekontrol er påkrævet, er en startdosis på 2 x 80 mg Pantoprazol "SUN Pharma" tilstrækkelig til at opnå en reduktion af syresekretionen til målintervallet (&lt;10 mEq/time) inden for én time hos de fleste patienter. </w:t>
      </w:r>
    </w:p>
    <w:p w14:paraId="52F4D787" w14:textId="77777777" w:rsidR="003F75F9" w:rsidRPr="003F75F9" w:rsidRDefault="003F75F9" w:rsidP="003F75F9">
      <w:pPr>
        <w:tabs>
          <w:tab w:val="left" w:pos="851"/>
        </w:tabs>
        <w:ind w:left="851"/>
        <w:rPr>
          <w:sz w:val="24"/>
          <w:szCs w:val="24"/>
        </w:rPr>
      </w:pPr>
    </w:p>
    <w:p w14:paraId="15FD38A7" w14:textId="77777777" w:rsidR="003F75F9" w:rsidRPr="003F75F9" w:rsidRDefault="003F75F9" w:rsidP="003F75F9">
      <w:pPr>
        <w:tabs>
          <w:tab w:val="left" w:pos="851"/>
        </w:tabs>
        <w:ind w:left="851"/>
        <w:rPr>
          <w:iCs/>
          <w:sz w:val="24"/>
          <w:szCs w:val="24"/>
          <w:u w:val="single"/>
        </w:rPr>
      </w:pPr>
      <w:r w:rsidRPr="003F75F9">
        <w:rPr>
          <w:iCs/>
          <w:sz w:val="24"/>
          <w:szCs w:val="24"/>
          <w:u w:val="single"/>
        </w:rPr>
        <w:t>Særlige patientgrupper</w:t>
      </w:r>
    </w:p>
    <w:p w14:paraId="2E7313A5" w14:textId="77777777" w:rsidR="003F75F9" w:rsidRPr="003F75F9" w:rsidRDefault="003F75F9" w:rsidP="003F75F9">
      <w:pPr>
        <w:tabs>
          <w:tab w:val="left" w:pos="851"/>
        </w:tabs>
        <w:ind w:left="851"/>
        <w:rPr>
          <w:i/>
          <w:iCs/>
          <w:sz w:val="24"/>
          <w:szCs w:val="24"/>
          <w:u w:val="single"/>
        </w:rPr>
      </w:pPr>
    </w:p>
    <w:p w14:paraId="0FC56488" w14:textId="77777777" w:rsidR="003F75F9" w:rsidRPr="003F75F9" w:rsidRDefault="003F75F9" w:rsidP="003F75F9">
      <w:pPr>
        <w:tabs>
          <w:tab w:val="left" w:pos="851"/>
        </w:tabs>
        <w:ind w:left="851"/>
        <w:rPr>
          <w:sz w:val="24"/>
          <w:szCs w:val="24"/>
        </w:rPr>
      </w:pPr>
      <w:r w:rsidRPr="003F75F9">
        <w:rPr>
          <w:i/>
          <w:iCs/>
          <w:sz w:val="24"/>
          <w:szCs w:val="24"/>
        </w:rPr>
        <w:t>Patienter med nedsat leverfunktion</w:t>
      </w:r>
      <w:r w:rsidRPr="003F75F9">
        <w:rPr>
          <w:sz w:val="24"/>
          <w:szCs w:val="24"/>
        </w:rPr>
        <w:t xml:space="preserve"> </w:t>
      </w:r>
    </w:p>
    <w:p w14:paraId="22AE62BD" w14:textId="77777777" w:rsidR="003F75F9" w:rsidRPr="003F75F9" w:rsidRDefault="003F75F9" w:rsidP="003F75F9">
      <w:pPr>
        <w:tabs>
          <w:tab w:val="left" w:pos="851"/>
        </w:tabs>
        <w:ind w:left="851"/>
        <w:rPr>
          <w:sz w:val="24"/>
          <w:szCs w:val="24"/>
        </w:rPr>
      </w:pPr>
      <w:r w:rsidRPr="003F75F9">
        <w:rPr>
          <w:sz w:val="24"/>
          <w:szCs w:val="24"/>
        </w:rPr>
        <w:t>En daglig dosis på 20 mg pantoprazol (et halvt hætteglas a 40 mg pantoprazol) bør ikke overskrides til patienter med stærkt nedsat leverfunktion (se pkt. 4.4).</w:t>
      </w:r>
    </w:p>
    <w:p w14:paraId="170EC262" w14:textId="77777777" w:rsidR="003F75F9" w:rsidRPr="003F75F9" w:rsidRDefault="003F75F9" w:rsidP="003F75F9">
      <w:pPr>
        <w:tabs>
          <w:tab w:val="left" w:pos="851"/>
        </w:tabs>
        <w:ind w:left="851"/>
        <w:rPr>
          <w:sz w:val="24"/>
          <w:szCs w:val="24"/>
        </w:rPr>
      </w:pPr>
    </w:p>
    <w:p w14:paraId="2C43D549" w14:textId="77777777" w:rsidR="003F75F9" w:rsidRPr="003F75F9" w:rsidRDefault="003F75F9" w:rsidP="003F75F9">
      <w:pPr>
        <w:tabs>
          <w:tab w:val="left" w:pos="851"/>
        </w:tabs>
        <w:ind w:left="851"/>
        <w:rPr>
          <w:i/>
          <w:iCs/>
          <w:sz w:val="24"/>
          <w:szCs w:val="24"/>
        </w:rPr>
      </w:pPr>
      <w:r w:rsidRPr="003F75F9">
        <w:rPr>
          <w:i/>
          <w:iCs/>
          <w:sz w:val="24"/>
          <w:szCs w:val="24"/>
        </w:rPr>
        <w:t>Patienter med nedsat nyrefuktion</w:t>
      </w:r>
    </w:p>
    <w:p w14:paraId="415A2763" w14:textId="77777777" w:rsidR="003F75F9" w:rsidRPr="003F75F9" w:rsidRDefault="003F75F9" w:rsidP="003F75F9">
      <w:pPr>
        <w:tabs>
          <w:tab w:val="left" w:pos="851"/>
        </w:tabs>
        <w:ind w:left="851"/>
        <w:rPr>
          <w:sz w:val="24"/>
          <w:szCs w:val="24"/>
        </w:rPr>
      </w:pPr>
      <w:r w:rsidRPr="003F75F9">
        <w:rPr>
          <w:sz w:val="24"/>
          <w:szCs w:val="24"/>
        </w:rPr>
        <w:t>Dosisjustering er ikke nødvendig til patienter med nedsat nyrefunktion (se pkt. 5.2).</w:t>
      </w:r>
    </w:p>
    <w:p w14:paraId="3AA5E0F3" w14:textId="77777777" w:rsidR="003F75F9" w:rsidRPr="003F75F9" w:rsidRDefault="003F75F9" w:rsidP="003F75F9">
      <w:pPr>
        <w:tabs>
          <w:tab w:val="left" w:pos="851"/>
        </w:tabs>
        <w:ind w:left="851"/>
        <w:rPr>
          <w:b/>
          <w:sz w:val="24"/>
          <w:szCs w:val="24"/>
        </w:rPr>
      </w:pPr>
    </w:p>
    <w:p w14:paraId="08B397E8" w14:textId="77777777" w:rsidR="003F75F9" w:rsidRPr="003F75F9" w:rsidRDefault="003F75F9" w:rsidP="003F75F9">
      <w:pPr>
        <w:tabs>
          <w:tab w:val="left" w:pos="851"/>
        </w:tabs>
        <w:ind w:left="851"/>
        <w:rPr>
          <w:i/>
          <w:iCs/>
          <w:sz w:val="24"/>
          <w:szCs w:val="24"/>
        </w:rPr>
      </w:pPr>
      <w:r w:rsidRPr="003F75F9">
        <w:rPr>
          <w:i/>
          <w:iCs/>
          <w:sz w:val="24"/>
          <w:szCs w:val="24"/>
        </w:rPr>
        <w:t>Ældre</w:t>
      </w:r>
    </w:p>
    <w:p w14:paraId="6CD759A6" w14:textId="77777777" w:rsidR="003F75F9" w:rsidRPr="003F75F9" w:rsidRDefault="003F75F9" w:rsidP="003F75F9">
      <w:pPr>
        <w:tabs>
          <w:tab w:val="left" w:pos="851"/>
        </w:tabs>
        <w:ind w:left="851"/>
        <w:rPr>
          <w:sz w:val="24"/>
          <w:szCs w:val="24"/>
        </w:rPr>
      </w:pPr>
      <w:r w:rsidRPr="003F75F9">
        <w:rPr>
          <w:sz w:val="24"/>
          <w:szCs w:val="24"/>
        </w:rPr>
        <w:t>Dosisjustering er ikke nødvendig hos ældre patienter (se pkt. 5.2).</w:t>
      </w:r>
    </w:p>
    <w:p w14:paraId="1C972241" w14:textId="77777777" w:rsidR="003F75F9" w:rsidRPr="003F75F9" w:rsidRDefault="003F75F9" w:rsidP="003F75F9">
      <w:pPr>
        <w:tabs>
          <w:tab w:val="left" w:pos="851"/>
        </w:tabs>
        <w:ind w:left="851"/>
        <w:rPr>
          <w:sz w:val="24"/>
          <w:szCs w:val="24"/>
        </w:rPr>
      </w:pPr>
    </w:p>
    <w:p w14:paraId="6D09CF48" w14:textId="77777777" w:rsidR="003F75F9" w:rsidRPr="003F75F9" w:rsidRDefault="003F75F9" w:rsidP="003F75F9">
      <w:pPr>
        <w:tabs>
          <w:tab w:val="left" w:pos="851"/>
        </w:tabs>
        <w:ind w:left="851"/>
        <w:rPr>
          <w:i/>
          <w:iCs/>
          <w:sz w:val="24"/>
          <w:szCs w:val="24"/>
        </w:rPr>
      </w:pPr>
      <w:r w:rsidRPr="003F75F9">
        <w:rPr>
          <w:i/>
          <w:iCs/>
          <w:sz w:val="24"/>
          <w:szCs w:val="24"/>
        </w:rPr>
        <w:t>Pædiatrisk population</w:t>
      </w:r>
    </w:p>
    <w:p w14:paraId="2C61FBC9" w14:textId="77777777" w:rsidR="003F75F9" w:rsidRPr="003F75F9" w:rsidRDefault="003F75F9" w:rsidP="003F75F9">
      <w:pPr>
        <w:tabs>
          <w:tab w:val="left" w:pos="851"/>
        </w:tabs>
        <w:ind w:left="851"/>
        <w:rPr>
          <w:sz w:val="24"/>
          <w:szCs w:val="24"/>
        </w:rPr>
      </w:pPr>
      <w:r w:rsidRPr="003F75F9">
        <w:rPr>
          <w:sz w:val="24"/>
          <w:szCs w:val="24"/>
        </w:rPr>
        <w:t>Sikkerheden og effekten af Pantoprazol "SUN Pharma" 40 mg pulver til injektionsvæske, opløsning er ikke kendt hos børn under 18 år. Derfor bør Pantoprazol "SUN Pharma" 40 mg pulver til injektionsvæske, opløsning ikke anvendes til patienter under 18 år.</w:t>
      </w:r>
    </w:p>
    <w:p w14:paraId="460526F6" w14:textId="77777777" w:rsidR="003F75F9" w:rsidRPr="003F75F9" w:rsidRDefault="003F75F9" w:rsidP="003F75F9">
      <w:pPr>
        <w:tabs>
          <w:tab w:val="left" w:pos="851"/>
        </w:tabs>
        <w:ind w:left="851"/>
        <w:rPr>
          <w:sz w:val="24"/>
          <w:szCs w:val="24"/>
        </w:rPr>
      </w:pPr>
    </w:p>
    <w:p w14:paraId="4EB47625" w14:textId="77777777" w:rsidR="003F75F9" w:rsidRPr="003F75F9" w:rsidRDefault="003F75F9" w:rsidP="003F75F9">
      <w:pPr>
        <w:tabs>
          <w:tab w:val="left" w:pos="851"/>
        </w:tabs>
        <w:ind w:left="851"/>
        <w:rPr>
          <w:sz w:val="24"/>
          <w:szCs w:val="24"/>
        </w:rPr>
      </w:pPr>
      <w:r w:rsidRPr="003F75F9">
        <w:rPr>
          <w:sz w:val="24"/>
          <w:szCs w:val="24"/>
        </w:rPr>
        <w:t>Nuværende tilgængelige data er beskrevet under punkt 5.2, men ingen anbefaling omkring dosering kan foretages.</w:t>
      </w:r>
    </w:p>
    <w:p w14:paraId="7C254DEB" w14:textId="77777777" w:rsidR="003F75F9" w:rsidRPr="003F75F9" w:rsidRDefault="003F75F9" w:rsidP="003F75F9">
      <w:pPr>
        <w:tabs>
          <w:tab w:val="left" w:pos="851"/>
        </w:tabs>
        <w:ind w:left="851"/>
        <w:rPr>
          <w:sz w:val="24"/>
          <w:szCs w:val="24"/>
        </w:rPr>
      </w:pPr>
    </w:p>
    <w:p w14:paraId="3E2B2077" w14:textId="77777777" w:rsidR="003F75F9" w:rsidRPr="003F75F9" w:rsidRDefault="003F75F9" w:rsidP="003F75F9">
      <w:pPr>
        <w:tabs>
          <w:tab w:val="left" w:pos="851"/>
        </w:tabs>
        <w:ind w:left="851"/>
        <w:rPr>
          <w:i/>
          <w:sz w:val="24"/>
          <w:szCs w:val="24"/>
          <w:u w:val="single"/>
        </w:rPr>
      </w:pPr>
      <w:r w:rsidRPr="003F75F9">
        <w:rPr>
          <w:sz w:val="24"/>
          <w:szCs w:val="24"/>
          <w:u w:val="single"/>
        </w:rPr>
        <w:t>Administration</w:t>
      </w:r>
    </w:p>
    <w:p w14:paraId="178944E2" w14:textId="77777777" w:rsidR="003F75F9" w:rsidRPr="003F75F9" w:rsidRDefault="003F75F9" w:rsidP="003F75F9">
      <w:pPr>
        <w:tabs>
          <w:tab w:val="left" w:pos="851"/>
        </w:tabs>
        <w:ind w:left="851"/>
        <w:rPr>
          <w:sz w:val="24"/>
          <w:szCs w:val="24"/>
        </w:rPr>
      </w:pPr>
      <w:r w:rsidRPr="003F75F9">
        <w:rPr>
          <w:sz w:val="24"/>
          <w:szCs w:val="24"/>
        </w:rPr>
        <w:t>En brugsklar opløsning klargøres ved at injicere 10 ml natriumchlorid 9 mg/ml (0,9 %) injektionsvæske. For instruktion vedrørende tilberedning af lægemidlet før administration, se pkt. 6.6. Den klargjorte opløsning kan indgives direkte eller efter yderligere tilblanding af 100 ml natriumchlorid 9 mg/ml (0,9 %) injektionsvæske eller glucose 55 mg/ml (5 %) injektionsvæske.</w:t>
      </w:r>
    </w:p>
    <w:p w14:paraId="082448CE" w14:textId="77777777" w:rsidR="003F75F9" w:rsidRPr="003F75F9" w:rsidRDefault="003F75F9" w:rsidP="003F75F9">
      <w:pPr>
        <w:tabs>
          <w:tab w:val="left" w:pos="851"/>
        </w:tabs>
        <w:ind w:left="851"/>
        <w:rPr>
          <w:sz w:val="24"/>
          <w:szCs w:val="24"/>
        </w:rPr>
      </w:pPr>
    </w:p>
    <w:p w14:paraId="7309AAE0" w14:textId="77777777" w:rsidR="003F75F9" w:rsidRPr="003F75F9" w:rsidRDefault="003F75F9" w:rsidP="003F75F9">
      <w:pPr>
        <w:tabs>
          <w:tab w:val="left" w:pos="851"/>
        </w:tabs>
        <w:ind w:left="851"/>
        <w:rPr>
          <w:sz w:val="24"/>
          <w:szCs w:val="24"/>
        </w:rPr>
      </w:pPr>
      <w:r w:rsidRPr="003F75F9">
        <w:rPr>
          <w:sz w:val="24"/>
          <w:szCs w:val="24"/>
        </w:rPr>
        <w:t>Efter tilberedning skal opløsningen bruges inden for 12 timer.</w:t>
      </w:r>
    </w:p>
    <w:p w14:paraId="54ED3B60" w14:textId="77777777" w:rsidR="003F75F9" w:rsidRPr="003F75F9" w:rsidRDefault="003F75F9" w:rsidP="003F75F9">
      <w:pPr>
        <w:tabs>
          <w:tab w:val="left" w:pos="851"/>
        </w:tabs>
        <w:ind w:left="851"/>
        <w:rPr>
          <w:sz w:val="24"/>
          <w:szCs w:val="24"/>
        </w:rPr>
      </w:pPr>
    </w:p>
    <w:p w14:paraId="2C0BB036" w14:textId="77777777" w:rsidR="003F75F9" w:rsidRPr="003F75F9" w:rsidRDefault="003F75F9" w:rsidP="003F75F9">
      <w:pPr>
        <w:tabs>
          <w:tab w:val="left" w:pos="851"/>
        </w:tabs>
        <w:ind w:left="851"/>
        <w:rPr>
          <w:sz w:val="24"/>
          <w:szCs w:val="24"/>
        </w:rPr>
      </w:pPr>
      <w:r w:rsidRPr="003F75F9">
        <w:rPr>
          <w:sz w:val="24"/>
          <w:szCs w:val="24"/>
        </w:rPr>
        <w:t>Præparatet skal gives intravenøst over 2- 15 minutter.</w:t>
      </w:r>
    </w:p>
    <w:bookmarkEnd w:id="2"/>
    <w:p w14:paraId="6840DD5E" w14:textId="77777777" w:rsidR="009260DE" w:rsidRPr="00C84483" w:rsidRDefault="009260DE" w:rsidP="009260DE">
      <w:pPr>
        <w:tabs>
          <w:tab w:val="left" w:pos="851"/>
        </w:tabs>
        <w:ind w:left="851"/>
        <w:rPr>
          <w:sz w:val="24"/>
          <w:szCs w:val="24"/>
        </w:rPr>
      </w:pPr>
    </w:p>
    <w:p w14:paraId="1B795B57"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23D0513C" w14:textId="77777777" w:rsidR="003F75F9" w:rsidRPr="003F75F9" w:rsidRDefault="003F75F9" w:rsidP="003F75F9">
      <w:pPr>
        <w:tabs>
          <w:tab w:val="left" w:pos="851"/>
        </w:tabs>
        <w:ind w:left="851"/>
        <w:rPr>
          <w:sz w:val="24"/>
          <w:szCs w:val="24"/>
        </w:rPr>
      </w:pPr>
      <w:r w:rsidRPr="003F75F9">
        <w:rPr>
          <w:sz w:val="24"/>
          <w:szCs w:val="24"/>
        </w:rPr>
        <w:t xml:space="preserve">Overfølsomhed over for det aktive stof, substituerede benzimidazoler eller over for et eller flere af hjælpestofferne anført i pkt. 6.1. </w:t>
      </w:r>
      <w:r w:rsidRPr="003F75F9">
        <w:rPr>
          <w:sz w:val="24"/>
          <w:szCs w:val="24"/>
        </w:rPr>
        <w:br/>
      </w:r>
    </w:p>
    <w:p w14:paraId="4B06E19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BEE5AB7" w14:textId="77777777" w:rsidR="003F75F9" w:rsidRDefault="003F75F9" w:rsidP="003F75F9">
      <w:pPr>
        <w:tabs>
          <w:tab w:val="left" w:pos="851"/>
        </w:tabs>
        <w:ind w:left="851"/>
        <w:rPr>
          <w:i/>
          <w:sz w:val="24"/>
          <w:szCs w:val="24"/>
        </w:rPr>
      </w:pPr>
    </w:p>
    <w:p w14:paraId="3830BFD8" w14:textId="321B2115" w:rsidR="003F75F9" w:rsidRPr="003F75F9" w:rsidRDefault="003F75F9" w:rsidP="003F75F9">
      <w:pPr>
        <w:tabs>
          <w:tab w:val="left" w:pos="851"/>
        </w:tabs>
        <w:ind w:left="851"/>
        <w:rPr>
          <w:sz w:val="24"/>
          <w:szCs w:val="24"/>
          <w:u w:val="single"/>
        </w:rPr>
      </w:pPr>
      <w:bookmarkStart w:id="3" w:name="_Hlk109383688"/>
      <w:r w:rsidRPr="003F75F9">
        <w:rPr>
          <w:sz w:val="24"/>
          <w:szCs w:val="24"/>
          <w:u w:val="single"/>
        </w:rPr>
        <w:t>Gastrisk malignitet</w:t>
      </w:r>
    </w:p>
    <w:p w14:paraId="413C88A7" w14:textId="77777777" w:rsidR="003F75F9" w:rsidRPr="003F75F9" w:rsidRDefault="003F75F9" w:rsidP="003F75F9">
      <w:pPr>
        <w:tabs>
          <w:tab w:val="left" w:pos="851"/>
        </w:tabs>
        <w:ind w:left="851"/>
        <w:rPr>
          <w:sz w:val="24"/>
          <w:szCs w:val="24"/>
        </w:rPr>
      </w:pPr>
      <w:r w:rsidRPr="003F75F9">
        <w:rPr>
          <w:sz w:val="24"/>
          <w:szCs w:val="24"/>
        </w:rPr>
        <w:t>Symptomatisk reaktion på pantoprazol kan maskere symptomerne på gastrisk malignitet og kan forsinke en diagnose. Hvis der, samtidig med mistænkt eller kendt ulcus ses et eller flere alarmsymptomer (f.eks. signifikant, utilsigtet vægttab, tilbagevendende opkastning, dysphagi, hæmatemesis, anæmi eller melæna) skal malign sygdom udelukkes.</w:t>
      </w:r>
    </w:p>
    <w:p w14:paraId="4A533793" w14:textId="77777777" w:rsidR="003F75F9" w:rsidRPr="003F75F9" w:rsidRDefault="003F75F9" w:rsidP="003F75F9">
      <w:pPr>
        <w:tabs>
          <w:tab w:val="left" w:pos="851"/>
        </w:tabs>
        <w:ind w:left="851"/>
        <w:rPr>
          <w:sz w:val="24"/>
          <w:szCs w:val="24"/>
        </w:rPr>
      </w:pPr>
    </w:p>
    <w:p w14:paraId="7587D220" w14:textId="77777777" w:rsidR="003F75F9" w:rsidRPr="003F75F9" w:rsidRDefault="003F75F9" w:rsidP="003F75F9">
      <w:pPr>
        <w:tabs>
          <w:tab w:val="left" w:pos="851"/>
        </w:tabs>
        <w:ind w:left="851"/>
        <w:rPr>
          <w:sz w:val="24"/>
          <w:szCs w:val="24"/>
        </w:rPr>
      </w:pPr>
      <w:r w:rsidRPr="003F75F9">
        <w:rPr>
          <w:sz w:val="24"/>
          <w:szCs w:val="24"/>
        </w:rPr>
        <w:t>Ved persisterende symptomer på trods af adækvat behandling bør yderligere undersøgelser overvejes.</w:t>
      </w:r>
    </w:p>
    <w:p w14:paraId="7694F9A7" w14:textId="77777777" w:rsidR="003F75F9" w:rsidRPr="003F75F9" w:rsidRDefault="003F75F9" w:rsidP="003F75F9">
      <w:pPr>
        <w:tabs>
          <w:tab w:val="left" w:pos="851"/>
        </w:tabs>
        <w:ind w:left="851"/>
        <w:rPr>
          <w:i/>
          <w:sz w:val="24"/>
          <w:szCs w:val="24"/>
        </w:rPr>
      </w:pPr>
    </w:p>
    <w:p w14:paraId="4C3A6863" w14:textId="55D0ED2E" w:rsidR="003F75F9" w:rsidRPr="003F75F9" w:rsidRDefault="003F75F9" w:rsidP="003F75F9">
      <w:pPr>
        <w:tabs>
          <w:tab w:val="left" w:pos="851"/>
        </w:tabs>
        <w:ind w:left="851"/>
        <w:rPr>
          <w:sz w:val="24"/>
          <w:szCs w:val="24"/>
          <w:u w:val="single"/>
        </w:rPr>
      </w:pPr>
      <w:r w:rsidRPr="003F75F9">
        <w:rPr>
          <w:sz w:val="24"/>
          <w:szCs w:val="24"/>
          <w:u w:val="single"/>
        </w:rPr>
        <w:t>Nedsat leverfunktion</w:t>
      </w:r>
    </w:p>
    <w:p w14:paraId="77C38D61" w14:textId="77777777" w:rsidR="003F75F9" w:rsidRPr="003F75F9" w:rsidRDefault="003F75F9" w:rsidP="003F75F9">
      <w:pPr>
        <w:tabs>
          <w:tab w:val="left" w:pos="851"/>
        </w:tabs>
        <w:ind w:left="851"/>
        <w:rPr>
          <w:sz w:val="24"/>
          <w:szCs w:val="24"/>
        </w:rPr>
      </w:pPr>
      <w:r w:rsidRPr="003F75F9">
        <w:rPr>
          <w:sz w:val="24"/>
          <w:szCs w:val="24"/>
        </w:rPr>
        <w:t>Hos patienter med svært nedsat leverfunktion bør leverenzymer monitoreres under behandlingen. I tilfælde af stigning i leverenzymværdierne skal behandlingen med pantoprazol afbrydes (se pkt. 4.2).</w:t>
      </w:r>
    </w:p>
    <w:p w14:paraId="2413C644" w14:textId="77777777" w:rsidR="003F75F9" w:rsidRPr="003F75F9" w:rsidRDefault="003F75F9" w:rsidP="003F75F9">
      <w:pPr>
        <w:tabs>
          <w:tab w:val="left" w:pos="851"/>
        </w:tabs>
        <w:ind w:left="851"/>
        <w:rPr>
          <w:i/>
          <w:sz w:val="24"/>
          <w:szCs w:val="24"/>
        </w:rPr>
      </w:pPr>
    </w:p>
    <w:p w14:paraId="25A9D447" w14:textId="4B27F3A6" w:rsidR="003F75F9" w:rsidRPr="003F75F9" w:rsidRDefault="003F75F9" w:rsidP="003F75F9">
      <w:pPr>
        <w:tabs>
          <w:tab w:val="left" w:pos="851"/>
        </w:tabs>
        <w:ind w:left="851"/>
        <w:rPr>
          <w:sz w:val="24"/>
          <w:szCs w:val="24"/>
          <w:u w:val="single"/>
        </w:rPr>
      </w:pPr>
      <w:r w:rsidRPr="003F75F9">
        <w:rPr>
          <w:sz w:val="24"/>
          <w:szCs w:val="24"/>
          <w:u w:val="single"/>
        </w:rPr>
        <w:t>Samtidig behandling med HIV protease-hæmmere</w:t>
      </w:r>
    </w:p>
    <w:p w14:paraId="7F417CC2" w14:textId="77777777" w:rsidR="003F75F9" w:rsidRPr="003F75F9" w:rsidRDefault="003F75F9" w:rsidP="003F75F9">
      <w:pPr>
        <w:tabs>
          <w:tab w:val="left" w:pos="851"/>
        </w:tabs>
        <w:ind w:left="851"/>
        <w:rPr>
          <w:sz w:val="24"/>
          <w:szCs w:val="24"/>
        </w:rPr>
      </w:pPr>
      <w:r w:rsidRPr="003F75F9">
        <w:rPr>
          <w:sz w:val="24"/>
          <w:szCs w:val="24"/>
        </w:rPr>
        <w:t xml:space="preserve">Samtidig administration af HIV protease-hæmmere, hvis absorption er afhængig af sur intragastrisk pH (som atazanavir) og pantoprazol, frarådes grundet en signifikant reduktion af biotilgængelighed af HIV protease-hæmmere (se pkt. 4.5).  </w:t>
      </w:r>
    </w:p>
    <w:p w14:paraId="0E5C1DEF" w14:textId="77777777" w:rsidR="003F75F9" w:rsidRPr="003F75F9" w:rsidRDefault="003F75F9" w:rsidP="003F75F9">
      <w:pPr>
        <w:tabs>
          <w:tab w:val="left" w:pos="851"/>
        </w:tabs>
        <w:ind w:left="851"/>
        <w:rPr>
          <w:i/>
          <w:sz w:val="24"/>
          <w:szCs w:val="24"/>
        </w:rPr>
      </w:pPr>
    </w:p>
    <w:p w14:paraId="7EF50C3F" w14:textId="56BAFD65" w:rsidR="003F75F9" w:rsidRPr="003F75F9" w:rsidRDefault="003F75F9" w:rsidP="003F75F9">
      <w:pPr>
        <w:tabs>
          <w:tab w:val="left" w:pos="851"/>
        </w:tabs>
        <w:ind w:left="851"/>
        <w:rPr>
          <w:sz w:val="24"/>
          <w:szCs w:val="24"/>
          <w:u w:val="single"/>
        </w:rPr>
      </w:pPr>
      <w:r w:rsidRPr="003F75F9">
        <w:rPr>
          <w:sz w:val="24"/>
          <w:szCs w:val="24"/>
          <w:u w:val="single"/>
        </w:rPr>
        <w:t>Gastrointestinale infektioner forårsaget af bakterier</w:t>
      </w:r>
    </w:p>
    <w:p w14:paraId="19E3D675" w14:textId="77777777" w:rsidR="003F75F9" w:rsidRPr="003F75F9" w:rsidRDefault="003F75F9" w:rsidP="003F75F9">
      <w:pPr>
        <w:tabs>
          <w:tab w:val="left" w:pos="851"/>
        </w:tabs>
        <w:ind w:left="851"/>
        <w:rPr>
          <w:sz w:val="24"/>
          <w:szCs w:val="24"/>
        </w:rPr>
      </w:pPr>
      <w:r w:rsidRPr="003F75F9">
        <w:rPr>
          <w:sz w:val="24"/>
          <w:szCs w:val="24"/>
        </w:rPr>
        <w:t xml:space="preserve">Behandling med Pantoprazol "SUN Pharma" kan medføre en let forøget risiko for gastrointestinale infektioner forårsaget af bakterier som </w:t>
      </w:r>
      <w:r w:rsidRPr="003F75F9">
        <w:rPr>
          <w:i/>
          <w:sz w:val="24"/>
          <w:szCs w:val="24"/>
        </w:rPr>
        <w:t xml:space="preserve">Salmonella og Campylobacter </w:t>
      </w:r>
      <w:r w:rsidRPr="003F75F9">
        <w:rPr>
          <w:sz w:val="24"/>
          <w:szCs w:val="24"/>
        </w:rPr>
        <w:t xml:space="preserve">eller </w:t>
      </w:r>
      <w:r w:rsidRPr="003F75F9">
        <w:rPr>
          <w:i/>
          <w:sz w:val="24"/>
          <w:szCs w:val="24"/>
        </w:rPr>
        <w:t>C. difficile</w:t>
      </w:r>
      <w:r w:rsidRPr="003F75F9">
        <w:rPr>
          <w:sz w:val="24"/>
          <w:szCs w:val="24"/>
        </w:rPr>
        <w:t>.</w:t>
      </w:r>
    </w:p>
    <w:p w14:paraId="54A70CDC" w14:textId="77777777" w:rsidR="003F75F9" w:rsidRPr="003F75F9" w:rsidRDefault="003F75F9" w:rsidP="003F75F9">
      <w:pPr>
        <w:tabs>
          <w:tab w:val="left" w:pos="851"/>
        </w:tabs>
        <w:ind w:left="851"/>
        <w:rPr>
          <w:sz w:val="24"/>
          <w:szCs w:val="24"/>
        </w:rPr>
      </w:pPr>
    </w:p>
    <w:p w14:paraId="27A54344" w14:textId="5E980094" w:rsidR="003F75F9" w:rsidRPr="003F75F9" w:rsidRDefault="003F75F9" w:rsidP="003F75F9">
      <w:pPr>
        <w:tabs>
          <w:tab w:val="left" w:pos="851"/>
        </w:tabs>
        <w:ind w:left="851"/>
        <w:rPr>
          <w:sz w:val="24"/>
          <w:szCs w:val="24"/>
          <w:u w:val="single"/>
        </w:rPr>
      </w:pPr>
      <w:r w:rsidRPr="003F75F9">
        <w:rPr>
          <w:sz w:val="24"/>
          <w:szCs w:val="24"/>
          <w:u w:val="single"/>
        </w:rPr>
        <w:t>Hypomagnesiæmi</w:t>
      </w:r>
    </w:p>
    <w:p w14:paraId="0A125E66" w14:textId="77777777" w:rsidR="003F75F9" w:rsidRPr="003F75F9" w:rsidRDefault="003F75F9" w:rsidP="003F75F9">
      <w:pPr>
        <w:tabs>
          <w:tab w:val="left" w:pos="851"/>
        </w:tabs>
        <w:ind w:left="851"/>
        <w:rPr>
          <w:sz w:val="24"/>
          <w:szCs w:val="24"/>
        </w:rPr>
      </w:pPr>
      <w:r w:rsidRPr="003F75F9">
        <w:rPr>
          <w:sz w:val="24"/>
          <w:szCs w:val="24"/>
        </w:rPr>
        <w:t>Alvorlig hypomagnesiæmi har sjældent været rapporteret hos patienter behandlet med protonpumpehæmmere (PPI’er), såsom Pantoprazol "SUN Pharma", i mindst tre måneder og i de fleste tilfælde i et år. Alvorlige manifestationer af hypomagnesiæmi som træthed, tetani, delirium, kramper, svimmelhed og ventrikulær arytmi kan forekomme, men kan begynde snigende og derforoverses. Hypomagnesiæmi kan føre til hypokalcæmi og/eller hypokaliæmi (se pkt.4.8). Tilstanden (og hypomagnesiæmi-associeret hypokalcæmi og/eller hypokaliæmi) forbedres hos de fleste patienter efter magnesiumerstatning og seponering af PPI.</w:t>
      </w:r>
    </w:p>
    <w:p w14:paraId="7DBC2899" w14:textId="77777777" w:rsidR="003F75F9" w:rsidRPr="003F75F9" w:rsidRDefault="003F75F9" w:rsidP="003F75F9">
      <w:pPr>
        <w:tabs>
          <w:tab w:val="left" w:pos="851"/>
        </w:tabs>
        <w:ind w:left="851"/>
        <w:rPr>
          <w:sz w:val="24"/>
          <w:szCs w:val="24"/>
        </w:rPr>
      </w:pPr>
    </w:p>
    <w:p w14:paraId="366E629B" w14:textId="77777777" w:rsidR="003F75F9" w:rsidRPr="003F75F9" w:rsidRDefault="003F75F9" w:rsidP="003F75F9">
      <w:pPr>
        <w:tabs>
          <w:tab w:val="left" w:pos="851"/>
        </w:tabs>
        <w:ind w:left="851"/>
        <w:rPr>
          <w:sz w:val="24"/>
          <w:szCs w:val="24"/>
        </w:rPr>
      </w:pPr>
      <w:r w:rsidRPr="003F75F9">
        <w:rPr>
          <w:sz w:val="24"/>
          <w:szCs w:val="24"/>
        </w:rPr>
        <w:t xml:space="preserve">Det bør overvejes at måle serummagnesium før opstart af PPI-behandling og regelmæssigt under behandlingen hos patienter, der forventes at være i langvarig behandling eller som tager PPI’er samtidigt med digoxin eller andre lægemidler, der kan forårsage hypomagnesiæmi (f.eks. diuretika). </w:t>
      </w:r>
    </w:p>
    <w:p w14:paraId="43C992E0" w14:textId="77777777" w:rsidR="003F75F9" w:rsidRPr="003F75F9" w:rsidRDefault="003F75F9" w:rsidP="003F75F9">
      <w:pPr>
        <w:tabs>
          <w:tab w:val="left" w:pos="851"/>
        </w:tabs>
        <w:ind w:left="851"/>
        <w:rPr>
          <w:sz w:val="24"/>
          <w:szCs w:val="24"/>
        </w:rPr>
      </w:pPr>
    </w:p>
    <w:p w14:paraId="2714688E" w14:textId="085B1565" w:rsidR="003F75F9" w:rsidRPr="003F75F9" w:rsidRDefault="003F75F9" w:rsidP="003F75F9">
      <w:pPr>
        <w:tabs>
          <w:tab w:val="left" w:pos="851"/>
        </w:tabs>
        <w:ind w:left="851"/>
        <w:rPr>
          <w:sz w:val="24"/>
          <w:szCs w:val="24"/>
          <w:u w:val="single"/>
        </w:rPr>
      </w:pPr>
      <w:r w:rsidRPr="003F75F9">
        <w:rPr>
          <w:sz w:val="24"/>
          <w:szCs w:val="24"/>
          <w:u w:val="single"/>
        </w:rPr>
        <w:t>Knoglefrakturer</w:t>
      </w:r>
    </w:p>
    <w:p w14:paraId="54FBC682" w14:textId="77777777" w:rsidR="003F75F9" w:rsidRPr="003F75F9" w:rsidRDefault="003F75F9" w:rsidP="003F75F9">
      <w:pPr>
        <w:tabs>
          <w:tab w:val="left" w:pos="851"/>
        </w:tabs>
        <w:ind w:left="851"/>
        <w:rPr>
          <w:sz w:val="24"/>
          <w:szCs w:val="24"/>
        </w:rPr>
      </w:pPr>
      <w:r w:rsidRPr="003F75F9">
        <w:rPr>
          <w:sz w:val="24"/>
          <w:szCs w:val="24"/>
        </w:rPr>
        <w:t xml:space="preserve">Protonpumpe-hæmmere kan øge risikoen for hofte-, håndleds- og rygfrakturer beskedent, hovedsageligt hos ældre patienter eller ved tilstedeværelse af andre kendte risikofaktorer især hvis det bruges i høje doser og over lange behandlingsperioder (&gt; 1 år). Observationsstudier antyder, at protonpumpehæmmere kan øge den overordnede risiko for fraktur med 10-40 %. Noget af denne øgede risiko kan skyldes andre risikofaktorer. </w:t>
      </w:r>
      <w:r w:rsidRPr="003F75F9">
        <w:rPr>
          <w:sz w:val="24"/>
          <w:szCs w:val="24"/>
        </w:rPr>
        <w:lastRenderedPageBreak/>
        <w:t>Patienter med risiko for osteoporose bør modtage behandling i henhold til gældende kliniske guidelines og de bør have et tilstrækkeligt indtag af vitamin D og calcium.</w:t>
      </w:r>
    </w:p>
    <w:p w14:paraId="59FB4889" w14:textId="77777777" w:rsidR="003F75F9" w:rsidRPr="003F75F9" w:rsidRDefault="003F75F9" w:rsidP="003F75F9">
      <w:pPr>
        <w:tabs>
          <w:tab w:val="left" w:pos="851"/>
        </w:tabs>
        <w:ind w:left="851"/>
        <w:rPr>
          <w:sz w:val="24"/>
          <w:szCs w:val="24"/>
        </w:rPr>
      </w:pPr>
    </w:p>
    <w:p w14:paraId="181A8B69" w14:textId="29507F30" w:rsidR="003F75F9" w:rsidRPr="003F75F9" w:rsidRDefault="003F75F9" w:rsidP="003F75F9">
      <w:pPr>
        <w:tabs>
          <w:tab w:val="left" w:pos="851"/>
        </w:tabs>
        <w:ind w:left="851"/>
        <w:rPr>
          <w:sz w:val="24"/>
          <w:szCs w:val="24"/>
          <w:u w:val="single"/>
          <w:lang w:val="en-US"/>
        </w:rPr>
      </w:pPr>
      <w:r w:rsidRPr="003F75F9">
        <w:rPr>
          <w:sz w:val="24"/>
          <w:szCs w:val="24"/>
          <w:u w:val="single"/>
          <w:lang w:val="en-US"/>
        </w:rPr>
        <w:t>Subakut Kutan Lupus Erythematosus (SCLE)</w:t>
      </w:r>
    </w:p>
    <w:p w14:paraId="4D62F43D" w14:textId="77777777" w:rsidR="003F75F9" w:rsidRPr="003F75F9" w:rsidRDefault="003F75F9" w:rsidP="003F75F9">
      <w:pPr>
        <w:tabs>
          <w:tab w:val="left" w:pos="851"/>
        </w:tabs>
        <w:ind w:left="851"/>
        <w:rPr>
          <w:sz w:val="24"/>
          <w:szCs w:val="24"/>
        </w:rPr>
      </w:pPr>
      <w:r w:rsidRPr="003F75F9">
        <w:rPr>
          <w:sz w:val="24"/>
          <w:szCs w:val="24"/>
        </w:rPr>
        <w:t>Protonpumpe-hæmmere er forbundet med meget sjældne tilfælde af SCLE. Hvis læsioner forekomme, især i sol-udsatte områder af huden, og hvis de ledsages af ledsmerter, bør patienten søge lægehjælp omgående, og den sundhedsprofessionelle bør overveje at stoppe behandlingen med Pantoprazol "SUN Pharma". SCLE efter tidligere behandling med en protonpumpe-hæmmer kan øge risikoen for SCLE med andre protonpumpe-hæmmere.</w:t>
      </w:r>
    </w:p>
    <w:p w14:paraId="6840B1BB" w14:textId="77777777" w:rsidR="003F75F9" w:rsidRPr="003F75F9" w:rsidRDefault="003F75F9" w:rsidP="003F75F9">
      <w:pPr>
        <w:tabs>
          <w:tab w:val="left" w:pos="851"/>
        </w:tabs>
        <w:ind w:left="851"/>
        <w:rPr>
          <w:sz w:val="24"/>
          <w:szCs w:val="24"/>
        </w:rPr>
      </w:pPr>
    </w:p>
    <w:p w14:paraId="14EF5084" w14:textId="102C1075" w:rsidR="003F75F9" w:rsidRPr="003F75F9" w:rsidRDefault="003F75F9" w:rsidP="003F75F9">
      <w:pPr>
        <w:tabs>
          <w:tab w:val="left" w:pos="851"/>
        </w:tabs>
        <w:ind w:left="851"/>
        <w:rPr>
          <w:sz w:val="24"/>
          <w:szCs w:val="24"/>
          <w:u w:val="single"/>
        </w:rPr>
      </w:pPr>
      <w:r w:rsidRPr="003F75F9">
        <w:rPr>
          <w:sz w:val="24"/>
          <w:szCs w:val="24"/>
          <w:u w:val="single"/>
        </w:rPr>
        <w:t xml:space="preserve">Interferens med laboratorieprøver </w:t>
      </w:r>
    </w:p>
    <w:p w14:paraId="3BF09BEA" w14:textId="77777777" w:rsidR="003F75F9" w:rsidRPr="003F75F9" w:rsidRDefault="003F75F9" w:rsidP="003F75F9">
      <w:pPr>
        <w:tabs>
          <w:tab w:val="left" w:pos="851"/>
        </w:tabs>
        <w:ind w:left="851"/>
        <w:rPr>
          <w:sz w:val="24"/>
          <w:szCs w:val="24"/>
        </w:rPr>
      </w:pPr>
      <w:r w:rsidRPr="003F75F9">
        <w:rPr>
          <w:sz w:val="24"/>
          <w:szCs w:val="24"/>
        </w:rPr>
        <w:t>Forhøjet chromogranin A (CgA) kan interferere med undersøgelser for neuroendokrine tumorer. For at undgå denne interferens bør Pantoprazol "SUN Pharma" seponeres mindst 5 dage inden måling af CgA (se pkt. 5.1). Hvis indholdet af CgA og gastrin ikke er returneret til referenceområdet ved den første måling, bør målingen gentages 14 dage efter seponering af protonpumpehæmmeren.</w:t>
      </w:r>
      <w:bookmarkEnd w:id="3"/>
    </w:p>
    <w:p w14:paraId="189A302F" w14:textId="77777777" w:rsidR="003F75F9" w:rsidRPr="003F75F9" w:rsidRDefault="003F75F9" w:rsidP="003F75F9">
      <w:pPr>
        <w:tabs>
          <w:tab w:val="left" w:pos="851"/>
        </w:tabs>
        <w:ind w:left="851"/>
        <w:rPr>
          <w:sz w:val="24"/>
          <w:szCs w:val="24"/>
        </w:rPr>
      </w:pPr>
    </w:p>
    <w:p w14:paraId="6E373C2F" w14:textId="05801EF1" w:rsidR="003F75F9" w:rsidRPr="003F75F9" w:rsidRDefault="003F75F9" w:rsidP="003F75F9">
      <w:pPr>
        <w:tabs>
          <w:tab w:val="left" w:pos="851"/>
        </w:tabs>
        <w:ind w:left="851"/>
        <w:rPr>
          <w:sz w:val="24"/>
          <w:szCs w:val="24"/>
          <w:u w:val="single"/>
        </w:rPr>
      </w:pPr>
      <w:r w:rsidRPr="003F75F9">
        <w:rPr>
          <w:sz w:val="24"/>
          <w:szCs w:val="24"/>
          <w:u w:val="single"/>
        </w:rPr>
        <w:t>Pantoprazol "SUN Pharma" indeholder natrium</w:t>
      </w:r>
    </w:p>
    <w:p w14:paraId="580CD15B" w14:textId="77777777" w:rsidR="003F75F9" w:rsidRPr="003F75F9" w:rsidRDefault="003F75F9" w:rsidP="003F75F9">
      <w:pPr>
        <w:tabs>
          <w:tab w:val="left" w:pos="851"/>
        </w:tabs>
        <w:ind w:left="851"/>
        <w:rPr>
          <w:sz w:val="24"/>
          <w:szCs w:val="24"/>
        </w:rPr>
      </w:pPr>
      <w:r w:rsidRPr="003F75F9">
        <w:rPr>
          <w:sz w:val="24"/>
          <w:szCs w:val="24"/>
        </w:rPr>
        <w:t>Dette lægemiddel indeholder mindre end 1 mmol natrium (23 mg) pr. hætteglas, dvs. det er i det væsentlige natriumfrit.</w:t>
      </w:r>
    </w:p>
    <w:p w14:paraId="141836F4" w14:textId="77777777" w:rsidR="009260DE" w:rsidRPr="00C84483" w:rsidRDefault="009260DE" w:rsidP="009260DE">
      <w:pPr>
        <w:tabs>
          <w:tab w:val="left" w:pos="851"/>
        </w:tabs>
        <w:ind w:left="851"/>
        <w:rPr>
          <w:sz w:val="24"/>
          <w:szCs w:val="24"/>
        </w:rPr>
      </w:pPr>
    </w:p>
    <w:p w14:paraId="0000F8A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55000D3" w14:textId="77777777" w:rsidR="003F75F9" w:rsidRDefault="003F75F9" w:rsidP="003F75F9">
      <w:pPr>
        <w:tabs>
          <w:tab w:val="left" w:pos="851"/>
        </w:tabs>
        <w:ind w:left="851"/>
        <w:rPr>
          <w:sz w:val="24"/>
          <w:szCs w:val="24"/>
          <w:u w:val="single"/>
        </w:rPr>
      </w:pPr>
    </w:p>
    <w:p w14:paraId="6A12737B" w14:textId="6876EC31" w:rsidR="003F75F9" w:rsidRPr="003F75F9" w:rsidRDefault="003F75F9" w:rsidP="003F75F9">
      <w:pPr>
        <w:tabs>
          <w:tab w:val="left" w:pos="851"/>
        </w:tabs>
        <w:ind w:left="851"/>
        <w:rPr>
          <w:sz w:val="24"/>
          <w:szCs w:val="24"/>
          <w:u w:val="single"/>
        </w:rPr>
      </w:pPr>
      <w:r w:rsidRPr="003F75F9">
        <w:rPr>
          <w:sz w:val="24"/>
          <w:szCs w:val="24"/>
          <w:u w:val="single"/>
        </w:rPr>
        <w:t>Lægemidler med pH-afhængig absorptionspharmakokinetik</w:t>
      </w:r>
    </w:p>
    <w:p w14:paraId="60E515BD" w14:textId="77777777" w:rsidR="003F75F9" w:rsidRPr="003F75F9" w:rsidRDefault="003F75F9" w:rsidP="003F75F9">
      <w:pPr>
        <w:tabs>
          <w:tab w:val="left" w:pos="851"/>
        </w:tabs>
        <w:ind w:left="851"/>
        <w:rPr>
          <w:sz w:val="24"/>
          <w:szCs w:val="24"/>
        </w:rPr>
      </w:pPr>
      <w:r w:rsidRPr="003F75F9">
        <w:rPr>
          <w:sz w:val="24"/>
          <w:szCs w:val="24"/>
        </w:rPr>
        <w:t>På grund af den markante og langtidsvirkende hæmming af mavesyresekretionen, kan Pantoprazol "SUN Pharma" nedsætte absorptionen af lægemidler, hvor den orale biotilgængelighed er gastrisk pH-afhængig, f.eks. nogle azol-svampemidler, som ketoconazol, itraconazol, posaconazol og anden medicin som erlotinib.</w:t>
      </w:r>
    </w:p>
    <w:p w14:paraId="4F7FEE9E" w14:textId="77777777" w:rsidR="003F75F9" w:rsidRPr="003F75F9" w:rsidRDefault="003F75F9" w:rsidP="003F75F9">
      <w:pPr>
        <w:tabs>
          <w:tab w:val="left" w:pos="851"/>
        </w:tabs>
        <w:ind w:left="851"/>
        <w:rPr>
          <w:sz w:val="24"/>
          <w:szCs w:val="24"/>
        </w:rPr>
      </w:pPr>
    </w:p>
    <w:p w14:paraId="79F20002" w14:textId="77777777" w:rsidR="003F75F9" w:rsidRPr="003F75F9" w:rsidRDefault="003F75F9" w:rsidP="003F75F9">
      <w:pPr>
        <w:tabs>
          <w:tab w:val="left" w:pos="851"/>
        </w:tabs>
        <w:ind w:left="851"/>
        <w:rPr>
          <w:sz w:val="24"/>
          <w:szCs w:val="24"/>
          <w:u w:val="single"/>
        </w:rPr>
      </w:pPr>
      <w:r w:rsidRPr="003F75F9">
        <w:rPr>
          <w:sz w:val="24"/>
          <w:szCs w:val="24"/>
          <w:u w:val="single"/>
        </w:rPr>
        <w:t>HIV protease-hæmmere</w:t>
      </w:r>
    </w:p>
    <w:p w14:paraId="53F73A0C" w14:textId="77777777" w:rsidR="003F75F9" w:rsidRPr="003F75F9" w:rsidRDefault="003F75F9" w:rsidP="003F75F9">
      <w:pPr>
        <w:tabs>
          <w:tab w:val="left" w:pos="851"/>
        </w:tabs>
        <w:ind w:left="851"/>
        <w:rPr>
          <w:sz w:val="24"/>
          <w:szCs w:val="24"/>
        </w:rPr>
      </w:pPr>
      <w:r w:rsidRPr="003F75F9">
        <w:rPr>
          <w:sz w:val="24"/>
          <w:szCs w:val="24"/>
        </w:rPr>
        <w:t xml:space="preserve">Samtidig administration af HIV protease-hæmmere, hvis absorption er afhængig af intragastrisk pH (som atazanavir) og pantoprazol, frarådes grundet en signifikant reduktion i biotilgængeligheden (se pkt. 4.4). </w:t>
      </w:r>
    </w:p>
    <w:p w14:paraId="4E7AB8CC" w14:textId="77777777" w:rsidR="003F75F9" w:rsidRPr="003F75F9" w:rsidRDefault="003F75F9" w:rsidP="003F75F9">
      <w:pPr>
        <w:tabs>
          <w:tab w:val="left" w:pos="851"/>
        </w:tabs>
        <w:ind w:left="851"/>
        <w:rPr>
          <w:sz w:val="24"/>
          <w:szCs w:val="24"/>
        </w:rPr>
      </w:pPr>
    </w:p>
    <w:p w14:paraId="55104D2A" w14:textId="593C5D24" w:rsidR="003F75F9" w:rsidRPr="003F75F9" w:rsidRDefault="003F75F9" w:rsidP="003F75F9">
      <w:pPr>
        <w:tabs>
          <w:tab w:val="left" w:pos="851"/>
        </w:tabs>
        <w:ind w:left="851"/>
        <w:rPr>
          <w:sz w:val="24"/>
          <w:szCs w:val="24"/>
        </w:rPr>
      </w:pPr>
      <w:r w:rsidRPr="003F75F9">
        <w:rPr>
          <w:sz w:val="24"/>
          <w:szCs w:val="24"/>
        </w:rPr>
        <w:t xml:space="preserve">Hvis kombinationen af HIV protease-hæmmere med en protonpumpehæmmer vurderes at være uundgåelig, anbefales tæt klinisk monitorering (f.eks. virusbelastning). En daglig pantoprazoldosis på 20 mg bør ikke overskrides. Det kan være nødvendigt at justere dosis af HIV protease-hæmmeren. </w:t>
      </w:r>
    </w:p>
    <w:p w14:paraId="6D6D230A" w14:textId="77777777" w:rsidR="003F75F9" w:rsidRPr="003F75F9" w:rsidRDefault="003F75F9" w:rsidP="003F75F9">
      <w:pPr>
        <w:tabs>
          <w:tab w:val="left" w:pos="851"/>
        </w:tabs>
        <w:ind w:left="851"/>
        <w:rPr>
          <w:sz w:val="24"/>
          <w:szCs w:val="24"/>
        </w:rPr>
      </w:pPr>
    </w:p>
    <w:p w14:paraId="0EE62E39" w14:textId="77777777" w:rsidR="003F75F9" w:rsidRPr="003F75F9" w:rsidRDefault="003F75F9" w:rsidP="003F75F9">
      <w:pPr>
        <w:tabs>
          <w:tab w:val="left" w:pos="851"/>
        </w:tabs>
        <w:ind w:left="851"/>
        <w:rPr>
          <w:sz w:val="24"/>
          <w:szCs w:val="24"/>
          <w:u w:val="single"/>
        </w:rPr>
      </w:pPr>
      <w:r w:rsidRPr="003F75F9">
        <w:rPr>
          <w:sz w:val="24"/>
          <w:szCs w:val="24"/>
          <w:u w:val="single"/>
        </w:rPr>
        <w:t>Coumarinantikoagulantia (phenprocoumon eller warfarin)</w:t>
      </w:r>
    </w:p>
    <w:p w14:paraId="2F87F04A" w14:textId="77777777" w:rsidR="003F75F9" w:rsidRPr="003F75F9" w:rsidRDefault="003F75F9" w:rsidP="003F75F9">
      <w:pPr>
        <w:tabs>
          <w:tab w:val="left" w:pos="851"/>
        </w:tabs>
        <w:ind w:left="851"/>
        <w:rPr>
          <w:sz w:val="24"/>
          <w:szCs w:val="24"/>
        </w:rPr>
      </w:pPr>
      <w:r w:rsidRPr="003F75F9">
        <w:rPr>
          <w:sz w:val="24"/>
          <w:szCs w:val="24"/>
        </w:rPr>
        <w:t>Samtidig administration af pantoprazol med warfarin eller phenprocoumon påvirkede ikke pharmakokinetikken af warfarin, phenprocoumon eller International Normalised Ratio (INR). Der har dog været rapporter om øget INR og protrombintid hos patienter, der modtog PPI og warfarin eller phenprocoumon samtidigt. Stigninger i INR og protrombintid kan føre til unormal blødning, og endda død. Hos patienter, der behandles med pantoprazol og warfarin eller phenprocoumon kan det være nødvendigt at overvåge for stigninger i INR og protrombintid.</w:t>
      </w:r>
    </w:p>
    <w:p w14:paraId="0D1A0779" w14:textId="77777777" w:rsidR="003F75F9" w:rsidRPr="003F75F9" w:rsidRDefault="003F75F9" w:rsidP="003F75F9">
      <w:pPr>
        <w:tabs>
          <w:tab w:val="left" w:pos="851"/>
        </w:tabs>
        <w:ind w:left="851"/>
        <w:rPr>
          <w:sz w:val="24"/>
          <w:szCs w:val="24"/>
        </w:rPr>
      </w:pPr>
    </w:p>
    <w:p w14:paraId="3A9D7676" w14:textId="77777777" w:rsidR="003F75F9" w:rsidRPr="003F75F9" w:rsidRDefault="003F75F9" w:rsidP="003F75F9">
      <w:pPr>
        <w:tabs>
          <w:tab w:val="left" w:pos="851"/>
        </w:tabs>
        <w:ind w:left="851"/>
        <w:rPr>
          <w:sz w:val="24"/>
          <w:szCs w:val="24"/>
          <w:u w:val="single"/>
        </w:rPr>
      </w:pPr>
      <w:r w:rsidRPr="003F75F9">
        <w:rPr>
          <w:sz w:val="24"/>
          <w:szCs w:val="24"/>
          <w:u w:val="single"/>
        </w:rPr>
        <w:t>Methotrexat</w:t>
      </w:r>
    </w:p>
    <w:p w14:paraId="45D66DF9" w14:textId="77777777" w:rsidR="003F75F9" w:rsidRPr="003F75F9" w:rsidRDefault="003F75F9" w:rsidP="003F75F9">
      <w:pPr>
        <w:tabs>
          <w:tab w:val="left" w:pos="851"/>
        </w:tabs>
        <w:ind w:left="851"/>
        <w:rPr>
          <w:sz w:val="24"/>
          <w:szCs w:val="24"/>
        </w:rPr>
      </w:pPr>
      <w:r w:rsidRPr="003F75F9">
        <w:rPr>
          <w:sz w:val="24"/>
          <w:szCs w:val="24"/>
        </w:rPr>
        <w:t xml:space="preserve">Samtidig anvendelse af høje doser methotrexat (dvs. 300 mg) og protonpumpehæmmere er blevet rapporteret at øge methotrexatniveauet hos nogle patienter. </w:t>
      </w:r>
    </w:p>
    <w:p w14:paraId="4E45D2E1" w14:textId="77777777" w:rsidR="003F75F9" w:rsidRPr="003F75F9" w:rsidRDefault="003F75F9" w:rsidP="003F75F9">
      <w:pPr>
        <w:tabs>
          <w:tab w:val="left" w:pos="851"/>
        </w:tabs>
        <w:ind w:left="851"/>
        <w:rPr>
          <w:bCs/>
          <w:sz w:val="24"/>
          <w:szCs w:val="24"/>
        </w:rPr>
      </w:pPr>
      <w:r w:rsidRPr="003F75F9">
        <w:rPr>
          <w:bCs/>
          <w:sz w:val="24"/>
          <w:szCs w:val="24"/>
        </w:rPr>
        <w:lastRenderedPageBreak/>
        <w:t>Derfor kan det, hvor højdosis methotrexat anvendes, f.eks. ved cancer og psoriasis, være nødvendigt at overveje en midlertidig seponering af pantoprazol.</w:t>
      </w:r>
    </w:p>
    <w:p w14:paraId="67B7F161" w14:textId="77777777" w:rsidR="003F75F9" w:rsidRPr="003F75F9" w:rsidRDefault="003F75F9" w:rsidP="003F75F9">
      <w:pPr>
        <w:tabs>
          <w:tab w:val="left" w:pos="851"/>
        </w:tabs>
        <w:ind w:left="851"/>
        <w:rPr>
          <w:sz w:val="24"/>
          <w:szCs w:val="24"/>
        </w:rPr>
      </w:pPr>
    </w:p>
    <w:p w14:paraId="16B408CE" w14:textId="77777777" w:rsidR="003F75F9" w:rsidRPr="003F75F9" w:rsidRDefault="003F75F9" w:rsidP="003F75F9">
      <w:pPr>
        <w:tabs>
          <w:tab w:val="left" w:pos="851"/>
        </w:tabs>
        <w:ind w:left="851"/>
        <w:rPr>
          <w:sz w:val="24"/>
          <w:szCs w:val="24"/>
          <w:u w:val="single"/>
        </w:rPr>
      </w:pPr>
      <w:r w:rsidRPr="003F75F9">
        <w:rPr>
          <w:sz w:val="24"/>
          <w:szCs w:val="24"/>
          <w:u w:val="single"/>
        </w:rPr>
        <w:t>Andre interaktionsforsøg</w:t>
      </w:r>
    </w:p>
    <w:p w14:paraId="13C29643" w14:textId="7BCE1AA5" w:rsidR="003F75F9" w:rsidRPr="003F75F9" w:rsidRDefault="003F75F9" w:rsidP="003F75F9">
      <w:pPr>
        <w:tabs>
          <w:tab w:val="left" w:pos="851"/>
        </w:tabs>
        <w:ind w:left="851"/>
        <w:rPr>
          <w:sz w:val="24"/>
          <w:szCs w:val="24"/>
        </w:rPr>
      </w:pPr>
      <w:r w:rsidRPr="003F75F9">
        <w:rPr>
          <w:sz w:val="24"/>
          <w:szCs w:val="24"/>
        </w:rPr>
        <w:t xml:space="preserve">Pantoprazol metaboliseres </w:t>
      </w:r>
      <w:r w:rsidRPr="003F75F9">
        <w:rPr>
          <w:sz w:val="24"/>
          <w:szCs w:val="24"/>
          <w:lang w:val=""/>
        </w:rPr>
        <w:t>i vid udstrækning</w:t>
      </w:r>
      <w:r w:rsidRPr="003F75F9">
        <w:rPr>
          <w:sz w:val="24"/>
          <w:szCs w:val="24"/>
        </w:rPr>
        <w:t xml:space="preserve"> i leveren via cytokrom P450 enzymsystemet. Den vigtigste metaboliseringsvej er demethylering via CYP2C19 og andre metaboliseringsveje inkluderer oxidation via CYP3A4.</w:t>
      </w:r>
    </w:p>
    <w:p w14:paraId="2B0B507F" w14:textId="77777777" w:rsidR="003F75F9" w:rsidRPr="003F75F9" w:rsidRDefault="003F75F9" w:rsidP="003F75F9">
      <w:pPr>
        <w:tabs>
          <w:tab w:val="left" w:pos="851"/>
        </w:tabs>
        <w:ind w:left="851"/>
        <w:rPr>
          <w:sz w:val="24"/>
          <w:szCs w:val="24"/>
        </w:rPr>
      </w:pPr>
    </w:p>
    <w:p w14:paraId="6C1BEEE7" w14:textId="77777777" w:rsidR="003F75F9" w:rsidRPr="003F75F9" w:rsidRDefault="003F75F9" w:rsidP="003F75F9">
      <w:pPr>
        <w:tabs>
          <w:tab w:val="left" w:pos="851"/>
        </w:tabs>
        <w:ind w:left="851"/>
        <w:rPr>
          <w:sz w:val="24"/>
          <w:szCs w:val="24"/>
        </w:rPr>
      </w:pPr>
      <w:r w:rsidRPr="003F75F9">
        <w:rPr>
          <w:sz w:val="24"/>
          <w:szCs w:val="24"/>
        </w:rPr>
        <w:t xml:space="preserve">Interaktionsforsøg med andre lægemidler, som metaboliseres af det samme enzymsystem, såsom, carbamazepin, diazepam, glibenclamid, nifedipin og et oralt kontraceptivum indeholdende levonorgestrel og ethinylestradiol, viste ingen klinisk signifikante interaktioner. </w:t>
      </w:r>
    </w:p>
    <w:p w14:paraId="06A8FACC" w14:textId="77777777" w:rsidR="003F75F9" w:rsidRPr="003F75F9" w:rsidRDefault="003F75F9" w:rsidP="003F75F9">
      <w:pPr>
        <w:tabs>
          <w:tab w:val="left" w:pos="851"/>
        </w:tabs>
        <w:ind w:left="851"/>
        <w:rPr>
          <w:i/>
          <w:sz w:val="24"/>
          <w:szCs w:val="24"/>
          <w:u w:val="single"/>
        </w:rPr>
      </w:pPr>
    </w:p>
    <w:p w14:paraId="1BAA26B9" w14:textId="2CE133B7" w:rsidR="003F75F9" w:rsidRPr="003F75F9" w:rsidRDefault="003F75F9" w:rsidP="003F75F9">
      <w:pPr>
        <w:tabs>
          <w:tab w:val="left" w:pos="851"/>
        </w:tabs>
        <w:ind w:left="851"/>
        <w:rPr>
          <w:sz w:val="24"/>
          <w:szCs w:val="24"/>
        </w:rPr>
      </w:pPr>
      <w:r w:rsidRPr="003F75F9">
        <w:rPr>
          <w:sz w:val="24"/>
          <w:szCs w:val="24"/>
        </w:rPr>
        <w:t>Interaktion mellem pantoprazol og andre lægemidler eller forbindelser, der metaboliseres af det samme enzymsystem, kan ikke udelukkes.</w:t>
      </w:r>
    </w:p>
    <w:p w14:paraId="699C4D0A" w14:textId="77777777" w:rsidR="003F75F9" w:rsidRPr="003F75F9" w:rsidRDefault="003F75F9" w:rsidP="003F75F9">
      <w:pPr>
        <w:tabs>
          <w:tab w:val="left" w:pos="851"/>
        </w:tabs>
        <w:ind w:left="851"/>
        <w:rPr>
          <w:sz w:val="24"/>
          <w:szCs w:val="24"/>
        </w:rPr>
      </w:pPr>
    </w:p>
    <w:p w14:paraId="2C445D90" w14:textId="5689AC0D" w:rsidR="003F75F9" w:rsidRPr="003F75F9" w:rsidRDefault="003F75F9" w:rsidP="003F75F9">
      <w:pPr>
        <w:tabs>
          <w:tab w:val="left" w:pos="851"/>
        </w:tabs>
        <w:ind w:left="851"/>
        <w:rPr>
          <w:sz w:val="24"/>
          <w:szCs w:val="24"/>
        </w:rPr>
      </w:pPr>
      <w:r w:rsidRPr="003F75F9">
        <w:rPr>
          <w:sz w:val="24"/>
          <w:szCs w:val="24"/>
        </w:rPr>
        <w:t>Resultater fra en række interaktionsforsøg viser, at pantoprazol ikke påvirker metaboliseringen af aktive stoffer, som metaboliseres af CYP1A2 (såsom caffein, theophyllin), CYP2C9 (såsom piroxicam, diclofenac, naproxen), CYP2D6 (såsom metoprolol), CYP2E1 (såsom ethanol), og heller ikke interfererer med p-glycoproteinrelateret absorption af digoxin.</w:t>
      </w:r>
    </w:p>
    <w:p w14:paraId="55C62A7D" w14:textId="77777777" w:rsidR="003F75F9" w:rsidRPr="003F75F9" w:rsidRDefault="003F75F9" w:rsidP="003F75F9">
      <w:pPr>
        <w:tabs>
          <w:tab w:val="left" w:pos="851"/>
        </w:tabs>
        <w:ind w:left="851"/>
        <w:rPr>
          <w:i/>
          <w:sz w:val="24"/>
          <w:szCs w:val="24"/>
          <w:u w:val="single"/>
        </w:rPr>
      </w:pPr>
    </w:p>
    <w:p w14:paraId="2E58DAB3" w14:textId="77777777" w:rsidR="003F75F9" w:rsidRPr="003F75F9" w:rsidRDefault="003F75F9" w:rsidP="003F75F9">
      <w:pPr>
        <w:tabs>
          <w:tab w:val="left" w:pos="851"/>
        </w:tabs>
        <w:ind w:left="851"/>
        <w:rPr>
          <w:sz w:val="24"/>
          <w:szCs w:val="24"/>
        </w:rPr>
      </w:pPr>
      <w:r w:rsidRPr="003F75F9">
        <w:rPr>
          <w:sz w:val="24"/>
          <w:szCs w:val="24"/>
        </w:rPr>
        <w:t>Der var ingen interaktion ved samtidig administration af antacida.</w:t>
      </w:r>
    </w:p>
    <w:p w14:paraId="21CABDFA" w14:textId="77777777" w:rsidR="003F75F9" w:rsidRPr="003F75F9" w:rsidRDefault="003F75F9" w:rsidP="003F75F9">
      <w:pPr>
        <w:tabs>
          <w:tab w:val="left" w:pos="851"/>
        </w:tabs>
        <w:ind w:left="851"/>
        <w:rPr>
          <w:sz w:val="24"/>
          <w:szCs w:val="24"/>
        </w:rPr>
      </w:pPr>
      <w:r w:rsidRPr="003F75F9">
        <w:rPr>
          <w:sz w:val="24"/>
          <w:szCs w:val="24"/>
        </w:rPr>
        <w:tab/>
      </w:r>
    </w:p>
    <w:p w14:paraId="79E6D517" w14:textId="7A9A4DE1" w:rsidR="003F75F9" w:rsidRPr="003F75F9" w:rsidRDefault="003F75F9" w:rsidP="003F75F9">
      <w:pPr>
        <w:tabs>
          <w:tab w:val="left" w:pos="851"/>
        </w:tabs>
        <w:ind w:left="851"/>
        <w:rPr>
          <w:sz w:val="24"/>
          <w:szCs w:val="24"/>
        </w:rPr>
      </w:pPr>
      <w:r w:rsidRPr="003F75F9">
        <w:rPr>
          <w:sz w:val="24"/>
          <w:szCs w:val="24"/>
        </w:rPr>
        <w:t>Interaktionsstudier er også gennemført med samtidig administration af pantoprazol og de respektive antibiotika (clarithromycin, metronidazol og amoxicillin). Der blev ikke fundet klinisk relevante interaktioner.</w:t>
      </w:r>
    </w:p>
    <w:p w14:paraId="2789D92E" w14:textId="77777777" w:rsidR="003F75F9" w:rsidRPr="003F75F9" w:rsidRDefault="003F75F9" w:rsidP="003F75F9">
      <w:pPr>
        <w:tabs>
          <w:tab w:val="left" w:pos="851"/>
        </w:tabs>
        <w:ind w:left="851"/>
        <w:rPr>
          <w:sz w:val="24"/>
          <w:szCs w:val="24"/>
        </w:rPr>
      </w:pPr>
    </w:p>
    <w:p w14:paraId="6E5D7D12" w14:textId="0CAAA4CE" w:rsidR="003F75F9" w:rsidRPr="003F75F9" w:rsidRDefault="003F75F9" w:rsidP="003F75F9">
      <w:pPr>
        <w:tabs>
          <w:tab w:val="left" w:pos="851"/>
        </w:tabs>
        <w:ind w:left="851"/>
        <w:rPr>
          <w:sz w:val="24"/>
          <w:szCs w:val="24"/>
          <w:u w:val="single"/>
        </w:rPr>
      </w:pPr>
      <w:r w:rsidRPr="003F75F9">
        <w:rPr>
          <w:sz w:val="24"/>
          <w:szCs w:val="24"/>
          <w:u w:val="single"/>
        </w:rPr>
        <w:t>Lægemidler der hæmmer eller inducerer CYP2C19</w:t>
      </w:r>
    </w:p>
    <w:p w14:paraId="139400B2" w14:textId="09813441" w:rsidR="003F75F9" w:rsidRPr="003F75F9" w:rsidRDefault="003F75F9" w:rsidP="003F75F9">
      <w:pPr>
        <w:tabs>
          <w:tab w:val="left" w:pos="851"/>
        </w:tabs>
        <w:ind w:left="851"/>
        <w:rPr>
          <w:sz w:val="24"/>
          <w:szCs w:val="24"/>
        </w:rPr>
      </w:pPr>
      <w:r w:rsidRPr="003F75F9">
        <w:rPr>
          <w:sz w:val="24"/>
          <w:szCs w:val="24"/>
        </w:rPr>
        <w:t>Hæmmere af CYP2C19, såsom fluvoxamin, kan øge den systemiske eksponering af pantoprazol. En reduktion af dosis kan overvejes til patienter, der er i langvarig behandling med høje doser af pantoprazol, eller har nedsat leverfunktion.</w:t>
      </w:r>
    </w:p>
    <w:p w14:paraId="2FEB6888" w14:textId="77777777" w:rsidR="003F75F9" w:rsidRPr="003F75F9" w:rsidRDefault="003F75F9" w:rsidP="003F75F9">
      <w:pPr>
        <w:tabs>
          <w:tab w:val="left" w:pos="851"/>
        </w:tabs>
        <w:ind w:left="851"/>
        <w:rPr>
          <w:sz w:val="24"/>
          <w:szCs w:val="24"/>
        </w:rPr>
      </w:pPr>
    </w:p>
    <w:p w14:paraId="75160843" w14:textId="77777777" w:rsidR="003F75F9" w:rsidRPr="003F75F9" w:rsidRDefault="003F75F9" w:rsidP="003F75F9">
      <w:pPr>
        <w:tabs>
          <w:tab w:val="left" w:pos="851"/>
        </w:tabs>
        <w:ind w:left="851"/>
        <w:rPr>
          <w:sz w:val="24"/>
          <w:szCs w:val="24"/>
        </w:rPr>
      </w:pPr>
      <w:r w:rsidRPr="003F75F9">
        <w:rPr>
          <w:sz w:val="24"/>
          <w:szCs w:val="24"/>
        </w:rPr>
        <w:t>Enzyminducere, der påvirker CYP2C19 og CYP3A4, såsom rifampicin og prikbladet perikum (</w:t>
      </w:r>
      <w:r w:rsidRPr="003F75F9">
        <w:rPr>
          <w:i/>
          <w:sz w:val="24"/>
          <w:szCs w:val="24"/>
        </w:rPr>
        <w:t>Hypericum perforatum</w:t>
      </w:r>
      <w:r w:rsidRPr="003F75F9">
        <w:rPr>
          <w:sz w:val="24"/>
          <w:szCs w:val="24"/>
        </w:rPr>
        <w:t>) kan reducere plasmakoncentrationerne af PPI, der metaboliseres via disse enzymsystemer.</w:t>
      </w:r>
    </w:p>
    <w:p w14:paraId="6947F0E4" w14:textId="77777777" w:rsidR="003F75F9" w:rsidRPr="003F75F9" w:rsidRDefault="003F75F9" w:rsidP="003F75F9">
      <w:pPr>
        <w:tabs>
          <w:tab w:val="left" w:pos="851"/>
        </w:tabs>
        <w:ind w:left="851"/>
        <w:rPr>
          <w:sz w:val="24"/>
          <w:szCs w:val="24"/>
        </w:rPr>
      </w:pPr>
    </w:p>
    <w:p w14:paraId="07F15317" w14:textId="3CBE44AE" w:rsidR="003F75F9" w:rsidRPr="003F75F9" w:rsidRDefault="003F75F9" w:rsidP="003F75F9">
      <w:pPr>
        <w:tabs>
          <w:tab w:val="left" w:pos="851"/>
        </w:tabs>
        <w:ind w:left="851"/>
        <w:rPr>
          <w:sz w:val="24"/>
          <w:szCs w:val="24"/>
          <w:u w:val="single"/>
        </w:rPr>
      </w:pPr>
      <w:r w:rsidRPr="003F75F9">
        <w:rPr>
          <w:sz w:val="24"/>
          <w:szCs w:val="24"/>
          <w:u w:val="single"/>
        </w:rPr>
        <w:t>Interaktioner med lægemiddel-laboratorietests</w:t>
      </w:r>
    </w:p>
    <w:p w14:paraId="500D6149" w14:textId="6A5DA159" w:rsidR="003F75F9" w:rsidRPr="003F75F9" w:rsidRDefault="003F75F9" w:rsidP="003F75F9">
      <w:pPr>
        <w:tabs>
          <w:tab w:val="left" w:pos="851"/>
        </w:tabs>
        <w:ind w:left="851"/>
        <w:rPr>
          <w:sz w:val="24"/>
          <w:szCs w:val="24"/>
        </w:rPr>
      </w:pPr>
      <w:r w:rsidRPr="003F75F9">
        <w:rPr>
          <w:sz w:val="24"/>
          <w:szCs w:val="24"/>
        </w:rPr>
        <w:t>Der er rapporteret falsk-positive resultater af nogle urinscreeningtests for tetrahydrocan-nabinol (THC) hos patienter, der fik pantoprazol. Der bør overvejes en alternativ metode til at verificere positive resultater.</w:t>
      </w:r>
    </w:p>
    <w:p w14:paraId="70A2BD84" w14:textId="77777777" w:rsidR="009260DE" w:rsidRPr="00C84483" w:rsidRDefault="009260DE" w:rsidP="009260DE">
      <w:pPr>
        <w:tabs>
          <w:tab w:val="left" w:pos="851"/>
        </w:tabs>
        <w:ind w:left="851"/>
        <w:rPr>
          <w:sz w:val="24"/>
          <w:szCs w:val="24"/>
        </w:rPr>
      </w:pPr>
    </w:p>
    <w:p w14:paraId="2E4D711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213AD88" w14:textId="77777777" w:rsidR="00BA1D34" w:rsidRDefault="00BA1D34" w:rsidP="00BA1D34">
      <w:pPr>
        <w:tabs>
          <w:tab w:val="left" w:pos="851"/>
        </w:tabs>
        <w:ind w:left="851"/>
        <w:rPr>
          <w:sz w:val="24"/>
          <w:szCs w:val="24"/>
          <w:u w:val="single"/>
        </w:rPr>
      </w:pPr>
    </w:p>
    <w:p w14:paraId="76DE3169" w14:textId="59F90A79" w:rsidR="00BA1D34" w:rsidRPr="00BA1D34" w:rsidRDefault="00BA1D34" w:rsidP="00BA1D34">
      <w:pPr>
        <w:tabs>
          <w:tab w:val="left" w:pos="851"/>
        </w:tabs>
        <w:ind w:left="851"/>
        <w:rPr>
          <w:sz w:val="24"/>
          <w:szCs w:val="24"/>
          <w:u w:val="single"/>
        </w:rPr>
      </w:pPr>
      <w:r w:rsidRPr="00BA1D34">
        <w:rPr>
          <w:sz w:val="24"/>
          <w:szCs w:val="24"/>
          <w:u w:val="single"/>
        </w:rPr>
        <w:t>Graviditet</w:t>
      </w:r>
    </w:p>
    <w:p w14:paraId="451A6DFF" w14:textId="77777777" w:rsidR="00BA1D34" w:rsidRPr="00BA1D34" w:rsidRDefault="00BA1D34" w:rsidP="00BA1D34">
      <w:pPr>
        <w:tabs>
          <w:tab w:val="left" w:pos="851"/>
        </w:tabs>
        <w:ind w:left="851"/>
        <w:rPr>
          <w:sz w:val="24"/>
          <w:szCs w:val="24"/>
        </w:rPr>
      </w:pPr>
      <w:r w:rsidRPr="00BA1D34">
        <w:rPr>
          <w:sz w:val="24"/>
          <w:szCs w:val="24"/>
        </w:rPr>
        <w:t xml:space="preserve">En moderat mængde data om gravide kvinder (mellem 300-1000 graviditeter) indikerer ingen misdannelser eller føtal/neonatal toksicitet af pantoprazol. </w:t>
      </w:r>
    </w:p>
    <w:p w14:paraId="21FABC5C" w14:textId="77777777" w:rsidR="00BA1D34" w:rsidRPr="00BA1D34" w:rsidRDefault="00BA1D34" w:rsidP="00BA1D34">
      <w:pPr>
        <w:tabs>
          <w:tab w:val="left" w:pos="851"/>
        </w:tabs>
        <w:ind w:left="851"/>
        <w:rPr>
          <w:sz w:val="24"/>
          <w:szCs w:val="24"/>
        </w:rPr>
      </w:pPr>
      <w:r w:rsidRPr="00BA1D34">
        <w:rPr>
          <w:sz w:val="24"/>
          <w:szCs w:val="24"/>
        </w:rPr>
        <w:t xml:space="preserve">Dyreforsøg har vist reproduktionstoksicitet (se pkt. 5.3). </w:t>
      </w:r>
    </w:p>
    <w:p w14:paraId="2B18DE67" w14:textId="77777777" w:rsidR="00BA1D34" w:rsidRPr="00BA1D34" w:rsidRDefault="00BA1D34" w:rsidP="00BA1D34">
      <w:pPr>
        <w:tabs>
          <w:tab w:val="left" w:pos="851"/>
        </w:tabs>
        <w:ind w:left="851"/>
        <w:rPr>
          <w:sz w:val="24"/>
          <w:szCs w:val="24"/>
        </w:rPr>
      </w:pPr>
      <w:r w:rsidRPr="00BA1D34">
        <w:rPr>
          <w:sz w:val="24"/>
          <w:szCs w:val="24"/>
        </w:rPr>
        <w:t xml:space="preserve">Som sikkerhedsforanstaltning, er det at foretrække at undgå brug af Pantoprazol "SUN Pharma" under graviditet. </w:t>
      </w:r>
    </w:p>
    <w:p w14:paraId="7418EC1B" w14:textId="77777777" w:rsidR="00BA1D34" w:rsidRPr="00BA1D34" w:rsidRDefault="00BA1D34" w:rsidP="00BA1D34">
      <w:pPr>
        <w:tabs>
          <w:tab w:val="left" w:pos="851"/>
        </w:tabs>
        <w:ind w:left="851"/>
        <w:rPr>
          <w:sz w:val="24"/>
          <w:szCs w:val="24"/>
        </w:rPr>
      </w:pPr>
    </w:p>
    <w:p w14:paraId="7B26CE14" w14:textId="77777777" w:rsidR="00BA1D34" w:rsidRPr="00BA1D34" w:rsidRDefault="00BA1D34" w:rsidP="00BA1D34">
      <w:pPr>
        <w:tabs>
          <w:tab w:val="left" w:pos="851"/>
        </w:tabs>
        <w:ind w:left="851"/>
        <w:rPr>
          <w:sz w:val="24"/>
          <w:szCs w:val="24"/>
          <w:u w:val="single"/>
        </w:rPr>
      </w:pPr>
      <w:r w:rsidRPr="00BA1D34">
        <w:rPr>
          <w:sz w:val="24"/>
          <w:szCs w:val="24"/>
          <w:u w:val="single"/>
        </w:rPr>
        <w:lastRenderedPageBreak/>
        <w:t>Amning</w:t>
      </w:r>
    </w:p>
    <w:p w14:paraId="1ABCC24A" w14:textId="77777777" w:rsidR="00BA1D34" w:rsidRPr="00BA1D34" w:rsidRDefault="00BA1D34" w:rsidP="00BA1D34">
      <w:pPr>
        <w:tabs>
          <w:tab w:val="left" w:pos="851"/>
        </w:tabs>
        <w:ind w:left="851"/>
        <w:rPr>
          <w:sz w:val="24"/>
          <w:szCs w:val="24"/>
        </w:rPr>
      </w:pPr>
      <w:r w:rsidRPr="00BA1D34">
        <w:rPr>
          <w:sz w:val="24"/>
          <w:szCs w:val="24"/>
        </w:rPr>
        <w:t xml:space="preserve">Dyreforsøg har vist, at pantoprazol udskilles i brystmælk. Der er utilstrækkelig information om udskillelse af pantoprazol i human modermælk,  men udskillelse af pantoprazol i human modermælk er blevet rapporteret. En risiko for nyfødte/spædbørn kan ikke udelukkes. Beslutningen om enten at afslutte amning eller at afslutte/afstå fra Pantoprazol "SUN Pharma" behandling, skal vurderes ved at opgøre fordelen ved amning for barnet overfor fordelen af Pantoprazol "SUN Pharma"-behandling for kvinden. </w:t>
      </w:r>
    </w:p>
    <w:p w14:paraId="56764F72" w14:textId="77777777" w:rsidR="00BA1D34" w:rsidRPr="00BA1D34" w:rsidRDefault="00BA1D34" w:rsidP="00BA1D34">
      <w:pPr>
        <w:tabs>
          <w:tab w:val="left" w:pos="851"/>
        </w:tabs>
        <w:ind w:left="851"/>
        <w:rPr>
          <w:sz w:val="24"/>
          <w:szCs w:val="24"/>
        </w:rPr>
      </w:pPr>
    </w:p>
    <w:p w14:paraId="13D2BBF5" w14:textId="77777777" w:rsidR="00BA1D34" w:rsidRPr="00BA1D34" w:rsidRDefault="00BA1D34" w:rsidP="00BA1D34">
      <w:pPr>
        <w:tabs>
          <w:tab w:val="left" w:pos="851"/>
        </w:tabs>
        <w:ind w:left="851"/>
        <w:rPr>
          <w:sz w:val="24"/>
          <w:szCs w:val="24"/>
          <w:u w:val="single"/>
        </w:rPr>
      </w:pPr>
      <w:r w:rsidRPr="00BA1D34">
        <w:rPr>
          <w:sz w:val="24"/>
          <w:szCs w:val="24"/>
          <w:u w:val="single"/>
        </w:rPr>
        <w:t>Fertilitet</w:t>
      </w:r>
    </w:p>
    <w:p w14:paraId="16815CEE" w14:textId="77777777" w:rsidR="00BA1D34" w:rsidRPr="00BA1D34" w:rsidRDefault="00BA1D34" w:rsidP="00BA1D34">
      <w:pPr>
        <w:tabs>
          <w:tab w:val="left" w:pos="851"/>
        </w:tabs>
        <w:ind w:left="851"/>
        <w:rPr>
          <w:i/>
          <w:sz w:val="24"/>
          <w:szCs w:val="24"/>
          <w:u w:val="single"/>
        </w:rPr>
      </w:pPr>
      <w:r w:rsidRPr="00BA1D34">
        <w:rPr>
          <w:sz w:val="24"/>
          <w:szCs w:val="24"/>
        </w:rPr>
        <w:t>Der var ingen tegn på nedsat fertilitet efter administration af pantoprazol i dyreforsøg (se pkt. 5.3).</w:t>
      </w:r>
    </w:p>
    <w:p w14:paraId="23C44322" w14:textId="77777777" w:rsidR="009260DE" w:rsidRPr="00C84483" w:rsidRDefault="009260DE" w:rsidP="009260DE">
      <w:pPr>
        <w:tabs>
          <w:tab w:val="left" w:pos="851"/>
        </w:tabs>
        <w:ind w:left="851"/>
        <w:rPr>
          <w:sz w:val="24"/>
          <w:szCs w:val="24"/>
        </w:rPr>
      </w:pPr>
    </w:p>
    <w:p w14:paraId="3B50351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DD7F37D" w14:textId="77777777" w:rsidR="00932645" w:rsidRPr="00932645" w:rsidRDefault="00932645" w:rsidP="00932645">
      <w:pPr>
        <w:tabs>
          <w:tab w:val="left" w:pos="851"/>
        </w:tabs>
        <w:ind w:left="851"/>
        <w:rPr>
          <w:sz w:val="24"/>
          <w:szCs w:val="24"/>
        </w:rPr>
      </w:pPr>
      <w:r w:rsidRPr="00932645">
        <w:rPr>
          <w:sz w:val="24"/>
          <w:szCs w:val="24"/>
        </w:rPr>
        <w:t>Ikke mærkning.</w:t>
      </w:r>
    </w:p>
    <w:p w14:paraId="60A5010A" w14:textId="77777777" w:rsidR="00932645" w:rsidRPr="00932645" w:rsidRDefault="00932645" w:rsidP="00932645">
      <w:pPr>
        <w:tabs>
          <w:tab w:val="left" w:pos="851"/>
        </w:tabs>
        <w:ind w:left="851"/>
        <w:rPr>
          <w:sz w:val="24"/>
          <w:szCs w:val="24"/>
        </w:rPr>
      </w:pPr>
      <w:r w:rsidRPr="00932645">
        <w:rPr>
          <w:sz w:val="24"/>
          <w:szCs w:val="24"/>
        </w:rPr>
        <w:t>Pantoprazol "SUN Pharma" påvirker ikke eller kun i ubetydelig grad evnen til at føre motorkøretøj og betjene maskiner. Bivirkninger som svimmelhed og uskarpt syn kan dog forekomme (se pkt. 4.8). I så tilfælde bør patienten ikke føre motorkøretøj eller betjene maskiner</w:t>
      </w:r>
    </w:p>
    <w:p w14:paraId="4CBF56A6" w14:textId="77777777" w:rsidR="009260DE" w:rsidRPr="00C84483" w:rsidRDefault="009260DE" w:rsidP="009260DE">
      <w:pPr>
        <w:tabs>
          <w:tab w:val="left" w:pos="851"/>
        </w:tabs>
        <w:ind w:left="851"/>
        <w:rPr>
          <w:sz w:val="24"/>
          <w:szCs w:val="24"/>
        </w:rPr>
      </w:pPr>
    </w:p>
    <w:p w14:paraId="636BFB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40BB9EB" w14:textId="77777777" w:rsidR="001A7A27" w:rsidRPr="001A7A27" w:rsidRDefault="001A7A27" w:rsidP="001A7A27">
      <w:pPr>
        <w:tabs>
          <w:tab w:val="left" w:pos="851"/>
        </w:tabs>
        <w:ind w:left="851"/>
        <w:rPr>
          <w:sz w:val="24"/>
          <w:szCs w:val="24"/>
        </w:rPr>
      </w:pPr>
      <w:r w:rsidRPr="001A7A27">
        <w:rPr>
          <w:sz w:val="24"/>
          <w:szCs w:val="24"/>
        </w:rPr>
        <w:t xml:space="preserve">Det forventes, at der i gennemsnit er 5 % af patienterne, som oplever bivirkninger. </w:t>
      </w:r>
    </w:p>
    <w:p w14:paraId="30E852CD" w14:textId="77777777" w:rsidR="001A7A27" w:rsidRPr="001A7A27" w:rsidRDefault="001A7A27" w:rsidP="001A7A27">
      <w:pPr>
        <w:tabs>
          <w:tab w:val="left" w:pos="851"/>
        </w:tabs>
        <w:ind w:left="851"/>
        <w:rPr>
          <w:sz w:val="24"/>
          <w:szCs w:val="24"/>
        </w:rPr>
      </w:pPr>
    </w:p>
    <w:p w14:paraId="5BBD4190" w14:textId="77777777" w:rsidR="001A7A27" w:rsidRPr="001A7A27" w:rsidRDefault="001A7A27" w:rsidP="001A7A27">
      <w:pPr>
        <w:tabs>
          <w:tab w:val="left" w:pos="851"/>
        </w:tabs>
        <w:ind w:left="851"/>
        <w:rPr>
          <w:sz w:val="24"/>
          <w:szCs w:val="24"/>
        </w:rPr>
      </w:pPr>
      <w:r w:rsidRPr="001A7A27">
        <w:rPr>
          <w:sz w:val="24"/>
          <w:szCs w:val="24"/>
        </w:rPr>
        <w:t>I nedenstående tabel er bivirkninger rapporteret ved brug af pantoprazol ordnet efter følgende frekvensklassifikation:</w:t>
      </w:r>
    </w:p>
    <w:p w14:paraId="068908E8" w14:textId="77777777" w:rsidR="001A7A27" w:rsidRPr="001A7A27" w:rsidRDefault="001A7A27" w:rsidP="001A7A27">
      <w:pPr>
        <w:tabs>
          <w:tab w:val="left" w:pos="851"/>
        </w:tabs>
        <w:ind w:left="851"/>
        <w:rPr>
          <w:sz w:val="24"/>
          <w:szCs w:val="24"/>
        </w:rPr>
      </w:pPr>
    </w:p>
    <w:p w14:paraId="52276CB8" w14:textId="77777777" w:rsidR="001A7A27" w:rsidRPr="001A7A27" w:rsidRDefault="001A7A27" w:rsidP="001A7A27">
      <w:pPr>
        <w:tabs>
          <w:tab w:val="left" w:pos="851"/>
        </w:tabs>
        <w:ind w:left="851"/>
        <w:rPr>
          <w:sz w:val="24"/>
          <w:szCs w:val="24"/>
        </w:rPr>
      </w:pPr>
      <w:r w:rsidRPr="001A7A27">
        <w:rPr>
          <w:sz w:val="24"/>
          <w:szCs w:val="24"/>
        </w:rPr>
        <w:t>Meget almindelig (≥1/10); almindelig (≥1/100 til &lt;1/10); ikke almindelig (≥1/1.000 til &lt; 1/100); sjælden (≥1/10.000 til &lt;1/1.000); meget sjælden (&lt;1/10.000), ikke kendt (kan ikke estimeres ud fra forhåndenværende data).</w:t>
      </w:r>
    </w:p>
    <w:p w14:paraId="4D82B0C6" w14:textId="77777777" w:rsidR="001A7A27" w:rsidRPr="001A7A27" w:rsidRDefault="001A7A27" w:rsidP="001A7A27">
      <w:pPr>
        <w:tabs>
          <w:tab w:val="left" w:pos="851"/>
        </w:tabs>
        <w:ind w:left="851"/>
        <w:rPr>
          <w:sz w:val="24"/>
          <w:szCs w:val="24"/>
        </w:rPr>
      </w:pPr>
      <w:r w:rsidRPr="001A7A27">
        <w:rPr>
          <w:sz w:val="24"/>
          <w:szCs w:val="24"/>
        </w:rPr>
        <w:t>Inden for hver frekvensgruppe er bivirkningerne opstillet efter faldende alvorlighed.</w:t>
      </w:r>
    </w:p>
    <w:p w14:paraId="29C48548" w14:textId="77777777" w:rsidR="001A7A27" w:rsidRPr="001A7A27" w:rsidRDefault="001A7A27" w:rsidP="001A7A27">
      <w:pPr>
        <w:tabs>
          <w:tab w:val="left" w:pos="851"/>
        </w:tabs>
        <w:ind w:left="851"/>
        <w:rPr>
          <w:sz w:val="24"/>
          <w:szCs w:val="24"/>
        </w:rPr>
      </w:pPr>
    </w:p>
    <w:p w14:paraId="21AFA872" w14:textId="6C7E8FFB" w:rsidR="009260DE" w:rsidRDefault="001A7A27" w:rsidP="001A7A27">
      <w:pPr>
        <w:tabs>
          <w:tab w:val="left" w:pos="851"/>
        </w:tabs>
        <w:ind w:left="851"/>
        <w:rPr>
          <w:sz w:val="24"/>
          <w:szCs w:val="24"/>
        </w:rPr>
      </w:pPr>
      <w:r w:rsidRPr="001A7A27">
        <w:rPr>
          <w:sz w:val="24"/>
          <w:szCs w:val="24"/>
        </w:rPr>
        <w:t xml:space="preserve">Tabel 1. Bivirkninger, der er observeret ved brug af pantoprazol i kliniske studier og efter markedsføringen. </w:t>
      </w:r>
      <w:r w:rsidRPr="001A7A27">
        <w:rPr>
          <w:sz w:val="24"/>
          <w:szCs w:val="24"/>
        </w:rPr>
        <w:br/>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47"/>
        <w:gridCol w:w="1495"/>
        <w:gridCol w:w="1905"/>
        <w:gridCol w:w="1838"/>
        <w:gridCol w:w="1698"/>
        <w:gridCol w:w="1729"/>
      </w:tblGrid>
      <w:tr w:rsidR="001A7A27" w14:paraId="6D842AE6" w14:textId="77777777" w:rsidTr="00E02589">
        <w:trPr>
          <w:tblHeader/>
          <w:jc w:val="center"/>
        </w:trPr>
        <w:tc>
          <w:tcPr>
            <w:tcW w:w="2388" w:type="dxa"/>
            <w:tcBorders>
              <w:top w:val="single" w:sz="4" w:space="0" w:color="auto"/>
              <w:left w:val="single" w:sz="4" w:space="0" w:color="auto"/>
              <w:bottom w:val="single" w:sz="4" w:space="0" w:color="auto"/>
              <w:right w:val="single" w:sz="4" w:space="0" w:color="auto"/>
              <w:tl2br w:val="single" w:sz="4" w:space="0" w:color="auto"/>
            </w:tcBorders>
          </w:tcPr>
          <w:p w14:paraId="6BB0EA2F" w14:textId="77777777" w:rsidR="001A7A27" w:rsidRDefault="001A7A27" w:rsidP="00E02589">
            <w:pPr>
              <w:ind w:right="-404"/>
              <w:rPr>
                <w:b/>
                <w:bCs/>
                <w:noProof/>
                <w:sz w:val="22"/>
                <w:szCs w:val="22"/>
              </w:rPr>
            </w:pPr>
            <w:r>
              <w:rPr>
                <w:b/>
                <w:bCs/>
                <w:noProof/>
                <w:sz w:val="22"/>
                <w:szCs w:val="22"/>
              </w:rPr>
              <w:tab/>
              <w:t>Frekvens</w:t>
            </w:r>
          </w:p>
          <w:p w14:paraId="7D14FE36" w14:textId="77777777" w:rsidR="001A7A27" w:rsidRDefault="001A7A27" w:rsidP="00E02589">
            <w:pPr>
              <w:ind w:right="-404"/>
              <w:rPr>
                <w:b/>
                <w:bCs/>
                <w:noProof/>
                <w:sz w:val="22"/>
                <w:szCs w:val="22"/>
              </w:rPr>
            </w:pPr>
          </w:p>
          <w:p w14:paraId="2969689C" w14:textId="77777777" w:rsidR="001A7A27" w:rsidRDefault="001A7A27" w:rsidP="00E02589">
            <w:pPr>
              <w:ind w:right="-404"/>
              <w:rPr>
                <w:noProof/>
                <w:sz w:val="22"/>
                <w:szCs w:val="22"/>
              </w:rPr>
            </w:pPr>
            <w:r>
              <w:rPr>
                <w:b/>
                <w:bCs/>
                <w:noProof/>
                <w:sz w:val="22"/>
                <w:szCs w:val="22"/>
              </w:rPr>
              <w:t>Organsystem</w:t>
            </w:r>
          </w:p>
        </w:tc>
        <w:tc>
          <w:tcPr>
            <w:tcW w:w="1293" w:type="dxa"/>
            <w:tcBorders>
              <w:top w:val="single" w:sz="4" w:space="0" w:color="auto"/>
              <w:left w:val="single" w:sz="4" w:space="0" w:color="auto"/>
              <w:bottom w:val="single" w:sz="4" w:space="0" w:color="auto"/>
              <w:right w:val="single" w:sz="4" w:space="0" w:color="auto"/>
            </w:tcBorders>
            <w:hideMark/>
          </w:tcPr>
          <w:p w14:paraId="4BDF006A" w14:textId="77777777" w:rsidR="001A7A27" w:rsidRDefault="001A7A27" w:rsidP="00E02589">
            <w:pPr>
              <w:ind w:right="-231"/>
              <w:rPr>
                <w:b/>
                <w:bCs/>
                <w:noProof/>
                <w:sz w:val="22"/>
                <w:szCs w:val="22"/>
              </w:rPr>
            </w:pPr>
            <w:r>
              <w:rPr>
                <w:b/>
                <w:bCs/>
                <w:noProof/>
                <w:sz w:val="22"/>
                <w:szCs w:val="22"/>
              </w:rPr>
              <w:t>Almindelig</w:t>
            </w:r>
          </w:p>
        </w:tc>
        <w:tc>
          <w:tcPr>
            <w:tcW w:w="1946" w:type="dxa"/>
            <w:tcBorders>
              <w:top w:val="single" w:sz="4" w:space="0" w:color="auto"/>
              <w:left w:val="single" w:sz="4" w:space="0" w:color="auto"/>
              <w:bottom w:val="single" w:sz="4" w:space="0" w:color="auto"/>
              <w:right w:val="single" w:sz="4" w:space="0" w:color="auto"/>
            </w:tcBorders>
            <w:hideMark/>
          </w:tcPr>
          <w:p w14:paraId="451FB0E2" w14:textId="77777777" w:rsidR="001A7A27" w:rsidRDefault="001A7A27" w:rsidP="00CF024A">
            <w:pPr>
              <w:rPr>
                <w:noProof/>
                <w:sz w:val="22"/>
                <w:szCs w:val="22"/>
              </w:rPr>
            </w:pPr>
            <w:r>
              <w:rPr>
                <w:b/>
                <w:bCs/>
                <w:noProof/>
                <w:sz w:val="22"/>
                <w:szCs w:val="22"/>
              </w:rPr>
              <w:t>Ikke almindelig</w:t>
            </w:r>
          </w:p>
        </w:tc>
        <w:tc>
          <w:tcPr>
            <w:tcW w:w="1878" w:type="dxa"/>
            <w:tcBorders>
              <w:top w:val="single" w:sz="4" w:space="0" w:color="auto"/>
              <w:left w:val="single" w:sz="4" w:space="0" w:color="auto"/>
              <w:bottom w:val="single" w:sz="4" w:space="0" w:color="auto"/>
              <w:right w:val="single" w:sz="4" w:space="0" w:color="auto"/>
            </w:tcBorders>
            <w:hideMark/>
          </w:tcPr>
          <w:p w14:paraId="6BD1A7CA" w14:textId="77777777" w:rsidR="001A7A27" w:rsidRDefault="001A7A27" w:rsidP="00CF024A">
            <w:pPr>
              <w:rPr>
                <w:noProof/>
                <w:sz w:val="22"/>
                <w:szCs w:val="22"/>
              </w:rPr>
            </w:pPr>
            <w:r>
              <w:rPr>
                <w:b/>
                <w:bCs/>
                <w:noProof/>
                <w:sz w:val="22"/>
                <w:szCs w:val="22"/>
              </w:rPr>
              <w:t>Sjælden</w:t>
            </w:r>
          </w:p>
        </w:tc>
        <w:tc>
          <w:tcPr>
            <w:tcW w:w="1738" w:type="dxa"/>
            <w:tcBorders>
              <w:top w:val="single" w:sz="4" w:space="0" w:color="auto"/>
              <w:left w:val="single" w:sz="4" w:space="0" w:color="auto"/>
              <w:bottom w:val="single" w:sz="4" w:space="0" w:color="auto"/>
              <w:right w:val="single" w:sz="4" w:space="0" w:color="auto"/>
            </w:tcBorders>
            <w:hideMark/>
          </w:tcPr>
          <w:p w14:paraId="651EDA7B" w14:textId="77777777" w:rsidR="001A7A27" w:rsidRDefault="001A7A27" w:rsidP="00CF024A">
            <w:pPr>
              <w:rPr>
                <w:noProof/>
                <w:sz w:val="22"/>
                <w:szCs w:val="22"/>
              </w:rPr>
            </w:pPr>
            <w:r>
              <w:rPr>
                <w:b/>
                <w:bCs/>
                <w:noProof/>
                <w:sz w:val="22"/>
                <w:szCs w:val="22"/>
              </w:rPr>
              <w:t>Meget sjælden</w:t>
            </w:r>
          </w:p>
        </w:tc>
        <w:tc>
          <w:tcPr>
            <w:tcW w:w="1769" w:type="dxa"/>
            <w:tcBorders>
              <w:top w:val="single" w:sz="4" w:space="0" w:color="auto"/>
              <w:left w:val="single" w:sz="4" w:space="0" w:color="auto"/>
              <w:bottom w:val="single" w:sz="4" w:space="0" w:color="auto"/>
              <w:right w:val="single" w:sz="4" w:space="0" w:color="auto"/>
            </w:tcBorders>
            <w:hideMark/>
          </w:tcPr>
          <w:p w14:paraId="6BB08250" w14:textId="77777777" w:rsidR="001A7A27" w:rsidRDefault="001A7A27" w:rsidP="00CF024A">
            <w:pPr>
              <w:rPr>
                <w:noProof/>
                <w:sz w:val="22"/>
                <w:szCs w:val="22"/>
              </w:rPr>
            </w:pPr>
            <w:r>
              <w:rPr>
                <w:b/>
                <w:bCs/>
                <w:noProof/>
                <w:sz w:val="22"/>
                <w:szCs w:val="22"/>
              </w:rPr>
              <w:t>Ikke kendt</w:t>
            </w:r>
          </w:p>
        </w:tc>
      </w:tr>
      <w:tr w:rsidR="001A7A27" w14:paraId="7E1C7F56"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026EB2DE" w14:textId="77777777" w:rsidR="001A7A27" w:rsidRDefault="001A7A27" w:rsidP="00E02589">
            <w:pPr>
              <w:ind w:right="-404"/>
              <w:rPr>
                <w:noProof/>
                <w:sz w:val="22"/>
                <w:szCs w:val="22"/>
              </w:rPr>
            </w:pPr>
            <w:r>
              <w:rPr>
                <w:noProof/>
                <w:sz w:val="22"/>
                <w:szCs w:val="22"/>
              </w:rPr>
              <w:t>Blod og lymfesystem</w:t>
            </w:r>
          </w:p>
        </w:tc>
        <w:tc>
          <w:tcPr>
            <w:tcW w:w="1293" w:type="dxa"/>
            <w:tcBorders>
              <w:top w:val="single" w:sz="4" w:space="0" w:color="auto"/>
              <w:left w:val="single" w:sz="4" w:space="0" w:color="auto"/>
              <w:bottom w:val="single" w:sz="4" w:space="0" w:color="auto"/>
              <w:right w:val="single" w:sz="4" w:space="0" w:color="auto"/>
            </w:tcBorders>
          </w:tcPr>
          <w:p w14:paraId="6BD0A51E"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3E5B7220"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hideMark/>
          </w:tcPr>
          <w:p w14:paraId="55361AB4" w14:textId="77777777" w:rsidR="001A7A27" w:rsidRDefault="001A7A27" w:rsidP="00CF024A">
            <w:pPr>
              <w:rPr>
                <w:noProof/>
                <w:sz w:val="22"/>
                <w:szCs w:val="22"/>
              </w:rPr>
            </w:pPr>
            <w:r>
              <w:rPr>
                <w:bCs/>
                <w:noProof/>
                <w:sz w:val="22"/>
                <w:szCs w:val="22"/>
              </w:rPr>
              <w:t>Agranulocytose</w:t>
            </w:r>
          </w:p>
        </w:tc>
        <w:tc>
          <w:tcPr>
            <w:tcW w:w="1738" w:type="dxa"/>
            <w:tcBorders>
              <w:top w:val="single" w:sz="4" w:space="0" w:color="auto"/>
              <w:left w:val="single" w:sz="4" w:space="0" w:color="auto"/>
              <w:bottom w:val="single" w:sz="4" w:space="0" w:color="auto"/>
              <w:right w:val="single" w:sz="4" w:space="0" w:color="auto"/>
            </w:tcBorders>
            <w:hideMark/>
          </w:tcPr>
          <w:p w14:paraId="17AB4682" w14:textId="77777777" w:rsidR="001A7A27" w:rsidRDefault="001A7A27" w:rsidP="00CF024A">
            <w:pPr>
              <w:rPr>
                <w:noProof/>
                <w:sz w:val="22"/>
                <w:szCs w:val="22"/>
              </w:rPr>
            </w:pPr>
            <w:r>
              <w:rPr>
                <w:noProof/>
                <w:sz w:val="22"/>
                <w:szCs w:val="22"/>
              </w:rPr>
              <w:t>Trombocytopeni, leukopeni, pancytopeni</w:t>
            </w:r>
          </w:p>
        </w:tc>
        <w:tc>
          <w:tcPr>
            <w:tcW w:w="1769" w:type="dxa"/>
            <w:tcBorders>
              <w:top w:val="single" w:sz="4" w:space="0" w:color="auto"/>
              <w:left w:val="single" w:sz="4" w:space="0" w:color="auto"/>
              <w:bottom w:val="single" w:sz="4" w:space="0" w:color="auto"/>
              <w:right w:val="single" w:sz="4" w:space="0" w:color="auto"/>
            </w:tcBorders>
          </w:tcPr>
          <w:p w14:paraId="20BC97E9" w14:textId="77777777" w:rsidR="001A7A27" w:rsidRDefault="001A7A27" w:rsidP="00CF024A">
            <w:pPr>
              <w:rPr>
                <w:noProof/>
                <w:sz w:val="22"/>
                <w:szCs w:val="22"/>
              </w:rPr>
            </w:pPr>
          </w:p>
        </w:tc>
      </w:tr>
      <w:tr w:rsidR="001A7A27" w14:paraId="20A2017A"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264E0134" w14:textId="77777777" w:rsidR="001A7A27" w:rsidRDefault="001A7A27" w:rsidP="00E02589">
            <w:pPr>
              <w:ind w:right="-404"/>
              <w:rPr>
                <w:noProof/>
                <w:sz w:val="22"/>
                <w:szCs w:val="22"/>
              </w:rPr>
            </w:pPr>
            <w:r>
              <w:rPr>
                <w:noProof/>
                <w:sz w:val="22"/>
                <w:szCs w:val="22"/>
              </w:rPr>
              <w:t>Immunsystemet</w:t>
            </w:r>
          </w:p>
        </w:tc>
        <w:tc>
          <w:tcPr>
            <w:tcW w:w="1293" w:type="dxa"/>
            <w:tcBorders>
              <w:top w:val="single" w:sz="4" w:space="0" w:color="auto"/>
              <w:left w:val="single" w:sz="4" w:space="0" w:color="auto"/>
              <w:bottom w:val="single" w:sz="4" w:space="0" w:color="auto"/>
              <w:right w:val="single" w:sz="4" w:space="0" w:color="auto"/>
            </w:tcBorders>
          </w:tcPr>
          <w:p w14:paraId="1990DE37"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65A9B1E7"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hideMark/>
          </w:tcPr>
          <w:p w14:paraId="3A1AE786" w14:textId="77777777" w:rsidR="001A7A27" w:rsidRDefault="001A7A27" w:rsidP="00CF024A">
            <w:pPr>
              <w:rPr>
                <w:noProof/>
                <w:sz w:val="22"/>
                <w:szCs w:val="22"/>
              </w:rPr>
            </w:pPr>
            <w:r>
              <w:rPr>
                <w:noProof/>
                <w:sz w:val="22"/>
                <w:szCs w:val="22"/>
              </w:rPr>
              <w:t>Hypersensitivitet  (inklusive anafylaktiske reaktioner og anafylaktisk chok)</w:t>
            </w:r>
          </w:p>
        </w:tc>
        <w:tc>
          <w:tcPr>
            <w:tcW w:w="1738" w:type="dxa"/>
            <w:tcBorders>
              <w:top w:val="single" w:sz="4" w:space="0" w:color="auto"/>
              <w:left w:val="single" w:sz="4" w:space="0" w:color="auto"/>
              <w:bottom w:val="single" w:sz="4" w:space="0" w:color="auto"/>
              <w:right w:val="single" w:sz="4" w:space="0" w:color="auto"/>
            </w:tcBorders>
          </w:tcPr>
          <w:p w14:paraId="3530DC24"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tcPr>
          <w:p w14:paraId="2E7A3077" w14:textId="77777777" w:rsidR="001A7A27" w:rsidRDefault="001A7A27" w:rsidP="00CF024A">
            <w:pPr>
              <w:rPr>
                <w:noProof/>
                <w:sz w:val="22"/>
                <w:szCs w:val="22"/>
              </w:rPr>
            </w:pPr>
          </w:p>
        </w:tc>
      </w:tr>
      <w:tr w:rsidR="001A7A27" w14:paraId="4640CA17"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021F5A4C" w14:textId="77777777" w:rsidR="001A7A27" w:rsidRDefault="001A7A27" w:rsidP="00E02589">
            <w:pPr>
              <w:ind w:right="-404"/>
              <w:rPr>
                <w:noProof/>
                <w:sz w:val="22"/>
                <w:szCs w:val="22"/>
              </w:rPr>
            </w:pPr>
            <w:r>
              <w:rPr>
                <w:noProof/>
                <w:sz w:val="22"/>
                <w:szCs w:val="22"/>
              </w:rPr>
              <w:t>Metabolisme og ernæring</w:t>
            </w:r>
          </w:p>
        </w:tc>
        <w:tc>
          <w:tcPr>
            <w:tcW w:w="1293" w:type="dxa"/>
            <w:tcBorders>
              <w:top w:val="single" w:sz="4" w:space="0" w:color="auto"/>
              <w:left w:val="single" w:sz="4" w:space="0" w:color="auto"/>
              <w:bottom w:val="single" w:sz="4" w:space="0" w:color="auto"/>
              <w:right w:val="single" w:sz="4" w:space="0" w:color="auto"/>
            </w:tcBorders>
          </w:tcPr>
          <w:p w14:paraId="07D7D933"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7EB426DC"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hideMark/>
          </w:tcPr>
          <w:p w14:paraId="6043B2A2" w14:textId="77777777" w:rsidR="001A7A27" w:rsidRDefault="001A7A27" w:rsidP="00CF024A">
            <w:pPr>
              <w:rPr>
                <w:noProof/>
                <w:sz w:val="22"/>
                <w:szCs w:val="22"/>
              </w:rPr>
            </w:pPr>
            <w:r>
              <w:rPr>
                <w:noProof/>
                <w:sz w:val="22"/>
                <w:szCs w:val="22"/>
              </w:rPr>
              <w:t>Hyperlipidæmi og forhøjede lipider (triglycerider, cholesterol), ændring i kropsvægt</w:t>
            </w:r>
          </w:p>
        </w:tc>
        <w:tc>
          <w:tcPr>
            <w:tcW w:w="1738" w:type="dxa"/>
            <w:tcBorders>
              <w:top w:val="single" w:sz="4" w:space="0" w:color="auto"/>
              <w:left w:val="single" w:sz="4" w:space="0" w:color="auto"/>
              <w:bottom w:val="single" w:sz="4" w:space="0" w:color="auto"/>
              <w:right w:val="single" w:sz="4" w:space="0" w:color="auto"/>
            </w:tcBorders>
          </w:tcPr>
          <w:p w14:paraId="2028D0FD"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hideMark/>
          </w:tcPr>
          <w:p w14:paraId="58E62F1C" w14:textId="77777777" w:rsidR="001A7A27" w:rsidRDefault="001A7A27" w:rsidP="00CF024A">
            <w:pPr>
              <w:rPr>
                <w:noProof/>
                <w:sz w:val="22"/>
                <w:szCs w:val="22"/>
                <w:vertAlign w:val="superscript"/>
              </w:rPr>
            </w:pPr>
            <w:r>
              <w:rPr>
                <w:noProof/>
                <w:sz w:val="22"/>
                <w:szCs w:val="22"/>
              </w:rPr>
              <w:t xml:space="preserve">Hyponatræmi, </w:t>
            </w:r>
            <w:r>
              <w:rPr>
                <w:bCs/>
                <w:noProof/>
                <w:sz w:val="22"/>
                <w:szCs w:val="22"/>
              </w:rPr>
              <w:t xml:space="preserve">hypomagnesiæmi </w:t>
            </w:r>
            <w:r>
              <w:rPr>
                <w:noProof/>
                <w:sz w:val="22"/>
                <w:szCs w:val="22"/>
              </w:rPr>
              <w:t>(se punkt. 4.4) Hypokalcæmi</w:t>
            </w:r>
            <w:r>
              <w:rPr>
                <w:noProof/>
                <w:sz w:val="22"/>
                <w:szCs w:val="22"/>
                <w:vertAlign w:val="superscript"/>
              </w:rPr>
              <w:t>1)</w:t>
            </w:r>
          </w:p>
          <w:p w14:paraId="11AA1DAA" w14:textId="77777777" w:rsidR="001A7A27" w:rsidRDefault="001A7A27" w:rsidP="00CF024A">
            <w:pPr>
              <w:rPr>
                <w:noProof/>
                <w:sz w:val="22"/>
                <w:szCs w:val="22"/>
              </w:rPr>
            </w:pPr>
            <w:r>
              <w:rPr>
                <w:noProof/>
                <w:sz w:val="22"/>
                <w:szCs w:val="22"/>
              </w:rPr>
              <w:t>Hypokaliæmi</w:t>
            </w:r>
            <w:r>
              <w:rPr>
                <w:noProof/>
                <w:sz w:val="22"/>
                <w:szCs w:val="22"/>
                <w:vertAlign w:val="superscript"/>
              </w:rPr>
              <w:t>1)</w:t>
            </w:r>
          </w:p>
        </w:tc>
      </w:tr>
      <w:tr w:rsidR="001A7A27" w14:paraId="02B5A51B"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3E95AB33" w14:textId="77777777" w:rsidR="001A7A27" w:rsidRDefault="001A7A27" w:rsidP="00E02589">
            <w:pPr>
              <w:ind w:right="-404"/>
              <w:rPr>
                <w:noProof/>
                <w:sz w:val="22"/>
                <w:szCs w:val="22"/>
              </w:rPr>
            </w:pPr>
            <w:r>
              <w:rPr>
                <w:noProof/>
                <w:sz w:val="22"/>
                <w:szCs w:val="22"/>
              </w:rPr>
              <w:t>Psykiske forstyrrelser</w:t>
            </w:r>
          </w:p>
        </w:tc>
        <w:tc>
          <w:tcPr>
            <w:tcW w:w="1293" w:type="dxa"/>
            <w:tcBorders>
              <w:top w:val="single" w:sz="4" w:space="0" w:color="auto"/>
              <w:left w:val="single" w:sz="4" w:space="0" w:color="auto"/>
              <w:bottom w:val="single" w:sz="4" w:space="0" w:color="auto"/>
              <w:right w:val="single" w:sz="4" w:space="0" w:color="auto"/>
            </w:tcBorders>
          </w:tcPr>
          <w:p w14:paraId="0ED58B03"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hideMark/>
          </w:tcPr>
          <w:p w14:paraId="3142B082" w14:textId="77777777" w:rsidR="001A7A27" w:rsidRDefault="001A7A27" w:rsidP="00CF024A">
            <w:pPr>
              <w:rPr>
                <w:noProof/>
                <w:sz w:val="22"/>
                <w:szCs w:val="22"/>
              </w:rPr>
            </w:pPr>
            <w:r>
              <w:rPr>
                <w:noProof/>
                <w:sz w:val="22"/>
                <w:szCs w:val="22"/>
              </w:rPr>
              <w:t>Søvnforstyrrelser</w:t>
            </w:r>
          </w:p>
        </w:tc>
        <w:tc>
          <w:tcPr>
            <w:tcW w:w="1878" w:type="dxa"/>
            <w:tcBorders>
              <w:top w:val="single" w:sz="4" w:space="0" w:color="auto"/>
              <w:left w:val="single" w:sz="4" w:space="0" w:color="auto"/>
              <w:bottom w:val="single" w:sz="4" w:space="0" w:color="auto"/>
              <w:right w:val="single" w:sz="4" w:space="0" w:color="auto"/>
            </w:tcBorders>
            <w:hideMark/>
          </w:tcPr>
          <w:p w14:paraId="667A2A77" w14:textId="77777777" w:rsidR="001A7A27" w:rsidRDefault="001A7A27" w:rsidP="00CF024A">
            <w:pPr>
              <w:rPr>
                <w:noProof/>
                <w:sz w:val="22"/>
                <w:szCs w:val="22"/>
              </w:rPr>
            </w:pPr>
            <w:r>
              <w:rPr>
                <w:noProof/>
                <w:sz w:val="22"/>
                <w:szCs w:val="22"/>
              </w:rPr>
              <w:t xml:space="preserve">Depression (og forværring af allerede </w:t>
            </w:r>
            <w:r>
              <w:rPr>
                <w:noProof/>
                <w:sz w:val="22"/>
                <w:szCs w:val="22"/>
              </w:rPr>
              <w:lastRenderedPageBreak/>
              <w:t>eksisterende symptomer)</w:t>
            </w:r>
          </w:p>
        </w:tc>
        <w:tc>
          <w:tcPr>
            <w:tcW w:w="1738" w:type="dxa"/>
            <w:tcBorders>
              <w:top w:val="single" w:sz="4" w:space="0" w:color="auto"/>
              <w:left w:val="single" w:sz="4" w:space="0" w:color="auto"/>
              <w:bottom w:val="single" w:sz="4" w:space="0" w:color="auto"/>
              <w:right w:val="single" w:sz="4" w:space="0" w:color="auto"/>
            </w:tcBorders>
            <w:hideMark/>
          </w:tcPr>
          <w:p w14:paraId="77BBFCC1" w14:textId="77777777" w:rsidR="001A7A27" w:rsidRDefault="001A7A27" w:rsidP="00CF024A">
            <w:pPr>
              <w:rPr>
                <w:noProof/>
                <w:sz w:val="22"/>
                <w:szCs w:val="22"/>
              </w:rPr>
            </w:pPr>
            <w:r>
              <w:rPr>
                <w:noProof/>
                <w:sz w:val="22"/>
                <w:szCs w:val="22"/>
              </w:rPr>
              <w:lastRenderedPageBreak/>
              <w:t xml:space="preserve">Desorientering (og forværring af allerede </w:t>
            </w:r>
            <w:r>
              <w:rPr>
                <w:noProof/>
                <w:sz w:val="22"/>
                <w:szCs w:val="22"/>
              </w:rPr>
              <w:lastRenderedPageBreak/>
              <w:t>eksisterende symptomer)</w:t>
            </w:r>
          </w:p>
        </w:tc>
        <w:tc>
          <w:tcPr>
            <w:tcW w:w="1769" w:type="dxa"/>
            <w:tcBorders>
              <w:top w:val="single" w:sz="4" w:space="0" w:color="auto"/>
              <w:left w:val="single" w:sz="4" w:space="0" w:color="auto"/>
              <w:bottom w:val="single" w:sz="4" w:space="0" w:color="auto"/>
              <w:right w:val="single" w:sz="4" w:space="0" w:color="auto"/>
            </w:tcBorders>
            <w:hideMark/>
          </w:tcPr>
          <w:p w14:paraId="01DC7D0A" w14:textId="77777777" w:rsidR="001A7A27" w:rsidRDefault="001A7A27" w:rsidP="00CF024A">
            <w:pPr>
              <w:rPr>
                <w:noProof/>
                <w:sz w:val="22"/>
                <w:szCs w:val="22"/>
              </w:rPr>
            </w:pPr>
            <w:r>
              <w:rPr>
                <w:noProof/>
                <w:sz w:val="22"/>
                <w:szCs w:val="22"/>
              </w:rPr>
              <w:lastRenderedPageBreak/>
              <w:t>Hallucinationer, forvirring (især hos præ-</w:t>
            </w:r>
            <w:r>
              <w:rPr>
                <w:noProof/>
                <w:sz w:val="22"/>
                <w:szCs w:val="22"/>
              </w:rPr>
              <w:lastRenderedPageBreak/>
              <w:t>disponerede patienter, samt forværring af allerede eksisterende symptomer)</w:t>
            </w:r>
          </w:p>
        </w:tc>
      </w:tr>
      <w:tr w:rsidR="001A7A27" w14:paraId="65143FCC"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0D8BA055" w14:textId="77777777" w:rsidR="001A7A27" w:rsidRDefault="001A7A27" w:rsidP="00E02589">
            <w:pPr>
              <w:ind w:right="-404"/>
              <w:rPr>
                <w:noProof/>
                <w:sz w:val="22"/>
                <w:szCs w:val="22"/>
              </w:rPr>
            </w:pPr>
            <w:r>
              <w:rPr>
                <w:noProof/>
                <w:sz w:val="22"/>
                <w:szCs w:val="22"/>
              </w:rPr>
              <w:lastRenderedPageBreak/>
              <w:t>Nervesystemet</w:t>
            </w:r>
          </w:p>
        </w:tc>
        <w:tc>
          <w:tcPr>
            <w:tcW w:w="1293" w:type="dxa"/>
            <w:tcBorders>
              <w:top w:val="single" w:sz="4" w:space="0" w:color="auto"/>
              <w:left w:val="single" w:sz="4" w:space="0" w:color="auto"/>
              <w:bottom w:val="single" w:sz="4" w:space="0" w:color="auto"/>
              <w:right w:val="single" w:sz="4" w:space="0" w:color="auto"/>
            </w:tcBorders>
          </w:tcPr>
          <w:p w14:paraId="409284BD"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hideMark/>
          </w:tcPr>
          <w:p w14:paraId="4FFB0ACA" w14:textId="77777777" w:rsidR="001A7A27" w:rsidRDefault="001A7A27" w:rsidP="00CF024A">
            <w:pPr>
              <w:rPr>
                <w:noProof/>
                <w:sz w:val="22"/>
                <w:szCs w:val="22"/>
              </w:rPr>
            </w:pPr>
            <w:r>
              <w:rPr>
                <w:noProof/>
                <w:sz w:val="22"/>
                <w:szCs w:val="22"/>
              </w:rPr>
              <w:t>Hovedpine, svimmelhed</w:t>
            </w:r>
          </w:p>
        </w:tc>
        <w:tc>
          <w:tcPr>
            <w:tcW w:w="1878" w:type="dxa"/>
            <w:tcBorders>
              <w:top w:val="single" w:sz="4" w:space="0" w:color="auto"/>
              <w:left w:val="single" w:sz="4" w:space="0" w:color="auto"/>
              <w:bottom w:val="single" w:sz="4" w:space="0" w:color="auto"/>
              <w:right w:val="single" w:sz="4" w:space="0" w:color="auto"/>
            </w:tcBorders>
            <w:hideMark/>
          </w:tcPr>
          <w:p w14:paraId="6CD9BD9F" w14:textId="77777777" w:rsidR="001A7A27" w:rsidRDefault="001A7A27" w:rsidP="00CF024A">
            <w:pPr>
              <w:rPr>
                <w:noProof/>
                <w:sz w:val="22"/>
                <w:szCs w:val="22"/>
              </w:rPr>
            </w:pPr>
            <w:r>
              <w:rPr>
                <w:noProof/>
                <w:sz w:val="22"/>
                <w:szCs w:val="22"/>
              </w:rPr>
              <w:t>Smagsforstyrrelser</w:t>
            </w:r>
          </w:p>
        </w:tc>
        <w:tc>
          <w:tcPr>
            <w:tcW w:w="1738" w:type="dxa"/>
            <w:tcBorders>
              <w:top w:val="single" w:sz="4" w:space="0" w:color="auto"/>
              <w:left w:val="single" w:sz="4" w:space="0" w:color="auto"/>
              <w:bottom w:val="single" w:sz="4" w:space="0" w:color="auto"/>
              <w:right w:val="single" w:sz="4" w:space="0" w:color="auto"/>
            </w:tcBorders>
          </w:tcPr>
          <w:p w14:paraId="784C7F95"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hideMark/>
          </w:tcPr>
          <w:p w14:paraId="29C77D07" w14:textId="77777777" w:rsidR="001A7A27" w:rsidRDefault="001A7A27" w:rsidP="00CF024A">
            <w:pPr>
              <w:rPr>
                <w:noProof/>
                <w:sz w:val="22"/>
                <w:szCs w:val="22"/>
              </w:rPr>
            </w:pPr>
            <w:r>
              <w:rPr>
                <w:noProof/>
                <w:sz w:val="22"/>
                <w:szCs w:val="22"/>
              </w:rPr>
              <w:t>Paræstesier</w:t>
            </w:r>
          </w:p>
        </w:tc>
      </w:tr>
      <w:tr w:rsidR="001A7A27" w14:paraId="4F5D6E70"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54E04F2C" w14:textId="77777777" w:rsidR="001A7A27" w:rsidRDefault="001A7A27" w:rsidP="00E02589">
            <w:pPr>
              <w:ind w:right="-404"/>
              <w:rPr>
                <w:noProof/>
                <w:sz w:val="22"/>
                <w:szCs w:val="22"/>
              </w:rPr>
            </w:pPr>
            <w:r>
              <w:rPr>
                <w:noProof/>
                <w:sz w:val="22"/>
                <w:szCs w:val="22"/>
              </w:rPr>
              <w:t>Øjne</w:t>
            </w:r>
          </w:p>
        </w:tc>
        <w:tc>
          <w:tcPr>
            <w:tcW w:w="1293" w:type="dxa"/>
            <w:tcBorders>
              <w:top w:val="single" w:sz="4" w:space="0" w:color="auto"/>
              <w:left w:val="single" w:sz="4" w:space="0" w:color="auto"/>
              <w:bottom w:val="single" w:sz="4" w:space="0" w:color="auto"/>
              <w:right w:val="single" w:sz="4" w:space="0" w:color="auto"/>
            </w:tcBorders>
          </w:tcPr>
          <w:p w14:paraId="3C4A3190"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055C2E58"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hideMark/>
          </w:tcPr>
          <w:p w14:paraId="3C6A8EF4" w14:textId="77777777" w:rsidR="001A7A27" w:rsidRDefault="001A7A27" w:rsidP="00CF024A">
            <w:pPr>
              <w:rPr>
                <w:noProof/>
                <w:sz w:val="22"/>
                <w:szCs w:val="22"/>
              </w:rPr>
            </w:pPr>
            <w:r>
              <w:rPr>
                <w:noProof/>
                <w:sz w:val="22"/>
                <w:szCs w:val="22"/>
              </w:rPr>
              <w:t>Synsforstyrrelser/ sløret syn</w:t>
            </w:r>
          </w:p>
        </w:tc>
        <w:tc>
          <w:tcPr>
            <w:tcW w:w="1738" w:type="dxa"/>
            <w:tcBorders>
              <w:top w:val="single" w:sz="4" w:space="0" w:color="auto"/>
              <w:left w:val="single" w:sz="4" w:space="0" w:color="auto"/>
              <w:bottom w:val="single" w:sz="4" w:space="0" w:color="auto"/>
              <w:right w:val="single" w:sz="4" w:space="0" w:color="auto"/>
            </w:tcBorders>
          </w:tcPr>
          <w:p w14:paraId="5EFB0E31"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tcPr>
          <w:p w14:paraId="605C48B0" w14:textId="77777777" w:rsidR="001A7A27" w:rsidRDefault="001A7A27" w:rsidP="00CF024A">
            <w:pPr>
              <w:rPr>
                <w:noProof/>
                <w:sz w:val="22"/>
                <w:szCs w:val="22"/>
              </w:rPr>
            </w:pPr>
          </w:p>
        </w:tc>
      </w:tr>
      <w:tr w:rsidR="001A7A27" w14:paraId="64AF1722"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4E62AB1C" w14:textId="77777777" w:rsidR="001A7A27" w:rsidRDefault="001A7A27" w:rsidP="00E02589">
            <w:pPr>
              <w:ind w:right="-404"/>
              <w:rPr>
                <w:noProof/>
                <w:sz w:val="22"/>
                <w:szCs w:val="22"/>
              </w:rPr>
            </w:pPr>
            <w:r>
              <w:rPr>
                <w:noProof/>
                <w:sz w:val="22"/>
                <w:szCs w:val="22"/>
              </w:rPr>
              <w:t>Mave-tarm-kanalen</w:t>
            </w:r>
          </w:p>
        </w:tc>
        <w:tc>
          <w:tcPr>
            <w:tcW w:w="1293" w:type="dxa"/>
            <w:tcBorders>
              <w:top w:val="single" w:sz="4" w:space="0" w:color="auto"/>
              <w:left w:val="single" w:sz="4" w:space="0" w:color="auto"/>
              <w:bottom w:val="single" w:sz="4" w:space="0" w:color="auto"/>
              <w:right w:val="single" w:sz="4" w:space="0" w:color="auto"/>
            </w:tcBorders>
          </w:tcPr>
          <w:p w14:paraId="3A4B24A5" w14:textId="77777777" w:rsidR="001A7A27" w:rsidRDefault="001A7A27" w:rsidP="00E02589">
            <w:pPr>
              <w:keepNext/>
              <w:keepLines/>
              <w:ind w:left="-57" w:right="-231"/>
              <w:rPr>
                <w:noProof/>
                <w:sz w:val="22"/>
                <w:szCs w:val="22"/>
              </w:rPr>
            </w:pPr>
            <w:r>
              <w:rPr>
                <w:noProof/>
                <w:sz w:val="22"/>
                <w:szCs w:val="22"/>
              </w:rPr>
              <w:t>Benigne gastriske polypper</w:t>
            </w:r>
          </w:p>
          <w:p w14:paraId="6FC98EC0"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22766086" w14:textId="77777777" w:rsidR="001A7A27" w:rsidRDefault="001A7A27" w:rsidP="00CF024A">
            <w:pPr>
              <w:rPr>
                <w:noProof/>
                <w:sz w:val="22"/>
                <w:szCs w:val="22"/>
              </w:rPr>
            </w:pPr>
            <w:r>
              <w:rPr>
                <w:noProof/>
                <w:sz w:val="22"/>
                <w:szCs w:val="22"/>
              </w:rPr>
              <w:t>Diarré kvalme/opkastning, udspilet abdomen og oppustethed, forstoppelse, tørhed i munden, abdominale smerter og ubehag</w:t>
            </w:r>
          </w:p>
          <w:p w14:paraId="3261C96D"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tcPr>
          <w:p w14:paraId="6C791EC8" w14:textId="77777777" w:rsidR="001A7A27" w:rsidRDefault="001A7A27" w:rsidP="00CF024A">
            <w:pPr>
              <w:rPr>
                <w:noProof/>
                <w:sz w:val="22"/>
                <w:szCs w:val="22"/>
              </w:rPr>
            </w:pPr>
          </w:p>
        </w:tc>
        <w:tc>
          <w:tcPr>
            <w:tcW w:w="1738" w:type="dxa"/>
            <w:tcBorders>
              <w:top w:val="single" w:sz="4" w:space="0" w:color="auto"/>
              <w:left w:val="single" w:sz="4" w:space="0" w:color="auto"/>
              <w:bottom w:val="single" w:sz="4" w:space="0" w:color="auto"/>
              <w:right w:val="single" w:sz="4" w:space="0" w:color="auto"/>
            </w:tcBorders>
          </w:tcPr>
          <w:p w14:paraId="7D9EC3BB"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tcPr>
          <w:p w14:paraId="4EC7DE7C" w14:textId="77777777" w:rsidR="001A7A27" w:rsidRDefault="001A7A27" w:rsidP="00CF024A">
            <w:pPr>
              <w:rPr>
                <w:noProof/>
                <w:sz w:val="22"/>
                <w:szCs w:val="22"/>
              </w:rPr>
            </w:pPr>
            <w:r>
              <w:rPr>
                <w:noProof/>
                <w:sz w:val="22"/>
                <w:szCs w:val="22"/>
              </w:rPr>
              <w:t>Mikroskopisk colitis</w:t>
            </w:r>
          </w:p>
        </w:tc>
      </w:tr>
      <w:tr w:rsidR="001A7A27" w14:paraId="14973D12"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2C175642" w14:textId="77777777" w:rsidR="001A7A27" w:rsidRDefault="001A7A27" w:rsidP="00E02589">
            <w:pPr>
              <w:ind w:right="-404"/>
              <w:rPr>
                <w:noProof/>
                <w:sz w:val="22"/>
                <w:szCs w:val="22"/>
              </w:rPr>
            </w:pPr>
            <w:r>
              <w:rPr>
                <w:noProof/>
                <w:sz w:val="22"/>
                <w:szCs w:val="22"/>
              </w:rPr>
              <w:t>Lever og galdeveje</w:t>
            </w:r>
          </w:p>
        </w:tc>
        <w:tc>
          <w:tcPr>
            <w:tcW w:w="1293" w:type="dxa"/>
            <w:tcBorders>
              <w:top w:val="single" w:sz="4" w:space="0" w:color="auto"/>
              <w:left w:val="single" w:sz="4" w:space="0" w:color="auto"/>
              <w:bottom w:val="single" w:sz="4" w:space="0" w:color="auto"/>
              <w:right w:val="single" w:sz="4" w:space="0" w:color="auto"/>
            </w:tcBorders>
          </w:tcPr>
          <w:p w14:paraId="1654F2D4"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hideMark/>
          </w:tcPr>
          <w:p w14:paraId="53F4621E" w14:textId="77777777" w:rsidR="001A7A27" w:rsidRDefault="001A7A27" w:rsidP="00CF024A">
            <w:pPr>
              <w:rPr>
                <w:noProof/>
                <w:sz w:val="22"/>
                <w:szCs w:val="22"/>
              </w:rPr>
            </w:pPr>
            <w:r>
              <w:rPr>
                <w:noProof/>
                <w:sz w:val="22"/>
                <w:szCs w:val="22"/>
              </w:rPr>
              <w:t>Forhøjede leverenzymer (transaminaser, γ</w:t>
            </w:r>
            <w:r>
              <w:rPr>
                <w:noProof/>
                <w:sz w:val="22"/>
                <w:szCs w:val="22"/>
              </w:rPr>
              <w:noBreakHyphen/>
              <w:t>GT)</w:t>
            </w:r>
          </w:p>
        </w:tc>
        <w:tc>
          <w:tcPr>
            <w:tcW w:w="1878" w:type="dxa"/>
            <w:tcBorders>
              <w:top w:val="single" w:sz="4" w:space="0" w:color="auto"/>
              <w:left w:val="single" w:sz="4" w:space="0" w:color="auto"/>
              <w:bottom w:val="single" w:sz="4" w:space="0" w:color="auto"/>
              <w:right w:val="single" w:sz="4" w:space="0" w:color="auto"/>
            </w:tcBorders>
            <w:hideMark/>
          </w:tcPr>
          <w:p w14:paraId="6164EE17" w14:textId="77777777" w:rsidR="001A7A27" w:rsidRDefault="001A7A27" w:rsidP="00CF024A">
            <w:pPr>
              <w:rPr>
                <w:noProof/>
                <w:sz w:val="22"/>
                <w:szCs w:val="22"/>
              </w:rPr>
            </w:pPr>
            <w:r>
              <w:rPr>
                <w:noProof/>
                <w:sz w:val="22"/>
                <w:szCs w:val="22"/>
              </w:rPr>
              <w:t>Forhøjet bilirubin</w:t>
            </w:r>
          </w:p>
        </w:tc>
        <w:tc>
          <w:tcPr>
            <w:tcW w:w="1738" w:type="dxa"/>
            <w:tcBorders>
              <w:top w:val="single" w:sz="4" w:space="0" w:color="auto"/>
              <w:left w:val="single" w:sz="4" w:space="0" w:color="auto"/>
              <w:bottom w:val="single" w:sz="4" w:space="0" w:color="auto"/>
              <w:right w:val="single" w:sz="4" w:space="0" w:color="auto"/>
            </w:tcBorders>
          </w:tcPr>
          <w:p w14:paraId="780ED659"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hideMark/>
          </w:tcPr>
          <w:p w14:paraId="6C42070B" w14:textId="77777777" w:rsidR="001A7A27" w:rsidRDefault="001A7A27" w:rsidP="00CF024A">
            <w:pPr>
              <w:rPr>
                <w:noProof/>
                <w:sz w:val="22"/>
                <w:szCs w:val="22"/>
              </w:rPr>
            </w:pPr>
            <w:r>
              <w:rPr>
                <w:noProof/>
                <w:sz w:val="22"/>
                <w:szCs w:val="22"/>
              </w:rPr>
              <w:t xml:space="preserve">Hepatocellulær skade, </w:t>
            </w:r>
          </w:p>
          <w:p w14:paraId="3C1534CC" w14:textId="77777777" w:rsidR="001A7A27" w:rsidRDefault="001A7A27" w:rsidP="00CF024A">
            <w:pPr>
              <w:rPr>
                <w:noProof/>
                <w:sz w:val="22"/>
                <w:szCs w:val="22"/>
              </w:rPr>
            </w:pPr>
            <w:r>
              <w:rPr>
                <w:noProof/>
                <w:sz w:val="22"/>
                <w:szCs w:val="22"/>
              </w:rPr>
              <w:t>gulsot, leversvigt</w:t>
            </w:r>
          </w:p>
        </w:tc>
      </w:tr>
      <w:tr w:rsidR="001A7A27" w14:paraId="4E6D35E5"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090E8F8B" w14:textId="77777777" w:rsidR="001A7A27" w:rsidRDefault="001A7A27" w:rsidP="00E02589">
            <w:pPr>
              <w:ind w:right="-404"/>
              <w:rPr>
                <w:noProof/>
                <w:sz w:val="22"/>
                <w:szCs w:val="22"/>
              </w:rPr>
            </w:pPr>
            <w:r>
              <w:rPr>
                <w:noProof/>
                <w:sz w:val="22"/>
                <w:szCs w:val="22"/>
              </w:rPr>
              <w:t>Hud og subkutant væv</w:t>
            </w:r>
          </w:p>
        </w:tc>
        <w:tc>
          <w:tcPr>
            <w:tcW w:w="1293" w:type="dxa"/>
            <w:tcBorders>
              <w:top w:val="single" w:sz="4" w:space="0" w:color="auto"/>
              <w:left w:val="single" w:sz="4" w:space="0" w:color="auto"/>
              <w:bottom w:val="single" w:sz="4" w:space="0" w:color="auto"/>
              <w:right w:val="single" w:sz="4" w:space="0" w:color="auto"/>
            </w:tcBorders>
          </w:tcPr>
          <w:p w14:paraId="0EA57D39"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hideMark/>
          </w:tcPr>
          <w:p w14:paraId="7DC1B03F" w14:textId="77777777" w:rsidR="001A7A27" w:rsidRDefault="001A7A27" w:rsidP="00CF024A">
            <w:pPr>
              <w:rPr>
                <w:noProof/>
                <w:sz w:val="22"/>
                <w:szCs w:val="22"/>
              </w:rPr>
            </w:pPr>
            <w:r>
              <w:rPr>
                <w:noProof/>
                <w:sz w:val="22"/>
                <w:szCs w:val="22"/>
              </w:rPr>
              <w:t>Udslæt/eksantem/ eruptioner,</w:t>
            </w:r>
          </w:p>
          <w:p w14:paraId="0A93581A" w14:textId="77777777" w:rsidR="001A7A27" w:rsidRDefault="001A7A27" w:rsidP="00CF024A">
            <w:pPr>
              <w:rPr>
                <w:noProof/>
                <w:sz w:val="22"/>
                <w:szCs w:val="22"/>
              </w:rPr>
            </w:pPr>
            <w:r>
              <w:rPr>
                <w:noProof/>
                <w:sz w:val="22"/>
                <w:szCs w:val="22"/>
              </w:rPr>
              <w:t>Kløe</w:t>
            </w:r>
          </w:p>
        </w:tc>
        <w:tc>
          <w:tcPr>
            <w:tcW w:w="1878" w:type="dxa"/>
            <w:tcBorders>
              <w:top w:val="single" w:sz="4" w:space="0" w:color="auto"/>
              <w:left w:val="single" w:sz="4" w:space="0" w:color="auto"/>
              <w:bottom w:val="single" w:sz="4" w:space="0" w:color="auto"/>
              <w:right w:val="single" w:sz="4" w:space="0" w:color="auto"/>
            </w:tcBorders>
            <w:hideMark/>
          </w:tcPr>
          <w:p w14:paraId="51A7909F" w14:textId="77777777" w:rsidR="001A7A27" w:rsidRDefault="001A7A27" w:rsidP="00CF024A">
            <w:pPr>
              <w:rPr>
                <w:noProof/>
                <w:sz w:val="22"/>
                <w:szCs w:val="22"/>
              </w:rPr>
            </w:pPr>
            <w:r>
              <w:rPr>
                <w:noProof/>
                <w:sz w:val="22"/>
                <w:szCs w:val="22"/>
              </w:rPr>
              <w:t>Urticaria, angioødem</w:t>
            </w:r>
          </w:p>
        </w:tc>
        <w:tc>
          <w:tcPr>
            <w:tcW w:w="1738" w:type="dxa"/>
            <w:tcBorders>
              <w:top w:val="single" w:sz="4" w:space="0" w:color="auto"/>
              <w:left w:val="single" w:sz="4" w:space="0" w:color="auto"/>
              <w:bottom w:val="single" w:sz="4" w:space="0" w:color="auto"/>
              <w:right w:val="single" w:sz="4" w:space="0" w:color="auto"/>
            </w:tcBorders>
          </w:tcPr>
          <w:p w14:paraId="2463FFED"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hideMark/>
          </w:tcPr>
          <w:p w14:paraId="2B5DEA9C" w14:textId="77777777" w:rsidR="001A7A27" w:rsidRDefault="001A7A27" w:rsidP="00CF024A">
            <w:pPr>
              <w:rPr>
                <w:noProof/>
                <w:sz w:val="22"/>
                <w:szCs w:val="22"/>
              </w:rPr>
            </w:pPr>
            <w:r>
              <w:rPr>
                <w:noProof/>
                <w:sz w:val="22"/>
                <w:szCs w:val="22"/>
              </w:rPr>
              <w:t xml:space="preserve">Stevens-Johnson syndrom, </w:t>
            </w:r>
          </w:p>
          <w:p w14:paraId="4CFE2F66" w14:textId="77777777" w:rsidR="001A7A27" w:rsidRDefault="001A7A27" w:rsidP="00CF024A">
            <w:pPr>
              <w:rPr>
                <w:noProof/>
                <w:sz w:val="22"/>
                <w:szCs w:val="22"/>
              </w:rPr>
            </w:pPr>
            <w:r>
              <w:rPr>
                <w:noProof/>
                <w:sz w:val="22"/>
                <w:szCs w:val="22"/>
              </w:rPr>
              <w:t xml:space="preserve">Lyell syndrome, erythema multiforme, lysfølsomhed. </w:t>
            </w:r>
            <w:r w:rsidRPr="00C63260">
              <w:rPr>
                <w:color w:val="000000"/>
                <w:spacing w:val="-3"/>
                <w:szCs w:val="22"/>
                <w:lang w:val="es-ES"/>
              </w:rPr>
              <w:t xml:space="preserve">Subakut kutan  lupus erythematosus (se punkt 4.4). </w:t>
            </w:r>
            <w:r w:rsidRPr="00CE4BF4">
              <w:rPr>
                <w:color w:val="000000"/>
                <w:spacing w:val="-3"/>
                <w:szCs w:val="22"/>
              </w:rPr>
              <w:t>Lægemiddel-reaktion med eosinofili og systemiske symptomer (DRESS)</w:t>
            </w:r>
          </w:p>
        </w:tc>
      </w:tr>
      <w:tr w:rsidR="001A7A27" w14:paraId="5DD2C150"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4EB963DD" w14:textId="77777777" w:rsidR="001A7A27" w:rsidRDefault="001A7A27" w:rsidP="00E02589">
            <w:pPr>
              <w:ind w:right="-404"/>
              <w:rPr>
                <w:noProof/>
                <w:sz w:val="22"/>
                <w:szCs w:val="22"/>
              </w:rPr>
            </w:pPr>
            <w:r>
              <w:rPr>
                <w:noProof/>
                <w:sz w:val="22"/>
                <w:szCs w:val="22"/>
              </w:rPr>
              <w:t>Knogler, led, muskler og bindevæv</w:t>
            </w:r>
          </w:p>
        </w:tc>
        <w:tc>
          <w:tcPr>
            <w:tcW w:w="1293" w:type="dxa"/>
            <w:tcBorders>
              <w:top w:val="single" w:sz="4" w:space="0" w:color="auto"/>
              <w:left w:val="single" w:sz="4" w:space="0" w:color="auto"/>
              <w:bottom w:val="single" w:sz="4" w:space="0" w:color="auto"/>
              <w:right w:val="single" w:sz="4" w:space="0" w:color="auto"/>
            </w:tcBorders>
          </w:tcPr>
          <w:p w14:paraId="3938EEAD" w14:textId="77777777" w:rsidR="001A7A27" w:rsidRDefault="001A7A27" w:rsidP="00E02589">
            <w:pPr>
              <w:ind w:right="-231"/>
              <w:rPr>
                <w:noProof/>
                <w:sz w:val="20"/>
              </w:rPr>
            </w:pPr>
          </w:p>
        </w:tc>
        <w:tc>
          <w:tcPr>
            <w:tcW w:w="1946" w:type="dxa"/>
            <w:tcBorders>
              <w:top w:val="single" w:sz="4" w:space="0" w:color="auto"/>
              <w:left w:val="single" w:sz="4" w:space="0" w:color="auto"/>
              <w:bottom w:val="single" w:sz="4" w:space="0" w:color="auto"/>
              <w:right w:val="single" w:sz="4" w:space="0" w:color="auto"/>
            </w:tcBorders>
            <w:hideMark/>
          </w:tcPr>
          <w:p w14:paraId="58293112" w14:textId="77777777" w:rsidR="001A7A27" w:rsidRDefault="001A7A27" w:rsidP="00CF024A">
            <w:pPr>
              <w:rPr>
                <w:noProof/>
                <w:sz w:val="22"/>
                <w:szCs w:val="22"/>
              </w:rPr>
            </w:pPr>
            <w:r>
              <w:rPr>
                <w:color w:val="000000"/>
                <w:sz w:val="22"/>
                <w:szCs w:val="22"/>
              </w:rPr>
              <w:t>Fraktur på hofte, håndled eller rygrad (se pkt. 4.4)</w:t>
            </w:r>
          </w:p>
        </w:tc>
        <w:tc>
          <w:tcPr>
            <w:tcW w:w="1878" w:type="dxa"/>
            <w:tcBorders>
              <w:top w:val="single" w:sz="4" w:space="0" w:color="auto"/>
              <w:left w:val="single" w:sz="4" w:space="0" w:color="auto"/>
              <w:bottom w:val="single" w:sz="4" w:space="0" w:color="auto"/>
              <w:right w:val="single" w:sz="4" w:space="0" w:color="auto"/>
            </w:tcBorders>
            <w:hideMark/>
          </w:tcPr>
          <w:p w14:paraId="3F4C71A8" w14:textId="77777777" w:rsidR="001A7A27" w:rsidRDefault="001A7A27" w:rsidP="00CF024A">
            <w:pPr>
              <w:rPr>
                <w:noProof/>
                <w:sz w:val="22"/>
                <w:szCs w:val="22"/>
              </w:rPr>
            </w:pPr>
            <w:r>
              <w:rPr>
                <w:noProof/>
                <w:sz w:val="22"/>
                <w:szCs w:val="22"/>
              </w:rPr>
              <w:t xml:space="preserve">Arthralgi, </w:t>
            </w:r>
          </w:p>
          <w:p w14:paraId="72B10601" w14:textId="77777777" w:rsidR="001A7A27" w:rsidRDefault="001A7A27" w:rsidP="00CF024A">
            <w:pPr>
              <w:rPr>
                <w:noProof/>
                <w:sz w:val="22"/>
                <w:szCs w:val="22"/>
              </w:rPr>
            </w:pPr>
            <w:r>
              <w:rPr>
                <w:noProof/>
                <w:sz w:val="22"/>
                <w:szCs w:val="22"/>
              </w:rPr>
              <w:t>Myalgi</w:t>
            </w:r>
          </w:p>
        </w:tc>
        <w:tc>
          <w:tcPr>
            <w:tcW w:w="1738" w:type="dxa"/>
            <w:tcBorders>
              <w:top w:val="single" w:sz="4" w:space="0" w:color="auto"/>
              <w:left w:val="single" w:sz="4" w:space="0" w:color="auto"/>
              <w:bottom w:val="single" w:sz="4" w:space="0" w:color="auto"/>
              <w:right w:val="single" w:sz="4" w:space="0" w:color="auto"/>
            </w:tcBorders>
          </w:tcPr>
          <w:p w14:paraId="0C405B9D" w14:textId="77777777" w:rsidR="001A7A27" w:rsidRDefault="001A7A27" w:rsidP="00CF024A">
            <w:pPr>
              <w:rPr>
                <w:noProof/>
                <w:sz w:val="20"/>
              </w:rPr>
            </w:pPr>
          </w:p>
        </w:tc>
        <w:tc>
          <w:tcPr>
            <w:tcW w:w="1769" w:type="dxa"/>
            <w:tcBorders>
              <w:top w:val="single" w:sz="4" w:space="0" w:color="auto"/>
              <w:left w:val="single" w:sz="4" w:space="0" w:color="auto"/>
              <w:bottom w:val="single" w:sz="4" w:space="0" w:color="auto"/>
              <w:right w:val="single" w:sz="4" w:space="0" w:color="auto"/>
            </w:tcBorders>
            <w:hideMark/>
          </w:tcPr>
          <w:p w14:paraId="1C074445" w14:textId="77777777" w:rsidR="001A7A27" w:rsidRDefault="001A7A27" w:rsidP="00CF024A">
            <w:pPr>
              <w:rPr>
                <w:noProof/>
                <w:sz w:val="22"/>
                <w:szCs w:val="22"/>
                <w:vertAlign w:val="superscript"/>
              </w:rPr>
            </w:pPr>
            <w:r>
              <w:rPr>
                <w:noProof/>
                <w:sz w:val="22"/>
                <w:szCs w:val="22"/>
              </w:rPr>
              <w:t xml:space="preserve">Muskelkramper </w:t>
            </w:r>
            <w:r>
              <w:rPr>
                <w:noProof/>
                <w:sz w:val="22"/>
                <w:szCs w:val="22"/>
                <w:vertAlign w:val="superscript"/>
              </w:rPr>
              <w:t>2)</w:t>
            </w:r>
          </w:p>
        </w:tc>
      </w:tr>
      <w:tr w:rsidR="001A7A27" w14:paraId="040C60B4"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794F0761" w14:textId="77777777" w:rsidR="001A7A27" w:rsidRDefault="001A7A27" w:rsidP="00E02589">
            <w:pPr>
              <w:ind w:right="-404"/>
              <w:rPr>
                <w:noProof/>
                <w:sz w:val="22"/>
                <w:szCs w:val="22"/>
              </w:rPr>
            </w:pPr>
            <w:r>
              <w:rPr>
                <w:bCs/>
                <w:noProof/>
                <w:sz w:val="22"/>
                <w:szCs w:val="22"/>
              </w:rPr>
              <w:t>Nyrer og urinveje</w:t>
            </w:r>
          </w:p>
        </w:tc>
        <w:tc>
          <w:tcPr>
            <w:tcW w:w="1293" w:type="dxa"/>
            <w:tcBorders>
              <w:top w:val="single" w:sz="4" w:space="0" w:color="auto"/>
              <w:left w:val="single" w:sz="4" w:space="0" w:color="auto"/>
              <w:bottom w:val="single" w:sz="4" w:space="0" w:color="auto"/>
              <w:right w:val="single" w:sz="4" w:space="0" w:color="auto"/>
            </w:tcBorders>
          </w:tcPr>
          <w:p w14:paraId="67DB14F7"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5AC023F7"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tcPr>
          <w:p w14:paraId="1830AB93" w14:textId="77777777" w:rsidR="001A7A27" w:rsidRDefault="001A7A27" w:rsidP="00CF024A">
            <w:pPr>
              <w:rPr>
                <w:noProof/>
                <w:sz w:val="22"/>
                <w:szCs w:val="22"/>
              </w:rPr>
            </w:pPr>
          </w:p>
        </w:tc>
        <w:tc>
          <w:tcPr>
            <w:tcW w:w="1738" w:type="dxa"/>
            <w:tcBorders>
              <w:top w:val="single" w:sz="4" w:space="0" w:color="auto"/>
              <w:left w:val="single" w:sz="4" w:space="0" w:color="auto"/>
              <w:bottom w:val="single" w:sz="4" w:space="0" w:color="auto"/>
              <w:right w:val="single" w:sz="4" w:space="0" w:color="auto"/>
            </w:tcBorders>
          </w:tcPr>
          <w:p w14:paraId="1E32EF03"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hideMark/>
          </w:tcPr>
          <w:p w14:paraId="2307F9F1" w14:textId="77777777" w:rsidR="001A7A27" w:rsidRDefault="001A7A27" w:rsidP="00CF024A">
            <w:pPr>
              <w:rPr>
                <w:noProof/>
                <w:sz w:val="22"/>
                <w:szCs w:val="22"/>
              </w:rPr>
            </w:pPr>
            <w:r>
              <w:rPr>
                <w:noProof/>
                <w:sz w:val="22"/>
                <w:szCs w:val="22"/>
              </w:rPr>
              <w:t>Tubulonterstitiel nephritis (TIN)  (med risiko for progression til nyresvigt)</w:t>
            </w:r>
          </w:p>
        </w:tc>
      </w:tr>
      <w:tr w:rsidR="001A7A27" w14:paraId="7CDAA49B"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69E69E2C" w14:textId="77777777" w:rsidR="001A7A27" w:rsidRDefault="001A7A27" w:rsidP="00E02589">
            <w:pPr>
              <w:ind w:right="-404"/>
              <w:rPr>
                <w:noProof/>
                <w:sz w:val="22"/>
                <w:szCs w:val="22"/>
              </w:rPr>
            </w:pPr>
            <w:r>
              <w:rPr>
                <w:noProof/>
                <w:sz w:val="22"/>
                <w:szCs w:val="22"/>
              </w:rPr>
              <w:t xml:space="preserve">Det reproduktive system og mammae   </w:t>
            </w:r>
          </w:p>
        </w:tc>
        <w:tc>
          <w:tcPr>
            <w:tcW w:w="1293" w:type="dxa"/>
            <w:tcBorders>
              <w:top w:val="single" w:sz="4" w:space="0" w:color="auto"/>
              <w:left w:val="single" w:sz="4" w:space="0" w:color="auto"/>
              <w:bottom w:val="single" w:sz="4" w:space="0" w:color="auto"/>
              <w:right w:val="single" w:sz="4" w:space="0" w:color="auto"/>
            </w:tcBorders>
          </w:tcPr>
          <w:p w14:paraId="4F4EF472" w14:textId="77777777" w:rsidR="001A7A27" w:rsidRDefault="001A7A27" w:rsidP="00E02589">
            <w:pPr>
              <w:ind w:right="-231"/>
              <w:rPr>
                <w:noProof/>
                <w:sz w:val="22"/>
                <w:szCs w:val="22"/>
              </w:rPr>
            </w:pPr>
          </w:p>
        </w:tc>
        <w:tc>
          <w:tcPr>
            <w:tcW w:w="1946" w:type="dxa"/>
            <w:tcBorders>
              <w:top w:val="single" w:sz="4" w:space="0" w:color="auto"/>
              <w:left w:val="single" w:sz="4" w:space="0" w:color="auto"/>
              <w:bottom w:val="single" w:sz="4" w:space="0" w:color="auto"/>
              <w:right w:val="single" w:sz="4" w:space="0" w:color="auto"/>
            </w:tcBorders>
          </w:tcPr>
          <w:p w14:paraId="230499EC" w14:textId="77777777" w:rsidR="001A7A27" w:rsidRDefault="001A7A27" w:rsidP="00CF024A">
            <w:pPr>
              <w:rPr>
                <w:noProof/>
                <w:sz w:val="22"/>
                <w:szCs w:val="22"/>
              </w:rPr>
            </w:pPr>
          </w:p>
        </w:tc>
        <w:tc>
          <w:tcPr>
            <w:tcW w:w="1878" w:type="dxa"/>
            <w:tcBorders>
              <w:top w:val="single" w:sz="4" w:space="0" w:color="auto"/>
              <w:left w:val="single" w:sz="4" w:space="0" w:color="auto"/>
              <w:bottom w:val="single" w:sz="4" w:space="0" w:color="auto"/>
              <w:right w:val="single" w:sz="4" w:space="0" w:color="auto"/>
            </w:tcBorders>
            <w:hideMark/>
          </w:tcPr>
          <w:p w14:paraId="0291CAC7" w14:textId="77777777" w:rsidR="001A7A27" w:rsidRDefault="001A7A27" w:rsidP="00CF024A">
            <w:pPr>
              <w:rPr>
                <w:noProof/>
                <w:sz w:val="22"/>
                <w:szCs w:val="22"/>
              </w:rPr>
            </w:pPr>
            <w:r>
              <w:rPr>
                <w:noProof/>
                <w:sz w:val="22"/>
                <w:szCs w:val="22"/>
              </w:rPr>
              <w:t xml:space="preserve">Gynækomasti </w:t>
            </w:r>
          </w:p>
        </w:tc>
        <w:tc>
          <w:tcPr>
            <w:tcW w:w="1738" w:type="dxa"/>
            <w:tcBorders>
              <w:top w:val="single" w:sz="4" w:space="0" w:color="auto"/>
              <w:left w:val="single" w:sz="4" w:space="0" w:color="auto"/>
              <w:bottom w:val="single" w:sz="4" w:space="0" w:color="auto"/>
              <w:right w:val="single" w:sz="4" w:space="0" w:color="auto"/>
            </w:tcBorders>
          </w:tcPr>
          <w:p w14:paraId="2E1CF82E"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tcPr>
          <w:p w14:paraId="2869C5EC" w14:textId="77777777" w:rsidR="001A7A27" w:rsidRDefault="001A7A27" w:rsidP="00CF024A">
            <w:pPr>
              <w:rPr>
                <w:noProof/>
                <w:sz w:val="22"/>
                <w:szCs w:val="22"/>
              </w:rPr>
            </w:pPr>
          </w:p>
        </w:tc>
      </w:tr>
      <w:tr w:rsidR="001A7A27" w14:paraId="28AF4242" w14:textId="77777777" w:rsidTr="00E02589">
        <w:trPr>
          <w:jc w:val="center"/>
        </w:trPr>
        <w:tc>
          <w:tcPr>
            <w:tcW w:w="2388" w:type="dxa"/>
            <w:tcBorders>
              <w:top w:val="single" w:sz="4" w:space="0" w:color="auto"/>
              <w:left w:val="single" w:sz="4" w:space="0" w:color="auto"/>
              <w:bottom w:val="single" w:sz="4" w:space="0" w:color="auto"/>
              <w:right w:val="single" w:sz="4" w:space="0" w:color="auto"/>
            </w:tcBorders>
            <w:hideMark/>
          </w:tcPr>
          <w:p w14:paraId="6AE9BF26" w14:textId="77777777" w:rsidR="001A7A27" w:rsidRDefault="001A7A27" w:rsidP="00E02589">
            <w:pPr>
              <w:ind w:right="-404"/>
              <w:rPr>
                <w:noProof/>
                <w:sz w:val="22"/>
                <w:szCs w:val="22"/>
              </w:rPr>
            </w:pPr>
            <w:r>
              <w:rPr>
                <w:noProof/>
                <w:sz w:val="22"/>
                <w:szCs w:val="22"/>
              </w:rPr>
              <w:t>Almene symptomer og reaktioner på administrations-stedet</w:t>
            </w:r>
          </w:p>
        </w:tc>
        <w:tc>
          <w:tcPr>
            <w:tcW w:w="1293" w:type="dxa"/>
            <w:tcBorders>
              <w:top w:val="single" w:sz="4" w:space="0" w:color="auto"/>
              <w:left w:val="single" w:sz="4" w:space="0" w:color="auto"/>
              <w:bottom w:val="single" w:sz="4" w:space="0" w:color="auto"/>
              <w:right w:val="single" w:sz="4" w:space="0" w:color="auto"/>
            </w:tcBorders>
            <w:hideMark/>
          </w:tcPr>
          <w:p w14:paraId="245703ED" w14:textId="77777777" w:rsidR="001A7A27" w:rsidRDefault="001A7A27" w:rsidP="00E02589">
            <w:pPr>
              <w:ind w:right="-231"/>
              <w:rPr>
                <w:noProof/>
                <w:sz w:val="22"/>
                <w:szCs w:val="22"/>
              </w:rPr>
            </w:pPr>
            <w:r>
              <w:rPr>
                <w:noProof/>
                <w:sz w:val="22"/>
                <w:szCs w:val="22"/>
              </w:rPr>
              <w:t>Tromboflebit på injektionsstedet</w:t>
            </w:r>
          </w:p>
        </w:tc>
        <w:tc>
          <w:tcPr>
            <w:tcW w:w="1946" w:type="dxa"/>
            <w:tcBorders>
              <w:top w:val="single" w:sz="4" w:space="0" w:color="auto"/>
              <w:left w:val="single" w:sz="4" w:space="0" w:color="auto"/>
              <w:bottom w:val="single" w:sz="4" w:space="0" w:color="auto"/>
              <w:right w:val="single" w:sz="4" w:space="0" w:color="auto"/>
            </w:tcBorders>
            <w:hideMark/>
          </w:tcPr>
          <w:p w14:paraId="393E5CF6" w14:textId="77777777" w:rsidR="001A7A27" w:rsidRDefault="001A7A27" w:rsidP="00CF024A">
            <w:pPr>
              <w:rPr>
                <w:noProof/>
                <w:sz w:val="22"/>
                <w:szCs w:val="22"/>
              </w:rPr>
            </w:pPr>
            <w:r>
              <w:rPr>
                <w:noProof/>
                <w:sz w:val="22"/>
                <w:szCs w:val="22"/>
              </w:rPr>
              <w:t xml:space="preserve">Asteni, </w:t>
            </w:r>
          </w:p>
          <w:p w14:paraId="2881163F" w14:textId="77777777" w:rsidR="001A7A27" w:rsidRDefault="001A7A27" w:rsidP="00CF024A">
            <w:pPr>
              <w:rPr>
                <w:noProof/>
                <w:sz w:val="22"/>
                <w:szCs w:val="22"/>
              </w:rPr>
            </w:pPr>
            <w:r>
              <w:rPr>
                <w:noProof/>
                <w:sz w:val="22"/>
                <w:szCs w:val="22"/>
              </w:rPr>
              <w:t xml:space="preserve">træthed, </w:t>
            </w:r>
          </w:p>
          <w:p w14:paraId="7B3F304C" w14:textId="77777777" w:rsidR="001A7A27" w:rsidRDefault="001A7A27" w:rsidP="00CF024A">
            <w:pPr>
              <w:rPr>
                <w:noProof/>
                <w:sz w:val="22"/>
                <w:szCs w:val="22"/>
              </w:rPr>
            </w:pPr>
            <w:r>
              <w:rPr>
                <w:noProof/>
                <w:sz w:val="22"/>
                <w:szCs w:val="22"/>
              </w:rPr>
              <w:t>utilpashed</w:t>
            </w:r>
          </w:p>
        </w:tc>
        <w:tc>
          <w:tcPr>
            <w:tcW w:w="1878" w:type="dxa"/>
            <w:tcBorders>
              <w:top w:val="single" w:sz="4" w:space="0" w:color="auto"/>
              <w:left w:val="single" w:sz="4" w:space="0" w:color="auto"/>
              <w:bottom w:val="single" w:sz="4" w:space="0" w:color="auto"/>
              <w:right w:val="single" w:sz="4" w:space="0" w:color="auto"/>
            </w:tcBorders>
            <w:hideMark/>
          </w:tcPr>
          <w:p w14:paraId="422CC367" w14:textId="77777777" w:rsidR="001A7A27" w:rsidRDefault="001A7A27" w:rsidP="00CF024A">
            <w:pPr>
              <w:rPr>
                <w:noProof/>
                <w:sz w:val="22"/>
                <w:szCs w:val="22"/>
              </w:rPr>
            </w:pPr>
            <w:r>
              <w:rPr>
                <w:noProof/>
                <w:sz w:val="22"/>
                <w:szCs w:val="22"/>
              </w:rPr>
              <w:t>Forhøjet kropstemperatur, perifert ødem</w:t>
            </w:r>
          </w:p>
        </w:tc>
        <w:tc>
          <w:tcPr>
            <w:tcW w:w="1738" w:type="dxa"/>
            <w:tcBorders>
              <w:top w:val="single" w:sz="4" w:space="0" w:color="auto"/>
              <w:left w:val="single" w:sz="4" w:space="0" w:color="auto"/>
              <w:bottom w:val="single" w:sz="4" w:space="0" w:color="auto"/>
              <w:right w:val="single" w:sz="4" w:space="0" w:color="auto"/>
            </w:tcBorders>
          </w:tcPr>
          <w:p w14:paraId="4A51208E" w14:textId="77777777" w:rsidR="001A7A27" w:rsidRDefault="001A7A27" w:rsidP="00CF024A">
            <w:pPr>
              <w:rPr>
                <w:noProof/>
                <w:sz w:val="22"/>
                <w:szCs w:val="22"/>
              </w:rPr>
            </w:pPr>
          </w:p>
        </w:tc>
        <w:tc>
          <w:tcPr>
            <w:tcW w:w="1769" w:type="dxa"/>
            <w:tcBorders>
              <w:top w:val="single" w:sz="4" w:space="0" w:color="auto"/>
              <w:left w:val="single" w:sz="4" w:space="0" w:color="auto"/>
              <w:bottom w:val="single" w:sz="4" w:space="0" w:color="auto"/>
              <w:right w:val="single" w:sz="4" w:space="0" w:color="auto"/>
            </w:tcBorders>
          </w:tcPr>
          <w:p w14:paraId="255AD522" w14:textId="77777777" w:rsidR="001A7A27" w:rsidRDefault="001A7A27" w:rsidP="00CF024A">
            <w:pPr>
              <w:rPr>
                <w:noProof/>
                <w:sz w:val="22"/>
                <w:szCs w:val="22"/>
              </w:rPr>
            </w:pPr>
          </w:p>
        </w:tc>
      </w:tr>
    </w:tbl>
    <w:p w14:paraId="0705E24E" w14:textId="77777777" w:rsidR="001A7A27" w:rsidRPr="001A7A27" w:rsidRDefault="001A7A27" w:rsidP="001A7A27">
      <w:pPr>
        <w:numPr>
          <w:ilvl w:val="0"/>
          <w:numId w:val="6"/>
        </w:numPr>
        <w:tabs>
          <w:tab w:val="left" w:pos="851"/>
        </w:tabs>
        <w:ind w:left="1134" w:hanging="283"/>
        <w:rPr>
          <w:bCs/>
          <w:sz w:val="20"/>
        </w:rPr>
      </w:pPr>
      <w:r w:rsidRPr="001A7A27">
        <w:rPr>
          <w:bCs/>
          <w:sz w:val="20"/>
        </w:rPr>
        <w:lastRenderedPageBreak/>
        <w:t>Hypokalcæmi og/eller hypokaliæmi kan være relateret til forekomsten af hypomagnesiæmi (se pkt. 4.4)</w:t>
      </w:r>
    </w:p>
    <w:p w14:paraId="07C78A7A" w14:textId="4A60D96A" w:rsidR="001A7A27" w:rsidRPr="001A7A27" w:rsidRDefault="001A7A27" w:rsidP="001A7A27">
      <w:pPr>
        <w:tabs>
          <w:tab w:val="left" w:pos="1134"/>
        </w:tabs>
        <w:ind w:left="851"/>
        <w:rPr>
          <w:b/>
          <w:bCs/>
          <w:sz w:val="20"/>
          <w:vertAlign w:val="superscript"/>
        </w:rPr>
      </w:pPr>
      <w:r>
        <w:rPr>
          <w:bCs/>
          <w:sz w:val="20"/>
        </w:rPr>
        <w:t>2.</w:t>
      </w:r>
      <w:r>
        <w:rPr>
          <w:bCs/>
          <w:sz w:val="20"/>
        </w:rPr>
        <w:tab/>
      </w:r>
      <w:r w:rsidRPr="001A7A27">
        <w:rPr>
          <w:bCs/>
          <w:sz w:val="20"/>
        </w:rPr>
        <w:t>Muskelkramper som konsekvens af elektrolytforstyrrelser</w:t>
      </w:r>
    </w:p>
    <w:p w14:paraId="0D183062" w14:textId="77777777" w:rsidR="001A7A27" w:rsidRPr="001A7A27" w:rsidRDefault="001A7A27" w:rsidP="001A7A27">
      <w:pPr>
        <w:tabs>
          <w:tab w:val="left" w:pos="851"/>
        </w:tabs>
        <w:ind w:left="851"/>
        <w:rPr>
          <w:b/>
          <w:bCs/>
          <w:sz w:val="24"/>
          <w:szCs w:val="24"/>
          <w:vertAlign w:val="superscript"/>
        </w:rPr>
      </w:pPr>
    </w:p>
    <w:p w14:paraId="7404CCB5" w14:textId="77777777" w:rsidR="001A7A27" w:rsidRPr="001A7A27" w:rsidRDefault="001A7A27" w:rsidP="001A7A27">
      <w:pPr>
        <w:tabs>
          <w:tab w:val="left" w:pos="851"/>
        </w:tabs>
        <w:ind w:left="851"/>
        <w:rPr>
          <w:sz w:val="24"/>
          <w:szCs w:val="24"/>
          <w:u w:val="single"/>
        </w:rPr>
      </w:pPr>
      <w:r w:rsidRPr="001A7A27">
        <w:rPr>
          <w:sz w:val="24"/>
          <w:szCs w:val="24"/>
          <w:u w:val="single"/>
        </w:rPr>
        <w:t>Indberetning af formodede bivirkninger</w:t>
      </w:r>
    </w:p>
    <w:p w14:paraId="772E22ED" w14:textId="77777777" w:rsidR="001A7A27" w:rsidRPr="001A7A27" w:rsidRDefault="001A7A27" w:rsidP="001A7A27">
      <w:pPr>
        <w:tabs>
          <w:tab w:val="left" w:pos="851"/>
        </w:tabs>
        <w:ind w:left="851"/>
        <w:rPr>
          <w:sz w:val="24"/>
          <w:szCs w:val="24"/>
        </w:rPr>
      </w:pPr>
      <w:r w:rsidRPr="001A7A2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FFEE2F2" w14:textId="77777777" w:rsidR="001A7A27" w:rsidRPr="001A7A27" w:rsidRDefault="001A7A27" w:rsidP="001A7A27">
      <w:pPr>
        <w:tabs>
          <w:tab w:val="left" w:pos="851"/>
        </w:tabs>
        <w:ind w:left="851"/>
        <w:rPr>
          <w:sz w:val="24"/>
          <w:szCs w:val="24"/>
        </w:rPr>
      </w:pPr>
    </w:p>
    <w:p w14:paraId="305539B4" w14:textId="77777777" w:rsidR="001A7A27" w:rsidRPr="001A7A27" w:rsidRDefault="001A7A27" w:rsidP="001A7A27">
      <w:pPr>
        <w:tabs>
          <w:tab w:val="left" w:pos="851"/>
        </w:tabs>
        <w:ind w:left="851"/>
        <w:rPr>
          <w:sz w:val="24"/>
          <w:szCs w:val="24"/>
        </w:rPr>
      </w:pPr>
      <w:r w:rsidRPr="001A7A27">
        <w:rPr>
          <w:sz w:val="24"/>
          <w:szCs w:val="24"/>
        </w:rPr>
        <w:t>Lægemiddelstyrelsen</w:t>
      </w:r>
    </w:p>
    <w:p w14:paraId="5093756C" w14:textId="77777777" w:rsidR="001A7A27" w:rsidRPr="001A7A27" w:rsidRDefault="001A7A27" w:rsidP="001A7A27">
      <w:pPr>
        <w:tabs>
          <w:tab w:val="left" w:pos="851"/>
        </w:tabs>
        <w:ind w:left="851"/>
        <w:rPr>
          <w:sz w:val="24"/>
          <w:szCs w:val="24"/>
        </w:rPr>
      </w:pPr>
      <w:r w:rsidRPr="001A7A27">
        <w:rPr>
          <w:sz w:val="24"/>
          <w:szCs w:val="24"/>
        </w:rPr>
        <w:t>Axel Heidesgade 1</w:t>
      </w:r>
    </w:p>
    <w:p w14:paraId="440C9191" w14:textId="77777777" w:rsidR="001A7A27" w:rsidRPr="001A7A27" w:rsidRDefault="001A7A27" w:rsidP="001A7A27">
      <w:pPr>
        <w:tabs>
          <w:tab w:val="left" w:pos="851"/>
        </w:tabs>
        <w:ind w:left="851"/>
        <w:rPr>
          <w:sz w:val="24"/>
          <w:szCs w:val="24"/>
        </w:rPr>
      </w:pPr>
      <w:r w:rsidRPr="001A7A27">
        <w:rPr>
          <w:sz w:val="24"/>
          <w:szCs w:val="24"/>
        </w:rPr>
        <w:t>DK-2300 København S</w:t>
      </w:r>
    </w:p>
    <w:p w14:paraId="31393FA5" w14:textId="046D065E" w:rsidR="001A7A27" w:rsidRPr="001A7A27" w:rsidRDefault="001A7A27" w:rsidP="001A7A27">
      <w:pPr>
        <w:tabs>
          <w:tab w:val="left" w:pos="851"/>
        </w:tabs>
        <w:ind w:left="851"/>
        <w:rPr>
          <w:sz w:val="24"/>
          <w:szCs w:val="24"/>
        </w:rPr>
      </w:pPr>
      <w:r w:rsidRPr="001A7A27">
        <w:rPr>
          <w:sz w:val="24"/>
          <w:szCs w:val="24"/>
        </w:rPr>
        <w:t>Websted: www.meldenbivirkning.dk</w:t>
      </w:r>
    </w:p>
    <w:p w14:paraId="30BB279D" w14:textId="77777777" w:rsidR="001A7A27" w:rsidRPr="00A10294" w:rsidRDefault="001A7A27" w:rsidP="001A7A27">
      <w:pPr>
        <w:tabs>
          <w:tab w:val="left" w:pos="851"/>
        </w:tabs>
        <w:ind w:left="851"/>
        <w:rPr>
          <w:sz w:val="24"/>
          <w:szCs w:val="24"/>
        </w:rPr>
      </w:pPr>
    </w:p>
    <w:p w14:paraId="6ADDD4A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1961EE" w14:textId="77777777" w:rsidR="00BA76AA" w:rsidRPr="00BA76AA" w:rsidRDefault="00BA76AA" w:rsidP="00BA76AA">
      <w:pPr>
        <w:tabs>
          <w:tab w:val="left" w:pos="851"/>
        </w:tabs>
        <w:ind w:left="851"/>
        <w:rPr>
          <w:sz w:val="24"/>
          <w:szCs w:val="24"/>
        </w:rPr>
      </w:pPr>
      <w:r w:rsidRPr="00BA76AA">
        <w:rPr>
          <w:sz w:val="24"/>
          <w:szCs w:val="24"/>
        </w:rPr>
        <w:t>Der er ingen kendte symptomer på overdosering hos mennesker.</w:t>
      </w:r>
    </w:p>
    <w:p w14:paraId="01CEDF20" w14:textId="77777777" w:rsidR="00BA76AA" w:rsidRPr="00BA76AA" w:rsidRDefault="00BA76AA" w:rsidP="00BA76AA">
      <w:pPr>
        <w:tabs>
          <w:tab w:val="left" w:pos="851"/>
        </w:tabs>
        <w:ind w:left="851"/>
        <w:rPr>
          <w:sz w:val="24"/>
          <w:szCs w:val="24"/>
        </w:rPr>
      </w:pPr>
      <w:r w:rsidRPr="00BA76AA">
        <w:rPr>
          <w:sz w:val="24"/>
          <w:szCs w:val="24"/>
        </w:rPr>
        <w:t>Doser på op til 240 mg i.v. er indgivet over 2 minutter og fundet veltolereret.</w:t>
      </w:r>
    </w:p>
    <w:p w14:paraId="7852853F" w14:textId="77777777" w:rsidR="00BA76AA" w:rsidRPr="00BA76AA" w:rsidRDefault="00BA76AA" w:rsidP="00BA76AA">
      <w:pPr>
        <w:tabs>
          <w:tab w:val="left" w:pos="851"/>
        </w:tabs>
        <w:ind w:left="851"/>
        <w:rPr>
          <w:sz w:val="24"/>
          <w:szCs w:val="24"/>
        </w:rPr>
      </w:pPr>
      <w:r w:rsidRPr="00BA76AA">
        <w:rPr>
          <w:sz w:val="24"/>
          <w:szCs w:val="24"/>
        </w:rPr>
        <w:t>Da pantoprazol i stor udstrækning er proteinbundet, er det ikke let dialyserbart.</w:t>
      </w:r>
    </w:p>
    <w:p w14:paraId="10CEABB1" w14:textId="77777777" w:rsidR="00BA76AA" w:rsidRPr="00BA76AA" w:rsidRDefault="00BA76AA" w:rsidP="00BA76AA">
      <w:pPr>
        <w:tabs>
          <w:tab w:val="left" w:pos="851"/>
        </w:tabs>
        <w:ind w:left="851"/>
        <w:rPr>
          <w:sz w:val="24"/>
          <w:szCs w:val="24"/>
        </w:rPr>
      </w:pPr>
    </w:p>
    <w:p w14:paraId="639D5BC6" w14:textId="77777777" w:rsidR="00BA76AA" w:rsidRPr="00BA76AA" w:rsidRDefault="00BA76AA" w:rsidP="00BA76AA">
      <w:pPr>
        <w:tabs>
          <w:tab w:val="left" w:pos="851"/>
        </w:tabs>
        <w:ind w:left="851"/>
        <w:rPr>
          <w:sz w:val="24"/>
          <w:szCs w:val="24"/>
        </w:rPr>
      </w:pPr>
      <w:r w:rsidRPr="00BA76AA">
        <w:rPr>
          <w:sz w:val="24"/>
          <w:szCs w:val="24"/>
        </w:rPr>
        <w:t>I tilfælde af overdosering med kliniske tegn på forgiftning, bortset fra symptomatisk og understøttende behandling, kan der ikke gives nogle særlige terapeutiske anbefalinger.</w:t>
      </w:r>
    </w:p>
    <w:p w14:paraId="5912926C" w14:textId="77777777" w:rsidR="009260DE" w:rsidRPr="00C84483" w:rsidRDefault="009260DE" w:rsidP="009260DE">
      <w:pPr>
        <w:tabs>
          <w:tab w:val="left" w:pos="851"/>
        </w:tabs>
        <w:ind w:left="851"/>
        <w:rPr>
          <w:sz w:val="24"/>
          <w:szCs w:val="24"/>
        </w:rPr>
      </w:pPr>
    </w:p>
    <w:p w14:paraId="38881A3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861A549" w14:textId="1136A366" w:rsidR="009260DE" w:rsidRPr="00C84483" w:rsidRDefault="00BA76AA" w:rsidP="009260DE">
      <w:pPr>
        <w:tabs>
          <w:tab w:val="left" w:pos="851"/>
        </w:tabs>
        <w:ind w:left="851"/>
        <w:rPr>
          <w:sz w:val="24"/>
          <w:szCs w:val="24"/>
        </w:rPr>
      </w:pPr>
      <w:r>
        <w:rPr>
          <w:sz w:val="24"/>
          <w:szCs w:val="24"/>
        </w:rPr>
        <w:t>B</w:t>
      </w:r>
    </w:p>
    <w:p w14:paraId="350ED968" w14:textId="77777777" w:rsidR="009260DE" w:rsidRPr="00C84483" w:rsidRDefault="009260DE" w:rsidP="009260DE">
      <w:pPr>
        <w:tabs>
          <w:tab w:val="left" w:pos="851"/>
        </w:tabs>
        <w:ind w:left="851"/>
        <w:rPr>
          <w:sz w:val="24"/>
          <w:szCs w:val="24"/>
        </w:rPr>
      </w:pPr>
    </w:p>
    <w:p w14:paraId="15B7363D" w14:textId="77777777" w:rsidR="009260DE" w:rsidRPr="00C84483" w:rsidRDefault="009260DE" w:rsidP="009260DE">
      <w:pPr>
        <w:tabs>
          <w:tab w:val="left" w:pos="851"/>
        </w:tabs>
        <w:ind w:left="851"/>
        <w:rPr>
          <w:sz w:val="24"/>
          <w:szCs w:val="24"/>
        </w:rPr>
      </w:pPr>
    </w:p>
    <w:p w14:paraId="30A8724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93465B5" w14:textId="77777777" w:rsidR="009260DE" w:rsidRPr="00C84483" w:rsidRDefault="009260DE" w:rsidP="009260DE">
      <w:pPr>
        <w:tabs>
          <w:tab w:val="left" w:pos="851"/>
        </w:tabs>
        <w:ind w:left="851"/>
        <w:rPr>
          <w:sz w:val="24"/>
          <w:szCs w:val="24"/>
        </w:rPr>
      </w:pPr>
    </w:p>
    <w:p w14:paraId="7A2EA3C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6A7CCEE" w14:textId="57B3CD06" w:rsidR="00BA76AA" w:rsidRPr="00BA76AA" w:rsidRDefault="00BA76AA" w:rsidP="00BA76AA">
      <w:pPr>
        <w:tabs>
          <w:tab w:val="left" w:pos="851"/>
        </w:tabs>
        <w:ind w:left="851"/>
        <w:rPr>
          <w:sz w:val="24"/>
          <w:szCs w:val="24"/>
        </w:rPr>
      </w:pPr>
      <w:r w:rsidRPr="00BA76AA">
        <w:rPr>
          <w:sz w:val="24"/>
          <w:szCs w:val="24"/>
        </w:rPr>
        <w:t>Farmakoterapeutisk klassifikation: Protonpumpehæmmere</w:t>
      </w:r>
      <w:r>
        <w:rPr>
          <w:sz w:val="24"/>
          <w:szCs w:val="24"/>
        </w:rPr>
        <w:t xml:space="preserve">, </w:t>
      </w:r>
      <w:r w:rsidRPr="00BA76AA">
        <w:rPr>
          <w:sz w:val="24"/>
          <w:szCs w:val="24"/>
        </w:rPr>
        <w:t>ATC-kode: A02BC02</w:t>
      </w:r>
      <w:r>
        <w:rPr>
          <w:sz w:val="24"/>
          <w:szCs w:val="24"/>
        </w:rPr>
        <w:t>.</w:t>
      </w:r>
    </w:p>
    <w:p w14:paraId="7E6DAFF5" w14:textId="77777777" w:rsidR="00BA76AA" w:rsidRPr="00BA76AA" w:rsidRDefault="00BA76AA" w:rsidP="00BA76AA">
      <w:pPr>
        <w:tabs>
          <w:tab w:val="left" w:pos="851"/>
        </w:tabs>
        <w:ind w:left="851"/>
        <w:rPr>
          <w:sz w:val="24"/>
          <w:szCs w:val="24"/>
          <w:u w:val="single"/>
        </w:rPr>
      </w:pPr>
      <w:r w:rsidRPr="00BA76AA">
        <w:rPr>
          <w:sz w:val="24"/>
          <w:szCs w:val="24"/>
          <w:u w:val="single"/>
        </w:rPr>
        <w:br/>
      </w:r>
      <w:bookmarkStart w:id="4" w:name="_Hlk109383779"/>
      <w:r w:rsidRPr="00BA76AA">
        <w:rPr>
          <w:sz w:val="24"/>
          <w:szCs w:val="24"/>
          <w:u w:val="single"/>
        </w:rPr>
        <w:t>Virkningsmekanisme</w:t>
      </w:r>
    </w:p>
    <w:p w14:paraId="5104409D" w14:textId="77777777" w:rsidR="00BA76AA" w:rsidRPr="00BA76AA" w:rsidRDefault="00BA76AA" w:rsidP="00BA76AA">
      <w:pPr>
        <w:tabs>
          <w:tab w:val="left" w:pos="851"/>
        </w:tabs>
        <w:ind w:left="851"/>
        <w:rPr>
          <w:sz w:val="24"/>
          <w:szCs w:val="24"/>
        </w:rPr>
      </w:pPr>
      <w:r w:rsidRPr="00BA76AA">
        <w:rPr>
          <w:sz w:val="24"/>
          <w:szCs w:val="24"/>
        </w:rPr>
        <w:t>Pantoprazol er en substitueret benzimidazol, som hæmmer sekretionen af saltsyre i maven ved en specifik blokade af parietalcellernes protonpumper.</w:t>
      </w:r>
    </w:p>
    <w:p w14:paraId="2B2FB58E" w14:textId="77777777" w:rsidR="00BA76AA" w:rsidRPr="00BA76AA" w:rsidRDefault="00BA76AA" w:rsidP="00BA76AA">
      <w:pPr>
        <w:tabs>
          <w:tab w:val="left" w:pos="851"/>
        </w:tabs>
        <w:ind w:left="851"/>
        <w:rPr>
          <w:sz w:val="24"/>
          <w:szCs w:val="24"/>
        </w:rPr>
      </w:pPr>
    </w:p>
    <w:p w14:paraId="6054DF5A" w14:textId="77777777" w:rsidR="00BA76AA" w:rsidRPr="00BA76AA" w:rsidRDefault="00BA76AA" w:rsidP="00BA76AA">
      <w:pPr>
        <w:tabs>
          <w:tab w:val="left" w:pos="851"/>
        </w:tabs>
        <w:ind w:left="851"/>
        <w:rPr>
          <w:sz w:val="24"/>
          <w:szCs w:val="24"/>
        </w:rPr>
      </w:pPr>
      <w:r w:rsidRPr="00BA76AA">
        <w:rPr>
          <w:sz w:val="24"/>
          <w:szCs w:val="24"/>
        </w:rPr>
        <w:t>Pantoprazol omdannes til dets aktive form i det sure miljø i parietalcellerne, hvor det hæmmer H</w:t>
      </w:r>
      <w:r w:rsidRPr="00BA76AA">
        <w:rPr>
          <w:sz w:val="24"/>
          <w:szCs w:val="24"/>
          <w:vertAlign w:val="superscript"/>
        </w:rPr>
        <w:t>+</w:t>
      </w:r>
      <w:r w:rsidRPr="00BA76AA">
        <w:rPr>
          <w:sz w:val="24"/>
          <w:szCs w:val="24"/>
        </w:rPr>
        <w:t>/K</w:t>
      </w:r>
      <w:r w:rsidRPr="00BA76AA">
        <w:rPr>
          <w:sz w:val="24"/>
          <w:szCs w:val="24"/>
          <w:vertAlign w:val="superscript"/>
        </w:rPr>
        <w:t>+</w:t>
      </w:r>
      <w:r w:rsidRPr="00BA76AA">
        <w:rPr>
          <w:sz w:val="24"/>
          <w:szCs w:val="24"/>
        </w:rPr>
        <w:t>-ATPase enzymet, dvs. det sidste stadie i produktionen af saltsyre i maven. Hæmningen er dosisafhængig og indvirker både på den basale og den stimulerede syresekretion. De fleste patienter vil opnå symptomfrihed inden for to uger. Som ved behandling med andre protonpumpeinhibitorer og H</w:t>
      </w:r>
      <w:r w:rsidRPr="00BA76AA">
        <w:rPr>
          <w:sz w:val="24"/>
          <w:szCs w:val="24"/>
          <w:vertAlign w:val="subscript"/>
        </w:rPr>
        <w:t>2</w:t>
      </w:r>
      <w:r w:rsidRPr="00BA76AA">
        <w:rPr>
          <w:sz w:val="24"/>
          <w:szCs w:val="24"/>
        </w:rPr>
        <w:t>-receptorinhibitorer forårsager behandling med pantoprazol en reduceret surhedsgrad i maven og dermed en forøgelse af gastrin i forhold til reduktionen af surhedsgraden. Forøgelse af gastrin er reversibel. Da pantoprazol bindes til enzymet distalt til cellereceptorniveauet, kan det hæmme saltsyresekretionen uafhængigt af stimulationen fra andre stoffer (acetylcholin, histamin, gastrin). Virkningen er den samme, uanset om lægemidlet gives oralt eller intravenøst.</w:t>
      </w:r>
    </w:p>
    <w:p w14:paraId="33096693" w14:textId="77777777" w:rsidR="00BA76AA" w:rsidRPr="00BA76AA" w:rsidRDefault="00BA76AA" w:rsidP="00BA76AA">
      <w:pPr>
        <w:tabs>
          <w:tab w:val="left" w:pos="851"/>
        </w:tabs>
        <w:ind w:left="851"/>
        <w:rPr>
          <w:sz w:val="24"/>
          <w:szCs w:val="24"/>
        </w:rPr>
      </w:pPr>
    </w:p>
    <w:p w14:paraId="0AB0D7F1" w14:textId="77777777" w:rsidR="00BA76AA" w:rsidRPr="00BA76AA" w:rsidRDefault="00BA76AA" w:rsidP="00BA76AA">
      <w:pPr>
        <w:tabs>
          <w:tab w:val="left" w:pos="851"/>
        </w:tabs>
        <w:ind w:left="851"/>
        <w:rPr>
          <w:sz w:val="24"/>
          <w:szCs w:val="24"/>
          <w:u w:val="single"/>
        </w:rPr>
      </w:pPr>
      <w:r w:rsidRPr="00BA76AA">
        <w:rPr>
          <w:sz w:val="24"/>
          <w:szCs w:val="24"/>
          <w:u w:val="single"/>
        </w:rPr>
        <w:t>Farmakodynamisk virkning</w:t>
      </w:r>
    </w:p>
    <w:p w14:paraId="3D58F76B" w14:textId="77777777" w:rsidR="00BA76AA" w:rsidRPr="00BA76AA" w:rsidRDefault="00BA76AA" w:rsidP="00BA76AA">
      <w:pPr>
        <w:tabs>
          <w:tab w:val="left" w:pos="851"/>
        </w:tabs>
        <w:ind w:left="851"/>
        <w:rPr>
          <w:sz w:val="24"/>
          <w:szCs w:val="24"/>
        </w:rPr>
      </w:pPr>
      <w:r w:rsidRPr="00BA76AA">
        <w:rPr>
          <w:sz w:val="24"/>
          <w:szCs w:val="24"/>
        </w:rPr>
        <w:t xml:space="preserve">Fastende gastrinværdier stiger under pantoprazolbehandling. Ved anvendelse af pantoprazol i kort tid overskrider gastrinværdierne i de fleste tilfælde ikke normalområdet. Under langtidsbehandling fordobles gastrinværdierne i de fleste tilfælde. En overdreven forøgelse forekommer imidlertid kun i enkeltstående tilfælde. Som et resultat af dette ses der en svag til moderat forøgelse af antallet af specifikke endokrine (ECL) celler i maven hos et mindretal af patienterne under langtidsbehandling (simpel til adenomatoid </w:t>
      </w:r>
      <w:r w:rsidRPr="00BA76AA">
        <w:rPr>
          <w:sz w:val="24"/>
          <w:szCs w:val="24"/>
        </w:rPr>
        <w:lastRenderedPageBreak/>
        <w:t>hyperplasi). Dannelse af karcinoide forstadier (atypisk hyperplasi) og ventrikelkarcinoider, som er fundet i dyreforsøg, er imidlertid ikke set hos mennesker i de hidtil udførte forsøg (se pkt. 5.3).</w:t>
      </w:r>
    </w:p>
    <w:p w14:paraId="1918868F" w14:textId="77777777" w:rsidR="00BA76AA" w:rsidRPr="00BA76AA" w:rsidRDefault="00BA76AA" w:rsidP="00BA76AA">
      <w:pPr>
        <w:tabs>
          <w:tab w:val="left" w:pos="851"/>
        </w:tabs>
        <w:ind w:left="851"/>
        <w:rPr>
          <w:sz w:val="24"/>
          <w:szCs w:val="24"/>
        </w:rPr>
      </w:pPr>
    </w:p>
    <w:p w14:paraId="5CEEE8C0" w14:textId="77777777" w:rsidR="00BA76AA" w:rsidRPr="00BA76AA" w:rsidRDefault="00BA76AA" w:rsidP="00BA76AA">
      <w:pPr>
        <w:tabs>
          <w:tab w:val="left" w:pos="851"/>
        </w:tabs>
        <w:ind w:left="851"/>
        <w:rPr>
          <w:sz w:val="24"/>
          <w:szCs w:val="24"/>
        </w:rPr>
      </w:pPr>
      <w:r w:rsidRPr="00BA76AA">
        <w:rPr>
          <w:sz w:val="24"/>
          <w:szCs w:val="24"/>
        </w:rPr>
        <w:t xml:space="preserve">Indflydelse på skjoldbruskkirtlens endokrinologiske parametre kan ved langtidsbehandling med pantoprazol i over 1 år, ikke helt udelukkes på baggrund af resultaterne fra dyreforsøg. </w:t>
      </w:r>
    </w:p>
    <w:p w14:paraId="5463EE8E" w14:textId="77777777" w:rsidR="00BA76AA" w:rsidRPr="00BA76AA" w:rsidRDefault="00BA76AA" w:rsidP="00BA76AA">
      <w:pPr>
        <w:tabs>
          <w:tab w:val="left" w:pos="851"/>
        </w:tabs>
        <w:ind w:left="851"/>
        <w:rPr>
          <w:sz w:val="24"/>
          <w:szCs w:val="24"/>
        </w:rPr>
      </w:pPr>
    </w:p>
    <w:p w14:paraId="18C3B181" w14:textId="77777777" w:rsidR="00BA76AA" w:rsidRPr="00BA76AA" w:rsidRDefault="00BA76AA" w:rsidP="00BA76AA">
      <w:pPr>
        <w:tabs>
          <w:tab w:val="left" w:pos="851"/>
        </w:tabs>
        <w:ind w:left="851"/>
        <w:rPr>
          <w:sz w:val="24"/>
          <w:szCs w:val="24"/>
        </w:rPr>
      </w:pPr>
      <w:r w:rsidRPr="00BA76AA">
        <w:rPr>
          <w:sz w:val="24"/>
          <w:szCs w:val="24"/>
        </w:rPr>
        <w:t xml:space="preserve">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 </w:t>
      </w:r>
    </w:p>
    <w:p w14:paraId="267D5544" w14:textId="77777777" w:rsidR="00BA76AA" w:rsidRPr="00BA76AA" w:rsidRDefault="00BA76AA" w:rsidP="00BA76AA">
      <w:pPr>
        <w:tabs>
          <w:tab w:val="left" w:pos="851"/>
        </w:tabs>
        <w:ind w:left="851"/>
        <w:rPr>
          <w:sz w:val="24"/>
          <w:szCs w:val="24"/>
        </w:rPr>
      </w:pPr>
    </w:p>
    <w:p w14:paraId="313CDC68" w14:textId="77777777" w:rsidR="00BA76AA" w:rsidRPr="00BA76AA" w:rsidRDefault="00BA76AA" w:rsidP="00BA76AA">
      <w:pPr>
        <w:tabs>
          <w:tab w:val="left" w:pos="851"/>
        </w:tabs>
        <w:ind w:left="851"/>
        <w:rPr>
          <w:sz w:val="24"/>
          <w:szCs w:val="24"/>
        </w:rPr>
      </w:pPr>
      <w:r w:rsidRPr="00BA76AA">
        <w:rPr>
          <w:sz w:val="24"/>
          <w:szCs w:val="24"/>
        </w:rPr>
        <w:t>Den foreliggende publicerede dokumentation antyder, at protonpumpehæmmere bør seponeres mellem 5 dage og 2 uger før måling af CgA. Dette er for at eventuelle falskt forhøjede værdier af CgA i forbindelse med behandling med protonpumpehæmmere kan vende tilbage til referenceområdet.</w:t>
      </w:r>
    </w:p>
    <w:bookmarkEnd w:id="4"/>
    <w:p w14:paraId="44CB123E" w14:textId="77777777" w:rsidR="009260DE" w:rsidRPr="00C84483" w:rsidRDefault="009260DE" w:rsidP="009260DE">
      <w:pPr>
        <w:tabs>
          <w:tab w:val="left" w:pos="851"/>
        </w:tabs>
        <w:ind w:left="851"/>
        <w:rPr>
          <w:sz w:val="24"/>
          <w:szCs w:val="24"/>
        </w:rPr>
      </w:pPr>
    </w:p>
    <w:p w14:paraId="3D87ADF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3A62C0C" w14:textId="77777777" w:rsidR="00BA76AA" w:rsidRDefault="00BA76AA" w:rsidP="00BA76AA">
      <w:pPr>
        <w:tabs>
          <w:tab w:val="left" w:pos="851"/>
        </w:tabs>
        <w:ind w:left="851"/>
        <w:rPr>
          <w:iCs/>
          <w:sz w:val="24"/>
          <w:szCs w:val="24"/>
          <w:u w:val="single"/>
        </w:rPr>
      </w:pPr>
    </w:p>
    <w:p w14:paraId="6DCAA7DE" w14:textId="2D3E21DF" w:rsidR="00BA76AA" w:rsidRPr="00BA76AA" w:rsidRDefault="00BA76AA" w:rsidP="00BA76AA">
      <w:pPr>
        <w:tabs>
          <w:tab w:val="left" w:pos="851"/>
        </w:tabs>
        <w:ind w:left="851"/>
        <w:rPr>
          <w:iCs/>
          <w:sz w:val="24"/>
          <w:szCs w:val="24"/>
          <w:u w:val="single"/>
        </w:rPr>
      </w:pPr>
      <w:r w:rsidRPr="00BA76AA">
        <w:rPr>
          <w:iCs/>
          <w:sz w:val="24"/>
          <w:szCs w:val="24"/>
          <w:u w:val="single"/>
        </w:rPr>
        <w:t>Almen farmakokinetik</w:t>
      </w:r>
    </w:p>
    <w:p w14:paraId="1296E4B1" w14:textId="77777777" w:rsidR="00BA76AA" w:rsidRPr="00BA76AA" w:rsidRDefault="00BA76AA" w:rsidP="00BA76AA">
      <w:pPr>
        <w:tabs>
          <w:tab w:val="left" w:pos="851"/>
        </w:tabs>
        <w:ind w:left="851"/>
        <w:rPr>
          <w:sz w:val="24"/>
          <w:szCs w:val="24"/>
        </w:rPr>
      </w:pPr>
      <w:r w:rsidRPr="00BA76AA">
        <w:rPr>
          <w:sz w:val="24"/>
          <w:szCs w:val="24"/>
        </w:rPr>
        <w:t>De farmakokinetiske parametre er ens efter enkelt eller gentagen administration. Inden for dosisintervallet 10-80 mg er pantoprazols plasmakinetik lineær efter både oral og intravenøs administration.</w:t>
      </w:r>
    </w:p>
    <w:p w14:paraId="41D00349" w14:textId="77777777" w:rsidR="00BA76AA" w:rsidRPr="00BA76AA" w:rsidRDefault="00BA76AA" w:rsidP="00BA76AA">
      <w:pPr>
        <w:tabs>
          <w:tab w:val="left" w:pos="851"/>
        </w:tabs>
        <w:ind w:left="851"/>
        <w:rPr>
          <w:sz w:val="24"/>
          <w:szCs w:val="24"/>
        </w:rPr>
      </w:pPr>
    </w:p>
    <w:p w14:paraId="641AEF12" w14:textId="77777777" w:rsidR="00BA76AA" w:rsidRPr="00BA76AA" w:rsidRDefault="00BA76AA" w:rsidP="00BA76AA">
      <w:pPr>
        <w:tabs>
          <w:tab w:val="left" w:pos="851"/>
        </w:tabs>
        <w:ind w:left="851"/>
        <w:rPr>
          <w:sz w:val="24"/>
          <w:szCs w:val="24"/>
          <w:u w:val="single"/>
        </w:rPr>
      </w:pPr>
      <w:r w:rsidRPr="00BA76AA">
        <w:rPr>
          <w:sz w:val="24"/>
          <w:szCs w:val="24"/>
          <w:u w:val="single"/>
        </w:rPr>
        <w:t>Fordeling</w:t>
      </w:r>
    </w:p>
    <w:p w14:paraId="7852606D" w14:textId="77777777" w:rsidR="00BA76AA" w:rsidRPr="00BA76AA" w:rsidRDefault="00BA76AA" w:rsidP="00BA76AA">
      <w:pPr>
        <w:tabs>
          <w:tab w:val="left" w:pos="851"/>
        </w:tabs>
        <w:ind w:left="851"/>
        <w:rPr>
          <w:sz w:val="24"/>
          <w:szCs w:val="24"/>
        </w:rPr>
      </w:pPr>
      <w:r w:rsidRPr="00BA76AA">
        <w:rPr>
          <w:sz w:val="24"/>
          <w:szCs w:val="24"/>
        </w:rPr>
        <w:t>Pantoprazols serumproteinbinding er ca. 98 %. Fordelingsvolumenet er på omkring 0,15 l/kg.</w:t>
      </w:r>
    </w:p>
    <w:p w14:paraId="0B4A1C1A" w14:textId="77777777" w:rsidR="00BA76AA" w:rsidRPr="00BA76AA" w:rsidRDefault="00BA76AA" w:rsidP="00BA76AA">
      <w:pPr>
        <w:tabs>
          <w:tab w:val="left" w:pos="851"/>
        </w:tabs>
        <w:ind w:left="851"/>
        <w:rPr>
          <w:sz w:val="24"/>
          <w:szCs w:val="24"/>
        </w:rPr>
      </w:pPr>
    </w:p>
    <w:p w14:paraId="3524D781" w14:textId="77777777" w:rsidR="00BA76AA" w:rsidRPr="00BA76AA" w:rsidRDefault="00BA76AA" w:rsidP="00BA76AA">
      <w:pPr>
        <w:tabs>
          <w:tab w:val="left" w:pos="851"/>
        </w:tabs>
        <w:ind w:left="851"/>
        <w:rPr>
          <w:sz w:val="24"/>
          <w:szCs w:val="24"/>
          <w:u w:val="single"/>
        </w:rPr>
      </w:pPr>
      <w:r w:rsidRPr="00BA76AA">
        <w:rPr>
          <w:sz w:val="24"/>
          <w:szCs w:val="24"/>
          <w:u w:val="single"/>
        </w:rPr>
        <w:t>Biotransformation</w:t>
      </w:r>
    </w:p>
    <w:p w14:paraId="616C4355" w14:textId="77777777" w:rsidR="00BA76AA" w:rsidRPr="00BA76AA" w:rsidRDefault="00BA76AA" w:rsidP="00BA76AA">
      <w:pPr>
        <w:tabs>
          <w:tab w:val="left" w:pos="851"/>
        </w:tabs>
        <w:ind w:left="851"/>
        <w:rPr>
          <w:sz w:val="24"/>
          <w:szCs w:val="24"/>
        </w:rPr>
      </w:pPr>
      <w:r w:rsidRPr="00BA76AA">
        <w:rPr>
          <w:sz w:val="24"/>
          <w:szCs w:val="24"/>
        </w:rPr>
        <w:t xml:space="preserve">Stoffet metaboliseres næsten udelukkende i leveren. Den vigtigste metaboliseringsvej er demethylering via CYP2C19 med efterfølgende sulfatkonjugation, andre metaboliseringsveje inkluderer oxidation via CYP3A4. </w:t>
      </w:r>
    </w:p>
    <w:p w14:paraId="115FFB0F" w14:textId="77777777" w:rsidR="00BA76AA" w:rsidRPr="00BA76AA" w:rsidRDefault="00BA76AA" w:rsidP="00BA76AA">
      <w:pPr>
        <w:tabs>
          <w:tab w:val="left" w:pos="851"/>
        </w:tabs>
        <w:ind w:left="851"/>
        <w:rPr>
          <w:sz w:val="24"/>
          <w:szCs w:val="24"/>
        </w:rPr>
      </w:pPr>
    </w:p>
    <w:p w14:paraId="2A2F267F" w14:textId="77777777" w:rsidR="00BA76AA" w:rsidRPr="00BA76AA" w:rsidRDefault="00BA76AA" w:rsidP="00BA76AA">
      <w:pPr>
        <w:tabs>
          <w:tab w:val="left" w:pos="851"/>
        </w:tabs>
        <w:ind w:left="851"/>
        <w:rPr>
          <w:sz w:val="24"/>
          <w:szCs w:val="24"/>
          <w:u w:val="single"/>
        </w:rPr>
      </w:pPr>
      <w:r w:rsidRPr="00BA76AA">
        <w:rPr>
          <w:sz w:val="24"/>
          <w:szCs w:val="24"/>
          <w:u w:val="single"/>
        </w:rPr>
        <w:t>Elimination</w:t>
      </w:r>
    </w:p>
    <w:p w14:paraId="6DE4AAE1" w14:textId="77777777" w:rsidR="00BA76AA" w:rsidRPr="00BA76AA" w:rsidRDefault="00BA76AA" w:rsidP="00BA76AA">
      <w:pPr>
        <w:tabs>
          <w:tab w:val="left" w:pos="851"/>
        </w:tabs>
        <w:ind w:left="851"/>
        <w:rPr>
          <w:sz w:val="24"/>
          <w:szCs w:val="24"/>
        </w:rPr>
      </w:pPr>
      <w:r w:rsidRPr="00BA76AA">
        <w:rPr>
          <w:sz w:val="24"/>
          <w:szCs w:val="24"/>
        </w:rPr>
        <w:t>Den terminale halveringstid er ca. 1 time, og clearance er ca. 0,1 l/t/kg. I enkelte tilfælde var udskillelsen forlænget. På grund af den specifikke binding af pantoprazol til protonpumperne i de parietale celler svarer halveringstiden for udskillelsen ikke til den meget længere virkningsvarighed (hæmning af syresekretionen).</w:t>
      </w:r>
    </w:p>
    <w:p w14:paraId="787C6449" w14:textId="77777777" w:rsidR="00BA76AA" w:rsidRPr="00BA76AA" w:rsidRDefault="00BA76AA" w:rsidP="00BA76AA">
      <w:pPr>
        <w:tabs>
          <w:tab w:val="left" w:pos="851"/>
        </w:tabs>
        <w:ind w:left="851"/>
        <w:rPr>
          <w:sz w:val="24"/>
          <w:szCs w:val="24"/>
        </w:rPr>
      </w:pPr>
      <w:r w:rsidRPr="00BA76AA">
        <w:rPr>
          <w:sz w:val="24"/>
          <w:szCs w:val="24"/>
        </w:rPr>
        <w:t>Udskillelsen gennem nyrerne repræsenterer den største del af udskillelsen (omkring 80 %) for metabolitterne af pantoprazol, mens resten udskilles med fæces. Hovedmetabolitten i både serum og urin er desmethylpantoprazol, der er bundet til sulfat. Hovedmetabolitternes halveringstid (ca. 1,5 time) er ikke meget længere end pantoprazols.</w:t>
      </w:r>
    </w:p>
    <w:p w14:paraId="572029BF" w14:textId="77777777" w:rsidR="00BA76AA" w:rsidRPr="00BA76AA" w:rsidRDefault="00BA76AA" w:rsidP="00BA76AA">
      <w:pPr>
        <w:tabs>
          <w:tab w:val="left" w:pos="851"/>
        </w:tabs>
        <w:ind w:left="851"/>
        <w:rPr>
          <w:sz w:val="24"/>
          <w:szCs w:val="24"/>
        </w:rPr>
      </w:pPr>
    </w:p>
    <w:p w14:paraId="07EE6D84" w14:textId="77777777" w:rsidR="00BA76AA" w:rsidRPr="00BA76AA" w:rsidRDefault="00BA76AA" w:rsidP="00BA76AA">
      <w:pPr>
        <w:tabs>
          <w:tab w:val="left" w:pos="851"/>
        </w:tabs>
        <w:ind w:left="851"/>
        <w:rPr>
          <w:sz w:val="24"/>
          <w:szCs w:val="24"/>
          <w:u w:val="single"/>
        </w:rPr>
      </w:pPr>
      <w:r w:rsidRPr="00BA76AA">
        <w:rPr>
          <w:sz w:val="24"/>
          <w:szCs w:val="24"/>
          <w:u w:val="single"/>
        </w:rPr>
        <w:t>Særlige populationer</w:t>
      </w:r>
    </w:p>
    <w:p w14:paraId="623C2996" w14:textId="77777777" w:rsidR="00BA76AA" w:rsidRDefault="00BA76AA" w:rsidP="00BA76AA">
      <w:pPr>
        <w:tabs>
          <w:tab w:val="left" w:pos="851"/>
        </w:tabs>
        <w:ind w:left="851"/>
        <w:rPr>
          <w:i/>
          <w:sz w:val="24"/>
          <w:szCs w:val="24"/>
        </w:rPr>
      </w:pPr>
    </w:p>
    <w:p w14:paraId="60EC0E5C" w14:textId="6690F60C" w:rsidR="00BA76AA" w:rsidRPr="00BA76AA" w:rsidRDefault="00BA76AA" w:rsidP="00BA76AA">
      <w:pPr>
        <w:tabs>
          <w:tab w:val="left" w:pos="851"/>
        </w:tabs>
        <w:ind w:left="851"/>
        <w:rPr>
          <w:i/>
          <w:sz w:val="24"/>
          <w:szCs w:val="24"/>
        </w:rPr>
      </w:pPr>
      <w:r w:rsidRPr="00BA76AA">
        <w:rPr>
          <w:i/>
          <w:sz w:val="24"/>
          <w:szCs w:val="24"/>
        </w:rPr>
        <w:t xml:space="preserve">Langsomme omsættere </w:t>
      </w:r>
    </w:p>
    <w:p w14:paraId="5AEFBC1B" w14:textId="77777777" w:rsidR="00BA76AA" w:rsidRPr="00BA76AA" w:rsidRDefault="00BA76AA" w:rsidP="00BA76AA">
      <w:pPr>
        <w:tabs>
          <w:tab w:val="left" w:pos="851"/>
        </w:tabs>
        <w:ind w:left="851"/>
        <w:rPr>
          <w:sz w:val="24"/>
          <w:szCs w:val="24"/>
        </w:rPr>
      </w:pPr>
      <w:r w:rsidRPr="00BA76AA">
        <w:rPr>
          <w:sz w:val="24"/>
          <w:szCs w:val="24"/>
        </w:rPr>
        <w:t xml:space="preserve">Omkring 3 % af den europæiske population mangler et funktionsdygtigt CYP2C19 enzym og kaldes langsomme omsættere. Hos disse individer er metaboliseringen af pantoprazol formodentlig hovedsagelig katalyseret via CYP3A4. Efter administration af en enkelt dosis på 40 mg pantoprazol, var gennemsnitsarealet under plasmakoncentrationskurven omkring </w:t>
      </w:r>
      <w:r w:rsidRPr="00BA76AA">
        <w:rPr>
          <w:sz w:val="24"/>
          <w:szCs w:val="24"/>
        </w:rPr>
        <w:lastRenderedPageBreak/>
        <w:t>6 gange højere hos langsomme omsættere end hos personer med et funktionsdygtigt CYP2C19 enzym (hurtige omsættere). Gennemsnitlig maksimal plasmakoncentration blev øget med omkring 60 %. Disse fund har ingen betydning for doseringen af pantoprazol.</w:t>
      </w:r>
    </w:p>
    <w:p w14:paraId="3A104C19" w14:textId="77777777" w:rsidR="00BA76AA" w:rsidRPr="00BA76AA" w:rsidRDefault="00BA76AA" w:rsidP="00BA76AA">
      <w:pPr>
        <w:tabs>
          <w:tab w:val="left" w:pos="851"/>
        </w:tabs>
        <w:ind w:left="851"/>
        <w:rPr>
          <w:sz w:val="24"/>
          <w:szCs w:val="24"/>
        </w:rPr>
      </w:pPr>
    </w:p>
    <w:p w14:paraId="1E443154" w14:textId="77777777" w:rsidR="00BA76AA" w:rsidRPr="00BA76AA" w:rsidRDefault="00BA76AA" w:rsidP="00BA76AA">
      <w:pPr>
        <w:tabs>
          <w:tab w:val="left" w:pos="851"/>
        </w:tabs>
        <w:ind w:left="851"/>
        <w:rPr>
          <w:i/>
          <w:sz w:val="24"/>
          <w:szCs w:val="24"/>
        </w:rPr>
      </w:pPr>
      <w:r w:rsidRPr="00BA76AA">
        <w:rPr>
          <w:i/>
          <w:sz w:val="24"/>
          <w:szCs w:val="24"/>
        </w:rPr>
        <w:t>Nedsat nyrefunktion</w:t>
      </w:r>
    </w:p>
    <w:p w14:paraId="3925199D" w14:textId="77777777" w:rsidR="00BA76AA" w:rsidRPr="00BA76AA" w:rsidRDefault="00BA76AA" w:rsidP="00BA76AA">
      <w:pPr>
        <w:tabs>
          <w:tab w:val="left" w:pos="851"/>
        </w:tabs>
        <w:ind w:left="851"/>
        <w:rPr>
          <w:sz w:val="24"/>
          <w:szCs w:val="24"/>
        </w:rPr>
      </w:pPr>
      <w:r w:rsidRPr="00BA76AA">
        <w:rPr>
          <w:sz w:val="24"/>
          <w:szCs w:val="24"/>
        </w:rPr>
        <w:t>Der kræves ingen dosisreduktion, når pantoprazol gives til patienter med nedsat nyrefunktion (inkl. dialysepatienter). Som hos raske forsøgspersoner, er pantoprazols halveringstid kort. Kun ganske små mængder pantoprazol er genstand for dialyse. Skønt hovedmetabolitten har en moderat forsinket halveringstid (2-3 timer), er udskillelsen stadig hurtig, og akkumulation finder således ikke sted.</w:t>
      </w:r>
    </w:p>
    <w:p w14:paraId="5F547B6B" w14:textId="77777777" w:rsidR="00BA76AA" w:rsidRPr="00BA76AA" w:rsidRDefault="00BA76AA" w:rsidP="00BA76AA">
      <w:pPr>
        <w:tabs>
          <w:tab w:val="left" w:pos="851"/>
        </w:tabs>
        <w:ind w:left="851"/>
        <w:rPr>
          <w:sz w:val="24"/>
          <w:szCs w:val="24"/>
        </w:rPr>
      </w:pPr>
    </w:p>
    <w:p w14:paraId="470F9A7A" w14:textId="77777777" w:rsidR="00BA76AA" w:rsidRPr="00BA76AA" w:rsidRDefault="00BA76AA" w:rsidP="00BA76AA">
      <w:pPr>
        <w:tabs>
          <w:tab w:val="left" w:pos="851"/>
        </w:tabs>
        <w:ind w:left="851"/>
        <w:rPr>
          <w:i/>
          <w:sz w:val="24"/>
          <w:szCs w:val="24"/>
        </w:rPr>
      </w:pPr>
      <w:r w:rsidRPr="00BA76AA">
        <w:rPr>
          <w:i/>
          <w:sz w:val="24"/>
          <w:szCs w:val="24"/>
        </w:rPr>
        <w:t>Nedsat leverfunktion</w:t>
      </w:r>
    </w:p>
    <w:p w14:paraId="3CA615A9" w14:textId="77777777" w:rsidR="00BA76AA" w:rsidRPr="00BA76AA" w:rsidRDefault="00BA76AA" w:rsidP="00BA76AA">
      <w:pPr>
        <w:tabs>
          <w:tab w:val="left" w:pos="851"/>
        </w:tabs>
        <w:ind w:left="851"/>
        <w:rPr>
          <w:sz w:val="24"/>
          <w:szCs w:val="24"/>
        </w:rPr>
      </w:pPr>
      <w:r w:rsidRPr="00BA76AA">
        <w:rPr>
          <w:sz w:val="24"/>
          <w:szCs w:val="24"/>
        </w:rPr>
        <w:t>Selvom halveringstiden øgedes til mellem 7 og 9 timer, og AUC-værdierne steg med en faktor 5-7 hos patienter med levercirrhose (klasse A og B ifølge Child), steg den maksimale serumkoncentration kun let med en faktor 1,5 i forhold til raske forsøgspersoner.</w:t>
      </w:r>
    </w:p>
    <w:p w14:paraId="4A99B7FB" w14:textId="77777777" w:rsidR="00BA76AA" w:rsidRPr="00BA76AA" w:rsidRDefault="00BA76AA" w:rsidP="00BA76AA">
      <w:pPr>
        <w:tabs>
          <w:tab w:val="left" w:pos="851"/>
        </w:tabs>
        <w:ind w:left="851"/>
        <w:rPr>
          <w:sz w:val="24"/>
          <w:szCs w:val="24"/>
        </w:rPr>
      </w:pPr>
    </w:p>
    <w:p w14:paraId="0633EBE2" w14:textId="77777777" w:rsidR="00BA76AA" w:rsidRPr="00BA76AA" w:rsidRDefault="00BA76AA" w:rsidP="00BA76AA">
      <w:pPr>
        <w:tabs>
          <w:tab w:val="left" w:pos="851"/>
        </w:tabs>
        <w:ind w:left="851"/>
        <w:rPr>
          <w:i/>
          <w:sz w:val="24"/>
          <w:szCs w:val="24"/>
        </w:rPr>
      </w:pPr>
      <w:r w:rsidRPr="00BA76AA">
        <w:rPr>
          <w:i/>
          <w:sz w:val="24"/>
          <w:szCs w:val="24"/>
        </w:rPr>
        <w:t>Ældre patienter</w:t>
      </w:r>
    </w:p>
    <w:p w14:paraId="10ECEC76" w14:textId="77777777" w:rsidR="00BA76AA" w:rsidRPr="00BA76AA" w:rsidRDefault="00BA76AA" w:rsidP="00BA76AA">
      <w:pPr>
        <w:tabs>
          <w:tab w:val="left" w:pos="851"/>
        </w:tabs>
        <w:ind w:left="851"/>
        <w:rPr>
          <w:sz w:val="24"/>
          <w:szCs w:val="24"/>
        </w:rPr>
      </w:pPr>
      <w:r w:rsidRPr="00BA76AA">
        <w:rPr>
          <w:sz w:val="24"/>
          <w:szCs w:val="24"/>
        </w:rPr>
        <w:t>En beskeden stigning i AUC og C</w:t>
      </w:r>
      <w:r w:rsidRPr="00BA76AA">
        <w:rPr>
          <w:sz w:val="24"/>
          <w:szCs w:val="24"/>
          <w:vertAlign w:val="subscript"/>
        </w:rPr>
        <w:t>max</w:t>
      </w:r>
      <w:r w:rsidRPr="00BA76AA">
        <w:rPr>
          <w:sz w:val="24"/>
          <w:szCs w:val="24"/>
        </w:rPr>
        <w:t xml:space="preserve"> hos ældre forsøgspersoner sammenlignet med yngre har heller ingen klinisk betydning.</w:t>
      </w:r>
    </w:p>
    <w:p w14:paraId="6C38168C" w14:textId="77777777" w:rsidR="00BA76AA" w:rsidRPr="00BA76AA" w:rsidRDefault="00BA76AA" w:rsidP="00BA76AA">
      <w:pPr>
        <w:tabs>
          <w:tab w:val="left" w:pos="851"/>
        </w:tabs>
        <w:ind w:left="851"/>
        <w:rPr>
          <w:b/>
          <w:bCs/>
          <w:sz w:val="24"/>
          <w:szCs w:val="24"/>
          <w:u w:val="single"/>
        </w:rPr>
      </w:pPr>
    </w:p>
    <w:p w14:paraId="3EC5F517" w14:textId="77777777" w:rsidR="00BA76AA" w:rsidRPr="00BA76AA" w:rsidRDefault="00BA76AA" w:rsidP="00BA76AA">
      <w:pPr>
        <w:tabs>
          <w:tab w:val="left" w:pos="851"/>
        </w:tabs>
        <w:ind w:left="851"/>
        <w:rPr>
          <w:i/>
          <w:sz w:val="24"/>
          <w:szCs w:val="24"/>
        </w:rPr>
      </w:pPr>
      <w:r w:rsidRPr="00BA76AA">
        <w:rPr>
          <w:i/>
          <w:sz w:val="24"/>
          <w:szCs w:val="24"/>
        </w:rPr>
        <w:t>Pædiatrisk population</w:t>
      </w:r>
    </w:p>
    <w:p w14:paraId="4B58537D" w14:textId="77777777" w:rsidR="00BA76AA" w:rsidRPr="00BA76AA" w:rsidRDefault="00BA76AA" w:rsidP="00BA76AA">
      <w:pPr>
        <w:tabs>
          <w:tab w:val="left" w:pos="851"/>
        </w:tabs>
        <w:ind w:left="851"/>
        <w:rPr>
          <w:sz w:val="24"/>
          <w:szCs w:val="24"/>
        </w:rPr>
      </w:pPr>
      <w:r w:rsidRPr="00BA76AA">
        <w:rPr>
          <w:sz w:val="24"/>
          <w:szCs w:val="24"/>
        </w:rPr>
        <w:t>Efter administration af enkelte intravenøse doser på 0,8-1,6 mg pantoprazol/kg legemsvægt til børn mellem 2 og 16 år var der ingen signifikant sammenhæng mellem pantoprazolclearance og børnenes alder og vægt. AUC og fordelingsvolumen svarede til værdierne set hos voksne.</w:t>
      </w:r>
    </w:p>
    <w:p w14:paraId="121A0B71" w14:textId="77777777" w:rsidR="009260DE" w:rsidRPr="00C84483" w:rsidRDefault="009260DE" w:rsidP="009260DE">
      <w:pPr>
        <w:tabs>
          <w:tab w:val="left" w:pos="851"/>
        </w:tabs>
        <w:ind w:left="851"/>
        <w:rPr>
          <w:sz w:val="24"/>
          <w:szCs w:val="24"/>
        </w:rPr>
      </w:pPr>
    </w:p>
    <w:p w14:paraId="0C35BA6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B08DFF2" w14:textId="77777777" w:rsidR="003D4F3C" w:rsidRPr="003D4F3C" w:rsidRDefault="003D4F3C" w:rsidP="003D4F3C">
      <w:pPr>
        <w:tabs>
          <w:tab w:val="left" w:pos="851"/>
        </w:tabs>
        <w:ind w:left="851"/>
        <w:rPr>
          <w:sz w:val="24"/>
          <w:szCs w:val="24"/>
        </w:rPr>
      </w:pPr>
      <w:bookmarkStart w:id="5" w:name="_Hlk109383806"/>
      <w:r w:rsidRPr="003D4F3C">
        <w:rPr>
          <w:sz w:val="24"/>
          <w:szCs w:val="24"/>
        </w:rPr>
        <w:t>Non-kliniske data viser ingen særlig risiko for mennesker vurderet ud fra konventionelle studier af sikkerhedsfarmakologi, toksicitet efter gentagne doser og genotoksicitet.</w:t>
      </w:r>
    </w:p>
    <w:p w14:paraId="5E840973" w14:textId="77777777" w:rsidR="003D4F3C" w:rsidRPr="003D4F3C" w:rsidRDefault="003D4F3C" w:rsidP="003D4F3C">
      <w:pPr>
        <w:tabs>
          <w:tab w:val="left" w:pos="851"/>
        </w:tabs>
        <w:ind w:left="851"/>
        <w:rPr>
          <w:sz w:val="24"/>
          <w:szCs w:val="24"/>
        </w:rPr>
      </w:pPr>
    </w:p>
    <w:p w14:paraId="0A6B6602" w14:textId="77777777" w:rsidR="003D4F3C" w:rsidRPr="003D4F3C" w:rsidRDefault="003D4F3C" w:rsidP="003D4F3C">
      <w:pPr>
        <w:tabs>
          <w:tab w:val="left" w:pos="851"/>
        </w:tabs>
        <w:ind w:left="851"/>
        <w:rPr>
          <w:sz w:val="24"/>
          <w:szCs w:val="24"/>
        </w:rPr>
      </w:pPr>
      <w:r w:rsidRPr="003D4F3C">
        <w:rPr>
          <w:sz w:val="24"/>
          <w:szCs w:val="24"/>
        </w:rPr>
        <w:t>I et to årigt karcinogenitetsforsøg med rotter fandt man neuroendokrine neoplasmer. Desuden blev der fundet planocellulære papillomer i formaven på rotterne. Den mekanisme, der fører til, at substituerede benzimidazoler giver ventrikelcancer er undersøgt nøje. Konklusionen er, at ventrikelcanceren er en sekundær reaktion til den kraftige forøgelse af serumgastrinniveauet hos rotter i kronisk højdosisbehandling. I de toårige forsøg med gnavere blev der observeret et øget antal levertumorer hos rotter og hunmus, hvilket blev tolket til at være en konsekvens af, at pantoprazol i udstrakt grad metaboliseres i leveren</w:t>
      </w:r>
    </w:p>
    <w:p w14:paraId="55351D69" w14:textId="77777777" w:rsidR="003D4F3C" w:rsidRPr="003D4F3C" w:rsidRDefault="003D4F3C" w:rsidP="003D4F3C">
      <w:pPr>
        <w:tabs>
          <w:tab w:val="left" w:pos="851"/>
        </w:tabs>
        <w:ind w:left="851"/>
        <w:rPr>
          <w:sz w:val="24"/>
          <w:szCs w:val="24"/>
        </w:rPr>
      </w:pPr>
    </w:p>
    <w:p w14:paraId="71B6384E" w14:textId="77777777" w:rsidR="003D4F3C" w:rsidRPr="003D4F3C" w:rsidRDefault="003D4F3C" w:rsidP="003D4F3C">
      <w:pPr>
        <w:tabs>
          <w:tab w:val="left" w:pos="851"/>
        </w:tabs>
        <w:ind w:left="851"/>
        <w:rPr>
          <w:sz w:val="24"/>
          <w:szCs w:val="24"/>
        </w:rPr>
      </w:pPr>
      <w:r w:rsidRPr="003D4F3C">
        <w:rPr>
          <w:sz w:val="24"/>
          <w:szCs w:val="24"/>
        </w:rPr>
        <w:t>En beskeden forøgelse af de neoplastiske forandringer af thyreoidea blev set i den gruppe rotter, der fik den højeste dosis (200mg/kg). Forekomsten af disse neoplastiske ændringer hænger sammen med de pantoprazolinducerede forandringer i nedbrydning af thyroxin i rotteleveren. Da den terapeutiske dosis hos mennesker er lav, forventes ingen bivirkninger på skjoldbruskkirtlen.</w:t>
      </w:r>
    </w:p>
    <w:p w14:paraId="769B0F81" w14:textId="77777777" w:rsidR="003D4F3C" w:rsidRPr="003D4F3C" w:rsidRDefault="003D4F3C" w:rsidP="003D4F3C">
      <w:pPr>
        <w:tabs>
          <w:tab w:val="left" w:pos="851"/>
        </w:tabs>
        <w:ind w:left="851"/>
        <w:rPr>
          <w:sz w:val="24"/>
          <w:szCs w:val="24"/>
        </w:rPr>
      </w:pPr>
    </w:p>
    <w:p w14:paraId="35AEBBC7" w14:textId="77777777" w:rsidR="003D4F3C" w:rsidRPr="003D4F3C" w:rsidRDefault="003D4F3C" w:rsidP="003D4F3C">
      <w:pPr>
        <w:tabs>
          <w:tab w:val="left" w:pos="851"/>
        </w:tabs>
        <w:ind w:left="851"/>
        <w:rPr>
          <w:sz w:val="24"/>
          <w:szCs w:val="24"/>
        </w:rPr>
      </w:pPr>
      <w:r w:rsidRPr="003D4F3C">
        <w:rPr>
          <w:sz w:val="24"/>
          <w:szCs w:val="24"/>
        </w:rPr>
        <w:t>I et peri</w:t>
      </w:r>
      <w:r w:rsidRPr="003D4F3C">
        <w:rPr>
          <w:sz w:val="24"/>
          <w:szCs w:val="24"/>
        </w:rPr>
        <w:noBreakHyphen/>
        <w:t>postnatalt reproduktionsstudie med rotter, der var designet til at vurdere knogleudvikling, blev der observeret tegn på toksicitet hos afkommet (mortalitet, lavere gennemsnitlig legemsvægt, lavere gennemsnitlig øgning af legemsvægt og reduceret knoglevækst) ved eksponeringer (C</w:t>
      </w:r>
      <w:r w:rsidRPr="003D4F3C">
        <w:rPr>
          <w:sz w:val="24"/>
          <w:szCs w:val="24"/>
          <w:vertAlign w:val="subscript"/>
        </w:rPr>
        <w:t>max</w:t>
      </w:r>
      <w:r w:rsidRPr="003D4F3C">
        <w:rPr>
          <w:sz w:val="24"/>
          <w:szCs w:val="24"/>
        </w:rPr>
        <w:t xml:space="preserve">) på omtrent 2 gange den menneskelige kliniske eksponering. Ved udgangen af rekonvalescensperioden var knogleparametrene ens i alle </w:t>
      </w:r>
      <w:r w:rsidRPr="003D4F3C">
        <w:rPr>
          <w:sz w:val="24"/>
          <w:szCs w:val="24"/>
        </w:rPr>
        <w:lastRenderedPageBreak/>
        <w:t>grupper, og der var desuden en tendens mod reversabilitet for legemsvægt efter en rekonvalescensperiode uden lægemidler. Den øgede mortalitet er kun blevet rapporteret for rotteunger inden afvænning (op til 21 dage gamle), hvilket anslås at korrespondere med spædbørn op til 2 år. Relevansen af dette fund for den pædiatriske population er uklar. Et tidligere peri</w:t>
      </w:r>
      <w:r w:rsidRPr="003D4F3C">
        <w:rPr>
          <w:sz w:val="24"/>
          <w:szCs w:val="24"/>
        </w:rPr>
        <w:noBreakHyphen/>
        <w:t xml:space="preserve">postnatalt studie med rotter, som fik lidt lavere doser, fandt ingen bivirkninger ved 3 mg/kg sammenlignet med en lav dosis på 5 mg/kg i dette studie. </w:t>
      </w:r>
    </w:p>
    <w:p w14:paraId="0B669B23" w14:textId="77777777" w:rsidR="003D4F3C" w:rsidRPr="003D4F3C" w:rsidRDefault="003D4F3C" w:rsidP="003D4F3C">
      <w:pPr>
        <w:tabs>
          <w:tab w:val="left" w:pos="851"/>
        </w:tabs>
        <w:ind w:left="851"/>
        <w:rPr>
          <w:sz w:val="24"/>
          <w:szCs w:val="24"/>
        </w:rPr>
      </w:pPr>
    </w:p>
    <w:p w14:paraId="7A5A3905" w14:textId="77777777" w:rsidR="003D4F3C" w:rsidRPr="003D4F3C" w:rsidRDefault="003D4F3C" w:rsidP="003D4F3C">
      <w:pPr>
        <w:tabs>
          <w:tab w:val="left" w:pos="851"/>
        </w:tabs>
        <w:ind w:left="851"/>
        <w:rPr>
          <w:sz w:val="24"/>
          <w:szCs w:val="24"/>
        </w:rPr>
      </w:pPr>
      <w:r w:rsidRPr="003D4F3C">
        <w:rPr>
          <w:sz w:val="24"/>
          <w:szCs w:val="24"/>
        </w:rPr>
        <w:t xml:space="preserve">Undersøgelserne viste intet tegn på nedsat fertilitet eller teratogen effekt. </w:t>
      </w:r>
    </w:p>
    <w:p w14:paraId="724A7491" w14:textId="77777777" w:rsidR="003D4F3C" w:rsidRPr="003D4F3C" w:rsidRDefault="003D4F3C" w:rsidP="003D4F3C">
      <w:pPr>
        <w:tabs>
          <w:tab w:val="left" w:pos="851"/>
        </w:tabs>
        <w:ind w:left="851"/>
        <w:rPr>
          <w:sz w:val="24"/>
          <w:szCs w:val="24"/>
        </w:rPr>
      </w:pPr>
    </w:p>
    <w:p w14:paraId="2D66D357" w14:textId="77777777" w:rsidR="003D4F3C" w:rsidRPr="003D4F3C" w:rsidRDefault="003D4F3C" w:rsidP="003D4F3C">
      <w:pPr>
        <w:tabs>
          <w:tab w:val="left" w:pos="851"/>
        </w:tabs>
        <w:ind w:left="851"/>
        <w:rPr>
          <w:sz w:val="24"/>
          <w:szCs w:val="24"/>
        </w:rPr>
      </w:pPr>
      <w:r w:rsidRPr="003D4F3C">
        <w:rPr>
          <w:sz w:val="24"/>
          <w:szCs w:val="24"/>
        </w:rPr>
        <w:t>Passagen over placenta hos rotter blev undersøgt og fandtes at stige med fremskreden drægtighed. Som en konsekvens heraf øgedes koncentrationen af pantoprazol i fosteret kort før fødslen.</w:t>
      </w:r>
    </w:p>
    <w:bookmarkEnd w:id="5"/>
    <w:p w14:paraId="2E3B5E92" w14:textId="77777777" w:rsidR="009260DE" w:rsidRPr="00C84483" w:rsidRDefault="009260DE" w:rsidP="009260DE">
      <w:pPr>
        <w:tabs>
          <w:tab w:val="left" w:pos="851"/>
        </w:tabs>
        <w:ind w:left="851"/>
        <w:rPr>
          <w:sz w:val="24"/>
          <w:szCs w:val="24"/>
        </w:rPr>
      </w:pPr>
    </w:p>
    <w:p w14:paraId="36A7DE8E" w14:textId="77777777" w:rsidR="009260DE" w:rsidRPr="00C84483" w:rsidRDefault="009260DE" w:rsidP="009260DE">
      <w:pPr>
        <w:tabs>
          <w:tab w:val="left" w:pos="851"/>
        </w:tabs>
        <w:ind w:left="851"/>
        <w:rPr>
          <w:sz w:val="24"/>
          <w:szCs w:val="24"/>
        </w:rPr>
      </w:pPr>
    </w:p>
    <w:p w14:paraId="6111CD6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30267ED" w14:textId="77777777" w:rsidR="009260DE" w:rsidRPr="00BA09F1" w:rsidRDefault="009260DE" w:rsidP="009260DE">
      <w:pPr>
        <w:tabs>
          <w:tab w:val="left" w:pos="851"/>
        </w:tabs>
        <w:ind w:left="851"/>
        <w:rPr>
          <w:sz w:val="24"/>
          <w:szCs w:val="24"/>
        </w:rPr>
      </w:pPr>
    </w:p>
    <w:p w14:paraId="0E59B1B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0034E72" w14:textId="77777777" w:rsidR="003D4F3C" w:rsidRPr="003D4F3C" w:rsidRDefault="003D4F3C" w:rsidP="003D4F3C">
      <w:pPr>
        <w:tabs>
          <w:tab w:val="left" w:pos="851"/>
        </w:tabs>
        <w:ind w:left="851"/>
        <w:rPr>
          <w:sz w:val="24"/>
          <w:szCs w:val="24"/>
        </w:rPr>
      </w:pPr>
      <w:r w:rsidRPr="003D4F3C">
        <w:rPr>
          <w:sz w:val="24"/>
          <w:szCs w:val="24"/>
        </w:rPr>
        <w:t>Dinatriumedetat (E386)</w:t>
      </w:r>
    </w:p>
    <w:p w14:paraId="09E53479" w14:textId="77777777" w:rsidR="003D4F3C" w:rsidRPr="003D4F3C" w:rsidRDefault="003D4F3C" w:rsidP="003D4F3C">
      <w:pPr>
        <w:tabs>
          <w:tab w:val="left" w:pos="851"/>
        </w:tabs>
        <w:ind w:left="851"/>
        <w:rPr>
          <w:sz w:val="24"/>
          <w:szCs w:val="24"/>
        </w:rPr>
      </w:pPr>
      <w:r w:rsidRPr="003D4F3C">
        <w:rPr>
          <w:sz w:val="24"/>
          <w:szCs w:val="24"/>
        </w:rPr>
        <w:t>Natriumhydroxid (E524) (til pH-justering)</w:t>
      </w:r>
    </w:p>
    <w:p w14:paraId="75785E35" w14:textId="77777777" w:rsidR="009260DE" w:rsidRPr="00C84483" w:rsidRDefault="009260DE" w:rsidP="009260DE">
      <w:pPr>
        <w:tabs>
          <w:tab w:val="left" w:pos="851"/>
        </w:tabs>
        <w:ind w:left="851"/>
        <w:rPr>
          <w:sz w:val="24"/>
          <w:szCs w:val="24"/>
        </w:rPr>
      </w:pPr>
    </w:p>
    <w:p w14:paraId="25C301B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C53683B" w14:textId="77777777" w:rsidR="003D4F3C" w:rsidRPr="003D4F3C" w:rsidRDefault="003D4F3C" w:rsidP="003D4F3C">
      <w:pPr>
        <w:tabs>
          <w:tab w:val="left" w:pos="851"/>
        </w:tabs>
        <w:ind w:left="851"/>
        <w:rPr>
          <w:sz w:val="24"/>
          <w:szCs w:val="24"/>
        </w:rPr>
      </w:pPr>
      <w:r w:rsidRPr="003D4F3C">
        <w:rPr>
          <w:sz w:val="24"/>
          <w:szCs w:val="24"/>
        </w:rPr>
        <w:t>Dette lægemiddel må ikke blandes med andre lægemidler end dem, der er anført under pkt. 6.6.</w:t>
      </w:r>
    </w:p>
    <w:p w14:paraId="61DD4450" w14:textId="77777777" w:rsidR="009260DE" w:rsidRPr="00C84483" w:rsidRDefault="009260DE" w:rsidP="009260DE">
      <w:pPr>
        <w:tabs>
          <w:tab w:val="left" w:pos="851"/>
        </w:tabs>
        <w:ind w:left="851"/>
        <w:rPr>
          <w:sz w:val="24"/>
          <w:szCs w:val="24"/>
        </w:rPr>
      </w:pPr>
    </w:p>
    <w:p w14:paraId="0092A7F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72EF85" w14:textId="2384DDFB" w:rsidR="003D4F3C" w:rsidRPr="003D4F3C" w:rsidRDefault="003D4F3C" w:rsidP="003D4F3C">
      <w:pPr>
        <w:tabs>
          <w:tab w:val="left" w:pos="851"/>
        </w:tabs>
        <w:ind w:left="851"/>
        <w:rPr>
          <w:sz w:val="24"/>
          <w:szCs w:val="24"/>
        </w:rPr>
      </w:pPr>
      <w:r w:rsidRPr="003D4F3C">
        <w:rPr>
          <w:sz w:val="24"/>
          <w:szCs w:val="24"/>
        </w:rPr>
        <w:t>Uåbnet: 2 år</w:t>
      </w:r>
      <w:r>
        <w:rPr>
          <w:sz w:val="24"/>
          <w:szCs w:val="24"/>
        </w:rPr>
        <w:t>.</w:t>
      </w:r>
    </w:p>
    <w:p w14:paraId="3C5B72B2" w14:textId="77777777" w:rsidR="003D4F3C" w:rsidRPr="003D4F3C" w:rsidRDefault="003D4F3C" w:rsidP="003D4F3C">
      <w:pPr>
        <w:tabs>
          <w:tab w:val="left" w:pos="851"/>
        </w:tabs>
        <w:ind w:left="851"/>
        <w:rPr>
          <w:sz w:val="24"/>
          <w:szCs w:val="24"/>
        </w:rPr>
      </w:pPr>
    </w:p>
    <w:p w14:paraId="1B4BE50B" w14:textId="77777777" w:rsidR="003D4F3C" w:rsidRPr="003D4F3C" w:rsidRDefault="003D4F3C" w:rsidP="003D4F3C">
      <w:pPr>
        <w:tabs>
          <w:tab w:val="left" w:pos="851"/>
        </w:tabs>
        <w:ind w:left="851"/>
        <w:rPr>
          <w:sz w:val="24"/>
          <w:szCs w:val="24"/>
        </w:rPr>
      </w:pPr>
      <w:r w:rsidRPr="003D4F3C">
        <w:rPr>
          <w:sz w:val="24"/>
          <w:szCs w:val="24"/>
        </w:rPr>
        <w:t xml:space="preserve">Efter rekonstitution eller rekonstitution og fortynding er opløsningen fysisk og kemisk stabil i 12 timer ved 25 </w:t>
      </w:r>
      <w:r w:rsidRPr="003D4F3C">
        <w:rPr>
          <w:sz w:val="24"/>
          <w:szCs w:val="24"/>
        </w:rPr>
        <w:sym w:font="Symbol" w:char="F0B0"/>
      </w:r>
      <w:r w:rsidRPr="003D4F3C">
        <w:rPr>
          <w:sz w:val="24"/>
          <w:szCs w:val="24"/>
        </w:rPr>
        <w:t>C.</w:t>
      </w:r>
    </w:p>
    <w:p w14:paraId="499E8A52" w14:textId="77777777" w:rsidR="003D4F3C" w:rsidRPr="003D4F3C" w:rsidRDefault="003D4F3C" w:rsidP="003D4F3C">
      <w:pPr>
        <w:tabs>
          <w:tab w:val="left" w:pos="851"/>
        </w:tabs>
        <w:ind w:left="851"/>
        <w:rPr>
          <w:sz w:val="24"/>
          <w:szCs w:val="24"/>
        </w:rPr>
      </w:pPr>
    </w:p>
    <w:p w14:paraId="622D55E3" w14:textId="77777777" w:rsidR="003D4F3C" w:rsidRPr="003D4F3C" w:rsidRDefault="003D4F3C" w:rsidP="003D4F3C">
      <w:pPr>
        <w:tabs>
          <w:tab w:val="left" w:pos="851"/>
        </w:tabs>
        <w:ind w:left="851"/>
        <w:rPr>
          <w:sz w:val="24"/>
          <w:szCs w:val="24"/>
        </w:rPr>
      </w:pPr>
      <w:r w:rsidRPr="003D4F3C">
        <w:rPr>
          <w:sz w:val="24"/>
          <w:szCs w:val="24"/>
        </w:rPr>
        <w:t>Efter rekonstituering eller rekonstituering og fortynding skal hætteglasset opbevares i den ydre karton for at beskytte mod lys.</w:t>
      </w:r>
    </w:p>
    <w:p w14:paraId="0044C71A" w14:textId="77777777" w:rsidR="003D4F3C" w:rsidRPr="003D4F3C" w:rsidRDefault="003D4F3C" w:rsidP="003D4F3C">
      <w:pPr>
        <w:tabs>
          <w:tab w:val="left" w:pos="851"/>
        </w:tabs>
        <w:ind w:left="851"/>
        <w:rPr>
          <w:sz w:val="24"/>
          <w:szCs w:val="24"/>
        </w:rPr>
      </w:pPr>
    </w:p>
    <w:p w14:paraId="6996D78E" w14:textId="77777777" w:rsidR="003D4F3C" w:rsidRPr="003D4F3C" w:rsidRDefault="003D4F3C" w:rsidP="003D4F3C">
      <w:pPr>
        <w:tabs>
          <w:tab w:val="left" w:pos="851"/>
        </w:tabs>
        <w:ind w:left="851"/>
        <w:rPr>
          <w:sz w:val="24"/>
          <w:szCs w:val="24"/>
        </w:rPr>
      </w:pPr>
      <w:r w:rsidRPr="003D4F3C">
        <w:rPr>
          <w:sz w:val="24"/>
          <w:szCs w:val="24"/>
        </w:rPr>
        <w:t xml:space="preserve">Ud fra et mikrobiologisk synspunkt skal opløsningen anvendes med det samme. </w:t>
      </w:r>
    </w:p>
    <w:p w14:paraId="5AD85BBF" w14:textId="77777777" w:rsidR="003D4F3C" w:rsidRPr="003D4F3C" w:rsidRDefault="003D4F3C" w:rsidP="003D4F3C">
      <w:pPr>
        <w:tabs>
          <w:tab w:val="left" w:pos="851"/>
        </w:tabs>
        <w:ind w:left="851"/>
        <w:rPr>
          <w:sz w:val="24"/>
          <w:szCs w:val="24"/>
        </w:rPr>
      </w:pPr>
    </w:p>
    <w:p w14:paraId="39448B99" w14:textId="77777777" w:rsidR="003D4F3C" w:rsidRPr="003D4F3C" w:rsidRDefault="003D4F3C" w:rsidP="003D4F3C">
      <w:pPr>
        <w:tabs>
          <w:tab w:val="left" w:pos="851"/>
        </w:tabs>
        <w:ind w:left="851"/>
        <w:rPr>
          <w:sz w:val="24"/>
          <w:szCs w:val="24"/>
        </w:rPr>
      </w:pPr>
      <w:r w:rsidRPr="003D4F3C">
        <w:rPr>
          <w:sz w:val="24"/>
          <w:szCs w:val="24"/>
        </w:rPr>
        <w:t>Hvis opløsningen ikke anvendes med det samme, er andre opbevaringstider og -betingelser brugerens ansvar.</w:t>
      </w:r>
    </w:p>
    <w:p w14:paraId="4181A4D3" w14:textId="77777777" w:rsidR="009260DE" w:rsidRPr="00C84483" w:rsidRDefault="009260DE" w:rsidP="009260DE">
      <w:pPr>
        <w:tabs>
          <w:tab w:val="left" w:pos="851"/>
        </w:tabs>
        <w:ind w:left="851"/>
        <w:rPr>
          <w:sz w:val="24"/>
          <w:szCs w:val="24"/>
        </w:rPr>
      </w:pPr>
    </w:p>
    <w:p w14:paraId="259D044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01B341A" w14:textId="77777777" w:rsidR="003D4F3C" w:rsidRPr="003D4F3C" w:rsidRDefault="003D4F3C" w:rsidP="003D4F3C">
      <w:pPr>
        <w:tabs>
          <w:tab w:val="left" w:pos="851"/>
        </w:tabs>
        <w:ind w:left="851"/>
        <w:rPr>
          <w:sz w:val="24"/>
          <w:szCs w:val="24"/>
        </w:rPr>
      </w:pPr>
      <w:r w:rsidRPr="003D4F3C">
        <w:rPr>
          <w:sz w:val="24"/>
          <w:szCs w:val="24"/>
        </w:rPr>
        <w:t>Der er ingen særlige krav vedrørende opbevaringstemperaturer for dette lægemiddel.</w:t>
      </w:r>
    </w:p>
    <w:p w14:paraId="6EAA8EFA" w14:textId="77777777" w:rsidR="003D4F3C" w:rsidRPr="003D4F3C" w:rsidRDefault="003D4F3C" w:rsidP="003D4F3C">
      <w:pPr>
        <w:tabs>
          <w:tab w:val="left" w:pos="851"/>
        </w:tabs>
        <w:ind w:left="851"/>
        <w:rPr>
          <w:sz w:val="24"/>
          <w:szCs w:val="24"/>
        </w:rPr>
      </w:pPr>
      <w:r w:rsidRPr="003D4F3C">
        <w:rPr>
          <w:sz w:val="24"/>
          <w:szCs w:val="24"/>
        </w:rPr>
        <w:t>Opbevar hætteglasset i den ydre karton for at beskytte mod lys.</w:t>
      </w:r>
    </w:p>
    <w:p w14:paraId="203BFC3E" w14:textId="77777777" w:rsidR="003D4F3C" w:rsidRPr="003D4F3C" w:rsidRDefault="003D4F3C" w:rsidP="003D4F3C">
      <w:pPr>
        <w:tabs>
          <w:tab w:val="left" w:pos="851"/>
        </w:tabs>
        <w:ind w:left="851"/>
        <w:rPr>
          <w:sz w:val="24"/>
          <w:szCs w:val="24"/>
        </w:rPr>
      </w:pPr>
    </w:p>
    <w:p w14:paraId="38488DE5" w14:textId="3EA14E24" w:rsidR="003D4F3C" w:rsidRPr="003D4F3C" w:rsidRDefault="003D4F3C" w:rsidP="003D4F3C">
      <w:pPr>
        <w:tabs>
          <w:tab w:val="left" w:pos="851"/>
        </w:tabs>
        <w:ind w:left="851"/>
        <w:rPr>
          <w:sz w:val="24"/>
          <w:szCs w:val="24"/>
        </w:rPr>
      </w:pPr>
      <w:r w:rsidRPr="003D4F3C">
        <w:rPr>
          <w:sz w:val="24"/>
          <w:szCs w:val="24"/>
        </w:rPr>
        <w:t>Opbevaringsforhold efter rekonstitution og fortynding af lægemidlet, se pkt. 6.3</w:t>
      </w:r>
      <w:r>
        <w:rPr>
          <w:sz w:val="24"/>
          <w:szCs w:val="24"/>
        </w:rPr>
        <w:t>.</w:t>
      </w:r>
    </w:p>
    <w:p w14:paraId="6D3EA6D7" w14:textId="77777777" w:rsidR="009260DE" w:rsidRPr="00C84483" w:rsidRDefault="009260DE" w:rsidP="009260DE">
      <w:pPr>
        <w:tabs>
          <w:tab w:val="left" w:pos="851"/>
        </w:tabs>
        <w:ind w:left="851"/>
        <w:rPr>
          <w:sz w:val="24"/>
          <w:szCs w:val="24"/>
        </w:rPr>
      </w:pPr>
    </w:p>
    <w:p w14:paraId="179366E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05E5591" w14:textId="6ECF966D" w:rsidR="003D4F3C" w:rsidRPr="003D4F3C" w:rsidRDefault="003D4F3C" w:rsidP="003D4F3C">
      <w:pPr>
        <w:tabs>
          <w:tab w:val="left" w:pos="851"/>
        </w:tabs>
        <w:ind w:left="851"/>
        <w:rPr>
          <w:sz w:val="24"/>
          <w:szCs w:val="24"/>
        </w:rPr>
      </w:pPr>
      <w:r w:rsidRPr="003D4F3C">
        <w:rPr>
          <w:sz w:val="24"/>
          <w:szCs w:val="24"/>
        </w:rPr>
        <w:t>10 ml klar</w:t>
      </w:r>
      <w:r>
        <w:rPr>
          <w:sz w:val="24"/>
          <w:szCs w:val="24"/>
        </w:rPr>
        <w:t>t</w:t>
      </w:r>
      <w:r w:rsidRPr="003D4F3C">
        <w:rPr>
          <w:sz w:val="24"/>
          <w:szCs w:val="24"/>
        </w:rPr>
        <w:t xml:space="preserve"> hætteglas (type I) med aluminiumslåg og chlorbutylprop indeholdende 40 mg pulver til injektionsvæske, opløsning.</w:t>
      </w:r>
    </w:p>
    <w:p w14:paraId="4E0575F7" w14:textId="77777777" w:rsidR="003D4F3C" w:rsidRPr="003D4F3C" w:rsidRDefault="003D4F3C" w:rsidP="003D4F3C">
      <w:pPr>
        <w:tabs>
          <w:tab w:val="left" w:pos="851"/>
        </w:tabs>
        <w:ind w:left="851"/>
        <w:rPr>
          <w:sz w:val="24"/>
          <w:szCs w:val="24"/>
        </w:rPr>
      </w:pPr>
    </w:p>
    <w:p w14:paraId="428B59D9" w14:textId="7B8E1841" w:rsidR="003D4F3C" w:rsidRPr="003D4F3C" w:rsidRDefault="003D4F3C" w:rsidP="003D4F3C">
      <w:pPr>
        <w:tabs>
          <w:tab w:val="left" w:pos="851"/>
        </w:tabs>
        <w:ind w:left="851"/>
        <w:rPr>
          <w:sz w:val="24"/>
          <w:szCs w:val="24"/>
          <w:u w:val="single"/>
        </w:rPr>
      </w:pPr>
      <w:r w:rsidRPr="003D4F3C">
        <w:rPr>
          <w:sz w:val="24"/>
          <w:szCs w:val="24"/>
          <w:u w:val="single"/>
        </w:rPr>
        <w:t>Pakningsstørrelser</w:t>
      </w:r>
    </w:p>
    <w:p w14:paraId="7702C0DB" w14:textId="74B1812C" w:rsidR="003D4F3C" w:rsidRPr="003D4F3C" w:rsidRDefault="003D4F3C" w:rsidP="003D4F3C">
      <w:pPr>
        <w:tabs>
          <w:tab w:val="left" w:pos="851"/>
        </w:tabs>
        <w:ind w:left="851"/>
        <w:rPr>
          <w:sz w:val="24"/>
          <w:szCs w:val="24"/>
        </w:rPr>
      </w:pPr>
      <w:r w:rsidRPr="003D4F3C">
        <w:rPr>
          <w:sz w:val="24"/>
          <w:szCs w:val="24"/>
        </w:rPr>
        <w:t>1 hætteglas og 10 (10</w:t>
      </w:r>
      <w:r>
        <w:rPr>
          <w:sz w:val="24"/>
          <w:szCs w:val="24"/>
        </w:rPr>
        <w:t>×</w:t>
      </w:r>
      <w:r w:rsidRPr="003D4F3C">
        <w:rPr>
          <w:sz w:val="24"/>
          <w:szCs w:val="24"/>
        </w:rPr>
        <w:t>1) hætteglas.</w:t>
      </w:r>
    </w:p>
    <w:p w14:paraId="3FAD8865" w14:textId="404FD2F2" w:rsidR="003D4F3C" w:rsidRPr="003D4F3C" w:rsidRDefault="003D4F3C" w:rsidP="003D4F3C">
      <w:pPr>
        <w:tabs>
          <w:tab w:val="left" w:pos="851"/>
        </w:tabs>
        <w:ind w:left="851"/>
        <w:rPr>
          <w:sz w:val="24"/>
          <w:szCs w:val="24"/>
        </w:rPr>
      </w:pPr>
      <w:r w:rsidRPr="003D4F3C">
        <w:rPr>
          <w:sz w:val="24"/>
          <w:szCs w:val="24"/>
        </w:rPr>
        <w:t xml:space="preserve">Multipakning med 50 (2 pakker </w:t>
      </w:r>
      <w:r>
        <w:rPr>
          <w:sz w:val="24"/>
          <w:szCs w:val="24"/>
        </w:rPr>
        <w:t>á</w:t>
      </w:r>
      <w:r w:rsidRPr="003D4F3C">
        <w:rPr>
          <w:sz w:val="24"/>
          <w:szCs w:val="24"/>
        </w:rPr>
        <w:t xml:space="preserve"> 25) hætteglas.</w:t>
      </w:r>
    </w:p>
    <w:p w14:paraId="7F5667D3" w14:textId="77777777" w:rsidR="003D4F3C" w:rsidRPr="003D4F3C" w:rsidRDefault="003D4F3C" w:rsidP="003D4F3C">
      <w:pPr>
        <w:tabs>
          <w:tab w:val="left" w:pos="851"/>
        </w:tabs>
        <w:ind w:left="851"/>
        <w:rPr>
          <w:sz w:val="24"/>
          <w:szCs w:val="24"/>
        </w:rPr>
      </w:pPr>
    </w:p>
    <w:p w14:paraId="30DA0164" w14:textId="77777777" w:rsidR="003D4F3C" w:rsidRPr="003D4F3C" w:rsidRDefault="003D4F3C" w:rsidP="003D4F3C">
      <w:pPr>
        <w:tabs>
          <w:tab w:val="left" w:pos="851"/>
        </w:tabs>
        <w:ind w:left="851"/>
        <w:rPr>
          <w:sz w:val="24"/>
          <w:szCs w:val="24"/>
        </w:rPr>
      </w:pPr>
      <w:r w:rsidRPr="003D4F3C">
        <w:rPr>
          <w:sz w:val="24"/>
          <w:szCs w:val="24"/>
        </w:rPr>
        <w:t>Ikke alle pakningsstørrelser er nødvendigvis markedsført.</w:t>
      </w:r>
    </w:p>
    <w:p w14:paraId="058303B8" w14:textId="77777777" w:rsidR="009260DE" w:rsidRPr="00C84483" w:rsidRDefault="009260DE" w:rsidP="009260DE">
      <w:pPr>
        <w:tabs>
          <w:tab w:val="left" w:pos="851"/>
        </w:tabs>
        <w:ind w:left="851"/>
        <w:rPr>
          <w:sz w:val="24"/>
          <w:szCs w:val="24"/>
        </w:rPr>
      </w:pPr>
    </w:p>
    <w:p w14:paraId="0E324E3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947EACE" w14:textId="77777777" w:rsidR="003D4F3C" w:rsidRPr="003D4F3C" w:rsidRDefault="003D4F3C" w:rsidP="003D4F3C">
      <w:pPr>
        <w:tabs>
          <w:tab w:val="left" w:pos="851"/>
        </w:tabs>
        <w:ind w:left="851"/>
        <w:rPr>
          <w:sz w:val="24"/>
          <w:szCs w:val="24"/>
        </w:rPr>
      </w:pPr>
      <w:r w:rsidRPr="003D4F3C">
        <w:rPr>
          <w:sz w:val="24"/>
          <w:szCs w:val="24"/>
        </w:rPr>
        <w:t>En brugsklar opløsning klargøres ved at injicere 10 ml natriumchlorid 9 mg/ml (0,9 %) injektionsvæske i hætteglasset indeholdende pulveret. Efter rekonstitution fremstår præparatet som en klar, gullig opløsning.  Denne opløsning kan administreres direkte eller efter yderligere tilblanding af 100 ml natriumchlorid 9 mg/ml (0,9 %) injektionsvæske eller glucose 5 % (55 mg/ml) injektionsvæske. Beholdere af glas eller plastik skal anvendes ved fortynding.</w:t>
      </w:r>
    </w:p>
    <w:p w14:paraId="4707A2D9" w14:textId="77777777" w:rsidR="003D4F3C" w:rsidRPr="003D4F3C" w:rsidRDefault="003D4F3C" w:rsidP="003D4F3C">
      <w:pPr>
        <w:tabs>
          <w:tab w:val="left" w:pos="851"/>
        </w:tabs>
        <w:ind w:left="851"/>
        <w:rPr>
          <w:sz w:val="24"/>
          <w:szCs w:val="24"/>
        </w:rPr>
      </w:pPr>
    </w:p>
    <w:p w14:paraId="0AFF39A6" w14:textId="77777777" w:rsidR="003D4F3C" w:rsidRPr="003D4F3C" w:rsidRDefault="003D4F3C" w:rsidP="003D4F3C">
      <w:pPr>
        <w:tabs>
          <w:tab w:val="left" w:pos="851"/>
        </w:tabs>
        <w:ind w:left="851"/>
        <w:rPr>
          <w:sz w:val="24"/>
          <w:szCs w:val="24"/>
        </w:rPr>
      </w:pPr>
      <w:r w:rsidRPr="003D4F3C">
        <w:rPr>
          <w:sz w:val="24"/>
          <w:szCs w:val="24"/>
        </w:rPr>
        <w:t xml:space="preserve">Efter rekonstitution eller rekonstitution og fortynding er opløsningen fysisk og kemisk stabil i 12 timer ved 25 </w:t>
      </w:r>
      <w:r w:rsidRPr="003D4F3C">
        <w:rPr>
          <w:sz w:val="24"/>
          <w:szCs w:val="24"/>
        </w:rPr>
        <w:sym w:font="Symbol" w:char="F0B0"/>
      </w:r>
      <w:r w:rsidRPr="003D4F3C">
        <w:rPr>
          <w:sz w:val="24"/>
          <w:szCs w:val="24"/>
        </w:rPr>
        <w:t>C.</w:t>
      </w:r>
    </w:p>
    <w:p w14:paraId="7C534E79" w14:textId="77777777" w:rsidR="003D4F3C" w:rsidRPr="003D4F3C" w:rsidRDefault="003D4F3C" w:rsidP="003D4F3C">
      <w:pPr>
        <w:tabs>
          <w:tab w:val="left" w:pos="851"/>
        </w:tabs>
        <w:ind w:left="851"/>
        <w:rPr>
          <w:sz w:val="24"/>
          <w:szCs w:val="24"/>
        </w:rPr>
      </w:pPr>
    </w:p>
    <w:p w14:paraId="22F66880" w14:textId="77777777" w:rsidR="003D4F3C" w:rsidRPr="003D4F3C" w:rsidRDefault="003D4F3C" w:rsidP="003D4F3C">
      <w:pPr>
        <w:tabs>
          <w:tab w:val="left" w:pos="851"/>
        </w:tabs>
        <w:ind w:left="851"/>
        <w:rPr>
          <w:sz w:val="24"/>
          <w:szCs w:val="24"/>
        </w:rPr>
      </w:pPr>
      <w:r w:rsidRPr="003D4F3C">
        <w:rPr>
          <w:sz w:val="24"/>
          <w:szCs w:val="24"/>
        </w:rPr>
        <w:t>Ud fra et mikrobiologisk synspunkt skal opløsningen anvendes med det samme.</w:t>
      </w:r>
    </w:p>
    <w:p w14:paraId="6213C9BE" w14:textId="77777777" w:rsidR="003D4F3C" w:rsidRPr="003D4F3C" w:rsidRDefault="003D4F3C" w:rsidP="003D4F3C">
      <w:pPr>
        <w:tabs>
          <w:tab w:val="left" w:pos="851"/>
        </w:tabs>
        <w:ind w:left="851"/>
        <w:rPr>
          <w:sz w:val="24"/>
          <w:szCs w:val="24"/>
        </w:rPr>
      </w:pPr>
    </w:p>
    <w:p w14:paraId="2C2F76A9" w14:textId="77777777" w:rsidR="003D4F3C" w:rsidRPr="003D4F3C" w:rsidRDefault="003D4F3C" w:rsidP="003D4F3C">
      <w:pPr>
        <w:tabs>
          <w:tab w:val="left" w:pos="851"/>
        </w:tabs>
        <w:ind w:left="851"/>
        <w:rPr>
          <w:sz w:val="24"/>
          <w:szCs w:val="24"/>
        </w:rPr>
      </w:pPr>
      <w:r w:rsidRPr="003D4F3C">
        <w:rPr>
          <w:sz w:val="24"/>
          <w:szCs w:val="24"/>
        </w:rPr>
        <w:t xml:space="preserve">Pantoprazol "SUN Pharma" pulver til injektionsvæske må ikke tilberedes eller blandes med andre opløsningsmidler end de nævnte. </w:t>
      </w:r>
    </w:p>
    <w:p w14:paraId="33E7F5CE" w14:textId="77777777" w:rsidR="003D4F3C" w:rsidRPr="003D4F3C" w:rsidRDefault="003D4F3C" w:rsidP="003D4F3C">
      <w:pPr>
        <w:tabs>
          <w:tab w:val="left" w:pos="851"/>
        </w:tabs>
        <w:ind w:left="851"/>
        <w:rPr>
          <w:sz w:val="24"/>
          <w:szCs w:val="24"/>
        </w:rPr>
      </w:pPr>
    </w:p>
    <w:p w14:paraId="64CDB374" w14:textId="77777777" w:rsidR="003D4F3C" w:rsidRPr="003D4F3C" w:rsidRDefault="003D4F3C" w:rsidP="003D4F3C">
      <w:pPr>
        <w:tabs>
          <w:tab w:val="left" w:pos="851"/>
        </w:tabs>
        <w:ind w:left="851"/>
        <w:rPr>
          <w:sz w:val="24"/>
          <w:szCs w:val="24"/>
        </w:rPr>
      </w:pPr>
      <w:r w:rsidRPr="003D4F3C">
        <w:rPr>
          <w:sz w:val="24"/>
          <w:szCs w:val="24"/>
        </w:rPr>
        <w:t>Lægemidler bør administreres intravenøst over 2-15 minutter.</w:t>
      </w:r>
    </w:p>
    <w:p w14:paraId="426A5E41" w14:textId="77777777" w:rsidR="003D4F3C" w:rsidRPr="003D4F3C" w:rsidRDefault="003D4F3C" w:rsidP="003D4F3C">
      <w:pPr>
        <w:tabs>
          <w:tab w:val="left" w:pos="851"/>
        </w:tabs>
        <w:ind w:left="851"/>
        <w:rPr>
          <w:sz w:val="24"/>
          <w:szCs w:val="24"/>
        </w:rPr>
      </w:pPr>
    </w:p>
    <w:p w14:paraId="05AEB9C9" w14:textId="77777777" w:rsidR="003D4F3C" w:rsidRPr="003D4F3C" w:rsidRDefault="003D4F3C" w:rsidP="003D4F3C">
      <w:pPr>
        <w:tabs>
          <w:tab w:val="left" w:pos="851"/>
        </w:tabs>
        <w:ind w:left="851"/>
        <w:rPr>
          <w:sz w:val="24"/>
          <w:szCs w:val="24"/>
        </w:rPr>
      </w:pPr>
      <w:r w:rsidRPr="003D4F3C">
        <w:rPr>
          <w:sz w:val="24"/>
          <w:szCs w:val="24"/>
        </w:rPr>
        <w:t>Hætteglassets indhold er kun til engangsbrug. Hvis hætteglasset indeholder rester af præparatet, eller hvis det har ændret udseende (f.eks. hvis det er uklart eller har dannet bundfald), skal præparatet destrueres i henhold til lokale retningslinjer.</w:t>
      </w:r>
    </w:p>
    <w:p w14:paraId="60E3CE57" w14:textId="77777777" w:rsidR="009260DE" w:rsidRPr="00C84483" w:rsidRDefault="009260DE" w:rsidP="000730CA">
      <w:pPr>
        <w:tabs>
          <w:tab w:val="left" w:pos="851"/>
        </w:tabs>
        <w:ind w:left="851"/>
        <w:rPr>
          <w:sz w:val="24"/>
          <w:szCs w:val="24"/>
        </w:rPr>
      </w:pPr>
    </w:p>
    <w:p w14:paraId="1E6FD53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DC99EDD" w14:textId="77777777" w:rsidR="003D4F3C" w:rsidRPr="00C953D4" w:rsidRDefault="003D4F3C" w:rsidP="003D4F3C">
      <w:pPr>
        <w:tabs>
          <w:tab w:val="left" w:pos="851"/>
        </w:tabs>
        <w:ind w:left="851"/>
        <w:rPr>
          <w:sz w:val="24"/>
          <w:szCs w:val="24"/>
        </w:rPr>
      </w:pPr>
      <w:r w:rsidRPr="00C953D4">
        <w:rPr>
          <w:sz w:val="24"/>
          <w:szCs w:val="24"/>
        </w:rPr>
        <w:t>Sun Pharmaceutical Industries Europe B.V.</w:t>
      </w:r>
    </w:p>
    <w:p w14:paraId="5AE03BA8" w14:textId="77777777" w:rsidR="003D4F3C" w:rsidRPr="003D4F3C" w:rsidRDefault="003D4F3C" w:rsidP="003D4F3C">
      <w:pPr>
        <w:tabs>
          <w:tab w:val="left" w:pos="851"/>
        </w:tabs>
        <w:ind w:left="851"/>
        <w:rPr>
          <w:sz w:val="24"/>
          <w:szCs w:val="24"/>
        </w:rPr>
      </w:pPr>
      <w:r w:rsidRPr="003D4F3C">
        <w:rPr>
          <w:sz w:val="24"/>
          <w:szCs w:val="24"/>
        </w:rPr>
        <w:t>Polarisavenue 87</w:t>
      </w:r>
    </w:p>
    <w:p w14:paraId="675D7EC9" w14:textId="77777777" w:rsidR="003D4F3C" w:rsidRPr="003D4F3C" w:rsidRDefault="003D4F3C" w:rsidP="003D4F3C">
      <w:pPr>
        <w:tabs>
          <w:tab w:val="left" w:pos="851"/>
        </w:tabs>
        <w:ind w:left="851"/>
        <w:rPr>
          <w:sz w:val="24"/>
          <w:szCs w:val="24"/>
        </w:rPr>
      </w:pPr>
      <w:r w:rsidRPr="003D4F3C">
        <w:rPr>
          <w:sz w:val="24"/>
          <w:szCs w:val="24"/>
        </w:rPr>
        <w:t>2132JH Hoofddorp</w:t>
      </w:r>
    </w:p>
    <w:p w14:paraId="08D5CE4C" w14:textId="77777777" w:rsidR="003D4F3C" w:rsidRPr="003D4F3C" w:rsidRDefault="003D4F3C" w:rsidP="003D4F3C">
      <w:pPr>
        <w:tabs>
          <w:tab w:val="left" w:pos="851"/>
        </w:tabs>
        <w:ind w:left="851"/>
        <w:rPr>
          <w:sz w:val="24"/>
          <w:szCs w:val="24"/>
        </w:rPr>
      </w:pPr>
      <w:r w:rsidRPr="003D4F3C">
        <w:rPr>
          <w:sz w:val="24"/>
          <w:szCs w:val="24"/>
        </w:rPr>
        <w:t>Nederlandene</w:t>
      </w:r>
    </w:p>
    <w:p w14:paraId="1D8FC6D2" w14:textId="77777777" w:rsidR="009260DE" w:rsidRDefault="009260DE" w:rsidP="009260DE">
      <w:pPr>
        <w:tabs>
          <w:tab w:val="left" w:pos="851"/>
        </w:tabs>
        <w:ind w:left="851"/>
        <w:rPr>
          <w:sz w:val="24"/>
          <w:szCs w:val="24"/>
        </w:rPr>
      </w:pPr>
    </w:p>
    <w:p w14:paraId="7AB53DA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60C2C3C" w14:textId="17B909BB" w:rsidR="009260DE" w:rsidRPr="00C84483" w:rsidRDefault="006C6341" w:rsidP="009260DE">
      <w:pPr>
        <w:tabs>
          <w:tab w:val="left" w:pos="851"/>
        </w:tabs>
        <w:ind w:left="851"/>
        <w:rPr>
          <w:sz w:val="24"/>
          <w:szCs w:val="24"/>
        </w:rPr>
      </w:pPr>
      <w:r>
        <w:rPr>
          <w:sz w:val="24"/>
          <w:szCs w:val="24"/>
        </w:rPr>
        <w:t>70653</w:t>
      </w:r>
    </w:p>
    <w:p w14:paraId="6C09A7BA" w14:textId="77777777" w:rsidR="009260DE" w:rsidRPr="00C84483" w:rsidRDefault="009260DE" w:rsidP="009260DE">
      <w:pPr>
        <w:tabs>
          <w:tab w:val="left" w:pos="851"/>
        </w:tabs>
        <w:ind w:left="851"/>
        <w:jc w:val="both"/>
        <w:rPr>
          <w:sz w:val="24"/>
          <w:szCs w:val="24"/>
        </w:rPr>
      </w:pPr>
    </w:p>
    <w:p w14:paraId="497471A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339AAEE" w14:textId="363EC0EC" w:rsidR="009260DE" w:rsidRPr="00C84483" w:rsidRDefault="00C953D4" w:rsidP="009260DE">
      <w:pPr>
        <w:tabs>
          <w:tab w:val="left" w:pos="851"/>
        </w:tabs>
        <w:ind w:left="851"/>
        <w:rPr>
          <w:sz w:val="24"/>
          <w:szCs w:val="24"/>
        </w:rPr>
      </w:pPr>
      <w:r>
        <w:rPr>
          <w:sz w:val="24"/>
          <w:szCs w:val="24"/>
        </w:rPr>
        <w:t>3. januar 2025</w:t>
      </w:r>
    </w:p>
    <w:p w14:paraId="265F1EF7" w14:textId="77777777" w:rsidR="009260DE" w:rsidRPr="00C84483" w:rsidRDefault="009260DE" w:rsidP="009260DE">
      <w:pPr>
        <w:tabs>
          <w:tab w:val="left" w:pos="851"/>
        </w:tabs>
        <w:ind w:left="851"/>
        <w:rPr>
          <w:sz w:val="24"/>
          <w:szCs w:val="24"/>
        </w:rPr>
      </w:pPr>
    </w:p>
    <w:p w14:paraId="2A33AD8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B956FBC" w14:textId="57B336B4" w:rsidR="009260DE" w:rsidRPr="00C84483" w:rsidRDefault="006C6341"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C3FF" w14:textId="77777777" w:rsidR="00622A0D" w:rsidRDefault="00622A0D">
      <w:r>
        <w:separator/>
      </w:r>
    </w:p>
  </w:endnote>
  <w:endnote w:type="continuationSeparator" w:id="0">
    <w:p w14:paraId="037223FA" w14:textId="77777777" w:rsidR="00622A0D" w:rsidRDefault="0062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7E3D" w14:textId="77777777" w:rsidR="000259B9" w:rsidRDefault="000259B9">
    <w:pPr>
      <w:pStyle w:val="Sidefod"/>
      <w:pBdr>
        <w:bottom w:val="single" w:sz="6" w:space="1" w:color="auto"/>
      </w:pBdr>
    </w:pPr>
  </w:p>
  <w:p w14:paraId="1E5AAA9A" w14:textId="77777777" w:rsidR="000259B9" w:rsidRDefault="000259B9" w:rsidP="00C42586">
    <w:pPr>
      <w:pStyle w:val="Sidefod"/>
      <w:tabs>
        <w:tab w:val="clear" w:pos="4819"/>
        <w:tab w:val="left" w:pos="8505"/>
      </w:tabs>
      <w:rPr>
        <w:i/>
        <w:sz w:val="18"/>
        <w:szCs w:val="18"/>
      </w:rPr>
    </w:pPr>
  </w:p>
  <w:p w14:paraId="174F9184" w14:textId="1138184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75F9">
      <w:rPr>
        <w:i/>
        <w:noProof/>
        <w:sz w:val="18"/>
        <w:szCs w:val="18"/>
      </w:rPr>
      <w:t>Pantoprazol SUN Pharma,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88AA8" w14:textId="77777777" w:rsidR="00622A0D" w:rsidRDefault="00622A0D">
      <w:r>
        <w:separator/>
      </w:r>
    </w:p>
  </w:footnote>
  <w:footnote w:type="continuationSeparator" w:id="0">
    <w:p w14:paraId="49AF2C50" w14:textId="77777777" w:rsidR="00622A0D" w:rsidRDefault="0062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020836"/>
    <w:multiLevelType w:val="hybridMultilevel"/>
    <w:tmpl w:val="1026F1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0D"/>
    <w:rsid w:val="000259B9"/>
    <w:rsid w:val="00041491"/>
    <w:rsid w:val="00050D16"/>
    <w:rsid w:val="000730CA"/>
    <w:rsid w:val="00074F2A"/>
    <w:rsid w:val="000A1CA8"/>
    <w:rsid w:val="000A466B"/>
    <w:rsid w:val="000B058C"/>
    <w:rsid w:val="000D68B0"/>
    <w:rsid w:val="000E4EE6"/>
    <w:rsid w:val="001454E2"/>
    <w:rsid w:val="001A7A27"/>
    <w:rsid w:val="00206CE8"/>
    <w:rsid w:val="0021526C"/>
    <w:rsid w:val="00283A2B"/>
    <w:rsid w:val="002B30AD"/>
    <w:rsid w:val="002C1EC0"/>
    <w:rsid w:val="002C2C01"/>
    <w:rsid w:val="003A29AE"/>
    <w:rsid w:val="003A32D7"/>
    <w:rsid w:val="003B4074"/>
    <w:rsid w:val="003C769A"/>
    <w:rsid w:val="003D3A90"/>
    <w:rsid w:val="003D4F3C"/>
    <w:rsid w:val="003F1838"/>
    <w:rsid w:val="003F75F9"/>
    <w:rsid w:val="004251C1"/>
    <w:rsid w:val="0045746C"/>
    <w:rsid w:val="0049104B"/>
    <w:rsid w:val="004E3B12"/>
    <w:rsid w:val="00532310"/>
    <w:rsid w:val="00565F0F"/>
    <w:rsid w:val="00594A86"/>
    <w:rsid w:val="00596D86"/>
    <w:rsid w:val="00622A0D"/>
    <w:rsid w:val="00637F5A"/>
    <w:rsid w:val="00641C65"/>
    <w:rsid w:val="006560B1"/>
    <w:rsid w:val="006756DD"/>
    <w:rsid w:val="006C6341"/>
    <w:rsid w:val="0071241E"/>
    <w:rsid w:val="00737275"/>
    <w:rsid w:val="00740EEC"/>
    <w:rsid w:val="0078011A"/>
    <w:rsid w:val="00782AF4"/>
    <w:rsid w:val="00790EE7"/>
    <w:rsid w:val="007B6649"/>
    <w:rsid w:val="0082576E"/>
    <w:rsid w:val="0089346F"/>
    <w:rsid w:val="00907F75"/>
    <w:rsid w:val="009260DE"/>
    <w:rsid w:val="0093258A"/>
    <w:rsid w:val="00932645"/>
    <w:rsid w:val="009C7BA3"/>
    <w:rsid w:val="009D1F5A"/>
    <w:rsid w:val="009E1774"/>
    <w:rsid w:val="00A10294"/>
    <w:rsid w:val="00B003BF"/>
    <w:rsid w:val="00B373D7"/>
    <w:rsid w:val="00B55271"/>
    <w:rsid w:val="00BA1D34"/>
    <w:rsid w:val="00BA76AA"/>
    <w:rsid w:val="00BD7931"/>
    <w:rsid w:val="00BF6243"/>
    <w:rsid w:val="00C36276"/>
    <w:rsid w:val="00C42586"/>
    <w:rsid w:val="00C45F6B"/>
    <w:rsid w:val="00C60CCD"/>
    <w:rsid w:val="00C84483"/>
    <w:rsid w:val="00C953D4"/>
    <w:rsid w:val="00C95551"/>
    <w:rsid w:val="00CB20D7"/>
    <w:rsid w:val="00D020B0"/>
    <w:rsid w:val="00D11748"/>
    <w:rsid w:val="00D237F6"/>
    <w:rsid w:val="00D34D98"/>
    <w:rsid w:val="00D366CF"/>
    <w:rsid w:val="00D93992"/>
    <w:rsid w:val="00E02589"/>
    <w:rsid w:val="00E108AA"/>
    <w:rsid w:val="00E3749A"/>
    <w:rsid w:val="00E7437F"/>
    <w:rsid w:val="00E865B8"/>
    <w:rsid w:val="00EC0B9B"/>
    <w:rsid w:val="00ED5E9F"/>
    <w:rsid w:val="00F00A4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D1772"/>
  <w15:chartTrackingRefBased/>
  <w15:docId w15:val="{B46A9B49-161A-4B7B-B486-132FA1FB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A7A27"/>
    <w:rPr>
      <w:color w:val="0563C1" w:themeColor="hyperlink"/>
      <w:u w:val="single"/>
    </w:rPr>
  </w:style>
  <w:style w:type="character" w:styleId="Ulstomtale">
    <w:name w:val="Unresolved Mention"/>
    <w:basedOn w:val="Standardskrifttypeiafsnit"/>
    <w:uiPriority w:val="99"/>
    <w:semiHidden/>
    <w:unhideWhenUsed/>
    <w:rsid w:val="001A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12</Pages>
  <Words>3522</Words>
  <Characters>23657</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2023110431 mt</dc:description>
  <cp:lastModifiedBy>Hanne Thy Iversen</cp:lastModifiedBy>
  <cp:revision>9</cp:revision>
  <cp:lastPrinted>2012-08-22T08:53:00Z</cp:lastPrinted>
  <dcterms:created xsi:type="dcterms:W3CDTF">2025-01-03T10:42:00Z</dcterms:created>
  <dcterms:modified xsi:type="dcterms:W3CDTF">2025-01-03T13:26:00Z</dcterms:modified>
</cp:coreProperties>
</file>