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E81C7D" w14:textId="77777777" w:rsidR="004A3BF4" w:rsidRPr="00C664F3" w:rsidRDefault="00056601" w:rsidP="004A3BF4">
      <w:pPr>
        <w:rPr>
          <w:sz w:val="24"/>
          <w:szCs w:val="24"/>
          <w:lang w:val="en-GB"/>
        </w:rPr>
      </w:pPr>
      <w:bookmarkStart w:id="0" w:name="_GoBack"/>
      <w:bookmarkEnd w:id="0"/>
      <w:r w:rsidRPr="00C664F3">
        <w:rPr>
          <w:noProof/>
          <w:sz w:val="24"/>
          <w:szCs w:val="24"/>
          <w:lang w:val="en-GB"/>
        </w:rPr>
        <w:drawing>
          <wp:inline distT="0" distB="0" distL="0" distR="0" wp14:anchorId="7FAC9E4B" wp14:editId="1C4192AB">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2C99CB5E" w14:textId="7D2FF0E0" w:rsidR="006B3847" w:rsidRPr="00C664F3" w:rsidRDefault="006B3847" w:rsidP="006B3847">
      <w:pPr>
        <w:rPr>
          <w:sz w:val="24"/>
          <w:szCs w:val="24"/>
          <w:lang w:val="en-GB"/>
        </w:rPr>
      </w:pPr>
    </w:p>
    <w:p w14:paraId="64AC28A8" w14:textId="14E75C45" w:rsidR="00E11F1E" w:rsidRPr="00C664F3" w:rsidRDefault="00E11F1E" w:rsidP="00E11F1E">
      <w:pPr>
        <w:suppressAutoHyphens/>
        <w:rPr>
          <w:b/>
          <w:sz w:val="24"/>
          <w:szCs w:val="24"/>
        </w:rPr>
      </w:pPr>
      <w:r w:rsidRPr="00C664F3">
        <w:rPr>
          <w:b/>
          <w:sz w:val="24"/>
          <w:szCs w:val="24"/>
        </w:rPr>
        <w:t xml:space="preserve">Til orientering er </w:t>
      </w:r>
      <w:proofErr w:type="spellStart"/>
      <w:r w:rsidRPr="00C664F3">
        <w:rPr>
          <w:b/>
          <w:sz w:val="24"/>
          <w:szCs w:val="24"/>
        </w:rPr>
        <w:t>Paracet</w:t>
      </w:r>
      <w:proofErr w:type="spellEnd"/>
      <w:r w:rsidRPr="00C664F3">
        <w:rPr>
          <w:b/>
          <w:sz w:val="24"/>
          <w:szCs w:val="24"/>
        </w:rPr>
        <w:t xml:space="preserve"> 125 mg suppositorier markedsført i Danmark med norske pakninger og norsk indlægsseddel. En dansk indlægsseddel for </w:t>
      </w:r>
      <w:proofErr w:type="spellStart"/>
      <w:r w:rsidRPr="00C664F3">
        <w:rPr>
          <w:b/>
          <w:sz w:val="24"/>
          <w:szCs w:val="24"/>
        </w:rPr>
        <w:t>Paracet</w:t>
      </w:r>
      <w:proofErr w:type="spellEnd"/>
      <w:r w:rsidRPr="00C664F3">
        <w:rPr>
          <w:b/>
          <w:sz w:val="24"/>
          <w:szCs w:val="24"/>
        </w:rPr>
        <w:t xml:space="preserve"> 125</w:t>
      </w:r>
      <w:r w:rsidR="004F4FC8" w:rsidRPr="00C664F3">
        <w:rPr>
          <w:b/>
          <w:sz w:val="24"/>
          <w:szCs w:val="24"/>
        </w:rPr>
        <w:t xml:space="preserve"> </w:t>
      </w:r>
      <w:r w:rsidRPr="00C664F3">
        <w:rPr>
          <w:b/>
          <w:sz w:val="24"/>
          <w:szCs w:val="24"/>
        </w:rPr>
        <w:t>mg kan findes på</w:t>
      </w:r>
      <w:r w:rsidR="004F4FC8" w:rsidRPr="00C664F3">
        <w:rPr>
          <w:b/>
          <w:sz w:val="24"/>
          <w:szCs w:val="24"/>
        </w:rPr>
        <w:t xml:space="preserve"> </w:t>
      </w:r>
      <w:r w:rsidRPr="00C664F3">
        <w:rPr>
          <w:b/>
          <w:sz w:val="24"/>
          <w:szCs w:val="24"/>
        </w:rPr>
        <w:t>www.indlægsseddel.dk</w:t>
      </w:r>
    </w:p>
    <w:p w14:paraId="3338C39A" w14:textId="77777777" w:rsidR="00E11F1E" w:rsidRPr="00420274" w:rsidRDefault="00E11F1E" w:rsidP="006B3847">
      <w:pPr>
        <w:rPr>
          <w:sz w:val="24"/>
          <w:szCs w:val="24"/>
        </w:rPr>
      </w:pPr>
    </w:p>
    <w:p w14:paraId="231B9477" w14:textId="7AA0C3AB" w:rsidR="006B3847" w:rsidRPr="00C664F3" w:rsidRDefault="006B3847" w:rsidP="006B3847">
      <w:pPr>
        <w:tabs>
          <w:tab w:val="right" w:pos="9356"/>
        </w:tabs>
        <w:rPr>
          <w:b/>
          <w:sz w:val="24"/>
          <w:szCs w:val="24"/>
          <w:lang w:val="en-GB"/>
        </w:rPr>
      </w:pPr>
      <w:r w:rsidRPr="00420274">
        <w:rPr>
          <w:b/>
          <w:sz w:val="24"/>
          <w:szCs w:val="24"/>
        </w:rPr>
        <w:tab/>
      </w:r>
      <w:r w:rsidR="007D0E5D" w:rsidRPr="00C664F3">
        <w:rPr>
          <w:b/>
          <w:sz w:val="24"/>
          <w:szCs w:val="24"/>
          <w:lang w:val="en-GB"/>
        </w:rPr>
        <w:t>15 January 2024</w:t>
      </w:r>
    </w:p>
    <w:p w14:paraId="741B5F5C" w14:textId="77777777" w:rsidR="006B3847" w:rsidRPr="00C664F3" w:rsidRDefault="006B3847" w:rsidP="006B3847">
      <w:pPr>
        <w:rPr>
          <w:sz w:val="24"/>
          <w:szCs w:val="24"/>
          <w:lang w:val="en-GB"/>
        </w:rPr>
      </w:pPr>
    </w:p>
    <w:p w14:paraId="59264D39" w14:textId="77777777" w:rsidR="007C5D2A" w:rsidRPr="00C664F3" w:rsidRDefault="007C5D2A" w:rsidP="007C5D2A">
      <w:pPr>
        <w:rPr>
          <w:sz w:val="24"/>
          <w:szCs w:val="24"/>
          <w:lang w:val="en-GB"/>
        </w:rPr>
      </w:pPr>
    </w:p>
    <w:p w14:paraId="2D6D66D7" w14:textId="77777777" w:rsidR="007C5D2A" w:rsidRPr="00C664F3" w:rsidRDefault="007C5D2A" w:rsidP="007C5D2A">
      <w:pPr>
        <w:rPr>
          <w:sz w:val="24"/>
          <w:szCs w:val="24"/>
          <w:lang w:val="en-GB"/>
        </w:rPr>
      </w:pPr>
    </w:p>
    <w:p w14:paraId="590F057E" w14:textId="77777777" w:rsidR="007C5D2A" w:rsidRPr="00C664F3" w:rsidRDefault="007C5D2A" w:rsidP="007C5D2A">
      <w:pPr>
        <w:jc w:val="center"/>
        <w:rPr>
          <w:b/>
          <w:sz w:val="24"/>
          <w:szCs w:val="24"/>
          <w:lang w:val="en-GB"/>
        </w:rPr>
      </w:pPr>
      <w:bookmarkStart w:id="1" w:name="_Hlk49158549"/>
      <w:r w:rsidRPr="00C664F3">
        <w:rPr>
          <w:b/>
          <w:sz w:val="24"/>
          <w:szCs w:val="24"/>
          <w:lang w:val="en-GB"/>
        </w:rPr>
        <w:t>SUMMARY OF PRODUCT CHARACTERISTICS</w:t>
      </w:r>
    </w:p>
    <w:bookmarkEnd w:id="1"/>
    <w:p w14:paraId="3052A63D" w14:textId="77777777" w:rsidR="007C5D2A" w:rsidRPr="00C664F3" w:rsidRDefault="007C5D2A" w:rsidP="007C5D2A">
      <w:pPr>
        <w:jc w:val="center"/>
        <w:rPr>
          <w:sz w:val="24"/>
          <w:szCs w:val="24"/>
          <w:lang w:val="en-GB"/>
        </w:rPr>
      </w:pPr>
    </w:p>
    <w:p w14:paraId="6DC0487A" w14:textId="77777777" w:rsidR="007C5D2A" w:rsidRPr="00C664F3" w:rsidRDefault="007C5D2A" w:rsidP="007C5D2A">
      <w:pPr>
        <w:jc w:val="center"/>
        <w:rPr>
          <w:b/>
          <w:sz w:val="24"/>
          <w:szCs w:val="24"/>
          <w:lang w:val="en-GB"/>
        </w:rPr>
      </w:pPr>
      <w:r w:rsidRPr="00C664F3">
        <w:rPr>
          <w:b/>
          <w:sz w:val="24"/>
          <w:szCs w:val="24"/>
          <w:lang w:val="en-GB"/>
        </w:rPr>
        <w:t>for</w:t>
      </w:r>
    </w:p>
    <w:p w14:paraId="04A953C1" w14:textId="77777777" w:rsidR="007C5D2A" w:rsidRPr="00C664F3" w:rsidRDefault="007C5D2A" w:rsidP="007C5D2A">
      <w:pPr>
        <w:jc w:val="center"/>
        <w:rPr>
          <w:sz w:val="24"/>
          <w:szCs w:val="24"/>
          <w:lang w:val="en-GB"/>
        </w:rPr>
      </w:pPr>
    </w:p>
    <w:p w14:paraId="6EFEC816" w14:textId="7C54F1B8" w:rsidR="007C5D2A" w:rsidRPr="00C664F3" w:rsidRDefault="007D0E5D" w:rsidP="007C5D2A">
      <w:pPr>
        <w:jc w:val="center"/>
        <w:rPr>
          <w:b/>
          <w:sz w:val="24"/>
          <w:szCs w:val="24"/>
          <w:lang w:val="en-GB"/>
        </w:rPr>
      </w:pPr>
      <w:proofErr w:type="spellStart"/>
      <w:r w:rsidRPr="00C664F3">
        <w:rPr>
          <w:b/>
          <w:sz w:val="24"/>
          <w:szCs w:val="24"/>
          <w:lang w:val="en-GB"/>
        </w:rPr>
        <w:t>Paracet</w:t>
      </w:r>
      <w:proofErr w:type="spellEnd"/>
      <w:r w:rsidRPr="00C664F3">
        <w:rPr>
          <w:b/>
          <w:sz w:val="24"/>
          <w:szCs w:val="24"/>
          <w:lang w:val="en-GB"/>
        </w:rPr>
        <w:t>, suppositor</w:t>
      </w:r>
      <w:r w:rsidR="00420274">
        <w:rPr>
          <w:b/>
          <w:sz w:val="24"/>
          <w:szCs w:val="24"/>
          <w:lang w:val="en-GB"/>
        </w:rPr>
        <w:t>ies</w:t>
      </w:r>
    </w:p>
    <w:p w14:paraId="3F4EDDF1" w14:textId="77777777" w:rsidR="007C5D2A" w:rsidRPr="00C664F3" w:rsidRDefault="007C5D2A" w:rsidP="007C5D2A">
      <w:pPr>
        <w:jc w:val="both"/>
        <w:rPr>
          <w:sz w:val="24"/>
          <w:szCs w:val="24"/>
          <w:lang w:val="en-GB"/>
        </w:rPr>
      </w:pPr>
    </w:p>
    <w:p w14:paraId="4FA53A65" w14:textId="77777777" w:rsidR="0042292D" w:rsidRPr="00C664F3" w:rsidRDefault="0042292D" w:rsidP="007C5D2A">
      <w:pPr>
        <w:jc w:val="both"/>
        <w:rPr>
          <w:sz w:val="24"/>
          <w:szCs w:val="24"/>
          <w:lang w:val="en-GB"/>
        </w:rPr>
      </w:pPr>
    </w:p>
    <w:p w14:paraId="10BE1859" w14:textId="77777777" w:rsidR="008F2F8C" w:rsidRPr="00C664F3" w:rsidRDefault="008F2F8C" w:rsidP="008F2F8C">
      <w:pPr>
        <w:tabs>
          <w:tab w:val="left" w:pos="8222"/>
        </w:tabs>
        <w:ind w:left="851" w:hanging="851"/>
        <w:rPr>
          <w:b/>
          <w:sz w:val="24"/>
          <w:szCs w:val="24"/>
          <w:lang w:val="en-GB"/>
        </w:rPr>
      </w:pPr>
      <w:r w:rsidRPr="00C664F3">
        <w:rPr>
          <w:b/>
          <w:sz w:val="24"/>
          <w:szCs w:val="24"/>
          <w:lang w:val="en-GB"/>
        </w:rPr>
        <w:t>0.</w:t>
      </w:r>
      <w:r w:rsidRPr="00C664F3">
        <w:rPr>
          <w:b/>
          <w:sz w:val="24"/>
          <w:szCs w:val="24"/>
          <w:lang w:val="en-GB"/>
        </w:rPr>
        <w:tab/>
      </w:r>
      <w:proofErr w:type="gramStart"/>
      <w:r w:rsidRPr="00C664F3">
        <w:rPr>
          <w:b/>
          <w:sz w:val="24"/>
          <w:szCs w:val="24"/>
          <w:lang w:val="en-GB"/>
        </w:rPr>
        <w:t>D.SP.NO</w:t>
      </w:r>
      <w:proofErr w:type="gramEnd"/>
      <w:r w:rsidRPr="00C664F3">
        <w:rPr>
          <w:b/>
          <w:sz w:val="24"/>
          <w:szCs w:val="24"/>
          <w:lang w:val="en-GB"/>
        </w:rPr>
        <w:t>.</w:t>
      </w:r>
    </w:p>
    <w:p w14:paraId="67B8D822" w14:textId="54BA738E" w:rsidR="008F2F8C" w:rsidRPr="00C664F3" w:rsidRDefault="007D0E5D" w:rsidP="008F2F8C">
      <w:pPr>
        <w:tabs>
          <w:tab w:val="left" w:pos="8222"/>
        </w:tabs>
        <w:ind w:left="851"/>
        <w:rPr>
          <w:sz w:val="24"/>
          <w:szCs w:val="24"/>
          <w:lang w:val="en-GB"/>
        </w:rPr>
      </w:pPr>
      <w:r w:rsidRPr="00C664F3">
        <w:rPr>
          <w:sz w:val="24"/>
          <w:szCs w:val="24"/>
          <w:lang w:val="en-GB"/>
        </w:rPr>
        <w:t>33801</w:t>
      </w:r>
    </w:p>
    <w:p w14:paraId="39488D55" w14:textId="77777777" w:rsidR="007C5D2A" w:rsidRPr="00C664F3" w:rsidRDefault="007C5D2A" w:rsidP="007C5D2A">
      <w:pPr>
        <w:tabs>
          <w:tab w:val="left" w:pos="851"/>
        </w:tabs>
        <w:jc w:val="both"/>
        <w:rPr>
          <w:sz w:val="24"/>
          <w:szCs w:val="24"/>
          <w:lang w:val="en-GB"/>
        </w:rPr>
      </w:pPr>
    </w:p>
    <w:p w14:paraId="2F62CED2" w14:textId="77777777" w:rsidR="007C5D2A" w:rsidRPr="00C664F3" w:rsidRDefault="009925C9" w:rsidP="007C5D2A">
      <w:pPr>
        <w:tabs>
          <w:tab w:val="left" w:pos="851"/>
        </w:tabs>
        <w:ind w:left="851" w:hanging="851"/>
        <w:rPr>
          <w:sz w:val="24"/>
          <w:szCs w:val="24"/>
          <w:lang w:val="en-GB"/>
        </w:rPr>
      </w:pPr>
      <w:r w:rsidRPr="00C664F3">
        <w:rPr>
          <w:b/>
          <w:sz w:val="24"/>
          <w:szCs w:val="24"/>
          <w:lang w:val="en-GB"/>
        </w:rPr>
        <w:t>1.</w:t>
      </w:r>
      <w:r w:rsidR="007C5D2A" w:rsidRPr="00C664F3">
        <w:rPr>
          <w:b/>
          <w:sz w:val="24"/>
          <w:szCs w:val="24"/>
          <w:lang w:val="en-GB"/>
        </w:rPr>
        <w:tab/>
        <w:t>NAME OF THE MEDICINAL PRODUCT</w:t>
      </w:r>
    </w:p>
    <w:p w14:paraId="7CA51910" w14:textId="4FE5F6D3" w:rsidR="007C5D2A" w:rsidRPr="00C664F3" w:rsidRDefault="007D0E5D" w:rsidP="004A3BF4">
      <w:pPr>
        <w:tabs>
          <w:tab w:val="left" w:pos="851"/>
        </w:tabs>
        <w:ind w:left="851"/>
        <w:rPr>
          <w:sz w:val="24"/>
          <w:szCs w:val="24"/>
          <w:lang w:val="en-GB"/>
        </w:rPr>
      </w:pPr>
      <w:proofErr w:type="spellStart"/>
      <w:r w:rsidRPr="00C664F3">
        <w:rPr>
          <w:sz w:val="24"/>
          <w:szCs w:val="24"/>
          <w:lang w:val="en-GB"/>
        </w:rPr>
        <w:t>Paracet</w:t>
      </w:r>
      <w:proofErr w:type="spellEnd"/>
    </w:p>
    <w:p w14:paraId="64BF85A7" w14:textId="77777777" w:rsidR="007C5D2A" w:rsidRPr="00C664F3" w:rsidRDefault="007C5D2A" w:rsidP="004A3BF4">
      <w:pPr>
        <w:tabs>
          <w:tab w:val="left" w:pos="851"/>
        </w:tabs>
        <w:ind w:left="851"/>
        <w:rPr>
          <w:sz w:val="24"/>
          <w:szCs w:val="24"/>
          <w:lang w:val="en-GB"/>
        </w:rPr>
      </w:pPr>
    </w:p>
    <w:p w14:paraId="227747D6" w14:textId="77777777" w:rsidR="007C5D2A" w:rsidRPr="00C664F3" w:rsidRDefault="009925C9" w:rsidP="007C5D2A">
      <w:pPr>
        <w:ind w:left="851" w:hanging="851"/>
        <w:rPr>
          <w:b/>
          <w:sz w:val="24"/>
          <w:szCs w:val="24"/>
          <w:lang w:val="en-GB"/>
        </w:rPr>
      </w:pPr>
      <w:r w:rsidRPr="00C664F3">
        <w:rPr>
          <w:b/>
          <w:sz w:val="24"/>
          <w:szCs w:val="24"/>
          <w:lang w:val="en-GB"/>
        </w:rPr>
        <w:t>2.</w:t>
      </w:r>
      <w:r w:rsidR="007C5D2A" w:rsidRPr="00C664F3">
        <w:rPr>
          <w:b/>
          <w:sz w:val="24"/>
          <w:szCs w:val="24"/>
          <w:lang w:val="en-GB"/>
        </w:rPr>
        <w:tab/>
        <w:t>QUALITATIVE AND QUANTITATIVE COMPOSITION</w:t>
      </w:r>
    </w:p>
    <w:p w14:paraId="6D22E57C" w14:textId="77777777" w:rsidR="008B261A" w:rsidRPr="00C664F3" w:rsidRDefault="008B261A" w:rsidP="00E11F1E">
      <w:pPr>
        <w:ind w:left="851"/>
        <w:rPr>
          <w:sz w:val="24"/>
          <w:szCs w:val="24"/>
          <w:lang w:val="en-GB"/>
        </w:rPr>
      </w:pPr>
      <w:r w:rsidRPr="00C664F3">
        <w:rPr>
          <w:sz w:val="24"/>
          <w:szCs w:val="24"/>
          <w:lang w:val="en-GB"/>
        </w:rPr>
        <w:t>Each suppository contains 60 mg paracetamol.</w:t>
      </w:r>
    </w:p>
    <w:p w14:paraId="6ECABC82" w14:textId="77777777" w:rsidR="008B261A" w:rsidRPr="00C664F3" w:rsidRDefault="008B261A" w:rsidP="00E11F1E">
      <w:pPr>
        <w:ind w:left="851"/>
        <w:rPr>
          <w:sz w:val="24"/>
          <w:szCs w:val="24"/>
          <w:lang w:val="en-GB"/>
        </w:rPr>
      </w:pPr>
      <w:r w:rsidRPr="00C664F3">
        <w:rPr>
          <w:sz w:val="24"/>
          <w:szCs w:val="24"/>
          <w:lang w:val="en-GB"/>
        </w:rPr>
        <w:t>Each suppository contains 125 mg paracetamol.</w:t>
      </w:r>
    </w:p>
    <w:p w14:paraId="72AEA7CE" w14:textId="334FF86C" w:rsidR="008B261A" w:rsidRPr="00C664F3" w:rsidRDefault="008B261A" w:rsidP="00E11F1E">
      <w:pPr>
        <w:ind w:left="851"/>
        <w:rPr>
          <w:sz w:val="24"/>
          <w:szCs w:val="24"/>
          <w:lang w:val="en-GB"/>
        </w:rPr>
      </w:pPr>
      <w:r w:rsidRPr="00C664F3">
        <w:rPr>
          <w:sz w:val="24"/>
          <w:szCs w:val="24"/>
          <w:lang w:val="en-GB"/>
        </w:rPr>
        <w:t>Each suppository contains 250 mg paracetamol.</w:t>
      </w:r>
    </w:p>
    <w:p w14:paraId="31688F49" w14:textId="1DFA23FF" w:rsidR="008B261A" w:rsidRPr="00C664F3" w:rsidRDefault="008B261A" w:rsidP="00E11F1E">
      <w:pPr>
        <w:ind w:left="851"/>
        <w:rPr>
          <w:sz w:val="24"/>
          <w:szCs w:val="24"/>
          <w:lang w:val="en-GB"/>
        </w:rPr>
      </w:pPr>
      <w:r w:rsidRPr="00C664F3">
        <w:rPr>
          <w:sz w:val="24"/>
          <w:szCs w:val="24"/>
          <w:lang w:val="en-GB"/>
        </w:rPr>
        <w:t>Each suppository contains 500 mg paracetamol.</w:t>
      </w:r>
    </w:p>
    <w:p w14:paraId="134DAA54" w14:textId="628AAD87" w:rsidR="008B261A" w:rsidRPr="00C664F3" w:rsidRDefault="008B261A" w:rsidP="00E11F1E">
      <w:pPr>
        <w:ind w:left="851"/>
        <w:rPr>
          <w:sz w:val="24"/>
          <w:szCs w:val="24"/>
          <w:lang w:val="en-GB"/>
        </w:rPr>
      </w:pPr>
      <w:r w:rsidRPr="00C664F3">
        <w:rPr>
          <w:sz w:val="24"/>
          <w:szCs w:val="24"/>
          <w:lang w:val="en-GB"/>
        </w:rPr>
        <w:t>Each suppository contains 1 g paracetamol.</w:t>
      </w:r>
    </w:p>
    <w:p w14:paraId="258C24F2" w14:textId="77777777" w:rsidR="008B261A" w:rsidRPr="00C664F3" w:rsidRDefault="008B261A" w:rsidP="00E11F1E">
      <w:pPr>
        <w:ind w:left="851"/>
        <w:rPr>
          <w:sz w:val="24"/>
          <w:szCs w:val="24"/>
          <w:lang w:val="en-GB"/>
        </w:rPr>
      </w:pPr>
    </w:p>
    <w:p w14:paraId="0C7215E2" w14:textId="77777777" w:rsidR="008B261A" w:rsidRPr="00C664F3" w:rsidRDefault="008B261A" w:rsidP="00E11F1E">
      <w:pPr>
        <w:ind w:left="851"/>
        <w:rPr>
          <w:sz w:val="24"/>
          <w:szCs w:val="24"/>
          <w:lang w:val="en-GB"/>
        </w:rPr>
      </w:pPr>
      <w:r w:rsidRPr="00C664F3">
        <w:rPr>
          <w:sz w:val="24"/>
          <w:szCs w:val="24"/>
          <w:lang w:val="en-GB"/>
        </w:rPr>
        <w:t>For the full list of excipients, see section 6.1.</w:t>
      </w:r>
    </w:p>
    <w:p w14:paraId="3CECA95D" w14:textId="77777777" w:rsidR="007C5D2A" w:rsidRPr="00C664F3" w:rsidRDefault="007C5D2A" w:rsidP="004A3BF4">
      <w:pPr>
        <w:tabs>
          <w:tab w:val="left" w:pos="851"/>
        </w:tabs>
        <w:ind w:left="851"/>
        <w:rPr>
          <w:sz w:val="24"/>
          <w:szCs w:val="24"/>
          <w:lang w:val="en-GB"/>
        </w:rPr>
      </w:pPr>
    </w:p>
    <w:p w14:paraId="5E2A1F90" w14:textId="77777777" w:rsidR="007C5D2A" w:rsidRPr="00C664F3" w:rsidRDefault="007C5D2A" w:rsidP="007C5D2A">
      <w:pPr>
        <w:tabs>
          <w:tab w:val="left" w:pos="851"/>
        </w:tabs>
        <w:ind w:left="851" w:hanging="851"/>
        <w:rPr>
          <w:b/>
          <w:sz w:val="24"/>
          <w:szCs w:val="24"/>
          <w:lang w:val="en-GB"/>
        </w:rPr>
      </w:pPr>
      <w:r w:rsidRPr="00C664F3">
        <w:rPr>
          <w:b/>
          <w:sz w:val="24"/>
          <w:szCs w:val="24"/>
          <w:lang w:val="en-GB"/>
        </w:rPr>
        <w:t>3.</w:t>
      </w:r>
      <w:r w:rsidRPr="00C664F3">
        <w:rPr>
          <w:b/>
          <w:sz w:val="24"/>
          <w:szCs w:val="24"/>
          <w:lang w:val="en-GB"/>
        </w:rPr>
        <w:tab/>
        <w:t>PHARMACEUTICAL FORM</w:t>
      </w:r>
    </w:p>
    <w:p w14:paraId="5FF1FA02" w14:textId="3FC07861" w:rsidR="008B261A" w:rsidRPr="00C664F3" w:rsidRDefault="008B261A" w:rsidP="00E11F1E">
      <w:pPr>
        <w:ind w:left="851"/>
        <w:rPr>
          <w:sz w:val="24"/>
          <w:szCs w:val="24"/>
          <w:lang w:val="en-GB"/>
        </w:rPr>
      </w:pPr>
      <w:r w:rsidRPr="00C664F3">
        <w:rPr>
          <w:sz w:val="24"/>
          <w:szCs w:val="24"/>
          <w:lang w:val="en-GB"/>
        </w:rPr>
        <w:t>Suppositor</w:t>
      </w:r>
      <w:r w:rsidR="00420274">
        <w:rPr>
          <w:sz w:val="24"/>
          <w:szCs w:val="24"/>
          <w:lang w:val="en-GB"/>
        </w:rPr>
        <w:t>ies</w:t>
      </w:r>
    </w:p>
    <w:p w14:paraId="6111170F" w14:textId="77777777" w:rsidR="008B261A" w:rsidRPr="00C664F3" w:rsidRDefault="008B261A" w:rsidP="00E11F1E">
      <w:pPr>
        <w:ind w:left="851"/>
        <w:rPr>
          <w:sz w:val="24"/>
          <w:szCs w:val="24"/>
          <w:lang w:val="en-GB"/>
        </w:rPr>
      </w:pPr>
      <w:r w:rsidRPr="00C664F3">
        <w:rPr>
          <w:sz w:val="24"/>
          <w:szCs w:val="24"/>
          <w:lang w:val="en-GB"/>
        </w:rPr>
        <w:t>White, torpedo-shaped suppositories.</w:t>
      </w:r>
    </w:p>
    <w:p w14:paraId="3D76247A" w14:textId="77777777" w:rsidR="007C5D2A" w:rsidRPr="00C664F3" w:rsidRDefault="007C5D2A" w:rsidP="004A3BF4">
      <w:pPr>
        <w:tabs>
          <w:tab w:val="left" w:pos="851"/>
        </w:tabs>
        <w:ind w:left="851"/>
        <w:rPr>
          <w:sz w:val="24"/>
          <w:szCs w:val="24"/>
          <w:lang w:val="en-GB"/>
        </w:rPr>
      </w:pPr>
    </w:p>
    <w:p w14:paraId="78622BF7" w14:textId="77777777" w:rsidR="007C5D2A" w:rsidRPr="00C664F3" w:rsidRDefault="007C5D2A" w:rsidP="004A3BF4">
      <w:pPr>
        <w:tabs>
          <w:tab w:val="left" w:pos="851"/>
        </w:tabs>
        <w:ind w:left="851"/>
        <w:rPr>
          <w:sz w:val="24"/>
          <w:szCs w:val="24"/>
          <w:lang w:val="en-GB"/>
        </w:rPr>
      </w:pPr>
    </w:p>
    <w:p w14:paraId="693DA627" w14:textId="77777777" w:rsidR="007C5D2A" w:rsidRPr="00C664F3" w:rsidRDefault="007C5D2A" w:rsidP="007C5D2A">
      <w:pPr>
        <w:ind w:left="851" w:hanging="851"/>
        <w:rPr>
          <w:b/>
          <w:sz w:val="24"/>
          <w:szCs w:val="24"/>
          <w:lang w:val="en-GB"/>
        </w:rPr>
      </w:pPr>
      <w:r w:rsidRPr="00C664F3">
        <w:rPr>
          <w:b/>
          <w:sz w:val="24"/>
          <w:szCs w:val="24"/>
          <w:lang w:val="en-GB"/>
        </w:rPr>
        <w:t>4.</w:t>
      </w:r>
      <w:r w:rsidRPr="00C664F3">
        <w:rPr>
          <w:b/>
          <w:sz w:val="24"/>
          <w:szCs w:val="24"/>
          <w:lang w:val="en-GB"/>
        </w:rPr>
        <w:tab/>
        <w:t>CLINICAL PARTICULARS</w:t>
      </w:r>
    </w:p>
    <w:p w14:paraId="7D1C1715" w14:textId="77777777" w:rsidR="007C5D2A" w:rsidRPr="00C664F3" w:rsidRDefault="007C5D2A" w:rsidP="004A3BF4">
      <w:pPr>
        <w:tabs>
          <w:tab w:val="left" w:pos="851"/>
        </w:tabs>
        <w:ind w:left="851"/>
        <w:rPr>
          <w:sz w:val="24"/>
          <w:szCs w:val="24"/>
          <w:lang w:val="en-GB"/>
        </w:rPr>
      </w:pPr>
    </w:p>
    <w:p w14:paraId="39AE7691" w14:textId="77777777" w:rsidR="007C5D2A" w:rsidRPr="00C664F3" w:rsidRDefault="007C5D2A" w:rsidP="007C5D2A">
      <w:pPr>
        <w:ind w:left="851" w:hanging="851"/>
        <w:rPr>
          <w:b/>
          <w:sz w:val="24"/>
          <w:szCs w:val="24"/>
          <w:u w:val="single"/>
          <w:lang w:val="en-GB"/>
        </w:rPr>
      </w:pPr>
      <w:r w:rsidRPr="00C664F3">
        <w:rPr>
          <w:b/>
          <w:sz w:val="24"/>
          <w:szCs w:val="24"/>
          <w:lang w:val="en-GB"/>
        </w:rPr>
        <w:t>4.1</w:t>
      </w:r>
      <w:r w:rsidRPr="00C664F3">
        <w:rPr>
          <w:b/>
          <w:sz w:val="24"/>
          <w:szCs w:val="24"/>
          <w:lang w:val="en-GB"/>
        </w:rPr>
        <w:tab/>
        <w:t>Therapeutic indications</w:t>
      </w:r>
    </w:p>
    <w:p w14:paraId="393709D5" w14:textId="51F4A4B3" w:rsidR="00C664F3" w:rsidRDefault="002520A6" w:rsidP="002520A6">
      <w:pPr>
        <w:ind w:left="851"/>
        <w:rPr>
          <w:sz w:val="24"/>
          <w:szCs w:val="24"/>
          <w:lang w:val="en-GB"/>
        </w:rPr>
      </w:pPr>
      <w:proofErr w:type="spellStart"/>
      <w:r w:rsidRPr="00C664F3">
        <w:rPr>
          <w:sz w:val="24"/>
          <w:szCs w:val="24"/>
          <w:lang w:val="en-GB"/>
        </w:rPr>
        <w:t>Paracet</w:t>
      </w:r>
      <w:proofErr w:type="spellEnd"/>
      <w:r w:rsidR="008B261A" w:rsidRPr="00C664F3">
        <w:rPr>
          <w:sz w:val="24"/>
          <w:szCs w:val="24"/>
          <w:lang w:val="en-GB"/>
        </w:rPr>
        <w:t xml:space="preserve"> is indicated for short-term treatment of fever, for example with colds and influenza, and mild to moderate pain, for example headache, toothache, menstrual pain, muscle pain and joint pain. Prevention under medical supervision of complications in high fever, prolonged headaches and muscle and joint symptoms.</w:t>
      </w:r>
      <w:r w:rsidR="008B261A" w:rsidRPr="00C664F3">
        <w:rPr>
          <w:sz w:val="24"/>
          <w:szCs w:val="24"/>
          <w:lang w:val="en-GB"/>
        </w:rPr>
        <w:br/>
      </w:r>
    </w:p>
    <w:p w14:paraId="315F4151" w14:textId="77777777" w:rsidR="00C664F3" w:rsidRDefault="00C664F3">
      <w:pPr>
        <w:rPr>
          <w:sz w:val="24"/>
          <w:szCs w:val="24"/>
          <w:lang w:val="en-GB"/>
        </w:rPr>
      </w:pPr>
      <w:r>
        <w:rPr>
          <w:sz w:val="24"/>
          <w:szCs w:val="24"/>
          <w:lang w:val="en-GB"/>
        </w:rPr>
        <w:br w:type="page"/>
      </w:r>
    </w:p>
    <w:p w14:paraId="11284BE7" w14:textId="77777777" w:rsidR="007C5D2A" w:rsidRPr="00C664F3" w:rsidRDefault="007C5D2A" w:rsidP="002520A6">
      <w:pPr>
        <w:ind w:left="851"/>
        <w:rPr>
          <w:sz w:val="24"/>
          <w:szCs w:val="24"/>
          <w:lang w:val="en-GB"/>
        </w:rPr>
      </w:pPr>
    </w:p>
    <w:p w14:paraId="0F810FEA" w14:textId="77777777" w:rsidR="007C5D2A" w:rsidRPr="00C664F3" w:rsidRDefault="009925C9" w:rsidP="007C5D2A">
      <w:pPr>
        <w:tabs>
          <w:tab w:val="left" w:pos="851"/>
        </w:tabs>
        <w:ind w:left="851" w:hanging="851"/>
        <w:rPr>
          <w:sz w:val="24"/>
          <w:szCs w:val="24"/>
          <w:lang w:val="en-GB"/>
        </w:rPr>
      </w:pPr>
      <w:r w:rsidRPr="00C664F3">
        <w:rPr>
          <w:b/>
          <w:sz w:val="24"/>
          <w:szCs w:val="24"/>
          <w:lang w:val="en-GB"/>
        </w:rPr>
        <w:t>4.2</w:t>
      </w:r>
      <w:r w:rsidR="007C5D2A" w:rsidRPr="00C664F3">
        <w:rPr>
          <w:b/>
          <w:sz w:val="24"/>
          <w:szCs w:val="24"/>
          <w:lang w:val="en-GB"/>
        </w:rPr>
        <w:tab/>
        <w:t>Posology and method of administration</w:t>
      </w:r>
    </w:p>
    <w:p w14:paraId="093ACF88" w14:textId="77777777" w:rsidR="002520A6" w:rsidRPr="00C664F3" w:rsidRDefault="002520A6" w:rsidP="00E11F1E">
      <w:pPr>
        <w:ind w:left="851"/>
        <w:rPr>
          <w:sz w:val="24"/>
          <w:szCs w:val="24"/>
          <w:lang w:val="en-GB"/>
        </w:rPr>
      </w:pPr>
    </w:p>
    <w:p w14:paraId="2611F116" w14:textId="6D81021C" w:rsidR="008B261A" w:rsidRPr="00C664F3" w:rsidRDefault="008B261A" w:rsidP="00E11F1E">
      <w:pPr>
        <w:ind w:left="851"/>
        <w:rPr>
          <w:sz w:val="24"/>
          <w:szCs w:val="24"/>
          <w:u w:val="single"/>
          <w:lang w:val="en-GB"/>
        </w:rPr>
      </w:pPr>
      <w:r w:rsidRPr="00C664F3">
        <w:rPr>
          <w:sz w:val="24"/>
          <w:szCs w:val="24"/>
          <w:u w:val="single"/>
          <w:lang w:val="en-GB"/>
        </w:rPr>
        <w:t>Posology</w:t>
      </w:r>
    </w:p>
    <w:p w14:paraId="195A9589" w14:textId="77777777" w:rsidR="008B261A" w:rsidRPr="00C664F3" w:rsidRDefault="008B261A" w:rsidP="00E11F1E">
      <w:pPr>
        <w:ind w:left="851"/>
        <w:rPr>
          <w:sz w:val="24"/>
          <w:szCs w:val="24"/>
          <w:lang w:val="en-GB"/>
        </w:rPr>
      </w:pPr>
    </w:p>
    <w:p w14:paraId="4327799E" w14:textId="77777777" w:rsidR="008B261A" w:rsidRPr="00C664F3" w:rsidRDefault="008B261A" w:rsidP="00E11F1E">
      <w:pPr>
        <w:ind w:left="851"/>
        <w:rPr>
          <w:i/>
          <w:sz w:val="24"/>
          <w:szCs w:val="24"/>
          <w:lang w:val="en-GB"/>
        </w:rPr>
      </w:pPr>
      <w:r w:rsidRPr="00C664F3">
        <w:rPr>
          <w:i/>
          <w:sz w:val="24"/>
          <w:szCs w:val="24"/>
          <w:lang w:val="en-GB"/>
        </w:rPr>
        <w:t>Adults and children 40-50 kg (over 12 years):</w:t>
      </w:r>
    </w:p>
    <w:p w14:paraId="5C717BDD" w14:textId="60A73EDA" w:rsidR="008B261A" w:rsidRPr="00C664F3" w:rsidRDefault="008B261A" w:rsidP="00E11F1E">
      <w:pPr>
        <w:ind w:left="851"/>
        <w:rPr>
          <w:sz w:val="24"/>
          <w:szCs w:val="24"/>
          <w:lang w:val="en-GB"/>
        </w:rPr>
      </w:pPr>
      <w:r w:rsidRPr="00C664F3">
        <w:rPr>
          <w:sz w:val="24"/>
          <w:szCs w:val="24"/>
          <w:lang w:val="en-GB"/>
        </w:rPr>
        <w:t xml:space="preserve">1-2 </w:t>
      </w:r>
      <w:r w:rsidR="00C664F3">
        <w:rPr>
          <w:sz w:val="24"/>
          <w:szCs w:val="24"/>
          <w:lang w:val="en-GB"/>
        </w:rPr>
        <w:t>×</w:t>
      </w:r>
      <w:r w:rsidRPr="00C664F3">
        <w:rPr>
          <w:sz w:val="24"/>
          <w:szCs w:val="24"/>
          <w:lang w:val="en-GB"/>
        </w:rPr>
        <w:t xml:space="preserve"> 500 mg suppositories up to 4 times a day, but no more than 3000 mg in the course of 24 hours. An interval of at least 4-6 hours should be left between doses.</w:t>
      </w:r>
    </w:p>
    <w:p w14:paraId="08A9A27B" w14:textId="77777777" w:rsidR="008B261A" w:rsidRPr="00C664F3" w:rsidRDefault="008B261A" w:rsidP="00E11F1E">
      <w:pPr>
        <w:ind w:left="851"/>
        <w:rPr>
          <w:sz w:val="24"/>
          <w:szCs w:val="24"/>
          <w:lang w:val="en-GB"/>
        </w:rPr>
      </w:pPr>
    </w:p>
    <w:p w14:paraId="6ECB1050" w14:textId="77777777" w:rsidR="008B261A" w:rsidRPr="00C664F3" w:rsidRDefault="008B261A" w:rsidP="00E11F1E">
      <w:pPr>
        <w:ind w:left="851"/>
        <w:rPr>
          <w:i/>
          <w:sz w:val="24"/>
          <w:szCs w:val="24"/>
          <w:lang w:val="en-GB"/>
        </w:rPr>
      </w:pPr>
      <w:r w:rsidRPr="00C664F3">
        <w:rPr>
          <w:i/>
          <w:sz w:val="24"/>
          <w:szCs w:val="24"/>
          <w:lang w:val="en-GB"/>
        </w:rPr>
        <w:t>Adults and children over 50 kg (over 12 years):</w:t>
      </w:r>
    </w:p>
    <w:p w14:paraId="7F3DBFC6" w14:textId="4CD16241" w:rsidR="008B261A" w:rsidRPr="00C664F3" w:rsidRDefault="008B261A" w:rsidP="00E11F1E">
      <w:pPr>
        <w:ind w:left="851"/>
        <w:rPr>
          <w:sz w:val="24"/>
          <w:szCs w:val="24"/>
          <w:lang w:val="en-GB"/>
        </w:rPr>
      </w:pPr>
      <w:r w:rsidRPr="00C664F3">
        <w:rPr>
          <w:sz w:val="24"/>
          <w:szCs w:val="24"/>
          <w:lang w:val="en-GB"/>
        </w:rPr>
        <w:t xml:space="preserve">1-2 </w:t>
      </w:r>
      <w:r w:rsidR="00C664F3">
        <w:rPr>
          <w:sz w:val="24"/>
          <w:szCs w:val="24"/>
          <w:lang w:val="en-GB"/>
        </w:rPr>
        <w:t>×</w:t>
      </w:r>
      <w:r w:rsidRPr="00C664F3">
        <w:rPr>
          <w:sz w:val="24"/>
          <w:szCs w:val="24"/>
          <w:lang w:val="en-GB"/>
        </w:rPr>
        <w:t xml:space="preserve"> 500 mg suppositories or 1 </w:t>
      </w:r>
      <w:r w:rsidR="00420274">
        <w:rPr>
          <w:sz w:val="24"/>
          <w:szCs w:val="24"/>
          <w:lang w:val="en-GB"/>
        </w:rPr>
        <w:t>×</w:t>
      </w:r>
      <w:r w:rsidRPr="00C664F3">
        <w:rPr>
          <w:sz w:val="24"/>
          <w:szCs w:val="24"/>
          <w:lang w:val="en-GB"/>
        </w:rPr>
        <w:t xml:space="preserve"> 1 g suppository up to 4 times a day. The maximum daily dose is 4000 mg. An interval of at least 4-6 hours should be left between doses.</w:t>
      </w:r>
    </w:p>
    <w:p w14:paraId="7EF312BA" w14:textId="77777777" w:rsidR="008B261A" w:rsidRPr="00C664F3" w:rsidRDefault="008B261A" w:rsidP="00E11F1E">
      <w:pPr>
        <w:ind w:left="851"/>
        <w:rPr>
          <w:sz w:val="24"/>
          <w:szCs w:val="24"/>
          <w:lang w:val="en-GB"/>
        </w:rPr>
      </w:pPr>
    </w:p>
    <w:p w14:paraId="4E2256E4" w14:textId="77777777" w:rsidR="008B261A" w:rsidRPr="00C664F3" w:rsidRDefault="008B261A" w:rsidP="00E11F1E">
      <w:pPr>
        <w:ind w:left="851"/>
        <w:rPr>
          <w:sz w:val="24"/>
          <w:szCs w:val="24"/>
          <w:lang w:val="en-GB"/>
        </w:rPr>
      </w:pPr>
      <w:r w:rsidRPr="00C664F3">
        <w:rPr>
          <w:sz w:val="24"/>
          <w:szCs w:val="24"/>
          <w:lang w:val="en-GB"/>
        </w:rPr>
        <w:t xml:space="preserve">In adults with severe liver disease, liver cirrhosis, chronic malnutrition or concurrent chronic alcohol abuse, 2 g paracetamol per day should not be exceeded (see sections 4.4 and 4.5). </w:t>
      </w:r>
    </w:p>
    <w:p w14:paraId="166C4345" w14:textId="77777777" w:rsidR="008B261A" w:rsidRPr="00C664F3" w:rsidRDefault="008B261A" w:rsidP="00E11F1E">
      <w:pPr>
        <w:ind w:left="851"/>
        <w:rPr>
          <w:sz w:val="24"/>
          <w:szCs w:val="24"/>
          <w:lang w:val="en-GB"/>
        </w:rPr>
      </w:pPr>
    </w:p>
    <w:p w14:paraId="525D6AC2" w14:textId="77777777" w:rsidR="008B261A" w:rsidRPr="00C664F3" w:rsidRDefault="008B261A" w:rsidP="00E11F1E">
      <w:pPr>
        <w:ind w:left="851"/>
        <w:rPr>
          <w:i/>
          <w:sz w:val="24"/>
          <w:szCs w:val="24"/>
          <w:lang w:val="en-GB"/>
        </w:rPr>
      </w:pPr>
      <w:r w:rsidRPr="00C664F3">
        <w:rPr>
          <w:i/>
          <w:sz w:val="24"/>
          <w:szCs w:val="24"/>
          <w:lang w:val="en-GB"/>
        </w:rPr>
        <w:t>Paediatric population</w:t>
      </w:r>
    </w:p>
    <w:p w14:paraId="64D57342" w14:textId="77777777" w:rsidR="008B261A" w:rsidRPr="00C664F3" w:rsidRDefault="008B261A" w:rsidP="00E11F1E">
      <w:pPr>
        <w:ind w:left="851"/>
        <w:rPr>
          <w:sz w:val="24"/>
          <w:szCs w:val="24"/>
          <w:lang w:val="en-GB"/>
        </w:rPr>
      </w:pPr>
      <w:r w:rsidRPr="00C664F3">
        <w:rPr>
          <w:sz w:val="24"/>
          <w:szCs w:val="24"/>
          <w:lang w:val="en-GB"/>
        </w:rPr>
        <w:t>For children, the dose should be calculated individually based on the child’s weight.</w:t>
      </w:r>
    </w:p>
    <w:p w14:paraId="6BB3A28F" w14:textId="77777777" w:rsidR="008B261A" w:rsidRPr="00C664F3" w:rsidRDefault="008B261A" w:rsidP="00E11F1E">
      <w:pPr>
        <w:ind w:left="851"/>
        <w:rPr>
          <w:sz w:val="24"/>
          <w:szCs w:val="24"/>
          <w:lang w:val="en-GB"/>
        </w:rPr>
      </w:pPr>
    </w:p>
    <w:p w14:paraId="65704441" w14:textId="77777777" w:rsidR="008B261A" w:rsidRPr="00C664F3" w:rsidRDefault="008B261A" w:rsidP="00E11F1E">
      <w:pPr>
        <w:ind w:left="851"/>
        <w:rPr>
          <w:sz w:val="24"/>
          <w:szCs w:val="24"/>
          <w:lang w:val="en-GB"/>
        </w:rPr>
      </w:pPr>
      <w:r w:rsidRPr="00C664F3">
        <w:rPr>
          <w:sz w:val="24"/>
          <w:szCs w:val="24"/>
          <w:lang w:val="en-GB"/>
        </w:rPr>
        <w:t>Infants aged under 1 month:</w:t>
      </w:r>
    </w:p>
    <w:p w14:paraId="1EF758A4" w14:textId="77777777" w:rsidR="008B261A" w:rsidRPr="00C664F3" w:rsidRDefault="008B261A" w:rsidP="00E11F1E">
      <w:pPr>
        <w:ind w:left="851"/>
        <w:rPr>
          <w:sz w:val="24"/>
          <w:szCs w:val="24"/>
          <w:lang w:val="en-GB"/>
        </w:rPr>
      </w:pPr>
      <w:r w:rsidRPr="00C664F3">
        <w:rPr>
          <w:sz w:val="24"/>
          <w:szCs w:val="24"/>
          <w:lang w:val="en-GB"/>
        </w:rPr>
        <w:t>Administer approx. 15 mg/kg body weight up to 3 times a day. An interval of at least 8 hours should be left between doses. The maximum daily dose is 60 mg/kg body weight.</w:t>
      </w:r>
    </w:p>
    <w:p w14:paraId="12105C0E" w14:textId="77777777" w:rsidR="008B261A" w:rsidRPr="00C664F3" w:rsidRDefault="008B261A" w:rsidP="00E11F1E">
      <w:pPr>
        <w:ind w:left="851"/>
        <w:rPr>
          <w:sz w:val="24"/>
          <w:szCs w:val="24"/>
          <w:lang w:val="en-GB"/>
        </w:rPr>
      </w:pPr>
      <w:r w:rsidRPr="00C664F3">
        <w:rPr>
          <w:sz w:val="24"/>
          <w:szCs w:val="24"/>
          <w:lang w:val="en-GB"/>
        </w:rPr>
        <w:t>To simplify, the guideline doses are divided into weight classes:</w:t>
      </w:r>
    </w:p>
    <w:p w14:paraId="18A83BB6" w14:textId="3FFE2831" w:rsidR="008B261A" w:rsidRPr="00C664F3" w:rsidRDefault="008B261A" w:rsidP="002520A6">
      <w:pPr>
        <w:tabs>
          <w:tab w:val="left" w:pos="4111"/>
        </w:tabs>
        <w:ind w:left="851"/>
        <w:rPr>
          <w:sz w:val="24"/>
          <w:szCs w:val="24"/>
          <w:lang w:val="en-GB"/>
        </w:rPr>
      </w:pPr>
      <w:r w:rsidRPr="00C664F3">
        <w:rPr>
          <w:sz w:val="24"/>
          <w:szCs w:val="24"/>
          <w:lang w:val="en-GB"/>
        </w:rPr>
        <w:t xml:space="preserve">3-6 kg (under 1 month): </w:t>
      </w:r>
      <w:r w:rsidRPr="00C664F3">
        <w:rPr>
          <w:sz w:val="24"/>
          <w:szCs w:val="24"/>
          <w:lang w:val="en-GB"/>
        </w:rPr>
        <w:tab/>
        <w:t xml:space="preserve">1 </w:t>
      </w:r>
      <w:r w:rsidR="00C664F3">
        <w:rPr>
          <w:sz w:val="24"/>
          <w:szCs w:val="24"/>
          <w:lang w:val="en-GB"/>
        </w:rPr>
        <w:t>×</w:t>
      </w:r>
      <w:r w:rsidRPr="00C664F3">
        <w:rPr>
          <w:sz w:val="24"/>
          <w:szCs w:val="24"/>
          <w:lang w:val="en-GB"/>
        </w:rPr>
        <w:t xml:space="preserve"> 60 mg suppository up to 3 times a day</w:t>
      </w:r>
    </w:p>
    <w:p w14:paraId="0907788E" w14:textId="77777777" w:rsidR="008B261A" w:rsidRPr="00C664F3" w:rsidRDefault="008B261A" w:rsidP="002520A6">
      <w:pPr>
        <w:tabs>
          <w:tab w:val="left" w:pos="4111"/>
        </w:tabs>
        <w:ind w:left="851"/>
        <w:rPr>
          <w:sz w:val="24"/>
          <w:szCs w:val="24"/>
          <w:lang w:val="en-GB"/>
        </w:rPr>
      </w:pPr>
    </w:p>
    <w:p w14:paraId="7EA8A557" w14:textId="77777777" w:rsidR="008B261A" w:rsidRPr="00C664F3" w:rsidRDefault="008B261A" w:rsidP="002520A6">
      <w:pPr>
        <w:tabs>
          <w:tab w:val="left" w:pos="4111"/>
        </w:tabs>
        <w:ind w:left="851"/>
        <w:rPr>
          <w:sz w:val="24"/>
          <w:szCs w:val="24"/>
          <w:lang w:val="en-GB"/>
        </w:rPr>
      </w:pPr>
      <w:r w:rsidRPr="00C664F3">
        <w:rPr>
          <w:sz w:val="24"/>
          <w:szCs w:val="24"/>
          <w:lang w:val="en-GB"/>
        </w:rPr>
        <w:t>Children aged over 1 month:</w:t>
      </w:r>
    </w:p>
    <w:p w14:paraId="26DBFEEE" w14:textId="77777777" w:rsidR="008B261A" w:rsidRPr="00C664F3" w:rsidRDefault="008B261A" w:rsidP="002520A6">
      <w:pPr>
        <w:tabs>
          <w:tab w:val="left" w:pos="4111"/>
        </w:tabs>
        <w:ind w:left="851"/>
        <w:rPr>
          <w:sz w:val="24"/>
          <w:szCs w:val="24"/>
          <w:lang w:val="en-GB"/>
        </w:rPr>
      </w:pPr>
      <w:r w:rsidRPr="00C664F3">
        <w:rPr>
          <w:sz w:val="24"/>
          <w:szCs w:val="24"/>
          <w:lang w:val="en-GB"/>
        </w:rPr>
        <w:t xml:space="preserve">Administer approx. 15 mg/kg body weight up to 4 times a day. An interval of at least 4-6 hours should be left between doses. The maximum daily dose is 75 mg/kg body weight. </w:t>
      </w:r>
    </w:p>
    <w:p w14:paraId="60CFC1E8" w14:textId="77777777" w:rsidR="008B261A" w:rsidRPr="00C664F3" w:rsidRDefault="008B261A" w:rsidP="002520A6">
      <w:pPr>
        <w:tabs>
          <w:tab w:val="left" w:pos="4111"/>
        </w:tabs>
        <w:ind w:left="851"/>
        <w:rPr>
          <w:sz w:val="24"/>
          <w:szCs w:val="24"/>
          <w:lang w:val="en-GB"/>
        </w:rPr>
      </w:pPr>
      <w:r w:rsidRPr="00C664F3">
        <w:rPr>
          <w:sz w:val="24"/>
          <w:szCs w:val="24"/>
          <w:lang w:val="en-GB"/>
        </w:rPr>
        <w:t>To simplify, the guideline doses are divided into weight classes with an approximate indication of age:</w:t>
      </w:r>
    </w:p>
    <w:p w14:paraId="1D4ECC22" w14:textId="2A18E2CA" w:rsidR="008B261A" w:rsidRPr="00C664F3" w:rsidRDefault="008B261A" w:rsidP="002520A6">
      <w:pPr>
        <w:tabs>
          <w:tab w:val="left" w:pos="4111"/>
        </w:tabs>
        <w:ind w:left="851"/>
        <w:rPr>
          <w:sz w:val="24"/>
          <w:szCs w:val="24"/>
          <w:lang w:val="en-GB"/>
        </w:rPr>
      </w:pPr>
      <w:r w:rsidRPr="00C664F3">
        <w:rPr>
          <w:sz w:val="24"/>
          <w:szCs w:val="24"/>
          <w:lang w:val="en-GB"/>
        </w:rPr>
        <w:t>4-6 kg (1-5 months):</w:t>
      </w:r>
      <w:r w:rsidRPr="00C664F3">
        <w:rPr>
          <w:sz w:val="24"/>
          <w:szCs w:val="24"/>
          <w:lang w:val="en-GB"/>
        </w:rPr>
        <w:tab/>
        <w:t xml:space="preserve">1 </w:t>
      </w:r>
      <w:r w:rsidR="00C664F3">
        <w:rPr>
          <w:sz w:val="24"/>
          <w:szCs w:val="24"/>
          <w:lang w:val="en-GB"/>
        </w:rPr>
        <w:t>×</w:t>
      </w:r>
      <w:r w:rsidRPr="00C664F3">
        <w:rPr>
          <w:sz w:val="24"/>
          <w:szCs w:val="24"/>
          <w:lang w:val="en-GB"/>
        </w:rPr>
        <w:t xml:space="preserve"> 60 mg suppository up to 4 times a day</w:t>
      </w:r>
    </w:p>
    <w:p w14:paraId="72F9E893" w14:textId="65704E6B" w:rsidR="008B261A" w:rsidRPr="00C664F3" w:rsidRDefault="008B261A" w:rsidP="002520A6">
      <w:pPr>
        <w:tabs>
          <w:tab w:val="left" w:pos="4111"/>
        </w:tabs>
        <w:ind w:left="851"/>
        <w:rPr>
          <w:sz w:val="24"/>
          <w:szCs w:val="24"/>
          <w:lang w:val="en-GB"/>
        </w:rPr>
      </w:pPr>
      <w:r w:rsidRPr="00C664F3">
        <w:rPr>
          <w:sz w:val="24"/>
          <w:szCs w:val="24"/>
          <w:lang w:val="en-GB"/>
        </w:rPr>
        <w:t>7-12 kg (5 months-2 years):</w:t>
      </w:r>
      <w:r w:rsidRPr="00C664F3">
        <w:rPr>
          <w:sz w:val="24"/>
          <w:szCs w:val="24"/>
          <w:lang w:val="en-GB"/>
        </w:rPr>
        <w:tab/>
        <w:t xml:space="preserve">1 </w:t>
      </w:r>
      <w:r w:rsidR="00C664F3">
        <w:rPr>
          <w:sz w:val="24"/>
          <w:szCs w:val="24"/>
          <w:lang w:val="en-GB"/>
        </w:rPr>
        <w:t>×</w:t>
      </w:r>
      <w:r w:rsidRPr="00C664F3">
        <w:rPr>
          <w:sz w:val="24"/>
          <w:szCs w:val="24"/>
          <w:lang w:val="en-GB"/>
        </w:rPr>
        <w:t xml:space="preserve"> 125 mg suppository up to 4 times a day</w:t>
      </w:r>
    </w:p>
    <w:p w14:paraId="785C4064" w14:textId="02EF0203" w:rsidR="008B261A" w:rsidRPr="00C664F3" w:rsidRDefault="008B261A" w:rsidP="002520A6">
      <w:pPr>
        <w:tabs>
          <w:tab w:val="left" w:pos="4111"/>
        </w:tabs>
        <w:ind w:left="851"/>
        <w:rPr>
          <w:sz w:val="24"/>
          <w:szCs w:val="24"/>
          <w:lang w:val="en-GB"/>
        </w:rPr>
      </w:pPr>
      <w:r w:rsidRPr="00C664F3">
        <w:rPr>
          <w:sz w:val="24"/>
          <w:szCs w:val="24"/>
          <w:lang w:val="en-GB"/>
        </w:rPr>
        <w:t>13-25 kg (2-7 years):</w:t>
      </w:r>
      <w:r w:rsidRPr="00C664F3">
        <w:rPr>
          <w:sz w:val="24"/>
          <w:szCs w:val="24"/>
          <w:lang w:val="en-GB"/>
        </w:rPr>
        <w:tab/>
        <w:t xml:space="preserve">1 </w:t>
      </w:r>
      <w:r w:rsidR="00C664F3">
        <w:rPr>
          <w:sz w:val="24"/>
          <w:szCs w:val="24"/>
          <w:lang w:val="en-GB"/>
        </w:rPr>
        <w:t>×</w:t>
      </w:r>
      <w:r w:rsidRPr="00C664F3">
        <w:rPr>
          <w:sz w:val="24"/>
          <w:szCs w:val="24"/>
          <w:lang w:val="en-GB"/>
        </w:rPr>
        <w:t xml:space="preserve"> 250 mg suppository up to 4 times a day</w:t>
      </w:r>
    </w:p>
    <w:p w14:paraId="061F393D" w14:textId="22766EF0" w:rsidR="008B261A" w:rsidRPr="00C664F3" w:rsidRDefault="008B261A" w:rsidP="002520A6">
      <w:pPr>
        <w:tabs>
          <w:tab w:val="left" w:pos="4111"/>
        </w:tabs>
        <w:ind w:left="851"/>
        <w:rPr>
          <w:sz w:val="24"/>
          <w:szCs w:val="24"/>
          <w:lang w:val="en-GB"/>
        </w:rPr>
      </w:pPr>
      <w:r w:rsidRPr="00C664F3">
        <w:rPr>
          <w:sz w:val="24"/>
          <w:szCs w:val="24"/>
          <w:lang w:val="en-GB"/>
        </w:rPr>
        <w:t>26-39 kg (7-12 years):</w:t>
      </w:r>
      <w:r w:rsidRPr="00C664F3">
        <w:rPr>
          <w:sz w:val="24"/>
          <w:szCs w:val="24"/>
          <w:lang w:val="en-GB"/>
        </w:rPr>
        <w:tab/>
        <w:t xml:space="preserve">1 </w:t>
      </w:r>
      <w:r w:rsidR="00C664F3">
        <w:rPr>
          <w:sz w:val="24"/>
          <w:szCs w:val="24"/>
          <w:lang w:val="en-GB"/>
        </w:rPr>
        <w:t>×</w:t>
      </w:r>
      <w:r w:rsidRPr="00C664F3">
        <w:rPr>
          <w:sz w:val="24"/>
          <w:szCs w:val="24"/>
          <w:lang w:val="en-GB"/>
        </w:rPr>
        <w:t xml:space="preserve"> 500 mg suppository up to 4 times a day</w:t>
      </w:r>
    </w:p>
    <w:p w14:paraId="76E384D7" w14:textId="77777777" w:rsidR="008B261A" w:rsidRPr="00C664F3" w:rsidRDefault="008B261A" w:rsidP="00E11F1E">
      <w:pPr>
        <w:ind w:left="851"/>
        <w:rPr>
          <w:sz w:val="24"/>
          <w:szCs w:val="24"/>
          <w:lang w:val="en-GB"/>
        </w:rPr>
      </w:pPr>
    </w:p>
    <w:p w14:paraId="116C2857" w14:textId="77777777" w:rsidR="008B261A" w:rsidRPr="00C664F3" w:rsidRDefault="008B261A" w:rsidP="00E11F1E">
      <w:pPr>
        <w:ind w:left="851"/>
        <w:rPr>
          <w:sz w:val="24"/>
          <w:szCs w:val="24"/>
          <w:lang w:val="en-GB"/>
        </w:rPr>
      </w:pPr>
      <w:r w:rsidRPr="00C664F3">
        <w:rPr>
          <w:sz w:val="24"/>
          <w:szCs w:val="24"/>
          <w:lang w:val="en-GB"/>
        </w:rPr>
        <w:t>Absorption from rectal administration is variable and often poorer than with oral use.</w:t>
      </w:r>
    </w:p>
    <w:p w14:paraId="7D544B5F" w14:textId="77777777" w:rsidR="008B261A" w:rsidRPr="00C664F3" w:rsidRDefault="008B261A" w:rsidP="00E11F1E">
      <w:pPr>
        <w:ind w:left="851"/>
        <w:rPr>
          <w:sz w:val="24"/>
          <w:szCs w:val="24"/>
          <w:lang w:val="en-GB"/>
        </w:rPr>
      </w:pPr>
    </w:p>
    <w:p w14:paraId="25DC7D70" w14:textId="77777777" w:rsidR="008B261A" w:rsidRPr="00C664F3" w:rsidRDefault="008B261A" w:rsidP="00E11F1E">
      <w:pPr>
        <w:ind w:left="851"/>
        <w:rPr>
          <w:sz w:val="24"/>
          <w:szCs w:val="24"/>
          <w:lang w:val="en-GB"/>
        </w:rPr>
      </w:pPr>
      <w:r w:rsidRPr="00C664F3">
        <w:rPr>
          <w:sz w:val="24"/>
          <w:szCs w:val="24"/>
          <w:lang w:val="en-GB"/>
        </w:rPr>
        <w:t>The lowest effective dose necessary to achieve efficacy should be used, and for the shortest possible treatment time.</w:t>
      </w:r>
    </w:p>
    <w:p w14:paraId="16C50A55" w14:textId="77777777" w:rsidR="008B261A" w:rsidRPr="00C664F3" w:rsidRDefault="008B261A" w:rsidP="00E11F1E">
      <w:pPr>
        <w:ind w:left="851"/>
        <w:rPr>
          <w:sz w:val="24"/>
          <w:szCs w:val="24"/>
          <w:lang w:val="en-GB"/>
        </w:rPr>
      </w:pPr>
    </w:p>
    <w:p w14:paraId="202A0DC9" w14:textId="77777777" w:rsidR="008B261A" w:rsidRPr="00C664F3" w:rsidRDefault="008B261A" w:rsidP="00E11F1E">
      <w:pPr>
        <w:ind w:left="851"/>
        <w:rPr>
          <w:sz w:val="24"/>
          <w:szCs w:val="24"/>
          <w:u w:val="single"/>
          <w:lang w:val="en-GB"/>
        </w:rPr>
      </w:pPr>
      <w:r w:rsidRPr="00C664F3">
        <w:rPr>
          <w:sz w:val="24"/>
          <w:szCs w:val="24"/>
          <w:u w:val="single"/>
          <w:lang w:val="en-GB"/>
        </w:rPr>
        <w:t>Method of administration</w:t>
      </w:r>
    </w:p>
    <w:p w14:paraId="085FA69F" w14:textId="77777777" w:rsidR="008B261A" w:rsidRPr="00C664F3" w:rsidRDefault="008B261A" w:rsidP="00E11F1E">
      <w:pPr>
        <w:ind w:left="851"/>
        <w:rPr>
          <w:sz w:val="24"/>
          <w:szCs w:val="24"/>
          <w:lang w:val="en-GB"/>
        </w:rPr>
      </w:pPr>
      <w:r w:rsidRPr="00C664F3">
        <w:rPr>
          <w:sz w:val="24"/>
          <w:szCs w:val="24"/>
          <w:lang w:val="en-GB"/>
        </w:rPr>
        <w:t>Rectal use. Suppositories are to be inserted in the rectum.</w:t>
      </w:r>
    </w:p>
    <w:p w14:paraId="3B605A89" w14:textId="77777777" w:rsidR="007C5D2A" w:rsidRPr="00C664F3" w:rsidRDefault="007C5D2A" w:rsidP="00A85D26">
      <w:pPr>
        <w:tabs>
          <w:tab w:val="left" w:pos="851"/>
        </w:tabs>
        <w:ind w:left="851"/>
        <w:rPr>
          <w:sz w:val="24"/>
          <w:szCs w:val="24"/>
          <w:lang w:val="en-GB"/>
        </w:rPr>
      </w:pPr>
    </w:p>
    <w:p w14:paraId="7A7DFE1A" w14:textId="77777777" w:rsidR="007C5D2A" w:rsidRPr="00C664F3" w:rsidRDefault="007C5D2A" w:rsidP="007C5D2A">
      <w:pPr>
        <w:tabs>
          <w:tab w:val="left" w:pos="851"/>
        </w:tabs>
        <w:ind w:left="851" w:hanging="851"/>
        <w:rPr>
          <w:b/>
          <w:sz w:val="24"/>
          <w:szCs w:val="24"/>
          <w:lang w:val="en-GB"/>
        </w:rPr>
      </w:pPr>
      <w:r w:rsidRPr="00C664F3">
        <w:rPr>
          <w:b/>
          <w:sz w:val="24"/>
          <w:szCs w:val="24"/>
          <w:lang w:val="en-GB"/>
        </w:rPr>
        <w:t>4.3</w:t>
      </w:r>
      <w:r w:rsidRPr="00C664F3">
        <w:rPr>
          <w:b/>
          <w:sz w:val="24"/>
          <w:szCs w:val="24"/>
          <w:lang w:val="en-GB"/>
        </w:rPr>
        <w:tab/>
        <w:t>Contraindications</w:t>
      </w:r>
    </w:p>
    <w:p w14:paraId="4772035F" w14:textId="77777777" w:rsidR="008B261A" w:rsidRPr="00C664F3" w:rsidRDefault="008B261A" w:rsidP="00E11F1E">
      <w:pPr>
        <w:pStyle w:val="Listeafsnit"/>
        <w:numPr>
          <w:ilvl w:val="0"/>
          <w:numId w:val="8"/>
        </w:numPr>
        <w:ind w:left="1276" w:hanging="425"/>
        <w:rPr>
          <w:rFonts w:ascii="Times New Roman" w:hAnsi="Times New Roman"/>
          <w:szCs w:val="24"/>
        </w:rPr>
      </w:pPr>
      <w:r w:rsidRPr="00C664F3">
        <w:rPr>
          <w:rFonts w:ascii="Times New Roman" w:hAnsi="Times New Roman"/>
          <w:szCs w:val="24"/>
        </w:rPr>
        <w:t>Hypersensitivity to the active substance or to any of the excipients listed in section 6.1.</w:t>
      </w:r>
    </w:p>
    <w:p w14:paraId="7BF81CF0" w14:textId="77777777" w:rsidR="008B261A" w:rsidRPr="00C664F3" w:rsidRDefault="008B261A" w:rsidP="00E11F1E">
      <w:pPr>
        <w:pStyle w:val="Listeafsnit"/>
        <w:numPr>
          <w:ilvl w:val="0"/>
          <w:numId w:val="8"/>
        </w:numPr>
        <w:ind w:left="1276" w:hanging="425"/>
        <w:rPr>
          <w:rFonts w:ascii="Times New Roman" w:hAnsi="Times New Roman"/>
          <w:szCs w:val="24"/>
        </w:rPr>
      </w:pPr>
      <w:r w:rsidRPr="00C664F3">
        <w:rPr>
          <w:rFonts w:ascii="Times New Roman" w:hAnsi="Times New Roman"/>
          <w:szCs w:val="24"/>
        </w:rPr>
        <w:t>Severe hepatic insufficiency.</w:t>
      </w:r>
    </w:p>
    <w:p w14:paraId="23BF67D1" w14:textId="77777777" w:rsidR="007C5D2A" w:rsidRPr="00C664F3" w:rsidRDefault="007C5D2A" w:rsidP="003E0341">
      <w:pPr>
        <w:tabs>
          <w:tab w:val="left" w:pos="851"/>
        </w:tabs>
        <w:ind w:left="851"/>
        <w:rPr>
          <w:sz w:val="24"/>
          <w:szCs w:val="24"/>
          <w:lang w:val="en-GB"/>
        </w:rPr>
      </w:pPr>
    </w:p>
    <w:p w14:paraId="00FE7354" w14:textId="77777777" w:rsidR="007C5D2A" w:rsidRPr="00C664F3" w:rsidRDefault="007C5D2A" w:rsidP="007C5D2A">
      <w:pPr>
        <w:tabs>
          <w:tab w:val="left" w:pos="851"/>
        </w:tabs>
        <w:rPr>
          <w:b/>
          <w:sz w:val="24"/>
          <w:szCs w:val="24"/>
          <w:lang w:val="en-GB"/>
        </w:rPr>
      </w:pPr>
      <w:r w:rsidRPr="00C664F3">
        <w:rPr>
          <w:b/>
          <w:sz w:val="24"/>
          <w:szCs w:val="24"/>
          <w:lang w:val="en-GB"/>
        </w:rPr>
        <w:t>4.4</w:t>
      </w:r>
      <w:r w:rsidRPr="00C664F3">
        <w:rPr>
          <w:b/>
          <w:sz w:val="24"/>
          <w:szCs w:val="24"/>
          <w:lang w:val="en-GB"/>
        </w:rPr>
        <w:tab/>
        <w:t>Special warnings and precautions for use</w:t>
      </w:r>
    </w:p>
    <w:p w14:paraId="2E19A0A5" w14:textId="77777777" w:rsidR="008B261A" w:rsidRPr="00C664F3" w:rsidRDefault="008B261A" w:rsidP="00E11F1E">
      <w:pPr>
        <w:ind w:left="851"/>
        <w:rPr>
          <w:sz w:val="24"/>
          <w:szCs w:val="24"/>
          <w:lang w:val="en-GB"/>
        </w:rPr>
      </w:pPr>
      <w:r w:rsidRPr="00C664F3">
        <w:rPr>
          <w:sz w:val="24"/>
          <w:szCs w:val="24"/>
          <w:lang w:val="en-GB"/>
        </w:rPr>
        <w:t xml:space="preserve">With reduced access to carbohydrate and high-quality protein, the safety margin for toxic liver reactions is smaller than with normal nutritional status. Continued use or maximum </w:t>
      </w:r>
      <w:r w:rsidRPr="00C664F3">
        <w:rPr>
          <w:sz w:val="24"/>
          <w:szCs w:val="24"/>
          <w:lang w:val="en-GB"/>
        </w:rPr>
        <w:lastRenderedPageBreak/>
        <w:t xml:space="preserve">doses, especially in patients with poor nutritional status due to alcohol abuse, anorexia or malnutrition lead to an increased risk of liver damage. Treatment of febrile conditions in children should preferably be of short duration for the same reason.  </w:t>
      </w:r>
    </w:p>
    <w:p w14:paraId="2834A000" w14:textId="77777777" w:rsidR="008B261A" w:rsidRPr="00C664F3" w:rsidRDefault="008B261A" w:rsidP="00E11F1E">
      <w:pPr>
        <w:ind w:left="851"/>
        <w:rPr>
          <w:sz w:val="24"/>
          <w:szCs w:val="24"/>
          <w:lang w:val="en-GB"/>
        </w:rPr>
      </w:pPr>
    </w:p>
    <w:p w14:paraId="05EAF379" w14:textId="77777777" w:rsidR="008B261A" w:rsidRPr="00C664F3" w:rsidRDefault="008B261A" w:rsidP="00E11F1E">
      <w:pPr>
        <w:ind w:left="851"/>
        <w:rPr>
          <w:sz w:val="24"/>
          <w:szCs w:val="24"/>
          <w:lang w:val="en-GB"/>
        </w:rPr>
      </w:pPr>
      <w:r w:rsidRPr="00C664F3">
        <w:rPr>
          <w:sz w:val="24"/>
          <w:szCs w:val="24"/>
          <w:lang w:val="en-GB"/>
        </w:rPr>
        <w:t xml:space="preserve">A risk of renal injury in long-term use cannot be ruled out. Caution should be exercised if there is severe hepatic or renal injury. </w:t>
      </w:r>
    </w:p>
    <w:p w14:paraId="218B29C6" w14:textId="77777777" w:rsidR="008B261A" w:rsidRPr="00C664F3" w:rsidRDefault="008B261A" w:rsidP="00E11F1E">
      <w:pPr>
        <w:ind w:left="851"/>
        <w:rPr>
          <w:sz w:val="24"/>
          <w:szCs w:val="24"/>
          <w:lang w:val="en-GB"/>
        </w:rPr>
      </w:pPr>
    </w:p>
    <w:p w14:paraId="72CE48F9" w14:textId="77777777" w:rsidR="008B261A" w:rsidRPr="00C664F3" w:rsidRDefault="008B261A" w:rsidP="00E11F1E">
      <w:pPr>
        <w:ind w:left="851"/>
        <w:rPr>
          <w:sz w:val="24"/>
          <w:szCs w:val="24"/>
          <w:lang w:val="en-GB"/>
        </w:rPr>
      </w:pPr>
      <w:r w:rsidRPr="00C664F3">
        <w:rPr>
          <w:sz w:val="24"/>
          <w:szCs w:val="24"/>
          <w:lang w:val="en-GB"/>
        </w:rPr>
        <w:t>Caution is advised if paracetamol is administered concomitantly with flucloxacillin due to increased risk of high anion gap metabolic acidosis (HAGMA), particularly in patients with severe renal impairment, sepsis, malnutrition and other sources of glutathione deficiency (e.g. chronic alcoholism), as well as those using maximum daily doses of paracetamol. Close monitoring, including measurement of urinary 5-oxoproline, is recommended.</w:t>
      </w:r>
    </w:p>
    <w:p w14:paraId="6ED27390" w14:textId="77777777" w:rsidR="008B261A" w:rsidRPr="00C664F3" w:rsidRDefault="008B261A" w:rsidP="00E11F1E">
      <w:pPr>
        <w:ind w:left="851"/>
        <w:rPr>
          <w:sz w:val="24"/>
          <w:szCs w:val="24"/>
          <w:lang w:val="en-GB"/>
        </w:rPr>
      </w:pPr>
    </w:p>
    <w:p w14:paraId="1AA845F0" w14:textId="77777777" w:rsidR="008B261A" w:rsidRPr="00C664F3" w:rsidRDefault="008B261A" w:rsidP="00E11F1E">
      <w:pPr>
        <w:ind w:left="851"/>
        <w:rPr>
          <w:sz w:val="24"/>
          <w:szCs w:val="24"/>
          <w:lang w:val="en-GB"/>
        </w:rPr>
      </w:pPr>
      <w:r w:rsidRPr="00C664F3">
        <w:rPr>
          <w:sz w:val="24"/>
          <w:szCs w:val="24"/>
          <w:lang w:val="en-GB"/>
        </w:rPr>
        <w:t>Headache</w:t>
      </w:r>
    </w:p>
    <w:p w14:paraId="2329FA7C" w14:textId="6350CEFC" w:rsidR="007C5D2A" w:rsidRPr="00C664F3" w:rsidRDefault="008B261A" w:rsidP="002520A6">
      <w:pPr>
        <w:ind w:left="851"/>
        <w:rPr>
          <w:sz w:val="24"/>
          <w:szCs w:val="24"/>
          <w:lang w:val="en-GB"/>
        </w:rPr>
      </w:pPr>
      <w:r w:rsidRPr="00C664F3">
        <w:rPr>
          <w:sz w:val="24"/>
          <w:szCs w:val="24"/>
          <w:lang w:val="en-GB"/>
        </w:rPr>
        <w:t>During long-term use (&gt; 3 months) of analgesics taken every other day or more often, headaches may develop or worsen. Headache induced by excessive consumption of analgesics should not be treated with an increased dose. In such cases the use of analgesics should be discontinued in consultation with a doctor.</w:t>
      </w:r>
      <w:r w:rsidRPr="00C664F3">
        <w:rPr>
          <w:sz w:val="24"/>
          <w:szCs w:val="24"/>
          <w:lang w:val="en-GB"/>
        </w:rPr>
        <w:br/>
      </w:r>
    </w:p>
    <w:p w14:paraId="1C7B28FC" w14:textId="77777777" w:rsidR="007C5D2A" w:rsidRPr="00C664F3" w:rsidRDefault="007C5D2A" w:rsidP="007C5D2A">
      <w:pPr>
        <w:ind w:left="851" w:hanging="851"/>
        <w:rPr>
          <w:b/>
          <w:sz w:val="24"/>
          <w:szCs w:val="24"/>
          <w:lang w:val="en-GB"/>
        </w:rPr>
      </w:pPr>
      <w:r w:rsidRPr="00C664F3">
        <w:rPr>
          <w:b/>
          <w:sz w:val="24"/>
          <w:szCs w:val="24"/>
          <w:lang w:val="en-GB"/>
        </w:rPr>
        <w:t>4.5</w:t>
      </w:r>
      <w:r w:rsidRPr="00C664F3">
        <w:rPr>
          <w:b/>
          <w:sz w:val="24"/>
          <w:szCs w:val="24"/>
          <w:lang w:val="en-GB"/>
        </w:rPr>
        <w:tab/>
        <w:t>Interaction with other medicinal products and other forms of interaction</w:t>
      </w:r>
    </w:p>
    <w:p w14:paraId="0A25ECDB" w14:textId="11C8FAA0" w:rsidR="008B261A" w:rsidRPr="00C664F3" w:rsidRDefault="008B261A" w:rsidP="00E11F1E">
      <w:pPr>
        <w:ind w:left="851"/>
        <w:rPr>
          <w:sz w:val="24"/>
          <w:szCs w:val="24"/>
          <w:lang w:val="en-GB"/>
        </w:rPr>
      </w:pPr>
      <w:r w:rsidRPr="00C664F3">
        <w:rPr>
          <w:sz w:val="24"/>
          <w:szCs w:val="24"/>
          <w:lang w:val="en-GB"/>
        </w:rPr>
        <w:t xml:space="preserve">The following medicinal products may require a dose adjustment in combination with </w:t>
      </w:r>
      <w:proofErr w:type="spellStart"/>
      <w:r w:rsidR="002520A6" w:rsidRPr="00C664F3">
        <w:rPr>
          <w:sz w:val="24"/>
          <w:szCs w:val="24"/>
          <w:lang w:val="en-GB"/>
        </w:rPr>
        <w:t>Paracet</w:t>
      </w:r>
      <w:proofErr w:type="spellEnd"/>
      <w:r w:rsidRPr="00C664F3">
        <w:rPr>
          <w:sz w:val="24"/>
          <w:szCs w:val="24"/>
          <w:lang w:val="en-GB"/>
        </w:rPr>
        <w:t xml:space="preserve"> (see below for more information):</w:t>
      </w:r>
    </w:p>
    <w:p w14:paraId="6BFC32A5" w14:textId="77777777" w:rsidR="008B261A" w:rsidRPr="00C664F3" w:rsidRDefault="008B261A" w:rsidP="002520A6">
      <w:pPr>
        <w:pStyle w:val="Listeafsnit"/>
        <w:numPr>
          <w:ilvl w:val="0"/>
          <w:numId w:val="10"/>
        </w:numPr>
        <w:ind w:left="1276" w:hanging="425"/>
        <w:rPr>
          <w:rFonts w:ascii="Times New Roman" w:hAnsi="Times New Roman"/>
          <w:szCs w:val="24"/>
        </w:rPr>
      </w:pPr>
      <w:r w:rsidRPr="00C664F3">
        <w:rPr>
          <w:rFonts w:ascii="Times New Roman" w:hAnsi="Times New Roman"/>
          <w:szCs w:val="24"/>
        </w:rPr>
        <w:t>warfarin and other coumarin derivatives</w:t>
      </w:r>
    </w:p>
    <w:p w14:paraId="452FE0C6" w14:textId="77777777" w:rsidR="008B261A" w:rsidRPr="00C664F3" w:rsidRDefault="008B261A" w:rsidP="002520A6">
      <w:pPr>
        <w:pStyle w:val="Listeafsnit"/>
        <w:numPr>
          <w:ilvl w:val="0"/>
          <w:numId w:val="10"/>
        </w:numPr>
        <w:ind w:left="1276" w:hanging="425"/>
        <w:rPr>
          <w:rFonts w:ascii="Times New Roman" w:hAnsi="Times New Roman"/>
          <w:szCs w:val="24"/>
        </w:rPr>
      </w:pPr>
      <w:r w:rsidRPr="00C664F3">
        <w:rPr>
          <w:rFonts w:ascii="Times New Roman" w:hAnsi="Times New Roman"/>
          <w:szCs w:val="24"/>
        </w:rPr>
        <w:t>certain antiepileptic medicinal products (phenytoin, phenobarbital, carbamazepine)</w:t>
      </w:r>
    </w:p>
    <w:p w14:paraId="58CED715" w14:textId="77777777" w:rsidR="008B261A" w:rsidRPr="00C664F3" w:rsidRDefault="008B261A" w:rsidP="002520A6">
      <w:pPr>
        <w:pStyle w:val="Listeafsnit"/>
        <w:numPr>
          <w:ilvl w:val="0"/>
          <w:numId w:val="10"/>
        </w:numPr>
        <w:ind w:left="1276" w:hanging="425"/>
        <w:rPr>
          <w:rFonts w:ascii="Times New Roman" w:hAnsi="Times New Roman"/>
          <w:szCs w:val="24"/>
        </w:rPr>
      </w:pPr>
      <w:r w:rsidRPr="00C664F3">
        <w:rPr>
          <w:rFonts w:ascii="Times New Roman" w:hAnsi="Times New Roman"/>
          <w:szCs w:val="24"/>
        </w:rPr>
        <w:t>rifampicin</w:t>
      </w:r>
    </w:p>
    <w:p w14:paraId="121E2197" w14:textId="77777777" w:rsidR="008B261A" w:rsidRPr="00C664F3" w:rsidRDefault="008B261A" w:rsidP="002520A6">
      <w:pPr>
        <w:pStyle w:val="Listeafsnit"/>
        <w:numPr>
          <w:ilvl w:val="0"/>
          <w:numId w:val="10"/>
        </w:numPr>
        <w:ind w:left="1276" w:hanging="425"/>
        <w:rPr>
          <w:rFonts w:ascii="Times New Roman" w:hAnsi="Times New Roman"/>
          <w:szCs w:val="24"/>
        </w:rPr>
      </w:pPr>
      <w:r w:rsidRPr="00C664F3">
        <w:rPr>
          <w:rFonts w:ascii="Times New Roman" w:hAnsi="Times New Roman"/>
          <w:szCs w:val="24"/>
        </w:rPr>
        <w:t>St. John’s wort (</w:t>
      </w:r>
      <w:r w:rsidRPr="00C664F3">
        <w:rPr>
          <w:rFonts w:ascii="Times New Roman" w:hAnsi="Times New Roman"/>
          <w:i/>
          <w:iCs/>
          <w:szCs w:val="24"/>
        </w:rPr>
        <w:t xml:space="preserve">Hypericum </w:t>
      </w:r>
      <w:proofErr w:type="spellStart"/>
      <w:r w:rsidRPr="00C664F3">
        <w:rPr>
          <w:rFonts w:ascii="Times New Roman" w:hAnsi="Times New Roman"/>
          <w:i/>
          <w:iCs/>
          <w:szCs w:val="24"/>
        </w:rPr>
        <w:t>perforatum</w:t>
      </w:r>
      <w:proofErr w:type="spellEnd"/>
      <w:r w:rsidRPr="00C664F3">
        <w:rPr>
          <w:rFonts w:ascii="Times New Roman" w:hAnsi="Times New Roman"/>
          <w:szCs w:val="24"/>
        </w:rPr>
        <w:t>)</w:t>
      </w:r>
    </w:p>
    <w:p w14:paraId="28FB52FB" w14:textId="77777777" w:rsidR="008B261A" w:rsidRPr="00C664F3" w:rsidRDefault="008B261A" w:rsidP="002520A6">
      <w:pPr>
        <w:pStyle w:val="Listeafsnit"/>
        <w:numPr>
          <w:ilvl w:val="0"/>
          <w:numId w:val="10"/>
        </w:numPr>
        <w:ind w:left="1276" w:hanging="425"/>
        <w:rPr>
          <w:rFonts w:ascii="Times New Roman" w:hAnsi="Times New Roman"/>
          <w:szCs w:val="24"/>
        </w:rPr>
      </w:pPr>
      <w:r w:rsidRPr="00C664F3">
        <w:rPr>
          <w:rFonts w:ascii="Times New Roman" w:hAnsi="Times New Roman"/>
          <w:szCs w:val="24"/>
        </w:rPr>
        <w:t>probenecid</w:t>
      </w:r>
    </w:p>
    <w:p w14:paraId="4CAB38B5" w14:textId="77777777" w:rsidR="008B261A" w:rsidRPr="00C664F3" w:rsidRDefault="008B261A" w:rsidP="002520A6">
      <w:pPr>
        <w:pStyle w:val="Listeafsnit"/>
        <w:numPr>
          <w:ilvl w:val="0"/>
          <w:numId w:val="10"/>
        </w:numPr>
        <w:ind w:left="1276" w:hanging="425"/>
        <w:rPr>
          <w:rFonts w:ascii="Times New Roman" w:hAnsi="Times New Roman"/>
          <w:szCs w:val="24"/>
        </w:rPr>
      </w:pPr>
      <w:proofErr w:type="spellStart"/>
      <w:r w:rsidRPr="00C664F3">
        <w:rPr>
          <w:rFonts w:ascii="Times New Roman" w:hAnsi="Times New Roman"/>
          <w:szCs w:val="24"/>
        </w:rPr>
        <w:t>lixisenatide</w:t>
      </w:r>
      <w:proofErr w:type="spellEnd"/>
      <w:r w:rsidRPr="00C664F3">
        <w:rPr>
          <w:rFonts w:ascii="Times New Roman" w:hAnsi="Times New Roman"/>
          <w:szCs w:val="24"/>
        </w:rPr>
        <w:t xml:space="preserve"> (an anti-diabetic agent)</w:t>
      </w:r>
    </w:p>
    <w:p w14:paraId="5FAB4335" w14:textId="77777777" w:rsidR="008B261A" w:rsidRPr="00C664F3" w:rsidRDefault="008B261A" w:rsidP="00E11F1E">
      <w:pPr>
        <w:ind w:left="851"/>
        <w:rPr>
          <w:sz w:val="24"/>
          <w:szCs w:val="24"/>
          <w:lang w:val="en-GB"/>
        </w:rPr>
      </w:pPr>
    </w:p>
    <w:p w14:paraId="483E1EB9" w14:textId="77777777" w:rsidR="008B261A" w:rsidRPr="00C664F3" w:rsidRDefault="008B261A" w:rsidP="00E11F1E">
      <w:pPr>
        <w:ind w:left="851"/>
        <w:rPr>
          <w:sz w:val="24"/>
          <w:szCs w:val="24"/>
          <w:lang w:val="en-GB"/>
        </w:rPr>
      </w:pPr>
      <w:r w:rsidRPr="00C664F3">
        <w:rPr>
          <w:sz w:val="24"/>
          <w:szCs w:val="24"/>
          <w:lang w:val="en-GB"/>
        </w:rPr>
        <w:t>Pharmacodynamic interaction</w:t>
      </w:r>
    </w:p>
    <w:p w14:paraId="122D6A37" w14:textId="77777777" w:rsidR="008B261A" w:rsidRPr="00C664F3" w:rsidRDefault="008B261A" w:rsidP="00E11F1E">
      <w:pPr>
        <w:ind w:left="851"/>
        <w:rPr>
          <w:sz w:val="24"/>
          <w:szCs w:val="24"/>
          <w:lang w:val="en-GB"/>
        </w:rPr>
      </w:pPr>
      <w:r w:rsidRPr="00C664F3">
        <w:rPr>
          <w:sz w:val="24"/>
          <w:szCs w:val="24"/>
          <w:lang w:val="en-GB"/>
        </w:rPr>
        <w:t xml:space="preserve">Regular use and continuous dosage of over 1.5 – 2 g paracetamol daily can cause an increase in INR in patients using </w:t>
      </w:r>
      <w:r w:rsidRPr="00C664F3">
        <w:rPr>
          <w:i/>
          <w:iCs/>
          <w:sz w:val="24"/>
          <w:szCs w:val="24"/>
          <w:lang w:val="en-GB"/>
        </w:rPr>
        <w:t xml:space="preserve">warfarin and other coumarin derivatives. </w:t>
      </w:r>
      <w:r w:rsidRPr="00C664F3">
        <w:rPr>
          <w:sz w:val="24"/>
          <w:szCs w:val="24"/>
          <w:lang w:val="en-GB"/>
        </w:rPr>
        <w:t>A dose adjustment may be necessary during concomitant use of paracetamol and these anticoagulant agents.</w:t>
      </w:r>
    </w:p>
    <w:p w14:paraId="73506CA3" w14:textId="77777777" w:rsidR="008B261A" w:rsidRPr="00C664F3" w:rsidRDefault="008B261A" w:rsidP="00E11F1E">
      <w:pPr>
        <w:ind w:left="851"/>
        <w:rPr>
          <w:sz w:val="24"/>
          <w:szCs w:val="24"/>
          <w:lang w:val="en-GB"/>
        </w:rPr>
      </w:pPr>
    </w:p>
    <w:p w14:paraId="6F648CF1" w14:textId="77777777" w:rsidR="008B261A" w:rsidRPr="00C664F3" w:rsidRDefault="008B261A" w:rsidP="00E11F1E">
      <w:pPr>
        <w:ind w:left="851"/>
        <w:rPr>
          <w:sz w:val="24"/>
          <w:szCs w:val="24"/>
          <w:lang w:val="en-GB"/>
        </w:rPr>
      </w:pPr>
      <w:r w:rsidRPr="00C664F3">
        <w:rPr>
          <w:sz w:val="24"/>
          <w:szCs w:val="24"/>
          <w:lang w:val="en-GB"/>
        </w:rPr>
        <w:t>Pharmacokinetic interactions</w:t>
      </w:r>
    </w:p>
    <w:p w14:paraId="7F7FF0C2" w14:textId="77777777" w:rsidR="008B261A" w:rsidRPr="00C664F3" w:rsidRDefault="008B261A" w:rsidP="00E11F1E">
      <w:pPr>
        <w:ind w:left="851"/>
        <w:rPr>
          <w:sz w:val="24"/>
          <w:szCs w:val="24"/>
          <w:lang w:val="en-GB"/>
        </w:rPr>
      </w:pPr>
      <w:r w:rsidRPr="00C664F3">
        <w:rPr>
          <w:sz w:val="24"/>
          <w:szCs w:val="24"/>
          <w:lang w:val="en-GB"/>
        </w:rPr>
        <w:t xml:space="preserve">Enzyme-inducing medicinal products, such as </w:t>
      </w:r>
      <w:r w:rsidRPr="00C664F3">
        <w:rPr>
          <w:i/>
          <w:iCs/>
          <w:sz w:val="24"/>
          <w:szCs w:val="24"/>
          <w:lang w:val="en-GB"/>
        </w:rPr>
        <w:t xml:space="preserve">carbamazepine, phenytoin, phenobarbital </w:t>
      </w:r>
      <w:r w:rsidRPr="00C664F3">
        <w:rPr>
          <w:sz w:val="24"/>
          <w:szCs w:val="24"/>
          <w:lang w:val="en-GB"/>
        </w:rPr>
        <w:t>and</w:t>
      </w:r>
      <w:r w:rsidRPr="00C664F3">
        <w:rPr>
          <w:i/>
          <w:iCs/>
          <w:sz w:val="24"/>
          <w:szCs w:val="24"/>
          <w:lang w:val="en-GB"/>
        </w:rPr>
        <w:t xml:space="preserve"> St. John’s wort (Hypericum </w:t>
      </w:r>
      <w:proofErr w:type="spellStart"/>
      <w:r w:rsidRPr="00C664F3">
        <w:rPr>
          <w:i/>
          <w:iCs/>
          <w:sz w:val="24"/>
          <w:szCs w:val="24"/>
          <w:lang w:val="en-GB"/>
        </w:rPr>
        <w:t>perforatum</w:t>
      </w:r>
      <w:proofErr w:type="spellEnd"/>
      <w:r w:rsidRPr="00C664F3">
        <w:rPr>
          <w:i/>
          <w:iCs/>
          <w:sz w:val="24"/>
          <w:szCs w:val="24"/>
          <w:lang w:val="en-GB"/>
        </w:rPr>
        <w:t xml:space="preserve">) </w:t>
      </w:r>
      <w:r w:rsidRPr="00C664F3">
        <w:rPr>
          <w:sz w:val="24"/>
          <w:szCs w:val="24"/>
          <w:lang w:val="en-GB"/>
        </w:rPr>
        <w:t xml:space="preserve">can increase the hepatotoxicity of paracetamol. Hydantoin derivatives, barbiturates and their derivatives and carbamazepine can induce paracetamol metabolism. This leads to a reduced concentration of paracetamol (40%) and increased biotransformation to a hepatotoxic reactive metabolite. Adjustment of the paracetamol dose is not necessary as this can result in an increased risk of hepatotoxic effects. </w:t>
      </w:r>
    </w:p>
    <w:p w14:paraId="6A444260" w14:textId="77777777" w:rsidR="008B261A" w:rsidRPr="00C664F3" w:rsidRDefault="008B261A" w:rsidP="00E11F1E">
      <w:pPr>
        <w:ind w:left="851"/>
        <w:rPr>
          <w:sz w:val="24"/>
          <w:szCs w:val="24"/>
          <w:lang w:val="en-GB"/>
        </w:rPr>
      </w:pPr>
    </w:p>
    <w:p w14:paraId="57B35F79" w14:textId="77777777" w:rsidR="008B261A" w:rsidRPr="00C664F3" w:rsidRDefault="008B261A" w:rsidP="00E11F1E">
      <w:pPr>
        <w:ind w:left="851"/>
        <w:rPr>
          <w:iCs/>
          <w:sz w:val="24"/>
          <w:szCs w:val="24"/>
          <w:lang w:val="en-GB"/>
        </w:rPr>
      </w:pPr>
      <w:r w:rsidRPr="00C664F3">
        <w:rPr>
          <w:i/>
          <w:iCs/>
          <w:sz w:val="24"/>
          <w:szCs w:val="24"/>
          <w:lang w:val="en-GB"/>
        </w:rPr>
        <w:t xml:space="preserve">Isoniazid, rifampicin </w:t>
      </w:r>
      <w:r w:rsidRPr="00C664F3">
        <w:rPr>
          <w:iCs/>
          <w:sz w:val="24"/>
          <w:szCs w:val="24"/>
          <w:lang w:val="en-GB"/>
        </w:rPr>
        <w:t>and other anti-tubercular agents and combinations of these can affect the pharmacokinetics of paracetamol with possible potentiation of hepatotoxicity. The paracetamol dose should not exceed 3 grams per day.</w:t>
      </w:r>
    </w:p>
    <w:p w14:paraId="176295CD" w14:textId="77777777" w:rsidR="008B261A" w:rsidRPr="00C664F3" w:rsidRDefault="008B261A" w:rsidP="00E11F1E">
      <w:pPr>
        <w:ind w:left="851"/>
        <w:rPr>
          <w:iCs/>
          <w:sz w:val="24"/>
          <w:szCs w:val="24"/>
          <w:lang w:val="en-GB"/>
        </w:rPr>
      </w:pPr>
    </w:p>
    <w:p w14:paraId="3C19A214" w14:textId="77777777" w:rsidR="008B261A" w:rsidRPr="00C664F3" w:rsidRDefault="008B261A" w:rsidP="00E11F1E">
      <w:pPr>
        <w:ind w:left="851"/>
        <w:rPr>
          <w:iCs/>
          <w:sz w:val="24"/>
          <w:szCs w:val="24"/>
          <w:lang w:val="en-GB"/>
        </w:rPr>
      </w:pPr>
      <w:r w:rsidRPr="00C664F3">
        <w:rPr>
          <w:i/>
          <w:sz w:val="24"/>
          <w:szCs w:val="24"/>
          <w:lang w:val="en-GB"/>
        </w:rPr>
        <w:t xml:space="preserve">Probenecid </w:t>
      </w:r>
      <w:r w:rsidRPr="00C664F3">
        <w:rPr>
          <w:iCs/>
          <w:sz w:val="24"/>
          <w:szCs w:val="24"/>
          <w:lang w:val="en-GB"/>
        </w:rPr>
        <w:t>almost halves the clearance of paracetamol by inhibiting conjugation with glucuronic acid. This probably means that the dose of paracetamol can be halved when it is administered concomitantly with probenecid.</w:t>
      </w:r>
    </w:p>
    <w:p w14:paraId="3E6BB37B" w14:textId="77777777" w:rsidR="008B261A" w:rsidRPr="00C664F3" w:rsidRDefault="008B261A" w:rsidP="00E11F1E">
      <w:pPr>
        <w:ind w:left="851"/>
        <w:rPr>
          <w:iCs/>
          <w:sz w:val="24"/>
          <w:szCs w:val="24"/>
          <w:lang w:val="en-GB"/>
        </w:rPr>
      </w:pPr>
    </w:p>
    <w:p w14:paraId="44D143D5" w14:textId="77777777" w:rsidR="008B261A" w:rsidRPr="00C664F3" w:rsidRDefault="008B261A" w:rsidP="00E11F1E">
      <w:pPr>
        <w:ind w:left="851"/>
        <w:rPr>
          <w:iCs/>
          <w:sz w:val="24"/>
          <w:szCs w:val="24"/>
          <w:lang w:val="en-GB"/>
        </w:rPr>
      </w:pPr>
      <w:r w:rsidRPr="00C664F3">
        <w:rPr>
          <w:iCs/>
          <w:sz w:val="24"/>
          <w:szCs w:val="24"/>
          <w:lang w:val="en-GB"/>
        </w:rPr>
        <w:t xml:space="preserve">When paracetamol is taken 1-4 hours after administration of </w:t>
      </w:r>
      <w:proofErr w:type="spellStart"/>
      <w:r w:rsidRPr="00C664F3">
        <w:rPr>
          <w:iCs/>
          <w:sz w:val="24"/>
          <w:szCs w:val="24"/>
          <w:lang w:val="en-GB"/>
        </w:rPr>
        <w:t>lixisenatide</w:t>
      </w:r>
      <w:proofErr w:type="spellEnd"/>
      <w:r w:rsidRPr="00C664F3">
        <w:rPr>
          <w:iCs/>
          <w:sz w:val="24"/>
          <w:szCs w:val="24"/>
          <w:lang w:val="en-GB"/>
        </w:rPr>
        <w:t>,</w:t>
      </w:r>
      <w:r w:rsidRPr="00C664F3">
        <w:rPr>
          <w:i/>
          <w:sz w:val="24"/>
          <w:szCs w:val="24"/>
          <w:lang w:val="en-GB"/>
        </w:rPr>
        <w:t xml:space="preserve"> </w:t>
      </w:r>
      <w:r w:rsidRPr="00C664F3">
        <w:rPr>
          <w:iCs/>
          <w:sz w:val="24"/>
          <w:szCs w:val="24"/>
          <w:lang w:val="en-GB"/>
        </w:rPr>
        <w:t xml:space="preserve">this results in delayed absorption of paracetamol. Patients should therefore be made aware that it takes longer than usual (up to 2 hours) before onset of effect of paracetamol when it is taken in the first few hours after administration of </w:t>
      </w:r>
      <w:proofErr w:type="spellStart"/>
      <w:r w:rsidRPr="00C664F3">
        <w:rPr>
          <w:iCs/>
          <w:sz w:val="24"/>
          <w:szCs w:val="24"/>
          <w:lang w:val="en-GB"/>
        </w:rPr>
        <w:t>lixisenatide</w:t>
      </w:r>
      <w:proofErr w:type="spellEnd"/>
      <w:r w:rsidRPr="00C664F3">
        <w:rPr>
          <w:iCs/>
          <w:sz w:val="24"/>
          <w:szCs w:val="24"/>
          <w:lang w:val="en-GB"/>
        </w:rPr>
        <w:t>.</w:t>
      </w:r>
    </w:p>
    <w:p w14:paraId="2B242D87" w14:textId="77777777" w:rsidR="008B261A" w:rsidRPr="00C664F3" w:rsidRDefault="008B261A" w:rsidP="00E11F1E">
      <w:pPr>
        <w:ind w:left="851"/>
        <w:rPr>
          <w:iCs/>
          <w:sz w:val="24"/>
          <w:szCs w:val="24"/>
          <w:lang w:val="en-GB"/>
        </w:rPr>
      </w:pPr>
    </w:p>
    <w:p w14:paraId="25F36425" w14:textId="77777777" w:rsidR="008B261A" w:rsidRPr="00C664F3" w:rsidRDefault="008B261A" w:rsidP="00E11F1E">
      <w:pPr>
        <w:ind w:left="851"/>
        <w:rPr>
          <w:sz w:val="24"/>
          <w:szCs w:val="24"/>
          <w:lang w:val="en-GB"/>
        </w:rPr>
      </w:pPr>
      <w:r w:rsidRPr="00C664F3">
        <w:rPr>
          <w:i/>
          <w:iCs/>
          <w:sz w:val="24"/>
          <w:szCs w:val="24"/>
          <w:lang w:val="en-GB"/>
        </w:rPr>
        <w:t xml:space="preserve">Resins such as </w:t>
      </w:r>
      <w:proofErr w:type="spellStart"/>
      <w:r w:rsidRPr="00C664F3">
        <w:rPr>
          <w:i/>
          <w:iCs/>
          <w:sz w:val="24"/>
          <w:szCs w:val="24"/>
          <w:lang w:val="en-GB"/>
        </w:rPr>
        <w:t>colestyramine</w:t>
      </w:r>
      <w:proofErr w:type="spellEnd"/>
      <w:r w:rsidRPr="00C664F3">
        <w:rPr>
          <w:i/>
          <w:iCs/>
          <w:sz w:val="24"/>
          <w:szCs w:val="24"/>
          <w:lang w:val="en-GB"/>
        </w:rPr>
        <w:t xml:space="preserve">, colestipol and </w:t>
      </w:r>
      <w:proofErr w:type="spellStart"/>
      <w:r w:rsidRPr="00C664F3">
        <w:rPr>
          <w:i/>
          <w:iCs/>
          <w:sz w:val="24"/>
          <w:szCs w:val="24"/>
          <w:lang w:val="en-GB"/>
        </w:rPr>
        <w:t>colesevelam</w:t>
      </w:r>
      <w:proofErr w:type="spellEnd"/>
      <w:r w:rsidRPr="00C664F3">
        <w:rPr>
          <w:i/>
          <w:iCs/>
          <w:sz w:val="24"/>
          <w:szCs w:val="24"/>
          <w:lang w:val="en-GB"/>
        </w:rPr>
        <w:t xml:space="preserve"> </w:t>
      </w:r>
      <w:r w:rsidRPr="00C664F3">
        <w:rPr>
          <w:sz w:val="24"/>
          <w:szCs w:val="24"/>
          <w:lang w:val="en-GB"/>
        </w:rPr>
        <w:t>reduce the gastrointestinal absorption of paracetamol. Generally, paracetamol should be taken at least one hour before or at least four hours after taking the resin. If there is an acute need for paracetamol, the medicinal product can be taken even if the resin was taken less than four hours before, but in that case, it should be noted that the efficacy of paracetamol may be reduced.</w:t>
      </w:r>
    </w:p>
    <w:p w14:paraId="05559997" w14:textId="77777777" w:rsidR="008B261A" w:rsidRPr="00C664F3" w:rsidRDefault="008B261A" w:rsidP="00E11F1E">
      <w:pPr>
        <w:ind w:left="851"/>
        <w:rPr>
          <w:sz w:val="24"/>
          <w:szCs w:val="24"/>
          <w:lang w:val="en-GB"/>
        </w:rPr>
      </w:pPr>
    </w:p>
    <w:p w14:paraId="3FF1E789" w14:textId="77777777" w:rsidR="008B261A" w:rsidRPr="00C664F3" w:rsidRDefault="008B261A" w:rsidP="00E11F1E">
      <w:pPr>
        <w:ind w:left="851"/>
        <w:rPr>
          <w:sz w:val="24"/>
          <w:szCs w:val="24"/>
          <w:lang w:val="en-GB"/>
        </w:rPr>
      </w:pPr>
      <w:r w:rsidRPr="00C664F3">
        <w:rPr>
          <w:i/>
          <w:iCs/>
          <w:sz w:val="24"/>
          <w:szCs w:val="24"/>
          <w:lang w:val="en-GB"/>
        </w:rPr>
        <w:t>Ethanol</w:t>
      </w:r>
      <w:r w:rsidRPr="00C664F3">
        <w:rPr>
          <w:sz w:val="24"/>
          <w:szCs w:val="24"/>
          <w:lang w:val="en-GB"/>
        </w:rPr>
        <w:t xml:space="preserve"> (long-term use) induces CYP1A2. This leads to increased production of the hepatotoxic paracetamol metabolite NAPQI. Therefore, it is an increased risk of hepatotoxicity with high ethanol consumption. Occasional consumption of small to moderate amounts of ethanol does not however increase the level of the hepatotoxic paracetamol metabolite NAPQI to a dangerous extent. </w:t>
      </w:r>
    </w:p>
    <w:p w14:paraId="3E4C36A8" w14:textId="77777777" w:rsidR="008B261A" w:rsidRPr="00C664F3" w:rsidRDefault="008B261A" w:rsidP="00E11F1E">
      <w:pPr>
        <w:ind w:left="851"/>
        <w:rPr>
          <w:sz w:val="24"/>
          <w:szCs w:val="24"/>
          <w:lang w:val="en-GB"/>
        </w:rPr>
      </w:pPr>
    </w:p>
    <w:p w14:paraId="0CD9943D" w14:textId="77777777" w:rsidR="008B261A" w:rsidRPr="00C664F3" w:rsidRDefault="008B261A" w:rsidP="00E11F1E">
      <w:pPr>
        <w:ind w:left="851"/>
        <w:rPr>
          <w:sz w:val="24"/>
          <w:szCs w:val="24"/>
          <w:lang w:val="en-GB"/>
        </w:rPr>
      </w:pPr>
      <w:r w:rsidRPr="00C664F3">
        <w:rPr>
          <w:sz w:val="24"/>
          <w:szCs w:val="24"/>
          <w:lang w:val="en-GB"/>
        </w:rPr>
        <w:t xml:space="preserve">Caution should be taken when paracetamol is used concomitantly with </w:t>
      </w:r>
      <w:r w:rsidRPr="00C664F3">
        <w:rPr>
          <w:i/>
          <w:iCs/>
          <w:sz w:val="24"/>
          <w:szCs w:val="24"/>
          <w:lang w:val="en-GB"/>
        </w:rPr>
        <w:t>flucloxacillin</w:t>
      </w:r>
      <w:r w:rsidRPr="00C664F3">
        <w:rPr>
          <w:sz w:val="24"/>
          <w:szCs w:val="24"/>
          <w:lang w:val="en-GB"/>
        </w:rPr>
        <w:t xml:space="preserve">, as concurrent intake has been associated with high anion gap metabolic acidosis, especially in patients with risk factors (see section 4.4).  </w:t>
      </w:r>
    </w:p>
    <w:p w14:paraId="202122FC" w14:textId="77777777" w:rsidR="007C5D2A" w:rsidRPr="00C664F3" w:rsidRDefault="007C5D2A" w:rsidP="003E0341">
      <w:pPr>
        <w:tabs>
          <w:tab w:val="left" w:pos="851"/>
        </w:tabs>
        <w:ind w:left="851"/>
        <w:rPr>
          <w:sz w:val="24"/>
          <w:szCs w:val="24"/>
          <w:lang w:val="en-GB"/>
        </w:rPr>
      </w:pPr>
    </w:p>
    <w:p w14:paraId="3247E75A" w14:textId="77777777" w:rsidR="007C5D2A" w:rsidRPr="00C664F3" w:rsidRDefault="007C5D2A" w:rsidP="007C5D2A">
      <w:pPr>
        <w:tabs>
          <w:tab w:val="left" w:pos="851"/>
        </w:tabs>
        <w:ind w:left="851" w:hanging="851"/>
        <w:rPr>
          <w:b/>
          <w:sz w:val="24"/>
          <w:szCs w:val="24"/>
          <w:lang w:val="en-GB"/>
        </w:rPr>
      </w:pPr>
      <w:r w:rsidRPr="00C664F3">
        <w:rPr>
          <w:b/>
          <w:sz w:val="24"/>
          <w:szCs w:val="24"/>
          <w:lang w:val="en-GB"/>
        </w:rPr>
        <w:t>4.6</w:t>
      </w:r>
      <w:r w:rsidRPr="00C664F3">
        <w:rPr>
          <w:b/>
          <w:sz w:val="24"/>
          <w:szCs w:val="24"/>
          <w:lang w:val="en-GB"/>
        </w:rPr>
        <w:tab/>
      </w:r>
      <w:r w:rsidR="004860D3" w:rsidRPr="00C664F3">
        <w:rPr>
          <w:b/>
          <w:sz w:val="24"/>
          <w:szCs w:val="24"/>
          <w:lang w:val="en-GB"/>
        </w:rPr>
        <w:t>Fertility, p</w:t>
      </w:r>
      <w:r w:rsidRPr="00C664F3">
        <w:rPr>
          <w:b/>
          <w:sz w:val="24"/>
          <w:szCs w:val="24"/>
          <w:lang w:val="en-GB"/>
        </w:rPr>
        <w:t>regnancy and lactation</w:t>
      </w:r>
    </w:p>
    <w:p w14:paraId="030D3B3E" w14:textId="77777777" w:rsidR="002520A6" w:rsidRPr="00C664F3" w:rsidRDefault="002520A6" w:rsidP="00E11F1E">
      <w:pPr>
        <w:ind w:left="851"/>
        <w:rPr>
          <w:iCs/>
          <w:sz w:val="24"/>
          <w:szCs w:val="24"/>
          <w:u w:val="single"/>
          <w:lang w:val="en-GB"/>
        </w:rPr>
      </w:pPr>
    </w:p>
    <w:p w14:paraId="5802356C" w14:textId="456306EB" w:rsidR="008B261A" w:rsidRPr="00C664F3" w:rsidRDefault="008B261A" w:rsidP="00E11F1E">
      <w:pPr>
        <w:ind w:left="851"/>
        <w:rPr>
          <w:sz w:val="24"/>
          <w:szCs w:val="24"/>
          <w:lang w:val="en-GB"/>
        </w:rPr>
      </w:pPr>
      <w:r w:rsidRPr="00C664F3">
        <w:rPr>
          <w:iCs/>
          <w:sz w:val="24"/>
          <w:szCs w:val="24"/>
          <w:u w:val="single"/>
          <w:lang w:val="en-GB"/>
        </w:rPr>
        <w:t>Pregnancy</w:t>
      </w:r>
      <w:r w:rsidRPr="00C664F3">
        <w:rPr>
          <w:i/>
          <w:sz w:val="24"/>
          <w:szCs w:val="24"/>
          <w:lang w:val="en-GB"/>
        </w:rPr>
        <w:br/>
      </w:r>
      <w:r w:rsidRPr="00C664F3">
        <w:rPr>
          <w:sz w:val="24"/>
          <w:szCs w:val="24"/>
          <w:lang w:val="en-GB"/>
        </w:rPr>
        <w:t xml:space="preserve">A large amount of data on pregnant women indicate neither </w:t>
      </w:r>
      <w:proofErr w:type="spellStart"/>
      <w:r w:rsidRPr="00C664F3">
        <w:rPr>
          <w:sz w:val="24"/>
          <w:szCs w:val="24"/>
          <w:lang w:val="en-GB"/>
        </w:rPr>
        <w:t>malformative</w:t>
      </w:r>
      <w:proofErr w:type="spellEnd"/>
      <w:r w:rsidRPr="00C664F3">
        <w:rPr>
          <w:sz w:val="24"/>
          <w:szCs w:val="24"/>
          <w:lang w:val="en-GB"/>
        </w:rPr>
        <w:t xml:space="preserve">, nor </w:t>
      </w:r>
      <w:proofErr w:type="spellStart"/>
      <w:r w:rsidRPr="00C664F3">
        <w:rPr>
          <w:sz w:val="24"/>
          <w:szCs w:val="24"/>
          <w:lang w:val="en-GB"/>
        </w:rPr>
        <w:t>foeto</w:t>
      </w:r>
      <w:proofErr w:type="spellEnd"/>
      <w:r w:rsidRPr="00C664F3">
        <w:rPr>
          <w:sz w:val="24"/>
          <w:szCs w:val="24"/>
          <w:lang w:val="en-GB"/>
        </w:rPr>
        <w:t>/neonatal toxicity. Epidemiological studies on neurodevelopment in children exposed to paracetamol in utero show inconclusive results. If clinically needed, paracetamol can be used during pregnancy, however it should be used at the lowest possible effective dose for the shortest possible time and at the lowest possible frequency.</w:t>
      </w:r>
      <w:r w:rsidRPr="00C664F3">
        <w:rPr>
          <w:sz w:val="24"/>
          <w:szCs w:val="24"/>
          <w:lang w:val="en-GB"/>
        </w:rPr>
        <w:br/>
      </w:r>
      <w:r w:rsidRPr="00C664F3">
        <w:rPr>
          <w:sz w:val="24"/>
          <w:szCs w:val="24"/>
          <w:lang w:val="en-GB"/>
        </w:rPr>
        <w:br/>
      </w:r>
      <w:r w:rsidRPr="00C664F3">
        <w:rPr>
          <w:iCs/>
          <w:sz w:val="24"/>
          <w:szCs w:val="24"/>
          <w:u w:val="single"/>
          <w:lang w:val="en-GB"/>
        </w:rPr>
        <w:t>Breast-feeding</w:t>
      </w:r>
      <w:r w:rsidRPr="00C664F3">
        <w:rPr>
          <w:i/>
          <w:sz w:val="24"/>
          <w:szCs w:val="24"/>
          <w:lang w:val="en-GB"/>
        </w:rPr>
        <w:br/>
      </w:r>
      <w:r w:rsidRPr="00C664F3">
        <w:rPr>
          <w:sz w:val="24"/>
          <w:szCs w:val="24"/>
          <w:lang w:val="en-GB"/>
        </w:rPr>
        <w:t xml:space="preserve">Paracetamol is excreted in breast milk, and the </w:t>
      </w:r>
      <w:proofErr w:type="spellStart"/>
      <w:r w:rsidRPr="00C664F3">
        <w:rPr>
          <w:sz w:val="24"/>
          <w:szCs w:val="24"/>
          <w:lang w:val="en-GB"/>
        </w:rPr>
        <w:t>milk:plasma</w:t>
      </w:r>
      <w:proofErr w:type="spellEnd"/>
      <w:r w:rsidRPr="00C664F3">
        <w:rPr>
          <w:sz w:val="24"/>
          <w:szCs w:val="24"/>
          <w:lang w:val="en-GB"/>
        </w:rPr>
        <w:t xml:space="preserve"> ratio is 1. It is estimated that a breast-fed infant receives &lt;2% of the maternal dose. It is unlikely that breast-fed infants are affected.</w:t>
      </w:r>
    </w:p>
    <w:p w14:paraId="44FA5C01" w14:textId="77777777" w:rsidR="007C5D2A" w:rsidRPr="00C664F3" w:rsidRDefault="007C5D2A" w:rsidP="003E0341">
      <w:pPr>
        <w:tabs>
          <w:tab w:val="left" w:pos="851"/>
        </w:tabs>
        <w:ind w:left="851"/>
        <w:rPr>
          <w:sz w:val="24"/>
          <w:szCs w:val="24"/>
          <w:lang w:val="en-GB"/>
        </w:rPr>
      </w:pPr>
    </w:p>
    <w:p w14:paraId="53A85D24" w14:textId="77777777" w:rsidR="007C5D2A" w:rsidRPr="00C664F3" w:rsidRDefault="007C5D2A" w:rsidP="007C5D2A">
      <w:pPr>
        <w:tabs>
          <w:tab w:val="left" w:pos="851"/>
        </w:tabs>
        <w:ind w:left="851" w:hanging="851"/>
        <w:rPr>
          <w:b/>
          <w:sz w:val="24"/>
          <w:szCs w:val="24"/>
          <w:lang w:val="en-GB"/>
        </w:rPr>
      </w:pPr>
      <w:r w:rsidRPr="00C664F3">
        <w:rPr>
          <w:b/>
          <w:sz w:val="24"/>
          <w:szCs w:val="24"/>
          <w:lang w:val="en-GB"/>
        </w:rPr>
        <w:t>4.7</w:t>
      </w:r>
      <w:r w:rsidRPr="00C664F3">
        <w:rPr>
          <w:b/>
          <w:sz w:val="24"/>
          <w:szCs w:val="24"/>
          <w:lang w:val="en-GB"/>
        </w:rPr>
        <w:tab/>
        <w:t>Effects on ability to drive and use machines</w:t>
      </w:r>
    </w:p>
    <w:p w14:paraId="1090DDC5" w14:textId="77777777" w:rsidR="002520A6" w:rsidRPr="00C664F3" w:rsidRDefault="002520A6" w:rsidP="00E11F1E">
      <w:pPr>
        <w:ind w:left="851"/>
        <w:rPr>
          <w:sz w:val="24"/>
          <w:szCs w:val="24"/>
          <w:lang w:val="en-GB"/>
        </w:rPr>
      </w:pPr>
      <w:r w:rsidRPr="00C664F3">
        <w:rPr>
          <w:sz w:val="24"/>
          <w:szCs w:val="24"/>
          <w:lang w:val="en-GB"/>
        </w:rPr>
        <w:t>No traffic warning.</w:t>
      </w:r>
    </w:p>
    <w:p w14:paraId="213F4C82" w14:textId="4B622E23" w:rsidR="008B261A" w:rsidRPr="00C664F3" w:rsidRDefault="002520A6" w:rsidP="00E11F1E">
      <w:pPr>
        <w:ind w:left="851"/>
        <w:rPr>
          <w:sz w:val="24"/>
          <w:szCs w:val="24"/>
          <w:lang w:val="en-GB"/>
        </w:rPr>
      </w:pPr>
      <w:proofErr w:type="spellStart"/>
      <w:r w:rsidRPr="00C664F3">
        <w:rPr>
          <w:sz w:val="24"/>
          <w:szCs w:val="24"/>
          <w:lang w:val="en-GB"/>
        </w:rPr>
        <w:t>Paracet</w:t>
      </w:r>
      <w:proofErr w:type="spellEnd"/>
      <w:r w:rsidR="008B261A" w:rsidRPr="00C664F3">
        <w:rPr>
          <w:sz w:val="24"/>
          <w:szCs w:val="24"/>
          <w:lang w:val="en-GB"/>
        </w:rPr>
        <w:t xml:space="preserve"> has no or negligible influence on the ability to drive and use machines.</w:t>
      </w:r>
    </w:p>
    <w:p w14:paraId="0676C1AF" w14:textId="77777777" w:rsidR="007C5D2A" w:rsidRPr="00C664F3" w:rsidRDefault="007C5D2A" w:rsidP="003E0341">
      <w:pPr>
        <w:tabs>
          <w:tab w:val="left" w:pos="851"/>
        </w:tabs>
        <w:ind w:left="851"/>
        <w:rPr>
          <w:sz w:val="24"/>
          <w:szCs w:val="24"/>
          <w:lang w:val="en-GB"/>
        </w:rPr>
      </w:pPr>
    </w:p>
    <w:p w14:paraId="14F0FFDD" w14:textId="77777777" w:rsidR="007C5D2A" w:rsidRPr="00C664F3" w:rsidRDefault="007C5D2A" w:rsidP="007C5D2A">
      <w:pPr>
        <w:tabs>
          <w:tab w:val="left" w:pos="851"/>
        </w:tabs>
        <w:ind w:left="851" w:hanging="851"/>
        <w:rPr>
          <w:b/>
          <w:sz w:val="24"/>
          <w:szCs w:val="24"/>
          <w:lang w:val="en-GB"/>
        </w:rPr>
      </w:pPr>
      <w:r w:rsidRPr="00C664F3">
        <w:rPr>
          <w:b/>
          <w:sz w:val="24"/>
          <w:szCs w:val="24"/>
          <w:lang w:val="en-GB"/>
        </w:rPr>
        <w:t>4.8</w:t>
      </w:r>
      <w:r w:rsidRPr="00C664F3">
        <w:rPr>
          <w:b/>
          <w:sz w:val="24"/>
          <w:szCs w:val="24"/>
          <w:lang w:val="en-GB"/>
        </w:rPr>
        <w:tab/>
        <w:t>Undesirable effects</w:t>
      </w:r>
    </w:p>
    <w:p w14:paraId="5FB1A0BA" w14:textId="77777777" w:rsidR="008B261A" w:rsidRPr="00C664F3" w:rsidRDefault="008B261A" w:rsidP="00E11F1E">
      <w:pPr>
        <w:ind w:left="851"/>
        <w:rPr>
          <w:sz w:val="24"/>
          <w:szCs w:val="24"/>
          <w:lang w:val="en-GB"/>
        </w:rPr>
      </w:pPr>
      <w:r w:rsidRPr="00C664F3">
        <w:rPr>
          <w:sz w:val="24"/>
          <w:szCs w:val="24"/>
          <w:lang w:val="en-GB"/>
        </w:rPr>
        <w:t>The following frequency convention is used for the classification of undesirable effects:</w:t>
      </w:r>
    </w:p>
    <w:p w14:paraId="3C6FE16E" w14:textId="77777777" w:rsidR="008B261A" w:rsidRPr="00C664F3" w:rsidRDefault="008B261A" w:rsidP="00E11F1E">
      <w:pPr>
        <w:ind w:left="851"/>
        <w:rPr>
          <w:sz w:val="24"/>
          <w:szCs w:val="24"/>
          <w:lang w:val="en-GB"/>
        </w:rPr>
      </w:pPr>
      <w:r w:rsidRPr="00C664F3">
        <w:rPr>
          <w:sz w:val="24"/>
          <w:szCs w:val="24"/>
          <w:lang w:val="en-GB"/>
        </w:rPr>
        <w:t xml:space="preserve">Very common (≥ 1/10), Common (≥ 1/100 to &lt; 1/10), Uncommon (≥ 1/1,000 to &lt; 1/100), </w:t>
      </w:r>
    </w:p>
    <w:p w14:paraId="2B280BFC" w14:textId="77777777" w:rsidR="008B261A" w:rsidRPr="00C664F3" w:rsidRDefault="008B261A" w:rsidP="00E11F1E">
      <w:pPr>
        <w:ind w:left="851"/>
        <w:rPr>
          <w:sz w:val="24"/>
          <w:szCs w:val="24"/>
          <w:lang w:val="en-GB"/>
        </w:rPr>
      </w:pPr>
      <w:r w:rsidRPr="00C664F3">
        <w:rPr>
          <w:sz w:val="24"/>
          <w:szCs w:val="24"/>
          <w:lang w:val="en-GB"/>
        </w:rPr>
        <w:t>Rare (≥ 1/10,000 to &lt; 1/1,000), Very rare (&lt; 1/10,000), Not known (cannot be estimated from the available data)</w:t>
      </w:r>
    </w:p>
    <w:p w14:paraId="3A607FEA" w14:textId="348ABCEA" w:rsidR="00C664F3" w:rsidRPr="00C664F3" w:rsidRDefault="00C664F3">
      <w:pPr>
        <w:rPr>
          <w:sz w:val="24"/>
          <w:szCs w:val="24"/>
          <w:lang w:val="en-GB"/>
        </w:rPr>
      </w:pPr>
      <w:r w:rsidRPr="00C664F3">
        <w:rPr>
          <w:sz w:val="24"/>
          <w:szCs w:val="24"/>
          <w:lang w:val="en-GB"/>
        </w:rPr>
        <w:br w:type="page"/>
      </w:r>
    </w:p>
    <w:p w14:paraId="497E1AAC" w14:textId="77777777" w:rsidR="008B261A" w:rsidRPr="00C664F3" w:rsidRDefault="008B261A" w:rsidP="00E11F1E">
      <w:pPr>
        <w:ind w:left="851"/>
        <w:rPr>
          <w:i/>
          <w:sz w:val="24"/>
          <w:szCs w:val="24"/>
          <w:lang w:val="en-GB"/>
        </w:rPr>
      </w:pPr>
    </w:p>
    <w:tbl>
      <w:tblPr>
        <w:tblW w:w="8505"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565"/>
        <w:gridCol w:w="5940"/>
      </w:tblGrid>
      <w:tr w:rsidR="008B261A" w:rsidRPr="00444AFD" w14:paraId="6B7C3F26" w14:textId="77777777" w:rsidTr="00E11F1E">
        <w:tc>
          <w:tcPr>
            <w:tcW w:w="8505" w:type="dxa"/>
            <w:gridSpan w:val="2"/>
            <w:tcBorders>
              <w:top w:val="single" w:sz="4" w:space="0" w:color="auto"/>
              <w:left w:val="single" w:sz="4" w:space="0" w:color="auto"/>
              <w:bottom w:val="single" w:sz="4" w:space="0" w:color="auto"/>
              <w:right w:val="single" w:sz="4" w:space="0" w:color="auto"/>
            </w:tcBorders>
            <w:hideMark/>
          </w:tcPr>
          <w:p w14:paraId="231804C8" w14:textId="77777777" w:rsidR="008B261A" w:rsidRPr="00C664F3" w:rsidRDefault="008B261A" w:rsidP="00E11F1E">
            <w:pPr>
              <w:ind w:left="143"/>
              <w:rPr>
                <w:b/>
                <w:sz w:val="24"/>
                <w:szCs w:val="24"/>
                <w:lang w:val="en-GB"/>
              </w:rPr>
            </w:pPr>
            <w:bookmarkStart w:id="2" w:name="_Hlk33097118"/>
            <w:r w:rsidRPr="00C664F3">
              <w:rPr>
                <w:b/>
                <w:sz w:val="24"/>
                <w:szCs w:val="24"/>
                <w:lang w:val="en-GB"/>
              </w:rPr>
              <w:t>Blood and lymphatic system disorders</w:t>
            </w:r>
          </w:p>
        </w:tc>
      </w:tr>
      <w:tr w:rsidR="008B261A" w:rsidRPr="00444AFD" w14:paraId="52242035" w14:textId="77777777" w:rsidTr="00E11F1E">
        <w:tc>
          <w:tcPr>
            <w:tcW w:w="2565" w:type="dxa"/>
            <w:tcBorders>
              <w:top w:val="single" w:sz="4" w:space="0" w:color="auto"/>
              <w:left w:val="single" w:sz="4" w:space="0" w:color="auto"/>
              <w:bottom w:val="single" w:sz="4" w:space="0" w:color="auto"/>
              <w:right w:val="single" w:sz="4" w:space="0" w:color="auto"/>
            </w:tcBorders>
            <w:hideMark/>
          </w:tcPr>
          <w:p w14:paraId="188F947C" w14:textId="77777777" w:rsidR="008B261A" w:rsidRPr="00C664F3" w:rsidRDefault="008B261A" w:rsidP="00E11F1E">
            <w:pPr>
              <w:ind w:left="143"/>
              <w:rPr>
                <w:sz w:val="24"/>
                <w:szCs w:val="24"/>
                <w:lang w:val="en-GB"/>
              </w:rPr>
            </w:pPr>
            <w:r w:rsidRPr="00C664F3">
              <w:rPr>
                <w:sz w:val="24"/>
                <w:szCs w:val="24"/>
                <w:lang w:val="en-GB"/>
              </w:rPr>
              <w:t>Rare:</w:t>
            </w:r>
          </w:p>
        </w:tc>
        <w:tc>
          <w:tcPr>
            <w:tcW w:w="5940" w:type="dxa"/>
            <w:tcBorders>
              <w:top w:val="single" w:sz="4" w:space="0" w:color="auto"/>
              <w:left w:val="single" w:sz="4" w:space="0" w:color="auto"/>
              <w:bottom w:val="single" w:sz="4" w:space="0" w:color="auto"/>
              <w:right w:val="single" w:sz="4" w:space="0" w:color="auto"/>
            </w:tcBorders>
            <w:hideMark/>
          </w:tcPr>
          <w:p w14:paraId="5740204D" w14:textId="77777777" w:rsidR="008B261A" w:rsidRPr="00C664F3" w:rsidRDefault="008B261A" w:rsidP="00E11F1E">
            <w:pPr>
              <w:ind w:left="143"/>
              <w:rPr>
                <w:sz w:val="24"/>
                <w:szCs w:val="24"/>
                <w:lang w:val="en-GB"/>
              </w:rPr>
            </w:pPr>
            <w:r w:rsidRPr="00C664F3">
              <w:rPr>
                <w:sz w:val="24"/>
                <w:szCs w:val="24"/>
                <w:lang w:val="en-GB"/>
              </w:rPr>
              <w:t>Thrombocytopenia, leukopenia and haemolytic anaemia</w:t>
            </w:r>
          </w:p>
        </w:tc>
      </w:tr>
      <w:tr w:rsidR="008B261A" w:rsidRPr="00C664F3" w14:paraId="155ADFC0" w14:textId="77777777" w:rsidTr="00E11F1E">
        <w:tc>
          <w:tcPr>
            <w:tcW w:w="8505" w:type="dxa"/>
            <w:gridSpan w:val="2"/>
            <w:tcBorders>
              <w:top w:val="single" w:sz="4" w:space="0" w:color="auto"/>
              <w:left w:val="single" w:sz="4" w:space="0" w:color="auto"/>
              <w:bottom w:val="single" w:sz="4" w:space="0" w:color="auto"/>
              <w:right w:val="single" w:sz="4" w:space="0" w:color="auto"/>
            </w:tcBorders>
            <w:hideMark/>
          </w:tcPr>
          <w:p w14:paraId="4EF48338" w14:textId="77777777" w:rsidR="008B261A" w:rsidRPr="00C664F3" w:rsidRDefault="008B261A" w:rsidP="00E11F1E">
            <w:pPr>
              <w:ind w:left="143"/>
              <w:rPr>
                <w:b/>
                <w:sz w:val="24"/>
                <w:szCs w:val="24"/>
                <w:lang w:val="en-GB"/>
              </w:rPr>
            </w:pPr>
            <w:r w:rsidRPr="00C664F3">
              <w:rPr>
                <w:b/>
                <w:sz w:val="24"/>
                <w:szCs w:val="24"/>
                <w:lang w:val="en-GB"/>
              </w:rPr>
              <w:t>Immune system disorders</w:t>
            </w:r>
          </w:p>
        </w:tc>
      </w:tr>
      <w:tr w:rsidR="008B261A" w:rsidRPr="00444AFD" w14:paraId="72454A1B" w14:textId="77777777" w:rsidTr="00E11F1E">
        <w:tc>
          <w:tcPr>
            <w:tcW w:w="2565" w:type="dxa"/>
            <w:tcBorders>
              <w:top w:val="single" w:sz="4" w:space="0" w:color="auto"/>
              <w:left w:val="single" w:sz="4" w:space="0" w:color="auto"/>
              <w:bottom w:val="single" w:sz="4" w:space="0" w:color="auto"/>
              <w:right w:val="single" w:sz="4" w:space="0" w:color="auto"/>
            </w:tcBorders>
            <w:hideMark/>
          </w:tcPr>
          <w:p w14:paraId="5A468B83" w14:textId="77777777" w:rsidR="008B261A" w:rsidRPr="00C664F3" w:rsidRDefault="008B261A" w:rsidP="00E11F1E">
            <w:pPr>
              <w:ind w:left="143"/>
              <w:rPr>
                <w:sz w:val="24"/>
                <w:szCs w:val="24"/>
                <w:lang w:val="en-GB"/>
              </w:rPr>
            </w:pPr>
            <w:r w:rsidRPr="00C664F3">
              <w:rPr>
                <w:sz w:val="24"/>
                <w:szCs w:val="24"/>
                <w:lang w:val="en-GB"/>
              </w:rPr>
              <w:t>Rare:</w:t>
            </w:r>
          </w:p>
        </w:tc>
        <w:tc>
          <w:tcPr>
            <w:tcW w:w="5940" w:type="dxa"/>
            <w:tcBorders>
              <w:top w:val="single" w:sz="4" w:space="0" w:color="auto"/>
              <w:left w:val="single" w:sz="4" w:space="0" w:color="auto"/>
              <w:bottom w:val="single" w:sz="4" w:space="0" w:color="auto"/>
              <w:right w:val="single" w:sz="4" w:space="0" w:color="auto"/>
            </w:tcBorders>
            <w:hideMark/>
          </w:tcPr>
          <w:p w14:paraId="5F62F45C" w14:textId="77777777" w:rsidR="008B261A" w:rsidRPr="00C664F3" w:rsidRDefault="008B261A" w:rsidP="00E11F1E">
            <w:pPr>
              <w:ind w:left="143"/>
              <w:rPr>
                <w:sz w:val="24"/>
                <w:szCs w:val="24"/>
                <w:highlight w:val="yellow"/>
                <w:lang w:val="en-GB"/>
              </w:rPr>
            </w:pPr>
            <w:r w:rsidRPr="00C664F3">
              <w:rPr>
                <w:sz w:val="24"/>
                <w:szCs w:val="24"/>
                <w:lang w:val="en-GB"/>
              </w:rPr>
              <w:t>Hypersensitivity to the medicinal product</w:t>
            </w:r>
          </w:p>
        </w:tc>
      </w:tr>
      <w:tr w:rsidR="008B261A" w:rsidRPr="00444AFD" w14:paraId="0EC0DF9E" w14:textId="77777777" w:rsidTr="00E11F1E">
        <w:tc>
          <w:tcPr>
            <w:tcW w:w="2565" w:type="dxa"/>
            <w:tcBorders>
              <w:top w:val="single" w:sz="4" w:space="0" w:color="auto"/>
              <w:left w:val="single" w:sz="4" w:space="0" w:color="auto"/>
              <w:bottom w:val="single" w:sz="4" w:space="0" w:color="auto"/>
              <w:right w:val="single" w:sz="4" w:space="0" w:color="auto"/>
            </w:tcBorders>
            <w:hideMark/>
          </w:tcPr>
          <w:p w14:paraId="6738E218" w14:textId="77777777" w:rsidR="008B261A" w:rsidRPr="00C664F3" w:rsidRDefault="008B261A" w:rsidP="00E11F1E">
            <w:pPr>
              <w:ind w:left="143"/>
              <w:rPr>
                <w:sz w:val="24"/>
                <w:szCs w:val="24"/>
                <w:lang w:val="en-GB"/>
              </w:rPr>
            </w:pPr>
            <w:r w:rsidRPr="00C664F3">
              <w:rPr>
                <w:sz w:val="24"/>
                <w:szCs w:val="24"/>
                <w:lang w:val="en-GB"/>
              </w:rPr>
              <w:t>Very rare:</w:t>
            </w:r>
          </w:p>
        </w:tc>
        <w:tc>
          <w:tcPr>
            <w:tcW w:w="5940" w:type="dxa"/>
            <w:tcBorders>
              <w:top w:val="single" w:sz="4" w:space="0" w:color="auto"/>
              <w:left w:val="single" w:sz="4" w:space="0" w:color="auto"/>
              <w:bottom w:val="single" w:sz="4" w:space="0" w:color="auto"/>
              <w:right w:val="single" w:sz="4" w:space="0" w:color="auto"/>
            </w:tcBorders>
            <w:hideMark/>
          </w:tcPr>
          <w:p w14:paraId="0C46AF54" w14:textId="77777777" w:rsidR="008B261A" w:rsidRPr="00C664F3" w:rsidRDefault="008B261A" w:rsidP="00E11F1E">
            <w:pPr>
              <w:ind w:left="143"/>
              <w:rPr>
                <w:sz w:val="24"/>
                <w:szCs w:val="24"/>
                <w:lang w:val="en-GB"/>
              </w:rPr>
            </w:pPr>
            <w:r w:rsidRPr="00C664F3">
              <w:rPr>
                <w:sz w:val="24"/>
                <w:szCs w:val="24"/>
                <w:lang w:val="en-GB"/>
              </w:rPr>
              <w:t>Anaphylaxis, hypersensitivity reactions of the skin such as pruritus, angioedema, Stevens-Johnson syndrome and toxic epidermal necrolysis</w:t>
            </w:r>
          </w:p>
        </w:tc>
      </w:tr>
      <w:tr w:rsidR="008B261A" w:rsidRPr="00444AFD" w14:paraId="398C107A" w14:textId="77777777" w:rsidTr="00E11F1E">
        <w:tc>
          <w:tcPr>
            <w:tcW w:w="8505" w:type="dxa"/>
            <w:gridSpan w:val="2"/>
            <w:tcBorders>
              <w:top w:val="single" w:sz="4" w:space="0" w:color="auto"/>
              <w:left w:val="single" w:sz="4" w:space="0" w:color="auto"/>
              <w:bottom w:val="single" w:sz="4" w:space="0" w:color="auto"/>
              <w:right w:val="single" w:sz="4" w:space="0" w:color="auto"/>
            </w:tcBorders>
            <w:hideMark/>
          </w:tcPr>
          <w:p w14:paraId="184F696C" w14:textId="77777777" w:rsidR="008B261A" w:rsidRPr="00C664F3" w:rsidRDefault="008B261A" w:rsidP="00E11F1E">
            <w:pPr>
              <w:ind w:left="143"/>
              <w:rPr>
                <w:b/>
                <w:bCs/>
                <w:sz w:val="24"/>
                <w:szCs w:val="24"/>
                <w:lang w:val="en-GB"/>
              </w:rPr>
            </w:pPr>
            <w:r w:rsidRPr="00C664F3">
              <w:rPr>
                <w:b/>
                <w:bCs/>
                <w:sz w:val="24"/>
                <w:szCs w:val="24"/>
                <w:lang w:val="en-GB"/>
              </w:rPr>
              <w:t>Respiratory, thoracic and mediastinal disorders</w:t>
            </w:r>
          </w:p>
        </w:tc>
      </w:tr>
      <w:tr w:rsidR="008B261A" w:rsidRPr="00444AFD" w14:paraId="40D239E1" w14:textId="77777777" w:rsidTr="00E11F1E">
        <w:tc>
          <w:tcPr>
            <w:tcW w:w="2565" w:type="dxa"/>
            <w:tcBorders>
              <w:top w:val="single" w:sz="4" w:space="0" w:color="auto"/>
              <w:left w:val="single" w:sz="4" w:space="0" w:color="auto"/>
              <w:bottom w:val="single" w:sz="4" w:space="0" w:color="auto"/>
              <w:right w:val="single" w:sz="4" w:space="0" w:color="auto"/>
            </w:tcBorders>
            <w:hideMark/>
          </w:tcPr>
          <w:p w14:paraId="4D60F3A8" w14:textId="77777777" w:rsidR="008B261A" w:rsidRPr="00C664F3" w:rsidRDefault="008B261A" w:rsidP="00E11F1E">
            <w:pPr>
              <w:ind w:left="143"/>
              <w:rPr>
                <w:sz w:val="24"/>
                <w:szCs w:val="24"/>
                <w:lang w:val="en-GB"/>
              </w:rPr>
            </w:pPr>
            <w:r w:rsidRPr="00C664F3">
              <w:rPr>
                <w:sz w:val="24"/>
                <w:szCs w:val="24"/>
                <w:lang w:val="en-GB"/>
              </w:rPr>
              <w:t>Very rare:</w:t>
            </w:r>
          </w:p>
        </w:tc>
        <w:tc>
          <w:tcPr>
            <w:tcW w:w="5940" w:type="dxa"/>
            <w:tcBorders>
              <w:top w:val="single" w:sz="4" w:space="0" w:color="auto"/>
              <w:left w:val="single" w:sz="4" w:space="0" w:color="auto"/>
              <w:bottom w:val="single" w:sz="4" w:space="0" w:color="auto"/>
              <w:right w:val="single" w:sz="4" w:space="0" w:color="auto"/>
            </w:tcBorders>
            <w:hideMark/>
          </w:tcPr>
          <w:p w14:paraId="1B705DFB" w14:textId="77777777" w:rsidR="008B261A" w:rsidRPr="00C664F3" w:rsidRDefault="008B261A" w:rsidP="00E11F1E">
            <w:pPr>
              <w:ind w:left="143"/>
              <w:rPr>
                <w:sz w:val="24"/>
                <w:szCs w:val="24"/>
                <w:lang w:val="en-GB"/>
              </w:rPr>
            </w:pPr>
            <w:r w:rsidRPr="00C664F3">
              <w:rPr>
                <w:sz w:val="24"/>
                <w:szCs w:val="24"/>
                <w:lang w:val="en-GB"/>
              </w:rPr>
              <w:t>Bronchospasm in patients who are hypersensitive to acetylsalicylic acid or other NSAIDs</w:t>
            </w:r>
          </w:p>
        </w:tc>
      </w:tr>
      <w:tr w:rsidR="008B261A" w:rsidRPr="00C664F3" w14:paraId="0419548E" w14:textId="77777777" w:rsidTr="00E11F1E">
        <w:tc>
          <w:tcPr>
            <w:tcW w:w="8505" w:type="dxa"/>
            <w:gridSpan w:val="2"/>
            <w:tcBorders>
              <w:top w:val="single" w:sz="4" w:space="0" w:color="auto"/>
              <w:left w:val="single" w:sz="4" w:space="0" w:color="auto"/>
              <w:bottom w:val="single" w:sz="4" w:space="0" w:color="auto"/>
              <w:right w:val="single" w:sz="4" w:space="0" w:color="auto"/>
            </w:tcBorders>
            <w:hideMark/>
          </w:tcPr>
          <w:p w14:paraId="5C034274" w14:textId="77777777" w:rsidR="008B261A" w:rsidRPr="00C664F3" w:rsidRDefault="008B261A" w:rsidP="00E11F1E">
            <w:pPr>
              <w:ind w:left="143"/>
              <w:rPr>
                <w:b/>
                <w:i/>
                <w:sz w:val="24"/>
                <w:szCs w:val="24"/>
                <w:lang w:val="en-GB"/>
              </w:rPr>
            </w:pPr>
            <w:r w:rsidRPr="00C664F3">
              <w:rPr>
                <w:b/>
                <w:sz w:val="24"/>
                <w:szCs w:val="24"/>
                <w:lang w:val="en-GB"/>
              </w:rPr>
              <w:t>Hepatobiliary disorders</w:t>
            </w:r>
          </w:p>
        </w:tc>
      </w:tr>
      <w:tr w:rsidR="008B261A" w:rsidRPr="00C664F3" w14:paraId="2058343C" w14:textId="77777777" w:rsidTr="00E11F1E">
        <w:tc>
          <w:tcPr>
            <w:tcW w:w="2565" w:type="dxa"/>
            <w:tcBorders>
              <w:top w:val="single" w:sz="4" w:space="0" w:color="auto"/>
              <w:left w:val="single" w:sz="4" w:space="0" w:color="auto"/>
              <w:bottom w:val="single" w:sz="4" w:space="0" w:color="auto"/>
              <w:right w:val="single" w:sz="4" w:space="0" w:color="auto"/>
            </w:tcBorders>
            <w:hideMark/>
          </w:tcPr>
          <w:p w14:paraId="5ACD7B17" w14:textId="77777777" w:rsidR="008B261A" w:rsidRPr="00C664F3" w:rsidRDefault="008B261A" w:rsidP="00E11F1E">
            <w:pPr>
              <w:ind w:left="143"/>
              <w:rPr>
                <w:sz w:val="24"/>
                <w:szCs w:val="24"/>
                <w:lang w:val="en-GB"/>
              </w:rPr>
            </w:pPr>
            <w:r w:rsidRPr="00C664F3">
              <w:rPr>
                <w:sz w:val="24"/>
                <w:szCs w:val="24"/>
                <w:lang w:val="en-GB"/>
              </w:rPr>
              <w:t>Rare:</w:t>
            </w:r>
          </w:p>
        </w:tc>
        <w:tc>
          <w:tcPr>
            <w:tcW w:w="5940" w:type="dxa"/>
            <w:tcBorders>
              <w:top w:val="single" w:sz="4" w:space="0" w:color="auto"/>
              <w:left w:val="single" w:sz="4" w:space="0" w:color="auto"/>
              <w:bottom w:val="single" w:sz="4" w:space="0" w:color="auto"/>
              <w:right w:val="single" w:sz="4" w:space="0" w:color="auto"/>
            </w:tcBorders>
            <w:hideMark/>
          </w:tcPr>
          <w:p w14:paraId="17F80157" w14:textId="77777777" w:rsidR="008B261A" w:rsidRPr="00C664F3" w:rsidRDefault="008B261A" w:rsidP="00E11F1E">
            <w:pPr>
              <w:ind w:left="143"/>
              <w:rPr>
                <w:sz w:val="24"/>
                <w:szCs w:val="24"/>
                <w:lang w:val="en-GB"/>
              </w:rPr>
            </w:pPr>
            <w:r w:rsidRPr="00C664F3">
              <w:rPr>
                <w:sz w:val="24"/>
                <w:szCs w:val="24"/>
                <w:lang w:val="en-GB"/>
              </w:rPr>
              <w:t>Liver impairment</w:t>
            </w:r>
          </w:p>
        </w:tc>
      </w:tr>
      <w:tr w:rsidR="008B261A" w:rsidRPr="00444AFD" w14:paraId="7AEBE433" w14:textId="77777777" w:rsidTr="00E11F1E">
        <w:tc>
          <w:tcPr>
            <w:tcW w:w="8505" w:type="dxa"/>
            <w:gridSpan w:val="2"/>
            <w:tcBorders>
              <w:top w:val="single" w:sz="4" w:space="0" w:color="auto"/>
              <w:left w:val="single" w:sz="4" w:space="0" w:color="auto"/>
              <w:bottom w:val="single" w:sz="4" w:space="0" w:color="auto"/>
              <w:right w:val="single" w:sz="4" w:space="0" w:color="auto"/>
            </w:tcBorders>
            <w:hideMark/>
          </w:tcPr>
          <w:p w14:paraId="72D89C2A" w14:textId="77777777" w:rsidR="008B261A" w:rsidRPr="00C664F3" w:rsidRDefault="008B261A" w:rsidP="00E11F1E">
            <w:pPr>
              <w:ind w:left="143"/>
              <w:rPr>
                <w:b/>
                <w:color w:val="000000"/>
                <w:sz w:val="24"/>
                <w:szCs w:val="24"/>
                <w:lang w:val="en-GB"/>
              </w:rPr>
            </w:pPr>
            <w:r w:rsidRPr="00C664F3">
              <w:rPr>
                <w:b/>
                <w:sz w:val="24"/>
                <w:szCs w:val="24"/>
                <w:lang w:val="en-GB"/>
              </w:rPr>
              <w:t>Skin and subcutaneous tissue disorders</w:t>
            </w:r>
          </w:p>
        </w:tc>
      </w:tr>
      <w:tr w:rsidR="008B261A" w:rsidRPr="00C664F3" w14:paraId="21527073" w14:textId="77777777" w:rsidTr="00E11F1E">
        <w:tc>
          <w:tcPr>
            <w:tcW w:w="2565" w:type="dxa"/>
            <w:tcBorders>
              <w:top w:val="single" w:sz="4" w:space="0" w:color="auto"/>
              <w:left w:val="single" w:sz="4" w:space="0" w:color="auto"/>
              <w:bottom w:val="single" w:sz="4" w:space="0" w:color="auto"/>
              <w:right w:val="single" w:sz="4" w:space="0" w:color="auto"/>
            </w:tcBorders>
            <w:hideMark/>
          </w:tcPr>
          <w:p w14:paraId="469E7CED" w14:textId="074DB471" w:rsidR="008B261A" w:rsidRPr="00C664F3" w:rsidRDefault="008B261A" w:rsidP="00E11F1E">
            <w:pPr>
              <w:ind w:left="143"/>
              <w:rPr>
                <w:sz w:val="24"/>
                <w:szCs w:val="24"/>
                <w:lang w:val="en-GB"/>
              </w:rPr>
            </w:pPr>
            <w:r w:rsidRPr="00C664F3">
              <w:rPr>
                <w:sz w:val="24"/>
                <w:szCs w:val="24"/>
                <w:lang w:val="en-GB"/>
              </w:rPr>
              <w:t>Rare:</w:t>
            </w:r>
          </w:p>
        </w:tc>
        <w:tc>
          <w:tcPr>
            <w:tcW w:w="5940" w:type="dxa"/>
            <w:tcBorders>
              <w:top w:val="single" w:sz="4" w:space="0" w:color="auto"/>
              <w:left w:val="single" w:sz="4" w:space="0" w:color="auto"/>
              <w:bottom w:val="single" w:sz="4" w:space="0" w:color="auto"/>
              <w:right w:val="single" w:sz="4" w:space="0" w:color="auto"/>
            </w:tcBorders>
            <w:hideMark/>
          </w:tcPr>
          <w:p w14:paraId="492B6870" w14:textId="77777777" w:rsidR="008B261A" w:rsidRPr="00C664F3" w:rsidRDefault="008B261A" w:rsidP="00E11F1E">
            <w:pPr>
              <w:ind w:left="143"/>
              <w:rPr>
                <w:sz w:val="24"/>
                <w:szCs w:val="24"/>
                <w:lang w:val="en-GB"/>
              </w:rPr>
            </w:pPr>
            <w:r w:rsidRPr="00C664F3">
              <w:rPr>
                <w:sz w:val="24"/>
                <w:szCs w:val="24"/>
                <w:lang w:val="en-GB"/>
              </w:rPr>
              <w:t>Allergic skin reactions, exanthema</w:t>
            </w:r>
          </w:p>
        </w:tc>
      </w:tr>
      <w:bookmarkEnd w:id="2"/>
    </w:tbl>
    <w:p w14:paraId="72B0A47F" w14:textId="15855463" w:rsidR="008B261A" w:rsidRPr="00C664F3" w:rsidRDefault="008B261A" w:rsidP="00E11F1E">
      <w:pPr>
        <w:ind w:left="851"/>
        <w:rPr>
          <w:sz w:val="24"/>
          <w:szCs w:val="24"/>
          <w:lang w:val="en-GB" w:eastAsia="nb-NO"/>
        </w:rPr>
      </w:pPr>
    </w:p>
    <w:p w14:paraId="7DA3893B" w14:textId="0C8EC98F" w:rsidR="008B261A" w:rsidRPr="00C664F3" w:rsidRDefault="008B261A" w:rsidP="00E11F1E">
      <w:pPr>
        <w:ind w:left="851"/>
        <w:rPr>
          <w:sz w:val="24"/>
          <w:szCs w:val="24"/>
          <w:lang w:val="en-GB"/>
        </w:rPr>
      </w:pPr>
      <w:r w:rsidRPr="00C664F3">
        <w:rPr>
          <w:sz w:val="24"/>
          <w:szCs w:val="24"/>
          <w:lang w:val="en-GB"/>
        </w:rPr>
        <w:t>Very rare cases of serious skin reactions have been reported.</w:t>
      </w:r>
    </w:p>
    <w:p w14:paraId="05D48842" w14:textId="77777777" w:rsidR="008B261A" w:rsidRPr="00C664F3" w:rsidRDefault="008B261A" w:rsidP="00E11F1E">
      <w:pPr>
        <w:ind w:left="851"/>
        <w:rPr>
          <w:sz w:val="24"/>
          <w:szCs w:val="24"/>
          <w:lang w:val="en-GB"/>
        </w:rPr>
      </w:pPr>
      <w:r w:rsidRPr="00C664F3">
        <w:rPr>
          <w:sz w:val="24"/>
          <w:szCs w:val="24"/>
          <w:lang w:val="en-GB"/>
        </w:rPr>
        <w:t>Liver impairment during use of paracetamol has occurred in alcohol abuse.</w:t>
      </w:r>
      <w:r w:rsidRPr="00C664F3">
        <w:rPr>
          <w:sz w:val="24"/>
          <w:szCs w:val="24"/>
          <w:lang w:val="en-GB"/>
        </w:rPr>
        <w:br/>
      </w:r>
    </w:p>
    <w:p w14:paraId="3290DD22" w14:textId="77777777" w:rsidR="00E11F1E" w:rsidRPr="00C664F3" w:rsidRDefault="00E11F1E" w:rsidP="00E11F1E">
      <w:pPr>
        <w:ind w:left="851"/>
        <w:rPr>
          <w:sz w:val="24"/>
          <w:szCs w:val="24"/>
          <w:u w:val="single"/>
          <w:lang w:val="en-GB"/>
        </w:rPr>
      </w:pPr>
      <w:r w:rsidRPr="00C664F3">
        <w:rPr>
          <w:sz w:val="24"/>
          <w:szCs w:val="24"/>
          <w:u w:val="single"/>
          <w:lang w:val="en-GB"/>
        </w:rPr>
        <w:t>Reporting of suspected adverse reactions</w:t>
      </w:r>
    </w:p>
    <w:p w14:paraId="7A803B30" w14:textId="77777777" w:rsidR="00E11F1E" w:rsidRPr="00C664F3" w:rsidRDefault="00E11F1E" w:rsidP="00E11F1E">
      <w:pPr>
        <w:ind w:left="851"/>
        <w:rPr>
          <w:sz w:val="24"/>
          <w:szCs w:val="24"/>
          <w:lang w:val="en-GB"/>
        </w:rPr>
      </w:pPr>
      <w:r w:rsidRPr="00C664F3">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246B987A" w14:textId="77777777" w:rsidR="00E11F1E" w:rsidRPr="00C664F3" w:rsidRDefault="00E11F1E" w:rsidP="00E11F1E">
      <w:pPr>
        <w:ind w:left="851"/>
        <w:rPr>
          <w:sz w:val="24"/>
          <w:szCs w:val="24"/>
          <w:lang w:val="en-GB"/>
        </w:rPr>
      </w:pPr>
    </w:p>
    <w:p w14:paraId="4EC5337F" w14:textId="77777777" w:rsidR="00E11F1E" w:rsidRPr="00420274" w:rsidRDefault="00E11F1E" w:rsidP="00E11F1E">
      <w:pPr>
        <w:ind w:left="851"/>
        <w:rPr>
          <w:sz w:val="24"/>
          <w:szCs w:val="24"/>
        </w:rPr>
      </w:pPr>
      <w:r w:rsidRPr="00420274">
        <w:rPr>
          <w:sz w:val="24"/>
          <w:szCs w:val="24"/>
        </w:rPr>
        <w:t>Lægemiddelstyrelsen</w:t>
      </w:r>
    </w:p>
    <w:p w14:paraId="7E556B4C" w14:textId="77777777" w:rsidR="00E11F1E" w:rsidRPr="00420274" w:rsidRDefault="00E11F1E" w:rsidP="00E11F1E">
      <w:pPr>
        <w:ind w:left="851"/>
        <w:rPr>
          <w:sz w:val="24"/>
          <w:szCs w:val="24"/>
        </w:rPr>
      </w:pPr>
      <w:r w:rsidRPr="00420274">
        <w:rPr>
          <w:sz w:val="24"/>
          <w:szCs w:val="24"/>
        </w:rPr>
        <w:t>Axel Heides Gade 1</w:t>
      </w:r>
    </w:p>
    <w:p w14:paraId="2E022C7C" w14:textId="77777777" w:rsidR="00E11F1E" w:rsidRPr="00420274" w:rsidRDefault="00E11F1E" w:rsidP="00E11F1E">
      <w:pPr>
        <w:ind w:left="851"/>
        <w:rPr>
          <w:sz w:val="24"/>
          <w:szCs w:val="24"/>
        </w:rPr>
      </w:pPr>
      <w:r w:rsidRPr="00420274">
        <w:rPr>
          <w:sz w:val="24"/>
          <w:szCs w:val="24"/>
        </w:rPr>
        <w:t>DK-2300 København S</w:t>
      </w:r>
    </w:p>
    <w:p w14:paraId="24715DDA" w14:textId="77777777" w:rsidR="00E11F1E" w:rsidRPr="00C664F3" w:rsidRDefault="00E11F1E" w:rsidP="00E11F1E">
      <w:pPr>
        <w:ind w:left="851"/>
        <w:rPr>
          <w:sz w:val="24"/>
          <w:szCs w:val="24"/>
          <w:lang w:val="en-GB"/>
        </w:rPr>
      </w:pPr>
      <w:r w:rsidRPr="00C664F3">
        <w:rPr>
          <w:sz w:val="24"/>
          <w:szCs w:val="24"/>
          <w:lang w:val="en-GB"/>
        </w:rPr>
        <w:t>Website: www.meldenbivirkning.dk</w:t>
      </w:r>
    </w:p>
    <w:p w14:paraId="66CBC8F3" w14:textId="77777777" w:rsidR="007C5D2A" w:rsidRPr="00C664F3" w:rsidRDefault="007C5D2A" w:rsidP="007A4CC6">
      <w:pPr>
        <w:tabs>
          <w:tab w:val="left" w:pos="851"/>
        </w:tabs>
        <w:ind w:left="851"/>
        <w:rPr>
          <w:sz w:val="24"/>
          <w:szCs w:val="24"/>
          <w:lang w:val="en-GB"/>
        </w:rPr>
      </w:pPr>
    </w:p>
    <w:p w14:paraId="32E8FA5B" w14:textId="77777777" w:rsidR="007C5D2A" w:rsidRPr="00C664F3" w:rsidRDefault="007C5D2A" w:rsidP="007C5D2A">
      <w:pPr>
        <w:tabs>
          <w:tab w:val="left" w:pos="851"/>
        </w:tabs>
        <w:ind w:left="851" w:hanging="851"/>
        <w:rPr>
          <w:b/>
          <w:sz w:val="24"/>
          <w:szCs w:val="24"/>
          <w:lang w:val="en-GB"/>
        </w:rPr>
      </w:pPr>
      <w:r w:rsidRPr="00C664F3">
        <w:rPr>
          <w:b/>
          <w:sz w:val="24"/>
          <w:szCs w:val="24"/>
          <w:lang w:val="en-GB"/>
        </w:rPr>
        <w:t>4.9</w:t>
      </w:r>
      <w:r w:rsidRPr="00C664F3">
        <w:rPr>
          <w:b/>
          <w:sz w:val="24"/>
          <w:szCs w:val="24"/>
          <w:lang w:val="en-GB"/>
        </w:rPr>
        <w:tab/>
        <w:t>Overdose</w:t>
      </w:r>
    </w:p>
    <w:p w14:paraId="4822F027" w14:textId="77777777" w:rsidR="002520A6" w:rsidRPr="00C664F3" w:rsidRDefault="002520A6" w:rsidP="00E11F1E">
      <w:pPr>
        <w:ind w:left="851"/>
        <w:rPr>
          <w:sz w:val="24"/>
          <w:szCs w:val="24"/>
          <w:lang w:val="en-GB"/>
        </w:rPr>
      </w:pPr>
    </w:p>
    <w:p w14:paraId="0695E7EB" w14:textId="5CD73BEE" w:rsidR="008B261A" w:rsidRPr="00C664F3" w:rsidRDefault="008B261A" w:rsidP="00E11F1E">
      <w:pPr>
        <w:ind w:left="851"/>
        <w:rPr>
          <w:sz w:val="24"/>
          <w:szCs w:val="24"/>
          <w:u w:val="single"/>
          <w:lang w:val="en-GB"/>
        </w:rPr>
      </w:pPr>
      <w:r w:rsidRPr="00C664F3">
        <w:rPr>
          <w:sz w:val="24"/>
          <w:szCs w:val="24"/>
          <w:u w:val="single"/>
          <w:lang w:val="en-GB"/>
        </w:rPr>
        <w:t>Symptoms</w:t>
      </w:r>
    </w:p>
    <w:p w14:paraId="3FEEC909" w14:textId="77777777" w:rsidR="008B261A" w:rsidRPr="00C664F3" w:rsidRDefault="008B261A" w:rsidP="00E11F1E">
      <w:pPr>
        <w:ind w:left="851"/>
        <w:rPr>
          <w:sz w:val="24"/>
          <w:szCs w:val="24"/>
          <w:lang w:val="en-GB"/>
        </w:rPr>
      </w:pPr>
      <w:r w:rsidRPr="00C664F3">
        <w:rPr>
          <w:sz w:val="24"/>
          <w:szCs w:val="24"/>
          <w:lang w:val="en-GB"/>
        </w:rPr>
        <w:t>Acute massive overdose of paracetamol can cause liver damage. There are few symptoms of overdose in the first 24 hours. Anorexia, nausea and vomiting may occur. Signs of liver damage usually begin within 36 hours in the form of pain in the upper abdominal region and increases in ALAT/ASAT, INR and bilirubin. Maximum liver toxicity develops within 3-4 days: hepatic encephalopathy, coagulation disturbances and hypoglycaemia. Acute renal failure may occur.</w:t>
      </w:r>
    </w:p>
    <w:p w14:paraId="46A32D9E" w14:textId="77777777" w:rsidR="008B261A" w:rsidRPr="00C664F3" w:rsidRDefault="008B261A" w:rsidP="00E11F1E">
      <w:pPr>
        <w:ind w:left="851"/>
        <w:rPr>
          <w:sz w:val="24"/>
          <w:szCs w:val="24"/>
          <w:lang w:val="en-GB"/>
        </w:rPr>
      </w:pPr>
    </w:p>
    <w:p w14:paraId="7D19EDF2" w14:textId="77777777" w:rsidR="008B261A" w:rsidRPr="00C664F3" w:rsidRDefault="008B261A" w:rsidP="00E11F1E">
      <w:pPr>
        <w:ind w:left="851"/>
        <w:rPr>
          <w:sz w:val="24"/>
          <w:szCs w:val="24"/>
          <w:u w:val="single"/>
          <w:lang w:val="en-GB"/>
        </w:rPr>
      </w:pPr>
      <w:r w:rsidRPr="00C664F3">
        <w:rPr>
          <w:sz w:val="24"/>
          <w:szCs w:val="24"/>
          <w:u w:val="single"/>
          <w:lang w:val="en-GB"/>
        </w:rPr>
        <w:t>Toxicity</w:t>
      </w:r>
    </w:p>
    <w:p w14:paraId="66CA5E2A" w14:textId="77777777" w:rsidR="008B261A" w:rsidRPr="00C664F3" w:rsidRDefault="008B261A" w:rsidP="00E11F1E">
      <w:pPr>
        <w:ind w:left="851"/>
        <w:rPr>
          <w:sz w:val="24"/>
          <w:szCs w:val="24"/>
          <w:lang w:val="en-GB"/>
        </w:rPr>
      </w:pPr>
      <w:r w:rsidRPr="00C664F3">
        <w:rPr>
          <w:sz w:val="24"/>
          <w:szCs w:val="24"/>
          <w:lang w:val="en-GB"/>
        </w:rPr>
        <w:t xml:space="preserve">The most important risk factor is overdosing over time (for example, over several successive days). Repeated overdoses reduce resilience as the level of glutathione (in active, reduced form) can be lower than normal. Therefore, always determine first whether the overdose is due to a single intake or repeated intakes. Therapeutic use of paracetamol in the days before any overdose is also relevant and should normally be included when the toxic dose is calculated. All exposures above the toxic dose should be taken to hospital. </w:t>
      </w:r>
    </w:p>
    <w:p w14:paraId="7C8B57D5" w14:textId="77777777" w:rsidR="008B261A" w:rsidRPr="00C664F3" w:rsidRDefault="008B261A" w:rsidP="00E11F1E">
      <w:pPr>
        <w:ind w:left="851"/>
        <w:rPr>
          <w:sz w:val="24"/>
          <w:szCs w:val="24"/>
          <w:lang w:val="en-GB"/>
        </w:rPr>
      </w:pPr>
    </w:p>
    <w:p w14:paraId="08B579C6" w14:textId="77777777" w:rsidR="008B261A" w:rsidRPr="00C664F3" w:rsidRDefault="008B261A" w:rsidP="00E11F1E">
      <w:pPr>
        <w:ind w:left="851"/>
        <w:rPr>
          <w:sz w:val="24"/>
          <w:szCs w:val="24"/>
          <w:lang w:val="en-GB"/>
        </w:rPr>
      </w:pPr>
      <w:r w:rsidRPr="00C664F3">
        <w:rPr>
          <w:sz w:val="24"/>
          <w:szCs w:val="24"/>
          <w:lang w:val="en-GB"/>
        </w:rPr>
        <w:t xml:space="preserve">Toxic dose for adults and children &gt; 3 months: 100 – 170 mg/kg per day, depending on age and the period over which the overdose was taken. </w:t>
      </w:r>
    </w:p>
    <w:p w14:paraId="350D49EB" w14:textId="77777777" w:rsidR="008B261A" w:rsidRPr="00C664F3" w:rsidRDefault="008B261A" w:rsidP="00E11F1E">
      <w:pPr>
        <w:ind w:left="851"/>
        <w:rPr>
          <w:sz w:val="24"/>
          <w:szCs w:val="24"/>
          <w:lang w:val="en-GB"/>
        </w:rPr>
      </w:pPr>
      <w:r w:rsidRPr="00C664F3">
        <w:rPr>
          <w:sz w:val="24"/>
          <w:szCs w:val="24"/>
          <w:lang w:val="en-GB"/>
        </w:rPr>
        <w:t>Children &lt; 3 months: the national poison information centre should always be contacted if there is any suspicion of overdose. Premature infants and infants aged under 3 months are assumed to have an increased risk of toxicity.</w:t>
      </w:r>
    </w:p>
    <w:p w14:paraId="59D97D8F" w14:textId="77777777" w:rsidR="008B261A" w:rsidRPr="00C664F3" w:rsidRDefault="008B261A" w:rsidP="00E11F1E">
      <w:pPr>
        <w:ind w:left="851"/>
        <w:rPr>
          <w:sz w:val="24"/>
          <w:szCs w:val="24"/>
          <w:lang w:val="en-GB"/>
        </w:rPr>
      </w:pPr>
    </w:p>
    <w:p w14:paraId="07B2B1D7" w14:textId="77777777" w:rsidR="008B261A" w:rsidRPr="00C664F3" w:rsidRDefault="008B261A" w:rsidP="00E11F1E">
      <w:pPr>
        <w:ind w:left="851"/>
        <w:rPr>
          <w:sz w:val="24"/>
          <w:szCs w:val="24"/>
          <w:u w:val="single"/>
          <w:lang w:val="en-GB"/>
        </w:rPr>
      </w:pPr>
      <w:r w:rsidRPr="00C664F3">
        <w:rPr>
          <w:sz w:val="24"/>
          <w:szCs w:val="24"/>
          <w:u w:val="single"/>
          <w:lang w:val="en-GB"/>
        </w:rPr>
        <w:t>Treatment</w:t>
      </w:r>
    </w:p>
    <w:p w14:paraId="6D5D453E" w14:textId="77777777" w:rsidR="008B261A" w:rsidRPr="00C664F3" w:rsidRDefault="008B261A" w:rsidP="00E11F1E">
      <w:pPr>
        <w:ind w:left="851"/>
        <w:rPr>
          <w:sz w:val="24"/>
          <w:szCs w:val="24"/>
          <w:lang w:val="en-GB"/>
        </w:rPr>
      </w:pPr>
      <w:r w:rsidRPr="00C664F3">
        <w:rPr>
          <w:sz w:val="24"/>
          <w:szCs w:val="24"/>
          <w:lang w:val="en-GB"/>
        </w:rPr>
        <w:t>Consider gastric lavage and treatment with charcoal. Administer N-acetylcysteine as soon as possible after probable ingestion of a toxic dose, but the treatment can be started at any time during the course of intoxication, including after the patient has developed hepatic encephalopathy. Liver transplantation may be appropriate. Contact the national poison information centre if needed.</w:t>
      </w:r>
    </w:p>
    <w:p w14:paraId="5DACADA7" w14:textId="77777777" w:rsidR="007C5D2A" w:rsidRPr="00C664F3" w:rsidRDefault="007C5D2A" w:rsidP="003E0341">
      <w:pPr>
        <w:tabs>
          <w:tab w:val="left" w:pos="851"/>
        </w:tabs>
        <w:ind w:left="851"/>
        <w:rPr>
          <w:sz w:val="24"/>
          <w:szCs w:val="24"/>
          <w:lang w:val="en-GB"/>
        </w:rPr>
      </w:pPr>
    </w:p>
    <w:p w14:paraId="448ECEB6" w14:textId="77777777" w:rsidR="008F2F8C" w:rsidRPr="00C664F3" w:rsidRDefault="0042292D" w:rsidP="0042292D">
      <w:pPr>
        <w:tabs>
          <w:tab w:val="left" w:pos="851"/>
        </w:tabs>
        <w:rPr>
          <w:b/>
          <w:sz w:val="24"/>
          <w:szCs w:val="24"/>
          <w:lang w:val="en-GB"/>
        </w:rPr>
      </w:pPr>
      <w:r w:rsidRPr="00C664F3">
        <w:rPr>
          <w:b/>
          <w:sz w:val="24"/>
          <w:szCs w:val="24"/>
          <w:lang w:val="en-GB"/>
        </w:rPr>
        <w:t>4.10</w:t>
      </w:r>
      <w:r w:rsidRPr="00C664F3">
        <w:rPr>
          <w:b/>
          <w:sz w:val="24"/>
          <w:szCs w:val="24"/>
          <w:lang w:val="en-GB"/>
        </w:rPr>
        <w:tab/>
        <w:t>Legal status</w:t>
      </w:r>
    </w:p>
    <w:p w14:paraId="359CFD4D" w14:textId="05D22522" w:rsidR="00AD2E36" w:rsidRPr="00C664F3" w:rsidRDefault="00C664F3" w:rsidP="00AD2E36">
      <w:pPr>
        <w:tabs>
          <w:tab w:val="left" w:pos="851"/>
        </w:tabs>
        <w:ind w:left="851"/>
        <w:rPr>
          <w:sz w:val="24"/>
          <w:szCs w:val="24"/>
          <w:lang w:val="en-GB"/>
        </w:rPr>
      </w:pPr>
      <w:r>
        <w:rPr>
          <w:sz w:val="24"/>
          <w:szCs w:val="24"/>
          <w:lang w:val="en-GB"/>
        </w:rPr>
        <w:t>H</w:t>
      </w:r>
      <w:r w:rsidR="008B261A" w:rsidRPr="00C664F3">
        <w:rPr>
          <w:sz w:val="24"/>
          <w:szCs w:val="24"/>
          <w:lang w:val="en-GB"/>
        </w:rPr>
        <w:t>A18</w:t>
      </w:r>
    </w:p>
    <w:p w14:paraId="62AE3D00" w14:textId="77777777" w:rsidR="007C5D2A" w:rsidRPr="00C664F3" w:rsidRDefault="007C5D2A" w:rsidP="003E0341">
      <w:pPr>
        <w:tabs>
          <w:tab w:val="left" w:pos="851"/>
        </w:tabs>
        <w:ind w:left="851"/>
        <w:rPr>
          <w:sz w:val="24"/>
          <w:szCs w:val="24"/>
          <w:lang w:val="en-GB"/>
        </w:rPr>
      </w:pPr>
    </w:p>
    <w:p w14:paraId="51671485" w14:textId="77777777" w:rsidR="00AD2E36" w:rsidRPr="00C664F3" w:rsidRDefault="00AD2E36" w:rsidP="003E0341">
      <w:pPr>
        <w:tabs>
          <w:tab w:val="left" w:pos="851"/>
        </w:tabs>
        <w:ind w:left="851"/>
        <w:rPr>
          <w:sz w:val="24"/>
          <w:szCs w:val="24"/>
          <w:lang w:val="en-GB"/>
        </w:rPr>
      </w:pPr>
    </w:p>
    <w:p w14:paraId="7A8B2541" w14:textId="77777777" w:rsidR="007C5D2A" w:rsidRPr="00C664F3" w:rsidRDefault="007C5D2A" w:rsidP="007C5D2A">
      <w:pPr>
        <w:tabs>
          <w:tab w:val="left" w:pos="851"/>
        </w:tabs>
        <w:rPr>
          <w:b/>
          <w:sz w:val="24"/>
          <w:szCs w:val="24"/>
          <w:lang w:val="en-GB"/>
        </w:rPr>
      </w:pPr>
      <w:r w:rsidRPr="00C664F3">
        <w:rPr>
          <w:b/>
          <w:sz w:val="24"/>
          <w:szCs w:val="24"/>
          <w:lang w:val="en-GB"/>
        </w:rPr>
        <w:t>5.</w:t>
      </w:r>
      <w:r w:rsidRPr="00C664F3">
        <w:rPr>
          <w:b/>
          <w:sz w:val="24"/>
          <w:szCs w:val="24"/>
          <w:lang w:val="en-GB"/>
        </w:rPr>
        <w:tab/>
        <w:t>PHARMACOLOGICAL PROPERTIES</w:t>
      </w:r>
    </w:p>
    <w:p w14:paraId="472120E1" w14:textId="77777777" w:rsidR="007C5D2A" w:rsidRPr="00C664F3" w:rsidRDefault="007C5D2A" w:rsidP="003E0341">
      <w:pPr>
        <w:tabs>
          <w:tab w:val="left" w:pos="851"/>
        </w:tabs>
        <w:ind w:left="851"/>
        <w:rPr>
          <w:sz w:val="24"/>
          <w:szCs w:val="24"/>
          <w:lang w:val="en-GB"/>
        </w:rPr>
      </w:pPr>
    </w:p>
    <w:p w14:paraId="5CF731BA" w14:textId="77777777" w:rsidR="007C5D2A" w:rsidRPr="00C664F3" w:rsidRDefault="007C5D2A" w:rsidP="007C5D2A">
      <w:pPr>
        <w:tabs>
          <w:tab w:val="left" w:pos="851"/>
        </w:tabs>
        <w:ind w:left="851" w:hanging="851"/>
        <w:rPr>
          <w:b/>
          <w:sz w:val="24"/>
          <w:szCs w:val="24"/>
          <w:lang w:val="en-GB"/>
        </w:rPr>
      </w:pPr>
      <w:r w:rsidRPr="00C664F3">
        <w:rPr>
          <w:b/>
          <w:sz w:val="24"/>
          <w:szCs w:val="24"/>
          <w:lang w:val="en-GB"/>
        </w:rPr>
        <w:t>5.1</w:t>
      </w:r>
      <w:r w:rsidRPr="00C664F3">
        <w:rPr>
          <w:b/>
          <w:sz w:val="24"/>
          <w:szCs w:val="24"/>
          <w:lang w:val="en-GB"/>
        </w:rPr>
        <w:tab/>
        <w:t>Pharmacodynamic properties</w:t>
      </w:r>
      <w:r w:rsidRPr="00C664F3">
        <w:rPr>
          <w:b/>
          <w:sz w:val="24"/>
          <w:szCs w:val="24"/>
          <w:lang w:val="en-GB"/>
        </w:rPr>
        <w:tab/>
      </w:r>
    </w:p>
    <w:p w14:paraId="2377D4D4" w14:textId="468075EF" w:rsidR="008B261A" w:rsidRPr="00C664F3" w:rsidRDefault="008B261A" w:rsidP="00E11F1E">
      <w:pPr>
        <w:ind w:left="851"/>
        <w:rPr>
          <w:sz w:val="24"/>
          <w:szCs w:val="24"/>
          <w:lang w:val="en-GB"/>
        </w:rPr>
      </w:pPr>
      <w:r w:rsidRPr="00C664F3">
        <w:rPr>
          <w:iCs/>
          <w:sz w:val="24"/>
          <w:szCs w:val="24"/>
          <w:lang w:val="en-GB"/>
        </w:rPr>
        <w:t>Pharmacotherapeutic group:</w:t>
      </w:r>
      <w:r w:rsidRPr="00C664F3">
        <w:rPr>
          <w:i/>
          <w:sz w:val="24"/>
          <w:szCs w:val="24"/>
          <w:lang w:val="en-GB"/>
        </w:rPr>
        <w:t xml:space="preserve"> </w:t>
      </w:r>
      <w:r w:rsidRPr="00C664F3">
        <w:rPr>
          <w:sz w:val="24"/>
          <w:szCs w:val="24"/>
          <w:lang w:val="en-GB"/>
        </w:rPr>
        <w:t>Analgesics, other analgesics and antipyretics, ATC code: N02BE01</w:t>
      </w:r>
      <w:r w:rsidR="002520A6" w:rsidRPr="00C664F3">
        <w:rPr>
          <w:sz w:val="24"/>
          <w:szCs w:val="24"/>
          <w:lang w:val="en-GB"/>
        </w:rPr>
        <w:t>.</w:t>
      </w:r>
    </w:p>
    <w:p w14:paraId="49392F1C" w14:textId="77777777" w:rsidR="002520A6" w:rsidRPr="00C664F3" w:rsidRDefault="002520A6" w:rsidP="00E11F1E">
      <w:pPr>
        <w:ind w:left="851"/>
        <w:rPr>
          <w:sz w:val="24"/>
          <w:szCs w:val="24"/>
          <w:lang w:val="en-GB"/>
        </w:rPr>
      </w:pPr>
    </w:p>
    <w:p w14:paraId="472C978A" w14:textId="77777777" w:rsidR="008B261A" w:rsidRPr="00C664F3" w:rsidRDefault="008B261A" w:rsidP="00E11F1E">
      <w:pPr>
        <w:ind w:left="851"/>
        <w:rPr>
          <w:i/>
          <w:sz w:val="24"/>
          <w:szCs w:val="24"/>
          <w:lang w:val="en-GB"/>
        </w:rPr>
      </w:pPr>
      <w:r w:rsidRPr="00C664F3">
        <w:rPr>
          <w:iCs/>
          <w:sz w:val="24"/>
          <w:szCs w:val="24"/>
          <w:u w:val="single"/>
          <w:lang w:val="en-GB"/>
        </w:rPr>
        <w:t>Pharmacodynamic effects</w:t>
      </w:r>
    </w:p>
    <w:p w14:paraId="14BE70C3" w14:textId="77777777" w:rsidR="008B261A" w:rsidRPr="00C664F3" w:rsidRDefault="008B261A" w:rsidP="00E11F1E">
      <w:pPr>
        <w:ind w:left="851"/>
        <w:rPr>
          <w:sz w:val="24"/>
          <w:szCs w:val="24"/>
          <w:lang w:val="en-GB"/>
        </w:rPr>
      </w:pPr>
      <w:r w:rsidRPr="00C664F3">
        <w:rPr>
          <w:sz w:val="24"/>
          <w:szCs w:val="24"/>
          <w:lang w:val="en-GB"/>
        </w:rPr>
        <w:t>Paracetamol has a central and peripheral analgesic effect. Paracetamol has an antipyretic effect on the thermoregulatory centre in the hypothalamus. Paracetamol does not affect haemostasis and does not irritate the gastrointestinal mucosa.</w:t>
      </w:r>
    </w:p>
    <w:p w14:paraId="68F8A455" w14:textId="77777777" w:rsidR="008B261A" w:rsidRPr="00C664F3" w:rsidRDefault="008B261A" w:rsidP="00E11F1E">
      <w:pPr>
        <w:ind w:left="851"/>
        <w:rPr>
          <w:sz w:val="24"/>
          <w:szCs w:val="24"/>
          <w:lang w:val="en-GB"/>
        </w:rPr>
      </w:pPr>
      <w:r w:rsidRPr="00C664F3">
        <w:rPr>
          <w:sz w:val="24"/>
          <w:szCs w:val="24"/>
          <w:lang w:val="en-GB"/>
        </w:rPr>
        <w:t xml:space="preserve">Paracetamol depletes glutathione, which protects against the harmful effect of the reactive metabolite of paracetamol. A low glutathione level in exposed tissues predisposes to organ damage. </w:t>
      </w:r>
    </w:p>
    <w:p w14:paraId="117D91DD" w14:textId="77777777" w:rsidR="007C5D2A" w:rsidRPr="00C664F3" w:rsidRDefault="007C5D2A" w:rsidP="003E0341">
      <w:pPr>
        <w:tabs>
          <w:tab w:val="left" w:pos="851"/>
        </w:tabs>
        <w:ind w:left="851"/>
        <w:rPr>
          <w:sz w:val="24"/>
          <w:szCs w:val="24"/>
          <w:lang w:val="en-GB"/>
        </w:rPr>
      </w:pPr>
    </w:p>
    <w:p w14:paraId="195173E6" w14:textId="77777777" w:rsidR="007C5D2A" w:rsidRPr="00C664F3" w:rsidRDefault="007C5D2A" w:rsidP="007C5D2A">
      <w:pPr>
        <w:tabs>
          <w:tab w:val="left" w:pos="851"/>
        </w:tabs>
        <w:ind w:left="851" w:hanging="851"/>
        <w:rPr>
          <w:b/>
          <w:sz w:val="24"/>
          <w:szCs w:val="24"/>
          <w:lang w:val="en-GB"/>
        </w:rPr>
      </w:pPr>
      <w:r w:rsidRPr="00C664F3">
        <w:rPr>
          <w:b/>
          <w:sz w:val="24"/>
          <w:szCs w:val="24"/>
          <w:lang w:val="en-GB"/>
        </w:rPr>
        <w:t>5.2</w:t>
      </w:r>
      <w:r w:rsidRPr="00C664F3">
        <w:rPr>
          <w:b/>
          <w:sz w:val="24"/>
          <w:szCs w:val="24"/>
          <w:lang w:val="en-GB"/>
        </w:rPr>
        <w:tab/>
        <w:t>Pharmacokinetic properties</w:t>
      </w:r>
      <w:r w:rsidRPr="00C664F3">
        <w:rPr>
          <w:b/>
          <w:sz w:val="24"/>
          <w:szCs w:val="24"/>
          <w:lang w:val="en-GB"/>
        </w:rPr>
        <w:tab/>
      </w:r>
    </w:p>
    <w:p w14:paraId="3F715E52" w14:textId="77777777" w:rsidR="002520A6" w:rsidRPr="00C664F3" w:rsidRDefault="002520A6" w:rsidP="00E11F1E">
      <w:pPr>
        <w:ind w:left="851"/>
        <w:rPr>
          <w:sz w:val="24"/>
          <w:szCs w:val="24"/>
          <w:lang w:val="en-GB"/>
        </w:rPr>
      </w:pPr>
    </w:p>
    <w:p w14:paraId="6611B51F" w14:textId="31D1247B" w:rsidR="008B261A" w:rsidRPr="00C664F3" w:rsidRDefault="008B261A" w:rsidP="00E11F1E">
      <w:pPr>
        <w:ind w:left="851"/>
        <w:rPr>
          <w:sz w:val="24"/>
          <w:szCs w:val="24"/>
          <w:u w:val="single"/>
          <w:lang w:val="en-GB"/>
        </w:rPr>
      </w:pPr>
      <w:r w:rsidRPr="00C664F3">
        <w:rPr>
          <w:sz w:val="24"/>
          <w:szCs w:val="24"/>
          <w:u w:val="single"/>
          <w:lang w:val="en-GB"/>
        </w:rPr>
        <w:t xml:space="preserve">Absorption </w:t>
      </w:r>
    </w:p>
    <w:p w14:paraId="505E4FAF" w14:textId="77777777" w:rsidR="008B261A" w:rsidRPr="00C664F3" w:rsidRDefault="008B261A" w:rsidP="00E11F1E">
      <w:pPr>
        <w:ind w:left="851"/>
        <w:rPr>
          <w:sz w:val="24"/>
          <w:szCs w:val="24"/>
          <w:lang w:val="en-GB"/>
        </w:rPr>
      </w:pPr>
      <w:r w:rsidRPr="00C664F3">
        <w:rPr>
          <w:sz w:val="24"/>
          <w:szCs w:val="24"/>
          <w:lang w:val="en-GB"/>
        </w:rPr>
        <w:t>Paracetamol is absorbed almost completely when administered rectally. The rate of absorption is somewhat slower than with oral administration. Therapeutic serum concentration is reached after approximately 1-1½ hours.</w:t>
      </w:r>
    </w:p>
    <w:p w14:paraId="4D23DC38" w14:textId="77777777" w:rsidR="008B261A" w:rsidRPr="00C664F3" w:rsidRDefault="008B261A" w:rsidP="00E11F1E">
      <w:pPr>
        <w:ind w:left="851"/>
        <w:rPr>
          <w:i/>
          <w:sz w:val="24"/>
          <w:szCs w:val="24"/>
          <w:lang w:val="en-GB"/>
        </w:rPr>
      </w:pPr>
    </w:p>
    <w:p w14:paraId="73C41C8B" w14:textId="77777777" w:rsidR="008B261A" w:rsidRPr="00C664F3" w:rsidRDefault="008B261A" w:rsidP="00E11F1E">
      <w:pPr>
        <w:ind w:left="851"/>
        <w:rPr>
          <w:sz w:val="24"/>
          <w:szCs w:val="24"/>
          <w:u w:val="single"/>
          <w:lang w:val="en-GB"/>
        </w:rPr>
      </w:pPr>
      <w:r w:rsidRPr="00C664F3">
        <w:rPr>
          <w:iCs/>
          <w:sz w:val="24"/>
          <w:szCs w:val="24"/>
          <w:u w:val="single"/>
          <w:lang w:val="en-GB"/>
        </w:rPr>
        <w:t>Distribution</w:t>
      </w:r>
    </w:p>
    <w:p w14:paraId="4587F649" w14:textId="77777777" w:rsidR="008B261A" w:rsidRPr="00C664F3" w:rsidRDefault="008B261A" w:rsidP="00E11F1E">
      <w:pPr>
        <w:ind w:left="851"/>
        <w:rPr>
          <w:sz w:val="24"/>
          <w:szCs w:val="24"/>
          <w:lang w:val="en-GB"/>
        </w:rPr>
      </w:pPr>
      <w:r w:rsidRPr="00C664F3">
        <w:rPr>
          <w:sz w:val="24"/>
          <w:szCs w:val="24"/>
          <w:lang w:val="en-GB"/>
        </w:rPr>
        <w:t>Paracetamol is distributed rapidly and is distributed to most tissues. The volume of distribution is approx. 1 litre/kg. Protein binding is considered insignificant.</w:t>
      </w:r>
    </w:p>
    <w:p w14:paraId="0C0016AE" w14:textId="77777777" w:rsidR="008B261A" w:rsidRPr="00C664F3" w:rsidRDefault="008B261A" w:rsidP="00E11F1E">
      <w:pPr>
        <w:ind w:left="851"/>
        <w:rPr>
          <w:sz w:val="24"/>
          <w:szCs w:val="24"/>
          <w:lang w:val="en-GB"/>
        </w:rPr>
      </w:pPr>
    </w:p>
    <w:p w14:paraId="7A72C19D" w14:textId="77777777" w:rsidR="008B261A" w:rsidRPr="00C664F3" w:rsidRDefault="008B261A" w:rsidP="00E11F1E">
      <w:pPr>
        <w:ind w:left="851"/>
        <w:rPr>
          <w:sz w:val="24"/>
          <w:szCs w:val="24"/>
          <w:u w:val="single"/>
          <w:lang w:val="en-GB"/>
        </w:rPr>
      </w:pPr>
      <w:r w:rsidRPr="00C664F3">
        <w:rPr>
          <w:iCs/>
          <w:sz w:val="24"/>
          <w:szCs w:val="24"/>
          <w:u w:val="single"/>
          <w:lang w:val="en-GB"/>
        </w:rPr>
        <w:t>Biotransformation</w:t>
      </w:r>
    </w:p>
    <w:p w14:paraId="1F7A8AEA" w14:textId="77777777" w:rsidR="008B261A" w:rsidRPr="00C664F3" w:rsidRDefault="008B261A" w:rsidP="00E11F1E">
      <w:pPr>
        <w:ind w:left="851"/>
        <w:rPr>
          <w:sz w:val="24"/>
          <w:szCs w:val="24"/>
          <w:lang w:val="en-GB"/>
        </w:rPr>
      </w:pPr>
      <w:r w:rsidRPr="00C664F3">
        <w:rPr>
          <w:sz w:val="24"/>
          <w:szCs w:val="24"/>
          <w:lang w:val="en-GB"/>
        </w:rPr>
        <w:t xml:space="preserve">Paracetamol is metabolised mainly to glucuronides and </w:t>
      </w:r>
      <w:proofErr w:type="spellStart"/>
      <w:r w:rsidRPr="00C664F3">
        <w:rPr>
          <w:sz w:val="24"/>
          <w:szCs w:val="24"/>
          <w:lang w:val="en-GB"/>
        </w:rPr>
        <w:t>sulfate</w:t>
      </w:r>
      <w:proofErr w:type="spellEnd"/>
      <w:r w:rsidRPr="00C664F3">
        <w:rPr>
          <w:sz w:val="24"/>
          <w:szCs w:val="24"/>
          <w:lang w:val="en-GB"/>
        </w:rPr>
        <w:t xml:space="preserve"> conjugates in the liver. A minor fraction is converted by a cytochrome P450-dependent oxidase to a highly reactive metabolite. This metabolite is rapidly inactivated on conjugation with reduced glutathione and is eliminated in the urine as acetylcysteine and mercapturic acid conjugates. </w:t>
      </w:r>
    </w:p>
    <w:p w14:paraId="3B2FF59F" w14:textId="77777777" w:rsidR="008B261A" w:rsidRPr="00C664F3" w:rsidRDefault="008B261A" w:rsidP="00E11F1E">
      <w:pPr>
        <w:ind w:left="851"/>
        <w:rPr>
          <w:sz w:val="24"/>
          <w:szCs w:val="24"/>
          <w:lang w:val="en-GB"/>
        </w:rPr>
      </w:pPr>
    </w:p>
    <w:p w14:paraId="39EE9A98" w14:textId="77777777" w:rsidR="008B261A" w:rsidRPr="00C664F3" w:rsidRDefault="008B261A" w:rsidP="00E11F1E">
      <w:pPr>
        <w:ind w:left="851"/>
        <w:rPr>
          <w:iCs/>
          <w:sz w:val="24"/>
          <w:szCs w:val="24"/>
          <w:u w:val="single"/>
          <w:lang w:val="en-GB"/>
        </w:rPr>
      </w:pPr>
      <w:r w:rsidRPr="00C664F3">
        <w:rPr>
          <w:iCs/>
          <w:sz w:val="24"/>
          <w:szCs w:val="24"/>
          <w:u w:val="single"/>
          <w:lang w:val="en-GB"/>
        </w:rPr>
        <w:t>Elimination</w:t>
      </w:r>
    </w:p>
    <w:p w14:paraId="11AD9E26" w14:textId="77777777" w:rsidR="008B261A" w:rsidRPr="00C664F3" w:rsidRDefault="008B261A" w:rsidP="00E11F1E">
      <w:pPr>
        <w:ind w:left="851"/>
        <w:rPr>
          <w:sz w:val="24"/>
          <w:szCs w:val="24"/>
          <w:lang w:val="en-GB"/>
        </w:rPr>
      </w:pPr>
      <w:r w:rsidRPr="00C664F3">
        <w:rPr>
          <w:sz w:val="24"/>
          <w:szCs w:val="24"/>
          <w:lang w:val="en-GB"/>
        </w:rPr>
        <w:t>The half-life of paracetamol is 2-3 hours. The half-life may be prolonged at toxic doses or in patients with liver damage.</w:t>
      </w:r>
    </w:p>
    <w:p w14:paraId="4C98E4FB" w14:textId="77777777" w:rsidR="008B261A" w:rsidRPr="00C664F3" w:rsidRDefault="008B261A" w:rsidP="00E11F1E">
      <w:pPr>
        <w:ind w:left="851"/>
        <w:rPr>
          <w:sz w:val="24"/>
          <w:szCs w:val="24"/>
          <w:lang w:val="en-GB"/>
        </w:rPr>
      </w:pPr>
      <w:r w:rsidRPr="00C664F3">
        <w:rPr>
          <w:sz w:val="24"/>
          <w:szCs w:val="24"/>
          <w:lang w:val="en-GB"/>
        </w:rPr>
        <w:t xml:space="preserve">Paracetamol is eliminated via the kidneys mainly as glucuronides with small quantities of </w:t>
      </w:r>
      <w:proofErr w:type="spellStart"/>
      <w:r w:rsidRPr="00C664F3">
        <w:rPr>
          <w:sz w:val="24"/>
          <w:szCs w:val="24"/>
          <w:lang w:val="en-GB"/>
        </w:rPr>
        <w:t>sulfates</w:t>
      </w:r>
      <w:proofErr w:type="spellEnd"/>
      <w:r w:rsidRPr="00C664F3">
        <w:rPr>
          <w:sz w:val="24"/>
          <w:szCs w:val="24"/>
          <w:lang w:val="en-GB"/>
        </w:rPr>
        <w:t xml:space="preserve"> and </w:t>
      </w:r>
      <w:proofErr w:type="spellStart"/>
      <w:r w:rsidRPr="00C664F3">
        <w:rPr>
          <w:sz w:val="24"/>
          <w:szCs w:val="24"/>
          <w:lang w:val="en-GB"/>
        </w:rPr>
        <w:t>mercaptate</w:t>
      </w:r>
      <w:proofErr w:type="spellEnd"/>
      <w:r w:rsidRPr="00C664F3">
        <w:rPr>
          <w:sz w:val="24"/>
          <w:szCs w:val="24"/>
          <w:lang w:val="en-GB"/>
        </w:rPr>
        <w:t xml:space="preserve"> and unchanged medicinal product. Approximately 85% of a paracetamol dose can be recovered in the urine as free and conjugated paracetamol within 24 hours after administration. </w:t>
      </w:r>
    </w:p>
    <w:p w14:paraId="20954E79" w14:textId="77777777" w:rsidR="008B261A" w:rsidRPr="00C664F3" w:rsidRDefault="008B261A" w:rsidP="00E11F1E">
      <w:pPr>
        <w:ind w:left="851"/>
        <w:rPr>
          <w:sz w:val="24"/>
          <w:szCs w:val="24"/>
          <w:lang w:val="en-GB"/>
        </w:rPr>
      </w:pPr>
    </w:p>
    <w:p w14:paraId="1AF030E8" w14:textId="77777777" w:rsidR="008B261A" w:rsidRPr="00C664F3" w:rsidRDefault="008B261A" w:rsidP="00E11F1E">
      <w:pPr>
        <w:ind w:left="851"/>
        <w:rPr>
          <w:sz w:val="24"/>
          <w:szCs w:val="24"/>
          <w:u w:val="single"/>
          <w:lang w:val="en-GB"/>
        </w:rPr>
      </w:pPr>
      <w:r w:rsidRPr="00C664F3">
        <w:rPr>
          <w:sz w:val="24"/>
          <w:szCs w:val="24"/>
          <w:u w:val="single"/>
          <w:lang w:val="en-GB"/>
        </w:rPr>
        <w:t>Patient factors</w:t>
      </w:r>
    </w:p>
    <w:p w14:paraId="0B90E98F" w14:textId="77777777" w:rsidR="008B261A" w:rsidRPr="00C664F3" w:rsidRDefault="008B261A" w:rsidP="00E11F1E">
      <w:pPr>
        <w:ind w:left="851"/>
        <w:rPr>
          <w:sz w:val="24"/>
          <w:szCs w:val="24"/>
          <w:lang w:val="en-GB"/>
        </w:rPr>
      </w:pPr>
      <w:r w:rsidRPr="00C664F3">
        <w:rPr>
          <w:sz w:val="24"/>
          <w:szCs w:val="24"/>
          <w:lang w:val="en-GB"/>
        </w:rPr>
        <w:t>A serum concentration of 5-20 microg/ml paracetamol will produce an analgesic and antipyretic effect. A normal dose of paracetamol will be effective for 4-6 hours.</w:t>
      </w:r>
    </w:p>
    <w:p w14:paraId="4E0210D5" w14:textId="77777777" w:rsidR="007C5D2A" w:rsidRPr="00C664F3" w:rsidRDefault="007C5D2A" w:rsidP="00E11F1E">
      <w:pPr>
        <w:ind w:left="851"/>
        <w:rPr>
          <w:sz w:val="24"/>
          <w:szCs w:val="24"/>
          <w:lang w:val="en-GB"/>
        </w:rPr>
      </w:pPr>
    </w:p>
    <w:p w14:paraId="404CA002" w14:textId="77777777" w:rsidR="007C5D2A" w:rsidRPr="00C664F3" w:rsidRDefault="00180A12" w:rsidP="007C5D2A">
      <w:pPr>
        <w:tabs>
          <w:tab w:val="left" w:pos="851"/>
        </w:tabs>
        <w:ind w:left="851" w:hanging="851"/>
        <w:rPr>
          <w:b/>
          <w:sz w:val="24"/>
          <w:szCs w:val="24"/>
          <w:lang w:val="en-GB"/>
        </w:rPr>
      </w:pPr>
      <w:r w:rsidRPr="00C664F3">
        <w:rPr>
          <w:b/>
          <w:sz w:val="24"/>
          <w:szCs w:val="24"/>
          <w:lang w:val="en-GB"/>
        </w:rPr>
        <w:t>5.3</w:t>
      </w:r>
      <w:r w:rsidRPr="00C664F3">
        <w:rPr>
          <w:b/>
          <w:sz w:val="24"/>
          <w:szCs w:val="24"/>
          <w:lang w:val="en-GB"/>
        </w:rPr>
        <w:tab/>
        <w:t>Preclinical safety data</w:t>
      </w:r>
    </w:p>
    <w:p w14:paraId="32EBD9D1" w14:textId="77777777" w:rsidR="008B261A" w:rsidRPr="00C664F3" w:rsidRDefault="008B261A" w:rsidP="00E11F1E">
      <w:pPr>
        <w:ind w:left="851"/>
        <w:rPr>
          <w:sz w:val="24"/>
          <w:szCs w:val="24"/>
          <w:lang w:val="en-GB"/>
        </w:rPr>
      </w:pPr>
      <w:r w:rsidRPr="00C664F3">
        <w:rPr>
          <w:sz w:val="24"/>
          <w:szCs w:val="24"/>
          <w:lang w:val="en-GB"/>
        </w:rPr>
        <w:t xml:space="preserve">Conventional studies conducted in accordance with currently accepted standards for the evaluation of toxicity to reproduction and development are not available. </w:t>
      </w:r>
    </w:p>
    <w:p w14:paraId="1D0FE305" w14:textId="69430999" w:rsidR="008B261A" w:rsidRPr="00C664F3" w:rsidRDefault="008B261A" w:rsidP="00E11F1E">
      <w:pPr>
        <w:ind w:left="851"/>
        <w:rPr>
          <w:sz w:val="24"/>
          <w:szCs w:val="24"/>
          <w:lang w:val="en-GB"/>
        </w:rPr>
      </w:pPr>
      <w:r w:rsidRPr="00C664F3">
        <w:rPr>
          <w:sz w:val="24"/>
          <w:szCs w:val="24"/>
          <w:lang w:val="en-GB"/>
        </w:rPr>
        <w:t>Both unconverted paracetamol and active metabolites can bind to DNA and cause DNA damage. Studies from cell lines in culture, experimental animals and isolated human lymphocytes have shown that paracetamol can increase the incidence of chromosomal damage. Studies on lymphocytes from healthy volunteers following intake of therapeutic doses have produced contradictory results. Definitive conclusions cannot currently be drawn due to the design of the studies. Epidemiological studies have examined the correlation between use of paracetamol and development of cancer. There is no definitive evidence at present that paracetamol is carcinogenic to humans.</w:t>
      </w:r>
    </w:p>
    <w:p w14:paraId="645502E4" w14:textId="7B3C4F3F" w:rsidR="007C5D2A" w:rsidRPr="00C664F3" w:rsidRDefault="007C5D2A" w:rsidP="003E0341">
      <w:pPr>
        <w:tabs>
          <w:tab w:val="left" w:pos="851"/>
        </w:tabs>
        <w:ind w:left="851"/>
        <w:rPr>
          <w:sz w:val="24"/>
          <w:szCs w:val="24"/>
          <w:lang w:val="en-GB"/>
        </w:rPr>
      </w:pPr>
    </w:p>
    <w:p w14:paraId="53B90D76" w14:textId="77777777" w:rsidR="002520A6" w:rsidRPr="00C664F3" w:rsidRDefault="002520A6" w:rsidP="003E0341">
      <w:pPr>
        <w:tabs>
          <w:tab w:val="left" w:pos="851"/>
        </w:tabs>
        <w:ind w:left="851"/>
        <w:rPr>
          <w:sz w:val="24"/>
          <w:szCs w:val="24"/>
          <w:lang w:val="en-GB"/>
        </w:rPr>
      </w:pPr>
    </w:p>
    <w:p w14:paraId="2C5CCE8E" w14:textId="77777777" w:rsidR="007C5D2A" w:rsidRPr="00C664F3" w:rsidRDefault="009925C9" w:rsidP="007C5D2A">
      <w:pPr>
        <w:ind w:left="851" w:hanging="851"/>
        <w:rPr>
          <w:b/>
          <w:sz w:val="24"/>
          <w:szCs w:val="24"/>
          <w:lang w:val="en-GB"/>
        </w:rPr>
      </w:pPr>
      <w:r w:rsidRPr="00C664F3">
        <w:rPr>
          <w:b/>
          <w:sz w:val="24"/>
          <w:szCs w:val="24"/>
          <w:lang w:val="en-GB"/>
        </w:rPr>
        <w:t>6.</w:t>
      </w:r>
      <w:r w:rsidR="007C5D2A" w:rsidRPr="00C664F3">
        <w:rPr>
          <w:b/>
          <w:sz w:val="24"/>
          <w:szCs w:val="24"/>
          <w:lang w:val="en-GB"/>
        </w:rPr>
        <w:tab/>
        <w:t>PHARMACEUTICAL PARTICULARS</w:t>
      </w:r>
    </w:p>
    <w:p w14:paraId="7F6CDC5F" w14:textId="77777777" w:rsidR="007C5D2A" w:rsidRPr="00C664F3" w:rsidRDefault="007C5D2A" w:rsidP="003E0341">
      <w:pPr>
        <w:tabs>
          <w:tab w:val="left" w:pos="851"/>
        </w:tabs>
        <w:ind w:left="851"/>
        <w:rPr>
          <w:sz w:val="24"/>
          <w:szCs w:val="24"/>
          <w:lang w:val="en-GB"/>
        </w:rPr>
      </w:pPr>
    </w:p>
    <w:p w14:paraId="0E4F30F6" w14:textId="77777777" w:rsidR="007C5D2A" w:rsidRPr="00C664F3" w:rsidRDefault="007C5D2A" w:rsidP="007C5D2A">
      <w:pPr>
        <w:ind w:left="851" w:hanging="851"/>
        <w:rPr>
          <w:b/>
          <w:sz w:val="24"/>
          <w:szCs w:val="24"/>
          <w:lang w:val="en-GB"/>
        </w:rPr>
      </w:pPr>
      <w:r w:rsidRPr="00C664F3">
        <w:rPr>
          <w:b/>
          <w:sz w:val="24"/>
          <w:szCs w:val="24"/>
          <w:lang w:val="en-GB"/>
        </w:rPr>
        <w:t>6.1</w:t>
      </w:r>
      <w:r w:rsidRPr="00C664F3">
        <w:rPr>
          <w:b/>
          <w:sz w:val="24"/>
          <w:szCs w:val="24"/>
          <w:lang w:val="en-GB"/>
        </w:rPr>
        <w:tab/>
        <w:t>List of excipients</w:t>
      </w:r>
    </w:p>
    <w:p w14:paraId="0B2D8F04" w14:textId="77777777" w:rsidR="008B261A" w:rsidRPr="00C664F3" w:rsidRDefault="008B261A" w:rsidP="00E11F1E">
      <w:pPr>
        <w:ind w:left="851"/>
        <w:rPr>
          <w:sz w:val="24"/>
          <w:szCs w:val="24"/>
          <w:lang w:val="en-GB"/>
        </w:rPr>
      </w:pPr>
      <w:r w:rsidRPr="00C664F3">
        <w:rPr>
          <w:sz w:val="24"/>
          <w:szCs w:val="24"/>
          <w:lang w:val="en-GB"/>
        </w:rPr>
        <w:t>Hard fat</w:t>
      </w:r>
    </w:p>
    <w:p w14:paraId="58D7FF66" w14:textId="77777777" w:rsidR="007C5D2A" w:rsidRPr="00C664F3" w:rsidRDefault="007C5D2A" w:rsidP="003D727E">
      <w:pPr>
        <w:tabs>
          <w:tab w:val="left" w:pos="851"/>
        </w:tabs>
        <w:ind w:left="851"/>
        <w:rPr>
          <w:sz w:val="24"/>
          <w:szCs w:val="24"/>
          <w:lang w:val="en-GB"/>
        </w:rPr>
      </w:pPr>
    </w:p>
    <w:p w14:paraId="716DDF5E" w14:textId="77777777" w:rsidR="007C5D2A" w:rsidRPr="00C664F3" w:rsidRDefault="007C5D2A" w:rsidP="007C5D2A">
      <w:pPr>
        <w:ind w:left="851" w:hanging="851"/>
        <w:rPr>
          <w:b/>
          <w:sz w:val="24"/>
          <w:szCs w:val="24"/>
          <w:lang w:val="en-GB"/>
        </w:rPr>
      </w:pPr>
      <w:r w:rsidRPr="00C664F3">
        <w:rPr>
          <w:b/>
          <w:sz w:val="24"/>
          <w:szCs w:val="24"/>
          <w:lang w:val="en-GB"/>
        </w:rPr>
        <w:t>6.2</w:t>
      </w:r>
      <w:r w:rsidRPr="00C664F3">
        <w:rPr>
          <w:b/>
          <w:sz w:val="24"/>
          <w:szCs w:val="24"/>
          <w:lang w:val="en-GB"/>
        </w:rPr>
        <w:tab/>
        <w:t>Incompatibilities</w:t>
      </w:r>
    </w:p>
    <w:p w14:paraId="786C7E33" w14:textId="77777777" w:rsidR="008B261A" w:rsidRPr="00C664F3" w:rsidRDefault="008B261A" w:rsidP="00E11F1E">
      <w:pPr>
        <w:ind w:left="851"/>
        <w:rPr>
          <w:sz w:val="24"/>
          <w:szCs w:val="24"/>
          <w:lang w:val="en-GB"/>
        </w:rPr>
      </w:pPr>
      <w:r w:rsidRPr="00C664F3">
        <w:rPr>
          <w:sz w:val="24"/>
          <w:szCs w:val="24"/>
          <w:lang w:val="en-GB"/>
        </w:rPr>
        <w:t>Not applicable.</w:t>
      </w:r>
    </w:p>
    <w:p w14:paraId="047EA1A7" w14:textId="77777777" w:rsidR="007C5D2A" w:rsidRPr="00C664F3" w:rsidRDefault="007C5D2A" w:rsidP="003E0341">
      <w:pPr>
        <w:tabs>
          <w:tab w:val="left" w:pos="851"/>
        </w:tabs>
        <w:ind w:left="851"/>
        <w:rPr>
          <w:sz w:val="24"/>
          <w:szCs w:val="24"/>
          <w:lang w:val="en-GB"/>
        </w:rPr>
      </w:pPr>
    </w:p>
    <w:p w14:paraId="090C45C2" w14:textId="77777777" w:rsidR="007C5D2A" w:rsidRPr="00C664F3" w:rsidRDefault="007C5D2A" w:rsidP="007C5D2A">
      <w:pPr>
        <w:ind w:left="851" w:hanging="851"/>
        <w:rPr>
          <w:b/>
          <w:sz w:val="24"/>
          <w:szCs w:val="24"/>
          <w:lang w:val="en-GB"/>
        </w:rPr>
      </w:pPr>
      <w:r w:rsidRPr="00C664F3">
        <w:rPr>
          <w:b/>
          <w:sz w:val="24"/>
          <w:szCs w:val="24"/>
          <w:lang w:val="en-GB"/>
        </w:rPr>
        <w:t>6.3</w:t>
      </w:r>
      <w:r w:rsidRPr="00C664F3">
        <w:rPr>
          <w:b/>
          <w:sz w:val="24"/>
          <w:szCs w:val="24"/>
          <w:lang w:val="en-GB"/>
        </w:rPr>
        <w:tab/>
        <w:t>Shelf</w:t>
      </w:r>
      <w:r w:rsidR="00B45DC5" w:rsidRPr="00C664F3">
        <w:rPr>
          <w:b/>
          <w:sz w:val="24"/>
          <w:szCs w:val="24"/>
          <w:lang w:val="en-GB"/>
        </w:rPr>
        <w:t xml:space="preserve"> </w:t>
      </w:r>
      <w:r w:rsidRPr="00C664F3">
        <w:rPr>
          <w:b/>
          <w:sz w:val="24"/>
          <w:szCs w:val="24"/>
          <w:lang w:val="en-GB"/>
        </w:rPr>
        <w:t>life</w:t>
      </w:r>
    </w:p>
    <w:p w14:paraId="1EF9688B" w14:textId="7A31B4B4" w:rsidR="008B261A" w:rsidRPr="00C664F3" w:rsidRDefault="008B261A" w:rsidP="00E11F1E">
      <w:pPr>
        <w:ind w:left="851"/>
        <w:rPr>
          <w:sz w:val="24"/>
          <w:szCs w:val="24"/>
          <w:lang w:val="en-GB"/>
        </w:rPr>
      </w:pPr>
      <w:r w:rsidRPr="00C664F3">
        <w:rPr>
          <w:sz w:val="24"/>
          <w:szCs w:val="24"/>
          <w:lang w:val="en-GB"/>
        </w:rPr>
        <w:t>5 years</w:t>
      </w:r>
      <w:r w:rsidR="002520A6" w:rsidRPr="00C664F3">
        <w:rPr>
          <w:sz w:val="24"/>
          <w:szCs w:val="24"/>
          <w:lang w:val="en-GB"/>
        </w:rPr>
        <w:t>.</w:t>
      </w:r>
    </w:p>
    <w:p w14:paraId="525FD29A" w14:textId="77777777" w:rsidR="007C5D2A" w:rsidRPr="00C664F3" w:rsidRDefault="007C5D2A" w:rsidP="003E0341">
      <w:pPr>
        <w:tabs>
          <w:tab w:val="left" w:pos="851"/>
        </w:tabs>
        <w:ind w:left="851"/>
        <w:rPr>
          <w:sz w:val="24"/>
          <w:szCs w:val="24"/>
          <w:lang w:val="en-GB"/>
        </w:rPr>
      </w:pPr>
    </w:p>
    <w:p w14:paraId="411F4EDD" w14:textId="77777777" w:rsidR="007C5D2A" w:rsidRPr="00C664F3" w:rsidRDefault="007C5D2A" w:rsidP="007C5D2A">
      <w:pPr>
        <w:ind w:left="851" w:hanging="851"/>
        <w:rPr>
          <w:b/>
          <w:sz w:val="24"/>
          <w:szCs w:val="24"/>
          <w:lang w:val="en-GB"/>
        </w:rPr>
      </w:pPr>
      <w:r w:rsidRPr="00C664F3">
        <w:rPr>
          <w:b/>
          <w:sz w:val="24"/>
          <w:szCs w:val="24"/>
          <w:lang w:val="en-GB"/>
        </w:rPr>
        <w:t>6.4</w:t>
      </w:r>
      <w:r w:rsidRPr="00C664F3">
        <w:rPr>
          <w:b/>
          <w:sz w:val="24"/>
          <w:szCs w:val="24"/>
          <w:lang w:val="en-GB"/>
        </w:rPr>
        <w:tab/>
        <w:t>Special precautions for storage</w:t>
      </w:r>
    </w:p>
    <w:p w14:paraId="0ADD8C7B" w14:textId="77777777" w:rsidR="008B261A" w:rsidRPr="00C664F3" w:rsidRDefault="008B261A" w:rsidP="00E11F1E">
      <w:pPr>
        <w:ind w:left="851"/>
        <w:rPr>
          <w:sz w:val="24"/>
          <w:szCs w:val="24"/>
          <w:lang w:val="en-GB"/>
        </w:rPr>
      </w:pPr>
      <w:r w:rsidRPr="00C664F3">
        <w:rPr>
          <w:sz w:val="24"/>
          <w:szCs w:val="24"/>
          <w:lang w:val="en-GB"/>
        </w:rPr>
        <w:t>Do not store above 25 °C.</w:t>
      </w:r>
    </w:p>
    <w:p w14:paraId="3C352504" w14:textId="77777777" w:rsidR="007C5D2A" w:rsidRPr="00C664F3" w:rsidRDefault="007C5D2A" w:rsidP="003E0341">
      <w:pPr>
        <w:tabs>
          <w:tab w:val="left" w:pos="851"/>
        </w:tabs>
        <w:ind w:left="851"/>
        <w:rPr>
          <w:sz w:val="24"/>
          <w:szCs w:val="24"/>
          <w:lang w:val="en-GB"/>
        </w:rPr>
      </w:pPr>
    </w:p>
    <w:p w14:paraId="5DD9D8FA" w14:textId="77777777" w:rsidR="007C5D2A" w:rsidRPr="00C664F3" w:rsidRDefault="007C5D2A" w:rsidP="007C5D2A">
      <w:pPr>
        <w:ind w:left="851" w:hanging="851"/>
        <w:rPr>
          <w:b/>
          <w:sz w:val="24"/>
          <w:szCs w:val="24"/>
          <w:lang w:val="en-GB"/>
        </w:rPr>
      </w:pPr>
      <w:r w:rsidRPr="00C664F3">
        <w:rPr>
          <w:b/>
          <w:sz w:val="24"/>
          <w:szCs w:val="24"/>
          <w:lang w:val="en-GB"/>
        </w:rPr>
        <w:t>6.5</w:t>
      </w:r>
      <w:r w:rsidRPr="00C664F3">
        <w:rPr>
          <w:b/>
          <w:sz w:val="24"/>
          <w:szCs w:val="24"/>
          <w:lang w:val="en-GB"/>
        </w:rPr>
        <w:tab/>
        <w:t>Nature and contents of container</w:t>
      </w:r>
    </w:p>
    <w:p w14:paraId="71EB4423" w14:textId="10EB33B6" w:rsidR="008B261A" w:rsidRPr="00C664F3" w:rsidRDefault="002520A6" w:rsidP="00E11F1E">
      <w:pPr>
        <w:ind w:left="851"/>
        <w:rPr>
          <w:sz w:val="24"/>
          <w:szCs w:val="24"/>
          <w:lang w:val="en-GB"/>
        </w:rPr>
      </w:pPr>
      <w:proofErr w:type="spellStart"/>
      <w:r w:rsidRPr="00C664F3">
        <w:rPr>
          <w:sz w:val="24"/>
          <w:szCs w:val="24"/>
          <w:lang w:val="en-GB"/>
        </w:rPr>
        <w:t>Paracet</w:t>
      </w:r>
      <w:proofErr w:type="spellEnd"/>
      <w:r w:rsidR="008B261A" w:rsidRPr="00C664F3">
        <w:rPr>
          <w:sz w:val="24"/>
          <w:szCs w:val="24"/>
          <w:lang w:val="en-GB"/>
        </w:rPr>
        <w:t xml:space="preserve"> suppositories are packed in torpedo-shaped plastic containers.</w:t>
      </w:r>
    </w:p>
    <w:p w14:paraId="69A1EF2B" w14:textId="77777777" w:rsidR="008B261A" w:rsidRPr="00C664F3" w:rsidRDefault="008B261A" w:rsidP="00E11F1E">
      <w:pPr>
        <w:ind w:left="851"/>
        <w:rPr>
          <w:sz w:val="24"/>
          <w:szCs w:val="24"/>
          <w:lang w:val="en-GB"/>
        </w:rPr>
      </w:pPr>
    </w:p>
    <w:p w14:paraId="04613997" w14:textId="77777777" w:rsidR="008B261A" w:rsidRPr="00C664F3" w:rsidRDefault="008B261A" w:rsidP="00E11F1E">
      <w:pPr>
        <w:ind w:left="851"/>
        <w:rPr>
          <w:sz w:val="24"/>
          <w:szCs w:val="24"/>
          <w:lang w:val="en-GB"/>
        </w:rPr>
      </w:pPr>
      <w:r w:rsidRPr="00C664F3">
        <w:rPr>
          <w:sz w:val="24"/>
          <w:szCs w:val="24"/>
          <w:lang w:val="en-GB"/>
        </w:rPr>
        <w:t>Pack sizes:</w:t>
      </w:r>
    </w:p>
    <w:p w14:paraId="20EAF7BA" w14:textId="1826DF0F" w:rsidR="008B261A" w:rsidRPr="00C664F3" w:rsidRDefault="008B261A" w:rsidP="00E11F1E">
      <w:pPr>
        <w:ind w:left="851"/>
        <w:rPr>
          <w:sz w:val="24"/>
          <w:szCs w:val="24"/>
          <w:lang w:val="en-GB"/>
        </w:rPr>
      </w:pPr>
      <w:r w:rsidRPr="00C664F3">
        <w:rPr>
          <w:sz w:val="24"/>
          <w:szCs w:val="24"/>
          <w:lang w:val="en-GB"/>
        </w:rPr>
        <w:t>60 mg, 125 mg, 250 mg, 500 mg and 1</w:t>
      </w:r>
      <w:r w:rsidR="00F14E63">
        <w:rPr>
          <w:sz w:val="24"/>
          <w:szCs w:val="24"/>
          <w:lang w:val="en-GB"/>
        </w:rPr>
        <w:t xml:space="preserve"> </w:t>
      </w:r>
      <w:r w:rsidRPr="00C664F3">
        <w:rPr>
          <w:sz w:val="24"/>
          <w:szCs w:val="24"/>
          <w:lang w:val="en-GB"/>
        </w:rPr>
        <w:t>g: 10 suppositories</w:t>
      </w:r>
    </w:p>
    <w:p w14:paraId="712E51F1" w14:textId="6AE1CC83" w:rsidR="008B261A" w:rsidRPr="00C664F3" w:rsidRDefault="008B261A" w:rsidP="00E11F1E">
      <w:pPr>
        <w:ind w:left="851"/>
        <w:rPr>
          <w:sz w:val="24"/>
          <w:szCs w:val="24"/>
          <w:lang w:val="en-GB"/>
        </w:rPr>
      </w:pPr>
      <w:r w:rsidRPr="00C664F3">
        <w:rPr>
          <w:sz w:val="24"/>
          <w:szCs w:val="24"/>
          <w:lang w:val="en-GB"/>
        </w:rPr>
        <w:t>500 mg and 1</w:t>
      </w:r>
      <w:r w:rsidR="00F14E63">
        <w:rPr>
          <w:sz w:val="24"/>
          <w:szCs w:val="24"/>
          <w:lang w:val="en-GB"/>
        </w:rPr>
        <w:t xml:space="preserve"> </w:t>
      </w:r>
      <w:r w:rsidRPr="00C664F3">
        <w:rPr>
          <w:sz w:val="24"/>
          <w:szCs w:val="24"/>
          <w:lang w:val="en-GB"/>
        </w:rPr>
        <w:t>g: 50 suppositories</w:t>
      </w:r>
    </w:p>
    <w:p w14:paraId="190A6D4F" w14:textId="77777777" w:rsidR="008B261A" w:rsidRPr="00C664F3" w:rsidRDefault="008B261A" w:rsidP="00E11F1E">
      <w:pPr>
        <w:ind w:left="851"/>
        <w:rPr>
          <w:sz w:val="24"/>
          <w:szCs w:val="24"/>
          <w:lang w:val="en-GB"/>
        </w:rPr>
      </w:pPr>
    </w:p>
    <w:p w14:paraId="401032C3" w14:textId="77777777" w:rsidR="008B261A" w:rsidRPr="00C664F3" w:rsidRDefault="008B261A" w:rsidP="00E11F1E">
      <w:pPr>
        <w:ind w:left="851"/>
        <w:rPr>
          <w:sz w:val="24"/>
          <w:szCs w:val="24"/>
          <w:lang w:val="en-GB"/>
        </w:rPr>
      </w:pPr>
      <w:r w:rsidRPr="00C664F3">
        <w:rPr>
          <w:sz w:val="24"/>
          <w:szCs w:val="24"/>
          <w:lang w:val="en-GB"/>
        </w:rPr>
        <w:t>Not all pack sizes may be marketed.</w:t>
      </w:r>
    </w:p>
    <w:p w14:paraId="22E0B546" w14:textId="77777777" w:rsidR="007C5D2A" w:rsidRPr="00C664F3" w:rsidRDefault="007C5D2A" w:rsidP="003E0341">
      <w:pPr>
        <w:tabs>
          <w:tab w:val="left" w:pos="851"/>
        </w:tabs>
        <w:ind w:left="851"/>
        <w:rPr>
          <w:sz w:val="24"/>
          <w:szCs w:val="24"/>
          <w:lang w:val="en-GB"/>
        </w:rPr>
      </w:pPr>
    </w:p>
    <w:p w14:paraId="2196FA73" w14:textId="77777777" w:rsidR="007C5D2A" w:rsidRPr="00C664F3" w:rsidRDefault="007C5D2A" w:rsidP="007C5D2A">
      <w:pPr>
        <w:ind w:left="851" w:hanging="851"/>
        <w:rPr>
          <w:b/>
          <w:sz w:val="24"/>
          <w:szCs w:val="24"/>
          <w:lang w:val="en-GB"/>
        </w:rPr>
      </w:pPr>
      <w:r w:rsidRPr="00C664F3">
        <w:rPr>
          <w:b/>
          <w:sz w:val="24"/>
          <w:szCs w:val="24"/>
          <w:lang w:val="en-GB"/>
        </w:rPr>
        <w:t>6.6</w:t>
      </w:r>
      <w:r w:rsidRPr="00C664F3">
        <w:rPr>
          <w:b/>
          <w:sz w:val="24"/>
          <w:szCs w:val="24"/>
          <w:lang w:val="en-GB"/>
        </w:rPr>
        <w:tab/>
        <w:t>Special precautions for disposal and other handling</w:t>
      </w:r>
    </w:p>
    <w:p w14:paraId="5C393056" w14:textId="77777777" w:rsidR="008B261A" w:rsidRPr="00C664F3" w:rsidRDefault="008B261A" w:rsidP="00E11F1E">
      <w:pPr>
        <w:ind w:left="851"/>
        <w:rPr>
          <w:sz w:val="24"/>
          <w:szCs w:val="24"/>
          <w:lang w:val="en-GB"/>
        </w:rPr>
      </w:pPr>
      <w:r w:rsidRPr="00C664F3">
        <w:rPr>
          <w:sz w:val="24"/>
          <w:szCs w:val="24"/>
          <w:lang w:val="en-GB"/>
        </w:rPr>
        <w:t xml:space="preserve">No special requirements for disposal. </w:t>
      </w:r>
    </w:p>
    <w:p w14:paraId="190031BB" w14:textId="77777777" w:rsidR="008B261A" w:rsidRPr="00C664F3" w:rsidRDefault="008B261A" w:rsidP="00E11F1E">
      <w:pPr>
        <w:ind w:left="851"/>
        <w:rPr>
          <w:sz w:val="24"/>
          <w:szCs w:val="24"/>
          <w:lang w:val="en-GB"/>
        </w:rPr>
      </w:pPr>
    </w:p>
    <w:p w14:paraId="37808849" w14:textId="77777777" w:rsidR="008B261A" w:rsidRPr="00C664F3" w:rsidRDefault="008B261A" w:rsidP="00E11F1E">
      <w:pPr>
        <w:ind w:left="851"/>
        <w:rPr>
          <w:sz w:val="24"/>
          <w:szCs w:val="24"/>
          <w:lang w:val="en-GB"/>
        </w:rPr>
      </w:pPr>
      <w:r w:rsidRPr="00C664F3">
        <w:rPr>
          <w:sz w:val="24"/>
          <w:szCs w:val="24"/>
          <w:lang w:val="en-GB"/>
        </w:rPr>
        <w:t>Any unused medicinal product or waste material should be disposed of in accordance with local requirements.</w:t>
      </w:r>
    </w:p>
    <w:p w14:paraId="4563EB91" w14:textId="4BD4121D" w:rsidR="00C664F3" w:rsidRDefault="00C664F3">
      <w:pPr>
        <w:rPr>
          <w:sz w:val="24"/>
          <w:szCs w:val="24"/>
          <w:lang w:val="en-GB"/>
        </w:rPr>
      </w:pPr>
      <w:r>
        <w:rPr>
          <w:sz w:val="24"/>
          <w:szCs w:val="24"/>
          <w:lang w:val="en-GB"/>
        </w:rPr>
        <w:br w:type="page"/>
      </w:r>
    </w:p>
    <w:p w14:paraId="21C7D314" w14:textId="77777777" w:rsidR="007C5D2A" w:rsidRPr="00C664F3" w:rsidRDefault="007C5D2A" w:rsidP="00AB4376">
      <w:pPr>
        <w:tabs>
          <w:tab w:val="left" w:pos="851"/>
        </w:tabs>
        <w:ind w:left="851"/>
        <w:rPr>
          <w:sz w:val="24"/>
          <w:szCs w:val="24"/>
          <w:lang w:val="en-GB"/>
        </w:rPr>
      </w:pPr>
    </w:p>
    <w:p w14:paraId="2550EC40" w14:textId="77777777" w:rsidR="007C5D2A" w:rsidRPr="00C664F3" w:rsidRDefault="007C5D2A" w:rsidP="007C5D2A">
      <w:pPr>
        <w:tabs>
          <w:tab w:val="left" w:pos="851"/>
        </w:tabs>
        <w:ind w:left="851" w:hanging="851"/>
        <w:jc w:val="both"/>
        <w:rPr>
          <w:b/>
          <w:sz w:val="24"/>
          <w:szCs w:val="24"/>
          <w:lang w:val="en-GB"/>
        </w:rPr>
      </w:pPr>
      <w:r w:rsidRPr="00C664F3">
        <w:rPr>
          <w:b/>
          <w:sz w:val="24"/>
          <w:szCs w:val="24"/>
          <w:lang w:val="en-GB"/>
        </w:rPr>
        <w:t>7.</w:t>
      </w:r>
      <w:r w:rsidRPr="00C664F3">
        <w:rPr>
          <w:b/>
          <w:sz w:val="24"/>
          <w:szCs w:val="24"/>
          <w:lang w:val="en-GB"/>
        </w:rPr>
        <w:tab/>
        <w:t>MARKETING AUTHORISATION HOLDER</w:t>
      </w:r>
    </w:p>
    <w:p w14:paraId="2C840D2C" w14:textId="25AB51A6" w:rsidR="007C5D2A" w:rsidRPr="00C664F3" w:rsidRDefault="008B261A" w:rsidP="00A85D26">
      <w:pPr>
        <w:tabs>
          <w:tab w:val="left" w:pos="851"/>
        </w:tabs>
        <w:ind w:left="851"/>
        <w:jc w:val="both"/>
        <w:rPr>
          <w:sz w:val="24"/>
          <w:szCs w:val="24"/>
          <w:lang w:val="en-GB"/>
        </w:rPr>
      </w:pPr>
      <w:r w:rsidRPr="00C664F3">
        <w:rPr>
          <w:sz w:val="24"/>
          <w:szCs w:val="24"/>
          <w:lang w:val="en-GB"/>
        </w:rPr>
        <w:t>Karo Pharma AS</w:t>
      </w:r>
    </w:p>
    <w:p w14:paraId="386808E0" w14:textId="6346AC75" w:rsidR="008B261A" w:rsidRPr="00C664F3" w:rsidRDefault="008B261A" w:rsidP="00A85D26">
      <w:pPr>
        <w:tabs>
          <w:tab w:val="left" w:pos="851"/>
        </w:tabs>
        <w:ind w:left="851"/>
        <w:jc w:val="both"/>
        <w:rPr>
          <w:sz w:val="24"/>
          <w:szCs w:val="24"/>
          <w:lang w:val="en-GB"/>
        </w:rPr>
      </w:pPr>
      <w:proofErr w:type="spellStart"/>
      <w:r w:rsidRPr="00C664F3">
        <w:rPr>
          <w:sz w:val="24"/>
          <w:szCs w:val="24"/>
          <w:lang w:val="en-GB"/>
        </w:rPr>
        <w:t>Østensjøveien</w:t>
      </w:r>
      <w:proofErr w:type="spellEnd"/>
      <w:r w:rsidRPr="00C664F3">
        <w:rPr>
          <w:sz w:val="24"/>
          <w:szCs w:val="24"/>
          <w:lang w:val="en-GB"/>
        </w:rPr>
        <w:t xml:space="preserve"> 27</w:t>
      </w:r>
    </w:p>
    <w:p w14:paraId="2952E982" w14:textId="307301AF" w:rsidR="008B261A" w:rsidRPr="00C664F3" w:rsidRDefault="008B261A" w:rsidP="00A85D26">
      <w:pPr>
        <w:tabs>
          <w:tab w:val="left" w:pos="851"/>
        </w:tabs>
        <w:ind w:left="851"/>
        <w:jc w:val="both"/>
        <w:rPr>
          <w:sz w:val="24"/>
          <w:szCs w:val="24"/>
          <w:lang w:val="en-GB"/>
        </w:rPr>
      </w:pPr>
      <w:proofErr w:type="spellStart"/>
      <w:r w:rsidRPr="00C664F3">
        <w:rPr>
          <w:sz w:val="24"/>
          <w:szCs w:val="24"/>
          <w:lang w:val="en-GB"/>
        </w:rPr>
        <w:t>Postboks</w:t>
      </w:r>
      <w:proofErr w:type="spellEnd"/>
      <w:r w:rsidRPr="00C664F3">
        <w:rPr>
          <w:sz w:val="24"/>
          <w:szCs w:val="24"/>
          <w:lang w:val="en-GB"/>
        </w:rPr>
        <w:t xml:space="preserve"> 6733 </w:t>
      </w:r>
      <w:proofErr w:type="spellStart"/>
      <w:r w:rsidRPr="00C664F3">
        <w:rPr>
          <w:sz w:val="24"/>
          <w:szCs w:val="24"/>
          <w:lang w:val="en-GB"/>
        </w:rPr>
        <w:t>Etterstad</w:t>
      </w:r>
      <w:proofErr w:type="spellEnd"/>
    </w:p>
    <w:p w14:paraId="60FA141E" w14:textId="51BAE6E7" w:rsidR="007C5D2A" w:rsidRPr="00C664F3" w:rsidRDefault="008B261A" w:rsidP="003E0341">
      <w:pPr>
        <w:tabs>
          <w:tab w:val="left" w:pos="851"/>
        </w:tabs>
        <w:ind w:left="851"/>
        <w:jc w:val="both"/>
        <w:rPr>
          <w:sz w:val="24"/>
          <w:szCs w:val="24"/>
          <w:lang w:val="en-GB"/>
        </w:rPr>
      </w:pPr>
      <w:r w:rsidRPr="00C664F3">
        <w:rPr>
          <w:sz w:val="24"/>
          <w:szCs w:val="24"/>
          <w:lang w:val="en-GB"/>
        </w:rPr>
        <w:t>0609 Oslo</w:t>
      </w:r>
    </w:p>
    <w:p w14:paraId="0A391F76" w14:textId="4E6534F2" w:rsidR="008B261A" w:rsidRPr="00C664F3" w:rsidRDefault="008B261A" w:rsidP="003E0341">
      <w:pPr>
        <w:tabs>
          <w:tab w:val="left" w:pos="851"/>
        </w:tabs>
        <w:ind w:left="851"/>
        <w:jc w:val="both"/>
        <w:rPr>
          <w:sz w:val="24"/>
          <w:szCs w:val="24"/>
          <w:lang w:val="en-GB"/>
        </w:rPr>
      </w:pPr>
      <w:r w:rsidRPr="00C664F3">
        <w:rPr>
          <w:sz w:val="24"/>
          <w:szCs w:val="24"/>
          <w:lang w:val="en-GB"/>
        </w:rPr>
        <w:t>Norge</w:t>
      </w:r>
    </w:p>
    <w:p w14:paraId="751AFC6E" w14:textId="77777777" w:rsidR="008A24F6" w:rsidRPr="00C664F3" w:rsidRDefault="008A24F6" w:rsidP="003E0341">
      <w:pPr>
        <w:tabs>
          <w:tab w:val="left" w:pos="851"/>
        </w:tabs>
        <w:ind w:left="851"/>
        <w:jc w:val="both"/>
        <w:rPr>
          <w:sz w:val="24"/>
          <w:szCs w:val="24"/>
          <w:lang w:val="en-GB"/>
        </w:rPr>
      </w:pPr>
    </w:p>
    <w:p w14:paraId="275300E6" w14:textId="77777777" w:rsidR="007C5D2A" w:rsidRPr="00C664F3" w:rsidRDefault="007C5D2A" w:rsidP="007C5D2A">
      <w:pPr>
        <w:ind w:left="851" w:hanging="851"/>
        <w:jc w:val="both"/>
        <w:rPr>
          <w:b/>
          <w:sz w:val="24"/>
          <w:szCs w:val="24"/>
          <w:lang w:val="en-GB"/>
        </w:rPr>
      </w:pPr>
      <w:r w:rsidRPr="00C664F3">
        <w:rPr>
          <w:b/>
          <w:sz w:val="24"/>
          <w:szCs w:val="24"/>
          <w:lang w:val="en-GB"/>
        </w:rPr>
        <w:t>8.</w:t>
      </w:r>
      <w:r w:rsidRPr="00C664F3">
        <w:rPr>
          <w:b/>
          <w:sz w:val="24"/>
          <w:szCs w:val="24"/>
          <w:lang w:val="en-GB"/>
        </w:rPr>
        <w:tab/>
        <w:t>MARKETING AUTHORISATION NUMBER(S)</w:t>
      </w:r>
    </w:p>
    <w:p w14:paraId="365631A0" w14:textId="029455F1" w:rsidR="007C5D2A" w:rsidRPr="00C664F3" w:rsidRDefault="008B261A" w:rsidP="002520A6">
      <w:pPr>
        <w:tabs>
          <w:tab w:val="left" w:pos="851"/>
          <w:tab w:val="left" w:pos="1985"/>
        </w:tabs>
        <w:ind w:left="851"/>
        <w:rPr>
          <w:sz w:val="24"/>
          <w:szCs w:val="24"/>
          <w:lang w:val="en-GB"/>
        </w:rPr>
      </w:pPr>
      <w:r w:rsidRPr="00C664F3">
        <w:rPr>
          <w:sz w:val="24"/>
          <w:szCs w:val="24"/>
          <w:lang w:val="en-GB"/>
        </w:rPr>
        <w:t xml:space="preserve">60 mg: </w:t>
      </w:r>
      <w:r w:rsidR="002520A6" w:rsidRPr="00C664F3">
        <w:rPr>
          <w:sz w:val="24"/>
          <w:szCs w:val="24"/>
          <w:lang w:val="en-GB"/>
        </w:rPr>
        <w:tab/>
      </w:r>
      <w:r w:rsidRPr="00C664F3">
        <w:rPr>
          <w:sz w:val="24"/>
          <w:szCs w:val="24"/>
          <w:lang w:val="en-GB"/>
        </w:rPr>
        <w:t>71022</w:t>
      </w:r>
    </w:p>
    <w:p w14:paraId="1BF9D0AF" w14:textId="0FB1BFE4" w:rsidR="008B261A" w:rsidRPr="00C664F3" w:rsidRDefault="008B261A" w:rsidP="002520A6">
      <w:pPr>
        <w:tabs>
          <w:tab w:val="left" w:pos="851"/>
          <w:tab w:val="left" w:pos="1985"/>
        </w:tabs>
        <w:ind w:left="851"/>
        <w:rPr>
          <w:sz w:val="24"/>
          <w:szCs w:val="24"/>
          <w:lang w:val="en-GB"/>
        </w:rPr>
      </w:pPr>
      <w:r w:rsidRPr="00C664F3">
        <w:rPr>
          <w:sz w:val="24"/>
          <w:szCs w:val="24"/>
          <w:lang w:val="en-GB"/>
        </w:rPr>
        <w:t xml:space="preserve">125 mg: </w:t>
      </w:r>
      <w:r w:rsidR="002520A6" w:rsidRPr="00C664F3">
        <w:rPr>
          <w:sz w:val="24"/>
          <w:szCs w:val="24"/>
          <w:lang w:val="en-GB"/>
        </w:rPr>
        <w:tab/>
      </w:r>
      <w:r w:rsidRPr="00C664F3">
        <w:rPr>
          <w:sz w:val="24"/>
          <w:szCs w:val="24"/>
          <w:lang w:val="en-GB"/>
        </w:rPr>
        <w:t>71023</w:t>
      </w:r>
    </w:p>
    <w:p w14:paraId="3862F051" w14:textId="6D189B8B" w:rsidR="008B261A" w:rsidRPr="00C664F3" w:rsidRDefault="008B261A" w:rsidP="002520A6">
      <w:pPr>
        <w:tabs>
          <w:tab w:val="left" w:pos="851"/>
          <w:tab w:val="left" w:pos="1985"/>
        </w:tabs>
        <w:ind w:left="851"/>
        <w:rPr>
          <w:sz w:val="24"/>
          <w:szCs w:val="24"/>
          <w:lang w:val="en-GB"/>
        </w:rPr>
      </w:pPr>
      <w:r w:rsidRPr="00C664F3">
        <w:rPr>
          <w:sz w:val="24"/>
          <w:szCs w:val="24"/>
          <w:lang w:val="en-GB"/>
        </w:rPr>
        <w:t xml:space="preserve">250 mg: </w:t>
      </w:r>
      <w:r w:rsidR="002520A6" w:rsidRPr="00C664F3">
        <w:rPr>
          <w:sz w:val="24"/>
          <w:szCs w:val="24"/>
          <w:lang w:val="en-GB"/>
        </w:rPr>
        <w:tab/>
      </w:r>
      <w:r w:rsidRPr="00C664F3">
        <w:rPr>
          <w:sz w:val="24"/>
          <w:szCs w:val="24"/>
          <w:lang w:val="en-GB"/>
        </w:rPr>
        <w:t>71024</w:t>
      </w:r>
    </w:p>
    <w:p w14:paraId="6C620335" w14:textId="6414171C" w:rsidR="008B261A" w:rsidRPr="00C664F3" w:rsidRDefault="008B261A" w:rsidP="002520A6">
      <w:pPr>
        <w:tabs>
          <w:tab w:val="left" w:pos="851"/>
          <w:tab w:val="left" w:pos="1985"/>
        </w:tabs>
        <w:ind w:left="851"/>
        <w:rPr>
          <w:sz w:val="24"/>
          <w:szCs w:val="24"/>
          <w:lang w:val="en-GB"/>
        </w:rPr>
      </w:pPr>
      <w:r w:rsidRPr="00C664F3">
        <w:rPr>
          <w:sz w:val="24"/>
          <w:szCs w:val="24"/>
          <w:lang w:val="en-GB"/>
        </w:rPr>
        <w:t xml:space="preserve">500 mg: </w:t>
      </w:r>
      <w:r w:rsidR="002520A6" w:rsidRPr="00C664F3">
        <w:rPr>
          <w:sz w:val="24"/>
          <w:szCs w:val="24"/>
          <w:lang w:val="en-GB"/>
        </w:rPr>
        <w:tab/>
      </w:r>
      <w:r w:rsidRPr="00C664F3">
        <w:rPr>
          <w:sz w:val="24"/>
          <w:szCs w:val="24"/>
          <w:lang w:val="en-GB"/>
        </w:rPr>
        <w:t>71025</w:t>
      </w:r>
    </w:p>
    <w:p w14:paraId="1877DC5F" w14:textId="7274F3B8" w:rsidR="008B261A" w:rsidRPr="00C664F3" w:rsidRDefault="008B261A" w:rsidP="002520A6">
      <w:pPr>
        <w:tabs>
          <w:tab w:val="left" w:pos="851"/>
          <w:tab w:val="left" w:pos="1985"/>
        </w:tabs>
        <w:ind w:left="851"/>
        <w:rPr>
          <w:sz w:val="24"/>
          <w:szCs w:val="24"/>
          <w:lang w:val="en-GB"/>
        </w:rPr>
      </w:pPr>
      <w:r w:rsidRPr="00C664F3">
        <w:rPr>
          <w:sz w:val="24"/>
          <w:szCs w:val="24"/>
          <w:lang w:val="en-GB"/>
        </w:rPr>
        <w:t xml:space="preserve">1 g: </w:t>
      </w:r>
      <w:r w:rsidR="002520A6" w:rsidRPr="00C664F3">
        <w:rPr>
          <w:sz w:val="24"/>
          <w:szCs w:val="24"/>
          <w:lang w:val="en-GB"/>
        </w:rPr>
        <w:tab/>
      </w:r>
      <w:r w:rsidRPr="00C664F3">
        <w:rPr>
          <w:sz w:val="24"/>
          <w:szCs w:val="24"/>
          <w:lang w:val="en-GB"/>
        </w:rPr>
        <w:t>71026</w:t>
      </w:r>
    </w:p>
    <w:p w14:paraId="23BA9833" w14:textId="77777777" w:rsidR="007C5D2A" w:rsidRPr="00C664F3" w:rsidRDefault="007C5D2A" w:rsidP="00180A12">
      <w:pPr>
        <w:tabs>
          <w:tab w:val="left" w:pos="851"/>
        </w:tabs>
        <w:ind w:left="851"/>
        <w:jc w:val="both"/>
        <w:rPr>
          <w:sz w:val="24"/>
          <w:szCs w:val="24"/>
          <w:lang w:val="en-GB"/>
        </w:rPr>
      </w:pPr>
    </w:p>
    <w:p w14:paraId="486DA489" w14:textId="77777777" w:rsidR="007C5D2A" w:rsidRPr="00C664F3" w:rsidRDefault="007C5D2A" w:rsidP="007C5D2A">
      <w:pPr>
        <w:tabs>
          <w:tab w:val="left" w:pos="851"/>
        </w:tabs>
        <w:jc w:val="both"/>
        <w:rPr>
          <w:sz w:val="24"/>
          <w:szCs w:val="24"/>
          <w:lang w:val="en-GB"/>
        </w:rPr>
      </w:pPr>
      <w:r w:rsidRPr="00C664F3">
        <w:rPr>
          <w:b/>
          <w:sz w:val="24"/>
          <w:szCs w:val="24"/>
          <w:lang w:val="en-GB"/>
        </w:rPr>
        <w:t>9.</w:t>
      </w:r>
      <w:r w:rsidRPr="00C664F3">
        <w:rPr>
          <w:b/>
          <w:sz w:val="24"/>
          <w:szCs w:val="24"/>
          <w:lang w:val="en-GB"/>
        </w:rPr>
        <w:tab/>
        <w:t>DATE OF FIRST AUTHORISATION</w:t>
      </w:r>
    </w:p>
    <w:p w14:paraId="314DE49A" w14:textId="6EC54D5F" w:rsidR="007C5D2A" w:rsidRPr="00C664F3" w:rsidRDefault="008B261A" w:rsidP="00A85D26">
      <w:pPr>
        <w:ind w:left="851"/>
        <w:jc w:val="both"/>
        <w:rPr>
          <w:sz w:val="24"/>
          <w:szCs w:val="24"/>
          <w:lang w:val="en-GB"/>
        </w:rPr>
      </w:pPr>
      <w:r w:rsidRPr="00C664F3">
        <w:rPr>
          <w:sz w:val="24"/>
          <w:szCs w:val="24"/>
          <w:lang w:val="en-GB"/>
        </w:rPr>
        <w:t>15 January 2024</w:t>
      </w:r>
    </w:p>
    <w:p w14:paraId="1447B0B4" w14:textId="77777777" w:rsidR="007C5D2A" w:rsidRPr="00C664F3" w:rsidRDefault="007C5D2A" w:rsidP="003E0341">
      <w:pPr>
        <w:tabs>
          <w:tab w:val="left" w:pos="851"/>
        </w:tabs>
        <w:ind w:left="851"/>
        <w:jc w:val="both"/>
        <w:rPr>
          <w:sz w:val="24"/>
          <w:szCs w:val="24"/>
          <w:lang w:val="en-GB"/>
        </w:rPr>
      </w:pPr>
    </w:p>
    <w:p w14:paraId="1D52AB2E" w14:textId="77777777" w:rsidR="007C5D2A" w:rsidRPr="00C664F3" w:rsidRDefault="007C5D2A" w:rsidP="007C5D2A">
      <w:pPr>
        <w:tabs>
          <w:tab w:val="left" w:pos="851"/>
        </w:tabs>
        <w:jc w:val="both"/>
        <w:rPr>
          <w:sz w:val="24"/>
          <w:szCs w:val="24"/>
          <w:lang w:val="en-GB"/>
        </w:rPr>
      </w:pPr>
      <w:r w:rsidRPr="00C664F3">
        <w:rPr>
          <w:b/>
          <w:sz w:val="24"/>
          <w:szCs w:val="24"/>
          <w:lang w:val="en-GB"/>
        </w:rPr>
        <w:t>10.</w:t>
      </w:r>
      <w:r w:rsidRPr="00C664F3">
        <w:rPr>
          <w:b/>
          <w:sz w:val="24"/>
          <w:szCs w:val="24"/>
          <w:lang w:val="en-GB"/>
        </w:rPr>
        <w:tab/>
        <w:t>DATE OF REVISION OF THE TEXT</w:t>
      </w:r>
    </w:p>
    <w:p w14:paraId="077DC99F" w14:textId="156F76F4" w:rsidR="007C5D2A" w:rsidRPr="00C664F3" w:rsidRDefault="008B261A" w:rsidP="003E0341">
      <w:pPr>
        <w:tabs>
          <w:tab w:val="left" w:pos="851"/>
        </w:tabs>
        <w:ind w:left="851"/>
        <w:jc w:val="both"/>
        <w:rPr>
          <w:sz w:val="24"/>
          <w:szCs w:val="24"/>
          <w:lang w:val="en-GB"/>
        </w:rPr>
      </w:pPr>
      <w:r w:rsidRPr="00C664F3">
        <w:rPr>
          <w:sz w:val="24"/>
          <w:szCs w:val="24"/>
          <w:lang w:val="en-GB"/>
        </w:rPr>
        <w:t>-</w:t>
      </w:r>
    </w:p>
    <w:sectPr w:rsidR="007C5D2A" w:rsidRPr="00C664F3"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2BFDE9" w14:textId="77777777" w:rsidR="00302E3F" w:rsidRDefault="00302E3F">
      <w:r>
        <w:separator/>
      </w:r>
    </w:p>
  </w:endnote>
  <w:endnote w:type="continuationSeparator" w:id="0">
    <w:p w14:paraId="205D25CD" w14:textId="77777777" w:rsidR="00302E3F" w:rsidRDefault="00302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EED57" w14:textId="77777777" w:rsidR="00AC033C" w:rsidRDefault="00AC033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2F3AA" w14:textId="77777777" w:rsidR="00864538" w:rsidRDefault="00864538">
    <w:pPr>
      <w:pStyle w:val="Sidefod"/>
      <w:pBdr>
        <w:bottom w:val="single" w:sz="6" w:space="1" w:color="auto"/>
      </w:pBdr>
    </w:pPr>
  </w:p>
  <w:p w14:paraId="63DA6FD0" w14:textId="77777777" w:rsidR="00864538" w:rsidRDefault="00864538">
    <w:pPr>
      <w:pStyle w:val="Sidefod"/>
      <w:tabs>
        <w:tab w:val="clear" w:pos="4819"/>
        <w:tab w:val="left" w:pos="8647"/>
      </w:tabs>
      <w:rPr>
        <w:i/>
        <w:snapToGrid w:val="0"/>
        <w:sz w:val="18"/>
      </w:rPr>
    </w:pPr>
  </w:p>
  <w:p w14:paraId="4E005B19" w14:textId="3DCADC86" w:rsidR="00864538" w:rsidRDefault="00E36A80" w:rsidP="00AC033C">
    <w:pPr>
      <w:pStyle w:val="Sidefod"/>
      <w:tabs>
        <w:tab w:val="clear" w:pos="4819"/>
        <w:tab w:val="left" w:pos="8364"/>
      </w:tabs>
      <w:rPr>
        <w:i/>
        <w:sz w:val="18"/>
      </w:rPr>
    </w:pPr>
    <w:r>
      <w:rPr>
        <w:i/>
        <w:snapToGrid w:val="0"/>
        <w:sz w:val="18"/>
      </w:rPr>
      <w:fldChar w:fldCharType="begin"/>
    </w:r>
    <w:r w:rsidR="00864538">
      <w:rPr>
        <w:i/>
        <w:snapToGrid w:val="0"/>
        <w:sz w:val="18"/>
      </w:rPr>
      <w:instrText xml:space="preserve"> FILENAME </w:instrText>
    </w:r>
    <w:r>
      <w:rPr>
        <w:i/>
        <w:snapToGrid w:val="0"/>
        <w:sz w:val="18"/>
      </w:rPr>
      <w:fldChar w:fldCharType="separate"/>
    </w:r>
    <w:r w:rsidR="00C664F3">
      <w:rPr>
        <w:i/>
        <w:noProof/>
        <w:snapToGrid w:val="0"/>
        <w:sz w:val="18"/>
      </w:rPr>
      <w:t>Paracet, suppositorier 60 mg, 125 mg, 250 mg, 500 mg og 1000 mg.docx</w:t>
    </w:r>
    <w:r>
      <w:rPr>
        <w:i/>
        <w:snapToGrid w:val="0"/>
        <w:sz w:val="18"/>
      </w:rPr>
      <w:fldChar w:fldCharType="end"/>
    </w:r>
    <w:r w:rsidR="00864538">
      <w:rPr>
        <w:i/>
        <w:snapToGrid w:val="0"/>
        <w:sz w:val="18"/>
      </w:rPr>
      <w:tab/>
      <w:t xml:space="preserve">Page </w:t>
    </w:r>
    <w:r>
      <w:rPr>
        <w:i/>
        <w:snapToGrid w:val="0"/>
        <w:sz w:val="18"/>
      </w:rPr>
      <w:fldChar w:fldCharType="begin"/>
    </w:r>
    <w:r w:rsidR="00864538">
      <w:rPr>
        <w:i/>
        <w:snapToGrid w:val="0"/>
        <w:sz w:val="18"/>
      </w:rPr>
      <w:instrText xml:space="preserve"> PAGE </w:instrText>
    </w:r>
    <w:r>
      <w:rPr>
        <w:i/>
        <w:snapToGrid w:val="0"/>
        <w:sz w:val="18"/>
      </w:rPr>
      <w:fldChar w:fldCharType="separate"/>
    </w:r>
    <w:r w:rsidR="00AC033C">
      <w:rPr>
        <w:i/>
        <w:noProof/>
        <w:snapToGrid w:val="0"/>
        <w:sz w:val="18"/>
      </w:rPr>
      <w:t>1</w:t>
    </w:r>
    <w:r>
      <w:rPr>
        <w:i/>
        <w:snapToGrid w:val="0"/>
        <w:sz w:val="18"/>
      </w:rPr>
      <w:fldChar w:fldCharType="end"/>
    </w:r>
    <w:r w:rsidR="00864538">
      <w:rPr>
        <w:i/>
        <w:snapToGrid w:val="0"/>
        <w:sz w:val="18"/>
      </w:rPr>
      <w:t xml:space="preserve"> of </w:t>
    </w:r>
    <w:r>
      <w:rPr>
        <w:i/>
        <w:snapToGrid w:val="0"/>
        <w:sz w:val="18"/>
      </w:rPr>
      <w:fldChar w:fldCharType="begin"/>
    </w:r>
    <w:r w:rsidR="00864538">
      <w:rPr>
        <w:i/>
        <w:snapToGrid w:val="0"/>
        <w:sz w:val="18"/>
      </w:rPr>
      <w:instrText xml:space="preserve"> NUMPAGES </w:instrText>
    </w:r>
    <w:r>
      <w:rPr>
        <w:i/>
        <w:snapToGrid w:val="0"/>
        <w:sz w:val="18"/>
      </w:rPr>
      <w:fldChar w:fldCharType="separate"/>
    </w:r>
    <w:r w:rsidR="00AC033C">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F14F1" w14:textId="77777777" w:rsidR="00864538" w:rsidRDefault="00864538">
    <w:pPr>
      <w:pStyle w:val="Sidefod"/>
      <w:pBdr>
        <w:bottom w:val="single" w:sz="6" w:space="1" w:color="auto"/>
      </w:pBdr>
      <w:tabs>
        <w:tab w:val="clear" w:pos="4819"/>
        <w:tab w:val="left" w:pos="8789"/>
      </w:tabs>
      <w:rPr>
        <w:i/>
        <w:snapToGrid w:val="0"/>
        <w:sz w:val="18"/>
      </w:rPr>
    </w:pPr>
  </w:p>
  <w:p w14:paraId="2E4342E2" w14:textId="77777777" w:rsidR="00864538" w:rsidRDefault="00864538">
    <w:pPr>
      <w:pStyle w:val="Sidefod"/>
      <w:tabs>
        <w:tab w:val="clear" w:pos="4819"/>
        <w:tab w:val="left" w:pos="8789"/>
      </w:tabs>
      <w:rPr>
        <w:i/>
        <w:snapToGrid w:val="0"/>
        <w:sz w:val="18"/>
      </w:rPr>
    </w:pPr>
  </w:p>
  <w:p w14:paraId="6569B011" w14:textId="44B6A227" w:rsidR="00864538" w:rsidRDefault="00E36A80">
    <w:pPr>
      <w:pStyle w:val="Sidefod"/>
      <w:tabs>
        <w:tab w:val="clear" w:pos="4819"/>
        <w:tab w:val="left" w:pos="8647"/>
      </w:tabs>
      <w:rPr>
        <w:i/>
        <w:sz w:val="18"/>
      </w:rPr>
    </w:pPr>
    <w:r>
      <w:rPr>
        <w:i/>
        <w:snapToGrid w:val="0"/>
        <w:sz w:val="18"/>
      </w:rPr>
      <w:fldChar w:fldCharType="begin"/>
    </w:r>
    <w:r w:rsidR="00864538">
      <w:rPr>
        <w:i/>
        <w:snapToGrid w:val="0"/>
        <w:sz w:val="18"/>
      </w:rPr>
      <w:instrText xml:space="preserve"> FILENAME </w:instrText>
    </w:r>
    <w:r>
      <w:rPr>
        <w:i/>
        <w:snapToGrid w:val="0"/>
        <w:sz w:val="18"/>
      </w:rPr>
      <w:fldChar w:fldCharType="separate"/>
    </w:r>
    <w:r w:rsidR="00C664F3">
      <w:rPr>
        <w:i/>
        <w:noProof/>
        <w:snapToGrid w:val="0"/>
        <w:sz w:val="18"/>
      </w:rPr>
      <w:t>Paracet, suppositorier 60 mg, 125 mg, 250 mg, 500 mg og 1000 mg.docx</w:t>
    </w:r>
    <w:r>
      <w:rPr>
        <w:i/>
        <w:snapToGrid w:val="0"/>
        <w:sz w:val="18"/>
      </w:rPr>
      <w:fldChar w:fldCharType="end"/>
    </w:r>
    <w:r w:rsidR="00864538">
      <w:rPr>
        <w:i/>
        <w:snapToGrid w:val="0"/>
        <w:sz w:val="18"/>
      </w:rPr>
      <w:tab/>
      <w:t xml:space="preserve">Page </w:t>
    </w:r>
    <w:r>
      <w:rPr>
        <w:i/>
        <w:snapToGrid w:val="0"/>
        <w:sz w:val="18"/>
      </w:rPr>
      <w:fldChar w:fldCharType="begin"/>
    </w:r>
    <w:r w:rsidR="00864538">
      <w:rPr>
        <w:i/>
        <w:snapToGrid w:val="0"/>
        <w:sz w:val="18"/>
      </w:rPr>
      <w:instrText xml:space="preserve"> PAGE </w:instrText>
    </w:r>
    <w:r>
      <w:rPr>
        <w:i/>
        <w:snapToGrid w:val="0"/>
        <w:sz w:val="18"/>
      </w:rPr>
      <w:fldChar w:fldCharType="separate"/>
    </w:r>
    <w:r w:rsidR="00D97B77">
      <w:rPr>
        <w:i/>
        <w:noProof/>
        <w:snapToGrid w:val="0"/>
        <w:sz w:val="18"/>
      </w:rPr>
      <w:t>1</w:t>
    </w:r>
    <w:r>
      <w:rPr>
        <w:i/>
        <w:snapToGrid w:val="0"/>
        <w:sz w:val="18"/>
      </w:rPr>
      <w:fldChar w:fldCharType="end"/>
    </w:r>
    <w:r w:rsidR="00864538">
      <w:rPr>
        <w:i/>
        <w:snapToGrid w:val="0"/>
        <w:sz w:val="18"/>
      </w:rPr>
      <w:t xml:space="preserve"> of </w:t>
    </w:r>
    <w:r>
      <w:rPr>
        <w:i/>
        <w:snapToGrid w:val="0"/>
        <w:sz w:val="18"/>
      </w:rPr>
      <w:fldChar w:fldCharType="begin"/>
    </w:r>
    <w:r w:rsidR="00864538">
      <w:rPr>
        <w:i/>
        <w:snapToGrid w:val="0"/>
        <w:sz w:val="18"/>
      </w:rPr>
      <w:instrText xml:space="preserve"> NUMPAGES </w:instrText>
    </w:r>
    <w:r>
      <w:rPr>
        <w:i/>
        <w:snapToGrid w:val="0"/>
        <w:sz w:val="18"/>
      </w:rPr>
      <w:fldChar w:fldCharType="separate"/>
    </w:r>
    <w:r w:rsidR="00E1290F">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A08438" w14:textId="77777777" w:rsidR="00302E3F" w:rsidRDefault="00302E3F">
      <w:r>
        <w:separator/>
      </w:r>
    </w:p>
  </w:footnote>
  <w:footnote w:type="continuationSeparator" w:id="0">
    <w:p w14:paraId="62726722" w14:textId="77777777" w:rsidR="00302E3F" w:rsidRDefault="00302E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2C57E" w14:textId="77777777" w:rsidR="00AC033C" w:rsidRDefault="00AC033C">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D5832" w14:textId="77777777" w:rsidR="00864538" w:rsidRDefault="000D3C9D">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DE4CF" w14:textId="77777777" w:rsidR="00AC033C" w:rsidRDefault="00AC033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08085A9F"/>
    <w:multiLevelType w:val="hybridMultilevel"/>
    <w:tmpl w:val="AEC0A2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4B605CB"/>
    <w:multiLevelType w:val="hybridMultilevel"/>
    <w:tmpl w:val="FAA645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757668D"/>
    <w:multiLevelType w:val="hybridMultilevel"/>
    <w:tmpl w:val="ED5470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6" w15:restartNumberingAfterBreak="0">
    <w:nsid w:val="2CC25300"/>
    <w:multiLevelType w:val="hybridMultilevel"/>
    <w:tmpl w:val="BA5271D8"/>
    <w:lvl w:ilvl="0" w:tplc="FFFFFFFF">
      <w:start w:val="1"/>
      <w:numFmt w:val="bullet"/>
      <w:lvlText w:val="-"/>
      <w:lvlJc w:val="left"/>
      <w:pPr>
        <w:ind w:left="1571" w:hanging="360"/>
      </w:p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7"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8" w15:restartNumberingAfterBreak="0">
    <w:nsid w:val="7863463C"/>
    <w:multiLevelType w:val="hybridMultilevel"/>
    <w:tmpl w:val="FC224698"/>
    <w:lvl w:ilvl="0" w:tplc="FFFFFFFF">
      <w:start w:val="1"/>
      <w:numFmt w:val="bullet"/>
      <w:lvlText w:val="-"/>
      <w:lvlJc w:val="left"/>
      <w:pPr>
        <w:ind w:left="1440" w:hanging="360"/>
      </w:p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7"/>
  </w:num>
  <w:num w:numId="4">
    <w:abstractNumId w:val="1"/>
  </w:num>
  <w:num w:numId="5">
    <w:abstractNumId w:val="5"/>
  </w:num>
  <w:num w:numId="6">
    <w:abstractNumId w:val="8"/>
  </w:num>
  <w:num w:numId="7">
    <w:abstractNumId w:val="2"/>
  </w:num>
  <w:num w:numId="8">
    <w:abstractNumId w:val="4"/>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E3F"/>
    <w:rsid w:val="00056601"/>
    <w:rsid w:val="000C3846"/>
    <w:rsid w:val="000C6218"/>
    <w:rsid w:val="000D3C9D"/>
    <w:rsid w:val="000F0D47"/>
    <w:rsid w:val="001242DE"/>
    <w:rsid w:val="00180A12"/>
    <w:rsid w:val="00214331"/>
    <w:rsid w:val="00214CF4"/>
    <w:rsid w:val="002520A6"/>
    <w:rsid w:val="00281F03"/>
    <w:rsid w:val="0029458A"/>
    <w:rsid w:val="002A1587"/>
    <w:rsid w:val="002B27C5"/>
    <w:rsid w:val="002F6D9C"/>
    <w:rsid w:val="00302E3F"/>
    <w:rsid w:val="00303008"/>
    <w:rsid w:val="00373B55"/>
    <w:rsid w:val="003D727E"/>
    <w:rsid w:val="003E0341"/>
    <w:rsid w:val="003E3402"/>
    <w:rsid w:val="003F4736"/>
    <w:rsid w:val="00401B49"/>
    <w:rsid w:val="00420274"/>
    <w:rsid w:val="0042292D"/>
    <w:rsid w:val="00437D5B"/>
    <w:rsid w:val="00440254"/>
    <w:rsid w:val="00444AFD"/>
    <w:rsid w:val="004860D3"/>
    <w:rsid w:val="004A3BF4"/>
    <w:rsid w:val="004A5DB3"/>
    <w:rsid w:val="004F4FC8"/>
    <w:rsid w:val="005152D9"/>
    <w:rsid w:val="00533AD4"/>
    <w:rsid w:val="00534849"/>
    <w:rsid w:val="00560102"/>
    <w:rsid w:val="00562EA1"/>
    <w:rsid w:val="005A498B"/>
    <w:rsid w:val="00617BB8"/>
    <w:rsid w:val="006207FF"/>
    <w:rsid w:val="00680052"/>
    <w:rsid w:val="00683267"/>
    <w:rsid w:val="006844E9"/>
    <w:rsid w:val="006B3847"/>
    <w:rsid w:val="0075453D"/>
    <w:rsid w:val="007A4CC6"/>
    <w:rsid w:val="007C3623"/>
    <w:rsid w:val="007C5D2A"/>
    <w:rsid w:val="007D0E5D"/>
    <w:rsid w:val="007F1E00"/>
    <w:rsid w:val="00827444"/>
    <w:rsid w:val="008400E3"/>
    <w:rsid w:val="00864538"/>
    <w:rsid w:val="00873B4F"/>
    <w:rsid w:val="008A24F6"/>
    <w:rsid w:val="008B261A"/>
    <w:rsid w:val="008E51AE"/>
    <w:rsid w:val="008F2F8C"/>
    <w:rsid w:val="009729F6"/>
    <w:rsid w:val="009925C9"/>
    <w:rsid w:val="00A179D0"/>
    <w:rsid w:val="00A358A3"/>
    <w:rsid w:val="00A46747"/>
    <w:rsid w:val="00A80446"/>
    <w:rsid w:val="00A85D26"/>
    <w:rsid w:val="00A9153A"/>
    <w:rsid w:val="00AB4376"/>
    <w:rsid w:val="00AC033C"/>
    <w:rsid w:val="00AD2E36"/>
    <w:rsid w:val="00B45DC5"/>
    <w:rsid w:val="00BD3490"/>
    <w:rsid w:val="00C26226"/>
    <w:rsid w:val="00C3571D"/>
    <w:rsid w:val="00C54F0B"/>
    <w:rsid w:val="00C664F3"/>
    <w:rsid w:val="00C82621"/>
    <w:rsid w:val="00CB1423"/>
    <w:rsid w:val="00D02508"/>
    <w:rsid w:val="00D778CC"/>
    <w:rsid w:val="00D82FE9"/>
    <w:rsid w:val="00D97B77"/>
    <w:rsid w:val="00DB6A85"/>
    <w:rsid w:val="00E06B32"/>
    <w:rsid w:val="00E11F1E"/>
    <w:rsid w:val="00E1290F"/>
    <w:rsid w:val="00E36A80"/>
    <w:rsid w:val="00EB21D7"/>
    <w:rsid w:val="00EE3EB7"/>
    <w:rsid w:val="00F14E63"/>
    <w:rsid w:val="00F57E16"/>
    <w:rsid w:val="00F60336"/>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21833B"/>
  <w15:chartTrackingRefBased/>
  <w15:docId w15:val="{0EA80B7D-7784-49E9-BE81-8976B386E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paragraph" w:customStyle="1" w:styleId="innh6">
    <w:name w:val="innh 6"/>
    <w:basedOn w:val="Normal"/>
    <w:rsid w:val="008B261A"/>
    <w:pPr>
      <w:widowControl w:val="0"/>
      <w:tabs>
        <w:tab w:val="right" w:pos="9360"/>
      </w:tabs>
      <w:suppressAutoHyphens/>
      <w:snapToGrid w:val="0"/>
      <w:ind w:left="720" w:hanging="720"/>
    </w:pPr>
    <w:rPr>
      <w:rFonts w:ascii="Courier" w:hAnsi="Courier"/>
      <w:sz w:val="24"/>
      <w:lang w:val="en-GB" w:eastAsia="nb-NO"/>
    </w:rPr>
  </w:style>
  <w:style w:type="paragraph" w:styleId="Listeafsnit">
    <w:name w:val="List Paragraph"/>
    <w:basedOn w:val="Normal"/>
    <w:uiPriority w:val="34"/>
    <w:qFormat/>
    <w:rsid w:val="008B261A"/>
    <w:pPr>
      <w:snapToGrid w:val="0"/>
      <w:ind w:left="720"/>
      <w:contextualSpacing/>
    </w:pPr>
    <w:rPr>
      <w:rFonts w:ascii="Courier" w:hAnsi="Courier"/>
      <w:sz w:val="24"/>
      <w:lang w:val="en-GB" w:eastAsia="nb-NO"/>
    </w:rPr>
  </w:style>
  <w:style w:type="paragraph" w:customStyle="1" w:styleId="TableCellText10pt">
    <w:name w:val="Table Cell Text 10pt"/>
    <w:basedOn w:val="Normal"/>
    <w:rsid w:val="008B261A"/>
    <w:pPr>
      <w:keepNext/>
      <w:spacing w:before="40" w:after="40"/>
    </w:pPr>
    <w:rPr>
      <w:kern w:val="24"/>
      <w:sz w:val="2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852008">
      <w:bodyDiv w:val="1"/>
      <w:marLeft w:val="0"/>
      <w:marRight w:val="0"/>
      <w:marTop w:val="0"/>
      <w:marBottom w:val="0"/>
      <w:divBdr>
        <w:top w:val="none" w:sz="0" w:space="0" w:color="auto"/>
        <w:left w:val="none" w:sz="0" w:space="0" w:color="auto"/>
        <w:bottom w:val="none" w:sz="0" w:space="0" w:color="auto"/>
        <w:right w:val="none" w:sz="0" w:space="0" w:color="auto"/>
      </w:divBdr>
    </w:div>
    <w:div w:id="242567803">
      <w:bodyDiv w:val="1"/>
      <w:marLeft w:val="0"/>
      <w:marRight w:val="0"/>
      <w:marTop w:val="0"/>
      <w:marBottom w:val="0"/>
      <w:divBdr>
        <w:top w:val="none" w:sz="0" w:space="0" w:color="auto"/>
        <w:left w:val="none" w:sz="0" w:space="0" w:color="auto"/>
        <w:bottom w:val="none" w:sz="0" w:space="0" w:color="auto"/>
        <w:right w:val="none" w:sz="0" w:space="0" w:color="auto"/>
      </w:divBdr>
    </w:div>
    <w:div w:id="247933777">
      <w:bodyDiv w:val="1"/>
      <w:marLeft w:val="0"/>
      <w:marRight w:val="0"/>
      <w:marTop w:val="0"/>
      <w:marBottom w:val="0"/>
      <w:divBdr>
        <w:top w:val="none" w:sz="0" w:space="0" w:color="auto"/>
        <w:left w:val="none" w:sz="0" w:space="0" w:color="auto"/>
        <w:bottom w:val="none" w:sz="0" w:space="0" w:color="auto"/>
        <w:right w:val="none" w:sz="0" w:space="0" w:color="auto"/>
      </w:divBdr>
    </w:div>
    <w:div w:id="393043379">
      <w:bodyDiv w:val="1"/>
      <w:marLeft w:val="0"/>
      <w:marRight w:val="0"/>
      <w:marTop w:val="0"/>
      <w:marBottom w:val="0"/>
      <w:divBdr>
        <w:top w:val="none" w:sz="0" w:space="0" w:color="auto"/>
        <w:left w:val="none" w:sz="0" w:space="0" w:color="auto"/>
        <w:bottom w:val="none" w:sz="0" w:space="0" w:color="auto"/>
        <w:right w:val="none" w:sz="0" w:space="0" w:color="auto"/>
      </w:divBdr>
    </w:div>
    <w:div w:id="474570182">
      <w:bodyDiv w:val="1"/>
      <w:marLeft w:val="0"/>
      <w:marRight w:val="0"/>
      <w:marTop w:val="0"/>
      <w:marBottom w:val="0"/>
      <w:divBdr>
        <w:top w:val="none" w:sz="0" w:space="0" w:color="auto"/>
        <w:left w:val="none" w:sz="0" w:space="0" w:color="auto"/>
        <w:bottom w:val="none" w:sz="0" w:space="0" w:color="auto"/>
        <w:right w:val="none" w:sz="0" w:space="0" w:color="auto"/>
      </w:divBdr>
    </w:div>
    <w:div w:id="550464010">
      <w:bodyDiv w:val="1"/>
      <w:marLeft w:val="0"/>
      <w:marRight w:val="0"/>
      <w:marTop w:val="0"/>
      <w:marBottom w:val="0"/>
      <w:divBdr>
        <w:top w:val="none" w:sz="0" w:space="0" w:color="auto"/>
        <w:left w:val="none" w:sz="0" w:space="0" w:color="auto"/>
        <w:bottom w:val="none" w:sz="0" w:space="0" w:color="auto"/>
        <w:right w:val="none" w:sz="0" w:space="0" w:color="auto"/>
      </w:divBdr>
    </w:div>
    <w:div w:id="640580808">
      <w:bodyDiv w:val="1"/>
      <w:marLeft w:val="0"/>
      <w:marRight w:val="0"/>
      <w:marTop w:val="0"/>
      <w:marBottom w:val="0"/>
      <w:divBdr>
        <w:top w:val="none" w:sz="0" w:space="0" w:color="auto"/>
        <w:left w:val="none" w:sz="0" w:space="0" w:color="auto"/>
        <w:bottom w:val="none" w:sz="0" w:space="0" w:color="auto"/>
        <w:right w:val="none" w:sz="0" w:space="0" w:color="auto"/>
      </w:divBdr>
    </w:div>
    <w:div w:id="1051492221">
      <w:bodyDiv w:val="1"/>
      <w:marLeft w:val="0"/>
      <w:marRight w:val="0"/>
      <w:marTop w:val="0"/>
      <w:marBottom w:val="0"/>
      <w:divBdr>
        <w:top w:val="none" w:sz="0" w:space="0" w:color="auto"/>
        <w:left w:val="none" w:sz="0" w:space="0" w:color="auto"/>
        <w:bottom w:val="none" w:sz="0" w:space="0" w:color="auto"/>
        <w:right w:val="none" w:sz="0" w:space="0" w:color="auto"/>
      </w:divBdr>
    </w:div>
    <w:div w:id="1169950107">
      <w:bodyDiv w:val="1"/>
      <w:marLeft w:val="0"/>
      <w:marRight w:val="0"/>
      <w:marTop w:val="0"/>
      <w:marBottom w:val="0"/>
      <w:divBdr>
        <w:top w:val="none" w:sz="0" w:space="0" w:color="auto"/>
        <w:left w:val="none" w:sz="0" w:space="0" w:color="auto"/>
        <w:bottom w:val="none" w:sz="0" w:space="0" w:color="auto"/>
        <w:right w:val="none" w:sz="0" w:space="0" w:color="auto"/>
      </w:divBdr>
    </w:div>
    <w:div w:id="1172528007">
      <w:bodyDiv w:val="1"/>
      <w:marLeft w:val="0"/>
      <w:marRight w:val="0"/>
      <w:marTop w:val="0"/>
      <w:marBottom w:val="0"/>
      <w:divBdr>
        <w:top w:val="none" w:sz="0" w:space="0" w:color="auto"/>
        <w:left w:val="none" w:sz="0" w:space="0" w:color="auto"/>
        <w:bottom w:val="none" w:sz="0" w:space="0" w:color="auto"/>
        <w:right w:val="none" w:sz="0" w:space="0" w:color="auto"/>
      </w:divBdr>
    </w:div>
    <w:div w:id="1284118070">
      <w:bodyDiv w:val="1"/>
      <w:marLeft w:val="0"/>
      <w:marRight w:val="0"/>
      <w:marTop w:val="0"/>
      <w:marBottom w:val="0"/>
      <w:divBdr>
        <w:top w:val="none" w:sz="0" w:space="0" w:color="auto"/>
        <w:left w:val="none" w:sz="0" w:space="0" w:color="auto"/>
        <w:bottom w:val="none" w:sz="0" w:space="0" w:color="auto"/>
        <w:right w:val="none" w:sz="0" w:space="0" w:color="auto"/>
      </w:divBdr>
    </w:div>
    <w:div w:id="1362853240">
      <w:bodyDiv w:val="1"/>
      <w:marLeft w:val="0"/>
      <w:marRight w:val="0"/>
      <w:marTop w:val="0"/>
      <w:marBottom w:val="0"/>
      <w:divBdr>
        <w:top w:val="none" w:sz="0" w:space="0" w:color="auto"/>
        <w:left w:val="none" w:sz="0" w:space="0" w:color="auto"/>
        <w:bottom w:val="none" w:sz="0" w:space="0" w:color="auto"/>
        <w:right w:val="none" w:sz="0" w:space="0" w:color="auto"/>
      </w:divBdr>
    </w:div>
    <w:div w:id="1411535624">
      <w:bodyDiv w:val="1"/>
      <w:marLeft w:val="0"/>
      <w:marRight w:val="0"/>
      <w:marTop w:val="0"/>
      <w:marBottom w:val="0"/>
      <w:divBdr>
        <w:top w:val="none" w:sz="0" w:space="0" w:color="auto"/>
        <w:left w:val="none" w:sz="0" w:space="0" w:color="auto"/>
        <w:bottom w:val="none" w:sz="0" w:space="0" w:color="auto"/>
        <w:right w:val="none" w:sz="0" w:space="0" w:color="auto"/>
      </w:divBdr>
    </w:div>
    <w:div w:id="1412236544">
      <w:bodyDiv w:val="1"/>
      <w:marLeft w:val="0"/>
      <w:marRight w:val="0"/>
      <w:marTop w:val="0"/>
      <w:marBottom w:val="0"/>
      <w:divBdr>
        <w:top w:val="none" w:sz="0" w:space="0" w:color="auto"/>
        <w:left w:val="none" w:sz="0" w:space="0" w:color="auto"/>
        <w:bottom w:val="none" w:sz="0" w:space="0" w:color="auto"/>
        <w:right w:val="none" w:sz="0" w:space="0" w:color="auto"/>
      </w:divBdr>
    </w:div>
    <w:div w:id="1480882412">
      <w:bodyDiv w:val="1"/>
      <w:marLeft w:val="0"/>
      <w:marRight w:val="0"/>
      <w:marTop w:val="0"/>
      <w:marBottom w:val="0"/>
      <w:divBdr>
        <w:top w:val="none" w:sz="0" w:space="0" w:color="auto"/>
        <w:left w:val="none" w:sz="0" w:space="0" w:color="auto"/>
        <w:bottom w:val="none" w:sz="0" w:space="0" w:color="auto"/>
        <w:right w:val="none" w:sz="0" w:space="0" w:color="auto"/>
      </w:divBdr>
    </w:div>
    <w:div w:id="1509639140">
      <w:bodyDiv w:val="1"/>
      <w:marLeft w:val="0"/>
      <w:marRight w:val="0"/>
      <w:marTop w:val="0"/>
      <w:marBottom w:val="0"/>
      <w:divBdr>
        <w:top w:val="none" w:sz="0" w:space="0" w:color="auto"/>
        <w:left w:val="none" w:sz="0" w:space="0" w:color="auto"/>
        <w:bottom w:val="none" w:sz="0" w:space="0" w:color="auto"/>
        <w:right w:val="none" w:sz="0" w:space="0" w:color="auto"/>
      </w:divBdr>
    </w:div>
    <w:div w:id="1612275100">
      <w:bodyDiv w:val="1"/>
      <w:marLeft w:val="0"/>
      <w:marRight w:val="0"/>
      <w:marTop w:val="0"/>
      <w:marBottom w:val="0"/>
      <w:divBdr>
        <w:top w:val="none" w:sz="0" w:space="0" w:color="auto"/>
        <w:left w:val="none" w:sz="0" w:space="0" w:color="auto"/>
        <w:bottom w:val="none" w:sz="0" w:space="0" w:color="auto"/>
        <w:right w:val="none" w:sz="0" w:space="0" w:color="auto"/>
      </w:divBdr>
    </w:div>
    <w:div w:id="1665039825">
      <w:bodyDiv w:val="1"/>
      <w:marLeft w:val="0"/>
      <w:marRight w:val="0"/>
      <w:marTop w:val="0"/>
      <w:marBottom w:val="0"/>
      <w:divBdr>
        <w:top w:val="none" w:sz="0" w:space="0" w:color="auto"/>
        <w:left w:val="none" w:sz="0" w:space="0" w:color="auto"/>
        <w:bottom w:val="none" w:sz="0" w:space="0" w:color="auto"/>
        <w:right w:val="none" w:sz="0" w:space="0" w:color="auto"/>
      </w:divBdr>
    </w:div>
    <w:div w:id="1667781048">
      <w:bodyDiv w:val="1"/>
      <w:marLeft w:val="0"/>
      <w:marRight w:val="0"/>
      <w:marTop w:val="0"/>
      <w:marBottom w:val="0"/>
      <w:divBdr>
        <w:top w:val="none" w:sz="0" w:space="0" w:color="auto"/>
        <w:left w:val="none" w:sz="0" w:space="0" w:color="auto"/>
        <w:bottom w:val="none" w:sz="0" w:space="0" w:color="auto"/>
        <w:right w:val="none" w:sz="0" w:space="0" w:color="auto"/>
      </w:divBdr>
    </w:div>
    <w:div w:id="1737043848">
      <w:bodyDiv w:val="1"/>
      <w:marLeft w:val="0"/>
      <w:marRight w:val="0"/>
      <w:marTop w:val="0"/>
      <w:marBottom w:val="0"/>
      <w:divBdr>
        <w:top w:val="none" w:sz="0" w:space="0" w:color="auto"/>
        <w:left w:val="none" w:sz="0" w:space="0" w:color="auto"/>
        <w:bottom w:val="none" w:sz="0" w:space="0" w:color="auto"/>
        <w:right w:val="none" w:sz="0" w:space="0" w:color="auto"/>
      </w:divBdr>
    </w:div>
    <w:div w:id="1817918242">
      <w:bodyDiv w:val="1"/>
      <w:marLeft w:val="0"/>
      <w:marRight w:val="0"/>
      <w:marTop w:val="0"/>
      <w:marBottom w:val="0"/>
      <w:divBdr>
        <w:top w:val="none" w:sz="0" w:space="0" w:color="auto"/>
        <w:left w:val="none" w:sz="0" w:space="0" w:color="auto"/>
        <w:bottom w:val="none" w:sz="0" w:space="0" w:color="auto"/>
        <w:right w:val="none" w:sz="0" w:space="0" w:color="auto"/>
      </w:divBdr>
    </w:div>
    <w:div w:id="204786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engelsk.dotx</Template>
  <TotalTime>34</TotalTime>
  <Pages>8</Pages>
  <Words>2320</Words>
  <Characters>13337</Characters>
  <Application>Microsoft Office Word</Application>
  <DocSecurity>0</DocSecurity>
  <Lines>111</Lines>
  <Paragraphs>31</Paragraphs>
  <ScaleCrop>false</ScaleCrop>
  <HeadingPairs>
    <vt:vector size="2" baseType="variant">
      <vt:variant>
        <vt:lpstr>Titel</vt:lpstr>
      </vt:variant>
      <vt:variant>
        <vt:i4>1</vt:i4>
      </vt:variant>
    </vt:vector>
  </HeadingPairs>
  <TitlesOfParts>
    <vt:vector size="1" baseType="lpstr">
      <vt:lpstr>SPC Hum skabelon - engelsk</vt:lpstr>
    </vt:vector>
  </TitlesOfParts>
  <Company/>
  <LinksUpToDate>false</LinksUpToDate>
  <CharactersWithSpaces>15626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2024011878, MT</dc:description>
  <cp:lastModifiedBy>Gitte Jørgensen</cp:lastModifiedBy>
  <cp:revision>10</cp:revision>
  <cp:lastPrinted>2006-02-24T09:31:00Z</cp:lastPrinted>
  <dcterms:created xsi:type="dcterms:W3CDTF">2024-01-15T12:44:00Z</dcterms:created>
  <dcterms:modified xsi:type="dcterms:W3CDTF">2024-01-15T14:35:00Z</dcterms:modified>
</cp:coreProperties>
</file>