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25D5" w14:textId="77777777" w:rsidR="00BE29D4" w:rsidRPr="00C84483" w:rsidRDefault="00BE29D4" w:rsidP="00BE29D4">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A9C5903" wp14:editId="0B0FC5C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7A185BE7" w14:textId="77777777" w:rsidR="00BE29D4" w:rsidRPr="00C84483" w:rsidRDefault="00BE29D4" w:rsidP="00BE29D4">
      <w:pPr>
        <w:pStyle w:val="Title"/>
        <w:tabs>
          <w:tab w:val="right" w:pos="9356"/>
        </w:tabs>
        <w:jc w:val="left"/>
        <w:rPr>
          <w:b w:val="0"/>
          <w:szCs w:val="24"/>
          <w:lang w:eastAsia="en-US"/>
        </w:rPr>
      </w:pPr>
      <w:r w:rsidRPr="00C84483">
        <w:rPr>
          <w:b w:val="0"/>
          <w:szCs w:val="24"/>
          <w:lang w:eastAsia="en-US"/>
        </w:rPr>
        <w:tab/>
      </w:r>
      <w:r w:rsidR="00051A81">
        <w:rPr>
          <w:szCs w:val="24"/>
        </w:rPr>
        <w:t>7. februar 2020</w:t>
      </w:r>
    </w:p>
    <w:p w14:paraId="138AB2F8" w14:textId="77777777" w:rsidR="00BE29D4" w:rsidRPr="00C84483" w:rsidRDefault="00BE29D4" w:rsidP="00BE29D4">
      <w:pPr>
        <w:pStyle w:val="Title"/>
        <w:tabs>
          <w:tab w:val="left" w:pos="8222"/>
        </w:tabs>
        <w:jc w:val="left"/>
        <w:rPr>
          <w:b w:val="0"/>
          <w:szCs w:val="24"/>
        </w:rPr>
      </w:pPr>
    </w:p>
    <w:p w14:paraId="4B0085EC" w14:textId="77777777" w:rsidR="00BE29D4" w:rsidRPr="00C84483" w:rsidRDefault="00BE29D4" w:rsidP="00BE29D4">
      <w:pPr>
        <w:pStyle w:val="Title"/>
        <w:jc w:val="left"/>
        <w:rPr>
          <w:b w:val="0"/>
          <w:szCs w:val="24"/>
        </w:rPr>
      </w:pPr>
    </w:p>
    <w:p w14:paraId="6E1E808E" w14:textId="77777777" w:rsidR="00BE29D4" w:rsidRPr="00C84483" w:rsidRDefault="00BE29D4" w:rsidP="00BE29D4">
      <w:pPr>
        <w:pStyle w:val="Title"/>
        <w:jc w:val="left"/>
        <w:rPr>
          <w:b w:val="0"/>
          <w:szCs w:val="24"/>
        </w:rPr>
      </w:pPr>
    </w:p>
    <w:p w14:paraId="2336AEEA" w14:textId="77777777" w:rsidR="00BE29D4" w:rsidRPr="00C84483" w:rsidRDefault="00BE29D4" w:rsidP="00BE29D4">
      <w:pPr>
        <w:jc w:val="center"/>
        <w:rPr>
          <w:b/>
          <w:sz w:val="24"/>
          <w:szCs w:val="24"/>
        </w:rPr>
      </w:pPr>
      <w:r w:rsidRPr="00C84483">
        <w:rPr>
          <w:b/>
          <w:sz w:val="24"/>
          <w:szCs w:val="24"/>
        </w:rPr>
        <w:t>PRODUKTRESUMÉ</w:t>
      </w:r>
    </w:p>
    <w:p w14:paraId="03E10D12" w14:textId="77777777" w:rsidR="00BE29D4" w:rsidRPr="00C84483" w:rsidRDefault="00BE29D4" w:rsidP="00BE29D4">
      <w:pPr>
        <w:rPr>
          <w:b/>
          <w:sz w:val="24"/>
          <w:szCs w:val="24"/>
        </w:rPr>
      </w:pPr>
    </w:p>
    <w:p w14:paraId="6BBF18A5" w14:textId="77777777" w:rsidR="00BE29D4" w:rsidRDefault="00BE29D4" w:rsidP="00BE29D4">
      <w:pPr>
        <w:jc w:val="center"/>
        <w:rPr>
          <w:b/>
          <w:sz w:val="24"/>
          <w:szCs w:val="24"/>
        </w:rPr>
      </w:pPr>
      <w:r w:rsidRPr="00C84483">
        <w:rPr>
          <w:b/>
          <w:sz w:val="24"/>
          <w:szCs w:val="24"/>
        </w:rPr>
        <w:t>for</w:t>
      </w:r>
    </w:p>
    <w:p w14:paraId="1D21591F" w14:textId="77777777" w:rsidR="00BE29D4" w:rsidRPr="00C84483" w:rsidRDefault="00BE29D4" w:rsidP="00BE29D4">
      <w:pPr>
        <w:jc w:val="center"/>
        <w:rPr>
          <w:b/>
          <w:sz w:val="24"/>
          <w:szCs w:val="24"/>
        </w:rPr>
      </w:pPr>
    </w:p>
    <w:p w14:paraId="2364B263" w14:textId="77777777" w:rsidR="00BE29D4" w:rsidRPr="00C84483" w:rsidRDefault="00BE29D4" w:rsidP="00BE29D4">
      <w:pPr>
        <w:jc w:val="center"/>
        <w:rPr>
          <w:b/>
          <w:sz w:val="24"/>
          <w:szCs w:val="24"/>
        </w:rPr>
      </w:pPr>
      <w:r>
        <w:rPr>
          <w:b/>
          <w:sz w:val="24"/>
          <w:szCs w:val="24"/>
        </w:rPr>
        <w:t>Paracetamol "Accord", tabletter</w:t>
      </w:r>
    </w:p>
    <w:p w14:paraId="691C3550" w14:textId="77777777" w:rsidR="00BE29D4" w:rsidRPr="00C84483" w:rsidRDefault="00BE29D4" w:rsidP="00BE29D4">
      <w:pPr>
        <w:jc w:val="both"/>
        <w:rPr>
          <w:sz w:val="24"/>
          <w:szCs w:val="24"/>
        </w:rPr>
      </w:pPr>
    </w:p>
    <w:p w14:paraId="7A36247C" w14:textId="77777777" w:rsidR="00BE29D4" w:rsidRPr="00635FAA" w:rsidRDefault="00BE29D4" w:rsidP="00BE29D4">
      <w:pPr>
        <w:ind w:left="851" w:hanging="851"/>
        <w:jc w:val="both"/>
        <w:rPr>
          <w:sz w:val="24"/>
          <w:szCs w:val="24"/>
        </w:rPr>
      </w:pPr>
    </w:p>
    <w:p w14:paraId="0A22B4DE" w14:textId="77777777" w:rsidR="00BE29D4" w:rsidRPr="00635FAA" w:rsidRDefault="00BE29D4" w:rsidP="00BE29D4">
      <w:pPr>
        <w:tabs>
          <w:tab w:val="left" w:pos="851"/>
        </w:tabs>
        <w:ind w:left="851" w:hanging="851"/>
        <w:rPr>
          <w:b/>
          <w:sz w:val="24"/>
          <w:szCs w:val="24"/>
        </w:rPr>
      </w:pPr>
      <w:r w:rsidRPr="00635FAA">
        <w:rPr>
          <w:b/>
          <w:sz w:val="24"/>
          <w:szCs w:val="24"/>
        </w:rPr>
        <w:t>0.</w:t>
      </w:r>
      <w:r w:rsidRPr="00635FAA">
        <w:rPr>
          <w:b/>
          <w:sz w:val="24"/>
          <w:szCs w:val="24"/>
        </w:rPr>
        <w:tab/>
        <w:t>D.SP.NR.</w:t>
      </w:r>
    </w:p>
    <w:p w14:paraId="70815A06" w14:textId="77777777" w:rsidR="00BE29D4" w:rsidRPr="00635FAA" w:rsidRDefault="00BE29D4" w:rsidP="00BE29D4">
      <w:pPr>
        <w:tabs>
          <w:tab w:val="left" w:pos="851"/>
        </w:tabs>
        <w:ind w:left="851" w:hanging="851"/>
        <w:rPr>
          <w:sz w:val="24"/>
          <w:szCs w:val="24"/>
        </w:rPr>
      </w:pPr>
      <w:r>
        <w:rPr>
          <w:sz w:val="24"/>
          <w:szCs w:val="24"/>
        </w:rPr>
        <w:tab/>
      </w:r>
      <w:r w:rsidRPr="00635FAA">
        <w:rPr>
          <w:sz w:val="24"/>
          <w:szCs w:val="24"/>
        </w:rPr>
        <w:t>29896</w:t>
      </w:r>
    </w:p>
    <w:p w14:paraId="2D678CEB" w14:textId="77777777" w:rsidR="00BE29D4" w:rsidRPr="00635FAA" w:rsidRDefault="00BE29D4" w:rsidP="00BE29D4">
      <w:pPr>
        <w:tabs>
          <w:tab w:val="left" w:pos="851"/>
        </w:tabs>
        <w:ind w:left="851" w:hanging="851"/>
        <w:rPr>
          <w:sz w:val="24"/>
          <w:szCs w:val="24"/>
        </w:rPr>
      </w:pPr>
    </w:p>
    <w:p w14:paraId="7895ED35" w14:textId="77777777" w:rsidR="00BE29D4" w:rsidRPr="00635FAA" w:rsidRDefault="00BE29D4" w:rsidP="00BE29D4">
      <w:pPr>
        <w:tabs>
          <w:tab w:val="left" w:pos="851"/>
        </w:tabs>
        <w:ind w:left="851" w:hanging="851"/>
        <w:rPr>
          <w:b/>
          <w:sz w:val="24"/>
          <w:szCs w:val="24"/>
        </w:rPr>
      </w:pPr>
      <w:r w:rsidRPr="00635FAA">
        <w:rPr>
          <w:b/>
          <w:sz w:val="24"/>
          <w:szCs w:val="24"/>
        </w:rPr>
        <w:t>1.</w:t>
      </w:r>
      <w:r w:rsidRPr="00635FAA">
        <w:rPr>
          <w:b/>
          <w:sz w:val="24"/>
          <w:szCs w:val="24"/>
        </w:rPr>
        <w:tab/>
        <w:t>LÆGEMIDLETS NAVN</w:t>
      </w:r>
    </w:p>
    <w:p w14:paraId="2ABA024A" w14:textId="77777777" w:rsidR="00BE29D4" w:rsidRPr="00635FAA" w:rsidRDefault="00BE29D4" w:rsidP="00BE29D4">
      <w:pPr>
        <w:tabs>
          <w:tab w:val="left" w:pos="851"/>
        </w:tabs>
        <w:ind w:left="851" w:hanging="851"/>
        <w:rPr>
          <w:sz w:val="24"/>
          <w:szCs w:val="24"/>
        </w:rPr>
      </w:pPr>
      <w:r>
        <w:rPr>
          <w:sz w:val="24"/>
          <w:szCs w:val="24"/>
        </w:rPr>
        <w:tab/>
      </w:r>
      <w:r w:rsidRPr="00635FAA">
        <w:rPr>
          <w:sz w:val="24"/>
          <w:szCs w:val="24"/>
        </w:rPr>
        <w:t>Paracetamol "Accord"</w:t>
      </w:r>
    </w:p>
    <w:p w14:paraId="3CF6AA6C" w14:textId="77777777" w:rsidR="00BE29D4" w:rsidRPr="00635FAA" w:rsidRDefault="00BE29D4" w:rsidP="00BE29D4">
      <w:pPr>
        <w:tabs>
          <w:tab w:val="left" w:pos="851"/>
        </w:tabs>
        <w:ind w:left="851" w:hanging="851"/>
        <w:rPr>
          <w:sz w:val="24"/>
          <w:szCs w:val="24"/>
        </w:rPr>
      </w:pPr>
    </w:p>
    <w:p w14:paraId="5DF4CD65" w14:textId="77777777" w:rsidR="00BE29D4" w:rsidRPr="00635FAA" w:rsidRDefault="00BE29D4" w:rsidP="00BE29D4">
      <w:pPr>
        <w:tabs>
          <w:tab w:val="left" w:pos="851"/>
        </w:tabs>
        <w:ind w:left="851" w:hanging="851"/>
        <w:rPr>
          <w:b/>
          <w:sz w:val="24"/>
          <w:szCs w:val="24"/>
        </w:rPr>
      </w:pPr>
      <w:r w:rsidRPr="00635FAA">
        <w:rPr>
          <w:b/>
          <w:sz w:val="24"/>
          <w:szCs w:val="24"/>
        </w:rPr>
        <w:t>2.</w:t>
      </w:r>
      <w:r w:rsidRPr="00635FAA">
        <w:rPr>
          <w:b/>
          <w:sz w:val="24"/>
          <w:szCs w:val="24"/>
        </w:rPr>
        <w:tab/>
        <w:t>KVALITATIV OG KVANTITATIV SAMMENSÆTNING</w:t>
      </w:r>
    </w:p>
    <w:p w14:paraId="13788591" w14:textId="77777777" w:rsidR="00BE29D4" w:rsidRPr="00635FAA" w:rsidRDefault="00BE29D4" w:rsidP="00BE29D4">
      <w:pPr>
        <w:widowControl w:val="0"/>
        <w:autoSpaceDE w:val="0"/>
        <w:autoSpaceDN w:val="0"/>
        <w:adjustRightInd w:val="0"/>
        <w:ind w:left="851"/>
        <w:rPr>
          <w:color w:val="000000"/>
          <w:sz w:val="24"/>
          <w:szCs w:val="24"/>
        </w:rPr>
      </w:pPr>
      <w:r w:rsidRPr="00635FAA">
        <w:rPr>
          <w:color w:val="000000"/>
          <w:sz w:val="24"/>
          <w:szCs w:val="24"/>
        </w:rPr>
        <w:t xml:space="preserve">Hver tablet indeholder 500 mg paracetamol. </w:t>
      </w:r>
    </w:p>
    <w:p w14:paraId="11A8D868" w14:textId="77777777" w:rsidR="00BE29D4" w:rsidRPr="00635FAA" w:rsidRDefault="00BE29D4" w:rsidP="00BE29D4">
      <w:pPr>
        <w:widowControl w:val="0"/>
        <w:autoSpaceDE w:val="0"/>
        <w:autoSpaceDN w:val="0"/>
        <w:adjustRightInd w:val="0"/>
        <w:ind w:left="851" w:hanging="851"/>
        <w:rPr>
          <w:color w:val="000000"/>
          <w:sz w:val="24"/>
          <w:szCs w:val="24"/>
        </w:rPr>
      </w:pPr>
    </w:p>
    <w:p w14:paraId="1582C143" w14:textId="77777777" w:rsidR="00BE29D4" w:rsidRPr="00635FAA" w:rsidRDefault="00BE29D4" w:rsidP="00BE29D4">
      <w:pPr>
        <w:widowControl w:val="0"/>
        <w:autoSpaceDE w:val="0"/>
        <w:autoSpaceDN w:val="0"/>
        <w:adjustRightInd w:val="0"/>
        <w:ind w:left="851"/>
        <w:rPr>
          <w:color w:val="000000"/>
          <w:sz w:val="24"/>
          <w:szCs w:val="24"/>
        </w:rPr>
      </w:pPr>
      <w:r w:rsidRPr="00635FAA">
        <w:rPr>
          <w:color w:val="000000"/>
          <w:sz w:val="24"/>
          <w:szCs w:val="24"/>
        </w:rPr>
        <w:t>Hjælpestof(fer):</w:t>
      </w:r>
    </w:p>
    <w:p w14:paraId="543CD2A6" w14:textId="77777777" w:rsidR="00BE29D4" w:rsidRPr="00635FAA" w:rsidRDefault="00BE29D4" w:rsidP="00BE29D4">
      <w:pPr>
        <w:widowControl w:val="0"/>
        <w:autoSpaceDE w:val="0"/>
        <w:autoSpaceDN w:val="0"/>
        <w:adjustRightInd w:val="0"/>
        <w:ind w:left="851"/>
        <w:rPr>
          <w:color w:val="000000"/>
          <w:sz w:val="24"/>
          <w:szCs w:val="24"/>
        </w:rPr>
      </w:pPr>
      <w:r w:rsidRPr="00635FAA">
        <w:rPr>
          <w:color w:val="000000"/>
          <w:sz w:val="24"/>
          <w:szCs w:val="24"/>
        </w:rPr>
        <w:t>Alle hjælpestoffer er anført under pkt. 6.1.</w:t>
      </w:r>
    </w:p>
    <w:p w14:paraId="3C6A03B2" w14:textId="77777777" w:rsidR="00BE29D4" w:rsidRPr="00635FAA" w:rsidRDefault="00BE29D4" w:rsidP="00BE29D4">
      <w:pPr>
        <w:tabs>
          <w:tab w:val="left" w:pos="851"/>
        </w:tabs>
        <w:ind w:left="851" w:hanging="851"/>
        <w:rPr>
          <w:sz w:val="24"/>
          <w:szCs w:val="24"/>
        </w:rPr>
      </w:pPr>
    </w:p>
    <w:p w14:paraId="4A1C91E4" w14:textId="77777777" w:rsidR="00BE29D4" w:rsidRPr="00635FAA" w:rsidRDefault="00BE29D4" w:rsidP="00BE29D4">
      <w:pPr>
        <w:tabs>
          <w:tab w:val="left" w:pos="851"/>
        </w:tabs>
        <w:ind w:left="851" w:hanging="851"/>
        <w:rPr>
          <w:b/>
          <w:sz w:val="24"/>
          <w:szCs w:val="24"/>
        </w:rPr>
      </w:pPr>
      <w:r w:rsidRPr="00635FAA">
        <w:rPr>
          <w:b/>
          <w:sz w:val="24"/>
          <w:szCs w:val="24"/>
        </w:rPr>
        <w:t>3.</w:t>
      </w:r>
      <w:r w:rsidRPr="00635FAA">
        <w:rPr>
          <w:b/>
          <w:sz w:val="24"/>
          <w:szCs w:val="24"/>
        </w:rPr>
        <w:tab/>
        <w:t>LÆGEMIDDELFORM</w:t>
      </w:r>
    </w:p>
    <w:p w14:paraId="4515A395" w14:textId="77777777" w:rsidR="00BE29D4" w:rsidRPr="00635FAA" w:rsidRDefault="00BE29D4" w:rsidP="00BE29D4">
      <w:pPr>
        <w:widowControl w:val="0"/>
        <w:autoSpaceDE w:val="0"/>
        <w:autoSpaceDN w:val="0"/>
        <w:adjustRightInd w:val="0"/>
        <w:ind w:left="851"/>
        <w:rPr>
          <w:color w:val="000000"/>
          <w:sz w:val="24"/>
          <w:szCs w:val="24"/>
        </w:rPr>
      </w:pPr>
      <w:r w:rsidRPr="00635FAA">
        <w:rPr>
          <w:color w:val="000000"/>
          <w:sz w:val="24"/>
          <w:szCs w:val="24"/>
        </w:rPr>
        <w:t>Tab</w:t>
      </w:r>
      <w:r w:rsidRPr="00635FAA">
        <w:rPr>
          <w:color w:val="000000"/>
          <w:spacing w:val="1"/>
          <w:sz w:val="24"/>
          <w:szCs w:val="24"/>
        </w:rPr>
        <w:t>l</w:t>
      </w:r>
      <w:r w:rsidRPr="00635FAA">
        <w:rPr>
          <w:color w:val="000000"/>
          <w:sz w:val="24"/>
          <w:szCs w:val="24"/>
        </w:rPr>
        <w:t>et</w:t>
      </w:r>
      <w:r>
        <w:rPr>
          <w:color w:val="000000"/>
          <w:sz w:val="24"/>
          <w:szCs w:val="24"/>
        </w:rPr>
        <w:t>ter.</w:t>
      </w:r>
    </w:p>
    <w:p w14:paraId="6A31571B" w14:textId="77777777" w:rsidR="00BE29D4" w:rsidRPr="00635FAA" w:rsidRDefault="00BE29D4" w:rsidP="00BE29D4">
      <w:pPr>
        <w:widowControl w:val="0"/>
        <w:autoSpaceDE w:val="0"/>
        <w:autoSpaceDN w:val="0"/>
        <w:adjustRightInd w:val="0"/>
        <w:ind w:left="851" w:hanging="851"/>
        <w:rPr>
          <w:color w:val="000000"/>
          <w:sz w:val="24"/>
          <w:szCs w:val="24"/>
        </w:rPr>
      </w:pPr>
    </w:p>
    <w:p w14:paraId="01E787B2" w14:textId="77777777" w:rsidR="00BE29D4" w:rsidRPr="00635FAA" w:rsidRDefault="00BE29D4" w:rsidP="00BE29D4">
      <w:pPr>
        <w:widowControl w:val="0"/>
        <w:autoSpaceDE w:val="0"/>
        <w:autoSpaceDN w:val="0"/>
        <w:adjustRightInd w:val="0"/>
        <w:ind w:left="851"/>
        <w:rPr>
          <w:color w:val="000000"/>
          <w:sz w:val="24"/>
          <w:szCs w:val="24"/>
        </w:rPr>
      </w:pPr>
      <w:r w:rsidRPr="00635FAA">
        <w:rPr>
          <w:color w:val="000000"/>
          <w:spacing w:val="1"/>
          <w:sz w:val="24"/>
          <w:szCs w:val="24"/>
        </w:rPr>
        <w:t xml:space="preserve">Hvid, </w:t>
      </w:r>
      <w:r>
        <w:rPr>
          <w:color w:val="000000"/>
          <w:spacing w:val="1"/>
          <w:sz w:val="24"/>
          <w:szCs w:val="24"/>
        </w:rPr>
        <w:t>ikke-overtrukket</w:t>
      </w:r>
      <w:r w:rsidRPr="00635FAA">
        <w:rPr>
          <w:color w:val="000000"/>
          <w:spacing w:val="1"/>
          <w:sz w:val="24"/>
          <w:szCs w:val="24"/>
        </w:rPr>
        <w:t xml:space="preserve">, kapselformet tablet med delekærv, mærket </w:t>
      </w:r>
      <w:r w:rsidRPr="00635FAA">
        <w:rPr>
          <w:color w:val="000000"/>
          <w:spacing w:val="1"/>
          <w:sz w:val="24"/>
          <w:szCs w:val="24"/>
          <w:cs/>
        </w:rPr>
        <w:t>”</w:t>
      </w:r>
      <w:r w:rsidRPr="00635FAA">
        <w:rPr>
          <w:color w:val="000000"/>
          <w:spacing w:val="1"/>
          <w:sz w:val="24"/>
          <w:szCs w:val="24"/>
        </w:rPr>
        <w:t>B ǀ T</w:t>
      </w:r>
      <w:r w:rsidRPr="00635FAA">
        <w:rPr>
          <w:color w:val="000000"/>
          <w:spacing w:val="1"/>
          <w:sz w:val="24"/>
          <w:szCs w:val="24"/>
          <w:cs/>
        </w:rPr>
        <w:t xml:space="preserve">” </w:t>
      </w:r>
      <w:r w:rsidRPr="00635FAA">
        <w:rPr>
          <w:color w:val="000000"/>
          <w:spacing w:val="1"/>
          <w:sz w:val="24"/>
          <w:szCs w:val="24"/>
        </w:rPr>
        <w:t>på den ene side og glat på den anden side.</w:t>
      </w:r>
    </w:p>
    <w:p w14:paraId="2A4D65D2" w14:textId="77777777" w:rsidR="00BE29D4" w:rsidRPr="00635FAA" w:rsidRDefault="00BE29D4" w:rsidP="00BE29D4">
      <w:pPr>
        <w:ind w:left="851"/>
        <w:rPr>
          <w:sz w:val="24"/>
          <w:szCs w:val="24"/>
        </w:rPr>
      </w:pPr>
      <w:r w:rsidRPr="00635FAA">
        <w:rPr>
          <w:b/>
          <w:sz w:val="24"/>
          <w:szCs w:val="24"/>
        </w:rPr>
        <w:t xml:space="preserve">Bemærk: </w:t>
      </w:r>
      <w:r w:rsidRPr="00635FAA">
        <w:rPr>
          <w:sz w:val="24"/>
          <w:szCs w:val="24"/>
        </w:rPr>
        <w:t>Længde, bredde og tykkelse af tabletten er 16,50±0,20 mm, 8,20±0,20 mm og 5,10±0,30 mm.</w:t>
      </w:r>
    </w:p>
    <w:p w14:paraId="7647FEEE" w14:textId="77777777" w:rsidR="00BE29D4" w:rsidRPr="00635FAA" w:rsidRDefault="00BE29D4" w:rsidP="00BE29D4">
      <w:pPr>
        <w:ind w:left="851"/>
        <w:rPr>
          <w:sz w:val="24"/>
          <w:szCs w:val="24"/>
        </w:rPr>
      </w:pPr>
      <w:r w:rsidRPr="00635FAA">
        <w:rPr>
          <w:sz w:val="24"/>
          <w:szCs w:val="24"/>
        </w:rPr>
        <w:t>Tabletten kan deles i to lige store doser.</w:t>
      </w:r>
    </w:p>
    <w:p w14:paraId="430BF8E8" w14:textId="77777777" w:rsidR="00BE29D4" w:rsidRPr="00635FAA" w:rsidRDefault="00BE29D4" w:rsidP="00BE29D4">
      <w:pPr>
        <w:tabs>
          <w:tab w:val="left" w:pos="851"/>
        </w:tabs>
        <w:ind w:left="851" w:hanging="851"/>
        <w:rPr>
          <w:sz w:val="24"/>
          <w:szCs w:val="24"/>
        </w:rPr>
      </w:pPr>
    </w:p>
    <w:p w14:paraId="3D58AD47" w14:textId="77777777" w:rsidR="00BE29D4" w:rsidRPr="00635FAA" w:rsidRDefault="00BE29D4" w:rsidP="00BE29D4">
      <w:pPr>
        <w:tabs>
          <w:tab w:val="left" w:pos="851"/>
        </w:tabs>
        <w:ind w:left="851" w:hanging="851"/>
        <w:rPr>
          <w:sz w:val="24"/>
          <w:szCs w:val="24"/>
        </w:rPr>
      </w:pPr>
    </w:p>
    <w:p w14:paraId="0DFC6433" w14:textId="77777777" w:rsidR="00BE29D4" w:rsidRPr="00635FAA" w:rsidRDefault="00BE29D4" w:rsidP="00BE29D4">
      <w:pPr>
        <w:tabs>
          <w:tab w:val="left" w:pos="851"/>
        </w:tabs>
        <w:ind w:left="851" w:hanging="851"/>
        <w:rPr>
          <w:b/>
          <w:sz w:val="24"/>
          <w:szCs w:val="24"/>
        </w:rPr>
      </w:pPr>
      <w:r w:rsidRPr="00635FAA">
        <w:rPr>
          <w:b/>
          <w:sz w:val="24"/>
          <w:szCs w:val="24"/>
        </w:rPr>
        <w:t>4.</w:t>
      </w:r>
      <w:r w:rsidRPr="00635FAA">
        <w:rPr>
          <w:b/>
          <w:sz w:val="24"/>
          <w:szCs w:val="24"/>
        </w:rPr>
        <w:tab/>
        <w:t>KLINISKE OPLYSNINGER</w:t>
      </w:r>
    </w:p>
    <w:p w14:paraId="269C9F1E" w14:textId="77777777" w:rsidR="00BE29D4" w:rsidRPr="00635FAA" w:rsidRDefault="00BE29D4" w:rsidP="00BE29D4">
      <w:pPr>
        <w:tabs>
          <w:tab w:val="left" w:pos="851"/>
        </w:tabs>
        <w:ind w:left="851" w:hanging="851"/>
        <w:rPr>
          <w:b/>
          <w:sz w:val="24"/>
          <w:szCs w:val="24"/>
        </w:rPr>
      </w:pPr>
    </w:p>
    <w:p w14:paraId="61910A47" w14:textId="77777777" w:rsidR="00BE29D4" w:rsidRPr="00635FAA" w:rsidRDefault="00BE29D4" w:rsidP="00BE29D4">
      <w:pPr>
        <w:tabs>
          <w:tab w:val="left" w:pos="851"/>
        </w:tabs>
        <w:ind w:left="851" w:hanging="851"/>
        <w:rPr>
          <w:b/>
          <w:sz w:val="24"/>
          <w:szCs w:val="24"/>
          <w:u w:val="single"/>
        </w:rPr>
      </w:pPr>
      <w:r w:rsidRPr="00635FAA">
        <w:rPr>
          <w:b/>
          <w:sz w:val="24"/>
          <w:szCs w:val="24"/>
        </w:rPr>
        <w:t>4.1</w:t>
      </w:r>
      <w:r w:rsidRPr="00635FAA">
        <w:rPr>
          <w:b/>
          <w:sz w:val="24"/>
          <w:szCs w:val="24"/>
        </w:rPr>
        <w:tab/>
        <w:t>Terapeutiske indikationer</w:t>
      </w:r>
    </w:p>
    <w:p w14:paraId="14443178"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Symptomatisk behandling af mild til moderat smerte og/eller feber.</w:t>
      </w:r>
    </w:p>
    <w:p w14:paraId="172A7CBF" w14:textId="77777777" w:rsidR="00BE29D4" w:rsidRPr="00635FAA" w:rsidRDefault="00BE29D4" w:rsidP="00BE29D4">
      <w:pPr>
        <w:tabs>
          <w:tab w:val="left" w:pos="851"/>
        </w:tabs>
        <w:ind w:left="851" w:hanging="851"/>
        <w:rPr>
          <w:sz w:val="24"/>
          <w:szCs w:val="24"/>
        </w:rPr>
      </w:pPr>
    </w:p>
    <w:p w14:paraId="54006F0C" w14:textId="77777777" w:rsidR="00BE29D4" w:rsidRPr="00635FAA" w:rsidRDefault="00BE29D4" w:rsidP="00BE29D4">
      <w:pPr>
        <w:tabs>
          <w:tab w:val="left" w:pos="851"/>
        </w:tabs>
        <w:ind w:left="851" w:hanging="851"/>
        <w:rPr>
          <w:b/>
          <w:sz w:val="24"/>
          <w:szCs w:val="24"/>
        </w:rPr>
      </w:pPr>
      <w:r w:rsidRPr="00635FAA">
        <w:rPr>
          <w:b/>
          <w:sz w:val="24"/>
          <w:szCs w:val="24"/>
        </w:rPr>
        <w:t>4.2</w:t>
      </w:r>
      <w:r w:rsidRPr="00635FAA">
        <w:rPr>
          <w:b/>
          <w:sz w:val="24"/>
          <w:szCs w:val="24"/>
        </w:rPr>
        <w:tab/>
        <w:t>Dosering og indgivelsesmåde</w:t>
      </w:r>
    </w:p>
    <w:p w14:paraId="2FB0FA06" w14:textId="77777777" w:rsidR="00BE29D4" w:rsidRPr="00635FAA" w:rsidRDefault="00BE29D4" w:rsidP="00BE29D4">
      <w:pPr>
        <w:pStyle w:val="NormalWeb"/>
        <w:spacing w:before="0" w:beforeAutospacing="0" w:after="0"/>
        <w:ind w:left="851"/>
      </w:pPr>
      <w:r w:rsidRPr="00635FAA">
        <w:t>Dosering:</w:t>
      </w:r>
    </w:p>
    <w:p w14:paraId="337489C7" w14:textId="77777777" w:rsidR="00BE29D4" w:rsidRPr="00635FAA" w:rsidRDefault="00BE29D4" w:rsidP="00BE29D4">
      <w:pPr>
        <w:pStyle w:val="NormalWeb"/>
        <w:spacing w:before="0" w:beforeAutospacing="0" w:after="0"/>
        <w:ind w:left="851" w:hanging="851"/>
      </w:pPr>
    </w:p>
    <w:p w14:paraId="18D669B8" w14:textId="77777777" w:rsidR="00BE29D4" w:rsidRPr="00635FAA" w:rsidRDefault="00BE29D4" w:rsidP="00BE29D4">
      <w:pPr>
        <w:pStyle w:val="NormalWeb"/>
        <w:spacing w:before="0" w:beforeAutospacing="0" w:after="0"/>
        <w:ind w:left="851"/>
      </w:pPr>
      <w:r w:rsidRPr="00635FAA">
        <w:t>Kun til oral anvendelse.</w:t>
      </w:r>
    </w:p>
    <w:p w14:paraId="74A263D3" w14:textId="77777777" w:rsidR="00BE29D4" w:rsidRPr="00635FAA" w:rsidRDefault="00BE29D4" w:rsidP="00BE29D4">
      <w:pPr>
        <w:pStyle w:val="NormalWeb"/>
        <w:spacing w:before="0" w:beforeAutospacing="0" w:after="0"/>
        <w:ind w:left="851" w:hanging="851"/>
      </w:pPr>
    </w:p>
    <w:p w14:paraId="14DC8765" w14:textId="77777777" w:rsidR="00BE29D4" w:rsidRPr="00635FAA" w:rsidRDefault="00BE29D4" w:rsidP="00BE29D4">
      <w:pPr>
        <w:pStyle w:val="NormalWeb"/>
        <w:spacing w:before="0" w:beforeAutospacing="0" w:after="0"/>
        <w:ind w:left="851"/>
        <w:rPr>
          <w:u w:val="single"/>
        </w:rPr>
      </w:pPr>
      <w:r w:rsidRPr="00635FAA">
        <w:rPr>
          <w:u w:val="single"/>
        </w:rPr>
        <w:t>Voksne og unge</w:t>
      </w:r>
      <w:r w:rsidRPr="00635FAA">
        <w:t xml:space="preserve"> </w:t>
      </w:r>
      <w:r w:rsidRPr="00635FAA">
        <w:rPr>
          <w:u w:val="single"/>
        </w:rPr>
        <w:t>15 år (&gt; 55 kg kropsvægt)</w:t>
      </w:r>
    </w:p>
    <w:p w14:paraId="6B42FD56" w14:textId="77777777" w:rsidR="00BE29D4" w:rsidRPr="00635FAA" w:rsidRDefault="00BE29D4" w:rsidP="00BE29D4">
      <w:pPr>
        <w:pStyle w:val="NormalWeb"/>
        <w:spacing w:before="0" w:beforeAutospacing="0" w:after="0"/>
        <w:ind w:left="851"/>
      </w:pPr>
      <w:r>
        <w:t>1 til 2 tabletter (500-1000 mg)</w:t>
      </w:r>
      <w:r w:rsidRPr="00635FAA">
        <w:t>, op til 6 tabletter (3000 mg) pr. døgn.</w:t>
      </w:r>
    </w:p>
    <w:p w14:paraId="03FDCFAC" w14:textId="77777777" w:rsidR="00BE29D4" w:rsidRPr="00635FAA" w:rsidRDefault="00BE29D4" w:rsidP="00BE29D4">
      <w:pPr>
        <w:pStyle w:val="NormalWeb"/>
        <w:spacing w:before="0" w:beforeAutospacing="0" w:after="0"/>
        <w:ind w:left="851" w:hanging="851"/>
      </w:pPr>
    </w:p>
    <w:p w14:paraId="3B149DAD" w14:textId="77777777" w:rsidR="00BE29D4" w:rsidRPr="00635FAA" w:rsidRDefault="00BE29D4" w:rsidP="00BE29D4">
      <w:pPr>
        <w:pStyle w:val="NormalWeb"/>
        <w:spacing w:before="0" w:beforeAutospacing="0" w:after="0"/>
        <w:ind w:left="851"/>
        <w:rPr>
          <w:u w:val="single"/>
        </w:rPr>
      </w:pPr>
      <w:r w:rsidRPr="00635FAA">
        <w:rPr>
          <w:u w:val="single"/>
        </w:rPr>
        <w:lastRenderedPageBreak/>
        <w:t>Børn og</w:t>
      </w:r>
      <w:r w:rsidRPr="00635FAA">
        <w:t xml:space="preserve"> </w:t>
      </w:r>
      <w:r w:rsidRPr="00635FAA">
        <w:rPr>
          <w:u w:val="single"/>
        </w:rPr>
        <w:t xml:space="preserve">unge op til 15 år </w:t>
      </w:r>
    </w:p>
    <w:p w14:paraId="20F1C56C" w14:textId="77777777" w:rsidR="00BE29D4" w:rsidRPr="00635FAA" w:rsidRDefault="00BE29D4" w:rsidP="00BE29D4">
      <w:pPr>
        <w:pStyle w:val="NormalWeb"/>
        <w:spacing w:before="0" w:beforeAutospacing="0" w:after="0"/>
        <w:ind w:left="851"/>
      </w:pPr>
      <w:r w:rsidRPr="00635FAA">
        <w:t>6-9 år: ½ tablet, op til 4-6 gange pr. døgn.</w:t>
      </w:r>
    </w:p>
    <w:p w14:paraId="762F9653" w14:textId="77777777" w:rsidR="00BE29D4" w:rsidRPr="00635FAA" w:rsidRDefault="00BE29D4" w:rsidP="00BE29D4">
      <w:pPr>
        <w:pStyle w:val="NormalWeb"/>
        <w:spacing w:before="0" w:beforeAutospacing="0" w:after="0"/>
        <w:ind w:left="851"/>
      </w:pPr>
      <w:r w:rsidRPr="00635FAA">
        <w:t>9-12 år: 1 tablet, op til 3-4 gange pr. døgn.</w:t>
      </w:r>
    </w:p>
    <w:p w14:paraId="1AA6E30B" w14:textId="77777777" w:rsidR="00BE29D4" w:rsidRPr="00635FAA" w:rsidRDefault="00BE29D4" w:rsidP="00BE29D4">
      <w:pPr>
        <w:pStyle w:val="NormalWeb"/>
        <w:spacing w:before="0" w:beforeAutospacing="0" w:after="0"/>
        <w:ind w:left="851"/>
      </w:pPr>
      <w:r w:rsidRPr="00635FAA">
        <w:t>12-15 år: 1 tablet, op til 4-6 gange pr. døgn.</w:t>
      </w:r>
    </w:p>
    <w:p w14:paraId="0F60DE43" w14:textId="77777777" w:rsidR="00BE29D4" w:rsidRPr="00635FAA" w:rsidRDefault="00BE29D4" w:rsidP="00BE29D4">
      <w:pPr>
        <w:pStyle w:val="NormalWeb"/>
        <w:spacing w:before="0" w:beforeAutospacing="0" w:after="0"/>
        <w:ind w:left="851" w:hanging="851"/>
      </w:pPr>
    </w:p>
    <w:p w14:paraId="123B6BD6" w14:textId="77777777" w:rsidR="00BE29D4" w:rsidRPr="00635FAA" w:rsidRDefault="00BE29D4" w:rsidP="00BE29D4">
      <w:pPr>
        <w:pStyle w:val="NormalWeb"/>
        <w:spacing w:before="0" w:beforeAutospacing="0" w:after="0"/>
        <w:ind w:left="851"/>
      </w:pPr>
      <w:r w:rsidRPr="00635FAA">
        <w:t>Retningslinjer for brug:</w:t>
      </w:r>
    </w:p>
    <w:p w14:paraId="0CA4ACC3" w14:textId="77777777" w:rsidR="00BE29D4" w:rsidRPr="00635FAA" w:rsidRDefault="00BE29D4" w:rsidP="00BE29D4">
      <w:pPr>
        <w:pStyle w:val="NormalWeb"/>
        <w:numPr>
          <w:ilvl w:val="0"/>
          <w:numId w:val="6"/>
        </w:numPr>
        <w:spacing w:before="0" w:beforeAutospacing="0" w:after="0"/>
        <w:ind w:left="1276" w:hanging="425"/>
      </w:pPr>
      <w:r w:rsidRPr="00635FAA">
        <w:t>Paracetamoltabletter er ikke egnet til børn under 6 år.</w:t>
      </w:r>
    </w:p>
    <w:p w14:paraId="24847B46" w14:textId="77777777" w:rsidR="00BE29D4" w:rsidRPr="00635FAA" w:rsidRDefault="00BE29D4" w:rsidP="00BE29D4">
      <w:pPr>
        <w:pStyle w:val="NormalWeb"/>
        <w:numPr>
          <w:ilvl w:val="0"/>
          <w:numId w:val="6"/>
        </w:numPr>
        <w:spacing w:before="0" w:beforeAutospacing="0" w:after="0"/>
        <w:ind w:left="1276" w:hanging="425"/>
      </w:pPr>
      <w:r w:rsidRPr="00635FAA">
        <w:t>Doseringsintervallet bør være mindst 4 timer.</w:t>
      </w:r>
    </w:p>
    <w:p w14:paraId="0979FC62" w14:textId="77777777" w:rsidR="00BE29D4" w:rsidRPr="00635FAA" w:rsidRDefault="00BE29D4" w:rsidP="00BE29D4">
      <w:pPr>
        <w:pStyle w:val="NormalWeb"/>
        <w:numPr>
          <w:ilvl w:val="0"/>
          <w:numId w:val="6"/>
        </w:numPr>
        <w:spacing w:before="0" w:beforeAutospacing="0" w:after="0"/>
        <w:ind w:left="1276" w:hanging="425"/>
      </w:pPr>
      <w:r w:rsidRPr="00635FAA">
        <w:t>Må ikke anvendes i kombination med andre paracetamolholdige produkter.</w:t>
      </w:r>
    </w:p>
    <w:p w14:paraId="27D3E7D0" w14:textId="77777777" w:rsidR="00BE29D4" w:rsidRPr="00635FAA" w:rsidRDefault="00BE29D4" w:rsidP="00BE29D4">
      <w:pPr>
        <w:pStyle w:val="NormalWeb"/>
        <w:numPr>
          <w:ilvl w:val="0"/>
          <w:numId w:val="6"/>
        </w:numPr>
        <w:spacing w:before="0" w:beforeAutospacing="0" w:after="0"/>
        <w:ind w:left="1276" w:hanging="425"/>
      </w:pPr>
      <w:r>
        <w:t>Den anbefalede dosering må ikke overskrides. Højere doser kan indebære risiko for alvorlig leverskade</w:t>
      </w:r>
      <w:r w:rsidRPr="00635FAA">
        <w:t xml:space="preserve"> (se pkt. 4.4 og 4.9).</w:t>
      </w:r>
    </w:p>
    <w:p w14:paraId="0770D07C" w14:textId="77777777" w:rsidR="00BE29D4" w:rsidRPr="00635FAA" w:rsidRDefault="00BE29D4" w:rsidP="00BE29D4">
      <w:pPr>
        <w:pStyle w:val="NormalWeb"/>
        <w:numPr>
          <w:ilvl w:val="0"/>
          <w:numId w:val="6"/>
        </w:numPr>
        <w:spacing w:before="0" w:beforeAutospacing="0" w:after="0"/>
        <w:ind w:left="1276" w:hanging="425"/>
      </w:pPr>
      <w:r w:rsidRPr="00635FAA">
        <w:t>Den lave</w:t>
      </w:r>
      <w:r>
        <w:t>ste</w:t>
      </w:r>
      <w:r w:rsidRPr="00635FAA">
        <w:t xml:space="preserve"> </w:t>
      </w:r>
      <w:r>
        <w:t xml:space="preserve">dosering og </w:t>
      </w:r>
      <w:r w:rsidRPr="00635FAA">
        <w:t>frekvens er beregnet til børn i den nedre grænse for den relevante aldersgruppe.</w:t>
      </w:r>
    </w:p>
    <w:p w14:paraId="0DFAE830" w14:textId="77777777" w:rsidR="00BE29D4" w:rsidRPr="00635FAA" w:rsidRDefault="00BE29D4" w:rsidP="00BE29D4">
      <w:pPr>
        <w:pStyle w:val="NormalWeb"/>
        <w:numPr>
          <w:ilvl w:val="0"/>
          <w:numId w:val="6"/>
        </w:numPr>
        <w:spacing w:before="0" w:beforeAutospacing="0" w:after="0"/>
        <w:ind w:left="1276" w:hanging="425"/>
      </w:pPr>
      <w:r w:rsidRPr="00635FAA">
        <w:t>Afhængigt af indtræden af ​​symptomer (feber og smerte) er gentagen administration tilladt.</w:t>
      </w:r>
    </w:p>
    <w:p w14:paraId="6DAA2352" w14:textId="77777777" w:rsidR="00BE29D4" w:rsidRPr="00635FAA" w:rsidRDefault="00BE29D4" w:rsidP="00BE29D4">
      <w:pPr>
        <w:pStyle w:val="NormalWeb"/>
        <w:numPr>
          <w:ilvl w:val="0"/>
          <w:numId w:val="6"/>
        </w:numPr>
        <w:spacing w:before="0" w:beforeAutospacing="0" w:after="0"/>
        <w:ind w:left="1276" w:hanging="425"/>
      </w:pPr>
      <w:r w:rsidRPr="00635FAA">
        <w:t>Hvis der er smerter eller forværring</w:t>
      </w:r>
      <w:r>
        <w:t xml:space="preserve"> af smerte efter</w:t>
      </w:r>
      <w:r w:rsidRPr="00635FAA">
        <w:t xml:space="preserve"> mere end 5 dage</w:t>
      </w:r>
      <w:r>
        <w:t>s brug</w:t>
      </w:r>
      <w:r w:rsidRPr="00635FAA">
        <w:t xml:space="preserve"> eller feber i mere end 3 dage, eller hvis andre symptomer opstår, bør behandlingen seponeres, og en læge bør konsulteres.</w:t>
      </w:r>
    </w:p>
    <w:p w14:paraId="3319EF3C" w14:textId="77777777" w:rsidR="00BE29D4" w:rsidRPr="00635FAA" w:rsidRDefault="00BE29D4" w:rsidP="00BE29D4">
      <w:pPr>
        <w:pStyle w:val="NormalWeb"/>
        <w:numPr>
          <w:ilvl w:val="0"/>
          <w:numId w:val="6"/>
        </w:numPr>
        <w:spacing w:before="0" w:beforeAutospacing="0" w:after="0"/>
        <w:ind w:left="1276" w:hanging="425"/>
      </w:pPr>
      <w:r w:rsidRPr="00635FAA">
        <w:t>Indtagelse af paracetamol sammen med mad og drikke påvirker ikke effekten af ​​lægemidlet.</w:t>
      </w:r>
    </w:p>
    <w:p w14:paraId="04FBA0C0" w14:textId="77777777" w:rsidR="00BE29D4" w:rsidRPr="00635FAA" w:rsidRDefault="00BE29D4" w:rsidP="00BE29D4">
      <w:pPr>
        <w:pStyle w:val="NormalWeb"/>
        <w:numPr>
          <w:ilvl w:val="0"/>
          <w:numId w:val="6"/>
        </w:numPr>
        <w:spacing w:before="0" w:beforeAutospacing="0" w:after="0"/>
        <w:ind w:left="1276" w:hanging="425"/>
      </w:pPr>
      <w:r w:rsidRPr="00635FAA">
        <w:t xml:space="preserve">I tilfælde af nyreinsufficiens (nyresvigt) bør dosis reduceres:  </w:t>
      </w:r>
    </w:p>
    <w:p w14:paraId="445291F5" w14:textId="77777777" w:rsidR="00BE29D4" w:rsidRPr="00635FAA" w:rsidRDefault="00BE29D4" w:rsidP="00BE29D4">
      <w:pPr>
        <w:pStyle w:val="NormalWeb"/>
        <w:spacing w:before="0" w:beforeAutospacing="0" w:after="0"/>
        <w:ind w:left="851" w:hanging="851"/>
      </w:pP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3047"/>
      </w:tblGrid>
      <w:tr w:rsidR="00BE29D4" w:rsidRPr="00635FAA" w14:paraId="76632610" w14:textId="77777777" w:rsidTr="003B4BCE">
        <w:tc>
          <w:tcPr>
            <w:tcW w:w="3253" w:type="dxa"/>
          </w:tcPr>
          <w:p w14:paraId="2EB6444A" w14:textId="77777777" w:rsidR="00BE29D4" w:rsidRPr="00635FAA" w:rsidRDefault="00BE29D4" w:rsidP="003B4BCE">
            <w:pPr>
              <w:pStyle w:val="Default"/>
              <w:ind w:left="851" w:hanging="851"/>
              <w:jc w:val="center"/>
            </w:pPr>
            <w:r w:rsidRPr="00635FAA">
              <w:rPr>
                <w:rStyle w:val="CommentSubjectChar"/>
              </w:rPr>
              <w:t>Glomerulær filtrationshastighed</w:t>
            </w:r>
          </w:p>
        </w:tc>
        <w:tc>
          <w:tcPr>
            <w:tcW w:w="3047" w:type="dxa"/>
          </w:tcPr>
          <w:p w14:paraId="21668E05" w14:textId="77777777" w:rsidR="00BE29D4" w:rsidRPr="00635FAA" w:rsidRDefault="00BE29D4" w:rsidP="003B4BCE">
            <w:pPr>
              <w:pStyle w:val="Default"/>
              <w:ind w:left="851" w:hanging="851"/>
              <w:jc w:val="center"/>
            </w:pPr>
            <w:r w:rsidRPr="00635FAA">
              <w:rPr>
                <w:rStyle w:val="CommentSubjectChar"/>
              </w:rPr>
              <w:t>Dosis</w:t>
            </w:r>
          </w:p>
        </w:tc>
      </w:tr>
      <w:tr w:rsidR="00BE29D4" w:rsidRPr="00635FAA" w14:paraId="24AE0FAC" w14:textId="77777777" w:rsidTr="003B4BCE">
        <w:trPr>
          <w:trHeight w:val="224"/>
        </w:trPr>
        <w:tc>
          <w:tcPr>
            <w:tcW w:w="3253" w:type="dxa"/>
          </w:tcPr>
          <w:p w14:paraId="54B82242" w14:textId="77777777" w:rsidR="00BE29D4" w:rsidRPr="00635FAA" w:rsidRDefault="00BE29D4" w:rsidP="003B4BCE">
            <w:pPr>
              <w:pStyle w:val="Default"/>
              <w:ind w:left="851" w:hanging="851"/>
              <w:jc w:val="center"/>
            </w:pPr>
            <w:r w:rsidRPr="00635FAA">
              <w:rPr>
                <w:rStyle w:val="CommentSubjectChar"/>
              </w:rPr>
              <w:t xml:space="preserve">10 </w:t>
            </w:r>
            <w:r w:rsidRPr="00635FAA">
              <w:rPr>
                <w:rStyle w:val="CommentSubjectChar"/>
                <w:cs/>
              </w:rPr>
              <w:t xml:space="preserve">– </w:t>
            </w:r>
            <w:r w:rsidRPr="00635FAA">
              <w:rPr>
                <w:rStyle w:val="CommentSubjectChar"/>
              </w:rPr>
              <w:t>50 ml/min</w:t>
            </w:r>
          </w:p>
        </w:tc>
        <w:tc>
          <w:tcPr>
            <w:tcW w:w="3047" w:type="dxa"/>
          </w:tcPr>
          <w:p w14:paraId="37070DED" w14:textId="77777777" w:rsidR="00BE29D4" w:rsidRPr="00635FAA" w:rsidRDefault="00BE29D4" w:rsidP="003B4BCE">
            <w:pPr>
              <w:pStyle w:val="Default"/>
              <w:ind w:left="851" w:hanging="851"/>
              <w:jc w:val="center"/>
            </w:pPr>
            <w:r w:rsidRPr="00635FAA">
              <w:rPr>
                <w:rStyle w:val="CommentSubjectChar"/>
              </w:rPr>
              <w:t>500 mg hver 6. time</w:t>
            </w:r>
          </w:p>
        </w:tc>
      </w:tr>
      <w:tr w:rsidR="00BE29D4" w:rsidRPr="00635FAA" w14:paraId="7764CA9E" w14:textId="77777777" w:rsidTr="003B4BCE">
        <w:tc>
          <w:tcPr>
            <w:tcW w:w="3253" w:type="dxa"/>
          </w:tcPr>
          <w:p w14:paraId="449BF367" w14:textId="77777777" w:rsidR="00BE29D4" w:rsidRPr="00635FAA" w:rsidRDefault="00BE29D4" w:rsidP="003B4BCE">
            <w:pPr>
              <w:pStyle w:val="Default"/>
              <w:ind w:left="851" w:hanging="851"/>
              <w:jc w:val="center"/>
            </w:pPr>
            <w:r w:rsidRPr="00635FAA">
              <w:rPr>
                <w:rStyle w:val="CommentSubjectChar"/>
              </w:rPr>
              <w:t>&lt; 10 ml/min</w:t>
            </w:r>
          </w:p>
        </w:tc>
        <w:tc>
          <w:tcPr>
            <w:tcW w:w="3047" w:type="dxa"/>
          </w:tcPr>
          <w:p w14:paraId="2DD59FEB" w14:textId="77777777" w:rsidR="00BE29D4" w:rsidRPr="00635FAA" w:rsidRDefault="00BE29D4" w:rsidP="003B4BCE">
            <w:pPr>
              <w:pStyle w:val="Default"/>
              <w:ind w:left="851" w:hanging="851"/>
              <w:jc w:val="center"/>
            </w:pPr>
            <w:r w:rsidRPr="00635FAA">
              <w:rPr>
                <w:rStyle w:val="CommentSubjectChar"/>
              </w:rPr>
              <w:t>500 mg hver 8. time</w:t>
            </w:r>
          </w:p>
        </w:tc>
      </w:tr>
    </w:tbl>
    <w:p w14:paraId="70BDFDD7" w14:textId="77777777" w:rsidR="00BE29D4" w:rsidRPr="00635FAA" w:rsidRDefault="00BE29D4" w:rsidP="00BE29D4">
      <w:pPr>
        <w:pStyle w:val="NormalWeb"/>
        <w:spacing w:before="0" w:beforeAutospacing="0" w:after="0"/>
        <w:ind w:left="851" w:hanging="851"/>
      </w:pPr>
    </w:p>
    <w:p w14:paraId="43C0176B" w14:textId="77777777" w:rsidR="00BE29D4" w:rsidRPr="00635FAA" w:rsidRDefault="00BE29D4" w:rsidP="00BE29D4">
      <w:pPr>
        <w:pStyle w:val="NormalWeb"/>
        <w:numPr>
          <w:ilvl w:val="0"/>
          <w:numId w:val="6"/>
        </w:numPr>
        <w:spacing w:before="0" w:beforeAutospacing="0" w:after="0"/>
        <w:ind w:left="1276" w:hanging="425"/>
      </w:pPr>
      <w:r w:rsidRPr="00635FAA">
        <w:t>Hos patienter med nedsat leverfunktion eller Gilberts syndrom skal dosis reduceres eller dosisintervallet forlænges.</w:t>
      </w:r>
    </w:p>
    <w:p w14:paraId="3B4F3685" w14:textId="77777777" w:rsidR="00BE29D4" w:rsidRPr="00635FAA" w:rsidRDefault="00051A81" w:rsidP="00BE29D4">
      <w:pPr>
        <w:pStyle w:val="NormalWeb"/>
        <w:numPr>
          <w:ilvl w:val="0"/>
          <w:numId w:val="6"/>
        </w:numPr>
        <w:spacing w:before="0" w:beforeAutospacing="0" w:after="0"/>
        <w:ind w:left="1276" w:hanging="425"/>
      </w:pPr>
      <w:r>
        <w:t>Den daglige effektive dosis bør ikke overstige 60 mg/kg/dag. I følgende situationer skal den daglige dosis ikke overstige 2 g/dag:</w:t>
      </w:r>
    </w:p>
    <w:p w14:paraId="68EB4D34" w14:textId="77777777" w:rsidR="00BE29D4" w:rsidRPr="00635FAA" w:rsidRDefault="00BE29D4" w:rsidP="00BE29D4">
      <w:pPr>
        <w:pStyle w:val="ListParagraph"/>
        <w:numPr>
          <w:ilvl w:val="0"/>
          <w:numId w:val="8"/>
        </w:numPr>
        <w:ind w:left="1701" w:hanging="425"/>
      </w:pPr>
      <w:r w:rsidRPr="00635FAA">
        <w:rPr>
          <w:sz w:val="24"/>
          <w:szCs w:val="24"/>
        </w:rPr>
        <w:t>Voksne, som vejer mindre end 50 kg</w:t>
      </w:r>
    </w:p>
    <w:p w14:paraId="25FDA945" w14:textId="77777777" w:rsidR="00BE29D4" w:rsidRPr="00635FAA" w:rsidRDefault="00BE29D4" w:rsidP="00BE29D4">
      <w:pPr>
        <w:pStyle w:val="ListParagraph"/>
        <w:numPr>
          <w:ilvl w:val="0"/>
          <w:numId w:val="8"/>
        </w:numPr>
        <w:ind w:left="1701" w:hanging="425"/>
      </w:pPr>
      <w:r w:rsidRPr="00635FAA">
        <w:rPr>
          <w:sz w:val="24"/>
          <w:szCs w:val="24"/>
        </w:rPr>
        <w:t>Mild til moderat leverinsufficiens, Gilberts syndrom (familiær ikke-hæmolytisk gulsot)</w:t>
      </w:r>
    </w:p>
    <w:p w14:paraId="0F538CB1" w14:textId="77777777" w:rsidR="00BE29D4" w:rsidRPr="00635FAA" w:rsidRDefault="00BE29D4" w:rsidP="00BE29D4">
      <w:pPr>
        <w:pStyle w:val="ListParagraph"/>
        <w:numPr>
          <w:ilvl w:val="0"/>
          <w:numId w:val="8"/>
        </w:numPr>
        <w:ind w:left="1701" w:hanging="425"/>
      </w:pPr>
      <w:r w:rsidRPr="00635FAA">
        <w:rPr>
          <w:sz w:val="24"/>
          <w:szCs w:val="24"/>
        </w:rPr>
        <w:t>Dehydrering</w:t>
      </w:r>
    </w:p>
    <w:p w14:paraId="134926DD" w14:textId="77777777" w:rsidR="00BE29D4" w:rsidRPr="00635FAA" w:rsidRDefault="00BE29D4" w:rsidP="00BE29D4">
      <w:pPr>
        <w:pStyle w:val="ListParagraph"/>
        <w:numPr>
          <w:ilvl w:val="0"/>
          <w:numId w:val="8"/>
        </w:numPr>
        <w:ind w:left="1701" w:hanging="425"/>
      </w:pPr>
      <w:r w:rsidRPr="00635FAA">
        <w:rPr>
          <w:sz w:val="24"/>
          <w:szCs w:val="24"/>
        </w:rPr>
        <w:t>Kronisk underernæring</w:t>
      </w:r>
    </w:p>
    <w:p w14:paraId="7864A77A" w14:textId="77777777" w:rsidR="00BE29D4" w:rsidRPr="00635FAA" w:rsidRDefault="00BE29D4" w:rsidP="00BE29D4">
      <w:pPr>
        <w:pStyle w:val="Default"/>
        <w:ind w:left="851" w:hanging="851"/>
        <w:rPr>
          <w:i/>
          <w:iCs/>
        </w:rPr>
      </w:pPr>
    </w:p>
    <w:p w14:paraId="4879E031" w14:textId="77777777" w:rsidR="00BE29D4" w:rsidRPr="00635FAA" w:rsidRDefault="00BE29D4" w:rsidP="00BE29D4">
      <w:pPr>
        <w:pStyle w:val="Default"/>
        <w:ind w:left="851"/>
        <w:rPr>
          <w:u w:val="single"/>
        </w:rPr>
      </w:pPr>
      <w:r w:rsidRPr="00635FAA">
        <w:rPr>
          <w:rStyle w:val="CommentSubjectChar"/>
          <w:b w:val="0"/>
          <w:u w:val="single"/>
        </w:rPr>
        <w:t xml:space="preserve">Administration: </w:t>
      </w:r>
    </w:p>
    <w:p w14:paraId="069A8ECC" w14:textId="77777777" w:rsidR="00BE29D4" w:rsidRPr="00635FAA" w:rsidRDefault="00BE29D4" w:rsidP="00BE29D4">
      <w:pPr>
        <w:pStyle w:val="Default"/>
        <w:ind w:left="851"/>
      </w:pPr>
      <w:r w:rsidRPr="00635FAA">
        <w:rPr>
          <w:rStyle w:val="CommentSubjectChar"/>
          <w:b w:val="0"/>
        </w:rPr>
        <w:t xml:space="preserve">Tabletten skal synkes med en stor mængde vand eller, hvis det ønskes, opløses i rigeligt vand, som skal omrøres grundigt før det drikkes. </w:t>
      </w:r>
    </w:p>
    <w:p w14:paraId="7264D729" w14:textId="77777777" w:rsidR="00BE29D4" w:rsidRPr="00635FAA" w:rsidRDefault="00BE29D4" w:rsidP="00BE29D4">
      <w:pPr>
        <w:tabs>
          <w:tab w:val="left" w:pos="851"/>
        </w:tabs>
        <w:ind w:left="851" w:hanging="851"/>
        <w:rPr>
          <w:sz w:val="24"/>
          <w:szCs w:val="24"/>
        </w:rPr>
      </w:pPr>
    </w:p>
    <w:p w14:paraId="219F42CC" w14:textId="77777777" w:rsidR="00BE29D4" w:rsidRPr="00635FAA" w:rsidRDefault="00BE29D4" w:rsidP="00BE29D4">
      <w:pPr>
        <w:tabs>
          <w:tab w:val="left" w:pos="851"/>
        </w:tabs>
        <w:ind w:left="851" w:hanging="851"/>
        <w:rPr>
          <w:b/>
          <w:sz w:val="24"/>
          <w:szCs w:val="24"/>
        </w:rPr>
      </w:pPr>
      <w:r w:rsidRPr="00635FAA">
        <w:rPr>
          <w:b/>
          <w:sz w:val="24"/>
          <w:szCs w:val="24"/>
        </w:rPr>
        <w:t>4.3</w:t>
      </w:r>
      <w:r w:rsidRPr="00635FAA">
        <w:rPr>
          <w:b/>
          <w:sz w:val="24"/>
          <w:szCs w:val="24"/>
        </w:rPr>
        <w:tab/>
        <w:t>Kontraindikationer</w:t>
      </w:r>
    </w:p>
    <w:p w14:paraId="75D24C2C"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Overfølsomhed over for paracetamol eller over for et eller flere af hjælpestofferne anført i pkt. 6.1.</w:t>
      </w:r>
    </w:p>
    <w:p w14:paraId="1FC11971" w14:textId="77777777" w:rsidR="00BE29D4" w:rsidRPr="00635FAA" w:rsidRDefault="00BE29D4" w:rsidP="00BE29D4">
      <w:pPr>
        <w:pStyle w:val="Header"/>
        <w:ind w:left="851" w:hanging="851"/>
        <w:rPr>
          <w:color w:val="000000"/>
          <w:szCs w:val="24"/>
        </w:rPr>
      </w:pPr>
      <w:r>
        <w:rPr>
          <w:szCs w:val="24"/>
        </w:rPr>
        <w:tab/>
      </w:r>
      <w:r w:rsidRPr="00635FAA">
        <w:rPr>
          <w:szCs w:val="24"/>
        </w:rPr>
        <w:t>Anvendelse til børn under 6 år</w:t>
      </w:r>
      <w:r>
        <w:rPr>
          <w:szCs w:val="24"/>
        </w:rPr>
        <w:t>.</w:t>
      </w:r>
    </w:p>
    <w:p w14:paraId="4DF9B56E" w14:textId="77777777" w:rsidR="00BE29D4" w:rsidRPr="00635FAA" w:rsidRDefault="00BE29D4" w:rsidP="00BE29D4">
      <w:pPr>
        <w:tabs>
          <w:tab w:val="left" w:pos="851"/>
        </w:tabs>
        <w:ind w:left="851" w:hanging="851"/>
        <w:rPr>
          <w:sz w:val="24"/>
          <w:szCs w:val="24"/>
        </w:rPr>
      </w:pPr>
    </w:p>
    <w:p w14:paraId="7FB20B55" w14:textId="77777777" w:rsidR="00BE29D4" w:rsidRPr="00635FAA" w:rsidRDefault="00BE29D4" w:rsidP="00BE29D4">
      <w:pPr>
        <w:tabs>
          <w:tab w:val="left" w:pos="851"/>
        </w:tabs>
        <w:ind w:left="851" w:hanging="851"/>
        <w:rPr>
          <w:b/>
          <w:sz w:val="24"/>
          <w:szCs w:val="24"/>
        </w:rPr>
      </w:pPr>
      <w:r w:rsidRPr="00635FAA">
        <w:rPr>
          <w:b/>
          <w:sz w:val="24"/>
          <w:szCs w:val="24"/>
        </w:rPr>
        <w:t>4.4</w:t>
      </w:r>
      <w:r w:rsidRPr="00635FAA">
        <w:rPr>
          <w:b/>
          <w:sz w:val="24"/>
          <w:szCs w:val="24"/>
        </w:rPr>
        <w:tab/>
        <w:t>Særlige advarsler og forsigtighedsregler vedrørende brugen</w:t>
      </w:r>
    </w:p>
    <w:p w14:paraId="6C69BBEE" w14:textId="77777777" w:rsidR="00BE29D4" w:rsidRPr="00635FAA" w:rsidRDefault="00BE29D4" w:rsidP="00BE29D4">
      <w:pPr>
        <w:pStyle w:val="Default"/>
        <w:ind w:left="851"/>
      </w:pPr>
      <w:r w:rsidRPr="00635FAA">
        <w:rPr>
          <w:rStyle w:val="CommentSubjectChar"/>
          <w:b w:val="0"/>
        </w:rPr>
        <w:t xml:space="preserve">Længerevarende eller hyppig brug frarådes. </w:t>
      </w:r>
    </w:p>
    <w:p w14:paraId="2F5B83A3" w14:textId="77777777" w:rsidR="00BE29D4" w:rsidRPr="00635FAA" w:rsidRDefault="00BE29D4" w:rsidP="00BE29D4">
      <w:pPr>
        <w:pStyle w:val="Default"/>
        <w:ind w:left="851" w:hanging="851"/>
      </w:pPr>
    </w:p>
    <w:p w14:paraId="64D5C686"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 xml:space="preserve">Patienten </w:t>
      </w:r>
      <w:r>
        <w:rPr>
          <w:color w:val="000000"/>
          <w:sz w:val="24"/>
          <w:szCs w:val="24"/>
        </w:rPr>
        <w:t>informeres om</w:t>
      </w:r>
      <w:r w:rsidRPr="00635FAA">
        <w:rPr>
          <w:color w:val="000000"/>
          <w:sz w:val="24"/>
          <w:szCs w:val="24"/>
        </w:rPr>
        <w:t xml:space="preserve"> ikke samtidig at indtage andre lægemidler, der indeholder paracetamol.</w:t>
      </w:r>
    </w:p>
    <w:p w14:paraId="782DF95D" w14:textId="77777777" w:rsidR="00BE29D4" w:rsidRPr="00635FAA" w:rsidRDefault="00BE29D4" w:rsidP="00BE29D4">
      <w:pPr>
        <w:autoSpaceDE w:val="0"/>
        <w:autoSpaceDN w:val="0"/>
        <w:adjustRightInd w:val="0"/>
        <w:ind w:left="851" w:hanging="851"/>
        <w:rPr>
          <w:color w:val="000000"/>
          <w:sz w:val="24"/>
          <w:szCs w:val="24"/>
        </w:rPr>
      </w:pPr>
    </w:p>
    <w:p w14:paraId="16C45A33"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 xml:space="preserve">Indtagelse af adskillige daglige doser på én gang </w:t>
      </w:r>
      <w:r>
        <w:rPr>
          <w:color w:val="000000"/>
          <w:sz w:val="24"/>
          <w:szCs w:val="24"/>
        </w:rPr>
        <w:t xml:space="preserve">eller overdosering </w:t>
      </w:r>
      <w:r w:rsidRPr="00635FAA">
        <w:rPr>
          <w:color w:val="000000"/>
          <w:sz w:val="24"/>
          <w:szCs w:val="24"/>
        </w:rPr>
        <w:t xml:space="preserve">kan forårsage alvorlig leverskade. I sådanne tilfælde bør der søges omgående lægehjælp, også selvom patienten føler sig veltilpas, på grund af risikoen for irreversible leverskader (se pkt. 4.9). Hos unge, der behandles med 60 mg/kg paracetamol </w:t>
      </w:r>
      <w:r>
        <w:rPr>
          <w:color w:val="000000"/>
          <w:sz w:val="24"/>
          <w:szCs w:val="24"/>
        </w:rPr>
        <w:t>daglig</w:t>
      </w:r>
      <w:r w:rsidRPr="00635FAA">
        <w:rPr>
          <w:color w:val="000000"/>
          <w:sz w:val="24"/>
          <w:szCs w:val="24"/>
        </w:rPr>
        <w:t>, kan samtidig anvendelse af et andet antipyretikum kun berettiges ved udebleven effekt.</w:t>
      </w:r>
    </w:p>
    <w:p w14:paraId="05C52249" w14:textId="77777777" w:rsidR="00BE29D4" w:rsidRPr="00635FAA" w:rsidRDefault="00BE29D4" w:rsidP="00BE29D4">
      <w:pPr>
        <w:autoSpaceDE w:val="0"/>
        <w:autoSpaceDN w:val="0"/>
        <w:adjustRightInd w:val="0"/>
        <w:ind w:left="851" w:hanging="851"/>
        <w:rPr>
          <w:color w:val="000000"/>
          <w:sz w:val="24"/>
          <w:szCs w:val="24"/>
        </w:rPr>
      </w:pPr>
    </w:p>
    <w:p w14:paraId="76C0F021"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 xml:space="preserve">Der bør udvises forsigtighed ved indgift af paracetamol til patienter med svær nyre- eller leverinsufficiens (Child-Pugh &gt; 9), mild til moderat nedsat leverfunktion (inkl. Gilbert syndrom), akut hepatitis, samtidig administration af lægemidler, der påvirker leverfunktionen, glucose-6-phosphatedehyrogenase mangel, hæmolytisk anæmi, alkoholmisbrug, kronisk dehydrering og underernæring. </w:t>
      </w:r>
    </w:p>
    <w:p w14:paraId="62C9293B" w14:textId="77777777" w:rsidR="00BE29D4" w:rsidRPr="00635FAA" w:rsidRDefault="00BE29D4" w:rsidP="00BE29D4">
      <w:pPr>
        <w:autoSpaceDE w:val="0"/>
        <w:autoSpaceDN w:val="0"/>
        <w:adjustRightInd w:val="0"/>
        <w:ind w:left="851" w:hanging="851"/>
        <w:rPr>
          <w:color w:val="000000"/>
          <w:sz w:val="24"/>
          <w:szCs w:val="24"/>
        </w:rPr>
      </w:pPr>
    </w:p>
    <w:p w14:paraId="5A3FB764"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Risikoen for overdosis er større hos patienter med ikke-cirrotiske alkoholbetingede leversygdomme. Der bør udvises forsigtighed i tilfælde af kronisk alkoholisme. Alkohol bør ikke indtages under behandling med paracetamol. Den daglige dosis bør i sådanne tilfælde ikke overskride 2 gram.</w:t>
      </w:r>
    </w:p>
    <w:p w14:paraId="596B53F0"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I tilfælde af høj feber, tegn på sekundær infektion eller vedvarende symptomer udover 3 dage bør behandlingen reevalueres.</w:t>
      </w:r>
    </w:p>
    <w:p w14:paraId="05800B83" w14:textId="77777777" w:rsidR="00BE29D4" w:rsidRPr="00635FAA" w:rsidRDefault="00BE29D4" w:rsidP="00BE29D4">
      <w:pPr>
        <w:autoSpaceDE w:val="0"/>
        <w:autoSpaceDN w:val="0"/>
        <w:adjustRightInd w:val="0"/>
        <w:ind w:left="851" w:hanging="851"/>
        <w:rPr>
          <w:color w:val="000000"/>
          <w:sz w:val="24"/>
          <w:szCs w:val="24"/>
        </w:rPr>
      </w:pPr>
    </w:p>
    <w:p w14:paraId="1C465498"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 xml:space="preserve">Længerevarende behandling (&gt; 3 måneder) med analgetika med anvendelse hver dag eller hyppigere kan føre til hovedpine eller forværring af hovedpine. Hovedpine, der skyldes overforbrug af analgetika (MOH - medicinoverforbrugshovedpine), bør ikke behandles ved at øge dosis. I sådanne tilfælde </w:t>
      </w:r>
      <w:r>
        <w:rPr>
          <w:color w:val="000000"/>
          <w:sz w:val="24"/>
          <w:szCs w:val="24"/>
        </w:rPr>
        <w:t>skal</w:t>
      </w:r>
      <w:r w:rsidRPr="00635FAA">
        <w:rPr>
          <w:color w:val="000000"/>
          <w:sz w:val="24"/>
          <w:szCs w:val="24"/>
        </w:rPr>
        <w:t xml:space="preserve"> analgetika </w:t>
      </w:r>
      <w:r>
        <w:rPr>
          <w:color w:val="000000"/>
          <w:sz w:val="24"/>
          <w:szCs w:val="24"/>
        </w:rPr>
        <w:t>tages</w:t>
      </w:r>
      <w:r w:rsidRPr="00635FAA">
        <w:rPr>
          <w:color w:val="000000"/>
          <w:sz w:val="24"/>
          <w:szCs w:val="24"/>
        </w:rPr>
        <w:t xml:space="preserve"> i samråd med en læge.</w:t>
      </w:r>
    </w:p>
    <w:p w14:paraId="512800F1" w14:textId="77777777" w:rsidR="00BE29D4" w:rsidRPr="00635FAA" w:rsidRDefault="00BE29D4" w:rsidP="00BE29D4">
      <w:pPr>
        <w:autoSpaceDE w:val="0"/>
        <w:autoSpaceDN w:val="0"/>
        <w:adjustRightInd w:val="0"/>
        <w:ind w:left="851" w:hanging="851"/>
        <w:rPr>
          <w:color w:val="000000"/>
          <w:sz w:val="24"/>
          <w:szCs w:val="24"/>
        </w:rPr>
      </w:pPr>
    </w:p>
    <w:p w14:paraId="06B90076"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Der bør udvises forsigtighed hos astmapatienter, der er følsomme over for acetylsalicylsyre, idet der er rapporteret milde reaktioner med bronkospasme og paracetamol (krydsreaktion).</w:t>
      </w:r>
    </w:p>
    <w:p w14:paraId="0253595B" w14:textId="77777777" w:rsidR="00BE29D4" w:rsidRPr="00635FAA" w:rsidRDefault="00BE29D4" w:rsidP="00BE29D4">
      <w:pPr>
        <w:tabs>
          <w:tab w:val="left" w:pos="851"/>
        </w:tabs>
        <w:ind w:left="851" w:hanging="851"/>
        <w:rPr>
          <w:sz w:val="24"/>
          <w:szCs w:val="24"/>
        </w:rPr>
      </w:pPr>
    </w:p>
    <w:p w14:paraId="5297AB29" w14:textId="77777777" w:rsidR="00BE29D4" w:rsidRPr="00635FAA" w:rsidRDefault="00BE29D4" w:rsidP="00BE29D4">
      <w:pPr>
        <w:tabs>
          <w:tab w:val="left" w:pos="851"/>
        </w:tabs>
        <w:ind w:left="851" w:hanging="851"/>
        <w:rPr>
          <w:b/>
          <w:sz w:val="24"/>
          <w:szCs w:val="24"/>
        </w:rPr>
      </w:pPr>
      <w:r w:rsidRPr="00635FAA">
        <w:rPr>
          <w:b/>
          <w:sz w:val="24"/>
          <w:szCs w:val="24"/>
        </w:rPr>
        <w:t>4.5</w:t>
      </w:r>
      <w:r w:rsidRPr="00635FAA">
        <w:rPr>
          <w:b/>
          <w:sz w:val="24"/>
          <w:szCs w:val="24"/>
        </w:rPr>
        <w:tab/>
        <w:t>Interaktion med andre lægemidler og andre former for interaktion</w:t>
      </w:r>
    </w:p>
    <w:p w14:paraId="1F8E1918" w14:textId="77777777" w:rsidR="00BE29D4" w:rsidRPr="00635FAA" w:rsidRDefault="00BE29D4" w:rsidP="00BE29D4">
      <w:pPr>
        <w:pStyle w:val="Header"/>
        <w:ind w:left="851" w:hanging="851"/>
        <w:rPr>
          <w:szCs w:val="24"/>
        </w:rPr>
      </w:pPr>
      <w:r>
        <w:rPr>
          <w:szCs w:val="24"/>
        </w:rPr>
        <w:tab/>
      </w:r>
      <w:r w:rsidRPr="00635FAA">
        <w:rPr>
          <w:szCs w:val="24"/>
        </w:rPr>
        <w:t xml:space="preserve">Metoclopramid og domperidon kan øge absorptionshastigheden af paracetamol og absorption kan reduceres af colestyramin. Den antikoagulative effekt af warfarin og andre coumariner kan øges ved langvarigt </w:t>
      </w:r>
      <w:r>
        <w:rPr>
          <w:szCs w:val="24"/>
        </w:rPr>
        <w:t>daglig</w:t>
      </w:r>
      <w:r w:rsidRPr="00635FAA">
        <w:rPr>
          <w:szCs w:val="24"/>
        </w:rPr>
        <w:t xml:space="preserve"> indtag af paracetamol med øget risiko for blødninger. Lejlighedsvis indtag har ingen signifikant effekt.</w:t>
      </w:r>
    </w:p>
    <w:p w14:paraId="296565FE" w14:textId="77777777" w:rsidR="00BE29D4" w:rsidRPr="00635FAA" w:rsidRDefault="00BE29D4" w:rsidP="00BE29D4">
      <w:pPr>
        <w:pStyle w:val="Header"/>
        <w:ind w:left="851" w:hanging="851"/>
        <w:rPr>
          <w:szCs w:val="24"/>
        </w:rPr>
      </w:pPr>
    </w:p>
    <w:p w14:paraId="3206848F" w14:textId="77777777" w:rsidR="00BE29D4" w:rsidRPr="00635FAA" w:rsidRDefault="00BE29D4" w:rsidP="00BE29D4">
      <w:pPr>
        <w:pStyle w:val="Header"/>
        <w:ind w:left="851" w:hanging="851"/>
        <w:rPr>
          <w:szCs w:val="24"/>
        </w:rPr>
      </w:pPr>
      <w:r>
        <w:rPr>
          <w:szCs w:val="24"/>
        </w:rPr>
        <w:tab/>
      </w:r>
      <w:r w:rsidRPr="00635FAA">
        <w:rPr>
          <w:szCs w:val="24"/>
        </w:rPr>
        <w:t>Paracetamol metaboliseres i stor udstrækning i leveren og kan derfor interagere med andre lægemidler, som har samme metaboliseringsvej, eller som kan hæmme eller inducere sådanne metaboliseringsveje. Kronisk alkoholindtag eller anvendelse af andre stoffer, som kan inducere leverenzymer, f.eks. rifampicin, barbiturater, nogle antiepileptika (f.eks. carbamazepin, fenytoin, fenobarbital, pirimidon) og prikbladet perikum (Hypericum perforatum), kan øge paracetamols levertoksicitet på grund af øget og hurtigere dannelse af toksiske metabolitter. Der bør derfor udvises forsigtighed ved samtidig indgift af enzyminducerende stoffer.</w:t>
      </w:r>
    </w:p>
    <w:p w14:paraId="3F184022" w14:textId="77777777" w:rsidR="00BE29D4" w:rsidRPr="00635FAA" w:rsidRDefault="00BE29D4" w:rsidP="00BE29D4">
      <w:pPr>
        <w:pStyle w:val="Header"/>
        <w:ind w:left="851" w:hanging="851"/>
        <w:rPr>
          <w:szCs w:val="24"/>
        </w:rPr>
      </w:pPr>
    </w:p>
    <w:p w14:paraId="20613E8E" w14:textId="77777777" w:rsidR="00BE29D4" w:rsidRPr="00635FAA" w:rsidRDefault="00BE29D4" w:rsidP="00BE29D4">
      <w:pPr>
        <w:pStyle w:val="Header"/>
        <w:ind w:left="851" w:hanging="851"/>
        <w:rPr>
          <w:szCs w:val="24"/>
        </w:rPr>
      </w:pPr>
      <w:r>
        <w:rPr>
          <w:szCs w:val="24"/>
        </w:rPr>
        <w:tab/>
      </w:r>
      <w:r w:rsidRPr="00635FAA">
        <w:rPr>
          <w:szCs w:val="24"/>
        </w:rPr>
        <w:t>Probenecid hæmmer bindingen af paracetamol til glucuronsyre, da probenecid næsten halverer clearance af paracetamol. Ved samtidig behandling med probenecid bør der overvejes dosisreduktion.</w:t>
      </w:r>
    </w:p>
    <w:p w14:paraId="4DA99E22" w14:textId="77777777" w:rsidR="00BE29D4" w:rsidRPr="00635FAA" w:rsidRDefault="00BE29D4" w:rsidP="00BE29D4">
      <w:pPr>
        <w:pStyle w:val="Header"/>
        <w:ind w:left="851" w:hanging="851"/>
        <w:rPr>
          <w:szCs w:val="24"/>
        </w:rPr>
      </w:pPr>
    </w:p>
    <w:p w14:paraId="7F24624D" w14:textId="77777777" w:rsidR="00BE29D4" w:rsidRPr="00635FAA" w:rsidRDefault="00BE29D4" w:rsidP="00BE29D4">
      <w:pPr>
        <w:pStyle w:val="Header"/>
        <w:ind w:left="851" w:hanging="851"/>
        <w:rPr>
          <w:szCs w:val="24"/>
        </w:rPr>
      </w:pPr>
      <w:r>
        <w:rPr>
          <w:szCs w:val="24"/>
        </w:rPr>
        <w:tab/>
      </w:r>
      <w:r w:rsidRPr="00635FAA">
        <w:rPr>
          <w:szCs w:val="24"/>
        </w:rPr>
        <w:t>Paracetamol kan øge plasmakoncentrationen for kloramfenikol.</w:t>
      </w:r>
    </w:p>
    <w:p w14:paraId="31DC3004" w14:textId="77777777" w:rsidR="00BE29D4" w:rsidRPr="00635FAA" w:rsidRDefault="00BE29D4" w:rsidP="00BE29D4">
      <w:pPr>
        <w:pStyle w:val="Header"/>
        <w:ind w:left="851" w:hanging="851"/>
        <w:rPr>
          <w:szCs w:val="24"/>
        </w:rPr>
      </w:pPr>
    </w:p>
    <w:p w14:paraId="672ACFA9" w14:textId="77777777" w:rsidR="00BE29D4" w:rsidRPr="00635FAA" w:rsidRDefault="00BE29D4" w:rsidP="00BE29D4">
      <w:pPr>
        <w:pStyle w:val="Header"/>
        <w:ind w:left="851" w:hanging="851"/>
        <w:rPr>
          <w:szCs w:val="24"/>
        </w:rPr>
      </w:pPr>
      <w:r>
        <w:rPr>
          <w:szCs w:val="24"/>
        </w:rPr>
        <w:tab/>
        <w:t>Ved vedvarende samtidig brug af paracetamol og zidovudin forekommer der ofte neutropeni, sandsynligvis på grund af zidovudins reducerende metabolisme.</w:t>
      </w:r>
    </w:p>
    <w:p w14:paraId="706D67CC" w14:textId="77777777" w:rsidR="00BE29D4" w:rsidRPr="00635FAA" w:rsidRDefault="00BE29D4" w:rsidP="00BE29D4">
      <w:pPr>
        <w:pStyle w:val="Header"/>
        <w:ind w:left="851" w:hanging="851"/>
        <w:rPr>
          <w:szCs w:val="24"/>
        </w:rPr>
      </w:pPr>
    </w:p>
    <w:p w14:paraId="30340268" w14:textId="77777777" w:rsidR="00BE29D4" w:rsidRPr="00635FAA" w:rsidRDefault="00BE29D4" w:rsidP="00BE29D4">
      <w:pPr>
        <w:pStyle w:val="Header"/>
        <w:ind w:left="851" w:hanging="851"/>
        <w:rPr>
          <w:szCs w:val="24"/>
        </w:rPr>
      </w:pPr>
      <w:r>
        <w:rPr>
          <w:szCs w:val="24"/>
        </w:rPr>
        <w:tab/>
      </w:r>
      <w:r w:rsidRPr="00635FAA">
        <w:rPr>
          <w:szCs w:val="24"/>
        </w:rPr>
        <w:t>Salicylamid kan øge eliminationshalveringstiden af paracetamol.</w:t>
      </w:r>
    </w:p>
    <w:p w14:paraId="564D2F04" w14:textId="77777777" w:rsidR="00BE29D4" w:rsidRPr="00635FAA" w:rsidRDefault="00BE29D4" w:rsidP="00BE29D4">
      <w:pPr>
        <w:pStyle w:val="Header"/>
        <w:ind w:left="851" w:hanging="851"/>
        <w:rPr>
          <w:szCs w:val="24"/>
        </w:rPr>
      </w:pPr>
    </w:p>
    <w:p w14:paraId="6A11811F" w14:textId="77777777" w:rsidR="00BE29D4" w:rsidRPr="00635FAA" w:rsidRDefault="00BE29D4" w:rsidP="00BE29D4">
      <w:pPr>
        <w:pStyle w:val="Header"/>
        <w:ind w:left="851" w:hanging="851"/>
        <w:rPr>
          <w:szCs w:val="24"/>
        </w:rPr>
      </w:pPr>
      <w:r>
        <w:rPr>
          <w:szCs w:val="24"/>
        </w:rPr>
        <w:tab/>
        <w:t>Ved at hæmme paracetamols metabolisme i leveren reducerer isoniazid paracetamols clearance, med mulig forstærkning af virkning og/eller toksicitet.</w:t>
      </w:r>
    </w:p>
    <w:p w14:paraId="3C9365D8" w14:textId="77777777" w:rsidR="00BE29D4" w:rsidRPr="00635FAA" w:rsidRDefault="00BE29D4" w:rsidP="00BE29D4">
      <w:pPr>
        <w:pStyle w:val="Header"/>
        <w:ind w:left="851" w:hanging="851"/>
        <w:rPr>
          <w:szCs w:val="24"/>
        </w:rPr>
      </w:pPr>
    </w:p>
    <w:p w14:paraId="7DB6D24D" w14:textId="77777777" w:rsidR="00BE29D4" w:rsidRPr="00635FAA" w:rsidRDefault="00BE29D4" w:rsidP="00BE29D4">
      <w:pPr>
        <w:pStyle w:val="Header"/>
        <w:ind w:left="851" w:hanging="851"/>
        <w:rPr>
          <w:szCs w:val="24"/>
        </w:rPr>
      </w:pPr>
      <w:r>
        <w:rPr>
          <w:szCs w:val="24"/>
        </w:rPr>
        <w:tab/>
      </w:r>
      <w:r w:rsidRPr="00635FAA">
        <w:rPr>
          <w:szCs w:val="24"/>
        </w:rPr>
        <w:t>Paracetamol kan nedsætte biotilgængeligheden af lamotrigin, med mulig nedsat effekt, på grund af mulig induktion af dens metabolisme i leveren.</w:t>
      </w:r>
    </w:p>
    <w:p w14:paraId="69AED512" w14:textId="77777777" w:rsidR="00BE29D4" w:rsidRPr="00635FAA" w:rsidRDefault="00BE29D4" w:rsidP="00BE29D4">
      <w:pPr>
        <w:pStyle w:val="Header"/>
        <w:ind w:left="851" w:hanging="851"/>
        <w:rPr>
          <w:szCs w:val="24"/>
        </w:rPr>
      </w:pPr>
    </w:p>
    <w:p w14:paraId="7331128A" w14:textId="77777777" w:rsidR="00BE29D4" w:rsidRPr="00635FAA" w:rsidRDefault="00BE29D4" w:rsidP="00BE29D4">
      <w:pPr>
        <w:pStyle w:val="Header"/>
        <w:ind w:left="851" w:hanging="851"/>
        <w:rPr>
          <w:szCs w:val="24"/>
          <w:u w:val="single"/>
        </w:rPr>
      </w:pPr>
      <w:r w:rsidRPr="00635FAA">
        <w:rPr>
          <w:szCs w:val="24"/>
        </w:rPr>
        <w:tab/>
      </w:r>
      <w:r w:rsidRPr="00635FAA">
        <w:rPr>
          <w:szCs w:val="24"/>
          <w:u w:val="single"/>
        </w:rPr>
        <w:t>Interferens med laboratorieprøver</w:t>
      </w:r>
    </w:p>
    <w:p w14:paraId="3CA133C4" w14:textId="77777777" w:rsidR="00BE29D4" w:rsidRPr="00635FAA" w:rsidRDefault="00BE29D4" w:rsidP="00BE29D4">
      <w:pPr>
        <w:pStyle w:val="Header"/>
        <w:ind w:left="851" w:hanging="851"/>
        <w:rPr>
          <w:szCs w:val="24"/>
        </w:rPr>
      </w:pPr>
      <w:r>
        <w:rPr>
          <w:szCs w:val="24"/>
        </w:rPr>
        <w:tab/>
      </w:r>
      <w:r w:rsidRPr="00635FAA">
        <w:rPr>
          <w:szCs w:val="24"/>
        </w:rPr>
        <w:t>Paracetamol kan påvirke test for urinsyre og test for blodsukker (glucose-oxydase-peroxydase).</w:t>
      </w:r>
    </w:p>
    <w:p w14:paraId="0F4BB4F5" w14:textId="77777777" w:rsidR="00BE29D4" w:rsidRPr="00635FAA" w:rsidRDefault="00BE29D4" w:rsidP="00BE29D4">
      <w:pPr>
        <w:tabs>
          <w:tab w:val="left" w:pos="851"/>
        </w:tabs>
        <w:ind w:left="851" w:hanging="851"/>
        <w:rPr>
          <w:sz w:val="24"/>
          <w:szCs w:val="24"/>
        </w:rPr>
      </w:pPr>
    </w:p>
    <w:p w14:paraId="6669CACE" w14:textId="77777777" w:rsidR="00BE29D4" w:rsidRPr="00635FAA" w:rsidRDefault="00BE29D4" w:rsidP="00BE29D4">
      <w:pPr>
        <w:tabs>
          <w:tab w:val="left" w:pos="851"/>
        </w:tabs>
        <w:ind w:left="851" w:hanging="851"/>
        <w:rPr>
          <w:b/>
          <w:sz w:val="24"/>
          <w:szCs w:val="24"/>
        </w:rPr>
      </w:pPr>
      <w:r w:rsidRPr="00635FAA">
        <w:rPr>
          <w:b/>
          <w:sz w:val="24"/>
          <w:szCs w:val="24"/>
        </w:rPr>
        <w:t>4.6</w:t>
      </w:r>
      <w:r w:rsidRPr="00635FAA">
        <w:rPr>
          <w:b/>
          <w:sz w:val="24"/>
          <w:szCs w:val="24"/>
        </w:rPr>
        <w:tab/>
        <w:t>Graviditet og amning</w:t>
      </w:r>
    </w:p>
    <w:p w14:paraId="03963CB2" w14:textId="77777777" w:rsidR="00BE29D4" w:rsidRDefault="00BE29D4" w:rsidP="00BE29D4">
      <w:pPr>
        <w:pStyle w:val="Header"/>
        <w:ind w:left="851" w:hanging="851"/>
        <w:rPr>
          <w:color w:val="000000"/>
          <w:szCs w:val="24"/>
          <w:u w:val="single"/>
        </w:rPr>
      </w:pPr>
    </w:p>
    <w:p w14:paraId="35A335CE" w14:textId="77777777" w:rsidR="00BE29D4" w:rsidRPr="00635FAA" w:rsidRDefault="00BE29D4" w:rsidP="00BE29D4">
      <w:pPr>
        <w:pStyle w:val="Header"/>
        <w:ind w:left="851" w:hanging="851"/>
        <w:rPr>
          <w:szCs w:val="24"/>
          <w:u w:val="single"/>
        </w:rPr>
      </w:pPr>
      <w:r w:rsidRPr="00635FAA">
        <w:rPr>
          <w:szCs w:val="24"/>
        </w:rPr>
        <w:tab/>
      </w:r>
      <w:r w:rsidRPr="00635FAA">
        <w:rPr>
          <w:szCs w:val="24"/>
          <w:u w:val="single"/>
        </w:rPr>
        <w:t>Fertilitet:</w:t>
      </w:r>
    </w:p>
    <w:p w14:paraId="51540211" w14:textId="77777777" w:rsidR="00BE29D4" w:rsidRPr="00635FAA" w:rsidRDefault="00BE29D4" w:rsidP="00BE29D4">
      <w:pPr>
        <w:pStyle w:val="Header"/>
        <w:ind w:left="851" w:hanging="851"/>
        <w:rPr>
          <w:szCs w:val="24"/>
        </w:rPr>
      </w:pPr>
      <w:r>
        <w:rPr>
          <w:szCs w:val="24"/>
        </w:rPr>
        <w:tab/>
      </w:r>
      <w:r w:rsidRPr="00635FAA">
        <w:rPr>
          <w:szCs w:val="24"/>
        </w:rPr>
        <w:t>Der er ingen kendte skadelige virkninger på fertilitet ved normal brug af paracetamol.</w:t>
      </w:r>
    </w:p>
    <w:p w14:paraId="1EE0250A" w14:textId="77777777" w:rsidR="00BE29D4" w:rsidRDefault="00BE29D4" w:rsidP="00BE29D4">
      <w:pPr>
        <w:pStyle w:val="Header"/>
        <w:ind w:left="851" w:hanging="851"/>
        <w:rPr>
          <w:color w:val="000000"/>
          <w:szCs w:val="24"/>
          <w:u w:val="single"/>
        </w:rPr>
      </w:pPr>
    </w:p>
    <w:p w14:paraId="17F9A277" w14:textId="77777777" w:rsidR="00BE29D4" w:rsidRPr="00635FAA" w:rsidRDefault="00BE29D4" w:rsidP="00BE29D4">
      <w:pPr>
        <w:pStyle w:val="Header"/>
        <w:ind w:left="851" w:hanging="851"/>
        <w:rPr>
          <w:color w:val="000000"/>
          <w:szCs w:val="24"/>
          <w:u w:val="single"/>
        </w:rPr>
      </w:pPr>
      <w:r w:rsidRPr="00635FAA">
        <w:rPr>
          <w:color w:val="000000"/>
          <w:szCs w:val="24"/>
        </w:rPr>
        <w:tab/>
      </w:r>
      <w:r w:rsidRPr="00635FAA">
        <w:rPr>
          <w:color w:val="000000"/>
          <w:szCs w:val="24"/>
          <w:u w:val="single"/>
        </w:rPr>
        <w:t>Graviditet:</w:t>
      </w:r>
    </w:p>
    <w:p w14:paraId="5EDA5AB0" w14:textId="77777777" w:rsidR="00BE29D4" w:rsidRPr="00635FAA" w:rsidRDefault="00BE29D4" w:rsidP="00BE29D4">
      <w:pPr>
        <w:pStyle w:val="Header"/>
        <w:ind w:left="851" w:hanging="851"/>
        <w:rPr>
          <w:color w:val="000000"/>
          <w:szCs w:val="24"/>
        </w:rPr>
      </w:pPr>
      <w:r>
        <w:rPr>
          <w:color w:val="000000"/>
          <w:szCs w:val="24"/>
        </w:rPr>
        <w:tab/>
      </w:r>
      <w:r w:rsidRPr="00AC1EFB">
        <w:rPr>
          <w:color w:val="000000"/>
          <w:szCs w:val="24"/>
        </w:rPr>
        <w:t xml:space="preserve">En stor mængde data for gravide kvinder peger hverken på risiko for misdannelser eller toksicitet hos fosteret/den nyfødte. Epidemiologiske studier af den neurologiske udvikling hos børn, der eksponeres for paracetamol i uterus, viser inkonklusive resultater. Paracetamol kan anvendes under graviditet, hvis det er klinisk indiceret, men bør tages i den laveste effektive dosis, så kort tid som muligt og med lavest mulige hyppighed. </w:t>
      </w:r>
    </w:p>
    <w:p w14:paraId="79D5F943" w14:textId="77777777" w:rsidR="00BE29D4" w:rsidRPr="00635FAA" w:rsidRDefault="00BE29D4" w:rsidP="00BE29D4">
      <w:pPr>
        <w:pStyle w:val="Header"/>
        <w:ind w:left="851" w:hanging="851"/>
        <w:rPr>
          <w:color w:val="000000"/>
          <w:szCs w:val="24"/>
          <w:u w:val="single"/>
        </w:rPr>
      </w:pPr>
      <w:r w:rsidRPr="00635FAA">
        <w:rPr>
          <w:color w:val="000000"/>
          <w:szCs w:val="24"/>
        </w:rPr>
        <w:tab/>
      </w:r>
      <w:r w:rsidRPr="00635FAA">
        <w:rPr>
          <w:color w:val="000000"/>
          <w:szCs w:val="24"/>
          <w:u w:val="single"/>
        </w:rPr>
        <w:t>Amning:</w:t>
      </w:r>
    </w:p>
    <w:p w14:paraId="20C86BB0"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Paracetamol udskilles i modermælk, men ikke i en klinisk signifikant mængde. Der er ikke rapporteret bivirkninger hos spædbørn. Paracetamol kan anvendes af ammende kvinder, så længe den anbefalede dosis ikke overskrides. Der bør udvises forsigtighed ved længerevarende brug.</w:t>
      </w:r>
    </w:p>
    <w:p w14:paraId="43D80B97" w14:textId="77777777" w:rsidR="00BE29D4" w:rsidRPr="00635FAA" w:rsidRDefault="00BE29D4" w:rsidP="00BE29D4">
      <w:pPr>
        <w:pStyle w:val="Header"/>
        <w:ind w:left="851" w:hanging="851"/>
        <w:rPr>
          <w:szCs w:val="24"/>
        </w:rPr>
      </w:pPr>
    </w:p>
    <w:p w14:paraId="524172BA" w14:textId="77777777" w:rsidR="00BE29D4" w:rsidRPr="00635FAA" w:rsidRDefault="00BE29D4" w:rsidP="00BE29D4">
      <w:pPr>
        <w:tabs>
          <w:tab w:val="left" w:pos="851"/>
        </w:tabs>
        <w:ind w:left="851" w:hanging="851"/>
        <w:rPr>
          <w:b/>
          <w:sz w:val="24"/>
          <w:szCs w:val="24"/>
        </w:rPr>
      </w:pPr>
      <w:r w:rsidRPr="00635FAA">
        <w:rPr>
          <w:b/>
          <w:sz w:val="24"/>
          <w:szCs w:val="24"/>
        </w:rPr>
        <w:t>4.7</w:t>
      </w:r>
      <w:r w:rsidRPr="00635FAA">
        <w:rPr>
          <w:b/>
          <w:sz w:val="24"/>
          <w:szCs w:val="24"/>
        </w:rPr>
        <w:tab/>
        <w:t>Virkninger på evnen til at føre motorkøretøj eller betjene maskiner</w:t>
      </w:r>
    </w:p>
    <w:p w14:paraId="33DB1F5D" w14:textId="77777777" w:rsidR="00BE29D4" w:rsidRDefault="00BE29D4" w:rsidP="00BE29D4">
      <w:pPr>
        <w:pStyle w:val="NormalWeb"/>
        <w:spacing w:before="0" w:beforeAutospacing="0" w:after="0"/>
        <w:ind w:left="851"/>
      </w:pPr>
      <w:r>
        <w:t>Ikke mærkning.</w:t>
      </w:r>
    </w:p>
    <w:p w14:paraId="784F0BCC" w14:textId="77777777" w:rsidR="00BE29D4" w:rsidRPr="00635FAA" w:rsidRDefault="00BE29D4" w:rsidP="00BE29D4">
      <w:pPr>
        <w:pStyle w:val="NormalWeb"/>
        <w:spacing w:before="0" w:beforeAutospacing="0" w:after="0"/>
        <w:ind w:left="851"/>
      </w:pPr>
      <w:r w:rsidRPr="00635FAA">
        <w:t xml:space="preserve">Paracetamol </w:t>
      </w:r>
      <w:r>
        <w:t>"Accord"</w:t>
      </w:r>
      <w:r w:rsidRPr="00635FAA">
        <w:t xml:space="preserve"> 500 mg tabletter påvirker ikke eller i ubetydelig grad evnen til at føre motorkøretøj eller betjene maskiner.</w:t>
      </w:r>
    </w:p>
    <w:p w14:paraId="0B848939" w14:textId="77777777" w:rsidR="00BE29D4" w:rsidRPr="00635FAA" w:rsidRDefault="00BE29D4" w:rsidP="00BE29D4">
      <w:pPr>
        <w:tabs>
          <w:tab w:val="left" w:pos="851"/>
        </w:tabs>
        <w:ind w:left="851" w:hanging="851"/>
        <w:rPr>
          <w:sz w:val="24"/>
          <w:szCs w:val="24"/>
        </w:rPr>
      </w:pPr>
    </w:p>
    <w:p w14:paraId="769109C6" w14:textId="77777777" w:rsidR="00BE29D4" w:rsidRPr="00635FAA" w:rsidRDefault="00BE29D4" w:rsidP="00BE29D4">
      <w:pPr>
        <w:tabs>
          <w:tab w:val="left" w:pos="851"/>
        </w:tabs>
        <w:ind w:left="851" w:hanging="851"/>
        <w:rPr>
          <w:b/>
          <w:sz w:val="24"/>
          <w:szCs w:val="24"/>
        </w:rPr>
      </w:pPr>
      <w:r w:rsidRPr="00635FAA">
        <w:rPr>
          <w:b/>
          <w:sz w:val="24"/>
          <w:szCs w:val="24"/>
        </w:rPr>
        <w:t>4.8</w:t>
      </w:r>
      <w:r w:rsidRPr="00635FAA">
        <w:rPr>
          <w:b/>
          <w:sz w:val="24"/>
          <w:szCs w:val="24"/>
        </w:rPr>
        <w:tab/>
        <w:t>Bivirkninger</w:t>
      </w:r>
    </w:p>
    <w:p w14:paraId="3530E85E"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I terapeutiske doser er der kun få bivirkninger.</w:t>
      </w:r>
    </w:p>
    <w:p w14:paraId="304F264E"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 xml:space="preserve">Bivirkningernes hyppighed klassificeres som følger: </w:t>
      </w:r>
      <w:r w:rsidRPr="00635FAA">
        <w:rPr>
          <w:sz w:val="24"/>
          <w:szCs w:val="24"/>
        </w:rPr>
        <w:t>Meget almindelig (</w:t>
      </w:r>
      <w:r w:rsidRPr="00635FAA">
        <w:rPr>
          <w:sz w:val="24"/>
          <w:szCs w:val="24"/>
          <w:cs/>
        </w:rPr>
        <w:t xml:space="preserve">≥ </w:t>
      </w:r>
      <w:r w:rsidRPr="00635FAA">
        <w:rPr>
          <w:sz w:val="24"/>
          <w:szCs w:val="24"/>
        </w:rPr>
        <w:t>1/10), almindelig (</w:t>
      </w:r>
      <w:r w:rsidRPr="00635FAA">
        <w:rPr>
          <w:sz w:val="24"/>
          <w:szCs w:val="24"/>
          <w:cs/>
        </w:rPr>
        <w:t xml:space="preserve">≥ </w:t>
      </w:r>
      <w:r w:rsidRPr="00635FAA">
        <w:rPr>
          <w:sz w:val="24"/>
          <w:szCs w:val="24"/>
        </w:rPr>
        <w:t>1/100 til &lt; 1/10), ikke almindelig (</w:t>
      </w:r>
      <w:r w:rsidRPr="00635FAA">
        <w:rPr>
          <w:sz w:val="24"/>
          <w:szCs w:val="24"/>
          <w:cs/>
        </w:rPr>
        <w:t xml:space="preserve">≥ </w:t>
      </w:r>
      <w:r w:rsidRPr="00635FAA">
        <w:rPr>
          <w:sz w:val="24"/>
          <w:szCs w:val="24"/>
        </w:rPr>
        <w:t>1/1.000 til &lt; 1/100), sjælden (</w:t>
      </w:r>
      <w:r w:rsidRPr="00635FAA">
        <w:rPr>
          <w:sz w:val="24"/>
          <w:szCs w:val="24"/>
          <w:cs/>
        </w:rPr>
        <w:t xml:space="preserve">≥ </w:t>
      </w:r>
      <w:r w:rsidRPr="00635FAA">
        <w:rPr>
          <w:sz w:val="24"/>
          <w:szCs w:val="24"/>
        </w:rPr>
        <w:t xml:space="preserve">1/10.000 til &lt; 1/1.000), meget sjælden (&lt; 1/10.000), ikke kendt (kan ikke estimeres ud fra forhåndenværende data).   </w:t>
      </w:r>
    </w:p>
    <w:p w14:paraId="677D551A" w14:textId="77777777" w:rsidR="00BE29D4" w:rsidRPr="00635FAA" w:rsidRDefault="00BE29D4" w:rsidP="00BE29D4">
      <w:pPr>
        <w:pStyle w:val="Header"/>
        <w:ind w:left="851" w:hanging="851"/>
        <w:rPr>
          <w:b/>
          <w:color w:val="000000"/>
          <w:szCs w:val="24"/>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935"/>
        <w:gridCol w:w="4859"/>
      </w:tblGrid>
      <w:tr w:rsidR="00BE29D4" w:rsidRPr="00635FAA" w14:paraId="4B6B9A40" w14:textId="77777777" w:rsidTr="003B4BCE">
        <w:tc>
          <w:tcPr>
            <w:tcW w:w="1636" w:type="pct"/>
          </w:tcPr>
          <w:p w14:paraId="4E36AD52" w14:textId="77777777" w:rsidR="00BE29D4" w:rsidRPr="00635FAA" w:rsidRDefault="00BE29D4" w:rsidP="003B4BCE">
            <w:pPr>
              <w:rPr>
                <w:sz w:val="24"/>
                <w:szCs w:val="24"/>
              </w:rPr>
            </w:pPr>
            <w:r w:rsidRPr="00635FAA">
              <w:rPr>
                <w:b/>
                <w:sz w:val="24"/>
                <w:szCs w:val="24"/>
              </w:rPr>
              <w:t xml:space="preserve">Systemorganklasse </w:t>
            </w:r>
          </w:p>
          <w:p w14:paraId="22A40BB1" w14:textId="77777777" w:rsidR="00BE29D4" w:rsidRPr="00635FAA" w:rsidRDefault="00BE29D4" w:rsidP="003B4BCE">
            <w:pPr>
              <w:rPr>
                <w:color w:val="000000"/>
                <w:sz w:val="24"/>
                <w:szCs w:val="24"/>
              </w:rPr>
            </w:pPr>
          </w:p>
        </w:tc>
        <w:tc>
          <w:tcPr>
            <w:tcW w:w="958" w:type="pct"/>
          </w:tcPr>
          <w:p w14:paraId="0A61442B" w14:textId="77777777" w:rsidR="00BE29D4" w:rsidRPr="00635FAA" w:rsidRDefault="00BE29D4" w:rsidP="003B4BCE">
            <w:pPr>
              <w:rPr>
                <w:sz w:val="24"/>
                <w:szCs w:val="24"/>
              </w:rPr>
            </w:pPr>
            <w:r w:rsidRPr="00635FAA">
              <w:rPr>
                <w:b/>
                <w:sz w:val="24"/>
                <w:szCs w:val="24"/>
              </w:rPr>
              <w:t xml:space="preserve">Hyppighed </w:t>
            </w:r>
          </w:p>
          <w:p w14:paraId="5080E84E" w14:textId="77777777" w:rsidR="00BE29D4" w:rsidRPr="00635FAA" w:rsidRDefault="00BE29D4" w:rsidP="003B4BCE">
            <w:pPr>
              <w:rPr>
                <w:color w:val="000000"/>
                <w:sz w:val="24"/>
                <w:szCs w:val="24"/>
              </w:rPr>
            </w:pPr>
          </w:p>
        </w:tc>
        <w:tc>
          <w:tcPr>
            <w:tcW w:w="2405" w:type="pct"/>
          </w:tcPr>
          <w:p w14:paraId="7C5CEB7F" w14:textId="77777777" w:rsidR="00BE29D4" w:rsidRPr="00635FAA" w:rsidRDefault="00BE29D4" w:rsidP="003B4BCE">
            <w:pPr>
              <w:rPr>
                <w:sz w:val="24"/>
                <w:szCs w:val="24"/>
              </w:rPr>
            </w:pPr>
            <w:r w:rsidRPr="00635FAA">
              <w:rPr>
                <w:b/>
                <w:sz w:val="24"/>
                <w:szCs w:val="24"/>
              </w:rPr>
              <w:t xml:space="preserve">Bivirkninger </w:t>
            </w:r>
          </w:p>
          <w:p w14:paraId="13C36E4F" w14:textId="77777777" w:rsidR="00BE29D4" w:rsidRPr="00635FAA" w:rsidRDefault="00BE29D4" w:rsidP="003B4BCE">
            <w:pPr>
              <w:rPr>
                <w:color w:val="000000"/>
                <w:sz w:val="24"/>
                <w:szCs w:val="24"/>
              </w:rPr>
            </w:pPr>
          </w:p>
        </w:tc>
      </w:tr>
      <w:tr w:rsidR="00BE29D4" w:rsidRPr="00635FAA" w14:paraId="2859A298" w14:textId="77777777" w:rsidTr="003B4BCE">
        <w:tc>
          <w:tcPr>
            <w:tcW w:w="1636" w:type="pct"/>
            <w:vMerge w:val="restart"/>
          </w:tcPr>
          <w:p w14:paraId="7A096303" w14:textId="77777777" w:rsidR="00BE29D4" w:rsidRPr="00635FAA" w:rsidRDefault="00BE29D4" w:rsidP="003B4BCE">
            <w:pPr>
              <w:rPr>
                <w:sz w:val="24"/>
                <w:szCs w:val="24"/>
              </w:rPr>
            </w:pPr>
            <w:r w:rsidRPr="00635FAA">
              <w:rPr>
                <w:b/>
                <w:sz w:val="24"/>
                <w:szCs w:val="24"/>
              </w:rPr>
              <w:t xml:space="preserve">Blod- og lymfesystem </w:t>
            </w:r>
          </w:p>
          <w:p w14:paraId="55285B28" w14:textId="77777777" w:rsidR="00BE29D4" w:rsidRPr="00635FAA" w:rsidRDefault="00BE29D4" w:rsidP="003B4BCE">
            <w:pPr>
              <w:rPr>
                <w:color w:val="000000"/>
                <w:sz w:val="24"/>
                <w:szCs w:val="24"/>
              </w:rPr>
            </w:pPr>
          </w:p>
        </w:tc>
        <w:tc>
          <w:tcPr>
            <w:tcW w:w="958" w:type="pct"/>
          </w:tcPr>
          <w:p w14:paraId="083DEB1F" w14:textId="77777777" w:rsidR="00BE29D4" w:rsidRPr="00635FAA" w:rsidRDefault="00BE29D4" w:rsidP="003B4BCE">
            <w:pPr>
              <w:rPr>
                <w:sz w:val="24"/>
                <w:szCs w:val="24"/>
              </w:rPr>
            </w:pPr>
            <w:r w:rsidRPr="00635FAA">
              <w:rPr>
                <w:sz w:val="24"/>
                <w:szCs w:val="24"/>
              </w:rPr>
              <w:t>Sjælden</w:t>
            </w:r>
          </w:p>
        </w:tc>
        <w:tc>
          <w:tcPr>
            <w:tcW w:w="2405" w:type="pct"/>
          </w:tcPr>
          <w:p w14:paraId="4A71B2B8" w14:textId="77777777" w:rsidR="00BE29D4" w:rsidRPr="00635FAA" w:rsidRDefault="00BE29D4" w:rsidP="003B4BCE">
            <w:pPr>
              <w:rPr>
                <w:sz w:val="24"/>
                <w:szCs w:val="24"/>
              </w:rPr>
            </w:pPr>
            <w:r w:rsidRPr="00635FAA">
              <w:rPr>
                <w:sz w:val="24"/>
                <w:szCs w:val="24"/>
              </w:rPr>
              <w:t xml:space="preserve">Agranulocytose (langvarig brug), trombocytopeni, trombocytopenisk purpura, leukopeni, hæmolytisk anæmi, </w:t>
            </w:r>
          </w:p>
          <w:p w14:paraId="06E20800" w14:textId="77777777" w:rsidR="00BE29D4" w:rsidRPr="00635FAA" w:rsidRDefault="00BE29D4" w:rsidP="003B4BCE">
            <w:pPr>
              <w:rPr>
                <w:sz w:val="24"/>
                <w:szCs w:val="24"/>
              </w:rPr>
            </w:pPr>
            <w:r w:rsidRPr="00635FAA">
              <w:rPr>
                <w:sz w:val="24"/>
                <w:szCs w:val="24"/>
              </w:rPr>
              <w:t xml:space="preserve">Blodpladesygdomme, stamcellesygdomme. </w:t>
            </w:r>
          </w:p>
        </w:tc>
      </w:tr>
      <w:tr w:rsidR="00BE29D4" w:rsidRPr="00635FAA" w14:paraId="30FA3F6E" w14:textId="77777777" w:rsidTr="003B4BCE">
        <w:tc>
          <w:tcPr>
            <w:tcW w:w="1636" w:type="pct"/>
            <w:vMerge/>
          </w:tcPr>
          <w:p w14:paraId="11BF7CB6" w14:textId="77777777" w:rsidR="00BE29D4" w:rsidRPr="00635FAA" w:rsidRDefault="00BE29D4" w:rsidP="003B4BCE">
            <w:pPr>
              <w:rPr>
                <w:color w:val="000000"/>
                <w:sz w:val="24"/>
                <w:szCs w:val="24"/>
              </w:rPr>
            </w:pPr>
          </w:p>
        </w:tc>
        <w:tc>
          <w:tcPr>
            <w:tcW w:w="958" w:type="pct"/>
          </w:tcPr>
          <w:p w14:paraId="7A1FFD46" w14:textId="77777777" w:rsidR="00BE29D4" w:rsidRPr="00635FAA" w:rsidRDefault="00BE29D4" w:rsidP="003B4BCE">
            <w:pPr>
              <w:rPr>
                <w:color w:val="000000"/>
                <w:sz w:val="24"/>
                <w:szCs w:val="24"/>
              </w:rPr>
            </w:pPr>
            <w:r w:rsidRPr="00635FAA">
              <w:rPr>
                <w:sz w:val="24"/>
                <w:szCs w:val="24"/>
              </w:rPr>
              <w:t>Meget sjælden</w:t>
            </w:r>
          </w:p>
        </w:tc>
        <w:tc>
          <w:tcPr>
            <w:tcW w:w="2405" w:type="pct"/>
          </w:tcPr>
          <w:p w14:paraId="3844583F" w14:textId="77777777" w:rsidR="00BE29D4" w:rsidRPr="00635FAA" w:rsidRDefault="00BE29D4" w:rsidP="003B4BCE">
            <w:pPr>
              <w:rPr>
                <w:sz w:val="24"/>
                <w:szCs w:val="24"/>
              </w:rPr>
            </w:pPr>
            <w:r w:rsidRPr="00635FAA">
              <w:rPr>
                <w:sz w:val="24"/>
                <w:szCs w:val="24"/>
              </w:rPr>
              <w:t>Pancytopeni</w:t>
            </w:r>
          </w:p>
        </w:tc>
      </w:tr>
      <w:tr w:rsidR="00BE29D4" w:rsidRPr="00635FAA" w14:paraId="4E189A50" w14:textId="77777777" w:rsidTr="003B4BCE">
        <w:tc>
          <w:tcPr>
            <w:tcW w:w="1636" w:type="pct"/>
            <w:vMerge w:val="restart"/>
          </w:tcPr>
          <w:p w14:paraId="0B6030F0" w14:textId="77777777" w:rsidR="00BE29D4" w:rsidRPr="00635FAA" w:rsidRDefault="00BE29D4" w:rsidP="003B4BCE">
            <w:pPr>
              <w:rPr>
                <w:sz w:val="24"/>
                <w:szCs w:val="24"/>
              </w:rPr>
            </w:pPr>
            <w:r w:rsidRPr="00635FAA">
              <w:rPr>
                <w:b/>
                <w:sz w:val="24"/>
                <w:szCs w:val="24"/>
              </w:rPr>
              <w:t xml:space="preserve">Immunsystemet </w:t>
            </w:r>
          </w:p>
        </w:tc>
        <w:tc>
          <w:tcPr>
            <w:tcW w:w="958" w:type="pct"/>
          </w:tcPr>
          <w:p w14:paraId="04420FBA" w14:textId="77777777" w:rsidR="00BE29D4" w:rsidRPr="00635FAA" w:rsidRDefault="00BE29D4" w:rsidP="003B4BCE">
            <w:pPr>
              <w:rPr>
                <w:sz w:val="24"/>
                <w:szCs w:val="24"/>
              </w:rPr>
            </w:pPr>
            <w:r w:rsidRPr="00635FAA">
              <w:rPr>
                <w:sz w:val="24"/>
                <w:szCs w:val="24"/>
              </w:rPr>
              <w:t xml:space="preserve">Sjælden </w:t>
            </w:r>
          </w:p>
        </w:tc>
        <w:tc>
          <w:tcPr>
            <w:tcW w:w="2405" w:type="pct"/>
          </w:tcPr>
          <w:p w14:paraId="7562104F" w14:textId="77777777" w:rsidR="00BE29D4" w:rsidRPr="00635FAA" w:rsidRDefault="00BE29D4" w:rsidP="003B4BCE">
            <w:pPr>
              <w:rPr>
                <w:sz w:val="24"/>
                <w:szCs w:val="24"/>
              </w:rPr>
            </w:pPr>
            <w:r w:rsidRPr="00635FAA">
              <w:rPr>
                <w:sz w:val="24"/>
                <w:szCs w:val="24"/>
              </w:rPr>
              <w:t xml:space="preserve">Overfølsomhed (undtaget angioødem). </w:t>
            </w:r>
          </w:p>
        </w:tc>
      </w:tr>
      <w:tr w:rsidR="00BE29D4" w:rsidRPr="00635FAA" w14:paraId="6FBA7C7F" w14:textId="77777777" w:rsidTr="003B4BCE">
        <w:tc>
          <w:tcPr>
            <w:tcW w:w="1636" w:type="pct"/>
            <w:vMerge/>
          </w:tcPr>
          <w:p w14:paraId="20E4D365" w14:textId="77777777" w:rsidR="00BE29D4" w:rsidRPr="00635FAA" w:rsidRDefault="00BE29D4" w:rsidP="003B4BCE">
            <w:pPr>
              <w:rPr>
                <w:bCs/>
                <w:sz w:val="24"/>
                <w:szCs w:val="24"/>
              </w:rPr>
            </w:pPr>
          </w:p>
        </w:tc>
        <w:tc>
          <w:tcPr>
            <w:tcW w:w="958" w:type="pct"/>
          </w:tcPr>
          <w:p w14:paraId="058E857D" w14:textId="77777777" w:rsidR="00BE29D4" w:rsidRPr="00635FAA" w:rsidRDefault="00BE29D4" w:rsidP="003B4BCE">
            <w:pPr>
              <w:rPr>
                <w:sz w:val="24"/>
                <w:szCs w:val="24"/>
              </w:rPr>
            </w:pPr>
            <w:r w:rsidRPr="00635FAA">
              <w:rPr>
                <w:sz w:val="24"/>
                <w:szCs w:val="24"/>
              </w:rPr>
              <w:t>Meget sjælden</w:t>
            </w:r>
          </w:p>
        </w:tc>
        <w:tc>
          <w:tcPr>
            <w:tcW w:w="2405" w:type="pct"/>
          </w:tcPr>
          <w:p w14:paraId="47A3BDF0" w14:textId="77777777" w:rsidR="00BE29D4" w:rsidRPr="00635FAA" w:rsidRDefault="00BE29D4" w:rsidP="003B4BCE">
            <w:pPr>
              <w:rPr>
                <w:sz w:val="24"/>
                <w:szCs w:val="24"/>
              </w:rPr>
            </w:pPr>
            <w:r w:rsidRPr="00635FAA">
              <w:rPr>
                <w:sz w:val="24"/>
                <w:szCs w:val="24"/>
              </w:rPr>
              <w:t>Overfølsomhed (angioødem, åndedrætsbesvær, hyperhidrose, kvalme, hypotension, chok, anafylaktisk reaktion), som kræver afbrydelse af behandlingen</w:t>
            </w:r>
          </w:p>
        </w:tc>
      </w:tr>
      <w:tr w:rsidR="00BE29D4" w:rsidRPr="00635FAA" w14:paraId="140CEC7C" w14:textId="77777777" w:rsidTr="003B4BCE">
        <w:tc>
          <w:tcPr>
            <w:tcW w:w="1636" w:type="pct"/>
          </w:tcPr>
          <w:p w14:paraId="60470BF2" w14:textId="77777777" w:rsidR="00BE29D4" w:rsidRPr="00635FAA" w:rsidRDefault="00BE29D4" w:rsidP="003B4BCE">
            <w:pPr>
              <w:rPr>
                <w:sz w:val="24"/>
                <w:szCs w:val="24"/>
              </w:rPr>
            </w:pPr>
            <w:r w:rsidRPr="00635FAA">
              <w:rPr>
                <w:b/>
                <w:sz w:val="24"/>
                <w:szCs w:val="24"/>
              </w:rPr>
              <w:t xml:space="preserve">Metabolisme og ernæring </w:t>
            </w:r>
          </w:p>
        </w:tc>
        <w:tc>
          <w:tcPr>
            <w:tcW w:w="958" w:type="pct"/>
          </w:tcPr>
          <w:p w14:paraId="20A22DD7" w14:textId="77777777" w:rsidR="00BE29D4" w:rsidRPr="00635FAA" w:rsidRDefault="00BE29D4" w:rsidP="003B4BCE">
            <w:pPr>
              <w:rPr>
                <w:color w:val="000000"/>
                <w:sz w:val="24"/>
                <w:szCs w:val="24"/>
              </w:rPr>
            </w:pPr>
            <w:r w:rsidRPr="00635FAA">
              <w:rPr>
                <w:sz w:val="24"/>
                <w:szCs w:val="24"/>
              </w:rPr>
              <w:t>Meget sjælden</w:t>
            </w:r>
          </w:p>
        </w:tc>
        <w:tc>
          <w:tcPr>
            <w:tcW w:w="2405" w:type="pct"/>
          </w:tcPr>
          <w:p w14:paraId="08C54C4D" w14:textId="77777777" w:rsidR="00BE29D4" w:rsidRPr="00635FAA" w:rsidRDefault="00BE29D4" w:rsidP="003B4BCE">
            <w:pPr>
              <w:rPr>
                <w:color w:val="000000"/>
                <w:sz w:val="24"/>
                <w:szCs w:val="24"/>
              </w:rPr>
            </w:pPr>
            <w:r w:rsidRPr="00635FAA">
              <w:rPr>
                <w:sz w:val="24"/>
                <w:szCs w:val="24"/>
              </w:rPr>
              <w:t>Hypoglykæmi</w:t>
            </w:r>
          </w:p>
        </w:tc>
      </w:tr>
      <w:tr w:rsidR="00BE29D4" w:rsidRPr="00635FAA" w14:paraId="6DC4CA75" w14:textId="77777777" w:rsidTr="003B4BCE">
        <w:tc>
          <w:tcPr>
            <w:tcW w:w="1636" w:type="pct"/>
          </w:tcPr>
          <w:p w14:paraId="4ED9019A" w14:textId="77777777" w:rsidR="00BE29D4" w:rsidRPr="00635FAA" w:rsidRDefault="00BE29D4" w:rsidP="003B4BCE">
            <w:pPr>
              <w:rPr>
                <w:sz w:val="24"/>
                <w:szCs w:val="24"/>
              </w:rPr>
            </w:pPr>
            <w:r w:rsidRPr="00635FAA">
              <w:rPr>
                <w:b/>
                <w:sz w:val="24"/>
                <w:szCs w:val="24"/>
              </w:rPr>
              <w:t xml:space="preserve">Psykiske forstyrrelser </w:t>
            </w:r>
          </w:p>
        </w:tc>
        <w:tc>
          <w:tcPr>
            <w:tcW w:w="958" w:type="pct"/>
          </w:tcPr>
          <w:p w14:paraId="761F3F64" w14:textId="77777777" w:rsidR="00BE29D4" w:rsidRPr="00635FAA" w:rsidRDefault="00BE29D4" w:rsidP="003B4BCE">
            <w:pPr>
              <w:rPr>
                <w:sz w:val="24"/>
                <w:szCs w:val="24"/>
              </w:rPr>
            </w:pPr>
            <w:r w:rsidRPr="00635FAA">
              <w:rPr>
                <w:sz w:val="24"/>
                <w:szCs w:val="24"/>
              </w:rPr>
              <w:t xml:space="preserve">Sjælden </w:t>
            </w:r>
          </w:p>
        </w:tc>
        <w:tc>
          <w:tcPr>
            <w:tcW w:w="2405" w:type="pct"/>
          </w:tcPr>
          <w:p w14:paraId="27CFE65A" w14:textId="77777777" w:rsidR="00BE29D4" w:rsidRPr="00635FAA" w:rsidRDefault="00BE29D4" w:rsidP="003B4BCE">
            <w:pPr>
              <w:rPr>
                <w:sz w:val="24"/>
                <w:szCs w:val="24"/>
              </w:rPr>
            </w:pPr>
            <w:r w:rsidRPr="00635FAA">
              <w:rPr>
                <w:sz w:val="24"/>
                <w:szCs w:val="24"/>
              </w:rPr>
              <w:t xml:space="preserve">Depression (ikke specificeret), forvirring, hallucinationer. </w:t>
            </w:r>
          </w:p>
        </w:tc>
      </w:tr>
      <w:tr w:rsidR="00BE29D4" w:rsidRPr="00635FAA" w14:paraId="7D8E10EA" w14:textId="77777777" w:rsidTr="003B4BCE">
        <w:tc>
          <w:tcPr>
            <w:tcW w:w="1636" w:type="pct"/>
          </w:tcPr>
          <w:p w14:paraId="3197DA73" w14:textId="77777777" w:rsidR="00BE29D4" w:rsidRPr="00635FAA" w:rsidRDefault="00BE29D4" w:rsidP="003B4BCE">
            <w:pPr>
              <w:rPr>
                <w:sz w:val="24"/>
                <w:szCs w:val="24"/>
              </w:rPr>
            </w:pPr>
            <w:r w:rsidRPr="00635FAA">
              <w:rPr>
                <w:b/>
                <w:sz w:val="24"/>
                <w:szCs w:val="24"/>
              </w:rPr>
              <w:t xml:space="preserve">Nervesystemet </w:t>
            </w:r>
          </w:p>
        </w:tc>
        <w:tc>
          <w:tcPr>
            <w:tcW w:w="958" w:type="pct"/>
          </w:tcPr>
          <w:p w14:paraId="29A42FA4" w14:textId="77777777" w:rsidR="00BE29D4" w:rsidRPr="00635FAA" w:rsidRDefault="00BE29D4" w:rsidP="003B4BCE">
            <w:pPr>
              <w:rPr>
                <w:sz w:val="24"/>
                <w:szCs w:val="24"/>
              </w:rPr>
            </w:pPr>
            <w:r w:rsidRPr="00635FAA">
              <w:rPr>
                <w:sz w:val="24"/>
                <w:szCs w:val="24"/>
              </w:rPr>
              <w:t>Sjælden</w:t>
            </w:r>
          </w:p>
        </w:tc>
        <w:tc>
          <w:tcPr>
            <w:tcW w:w="2405" w:type="pct"/>
          </w:tcPr>
          <w:p w14:paraId="1AC47375" w14:textId="77777777" w:rsidR="00BE29D4" w:rsidRPr="00635FAA" w:rsidRDefault="00BE29D4" w:rsidP="003B4BCE">
            <w:pPr>
              <w:rPr>
                <w:sz w:val="24"/>
                <w:szCs w:val="24"/>
              </w:rPr>
            </w:pPr>
            <w:r w:rsidRPr="00635FAA">
              <w:rPr>
                <w:sz w:val="24"/>
                <w:szCs w:val="24"/>
              </w:rPr>
              <w:t>Tremor (ikke specificeret), hovedpine (ikke specificeret).</w:t>
            </w:r>
          </w:p>
        </w:tc>
      </w:tr>
      <w:tr w:rsidR="00BE29D4" w:rsidRPr="00635FAA" w14:paraId="7A343540" w14:textId="77777777" w:rsidTr="003B4BCE">
        <w:tc>
          <w:tcPr>
            <w:tcW w:w="1636" w:type="pct"/>
          </w:tcPr>
          <w:p w14:paraId="4E2BD0CD" w14:textId="77777777" w:rsidR="00BE29D4" w:rsidRPr="00635FAA" w:rsidRDefault="00BE29D4" w:rsidP="003B4BCE">
            <w:pPr>
              <w:rPr>
                <w:sz w:val="24"/>
                <w:szCs w:val="24"/>
              </w:rPr>
            </w:pPr>
            <w:r w:rsidRPr="00635FAA">
              <w:rPr>
                <w:b/>
                <w:sz w:val="24"/>
                <w:szCs w:val="24"/>
              </w:rPr>
              <w:t>Øjne</w:t>
            </w:r>
          </w:p>
        </w:tc>
        <w:tc>
          <w:tcPr>
            <w:tcW w:w="958" w:type="pct"/>
          </w:tcPr>
          <w:p w14:paraId="01F6229E" w14:textId="77777777" w:rsidR="00BE29D4" w:rsidRPr="00635FAA" w:rsidRDefault="00BE29D4" w:rsidP="003B4BCE">
            <w:pPr>
              <w:rPr>
                <w:sz w:val="24"/>
                <w:szCs w:val="24"/>
              </w:rPr>
            </w:pPr>
            <w:r w:rsidRPr="00635FAA">
              <w:rPr>
                <w:sz w:val="24"/>
                <w:szCs w:val="24"/>
              </w:rPr>
              <w:t>Sjælden</w:t>
            </w:r>
          </w:p>
        </w:tc>
        <w:tc>
          <w:tcPr>
            <w:tcW w:w="2405" w:type="pct"/>
          </w:tcPr>
          <w:p w14:paraId="5A9AA837" w14:textId="77777777" w:rsidR="00BE29D4" w:rsidRPr="00635FAA" w:rsidRDefault="00BE29D4" w:rsidP="003B4BCE">
            <w:pPr>
              <w:rPr>
                <w:sz w:val="24"/>
                <w:szCs w:val="24"/>
              </w:rPr>
            </w:pPr>
            <w:r w:rsidRPr="00635FAA">
              <w:rPr>
                <w:sz w:val="24"/>
                <w:szCs w:val="24"/>
              </w:rPr>
              <w:t xml:space="preserve">Unormalt syn. </w:t>
            </w:r>
          </w:p>
        </w:tc>
      </w:tr>
      <w:tr w:rsidR="00BE29D4" w:rsidRPr="00635FAA" w14:paraId="3B6AFAD1" w14:textId="77777777" w:rsidTr="003B4BCE">
        <w:tc>
          <w:tcPr>
            <w:tcW w:w="1636" w:type="pct"/>
          </w:tcPr>
          <w:p w14:paraId="3FEBBEFA" w14:textId="77777777" w:rsidR="00BE29D4" w:rsidRPr="00635FAA" w:rsidRDefault="00BE29D4" w:rsidP="003B4BCE">
            <w:pPr>
              <w:rPr>
                <w:sz w:val="24"/>
                <w:szCs w:val="24"/>
              </w:rPr>
            </w:pPr>
            <w:r w:rsidRPr="00635FAA">
              <w:rPr>
                <w:b/>
                <w:sz w:val="24"/>
                <w:szCs w:val="24"/>
              </w:rPr>
              <w:t xml:space="preserve">Hjerte </w:t>
            </w:r>
          </w:p>
        </w:tc>
        <w:tc>
          <w:tcPr>
            <w:tcW w:w="958" w:type="pct"/>
          </w:tcPr>
          <w:p w14:paraId="520A57DB" w14:textId="77777777" w:rsidR="00BE29D4" w:rsidRPr="00635FAA" w:rsidRDefault="00BE29D4" w:rsidP="003B4BCE">
            <w:pPr>
              <w:rPr>
                <w:sz w:val="24"/>
                <w:szCs w:val="24"/>
              </w:rPr>
            </w:pPr>
            <w:r w:rsidRPr="00635FAA">
              <w:rPr>
                <w:sz w:val="24"/>
                <w:szCs w:val="24"/>
              </w:rPr>
              <w:t>Sjælden</w:t>
            </w:r>
          </w:p>
        </w:tc>
        <w:tc>
          <w:tcPr>
            <w:tcW w:w="2405" w:type="pct"/>
          </w:tcPr>
          <w:p w14:paraId="71D960FF" w14:textId="77777777" w:rsidR="00BE29D4" w:rsidRPr="00635FAA" w:rsidRDefault="00BE29D4" w:rsidP="003B4BCE">
            <w:pPr>
              <w:rPr>
                <w:sz w:val="24"/>
                <w:szCs w:val="24"/>
              </w:rPr>
            </w:pPr>
            <w:r w:rsidRPr="00635FAA">
              <w:rPr>
                <w:sz w:val="24"/>
                <w:szCs w:val="24"/>
              </w:rPr>
              <w:t>Ødem.</w:t>
            </w:r>
          </w:p>
        </w:tc>
      </w:tr>
      <w:tr w:rsidR="00BE29D4" w:rsidRPr="00635FAA" w14:paraId="7BA4216C" w14:textId="77777777" w:rsidTr="003B4BCE">
        <w:tc>
          <w:tcPr>
            <w:tcW w:w="1636" w:type="pct"/>
          </w:tcPr>
          <w:p w14:paraId="1224F839" w14:textId="77777777" w:rsidR="00BE29D4" w:rsidRPr="00635FAA" w:rsidRDefault="00BE29D4" w:rsidP="003B4BCE">
            <w:pPr>
              <w:rPr>
                <w:bCs/>
                <w:sz w:val="24"/>
                <w:szCs w:val="24"/>
              </w:rPr>
            </w:pPr>
            <w:r w:rsidRPr="00635FAA">
              <w:rPr>
                <w:b/>
                <w:sz w:val="24"/>
                <w:szCs w:val="24"/>
              </w:rPr>
              <w:t>Luftveje, thorax og mediastinum</w:t>
            </w:r>
          </w:p>
        </w:tc>
        <w:tc>
          <w:tcPr>
            <w:tcW w:w="958" w:type="pct"/>
          </w:tcPr>
          <w:p w14:paraId="2F536372" w14:textId="77777777" w:rsidR="00BE29D4" w:rsidRPr="00635FAA" w:rsidRDefault="00BE29D4" w:rsidP="003B4BCE">
            <w:pPr>
              <w:rPr>
                <w:sz w:val="24"/>
                <w:szCs w:val="24"/>
              </w:rPr>
            </w:pPr>
            <w:r w:rsidRPr="00635FAA">
              <w:rPr>
                <w:sz w:val="24"/>
                <w:szCs w:val="24"/>
              </w:rPr>
              <w:t>Meget sjælden</w:t>
            </w:r>
          </w:p>
        </w:tc>
        <w:tc>
          <w:tcPr>
            <w:tcW w:w="2405" w:type="pct"/>
          </w:tcPr>
          <w:p w14:paraId="2D1AE3DB" w14:textId="77777777" w:rsidR="00BE29D4" w:rsidRPr="00635FAA" w:rsidRDefault="00BE29D4" w:rsidP="003B4BCE">
            <w:pPr>
              <w:rPr>
                <w:sz w:val="24"/>
                <w:szCs w:val="24"/>
              </w:rPr>
            </w:pPr>
            <w:r w:rsidRPr="00635FAA">
              <w:rPr>
                <w:sz w:val="24"/>
                <w:szCs w:val="24"/>
              </w:rPr>
              <w:t>Bronkospasmer hos patienter, der er følsomme over for aspirin og andre NSAID.</w:t>
            </w:r>
          </w:p>
        </w:tc>
      </w:tr>
      <w:tr w:rsidR="00BE29D4" w:rsidRPr="00635FAA" w14:paraId="4306E811" w14:textId="77777777" w:rsidTr="003B4BCE">
        <w:tc>
          <w:tcPr>
            <w:tcW w:w="1636" w:type="pct"/>
          </w:tcPr>
          <w:p w14:paraId="62A31668" w14:textId="77777777" w:rsidR="00BE29D4" w:rsidRPr="00635FAA" w:rsidRDefault="00BE29D4" w:rsidP="003B4BCE">
            <w:pPr>
              <w:rPr>
                <w:bCs/>
                <w:sz w:val="24"/>
                <w:szCs w:val="24"/>
              </w:rPr>
            </w:pPr>
            <w:r w:rsidRPr="00635FAA">
              <w:rPr>
                <w:b/>
                <w:sz w:val="24"/>
                <w:szCs w:val="24"/>
              </w:rPr>
              <w:t>Mave-tarmkanalen</w:t>
            </w:r>
          </w:p>
        </w:tc>
        <w:tc>
          <w:tcPr>
            <w:tcW w:w="958" w:type="pct"/>
          </w:tcPr>
          <w:p w14:paraId="259F7C75" w14:textId="77777777" w:rsidR="00BE29D4" w:rsidRPr="00635FAA" w:rsidRDefault="00BE29D4" w:rsidP="003B4BCE">
            <w:pPr>
              <w:rPr>
                <w:color w:val="000000"/>
                <w:sz w:val="24"/>
                <w:szCs w:val="24"/>
              </w:rPr>
            </w:pPr>
            <w:r w:rsidRPr="00635FAA">
              <w:rPr>
                <w:sz w:val="24"/>
                <w:szCs w:val="24"/>
              </w:rPr>
              <w:t>Sjælden</w:t>
            </w:r>
          </w:p>
        </w:tc>
        <w:tc>
          <w:tcPr>
            <w:tcW w:w="2405" w:type="pct"/>
          </w:tcPr>
          <w:p w14:paraId="727664D3" w14:textId="77777777" w:rsidR="00BE29D4" w:rsidRPr="00635FAA" w:rsidRDefault="00BE29D4" w:rsidP="003B4BCE">
            <w:pPr>
              <w:rPr>
                <w:sz w:val="24"/>
                <w:szCs w:val="24"/>
              </w:rPr>
            </w:pPr>
            <w:r w:rsidRPr="00635FAA">
              <w:rPr>
                <w:sz w:val="24"/>
                <w:szCs w:val="24"/>
              </w:rPr>
              <w:t xml:space="preserve">Hæmoragi (ikke specificeret), abdominalsmerter (ikke specificeret), diarré (ikke specificeret), kvalme, opkastning. </w:t>
            </w:r>
          </w:p>
        </w:tc>
      </w:tr>
      <w:tr w:rsidR="00BE29D4" w:rsidRPr="00635FAA" w14:paraId="3E6F9B4D" w14:textId="77777777" w:rsidTr="003B4BCE">
        <w:tc>
          <w:tcPr>
            <w:tcW w:w="1636" w:type="pct"/>
            <w:vMerge w:val="restart"/>
          </w:tcPr>
          <w:p w14:paraId="7B019FED" w14:textId="77777777" w:rsidR="00BE29D4" w:rsidRPr="00635FAA" w:rsidRDefault="00BE29D4" w:rsidP="003B4BCE">
            <w:pPr>
              <w:rPr>
                <w:bCs/>
                <w:sz w:val="24"/>
                <w:szCs w:val="24"/>
              </w:rPr>
            </w:pPr>
            <w:r w:rsidRPr="00635FAA">
              <w:rPr>
                <w:b/>
                <w:sz w:val="24"/>
                <w:szCs w:val="24"/>
              </w:rPr>
              <w:t>Lever og galdeveje</w:t>
            </w:r>
          </w:p>
        </w:tc>
        <w:tc>
          <w:tcPr>
            <w:tcW w:w="958" w:type="pct"/>
          </w:tcPr>
          <w:p w14:paraId="08613971" w14:textId="77777777" w:rsidR="00BE29D4" w:rsidRPr="00635FAA" w:rsidRDefault="00BE29D4" w:rsidP="003B4BCE">
            <w:pPr>
              <w:rPr>
                <w:color w:val="000000"/>
                <w:sz w:val="24"/>
                <w:szCs w:val="24"/>
              </w:rPr>
            </w:pPr>
            <w:r w:rsidRPr="00635FAA">
              <w:rPr>
                <w:sz w:val="24"/>
                <w:szCs w:val="24"/>
              </w:rPr>
              <w:t>Sjælden</w:t>
            </w:r>
          </w:p>
        </w:tc>
        <w:tc>
          <w:tcPr>
            <w:tcW w:w="2405" w:type="pct"/>
          </w:tcPr>
          <w:p w14:paraId="14E55EB9" w14:textId="77777777" w:rsidR="00BE29D4" w:rsidRPr="00635FAA" w:rsidRDefault="00BE29D4" w:rsidP="003B4BCE">
            <w:pPr>
              <w:rPr>
                <w:sz w:val="24"/>
                <w:szCs w:val="24"/>
              </w:rPr>
            </w:pPr>
            <w:r w:rsidRPr="00635FAA">
              <w:rPr>
                <w:sz w:val="24"/>
                <w:szCs w:val="24"/>
              </w:rPr>
              <w:t xml:space="preserve">Unormal leverfunktion, leversvigt, hepatisk nekrose, gulsot. </w:t>
            </w:r>
          </w:p>
        </w:tc>
      </w:tr>
      <w:tr w:rsidR="00BE29D4" w:rsidRPr="00635FAA" w14:paraId="0D103802" w14:textId="77777777" w:rsidTr="003B4BCE">
        <w:trPr>
          <w:trHeight w:val="323"/>
        </w:trPr>
        <w:tc>
          <w:tcPr>
            <w:tcW w:w="1636" w:type="pct"/>
            <w:vMerge/>
          </w:tcPr>
          <w:p w14:paraId="5AA5A65F" w14:textId="77777777" w:rsidR="00BE29D4" w:rsidRPr="00635FAA" w:rsidRDefault="00BE29D4" w:rsidP="003B4BCE">
            <w:pPr>
              <w:rPr>
                <w:bCs/>
                <w:sz w:val="24"/>
                <w:szCs w:val="24"/>
              </w:rPr>
            </w:pPr>
          </w:p>
        </w:tc>
        <w:tc>
          <w:tcPr>
            <w:tcW w:w="958" w:type="pct"/>
          </w:tcPr>
          <w:p w14:paraId="1FEC7CB4" w14:textId="77777777" w:rsidR="00BE29D4" w:rsidRPr="00635FAA" w:rsidRDefault="00BE29D4" w:rsidP="003B4BCE">
            <w:pPr>
              <w:rPr>
                <w:sz w:val="24"/>
                <w:szCs w:val="24"/>
              </w:rPr>
            </w:pPr>
            <w:r w:rsidRPr="00635FAA">
              <w:rPr>
                <w:sz w:val="24"/>
                <w:szCs w:val="24"/>
              </w:rPr>
              <w:t xml:space="preserve">Meget sjælden </w:t>
            </w:r>
          </w:p>
        </w:tc>
        <w:tc>
          <w:tcPr>
            <w:tcW w:w="2405" w:type="pct"/>
          </w:tcPr>
          <w:p w14:paraId="4E78D856" w14:textId="77777777" w:rsidR="00BE29D4" w:rsidRPr="00635FAA" w:rsidRDefault="00BE29D4" w:rsidP="003B4BCE">
            <w:pPr>
              <w:rPr>
                <w:sz w:val="24"/>
                <w:szCs w:val="24"/>
              </w:rPr>
            </w:pPr>
            <w:r w:rsidRPr="00635FAA">
              <w:rPr>
                <w:sz w:val="24"/>
                <w:szCs w:val="24"/>
              </w:rPr>
              <w:t>Hepatotoksicitet.</w:t>
            </w:r>
          </w:p>
        </w:tc>
      </w:tr>
      <w:tr w:rsidR="00BE29D4" w:rsidRPr="00635FAA" w14:paraId="7DE5E4EA" w14:textId="77777777" w:rsidTr="003B4BCE">
        <w:trPr>
          <w:trHeight w:val="323"/>
        </w:trPr>
        <w:tc>
          <w:tcPr>
            <w:tcW w:w="1636" w:type="pct"/>
            <w:vMerge/>
          </w:tcPr>
          <w:p w14:paraId="42415342" w14:textId="77777777" w:rsidR="00BE29D4" w:rsidRPr="00635FAA" w:rsidRDefault="00BE29D4" w:rsidP="003B4BCE">
            <w:pPr>
              <w:rPr>
                <w:bCs/>
                <w:sz w:val="24"/>
                <w:szCs w:val="24"/>
              </w:rPr>
            </w:pPr>
          </w:p>
        </w:tc>
        <w:tc>
          <w:tcPr>
            <w:tcW w:w="3364" w:type="pct"/>
            <w:gridSpan w:val="2"/>
          </w:tcPr>
          <w:p w14:paraId="5F23DD19" w14:textId="77777777" w:rsidR="00BE29D4" w:rsidRPr="00635FAA" w:rsidRDefault="00BE29D4" w:rsidP="003B4BCE">
            <w:pPr>
              <w:rPr>
                <w:sz w:val="24"/>
                <w:szCs w:val="24"/>
              </w:rPr>
            </w:pPr>
            <w:r w:rsidRPr="00635FAA">
              <w:rPr>
                <w:sz w:val="24"/>
                <w:szCs w:val="24"/>
              </w:rPr>
              <w:t>Administration af 6 gram paracetamol kan allerede føre til leverskade (hos børn: over 140 mg/kg); højere doser forårsager uoprettelige hepatisk nekrose.</w:t>
            </w:r>
          </w:p>
        </w:tc>
      </w:tr>
      <w:tr w:rsidR="00BE29D4" w:rsidRPr="00635FAA" w14:paraId="20190EC9" w14:textId="77777777" w:rsidTr="003B4BCE">
        <w:tc>
          <w:tcPr>
            <w:tcW w:w="1636" w:type="pct"/>
            <w:vMerge w:val="restart"/>
          </w:tcPr>
          <w:p w14:paraId="778BE73B" w14:textId="77777777" w:rsidR="00BE29D4" w:rsidRPr="00635FAA" w:rsidRDefault="00BE29D4" w:rsidP="003B4BCE">
            <w:pPr>
              <w:rPr>
                <w:sz w:val="24"/>
                <w:szCs w:val="24"/>
              </w:rPr>
            </w:pPr>
            <w:r w:rsidRPr="00635FAA">
              <w:rPr>
                <w:b/>
                <w:sz w:val="24"/>
                <w:szCs w:val="24"/>
              </w:rPr>
              <w:t xml:space="preserve">Hud og subkutane væv </w:t>
            </w:r>
          </w:p>
        </w:tc>
        <w:tc>
          <w:tcPr>
            <w:tcW w:w="958" w:type="pct"/>
          </w:tcPr>
          <w:p w14:paraId="4D32B6F2" w14:textId="77777777" w:rsidR="00BE29D4" w:rsidRPr="00635FAA" w:rsidRDefault="00BE29D4" w:rsidP="003B4BCE">
            <w:pPr>
              <w:rPr>
                <w:sz w:val="24"/>
                <w:szCs w:val="24"/>
              </w:rPr>
            </w:pPr>
            <w:r w:rsidRPr="00635FAA">
              <w:rPr>
                <w:sz w:val="24"/>
                <w:szCs w:val="24"/>
              </w:rPr>
              <w:t xml:space="preserve">Sjælden </w:t>
            </w:r>
          </w:p>
        </w:tc>
        <w:tc>
          <w:tcPr>
            <w:tcW w:w="2405" w:type="pct"/>
          </w:tcPr>
          <w:p w14:paraId="2DA14D23" w14:textId="77777777" w:rsidR="00BE29D4" w:rsidRPr="00635FAA" w:rsidRDefault="00BE29D4" w:rsidP="003B4BCE">
            <w:pPr>
              <w:rPr>
                <w:sz w:val="24"/>
                <w:szCs w:val="24"/>
              </w:rPr>
            </w:pPr>
            <w:r w:rsidRPr="00635FAA">
              <w:rPr>
                <w:sz w:val="24"/>
                <w:szCs w:val="24"/>
              </w:rPr>
              <w:t xml:space="preserve">Pruritus, udslæt, svedtendens, purpura, angioødem, urticaria. </w:t>
            </w:r>
          </w:p>
        </w:tc>
      </w:tr>
      <w:tr w:rsidR="00BE29D4" w:rsidRPr="00635FAA" w14:paraId="3E5CA50D" w14:textId="77777777" w:rsidTr="003B4BCE">
        <w:tc>
          <w:tcPr>
            <w:tcW w:w="1636" w:type="pct"/>
            <w:vMerge/>
          </w:tcPr>
          <w:p w14:paraId="7C58EB0A" w14:textId="77777777" w:rsidR="00BE29D4" w:rsidRPr="00635FAA" w:rsidRDefault="00BE29D4" w:rsidP="003B4BCE">
            <w:pPr>
              <w:rPr>
                <w:bCs/>
                <w:sz w:val="24"/>
                <w:szCs w:val="24"/>
              </w:rPr>
            </w:pPr>
          </w:p>
        </w:tc>
        <w:tc>
          <w:tcPr>
            <w:tcW w:w="958" w:type="pct"/>
          </w:tcPr>
          <w:p w14:paraId="7A3DDD69" w14:textId="77777777" w:rsidR="00BE29D4" w:rsidRPr="00635FAA" w:rsidRDefault="00BE29D4" w:rsidP="003B4BCE">
            <w:pPr>
              <w:rPr>
                <w:sz w:val="24"/>
                <w:szCs w:val="24"/>
              </w:rPr>
            </w:pPr>
            <w:r w:rsidRPr="00635FAA">
              <w:rPr>
                <w:sz w:val="24"/>
                <w:szCs w:val="24"/>
              </w:rPr>
              <w:t>Meget sjælden</w:t>
            </w:r>
          </w:p>
        </w:tc>
        <w:tc>
          <w:tcPr>
            <w:tcW w:w="2405" w:type="pct"/>
          </w:tcPr>
          <w:p w14:paraId="3263EBDF" w14:textId="77777777" w:rsidR="00BE29D4" w:rsidRPr="00635FAA" w:rsidRDefault="00BE29D4" w:rsidP="003B4BCE">
            <w:pPr>
              <w:rPr>
                <w:sz w:val="24"/>
                <w:szCs w:val="24"/>
              </w:rPr>
            </w:pPr>
            <w:r w:rsidRPr="00635FAA">
              <w:rPr>
                <w:sz w:val="24"/>
                <w:szCs w:val="24"/>
              </w:rPr>
              <w:t>Der er rapporteret om alvorlige hudreaktioner</w:t>
            </w:r>
          </w:p>
        </w:tc>
      </w:tr>
      <w:tr w:rsidR="00BE29D4" w:rsidRPr="00635FAA" w14:paraId="12305696" w14:textId="77777777" w:rsidTr="003B4BCE">
        <w:tc>
          <w:tcPr>
            <w:tcW w:w="1636" w:type="pct"/>
            <w:vMerge/>
          </w:tcPr>
          <w:p w14:paraId="0334B1CD" w14:textId="77777777" w:rsidR="00BE29D4" w:rsidRPr="00635FAA" w:rsidRDefault="00BE29D4" w:rsidP="003B4BCE">
            <w:pPr>
              <w:rPr>
                <w:bCs/>
                <w:sz w:val="24"/>
                <w:szCs w:val="24"/>
              </w:rPr>
            </w:pPr>
          </w:p>
        </w:tc>
        <w:tc>
          <w:tcPr>
            <w:tcW w:w="958" w:type="pct"/>
          </w:tcPr>
          <w:p w14:paraId="1795C34B" w14:textId="77777777" w:rsidR="00BE29D4" w:rsidRPr="00635FAA" w:rsidRDefault="00BE29D4" w:rsidP="003B4BCE">
            <w:pPr>
              <w:rPr>
                <w:sz w:val="24"/>
                <w:szCs w:val="24"/>
              </w:rPr>
            </w:pPr>
            <w:r w:rsidRPr="00635FAA">
              <w:rPr>
                <w:sz w:val="24"/>
                <w:szCs w:val="24"/>
              </w:rPr>
              <w:t>Ikke kendt</w:t>
            </w:r>
          </w:p>
        </w:tc>
        <w:tc>
          <w:tcPr>
            <w:tcW w:w="2405" w:type="pct"/>
          </w:tcPr>
          <w:p w14:paraId="6771C21A" w14:textId="77777777" w:rsidR="00BE29D4" w:rsidRPr="00635FAA" w:rsidRDefault="00BE29D4" w:rsidP="003B4BCE">
            <w:pPr>
              <w:rPr>
                <w:sz w:val="24"/>
                <w:szCs w:val="24"/>
              </w:rPr>
            </w:pPr>
            <w:r w:rsidRPr="00635FAA">
              <w:rPr>
                <w:sz w:val="24"/>
                <w:szCs w:val="24"/>
              </w:rPr>
              <w:t>Akut generaliseret exanthemateus pustulose, toksisk nekrolyse, lægemiddelinduceret dermatose, Stevens-Johnsons-syndrom</w:t>
            </w:r>
          </w:p>
        </w:tc>
      </w:tr>
      <w:tr w:rsidR="00BE29D4" w:rsidRPr="00635FAA" w14:paraId="26086393" w14:textId="77777777" w:rsidTr="003B4BCE">
        <w:tc>
          <w:tcPr>
            <w:tcW w:w="1636" w:type="pct"/>
          </w:tcPr>
          <w:p w14:paraId="637664A0" w14:textId="77777777" w:rsidR="00BE29D4" w:rsidRPr="00635FAA" w:rsidRDefault="00BE29D4" w:rsidP="003B4BCE">
            <w:pPr>
              <w:rPr>
                <w:sz w:val="24"/>
                <w:szCs w:val="24"/>
              </w:rPr>
            </w:pPr>
            <w:r w:rsidRPr="00635FAA">
              <w:rPr>
                <w:b/>
                <w:sz w:val="24"/>
                <w:szCs w:val="24"/>
              </w:rPr>
              <w:t xml:space="preserve">Nyrer og urinveje </w:t>
            </w:r>
          </w:p>
        </w:tc>
        <w:tc>
          <w:tcPr>
            <w:tcW w:w="958" w:type="pct"/>
          </w:tcPr>
          <w:p w14:paraId="4FFF2770" w14:textId="77777777" w:rsidR="00BE29D4" w:rsidRPr="00635FAA" w:rsidRDefault="00BE29D4" w:rsidP="003B4BCE">
            <w:pPr>
              <w:rPr>
                <w:color w:val="000000"/>
                <w:sz w:val="24"/>
                <w:szCs w:val="24"/>
              </w:rPr>
            </w:pPr>
            <w:r w:rsidRPr="00635FAA">
              <w:rPr>
                <w:sz w:val="24"/>
                <w:szCs w:val="24"/>
              </w:rPr>
              <w:t>Meget sjælden</w:t>
            </w:r>
          </w:p>
        </w:tc>
        <w:tc>
          <w:tcPr>
            <w:tcW w:w="2405" w:type="pct"/>
          </w:tcPr>
          <w:p w14:paraId="0A98E150" w14:textId="77777777" w:rsidR="00BE29D4" w:rsidRPr="00635FAA" w:rsidRDefault="00BE29D4" w:rsidP="003B4BCE">
            <w:pPr>
              <w:rPr>
                <w:sz w:val="24"/>
                <w:szCs w:val="24"/>
              </w:rPr>
            </w:pPr>
            <w:r w:rsidRPr="00635FAA">
              <w:rPr>
                <w:sz w:val="24"/>
                <w:szCs w:val="24"/>
              </w:rPr>
              <w:t xml:space="preserve">Steril pyuri (uklar urin) og renale bivirkninger (svært nedsat nyrefunktion, interstitiel nefrit, hæmaturi, anurese) </w:t>
            </w:r>
          </w:p>
        </w:tc>
      </w:tr>
      <w:tr w:rsidR="00BE29D4" w:rsidRPr="00635FAA" w14:paraId="05F85E4A" w14:textId="77777777" w:rsidTr="003B4BCE">
        <w:tc>
          <w:tcPr>
            <w:tcW w:w="1636" w:type="pct"/>
          </w:tcPr>
          <w:p w14:paraId="2AE0CA02" w14:textId="77777777" w:rsidR="00BE29D4" w:rsidRPr="00635FAA" w:rsidRDefault="00BE29D4" w:rsidP="003B4BCE">
            <w:pPr>
              <w:rPr>
                <w:sz w:val="24"/>
                <w:szCs w:val="24"/>
              </w:rPr>
            </w:pPr>
            <w:r w:rsidRPr="00635FAA">
              <w:rPr>
                <w:b/>
                <w:sz w:val="24"/>
                <w:szCs w:val="24"/>
              </w:rPr>
              <w:t xml:space="preserve">Almene symptomer og reaktioner på administrationsstedet </w:t>
            </w:r>
          </w:p>
        </w:tc>
        <w:tc>
          <w:tcPr>
            <w:tcW w:w="958" w:type="pct"/>
          </w:tcPr>
          <w:p w14:paraId="0CB26CC5" w14:textId="77777777" w:rsidR="00BE29D4" w:rsidRPr="00635FAA" w:rsidRDefault="00BE29D4" w:rsidP="003B4BCE">
            <w:pPr>
              <w:rPr>
                <w:color w:val="000000"/>
                <w:sz w:val="24"/>
                <w:szCs w:val="24"/>
              </w:rPr>
            </w:pPr>
            <w:r w:rsidRPr="00635FAA">
              <w:rPr>
                <w:sz w:val="24"/>
                <w:szCs w:val="24"/>
              </w:rPr>
              <w:t>Sjælden</w:t>
            </w:r>
          </w:p>
        </w:tc>
        <w:tc>
          <w:tcPr>
            <w:tcW w:w="2405" w:type="pct"/>
          </w:tcPr>
          <w:p w14:paraId="34038454" w14:textId="77777777" w:rsidR="00BE29D4" w:rsidRPr="00635FAA" w:rsidRDefault="00BE29D4" w:rsidP="003B4BCE">
            <w:pPr>
              <w:rPr>
                <w:sz w:val="24"/>
                <w:szCs w:val="24"/>
              </w:rPr>
            </w:pPr>
            <w:r w:rsidRPr="00635FAA">
              <w:rPr>
                <w:sz w:val="24"/>
                <w:szCs w:val="24"/>
              </w:rPr>
              <w:t xml:space="preserve">Svimmelhed (undtagen vertigo), utilpashed, pyreksi, sedation, lægemiddelinteraktion (ikke specificeret). </w:t>
            </w:r>
          </w:p>
        </w:tc>
      </w:tr>
      <w:tr w:rsidR="00BE29D4" w:rsidRPr="00635FAA" w14:paraId="187AB51B" w14:textId="77777777" w:rsidTr="003B4BCE">
        <w:tc>
          <w:tcPr>
            <w:tcW w:w="1636" w:type="pct"/>
          </w:tcPr>
          <w:p w14:paraId="2445F335" w14:textId="77777777" w:rsidR="00BE29D4" w:rsidRPr="00635FAA" w:rsidRDefault="00BE29D4" w:rsidP="003B4BCE">
            <w:pPr>
              <w:rPr>
                <w:sz w:val="24"/>
                <w:szCs w:val="24"/>
              </w:rPr>
            </w:pPr>
            <w:r w:rsidRPr="00635FAA">
              <w:rPr>
                <w:b/>
                <w:sz w:val="24"/>
                <w:szCs w:val="24"/>
              </w:rPr>
              <w:t xml:space="preserve">Traumer, forgiftninger og behandlingskomplikationer </w:t>
            </w:r>
          </w:p>
        </w:tc>
        <w:tc>
          <w:tcPr>
            <w:tcW w:w="958" w:type="pct"/>
          </w:tcPr>
          <w:p w14:paraId="2A90062E" w14:textId="77777777" w:rsidR="00BE29D4" w:rsidRPr="00635FAA" w:rsidRDefault="00BE29D4" w:rsidP="003B4BCE">
            <w:pPr>
              <w:rPr>
                <w:color w:val="000000"/>
                <w:sz w:val="24"/>
                <w:szCs w:val="24"/>
              </w:rPr>
            </w:pPr>
            <w:r w:rsidRPr="00635FAA">
              <w:rPr>
                <w:sz w:val="24"/>
                <w:szCs w:val="24"/>
              </w:rPr>
              <w:t>Sjælden</w:t>
            </w:r>
          </w:p>
        </w:tc>
        <w:tc>
          <w:tcPr>
            <w:tcW w:w="2405" w:type="pct"/>
          </w:tcPr>
          <w:p w14:paraId="7249E8F3" w14:textId="77777777" w:rsidR="00BE29D4" w:rsidRPr="00635FAA" w:rsidRDefault="00BE29D4" w:rsidP="003B4BCE">
            <w:pPr>
              <w:rPr>
                <w:sz w:val="24"/>
                <w:szCs w:val="24"/>
              </w:rPr>
            </w:pPr>
            <w:r w:rsidRPr="00635FAA">
              <w:rPr>
                <w:sz w:val="24"/>
                <w:szCs w:val="24"/>
              </w:rPr>
              <w:t>Overdosering og forgiftning</w:t>
            </w:r>
          </w:p>
        </w:tc>
      </w:tr>
    </w:tbl>
    <w:p w14:paraId="368285FB" w14:textId="77777777" w:rsidR="00BE29D4" w:rsidRPr="00635FAA" w:rsidRDefault="00BE29D4" w:rsidP="00BE29D4">
      <w:pPr>
        <w:pStyle w:val="Header"/>
        <w:ind w:left="851" w:hanging="851"/>
        <w:rPr>
          <w:color w:val="000000"/>
          <w:szCs w:val="24"/>
        </w:rPr>
      </w:pPr>
    </w:p>
    <w:p w14:paraId="485AB85D" w14:textId="77777777" w:rsidR="00BE29D4" w:rsidRPr="003952CE" w:rsidRDefault="00BE29D4" w:rsidP="00BE29D4">
      <w:pPr>
        <w:autoSpaceDE w:val="0"/>
        <w:autoSpaceDN w:val="0"/>
        <w:ind w:left="851"/>
        <w:rPr>
          <w:sz w:val="24"/>
          <w:szCs w:val="24"/>
          <w:u w:val="single"/>
        </w:rPr>
      </w:pPr>
      <w:r w:rsidRPr="003952CE">
        <w:rPr>
          <w:sz w:val="24"/>
          <w:szCs w:val="24"/>
          <w:u w:val="single"/>
        </w:rPr>
        <w:t>Indberetning af formodede bivirkninger</w:t>
      </w:r>
    </w:p>
    <w:p w14:paraId="5B5F9AE1" w14:textId="77777777" w:rsidR="00BE29D4" w:rsidRPr="003952CE" w:rsidRDefault="00BE29D4" w:rsidP="00BE29D4">
      <w:pPr>
        <w:ind w:left="851"/>
        <w:rPr>
          <w:sz w:val="24"/>
          <w:szCs w:val="24"/>
        </w:rPr>
      </w:pPr>
      <w:r w:rsidRPr="003952CE">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7DC5946F" w14:textId="77777777" w:rsidR="00BE29D4" w:rsidRPr="003952CE" w:rsidRDefault="00BE29D4" w:rsidP="00BE29D4">
      <w:pPr>
        <w:tabs>
          <w:tab w:val="left" w:pos="2440"/>
        </w:tabs>
        <w:ind w:left="851"/>
        <w:rPr>
          <w:sz w:val="24"/>
          <w:szCs w:val="24"/>
        </w:rPr>
      </w:pPr>
    </w:p>
    <w:p w14:paraId="1FDC5957" w14:textId="77777777" w:rsidR="00BE29D4" w:rsidRPr="003952CE" w:rsidRDefault="00BE29D4" w:rsidP="00BE29D4">
      <w:pPr>
        <w:ind w:left="851"/>
        <w:rPr>
          <w:sz w:val="24"/>
          <w:szCs w:val="24"/>
        </w:rPr>
      </w:pPr>
      <w:r w:rsidRPr="003952CE">
        <w:rPr>
          <w:sz w:val="24"/>
          <w:szCs w:val="24"/>
        </w:rPr>
        <w:t>Lægemiddelstyrelsen</w:t>
      </w:r>
    </w:p>
    <w:p w14:paraId="635C318D" w14:textId="77777777" w:rsidR="00BE29D4" w:rsidRPr="003952CE" w:rsidRDefault="00BE29D4" w:rsidP="00BE29D4">
      <w:pPr>
        <w:ind w:left="851"/>
        <w:rPr>
          <w:sz w:val="24"/>
          <w:szCs w:val="24"/>
        </w:rPr>
      </w:pPr>
      <w:r w:rsidRPr="003952CE">
        <w:rPr>
          <w:sz w:val="24"/>
          <w:szCs w:val="24"/>
        </w:rPr>
        <w:t>Axel Heides Gade 1</w:t>
      </w:r>
    </w:p>
    <w:p w14:paraId="62E5CAFB" w14:textId="77777777" w:rsidR="00BE29D4" w:rsidRPr="003952CE" w:rsidRDefault="00BE29D4" w:rsidP="00BE29D4">
      <w:pPr>
        <w:ind w:left="851"/>
        <w:rPr>
          <w:sz w:val="24"/>
          <w:szCs w:val="24"/>
        </w:rPr>
      </w:pPr>
      <w:r w:rsidRPr="003952CE">
        <w:rPr>
          <w:sz w:val="24"/>
          <w:szCs w:val="24"/>
        </w:rPr>
        <w:t>DK-2300 København S</w:t>
      </w:r>
    </w:p>
    <w:p w14:paraId="24A8FA71" w14:textId="77777777" w:rsidR="00BE29D4" w:rsidRPr="008E69F6" w:rsidRDefault="00BE29D4" w:rsidP="00BE29D4">
      <w:pPr>
        <w:ind w:left="851"/>
        <w:rPr>
          <w:sz w:val="24"/>
          <w:szCs w:val="24"/>
        </w:rPr>
      </w:pPr>
      <w:r w:rsidRPr="008E69F6">
        <w:rPr>
          <w:sz w:val="24"/>
          <w:szCs w:val="24"/>
        </w:rPr>
        <w:t xml:space="preserve">Websted: </w:t>
      </w:r>
      <w:hyperlink r:id="rId8" w:history="1">
        <w:r w:rsidRPr="008E69F6">
          <w:rPr>
            <w:rStyle w:val="Hyperlink"/>
            <w:sz w:val="24"/>
            <w:szCs w:val="24"/>
          </w:rPr>
          <w:t>www.meldenbivirkning.dk</w:t>
        </w:r>
      </w:hyperlink>
    </w:p>
    <w:p w14:paraId="019C932D" w14:textId="77777777" w:rsidR="00BE29D4" w:rsidRPr="008E69F6" w:rsidRDefault="00BE29D4" w:rsidP="00BE29D4">
      <w:pPr>
        <w:pStyle w:val="Header"/>
        <w:tabs>
          <w:tab w:val="left" w:pos="851"/>
        </w:tabs>
        <w:ind w:left="851" w:hanging="851"/>
        <w:rPr>
          <w:szCs w:val="24"/>
        </w:rPr>
      </w:pPr>
    </w:p>
    <w:p w14:paraId="6EC6DBD1" w14:textId="77777777" w:rsidR="00BE29D4" w:rsidRPr="00635FAA" w:rsidRDefault="00BE29D4" w:rsidP="00BE29D4">
      <w:pPr>
        <w:keepNext/>
        <w:tabs>
          <w:tab w:val="left" w:pos="851"/>
        </w:tabs>
        <w:ind w:left="851" w:hanging="851"/>
        <w:rPr>
          <w:b/>
          <w:sz w:val="24"/>
          <w:szCs w:val="24"/>
        </w:rPr>
      </w:pPr>
      <w:r w:rsidRPr="00635FAA">
        <w:rPr>
          <w:b/>
          <w:sz w:val="24"/>
          <w:szCs w:val="24"/>
        </w:rPr>
        <w:t>4.9</w:t>
      </w:r>
      <w:r w:rsidRPr="00635FAA">
        <w:rPr>
          <w:b/>
          <w:sz w:val="24"/>
          <w:szCs w:val="24"/>
        </w:rPr>
        <w:tab/>
        <w:t>Overdosering</w:t>
      </w:r>
    </w:p>
    <w:p w14:paraId="5DEBE327"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For paracetamol er der risiko for forgiftning, især hos ældre, små børn, patienter med leversygdomme, ved kronisk alkoholisme, patienter med kronisk fejlernæring og patienter, som anvender enzyminducerende stoffer. Overdosering kan være dødelig.</w:t>
      </w:r>
    </w:p>
    <w:p w14:paraId="3D7628B5" w14:textId="77777777" w:rsidR="00BE29D4" w:rsidRPr="00635FAA" w:rsidRDefault="00BE29D4" w:rsidP="00BE29D4">
      <w:pPr>
        <w:pStyle w:val="Header"/>
        <w:ind w:left="851" w:hanging="851"/>
        <w:rPr>
          <w:color w:val="000000"/>
          <w:szCs w:val="24"/>
        </w:rPr>
      </w:pPr>
    </w:p>
    <w:p w14:paraId="790483EA"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Der er risiko for leverskader hos voksne, der har taget 6 g paracetamol eller mere, især hvis patienten har risikofaktorer (se nedenfor).</w:t>
      </w:r>
    </w:p>
    <w:p w14:paraId="3D4591E2" w14:textId="77777777" w:rsidR="00BE29D4" w:rsidRPr="00635FAA" w:rsidRDefault="00BE29D4" w:rsidP="00BE29D4">
      <w:pPr>
        <w:pStyle w:val="Header"/>
        <w:ind w:left="851" w:hanging="851"/>
        <w:rPr>
          <w:color w:val="000000"/>
          <w:szCs w:val="24"/>
        </w:rPr>
      </w:pPr>
    </w:p>
    <w:p w14:paraId="30FA57E8"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Risikofaktorer:</w:t>
      </w:r>
    </w:p>
    <w:p w14:paraId="0F0B19BB" w14:textId="77777777" w:rsidR="00BE29D4" w:rsidRPr="00635FAA" w:rsidRDefault="00BE29D4" w:rsidP="00BE29D4">
      <w:pPr>
        <w:pStyle w:val="Header"/>
        <w:ind w:left="851" w:hanging="851"/>
        <w:rPr>
          <w:color w:val="000000"/>
          <w:szCs w:val="24"/>
        </w:rPr>
      </w:pPr>
    </w:p>
    <w:p w14:paraId="37E6C21F"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Hvis patienten</w:t>
      </w:r>
    </w:p>
    <w:p w14:paraId="2AB1F907" w14:textId="77777777" w:rsidR="00BE29D4" w:rsidRPr="00635FAA" w:rsidRDefault="00BE29D4" w:rsidP="00BE29D4">
      <w:pPr>
        <w:pStyle w:val="Header"/>
        <w:numPr>
          <w:ilvl w:val="0"/>
          <w:numId w:val="9"/>
        </w:numPr>
        <w:ind w:left="1276" w:hanging="425"/>
        <w:rPr>
          <w:color w:val="000000"/>
          <w:szCs w:val="24"/>
        </w:rPr>
      </w:pPr>
      <w:r w:rsidRPr="00635FAA">
        <w:rPr>
          <w:color w:val="000000"/>
          <w:szCs w:val="24"/>
        </w:rPr>
        <w:t>Er i langtidsbehandling med carbamazepin, phenobarbital, fenytoin, primidon, rifampicin, perikon eller andre lægemidler, der inducerer leverenzymer.</w:t>
      </w:r>
    </w:p>
    <w:p w14:paraId="08AB4C40" w14:textId="77777777" w:rsidR="00BE29D4" w:rsidRPr="00635FAA" w:rsidRDefault="00BE29D4" w:rsidP="00BE29D4">
      <w:pPr>
        <w:pStyle w:val="Header"/>
        <w:ind w:left="851" w:hanging="851"/>
        <w:rPr>
          <w:color w:val="000000"/>
          <w:szCs w:val="24"/>
        </w:rPr>
      </w:pPr>
    </w:p>
    <w:p w14:paraId="2E98EA66"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Eller</w:t>
      </w:r>
    </w:p>
    <w:p w14:paraId="3B6518E8" w14:textId="77777777" w:rsidR="00BE29D4" w:rsidRPr="00635FAA" w:rsidRDefault="00BE29D4" w:rsidP="00BE29D4">
      <w:pPr>
        <w:pStyle w:val="Header"/>
        <w:numPr>
          <w:ilvl w:val="0"/>
          <w:numId w:val="9"/>
        </w:numPr>
        <w:ind w:left="1276" w:hanging="425"/>
        <w:rPr>
          <w:color w:val="000000"/>
          <w:szCs w:val="24"/>
        </w:rPr>
      </w:pPr>
      <w:r w:rsidRPr="00635FAA">
        <w:rPr>
          <w:color w:val="000000"/>
          <w:szCs w:val="24"/>
        </w:rPr>
        <w:t xml:space="preserve">Jævnligt indtager </w:t>
      </w:r>
      <w:r>
        <w:rPr>
          <w:color w:val="000000"/>
          <w:szCs w:val="24"/>
        </w:rPr>
        <w:t>alkohol</w:t>
      </w:r>
      <w:r w:rsidRPr="00635FAA">
        <w:rPr>
          <w:color w:val="000000"/>
          <w:szCs w:val="24"/>
        </w:rPr>
        <w:t xml:space="preserve"> over anbefalede mængder.</w:t>
      </w:r>
    </w:p>
    <w:p w14:paraId="30794B8F" w14:textId="77777777" w:rsidR="00BE29D4" w:rsidRPr="00635FAA" w:rsidRDefault="00BE29D4" w:rsidP="00BE29D4">
      <w:pPr>
        <w:pStyle w:val="Header"/>
        <w:ind w:left="851" w:hanging="851"/>
        <w:rPr>
          <w:color w:val="000000"/>
          <w:szCs w:val="24"/>
        </w:rPr>
      </w:pPr>
    </w:p>
    <w:p w14:paraId="3854672B"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Eller</w:t>
      </w:r>
    </w:p>
    <w:p w14:paraId="1906BBA2" w14:textId="77777777" w:rsidR="00BE29D4" w:rsidRPr="00635FAA" w:rsidRDefault="00BE29D4" w:rsidP="00BE29D4">
      <w:pPr>
        <w:pStyle w:val="Header"/>
        <w:numPr>
          <w:ilvl w:val="0"/>
          <w:numId w:val="7"/>
        </w:numPr>
        <w:tabs>
          <w:tab w:val="clear" w:pos="4819"/>
          <w:tab w:val="clear" w:pos="9638"/>
          <w:tab w:val="right" w:pos="8640"/>
        </w:tabs>
        <w:ind w:left="1276" w:hanging="425"/>
        <w:rPr>
          <w:szCs w:val="24"/>
        </w:rPr>
      </w:pPr>
      <w:r w:rsidRPr="00635FAA">
        <w:rPr>
          <w:szCs w:val="24"/>
        </w:rPr>
        <w:tab/>
      </w:r>
      <w:r w:rsidRPr="00635FAA">
        <w:rPr>
          <w:color w:val="000000"/>
          <w:szCs w:val="24"/>
        </w:rPr>
        <w:t>Sandsynligvis har lavt gluthationindhold pga. f.eks</w:t>
      </w:r>
      <w:r>
        <w:rPr>
          <w:color w:val="000000"/>
          <w:szCs w:val="24"/>
        </w:rPr>
        <w:t>.</w:t>
      </w:r>
      <w:r w:rsidRPr="00635FAA">
        <w:rPr>
          <w:color w:val="000000"/>
          <w:szCs w:val="24"/>
        </w:rPr>
        <w:t xml:space="preserve"> spiseforstyrrelser, cystisk fibrose, HIV-infektion, sult, kakeksi.</w:t>
      </w:r>
    </w:p>
    <w:p w14:paraId="3258F59E" w14:textId="77777777" w:rsidR="00BE29D4" w:rsidRPr="00635FAA" w:rsidRDefault="00BE29D4" w:rsidP="00BE29D4">
      <w:pPr>
        <w:pStyle w:val="Header"/>
        <w:ind w:left="851" w:hanging="851"/>
        <w:rPr>
          <w:szCs w:val="24"/>
        </w:rPr>
      </w:pPr>
    </w:p>
    <w:p w14:paraId="19D377FB" w14:textId="77777777" w:rsidR="00BE29D4" w:rsidRPr="00635FAA" w:rsidRDefault="00BE29D4" w:rsidP="00BE29D4">
      <w:pPr>
        <w:pStyle w:val="Header"/>
        <w:ind w:left="851" w:hanging="851"/>
        <w:rPr>
          <w:szCs w:val="24"/>
          <w:u w:val="single"/>
        </w:rPr>
      </w:pPr>
      <w:r w:rsidRPr="00635FAA">
        <w:rPr>
          <w:szCs w:val="24"/>
        </w:rPr>
        <w:tab/>
      </w:r>
      <w:r w:rsidRPr="00635FAA">
        <w:rPr>
          <w:szCs w:val="24"/>
          <w:u w:val="single"/>
        </w:rPr>
        <w:t>Symptomer:</w:t>
      </w:r>
    </w:p>
    <w:p w14:paraId="60AE99E5" w14:textId="77777777" w:rsidR="00BE29D4" w:rsidRPr="00635FAA" w:rsidRDefault="00BE29D4" w:rsidP="00BE29D4">
      <w:pPr>
        <w:pStyle w:val="Header"/>
        <w:ind w:left="851" w:hanging="851"/>
        <w:rPr>
          <w:szCs w:val="24"/>
        </w:rPr>
      </w:pPr>
      <w:r>
        <w:rPr>
          <w:szCs w:val="24"/>
        </w:rPr>
        <w:tab/>
      </w:r>
      <w:r w:rsidRPr="00635FAA">
        <w:rPr>
          <w:szCs w:val="24"/>
        </w:rPr>
        <w:t>Akut paracetamolforgiftning kan udvikles i flere faser.</w:t>
      </w:r>
    </w:p>
    <w:p w14:paraId="2552CB7F" w14:textId="77777777" w:rsidR="00BE29D4" w:rsidRPr="00635FAA" w:rsidRDefault="00BE29D4" w:rsidP="00BE29D4">
      <w:pPr>
        <w:pStyle w:val="Header"/>
        <w:ind w:left="851" w:hanging="851"/>
        <w:rPr>
          <w:szCs w:val="24"/>
        </w:rPr>
      </w:pPr>
      <w:r>
        <w:rPr>
          <w:szCs w:val="24"/>
        </w:rPr>
        <w:tab/>
      </w:r>
      <w:r w:rsidRPr="00635FAA">
        <w:rPr>
          <w:szCs w:val="24"/>
        </w:rPr>
        <w:t>Symptomerne på paracetamoloverdosering i de første to dage er kvalme, opkastning, anoreksi, bleghed og mavesmerter. Let forgiftning er begrænset til disse symptomer.</w:t>
      </w:r>
    </w:p>
    <w:p w14:paraId="745590CA" w14:textId="77777777" w:rsidR="00BE29D4" w:rsidRPr="00635FAA" w:rsidRDefault="00BE29D4" w:rsidP="00BE29D4">
      <w:pPr>
        <w:pStyle w:val="Header"/>
        <w:ind w:left="851" w:hanging="851"/>
        <w:rPr>
          <w:szCs w:val="24"/>
        </w:rPr>
      </w:pPr>
      <w:r>
        <w:rPr>
          <w:szCs w:val="24"/>
        </w:rPr>
        <w:tab/>
      </w:r>
      <w:r w:rsidRPr="00635FAA">
        <w:rPr>
          <w:szCs w:val="24"/>
        </w:rPr>
        <w:t>Når forgiftning er mere alvorlig, ses der subkliniske symptomer som forhøjede leverenzymer. Fra 2 til 4 dage efter eksponering manifesteres kliniske symptomer på leverskader, såsom smertefuld hepatomegali, gulsot, encefalopati, koma og forstyrret blodgennemstrømning (blodpropper), alle sekundære til leverinsufficiens.</w:t>
      </w:r>
    </w:p>
    <w:p w14:paraId="11A0846E" w14:textId="77777777" w:rsidR="00BE29D4" w:rsidRPr="00635FAA" w:rsidRDefault="00BE29D4" w:rsidP="00BE29D4">
      <w:pPr>
        <w:pStyle w:val="Header"/>
        <w:ind w:left="851" w:hanging="851"/>
        <w:rPr>
          <w:szCs w:val="24"/>
        </w:rPr>
      </w:pPr>
    </w:p>
    <w:p w14:paraId="56052AEE" w14:textId="77777777" w:rsidR="00BE29D4" w:rsidRPr="00635FAA" w:rsidRDefault="00BE29D4" w:rsidP="00BE29D4">
      <w:pPr>
        <w:pStyle w:val="Header"/>
        <w:ind w:left="851" w:hanging="851"/>
        <w:rPr>
          <w:szCs w:val="24"/>
        </w:rPr>
      </w:pPr>
      <w:r>
        <w:rPr>
          <w:szCs w:val="24"/>
        </w:rPr>
        <w:tab/>
      </w:r>
      <w:r w:rsidRPr="00635FAA">
        <w:rPr>
          <w:szCs w:val="24"/>
        </w:rPr>
        <w:t>Der ses sjældent utilstrækkelig nyrefunktion (tubulus nekrose). Alvorlig forgiftning kan resultere i, at der forekommer metabolisk acidose.</w:t>
      </w:r>
    </w:p>
    <w:p w14:paraId="1F4CC46E" w14:textId="77777777" w:rsidR="00BE29D4" w:rsidRPr="00635FAA" w:rsidRDefault="00BE29D4" w:rsidP="00BE29D4">
      <w:pPr>
        <w:pStyle w:val="Header"/>
        <w:ind w:left="851" w:hanging="851"/>
        <w:rPr>
          <w:szCs w:val="24"/>
        </w:rPr>
      </w:pPr>
    </w:p>
    <w:p w14:paraId="5F186CE0" w14:textId="77777777" w:rsidR="00BE29D4" w:rsidRPr="00635FAA" w:rsidRDefault="00BE29D4" w:rsidP="00BE29D4">
      <w:pPr>
        <w:pStyle w:val="Header"/>
        <w:ind w:left="851" w:hanging="851"/>
        <w:rPr>
          <w:szCs w:val="24"/>
          <w:u w:val="single"/>
        </w:rPr>
      </w:pPr>
      <w:r w:rsidRPr="00635FAA">
        <w:rPr>
          <w:szCs w:val="24"/>
        </w:rPr>
        <w:tab/>
      </w:r>
      <w:r w:rsidRPr="00635FAA">
        <w:rPr>
          <w:szCs w:val="24"/>
          <w:u w:val="single"/>
        </w:rPr>
        <w:t>Behandling:</w:t>
      </w:r>
    </w:p>
    <w:p w14:paraId="4715C110" w14:textId="77777777" w:rsidR="00BE29D4" w:rsidRPr="00635FAA" w:rsidRDefault="00BE29D4" w:rsidP="00BE29D4">
      <w:pPr>
        <w:pStyle w:val="Header"/>
        <w:ind w:left="851" w:hanging="851"/>
        <w:rPr>
          <w:szCs w:val="24"/>
        </w:rPr>
      </w:pPr>
      <w:r>
        <w:rPr>
          <w:szCs w:val="24"/>
        </w:rPr>
        <w:tab/>
      </w:r>
      <w:r w:rsidRPr="00635FAA">
        <w:rPr>
          <w:szCs w:val="24"/>
        </w:rPr>
        <w:t xml:space="preserve">Lokale retningslinjer for behandling af paracetamoloverdosering bør følges. </w:t>
      </w:r>
    </w:p>
    <w:p w14:paraId="289C6E09" w14:textId="77777777" w:rsidR="00BE29D4" w:rsidRPr="00635FAA" w:rsidRDefault="00BE29D4" w:rsidP="00BE29D4">
      <w:pPr>
        <w:pStyle w:val="Header"/>
        <w:ind w:left="851" w:hanging="851"/>
        <w:rPr>
          <w:szCs w:val="24"/>
        </w:rPr>
      </w:pPr>
      <w:r>
        <w:rPr>
          <w:szCs w:val="24"/>
        </w:rPr>
        <w:tab/>
      </w:r>
      <w:r w:rsidRPr="00635FAA">
        <w:rPr>
          <w:szCs w:val="24"/>
        </w:rPr>
        <w:t xml:space="preserve">Umiddelbart efter indtagelse af en paracetamoloverdosis, der muligvis </w:t>
      </w:r>
      <w:r>
        <w:rPr>
          <w:szCs w:val="24"/>
        </w:rPr>
        <w:t xml:space="preserve">kan </w:t>
      </w:r>
      <w:r w:rsidRPr="00635FAA">
        <w:rPr>
          <w:szCs w:val="24"/>
        </w:rPr>
        <w:t xml:space="preserve">føre til alvorlig forgiftning, </w:t>
      </w:r>
      <w:r>
        <w:rPr>
          <w:szCs w:val="24"/>
        </w:rPr>
        <w:t xml:space="preserve">kan </w:t>
      </w:r>
      <w:r w:rsidRPr="00635FAA">
        <w:rPr>
          <w:szCs w:val="24"/>
        </w:rPr>
        <w:t>absorption</w:t>
      </w:r>
      <w:r>
        <w:rPr>
          <w:szCs w:val="24"/>
        </w:rPr>
        <w:t xml:space="preserve"> reducerende terapi anvendes, f.eks. </w:t>
      </w:r>
      <w:r w:rsidRPr="00635FAA">
        <w:rPr>
          <w:szCs w:val="24"/>
        </w:rPr>
        <w:t>ventrikelskylning inden for en time efter indtagelse</w:t>
      </w:r>
      <w:r>
        <w:rPr>
          <w:szCs w:val="24"/>
        </w:rPr>
        <w:t>n</w:t>
      </w:r>
      <w:r w:rsidRPr="00635FAA">
        <w:rPr>
          <w:szCs w:val="24"/>
        </w:rPr>
        <w:t xml:space="preserve"> eller administration af aktivt kul. </w:t>
      </w:r>
    </w:p>
    <w:p w14:paraId="14362657" w14:textId="77777777" w:rsidR="00BE29D4" w:rsidRPr="00635FAA" w:rsidRDefault="00BE29D4" w:rsidP="00BE29D4">
      <w:pPr>
        <w:pStyle w:val="Header"/>
        <w:ind w:left="851" w:hanging="851"/>
        <w:rPr>
          <w:szCs w:val="24"/>
        </w:rPr>
      </w:pPr>
    </w:p>
    <w:p w14:paraId="7C698DA0" w14:textId="77777777" w:rsidR="00BE29D4" w:rsidRPr="00635FAA" w:rsidRDefault="00BE29D4" w:rsidP="00BE29D4">
      <w:pPr>
        <w:pStyle w:val="Header"/>
        <w:ind w:left="851" w:hanging="851"/>
        <w:rPr>
          <w:szCs w:val="24"/>
        </w:rPr>
      </w:pPr>
      <w:r>
        <w:rPr>
          <w:szCs w:val="24"/>
        </w:rPr>
        <w:tab/>
      </w:r>
      <w:r w:rsidRPr="00635FAA">
        <w:rPr>
          <w:szCs w:val="24"/>
        </w:rPr>
        <w:t xml:space="preserve">N-acetylcystein (NAC) kan administreres som antidot. Ved administration af NAC og yderligere behandling bør koncentrationen af paracetamol i blodet bestemmes. Generelt er intravenøs administration af NAC at foretrække og bør fortsættes, indtil paracetamol er ikke længere påviselig. Det er vigtigt at indse, at indtagelse af NAC op til 36 timer efter indtagelse kan forbedre prognosen. Oral administration af NAC bør ikke kombineres med oral aktivt kul. </w:t>
      </w:r>
    </w:p>
    <w:p w14:paraId="786B31E7" w14:textId="77777777" w:rsidR="00BE29D4" w:rsidRPr="00635FAA" w:rsidRDefault="00BE29D4" w:rsidP="00BE29D4">
      <w:pPr>
        <w:pStyle w:val="Header"/>
        <w:ind w:left="851" w:hanging="851"/>
        <w:rPr>
          <w:szCs w:val="24"/>
        </w:rPr>
      </w:pPr>
    </w:p>
    <w:p w14:paraId="436651A5" w14:textId="77777777" w:rsidR="00BE29D4" w:rsidRPr="00635FAA" w:rsidRDefault="00BE29D4" w:rsidP="00BE29D4">
      <w:pPr>
        <w:pStyle w:val="Header"/>
        <w:ind w:left="851" w:hanging="851"/>
        <w:rPr>
          <w:szCs w:val="24"/>
        </w:rPr>
      </w:pPr>
      <w:r>
        <w:rPr>
          <w:szCs w:val="24"/>
        </w:rPr>
        <w:tab/>
      </w:r>
      <w:r w:rsidRPr="00635FAA">
        <w:rPr>
          <w:szCs w:val="24"/>
        </w:rPr>
        <w:t>Der bør foretages levertest ved behandlingsstart, og dette bør gentages én gang i døgnet. I de fleste tilfælde bliver levertransaminaserne normale inden for to uger efter indtagelse af overdosering med fuld rekonvalescens af leverfunktionen. I sjældne tilfælde kan det være nødvendigt med levertransplantation.</w:t>
      </w:r>
    </w:p>
    <w:p w14:paraId="475701FB" w14:textId="77777777" w:rsidR="00BE29D4" w:rsidRPr="00635FAA" w:rsidRDefault="00BE29D4" w:rsidP="00BE29D4">
      <w:pPr>
        <w:tabs>
          <w:tab w:val="left" w:pos="851"/>
        </w:tabs>
        <w:ind w:left="851" w:hanging="851"/>
        <w:rPr>
          <w:sz w:val="24"/>
          <w:szCs w:val="24"/>
        </w:rPr>
      </w:pPr>
    </w:p>
    <w:p w14:paraId="6FF3C842" w14:textId="77777777" w:rsidR="00BE29D4" w:rsidRPr="00635FAA" w:rsidRDefault="00BE29D4" w:rsidP="00BE29D4">
      <w:pPr>
        <w:tabs>
          <w:tab w:val="left" w:pos="851"/>
        </w:tabs>
        <w:ind w:left="851" w:hanging="851"/>
        <w:rPr>
          <w:b/>
          <w:sz w:val="24"/>
          <w:szCs w:val="24"/>
        </w:rPr>
      </w:pPr>
      <w:r w:rsidRPr="00635FAA">
        <w:rPr>
          <w:b/>
          <w:sz w:val="24"/>
          <w:szCs w:val="24"/>
        </w:rPr>
        <w:t>4.10</w:t>
      </w:r>
      <w:r w:rsidRPr="00635FAA">
        <w:rPr>
          <w:b/>
          <w:sz w:val="24"/>
          <w:szCs w:val="24"/>
        </w:rPr>
        <w:tab/>
        <w:t>Udlevering</w:t>
      </w:r>
    </w:p>
    <w:p w14:paraId="76567027" w14:textId="77777777" w:rsidR="00BE29D4" w:rsidRPr="00635FAA" w:rsidRDefault="00BE29D4" w:rsidP="00BE29D4">
      <w:pPr>
        <w:ind w:left="851"/>
        <w:rPr>
          <w:sz w:val="24"/>
          <w:szCs w:val="24"/>
          <w:lang w:eastAsia="da-DK"/>
        </w:rPr>
      </w:pPr>
      <w:r w:rsidRPr="00635FAA">
        <w:rPr>
          <w:sz w:val="24"/>
          <w:szCs w:val="24"/>
        </w:rPr>
        <w:t>H</w:t>
      </w:r>
      <w:r>
        <w:rPr>
          <w:sz w:val="24"/>
          <w:szCs w:val="24"/>
        </w:rPr>
        <w:t>X</w:t>
      </w:r>
      <w:r w:rsidRPr="00635FAA">
        <w:rPr>
          <w:sz w:val="24"/>
          <w:szCs w:val="24"/>
        </w:rPr>
        <w:t xml:space="preserve">18: </w:t>
      </w:r>
      <w:r>
        <w:rPr>
          <w:sz w:val="24"/>
          <w:szCs w:val="24"/>
        </w:rPr>
        <w:t>Pakninger indeholdende højst 1</w:t>
      </w:r>
      <w:r w:rsidRPr="00635FAA">
        <w:rPr>
          <w:sz w:val="24"/>
          <w:szCs w:val="24"/>
        </w:rPr>
        <w:t>0 stk.</w:t>
      </w:r>
    </w:p>
    <w:p w14:paraId="6D1982D3" w14:textId="77777777" w:rsidR="00BE29D4" w:rsidRPr="00635FAA" w:rsidRDefault="00BE29D4" w:rsidP="00BE29D4">
      <w:pPr>
        <w:ind w:left="851"/>
        <w:rPr>
          <w:sz w:val="24"/>
          <w:szCs w:val="24"/>
        </w:rPr>
      </w:pPr>
      <w:r w:rsidRPr="00635FAA">
        <w:rPr>
          <w:sz w:val="24"/>
          <w:szCs w:val="24"/>
        </w:rPr>
        <w:t xml:space="preserve">HA18: </w:t>
      </w:r>
      <w:r>
        <w:rPr>
          <w:sz w:val="24"/>
          <w:szCs w:val="24"/>
        </w:rPr>
        <w:t xml:space="preserve">Pakninger indeholdende højst </w:t>
      </w:r>
      <w:r w:rsidRPr="00635FAA">
        <w:rPr>
          <w:sz w:val="24"/>
          <w:szCs w:val="24"/>
        </w:rPr>
        <w:t>20 stk.</w:t>
      </w:r>
    </w:p>
    <w:p w14:paraId="06BCBFD5" w14:textId="77777777" w:rsidR="00BE29D4" w:rsidRPr="00635FAA" w:rsidRDefault="00BE29D4" w:rsidP="00BE29D4">
      <w:pPr>
        <w:tabs>
          <w:tab w:val="left" w:pos="851"/>
        </w:tabs>
        <w:ind w:left="851"/>
        <w:rPr>
          <w:sz w:val="24"/>
          <w:szCs w:val="24"/>
        </w:rPr>
      </w:pPr>
      <w:r w:rsidRPr="00635FAA">
        <w:rPr>
          <w:sz w:val="24"/>
          <w:szCs w:val="24"/>
        </w:rPr>
        <w:t xml:space="preserve">B: </w:t>
      </w:r>
      <w:r>
        <w:rPr>
          <w:sz w:val="24"/>
          <w:szCs w:val="24"/>
        </w:rPr>
        <w:t>Ingen øvre grænse</w:t>
      </w:r>
    </w:p>
    <w:p w14:paraId="12180681" w14:textId="77777777" w:rsidR="00BE29D4" w:rsidRPr="00635FAA" w:rsidRDefault="00BE29D4" w:rsidP="00BE29D4">
      <w:pPr>
        <w:tabs>
          <w:tab w:val="left" w:pos="851"/>
        </w:tabs>
        <w:rPr>
          <w:sz w:val="24"/>
          <w:szCs w:val="24"/>
        </w:rPr>
      </w:pPr>
    </w:p>
    <w:p w14:paraId="3EBE3836" w14:textId="77777777" w:rsidR="00BE29D4" w:rsidRPr="00635FAA" w:rsidRDefault="00BE29D4" w:rsidP="00BE29D4">
      <w:pPr>
        <w:tabs>
          <w:tab w:val="left" w:pos="851"/>
        </w:tabs>
        <w:ind w:left="851" w:hanging="851"/>
        <w:rPr>
          <w:sz w:val="24"/>
          <w:szCs w:val="24"/>
        </w:rPr>
      </w:pPr>
    </w:p>
    <w:p w14:paraId="227F560C" w14:textId="77777777" w:rsidR="00BE29D4" w:rsidRPr="00635FAA" w:rsidRDefault="00BE29D4" w:rsidP="00BE29D4">
      <w:pPr>
        <w:tabs>
          <w:tab w:val="left" w:pos="851"/>
        </w:tabs>
        <w:ind w:left="851" w:hanging="851"/>
        <w:rPr>
          <w:b/>
          <w:sz w:val="24"/>
          <w:szCs w:val="24"/>
        </w:rPr>
      </w:pPr>
      <w:r w:rsidRPr="00635FAA">
        <w:rPr>
          <w:b/>
          <w:sz w:val="24"/>
          <w:szCs w:val="24"/>
        </w:rPr>
        <w:t>5.</w:t>
      </w:r>
      <w:r w:rsidRPr="00635FAA">
        <w:rPr>
          <w:b/>
          <w:sz w:val="24"/>
          <w:szCs w:val="24"/>
        </w:rPr>
        <w:tab/>
        <w:t>FARMAKOLOGISKE EGENSKABER</w:t>
      </w:r>
    </w:p>
    <w:p w14:paraId="0A14C974" w14:textId="77777777" w:rsidR="00BE29D4" w:rsidRPr="00635FAA" w:rsidRDefault="00BE29D4" w:rsidP="00BE29D4">
      <w:pPr>
        <w:tabs>
          <w:tab w:val="left" w:pos="851"/>
        </w:tabs>
        <w:ind w:left="851" w:hanging="851"/>
        <w:rPr>
          <w:sz w:val="24"/>
          <w:szCs w:val="24"/>
        </w:rPr>
      </w:pPr>
    </w:p>
    <w:p w14:paraId="5A81185E" w14:textId="77777777" w:rsidR="00BE29D4" w:rsidRPr="00635FAA" w:rsidRDefault="00BE29D4" w:rsidP="00BE29D4">
      <w:pPr>
        <w:tabs>
          <w:tab w:val="left" w:pos="851"/>
        </w:tabs>
        <w:ind w:left="851" w:hanging="851"/>
        <w:rPr>
          <w:b/>
          <w:sz w:val="24"/>
          <w:szCs w:val="24"/>
        </w:rPr>
      </w:pPr>
      <w:r w:rsidRPr="00635FAA">
        <w:rPr>
          <w:b/>
          <w:sz w:val="24"/>
          <w:szCs w:val="24"/>
        </w:rPr>
        <w:t>5.0</w:t>
      </w:r>
      <w:r w:rsidRPr="00635FAA">
        <w:rPr>
          <w:b/>
          <w:sz w:val="24"/>
          <w:szCs w:val="24"/>
        </w:rPr>
        <w:tab/>
        <w:t>Terapeutisk klassifikation</w:t>
      </w:r>
    </w:p>
    <w:p w14:paraId="2590B4F4" w14:textId="77777777" w:rsidR="00BE29D4" w:rsidRPr="00635FAA" w:rsidRDefault="00BE29D4" w:rsidP="00BE29D4">
      <w:pPr>
        <w:shd w:val="clear" w:color="auto" w:fill="FFFFFF"/>
        <w:ind w:left="851"/>
        <w:rPr>
          <w:sz w:val="24"/>
          <w:szCs w:val="24"/>
        </w:rPr>
      </w:pPr>
      <w:r w:rsidRPr="00635FAA">
        <w:rPr>
          <w:color w:val="000000"/>
          <w:sz w:val="24"/>
          <w:szCs w:val="24"/>
        </w:rPr>
        <w:t>ATC-kode: N</w:t>
      </w:r>
      <w:r>
        <w:rPr>
          <w:color w:val="000000"/>
          <w:sz w:val="24"/>
          <w:szCs w:val="24"/>
        </w:rPr>
        <w:t xml:space="preserve"> </w:t>
      </w:r>
      <w:r w:rsidRPr="00635FAA">
        <w:rPr>
          <w:color w:val="000000"/>
          <w:sz w:val="24"/>
          <w:szCs w:val="24"/>
        </w:rPr>
        <w:t>02</w:t>
      </w:r>
      <w:r>
        <w:rPr>
          <w:color w:val="000000"/>
          <w:sz w:val="24"/>
          <w:szCs w:val="24"/>
        </w:rPr>
        <w:t xml:space="preserve"> </w:t>
      </w:r>
      <w:r w:rsidRPr="00635FAA">
        <w:rPr>
          <w:color w:val="000000"/>
          <w:sz w:val="24"/>
          <w:szCs w:val="24"/>
        </w:rPr>
        <w:t>BE</w:t>
      </w:r>
      <w:r>
        <w:rPr>
          <w:color w:val="000000"/>
          <w:sz w:val="24"/>
          <w:szCs w:val="24"/>
        </w:rPr>
        <w:t xml:space="preserve"> </w:t>
      </w:r>
      <w:r w:rsidRPr="00635FAA">
        <w:rPr>
          <w:color w:val="000000"/>
          <w:sz w:val="24"/>
          <w:szCs w:val="24"/>
        </w:rPr>
        <w:t>01</w:t>
      </w:r>
      <w:r>
        <w:rPr>
          <w:color w:val="000000"/>
          <w:sz w:val="24"/>
          <w:szCs w:val="24"/>
        </w:rPr>
        <w:t>. A</w:t>
      </w:r>
      <w:r w:rsidRPr="00635FAA">
        <w:rPr>
          <w:color w:val="000000"/>
          <w:sz w:val="24"/>
          <w:szCs w:val="24"/>
        </w:rPr>
        <w:t>ndre analgetika og antipyretika, anilider</w:t>
      </w:r>
      <w:r>
        <w:rPr>
          <w:color w:val="000000"/>
          <w:sz w:val="24"/>
          <w:szCs w:val="24"/>
        </w:rPr>
        <w:t>.</w:t>
      </w:r>
    </w:p>
    <w:p w14:paraId="3B7AB036" w14:textId="77777777" w:rsidR="00BE29D4" w:rsidRPr="00635FAA" w:rsidRDefault="00BE29D4" w:rsidP="00BE29D4">
      <w:pPr>
        <w:tabs>
          <w:tab w:val="left" w:pos="851"/>
        </w:tabs>
        <w:ind w:left="851" w:hanging="851"/>
        <w:rPr>
          <w:sz w:val="24"/>
          <w:szCs w:val="24"/>
        </w:rPr>
      </w:pPr>
    </w:p>
    <w:p w14:paraId="6CC6CA9A" w14:textId="77777777" w:rsidR="00BE29D4" w:rsidRPr="00635FAA" w:rsidRDefault="00BE29D4" w:rsidP="00BE29D4">
      <w:pPr>
        <w:tabs>
          <w:tab w:val="num" w:pos="851"/>
        </w:tabs>
        <w:ind w:left="851" w:hanging="851"/>
        <w:rPr>
          <w:b/>
          <w:sz w:val="24"/>
          <w:szCs w:val="24"/>
        </w:rPr>
      </w:pPr>
      <w:r w:rsidRPr="00635FAA">
        <w:rPr>
          <w:b/>
          <w:sz w:val="24"/>
          <w:szCs w:val="24"/>
        </w:rPr>
        <w:t>5.1</w:t>
      </w:r>
      <w:r w:rsidRPr="00635FAA">
        <w:rPr>
          <w:b/>
          <w:sz w:val="24"/>
          <w:szCs w:val="24"/>
        </w:rPr>
        <w:tab/>
        <w:t>Farmakodynamiske egenskaber</w:t>
      </w:r>
    </w:p>
    <w:p w14:paraId="21575E9F" w14:textId="77777777" w:rsidR="00BE29D4" w:rsidRPr="00635FAA" w:rsidRDefault="00BE29D4" w:rsidP="00BE29D4">
      <w:pPr>
        <w:shd w:val="clear" w:color="auto" w:fill="FFFFFF"/>
        <w:ind w:left="851"/>
        <w:rPr>
          <w:color w:val="000000"/>
          <w:sz w:val="24"/>
          <w:szCs w:val="24"/>
        </w:rPr>
      </w:pPr>
      <w:r w:rsidRPr="00635FAA">
        <w:rPr>
          <w:color w:val="000000"/>
          <w:sz w:val="24"/>
          <w:szCs w:val="24"/>
        </w:rPr>
        <w:t>Paracetamol er et effektivt antipyretisk og analgetisk middel. Det har imidlertid ingen antiinflammatorisk virkning.</w:t>
      </w:r>
    </w:p>
    <w:p w14:paraId="2FD5CA29" w14:textId="77777777" w:rsidR="00BE29D4" w:rsidRPr="00635FAA" w:rsidRDefault="00BE29D4" w:rsidP="00BE29D4">
      <w:pPr>
        <w:shd w:val="clear" w:color="auto" w:fill="FFFFFF"/>
        <w:ind w:left="851" w:hanging="851"/>
        <w:rPr>
          <w:color w:val="000000"/>
          <w:sz w:val="24"/>
          <w:szCs w:val="24"/>
        </w:rPr>
      </w:pPr>
    </w:p>
    <w:p w14:paraId="37B95CEA" w14:textId="77777777" w:rsidR="00BE29D4" w:rsidRPr="00635FAA" w:rsidRDefault="00BE29D4" w:rsidP="00BE29D4">
      <w:pPr>
        <w:shd w:val="clear" w:color="auto" w:fill="FFFFFF"/>
        <w:ind w:left="851"/>
        <w:rPr>
          <w:color w:val="000000"/>
          <w:sz w:val="24"/>
          <w:szCs w:val="24"/>
        </w:rPr>
      </w:pPr>
      <w:r w:rsidRPr="00635FAA">
        <w:rPr>
          <w:color w:val="000000"/>
          <w:sz w:val="24"/>
          <w:szCs w:val="24"/>
        </w:rPr>
        <w:t>Paracetamols væsentligste virkning er hæmning af cyclooxygenase, et enzym der er vigtigt for prostaglandinsyntesen. Cyclooxygenase i centralnervesystemet er mere følsomt over for paracetamol end perifer cyclooxygenase, og dette forklarer, hvorfor paracetamol har antipyretisk og analgetisk virkning uden at have en udtalt perifer antiinflammatorisk effekt.</w:t>
      </w:r>
    </w:p>
    <w:p w14:paraId="5D2E4490" w14:textId="77777777" w:rsidR="00BE29D4" w:rsidRPr="00635FAA" w:rsidRDefault="00BE29D4" w:rsidP="00BE29D4">
      <w:pPr>
        <w:tabs>
          <w:tab w:val="left" w:pos="851"/>
        </w:tabs>
        <w:ind w:left="851" w:hanging="851"/>
        <w:rPr>
          <w:sz w:val="24"/>
          <w:szCs w:val="24"/>
        </w:rPr>
      </w:pPr>
    </w:p>
    <w:p w14:paraId="5309340F" w14:textId="77777777" w:rsidR="00BE29D4" w:rsidRPr="00635FAA" w:rsidRDefault="00BE29D4" w:rsidP="00BE29D4">
      <w:pPr>
        <w:tabs>
          <w:tab w:val="left" w:pos="851"/>
        </w:tabs>
        <w:ind w:left="851" w:hanging="851"/>
        <w:rPr>
          <w:b/>
          <w:sz w:val="24"/>
          <w:szCs w:val="24"/>
        </w:rPr>
      </w:pPr>
      <w:r w:rsidRPr="00635FAA">
        <w:rPr>
          <w:b/>
          <w:sz w:val="24"/>
          <w:szCs w:val="24"/>
        </w:rPr>
        <w:t>5.2</w:t>
      </w:r>
      <w:r w:rsidRPr="00635FAA">
        <w:rPr>
          <w:b/>
          <w:sz w:val="24"/>
          <w:szCs w:val="24"/>
        </w:rPr>
        <w:tab/>
        <w:t>Farmakokinetiske egenskaber</w:t>
      </w:r>
    </w:p>
    <w:p w14:paraId="231F04EF" w14:textId="77777777" w:rsidR="00BE29D4" w:rsidRDefault="00BE29D4" w:rsidP="00BE29D4">
      <w:pPr>
        <w:autoSpaceDE w:val="0"/>
        <w:autoSpaceDN w:val="0"/>
        <w:adjustRightInd w:val="0"/>
        <w:ind w:left="851" w:hanging="851"/>
        <w:rPr>
          <w:color w:val="000000"/>
          <w:sz w:val="24"/>
          <w:szCs w:val="24"/>
          <w:u w:val="single"/>
        </w:rPr>
      </w:pPr>
    </w:p>
    <w:p w14:paraId="780D045C" w14:textId="77777777" w:rsidR="00BE29D4" w:rsidRPr="00635FAA" w:rsidRDefault="00BE29D4" w:rsidP="00BE29D4">
      <w:pPr>
        <w:autoSpaceDE w:val="0"/>
        <w:autoSpaceDN w:val="0"/>
        <w:adjustRightInd w:val="0"/>
        <w:ind w:left="851"/>
        <w:rPr>
          <w:color w:val="000000"/>
          <w:sz w:val="24"/>
          <w:szCs w:val="24"/>
          <w:u w:val="single"/>
        </w:rPr>
      </w:pPr>
      <w:r w:rsidRPr="00635FAA">
        <w:rPr>
          <w:color w:val="000000"/>
          <w:sz w:val="24"/>
          <w:szCs w:val="24"/>
          <w:u w:val="single"/>
        </w:rPr>
        <w:t>Absorption</w:t>
      </w:r>
    </w:p>
    <w:p w14:paraId="266D3ED3"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Efter oral indgift absorberes paracetamol hurtigt og næsten fuldstændigt. Maksimal plasmakoncentration nås inden for 30 minutter til 2 timer.</w:t>
      </w:r>
    </w:p>
    <w:p w14:paraId="480FF2CD" w14:textId="77777777" w:rsidR="00BE29D4" w:rsidRPr="00635FAA" w:rsidRDefault="00BE29D4" w:rsidP="00BE29D4">
      <w:pPr>
        <w:autoSpaceDE w:val="0"/>
        <w:autoSpaceDN w:val="0"/>
        <w:adjustRightInd w:val="0"/>
        <w:ind w:left="851" w:hanging="851"/>
        <w:rPr>
          <w:color w:val="000000"/>
          <w:sz w:val="24"/>
          <w:szCs w:val="24"/>
        </w:rPr>
      </w:pPr>
    </w:p>
    <w:p w14:paraId="26E28D9F" w14:textId="77777777" w:rsidR="00BE29D4" w:rsidRPr="00635FAA" w:rsidRDefault="00BE29D4" w:rsidP="00BE29D4">
      <w:pPr>
        <w:autoSpaceDE w:val="0"/>
        <w:autoSpaceDN w:val="0"/>
        <w:adjustRightInd w:val="0"/>
        <w:ind w:left="851"/>
        <w:rPr>
          <w:color w:val="000000"/>
          <w:sz w:val="24"/>
          <w:szCs w:val="24"/>
          <w:u w:val="single"/>
        </w:rPr>
      </w:pPr>
      <w:r w:rsidRPr="00635FAA">
        <w:rPr>
          <w:color w:val="000000"/>
          <w:sz w:val="24"/>
          <w:szCs w:val="24"/>
          <w:u w:val="single"/>
        </w:rPr>
        <w:t>Fordeling</w:t>
      </w:r>
    </w:p>
    <w:p w14:paraId="5C5FDCDC"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Paracetamol distribueres hurtigt i alt væv. Koncentrationerne er sammenlignelige i blod, spyt og plasma.</w:t>
      </w:r>
    </w:p>
    <w:p w14:paraId="64A8C46D" w14:textId="77777777" w:rsidR="00BE29D4" w:rsidRPr="00635FAA" w:rsidRDefault="00BE29D4" w:rsidP="00BE29D4">
      <w:pPr>
        <w:autoSpaceDE w:val="0"/>
        <w:autoSpaceDN w:val="0"/>
        <w:adjustRightInd w:val="0"/>
        <w:ind w:left="851" w:hanging="851"/>
        <w:rPr>
          <w:color w:val="000000"/>
          <w:sz w:val="24"/>
          <w:szCs w:val="24"/>
        </w:rPr>
      </w:pPr>
    </w:p>
    <w:p w14:paraId="39848801"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Paracetamols distributionsvolumen er ca. 1 l/kg kropsvægt. Ved terapeutiske doser er proteinbindingen ubetydelig.</w:t>
      </w:r>
    </w:p>
    <w:p w14:paraId="2C625240" w14:textId="77777777" w:rsidR="00BE29D4" w:rsidRPr="00635FAA" w:rsidRDefault="00BE29D4" w:rsidP="00BE29D4">
      <w:pPr>
        <w:autoSpaceDE w:val="0"/>
        <w:autoSpaceDN w:val="0"/>
        <w:adjustRightInd w:val="0"/>
        <w:ind w:left="851" w:hanging="851"/>
        <w:rPr>
          <w:color w:val="000000"/>
          <w:sz w:val="24"/>
          <w:szCs w:val="24"/>
        </w:rPr>
      </w:pPr>
    </w:p>
    <w:p w14:paraId="52FA2A74" w14:textId="77777777" w:rsidR="00BE29D4" w:rsidRPr="00635FAA" w:rsidRDefault="00BE29D4" w:rsidP="00BE29D4">
      <w:pPr>
        <w:autoSpaceDE w:val="0"/>
        <w:autoSpaceDN w:val="0"/>
        <w:adjustRightInd w:val="0"/>
        <w:ind w:left="851"/>
        <w:rPr>
          <w:color w:val="000000"/>
          <w:sz w:val="24"/>
          <w:szCs w:val="24"/>
          <w:u w:val="single"/>
        </w:rPr>
      </w:pPr>
      <w:r w:rsidRPr="00635FAA">
        <w:rPr>
          <w:color w:val="000000"/>
          <w:sz w:val="24"/>
          <w:szCs w:val="24"/>
          <w:u w:val="single"/>
        </w:rPr>
        <w:t>Metabolisme</w:t>
      </w:r>
    </w:p>
    <w:p w14:paraId="623B8FBC"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Hos voksne konjugeres paracetamol i leveren med glucuronsyre (~60 %) og sulfat (~35 %). Sidstnævnte eliminationsvej bliver nemt mættet ved doser, der er højere end den terapeutiske dosis. En mindre vej, der katalyseres af cytochrom P450, resulterer i dannelsen af en intermediær reagens (N-acetyl-p-benzoquinonimin), som ved normal brug hurtigt detoxificeres af glutathion og elimineres i urin efter konjugering med cystein (~3 %) og mercaptopurinsyre.</w:t>
      </w:r>
    </w:p>
    <w:p w14:paraId="22061935" w14:textId="77777777" w:rsidR="00BE29D4" w:rsidRPr="00635FAA" w:rsidRDefault="00BE29D4" w:rsidP="00BE29D4">
      <w:pPr>
        <w:autoSpaceDE w:val="0"/>
        <w:autoSpaceDN w:val="0"/>
        <w:adjustRightInd w:val="0"/>
        <w:ind w:left="851" w:hanging="851"/>
        <w:rPr>
          <w:color w:val="000000"/>
          <w:sz w:val="24"/>
          <w:szCs w:val="24"/>
        </w:rPr>
      </w:pPr>
    </w:p>
    <w:p w14:paraId="5F01CE09"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Hos nyfødte og børn &lt;12 år er sulfatkonjugering den primære eliminationsvej, og glukuronidering er mindre end hos voksne. Den totale elimination hos børn svarer til den set hos voksne på grund af en øget sulfatkonjugeringskapacitet.</w:t>
      </w:r>
    </w:p>
    <w:p w14:paraId="634A098E" w14:textId="77777777" w:rsidR="00BE29D4" w:rsidRDefault="00BE29D4" w:rsidP="00BE29D4">
      <w:pPr>
        <w:autoSpaceDE w:val="0"/>
        <w:autoSpaceDN w:val="0"/>
        <w:adjustRightInd w:val="0"/>
        <w:ind w:left="851"/>
        <w:rPr>
          <w:color w:val="000000"/>
          <w:sz w:val="24"/>
          <w:szCs w:val="24"/>
        </w:rPr>
      </w:pPr>
    </w:p>
    <w:p w14:paraId="2A5D8812" w14:textId="77777777" w:rsidR="00BE29D4" w:rsidRPr="00635FAA" w:rsidRDefault="00BE29D4" w:rsidP="00BE29D4">
      <w:pPr>
        <w:autoSpaceDE w:val="0"/>
        <w:autoSpaceDN w:val="0"/>
        <w:adjustRightInd w:val="0"/>
        <w:ind w:left="851"/>
        <w:rPr>
          <w:color w:val="000000"/>
          <w:sz w:val="24"/>
          <w:szCs w:val="24"/>
          <w:u w:val="single"/>
        </w:rPr>
      </w:pPr>
      <w:r w:rsidRPr="00635FAA">
        <w:rPr>
          <w:color w:val="000000"/>
          <w:sz w:val="24"/>
          <w:szCs w:val="24"/>
          <w:u w:val="single"/>
        </w:rPr>
        <w:t>Elimination</w:t>
      </w:r>
    </w:p>
    <w:p w14:paraId="6139DB33"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Paracetamol udskilles primært i urinen. 90 % af den indtagne dosis elimineres via nyrerne indenfor 24 timer, fortrinsvis som glucoronid- (60-80 %) og sulfatkonjugater (20-30 %). Mindre end 5 % elimineres uændret. Eliminationshalveringstiden er cirka 2 timer.</w:t>
      </w:r>
    </w:p>
    <w:p w14:paraId="039B2A5E" w14:textId="77777777" w:rsidR="00BE29D4" w:rsidRPr="00635FAA" w:rsidRDefault="00BE29D4" w:rsidP="00BE29D4">
      <w:pPr>
        <w:autoSpaceDE w:val="0"/>
        <w:autoSpaceDN w:val="0"/>
        <w:adjustRightInd w:val="0"/>
        <w:ind w:left="851" w:hanging="851"/>
        <w:rPr>
          <w:color w:val="000000"/>
          <w:sz w:val="24"/>
          <w:szCs w:val="24"/>
        </w:rPr>
      </w:pPr>
    </w:p>
    <w:p w14:paraId="72B50EC5" w14:textId="77777777" w:rsidR="00BE29D4" w:rsidRPr="00635FAA" w:rsidRDefault="00BE29D4" w:rsidP="00BE29D4">
      <w:pPr>
        <w:autoSpaceDE w:val="0"/>
        <w:autoSpaceDN w:val="0"/>
        <w:adjustRightInd w:val="0"/>
        <w:ind w:left="851"/>
        <w:rPr>
          <w:color w:val="000000"/>
          <w:sz w:val="24"/>
          <w:szCs w:val="24"/>
        </w:rPr>
      </w:pPr>
      <w:r w:rsidRPr="00635FAA">
        <w:rPr>
          <w:color w:val="000000"/>
          <w:sz w:val="24"/>
          <w:szCs w:val="24"/>
        </w:rPr>
        <w:t>I tilfælde af nedsat nyre- eller leverfunktion, ved overdosering, og hos nyfødte er paracetamols halveringstid forlænget. Maksimal effekt svarer til plasmakoncentrationen. Hos ældre patienter er konjugeringskapaciteten ikke mod</w:t>
      </w:r>
      <w:r>
        <w:rPr>
          <w:color w:val="000000"/>
          <w:sz w:val="24"/>
          <w:szCs w:val="24"/>
        </w:rPr>
        <w:t>i</w:t>
      </w:r>
      <w:r w:rsidRPr="00635FAA">
        <w:rPr>
          <w:color w:val="000000"/>
          <w:sz w:val="24"/>
          <w:szCs w:val="24"/>
        </w:rPr>
        <w:t>ficeret.</w:t>
      </w:r>
    </w:p>
    <w:p w14:paraId="2704855E" w14:textId="77777777" w:rsidR="00BE29D4" w:rsidRPr="00635FAA" w:rsidRDefault="00BE29D4" w:rsidP="00BE29D4">
      <w:pPr>
        <w:tabs>
          <w:tab w:val="left" w:pos="851"/>
        </w:tabs>
        <w:ind w:left="851" w:hanging="851"/>
        <w:rPr>
          <w:sz w:val="24"/>
          <w:szCs w:val="24"/>
        </w:rPr>
      </w:pPr>
    </w:p>
    <w:p w14:paraId="737D2CE7" w14:textId="77777777" w:rsidR="00BE29D4" w:rsidRPr="00635FAA" w:rsidRDefault="00BE29D4" w:rsidP="00BE29D4">
      <w:pPr>
        <w:tabs>
          <w:tab w:val="left" w:pos="851"/>
        </w:tabs>
        <w:ind w:left="851" w:hanging="851"/>
        <w:rPr>
          <w:b/>
          <w:sz w:val="24"/>
          <w:szCs w:val="24"/>
        </w:rPr>
      </w:pPr>
      <w:r w:rsidRPr="00635FAA">
        <w:rPr>
          <w:b/>
          <w:sz w:val="24"/>
          <w:szCs w:val="24"/>
        </w:rPr>
        <w:t>5.3</w:t>
      </w:r>
      <w:r w:rsidRPr="00635FAA">
        <w:rPr>
          <w:b/>
          <w:sz w:val="24"/>
          <w:szCs w:val="24"/>
        </w:rPr>
        <w:tab/>
        <w:t>Prækliniske sikkerhedsdata</w:t>
      </w:r>
    </w:p>
    <w:p w14:paraId="24309E3E" w14:textId="77777777" w:rsidR="00BE29D4" w:rsidRDefault="00BE29D4" w:rsidP="00BE29D4">
      <w:pPr>
        <w:widowControl w:val="0"/>
        <w:autoSpaceDE w:val="0"/>
        <w:autoSpaceDN w:val="0"/>
        <w:adjustRightInd w:val="0"/>
        <w:ind w:left="851"/>
        <w:rPr>
          <w:color w:val="000000"/>
          <w:sz w:val="24"/>
          <w:szCs w:val="24"/>
        </w:rPr>
      </w:pPr>
      <w:r w:rsidRPr="00635FAA">
        <w:rPr>
          <w:color w:val="000000"/>
          <w:sz w:val="24"/>
          <w:szCs w:val="24"/>
        </w:rPr>
        <w:t>Der blev kun observeret virkning i ikke-kliniske forsøg ved eksponeringer, der i væsentlig grad overstiger den maksimale humane eksponering, hvilket indikerer ringe relevans ved klinisk brug. Dyreforsøg har ikke påvist teratogent toksicitet.</w:t>
      </w:r>
    </w:p>
    <w:p w14:paraId="783381F8" w14:textId="77777777" w:rsidR="00BE29D4" w:rsidRDefault="00BE29D4" w:rsidP="00BE29D4">
      <w:pPr>
        <w:widowControl w:val="0"/>
        <w:autoSpaceDE w:val="0"/>
        <w:autoSpaceDN w:val="0"/>
        <w:adjustRightInd w:val="0"/>
        <w:ind w:left="851"/>
        <w:rPr>
          <w:color w:val="000000"/>
          <w:sz w:val="24"/>
          <w:szCs w:val="24"/>
        </w:rPr>
      </w:pPr>
    </w:p>
    <w:p w14:paraId="6B0DF1F0" w14:textId="77777777" w:rsidR="00BE29D4" w:rsidRPr="00635FAA" w:rsidRDefault="00BE29D4" w:rsidP="00BE29D4">
      <w:pPr>
        <w:tabs>
          <w:tab w:val="left" w:pos="851"/>
        </w:tabs>
        <w:ind w:left="851"/>
        <w:rPr>
          <w:sz w:val="24"/>
          <w:szCs w:val="24"/>
        </w:rPr>
      </w:pPr>
      <w:r w:rsidRPr="00AC1EFB">
        <w:rPr>
          <w:color w:val="000000"/>
          <w:sz w:val="24"/>
          <w:szCs w:val="24"/>
        </w:rPr>
        <w:t>Der foreligger ikke konventionelle studier, hvor man har anvendt aktuelt anerkendte standarder for evaluering af reproduktions- og udviklingstoksicitet.</w:t>
      </w:r>
    </w:p>
    <w:p w14:paraId="1107854B" w14:textId="77777777" w:rsidR="00BE29D4" w:rsidRPr="00635FAA" w:rsidRDefault="00BE29D4" w:rsidP="00BE29D4">
      <w:pPr>
        <w:tabs>
          <w:tab w:val="left" w:pos="851"/>
        </w:tabs>
        <w:ind w:left="851" w:hanging="851"/>
        <w:rPr>
          <w:sz w:val="24"/>
          <w:szCs w:val="24"/>
        </w:rPr>
      </w:pPr>
    </w:p>
    <w:p w14:paraId="68914085" w14:textId="77777777" w:rsidR="00BE29D4" w:rsidRPr="00635FAA" w:rsidRDefault="00BE29D4" w:rsidP="00BE29D4">
      <w:pPr>
        <w:tabs>
          <w:tab w:val="left" w:pos="851"/>
        </w:tabs>
        <w:ind w:left="851" w:hanging="851"/>
        <w:rPr>
          <w:b/>
          <w:sz w:val="24"/>
          <w:szCs w:val="24"/>
        </w:rPr>
      </w:pPr>
      <w:r w:rsidRPr="00635FAA">
        <w:rPr>
          <w:b/>
          <w:sz w:val="24"/>
          <w:szCs w:val="24"/>
        </w:rPr>
        <w:t>6.</w:t>
      </w:r>
      <w:r w:rsidRPr="00635FAA">
        <w:rPr>
          <w:b/>
          <w:sz w:val="24"/>
          <w:szCs w:val="24"/>
        </w:rPr>
        <w:tab/>
        <w:t>FARMACEUTISKE OPLYSNINGER</w:t>
      </w:r>
    </w:p>
    <w:p w14:paraId="276529F3" w14:textId="77777777" w:rsidR="00BE29D4" w:rsidRPr="00635FAA" w:rsidRDefault="00BE29D4" w:rsidP="00BE29D4">
      <w:pPr>
        <w:tabs>
          <w:tab w:val="left" w:pos="851"/>
        </w:tabs>
        <w:ind w:left="851" w:hanging="851"/>
        <w:rPr>
          <w:sz w:val="24"/>
          <w:szCs w:val="24"/>
        </w:rPr>
      </w:pPr>
    </w:p>
    <w:p w14:paraId="6F071DE0" w14:textId="77777777" w:rsidR="00BE29D4" w:rsidRPr="00635FAA" w:rsidRDefault="00BE29D4" w:rsidP="00BE29D4">
      <w:pPr>
        <w:tabs>
          <w:tab w:val="left" w:pos="851"/>
        </w:tabs>
        <w:ind w:left="851" w:hanging="851"/>
        <w:rPr>
          <w:b/>
          <w:sz w:val="24"/>
          <w:szCs w:val="24"/>
        </w:rPr>
      </w:pPr>
      <w:r w:rsidRPr="00635FAA">
        <w:rPr>
          <w:b/>
          <w:sz w:val="24"/>
          <w:szCs w:val="24"/>
        </w:rPr>
        <w:t>6.1</w:t>
      </w:r>
      <w:r w:rsidRPr="00635FAA">
        <w:rPr>
          <w:b/>
          <w:sz w:val="24"/>
          <w:szCs w:val="24"/>
        </w:rPr>
        <w:tab/>
        <w:t>Hjælpestoffer</w:t>
      </w:r>
    </w:p>
    <w:p w14:paraId="7F1208F7" w14:textId="77777777" w:rsidR="00BE29D4" w:rsidRPr="00635FAA" w:rsidRDefault="00BE29D4" w:rsidP="00BE29D4">
      <w:pPr>
        <w:pStyle w:val="Header"/>
        <w:ind w:left="851"/>
        <w:rPr>
          <w:color w:val="000000"/>
          <w:szCs w:val="24"/>
        </w:rPr>
      </w:pPr>
      <w:r w:rsidRPr="00635FAA">
        <w:rPr>
          <w:color w:val="000000"/>
          <w:szCs w:val="24"/>
        </w:rPr>
        <w:t xml:space="preserve">Majsstivelse, </w:t>
      </w:r>
    </w:p>
    <w:p w14:paraId="71EEEFD4" w14:textId="77777777" w:rsidR="00BE29D4" w:rsidRPr="00635FAA" w:rsidRDefault="00BE29D4" w:rsidP="00BE29D4">
      <w:pPr>
        <w:pStyle w:val="Header"/>
        <w:ind w:left="851"/>
        <w:rPr>
          <w:color w:val="000000"/>
          <w:szCs w:val="24"/>
        </w:rPr>
      </w:pPr>
      <w:r w:rsidRPr="00635FAA">
        <w:rPr>
          <w:color w:val="000000"/>
          <w:szCs w:val="24"/>
        </w:rPr>
        <w:t xml:space="preserve">Gelatine (E441), </w:t>
      </w:r>
    </w:p>
    <w:p w14:paraId="76737AD8" w14:textId="77777777" w:rsidR="00BE29D4" w:rsidRPr="00635FAA" w:rsidRDefault="00BE29D4" w:rsidP="00BE29D4">
      <w:pPr>
        <w:pStyle w:val="Header"/>
        <w:ind w:left="851"/>
        <w:rPr>
          <w:color w:val="000000"/>
          <w:szCs w:val="24"/>
        </w:rPr>
      </w:pPr>
      <w:r w:rsidRPr="00635FAA">
        <w:rPr>
          <w:color w:val="000000"/>
          <w:szCs w:val="24"/>
        </w:rPr>
        <w:t>Silica, kolloid vandfri</w:t>
      </w:r>
      <w:r w:rsidRPr="00635FAA">
        <w:rPr>
          <w:szCs w:val="24"/>
        </w:rPr>
        <w:t xml:space="preserve"> </w:t>
      </w:r>
      <w:r w:rsidRPr="00635FAA">
        <w:rPr>
          <w:color w:val="000000"/>
          <w:szCs w:val="24"/>
        </w:rPr>
        <w:t xml:space="preserve">(E551), </w:t>
      </w:r>
    </w:p>
    <w:p w14:paraId="473CA0C9" w14:textId="77777777" w:rsidR="00BE29D4" w:rsidRPr="00635FAA" w:rsidRDefault="00BE29D4" w:rsidP="00BE29D4">
      <w:pPr>
        <w:pStyle w:val="Header"/>
        <w:ind w:left="851"/>
        <w:rPr>
          <w:color w:val="000000"/>
          <w:szCs w:val="24"/>
        </w:rPr>
      </w:pPr>
      <w:r w:rsidRPr="00635FAA">
        <w:rPr>
          <w:color w:val="000000"/>
          <w:szCs w:val="24"/>
        </w:rPr>
        <w:t xml:space="preserve">Talkum (E553B), </w:t>
      </w:r>
    </w:p>
    <w:p w14:paraId="7BF123A5" w14:textId="77777777" w:rsidR="00BE29D4" w:rsidRPr="00635FAA" w:rsidRDefault="00BE29D4" w:rsidP="00BE29D4">
      <w:pPr>
        <w:pStyle w:val="Header"/>
        <w:ind w:left="851"/>
        <w:rPr>
          <w:color w:val="000000"/>
          <w:szCs w:val="24"/>
        </w:rPr>
      </w:pPr>
      <w:r w:rsidRPr="00635FAA">
        <w:rPr>
          <w:szCs w:val="24"/>
        </w:rPr>
        <w:t>Natriumstivelsesglycolat (Type A) (E468),</w:t>
      </w:r>
      <w:r w:rsidRPr="00635FAA">
        <w:rPr>
          <w:color w:val="000000"/>
          <w:szCs w:val="24"/>
        </w:rPr>
        <w:t xml:space="preserve"> </w:t>
      </w:r>
    </w:p>
    <w:p w14:paraId="6CF16EF8" w14:textId="77777777" w:rsidR="00BE29D4" w:rsidRPr="00635FAA" w:rsidRDefault="00BE29D4" w:rsidP="00BE29D4">
      <w:pPr>
        <w:pStyle w:val="Header"/>
        <w:ind w:left="851"/>
        <w:rPr>
          <w:color w:val="000000"/>
          <w:szCs w:val="24"/>
        </w:rPr>
      </w:pPr>
      <w:r w:rsidRPr="00635FAA">
        <w:rPr>
          <w:color w:val="000000"/>
          <w:szCs w:val="24"/>
        </w:rPr>
        <w:t>Magnesiumstearat (E572)</w:t>
      </w:r>
    </w:p>
    <w:p w14:paraId="053B0E04" w14:textId="77777777" w:rsidR="00BE29D4" w:rsidRPr="00635FAA" w:rsidRDefault="00BE29D4" w:rsidP="00BE29D4">
      <w:pPr>
        <w:tabs>
          <w:tab w:val="left" w:pos="851"/>
        </w:tabs>
        <w:ind w:left="851" w:hanging="851"/>
        <w:rPr>
          <w:sz w:val="24"/>
          <w:szCs w:val="24"/>
        </w:rPr>
      </w:pPr>
    </w:p>
    <w:p w14:paraId="459574E9" w14:textId="77777777" w:rsidR="00BE29D4" w:rsidRPr="00635FAA" w:rsidRDefault="00BE29D4" w:rsidP="00BE29D4">
      <w:pPr>
        <w:tabs>
          <w:tab w:val="left" w:pos="851"/>
        </w:tabs>
        <w:ind w:left="851" w:hanging="851"/>
        <w:rPr>
          <w:b/>
          <w:sz w:val="24"/>
          <w:szCs w:val="24"/>
        </w:rPr>
      </w:pPr>
      <w:r w:rsidRPr="00635FAA">
        <w:rPr>
          <w:b/>
          <w:sz w:val="24"/>
          <w:szCs w:val="24"/>
        </w:rPr>
        <w:t>6.2</w:t>
      </w:r>
      <w:r w:rsidRPr="00635FAA">
        <w:rPr>
          <w:b/>
          <w:sz w:val="24"/>
          <w:szCs w:val="24"/>
        </w:rPr>
        <w:tab/>
        <w:t>Uforligeligheder</w:t>
      </w:r>
    </w:p>
    <w:p w14:paraId="11B2F719" w14:textId="77777777" w:rsidR="00BE29D4" w:rsidRPr="00635FAA" w:rsidRDefault="00BE29D4" w:rsidP="00BE29D4">
      <w:pPr>
        <w:pStyle w:val="Header"/>
        <w:ind w:left="851" w:hanging="851"/>
        <w:rPr>
          <w:szCs w:val="24"/>
        </w:rPr>
      </w:pPr>
      <w:r>
        <w:rPr>
          <w:szCs w:val="24"/>
        </w:rPr>
        <w:tab/>
      </w:r>
      <w:r w:rsidRPr="00635FAA">
        <w:rPr>
          <w:szCs w:val="24"/>
        </w:rPr>
        <w:t>Ikke relevant</w:t>
      </w:r>
      <w:r>
        <w:rPr>
          <w:szCs w:val="24"/>
        </w:rPr>
        <w:t>.</w:t>
      </w:r>
    </w:p>
    <w:p w14:paraId="19BE3581" w14:textId="77777777" w:rsidR="00BE29D4" w:rsidRPr="00635FAA" w:rsidRDefault="00BE29D4" w:rsidP="00BE29D4">
      <w:pPr>
        <w:tabs>
          <w:tab w:val="left" w:pos="851"/>
        </w:tabs>
        <w:ind w:left="851" w:hanging="851"/>
        <w:rPr>
          <w:sz w:val="24"/>
          <w:szCs w:val="24"/>
        </w:rPr>
      </w:pPr>
    </w:p>
    <w:p w14:paraId="31174AEA" w14:textId="77777777" w:rsidR="00BE29D4" w:rsidRPr="00635FAA" w:rsidRDefault="00BE29D4" w:rsidP="00BE29D4">
      <w:pPr>
        <w:tabs>
          <w:tab w:val="left" w:pos="851"/>
        </w:tabs>
        <w:ind w:left="851" w:hanging="851"/>
        <w:rPr>
          <w:b/>
          <w:sz w:val="24"/>
          <w:szCs w:val="24"/>
        </w:rPr>
      </w:pPr>
      <w:r w:rsidRPr="00635FAA">
        <w:rPr>
          <w:b/>
          <w:sz w:val="24"/>
          <w:szCs w:val="24"/>
        </w:rPr>
        <w:t>6.3</w:t>
      </w:r>
      <w:r w:rsidRPr="00635FAA">
        <w:rPr>
          <w:b/>
          <w:sz w:val="24"/>
          <w:szCs w:val="24"/>
        </w:rPr>
        <w:tab/>
        <w:t>Opbevaringstid</w:t>
      </w:r>
    </w:p>
    <w:p w14:paraId="65A1BD8F" w14:textId="77777777" w:rsidR="00BE29D4" w:rsidRPr="00635FAA" w:rsidRDefault="00BE29D4" w:rsidP="00BE29D4">
      <w:pPr>
        <w:pStyle w:val="Header"/>
        <w:ind w:left="851" w:hanging="851"/>
        <w:rPr>
          <w:szCs w:val="24"/>
        </w:rPr>
      </w:pPr>
      <w:r w:rsidRPr="00635FAA">
        <w:rPr>
          <w:szCs w:val="24"/>
        </w:rPr>
        <w:tab/>
      </w:r>
      <w:r>
        <w:rPr>
          <w:szCs w:val="24"/>
        </w:rPr>
        <w:t>3</w:t>
      </w:r>
      <w:r w:rsidRPr="00635FAA">
        <w:rPr>
          <w:szCs w:val="24"/>
        </w:rPr>
        <w:t xml:space="preserve"> år</w:t>
      </w:r>
      <w:r>
        <w:rPr>
          <w:szCs w:val="24"/>
        </w:rPr>
        <w:t>.</w:t>
      </w:r>
    </w:p>
    <w:p w14:paraId="08F20CE4" w14:textId="77777777" w:rsidR="00BE29D4" w:rsidRPr="00635FAA" w:rsidRDefault="00BE29D4" w:rsidP="00BE29D4">
      <w:pPr>
        <w:tabs>
          <w:tab w:val="left" w:pos="851"/>
        </w:tabs>
        <w:ind w:left="851" w:hanging="851"/>
        <w:rPr>
          <w:sz w:val="24"/>
          <w:szCs w:val="24"/>
        </w:rPr>
      </w:pPr>
    </w:p>
    <w:p w14:paraId="48E5368F" w14:textId="77777777" w:rsidR="00BE29D4" w:rsidRPr="00635FAA" w:rsidRDefault="00BE29D4" w:rsidP="00BE29D4">
      <w:pPr>
        <w:tabs>
          <w:tab w:val="left" w:pos="851"/>
        </w:tabs>
        <w:ind w:left="851" w:hanging="851"/>
        <w:rPr>
          <w:b/>
          <w:sz w:val="24"/>
          <w:szCs w:val="24"/>
        </w:rPr>
      </w:pPr>
      <w:r w:rsidRPr="00635FAA">
        <w:rPr>
          <w:b/>
          <w:sz w:val="24"/>
          <w:szCs w:val="24"/>
        </w:rPr>
        <w:t>6.4</w:t>
      </w:r>
      <w:r w:rsidRPr="00635FAA">
        <w:rPr>
          <w:b/>
          <w:sz w:val="24"/>
          <w:szCs w:val="24"/>
        </w:rPr>
        <w:tab/>
        <w:t>Særlige opbevaringsforhold</w:t>
      </w:r>
    </w:p>
    <w:p w14:paraId="1C6ADA7A" w14:textId="77777777" w:rsidR="00BE29D4" w:rsidRPr="00635FAA" w:rsidRDefault="00BE29D4" w:rsidP="00BE29D4">
      <w:pPr>
        <w:widowControl w:val="0"/>
        <w:autoSpaceDE w:val="0"/>
        <w:autoSpaceDN w:val="0"/>
        <w:adjustRightInd w:val="0"/>
        <w:ind w:left="851"/>
        <w:rPr>
          <w:color w:val="000000"/>
          <w:sz w:val="24"/>
          <w:szCs w:val="24"/>
        </w:rPr>
      </w:pPr>
      <w:r w:rsidRPr="00635FAA">
        <w:rPr>
          <w:color w:val="000000"/>
          <w:sz w:val="24"/>
          <w:szCs w:val="24"/>
        </w:rPr>
        <w:t>Dette lægemiddel kræver ingen særlige forholdsregler vedrørende opbevaringen.</w:t>
      </w:r>
    </w:p>
    <w:p w14:paraId="4A4C3B95" w14:textId="77777777" w:rsidR="00BE29D4" w:rsidRPr="00635FAA" w:rsidRDefault="00BE29D4" w:rsidP="00BE29D4">
      <w:pPr>
        <w:tabs>
          <w:tab w:val="left" w:pos="851"/>
        </w:tabs>
        <w:ind w:left="851" w:hanging="851"/>
        <w:rPr>
          <w:sz w:val="24"/>
          <w:szCs w:val="24"/>
        </w:rPr>
      </w:pPr>
    </w:p>
    <w:p w14:paraId="6996A4FC" w14:textId="77777777" w:rsidR="00BE29D4" w:rsidRPr="00635FAA" w:rsidRDefault="00BE29D4" w:rsidP="00BE29D4">
      <w:pPr>
        <w:tabs>
          <w:tab w:val="left" w:pos="851"/>
        </w:tabs>
        <w:ind w:left="851" w:hanging="851"/>
        <w:rPr>
          <w:b/>
          <w:sz w:val="24"/>
          <w:szCs w:val="24"/>
        </w:rPr>
      </w:pPr>
      <w:r w:rsidRPr="00635FAA">
        <w:rPr>
          <w:b/>
          <w:sz w:val="24"/>
          <w:szCs w:val="24"/>
        </w:rPr>
        <w:t>6.5</w:t>
      </w:r>
      <w:r w:rsidRPr="00635FAA">
        <w:rPr>
          <w:b/>
          <w:sz w:val="24"/>
          <w:szCs w:val="24"/>
        </w:rPr>
        <w:tab/>
        <w:t>Emballagetyper og pakningsstørrelser</w:t>
      </w:r>
    </w:p>
    <w:p w14:paraId="534439ED"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 xml:space="preserve">Paracetamol </w:t>
      </w:r>
      <w:r>
        <w:rPr>
          <w:color w:val="000000"/>
          <w:szCs w:val="24"/>
        </w:rPr>
        <w:t>"Accord"</w:t>
      </w:r>
      <w:r w:rsidRPr="00635FAA">
        <w:rPr>
          <w:color w:val="000000"/>
          <w:szCs w:val="24"/>
        </w:rPr>
        <w:t xml:space="preserve"> 500 mg tabletter er pakket i PVC-ALU blisterpakninger med 8, 10, 12, 16</w:t>
      </w:r>
      <w:r>
        <w:rPr>
          <w:color w:val="000000"/>
          <w:szCs w:val="24"/>
        </w:rPr>
        <w:t xml:space="preserve">, </w:t>
      </w:r>
      <w:r w:rsidRPr="00635FAA">
        <w:rPr>
          <w:color w:val="000000"/>
          <w:szCs w:val="24"/>
        </w:rPr>
        <w:t>20</w:t>
      </w:r>
      <w:r>
        <w:rPr>
          <w:color w:val="000000"/>
          <w:szCs w:val="24"/>
        </w:rPr>
        <w:t xml:space="preserve">, 24, 30, 32, 50, 56, 60, 100 og 300 </w:t>
      </w:r>
      <w:r w:rsidRPr="00635FAA">
        <w:rPr>
          <w:color w:val="000000"/>
          <w:szCs w:val="24"/>
        </w:rPr>
        <w:t>tabletter.</w:t>
      </w:r>
    </w:p>
    <w:p w14:paraId="7B6F25E4" w14:textId="77777777" w:rsidR="00BE29D4" w:rsidRPr="00635FAA" w:rsidRDefault="00BE29D4" w:rsidP="00BE29D4">
      <w:pPr>
        <w:pStyle w:val="Header"/>
        <w:ind w:left="851" w:hanging="851"/>
        <w:rPr>
          <w:color w:val="000000"/>
          <w:szCs w:val="24"/>
        </w:rPr>
      </w:pPr>
    </w:p>
    <w:p w14:paraId="720D9223" w14:textId="77777777" w:rsidR="00BE29D4" w:rsidRPr="00635FAA" w:rsidRDefault="00BE29D4" w:rsidP="00BE29D4">
      <w:pPr>
        <w:pStyle w:val="Header"/>
        <w:ind w:left="851" w:hanging="851"/>
        <w:rPr>
          <w:color w:val="000000"/>
          <w:szCs w:val="24"/>
        </w:rPr>
      </w:pPr>
      <w:r>
        <w:rPr>
          <w:color w:val="000000"/>
          <w:szCs w:val="24"/>
        </w:rPr>
        <w:tab/>
      </w:r>
      <w:r w:rsidRPr="00635FAA">
        <w:rPr>
          <w:color w:val="000000"/>
          <w:szCs w:val="24"/>
        </w:rPr>
        <w:t>Ikke alle pakningsstørrelser er nødvendigvis markedsført.</w:t>
      </w:r>
    </w:p>
    <w:p w14:paraId="0DAC41BA" w14:textId="77777777" w:rsidR="00BE29D4" w:rsidRPr="00635FAA" w:rsidRDefault="00BE29D4" w:rsidP="00BE29D4">
      <w:pPr>
        <w:tabs>
          <w:tab w:val="left" w:pos="851"/>
        </w:tabs>
        <w:ind w:left="851" w:hanging="851"/>
        <w:rPr>
          <w:sz w:val="24"/>
          <w:szCs w:val="24"/>
        </w:rPr>
      </w:pPr>
    </w:p>
    <w:p w14:paraId="24623D89" w14:textId="77777777" w:rsidR="00BE29D4" w:rsidRPr="00635FAA" w:rsidRDefault="00BE29D4" w:rsidP="00BE29D4">
      <w:pPr>
        <w:tabs>
          <w:tab w:val="left" w:pos="851"/>
        </w:tabs>
        <w:ind w:left="851" w:hanging="851"/>
        <w:rPr>
          <w:b/>
          <w:sz w:val="24"/>
          <w:szCs w:val="24"/>
        </w:rPr>
      </w:pPr>
      <w:r w:rsidRPr="00635FAA">
        <w:rPr>
          <w:b/>
          <w:sz w:val="24"/>
          <w:szCs w:val="24"/>
        </w:rPr>
        <w:t>6.6</w:t>
      </w:r>
      <w:r w:rsidRPr="00635FAA">
        <w:rPr>
          <w:b/>
          <w:sz w:val="24"/>
          <w:szCs w:val="24"/>
        </w:rPr>
        <w:tab/>
        <w:t>Regler for destruktion og anden håndtering</w:t>
      </w:r>
    </w:p>
    <w:p w14:paraId="67DF76C0" w14:textId="77777777" w:rsidR="00BE29D4" w:rsidRPr="00635FAA" w:rsidRDefault="00BE29D4" w:rsidP="00BE29D4">
      <w:pPr>
        <w:widowControl w:val="0"/>
        <w:autoSpaceDE w:val="0"/>
        <w:autoSpaceDN w:val="0"/>
        <w:adjustRightInd w:val="0"/>
        <w:ind w:left="851"/>
        <w:rPr>
          <w:color w:val="000000"/>
          <w:sz w:val="24"/>
          <w:szCs w:val="24"/>
        </w:rPr>
      </w:pPr>
      <w:r w:rsidRPr="00635FAA">
        <w:rPr>
          <w:sz w:val="24"/>
          <w:szCs w:val="24"/>
        </w:rPr>
        <w:t>Ingen særlige forholdsregler.</w:t>
      </w:r>
    </w:p>
    <w:p w14:paraId="02DB969E" w14:textId="77777777" w:rsidR="00BE29D4" w:rsidRPr="00635FAA" w:rsidRDefault="00BE29D4" w:rsidP="00BE29D4">
      <w:pPr>
        <w:tabs>
          <w:tab w:val="left" w:pos="851"/>
        </w:tabs>
        <w:ind w:left="851" w:hanging="851"/>
        <w:jc w:val="both"/>
        <w:rPr>
          <w:sz w:val="24"/>
          <w:szCs w:val="24"/>
        </w:rPr>
      </w:pPr>
    </w:p>
    <w:p w14:paraId="3D2DF055" w14:textId="77777777" w:rsidR="00BE29D4" w:rsidRPr="00635FAA" w:rsidRDefault="00BE29D4" w:rsidP="00BE29D4">
      <w:pPr>
        <w:tabs>
          <w:tab w:val="left" w:pos="851"/>
        </w:tabs>
        <w:ind w:left="851" w:hanging="851"/>
        <w:rPr>
          <w:b/>
          <w:sz w:val="24"/>
          <w:szCs w:val="24"/>
        </w:rPr>
      </w:pPr>
      <w:r w:rsidRPr="00635FAA">
        <w:rPr>
          <w:b/>
          <w:sz w:val="24"/>
          <w:szCs w:val="24"/>
        </w:rPr>
        <w:t>7.</w:t>
      </w:r>
      <w:r w:rsidRPr="00635FAA">
        <w:rPr>
          <w:b/>
          <w:sz w:val="24"/>
          <w:szCs w:val="24"/>
        </w:rPr>
        <w:tab/>
        <w:t>INDEHAVER AF MARKEDSFØRINGSTILLADELSEN</w:t>
      </w:r>
    </w:p>
    <w:p w14:paraId="2669CAEB" w14:textId="77777777" w:rsidR="00BE29D4" w:rsidRPr="005B3C75" w:rsidRDefault="00BE29D4" w:rsidP="00BE29D4">
      <w:pPr>
        <w:widowControl w:val="0"/>
        <w:autoSpaceDE w:val="0"/>
        <w:autoSpaceDN w:val="0"/>
        <w:adjustRightInd w:val="0"/>
        <w:ind w:left="851" w:right="-30"/>
        <w:rPr>
          <w:spacing w:val="-1"/>
          <w:sz w:val="24"/>
          <w:szCs w:val="24"/>
          <w:lang w:val="en-US"/>
        </w:rPr>
      </w:pPr>
      <w:r w:rsidRPr="005B3C75">
        <w:rPr>
          <w:spacing w:val="-1"/>
          <w:sz w:val="24"/>
          <w:szCs w:val="24"/>
          <w:lang w:val="en-US"/>
        </w:rPr>
        <w:t>Accord Healthcare B.V.</w:t>
      </w:r>
    </w:p>
    <w:p w14:paraId="439A6247" w14:textId="77777777" w:rsidR="00BE29D4" w:rsidRPr="00300F19" w:rsidRDefault="00BE29D4" w:rsidP="00BE29D4">
      <w:pPr>
        <w:widowControl w:val="0"/>
        <w:autoSpaceDE w:val="0"/>
        <w:autoSpaceDN w:val="0"/>
        <w:adjustRightInd w:val="0"/>
        <w:ind w:left="851" w:right="-30"/>
        <w:rPr>
          <w:spacing w:val="-1"/>
          <w:sz w:val="24"/>
          <w:szCs w:val="24"/>
          <w:lang w:val="en-US"/>
        </w:rPr>
      </w:pPr>
      <w:r w:rsidRPr="00300F19">
        <w:rPr>
          <w:spacing w:val="-1"/>
          <w:sz w:val="24"/>
          <w:szCs w:val="24"/>
          <w:lang w:val="en-US"/>
        </w:rPr>
        <w:t>Winthontlaan 200</w:t>
      </w:r>
    </w:p>
    <w:p w14:paraId="14B90D85" w14:textId="77777777" w:rsidR="00BE29D4" w:rsidRDefault="00BE29D4" w:rsidP="00BE29D4">
      <w:pPr>
        <w:ind w:left="851"/>
        <w:rPr>
          <w:spacing w:val="-1"/>
          <w:sz w:val="24"/>
          <w:szCs w:val="24"/>
        </w:rPr>
      </w:pPr>
      <w:r w:rsidRPr="005B3C75">
        <w:rPr>
          <w:spacing w:val="-1"/>
          <w:sz w:val="24"/>
          <w:szCs w:val="24"/>
        </w:rPr>
        <w:t>3526 KV</w:t>
      </w:r>
      <w:r>
        <w:rPr>
          <w:spacing w:val="-1"/>
          <w:sz w:val="24"/>
          <w:szCs w:val="24"/>
        </w:rPr>
        <w:t xml:space="preserve"> Utrecht</w:t>
      </w:r>
    </w:p>
    <w:p w14:paraId="1A4864FC" w14:textId="77777777" w:rsidR="00BE29D4" w:rsidRPr="008E69F6" w:rsidRDefault="00BE29D4" w:rsidP="00BE29D4">
      <w:pPr>
        <w:ind w:left="851"/>
        <w:rPr>
          <w:bCs/>
          <w:iCs/>
          <w:sz w:val="24"/>
          <w:szCs w:val="24"/>
        </w:rPr>
      </w:pPr>
      <w:r>
        <w:rPr>
          <w:spacing w:val="-1"/>
          <w:sz w:val="24"/>
          <w:szCs w:val="24"/>
        </w:rPr>
        <w:t>Holland</w:t>
      </w:r>
    </w:p>
    <w:p w14:paraId="6656DDD4" w14:textId="77777777" w:rsidR="00BE29D4" w:rsidRPr="008E69F6" w:rsidRDefault="00BE29D4" w:rsidP="00BE29D4">
      <w:pPr>
        <w:tabs>
          <w:tab w:val="left" w:pos="851"/>
        </w:tabs>
        <w:ind w:left="851" w:hanging="851"/>
        <w:rPr>
          <w:sz w:val="24"/>
          <w:szCs w:val="24"/>
        </w:rPr>
      </w:pPr>
    </w:p>
    <w:p w14:paraId="2D88F664" w14:textId="77777777" w:rsidR="00BE29D4" w:rsidRPr="00635FAA" w:rsidRDefault="00BE29D4" w:rsidP="00BE29D4">
      <w:pPr>
        <w:tabs>
          <w:tab w:val="left" w:pos="851"/>
        </w:tabs>
        <w:ind w:left="851" w:hanging="851"/>
        <w:rPr>
          <w:b/>
          <w:sz w:val="24"/>
          <w:szCs w:val="24"/>
        </w:rPr>
      </w:pPr>
      <w:r w:rsidRPr="00635FAA">
        <w:rPr>
          <w:b/>
          <w:sz w:val="24"/>
          <w:szCs w:val="24"/>
        </w:rPr>
        <w:t>8.</w:t>
      </w:r>
      <w:r w:rsidRPr="00635FAA">
        <w:rPr>
          <w:b/>
          <w:sz w:val="24"/>
          <w:szCs w:val="24"/>
        </w:rPr>
        <w:tab/>
        <w:t>MARKEDSFØRINGSTILLADELSESNUMMER (NUMRE)</w:t>
      </w:r>
    </w:p>
    <w:p w14:paraId="7A613523" w14:textId="77777777" w:rsidR="00BE29D4" w:rsidRPr="00635FAA" w:rsidRDefault="00BE29D4" w:rsidP="00BE29D4">
      <w:pPr>
        <w:tabs>
          <w:tab w:val="left" w:pos="851"/>
        </w:tabs>
        <w:ind w:left="851" w:hanging="851"/>
        <w:rPr>
          <w:sz w:val="24"/>
          <w:szCs w:val="24"/>
        </w:rPr>
      </w:pPr>
      <w:r>
        <w:rPr>
          <w:sz w:val="24"/>
          <w:szCs w:val="24"/>
        </w:rPr>
        <w:tab/>
      </w:r>
      <w:r w:rsidRPr="00635FAA">
        <w:rPr>
          <w:sz w:val="24"/>
          <w:szCs w:val="24"/>
        </w:rPr>
        <w:t>56389</w:t>
      </w:r>
    </w:p>
    <w:p w14:paraId="7E40859C" w14:textId="77777777" w:rsidR="00BE29D4" w:rsidRPr="00635FAA" w:rsidRDefault="00BE29D4" w:rsidP="00BE29D4">
      <w:pPr>
        <w:tabs>
          <w:tab w:val="left" w:pos="851"/>
        </w:tabs>
        <w:ind w:left="851" w:hanging="851"/>
        <w:jc w:val="both"/>
        <w:rPr>
          <w:sz w:val="24"/>
          <w:szCs w:val="24"/>
        </w:rPr>
      </w:pPr>
    </w:p>
    <w:p w14:paraId="0C52A24B" w14:textId="77777777" w:rsidR="00BE29D4" w:rsidRPr="00635FAA" w:rsidRDefault="00BE29D4" w:rsidP="00BE29D4">
      <w:pPr>
        <w:tabs>
          <w:tab w:val="left" w:pos="851"/>
        </w:tabs>
        <w:ind w:left="851" w:hanging="851"/>
        <w:rPr>
          <w:b/>
          <w:sz w:val="24"/>
          <w:szCs w:val="24"/>
        </w:rPr>
      </w:pPr>
      <w:r w:rsidRPr="00635FAA">
        <w:rPr>
          <w:b/>
          <w:sz w:val="24"/>
          <w:szCs w:val="24"/>
        </w:rPr>
        <w:t>9.</w:t>
      </w:r>
      <w:r w:rsidRPr="00635FAA">
        <w:rPr>
          <w:b/>
          <w:sz w:val="24"/>
          <w:szCs w:val="24"/>
        </w:rPr>
        <w:tab/>
        <w:t>DATO FOR FØRSTE MARKEDSFØRINGSTILLADELSE</w:t>
      </w:r>
    </w:p>
    <w:p w14:paraId="5928CB05" w14:textId="77777777" w:rsidR="00BE29D4" w:rsidRPr="00635FAA" w:rsidRDefault="00BE29D4" w:rsidP="00BE29D4">
      <w:pPr>
        <w:tabs>
          <w:tab w:val="left" w:pos="851"/>
        </w:tabs>
        <w:ind w:left="851" w:hanging="851"/>
        <w:rPr>
          <w:sz w:val="24"/>
          <w:szCs w:val="24"/>
        </w:rPr>
      </w:pPr>
      <w:r>
        <w:rPr>
          <w:sz w:val="24"/>
          <w:szCs w:val="24"/>
        </w:rPr>
        <w:tab/>
      </w:r>
      <w:r w:rsidRPr="00635FAA">
        <w:rPr>
          <w:sz w:val="24"/>
          <w:szCs w:val="24"/>
        </w:rPr>
        <w:t>23. marts 2016</w:t>
      </w:r>
    </w:p>
    <w:p w14:paraId="0D016C5D" w14:textId="77777777" w:rsidR="00BE29D4" w:rsidRPr="00635FAA" w:rsidRDefault="00BE29D4" w:rsidP="00051A81">
      <w:pPr>
        <w:tabs>
          <w:tab w:val="left" w:pos="851"/>
        </w:tabs>
        <w:rPr>
          <w:b/>
          <w:sz w:val="24"/>
          <w:szCs w:val="24"/>
        </w:rPr>
      </w:pPr>
      <w:r>
        <w:rPr>
          <w:sz w:val="24"/>
          <w:szCs w:val="24"/>
        </w:rPr>
        <w:br w:type="page"/>
      </w:r>
      <w:r w:rsidRPr="00635FAA">
        <w:rPr>
          <w:b/>
          <w:sz w:val="24"/>
          <w:szCs w:val="24"/>
        </w:rPr>
        <w:t>10.</w:t>
      </w:r>
      <w:r w:rsidRPr="00635FAA">
        <w:rPr>
          <w:b/>
          <w:sz w:val="24"/>
          <w:szCs w:val="24"/>
        </w:rPr>
        <w:tab/>
        <w:t>DATO FOR ÆNDRING AF TEKSTEN</w:t>
      </w:r>
    </w:p>
    <w:p w14:paraId="0AA6F4B2" w14:textId="77777777" w:rsidR="00BE29D4" w:rsidRDefault="00BE29D4" w:rsidP="00BE29D4">
      <w:pPr>
        <w:tabs>
          <w:tab w:val="left" w:pos="851"/>
        </w:tabs>
        <w:ind w:left="851" w:hanging="851"/>
        <w:rPr>
          <w:sz w:val="24"/>
          <w:szCs w:val="24"/>
        </w:rPr>
      </w:pPr>
      <w:r>
        <w:rPr>
          <w:sz w:val="24"/>
          <w:szCs w:val="24"/>
        </w:rPr>
        <w:tab/>
      </w:r>
      <w:r w:rsidR="00051A81">
        <w:rPr>
          <w:sz w:val="24"/>
          <w:szCs w:val="24"/>
        </w:rPr>
        <w:t>7. februar 2020</w:t>
      </w:r>
    </w:p>
    <w:p w14:paraId="4205FA06" w14:textId="77777777" w:rsidR="00051A81" w:rsidRPr="00635FAA" w:rsidRDefault="00051A81" w:rsidP="00BE29D4">
      <w:pPr>
        <w:tabs>
          <w:tab w:val="left" w:pos="851"/>
        </w:tabs>
        <w:ind w:left="851" w:hanging="851"/>
        <w:rPr>
          <w:sz w:val="24"/>
          <w:szCs w:val="24"/>
        </w:rPr>
      </w:pPr>
    </w:p>
    <w:p w14:paraId="7A559C35" w14:textId="77777777" w:rsidR="00BE29D4" w:rsidRPr="009162C1" w:rsidRDefault="00BE29D4" w:rsidP="00BE29D4"/>
    <w:p w14:paraId="415689E6" w14:textId="77777777" w:rsidR="00BE29D4" w:rsidRPr="00FC0DF1" w:rsidRDefault="00BE29D4" w:rsidP="00BE29D4"/>
    <w:p w14:paraId="2FF52515" w14:textId="77777777" w:rsidR="009260DE" w:rsidRPr="00BE29D4" w:rsidRDefault="009260DE" w:rsidP="00BE29D4"/>
    <w:sectPr w:rsidR="009260DE" w:rsidRPr="00BE29D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DDD62" w14:textId="77777777" w:rsidR="00BE29D4" w:rsidRDefault="00BE29D4">
      <w:r>
        <w:separator/>
      </w:r>
    </w:p>
  </w:endnote>
  <w:endnote w:type="continuationSeparator" w:id="0">
    <w:p w14:paraId="5B62F0BE" w14:textId="77777777" w:rsidR="00BE29D4" w:rsidRDefault="00BE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8431" w14:textId="77777777" w:rsidR="000259B9" w:rsidRDefault="000259B9">
    <w:pPr>
      <w:pStyle w:val="Footer"/>
      <w:pBdr>
        <w:bottom w:val="single" w:sz="6" w:space="1" w:color="auto"/>
      </w:pBdr>
    </w:pPr>
  </w:p>
  <w:p w14:paraId="7C163D9D" w14:textId="77777777" w:rsidR="000259B9" w:rsidRDefault="000259B9" w:rsidP="00C42586">
    <w:pPr>
      <w:pStyle w:val="Footer"/>
      <w:tabs>
        <w:tab w:val="clear" w:pos="4819"/>
        <w:tab w:val="left" w:pos="8505"/>
      </w:tabs>
      <w:rPr>
        <w:i/>
        <w:sz w:val="18"/>
        <w:szCs w:val="18"/>
      </w:rPr>
    </w:pPr>
  </w:p>
  <w:p w14:paraId="7C46ACF0" w14:textId="77777777" w:rsidR="000259B9" w:rsidRPr="00B373D7" w:rsidRDefault="00782AF4" w:rsidP="00C42586">
    <w:pPr>
      <w:pStyle w:val="Footer"/>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51A81">
      <w:rPr>
        <w:i/>
        <w:noProof/>
        <w:sz w:val="18"/>
        <w:szCs w:val="18"/>
      </w:rPr>
      <w:t>Paracetamol Accord, tabletter 500 mg</w:t>
    </w:r>
    <w:r w:rsidRPr="00B373D7">
      <w:rPr>
        <w:i/>
        <w:sz w:val="18"/>
        <w:szCs w:val="18"/>
      </w:rPr>
      <w:fldChar w:fldCharType="end"/>
    </w:r>
    <w:r w:rsidR="000259B9" w:rsidRPr="00B373D7">
      <w:rPr>
        <w:i/>
        <w:sz w:val="18"/>
        <w:szCs w:val="18"/>
      </w:rPr>
      <w:tab/>
      <w:t xml:space="preserve">Side </w:t>
    </w:r>
    <w:r w:rsidRPr="00B373D7">
      <w:rPr>
        <w:rStyle w:val="PageNumber"/>
        <w:i/>
        <w:sz w:val="18"/>
        <w:szCs w:val="18"/>
      </w:rPr>
      <w:fldChar w:fldCharType="begin"/>
    </w:r>
    <w:r w:rsidR="000259B9" w:rsidRPr="00B373D7">
      <w:rPr>
        <w:rStyle w:val="PageNumber"/>
        <w:i/>
        <w:sz w:val="18"/>
        <w:szCs w:val="18"/>
      </w:rPr>
      <w:instrText xml:space="preserve"> PAGE </w:instrText>
    </w:r>
    <w:r w:rsidRPr="00B373D7">
      <w:rPr>
        <w:rStyle w:val="PageNumber"/>
        <w:i/>
        <w:sz w:val="18"/>
        <w:szCs w:val="18"/>
      </w:rPr>
      <w:fldChar w:fldCharType="separate"/>
    </w:r>
    <w:r w:rsidR="00C60CCD">
      <w:rPr>
        <w:rStyle w:val="PageNumber"/>
        <w:i/>
        <w:noProof/>
        <w:sz w:val="18"/>
        <w:szCs w:val="18"/>
      </w:rPr>
      <w:t>3</w:t>
    </w:r>
    <w:r w:rsidRPr="00B373D7">
      <w:rPr>
        <w:rStyle w:val="PageNumber"/>
        <w:i/>
        <w:sz w:val="18"/>
        <w:szCs w:val="18"/>
      </w:rPr>
      <w:fldChar w:fldCharType="end"/>
    </w:r>
    <w:r w:rsidR="000259B9" w:rsidRPr="00B373D7">
      <w:rPr>
        <w:rStyle w:val="PageNumber"/>
        <w:i/>
        <w:sz w:val="18"/>
        <w:szCs w:val="18"/>
      </w:rPr>
      <w:t xml:space="preserve"> af </w:t>
    </w:r>
    <w:r w:rsidRPr="00B373D7">
      <w:rPr>
        <w:rStyle w:val="PageNumber"/>
        <w:i/>
        <w:sz w:val="18"/>
        <w:szCs w:val="18"/>
      </w:rPr>
      <w:fldChar w:fldCharType="begin"/>
    </w:r>
    <w:r w:rsidR="000259B9" w:rsidRPr="00B373D7">
      <w:rPr>
        <w:rStyle w:val="PageNumber"/>
        <w:i/>
        <w:sz w:val="18"/>
        <w:szCs w:val="18"/>
      </w:rPr>
      <w:instrText xml:space="preserve"> NUMPAGES </w:instrText>
    </w:r>
    <w:r w:rsidRPr="00B373D7">
      <w:rPr>
        <w:rStyle w:val="PageNumber"/>
        <w:i/>
        <w:sz w:val="18"/>
        <w:szCs w:val="18"/>
      </w:rPr>
      <w:fldChar w:fldCharType="separate"/>
    </w:r>
    <w:r w:rsidR="00C60CCD">
      <w:rPr>
        <w:rStyle w:val="PageNumber"/>
        <w:i/>
        <w:noProof/>
        <w:sz w:val="18"/>
        <w:szCs w:val="18"/>
      </w:rPr>
      <w:t>3</w:t>
    </w:r>
    <w:r w:rsidRPr="00B373D7">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FB50" w14:textId="77777777" w:rsidR="00BE29D4" w:rsidRDefault="00BE29D4">
      <w:r>
        <w:separator/>
      </w:r>
    </w:p>
  </w:footnote>
  <w:footnote w:type="continuationSeparator" w:id="0">
    <w:p w14:paraId="0BA51640" w14:textId="77777777" w:rsidR="00BE29D4" w:rsidRDefault="00BE2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529"/>
    <w:multiLevelType w:val="hybridMultilevel"/>
    <w:tmpl w:val="F8DEFD00"/>
    <w:lvl w:ilvl="0" w:tplc="FFFFFFFF">
      <w:start w:val="1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D109A8"/>
    <w:multiLevelType w:val="hybridMultilevel"/>
    <w:tmpl w:val="8BAA6F98"/>
    <w:lvl w:ilvl="0" w:tplc="FFFFFFFF">
      <w:start w:val="4"/>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5511F"/>
    <w:multiLevelType w:val="hybridMultilevel"/>
    <w:tmpl w:val="9836E4CC"/>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914060"/>
    <w:multiLevelType w:val="hybridMultilevel"/>
    <w:tmpl w:val="827EB9B8"/>
    <w:lvl w:ilvl="0" w:tplc="FFFFFFFF">
      <w:start w:val="1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D4"/>
    <w:rsid w:val="000259B9"/>
    <w:rsid w:val="00041491"/>
    <w:rsid w:val="00050D16"/>
    <w:rsid w:val="00051A81"/>
    <w:rsid w:val="00074F2A"/>
    <w:rsid w:val="000A1CA8"/>
    <w:rsid w:val="000A466B"/>
    <w:rsid w:val="000B058C"/>
    <w:rsid w:val="000E4EE6"/>
    <w:rsid w:val="001172CB"/>
    <w:rsid w:val="001454E2"/>
    <w:rsid w:val="00206CE8"/>
    <w:rsid w:val="0021526C"/>
    <w:rsid w:val="00283A2B"/>
    <w:rsid w:val="002B30AD"/>
    <w:rsid w:val="002C2C01"/>
    <w:rsid w:val="003A29AE"/>
    <w:rsid w:val="003A32D7"/>
    <w:rsid w:val="003B4074"/>
    <w:rsid w:val="003C769A"/>
    <w:rsid w:val="003F1838"/>
    <w:rsid w:val="00401853"/>
    <w:rsid w:val="0045746C"/>
    <w:rsid w:val="0049104B"/>
    <w:rsid w:val="004E3B12"/>
    <w:rsid w:val="00532310"/>
    <w:rsid w:val="00560ECC"/>
    <w:rsid w:val="00565F0F"/>
    <w:rsid w:val="00594A86"/>
    <w:rsid w:val="00596D86"/>
    <w:rsid w:val="00634071"/>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E29D4"/>
    <w:rsid w:val="00C36276"/>
    <w:rsid w:val="00C42586"/>
    <w:rsid w:val="00C60CCD"/>
    <w:rsid w:val="00C84483"/>
    <w:rsid w:val="00C95551"/>
    <w:rsid w:val="00CB20D7"/>
    <w:rsid w:val="00D020B0"/>
    <w:rsid w:val="00D06614"/>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0715B"/>
  <w15:chartTrackingRefBased/>
  <w15:docId w15:val="{3366AB5A-354E-4599-8AE9-FBB25EC8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01"/>
    <w:rPr>
      <w:sz w:val="23"/>
      <w:lang w:eastAsia="en-US"/>
    </w:rPr>
  </w:style>
  <w:style w:type="paragraph" w:styleId="Heading1">
    <w:name w:val="heading 1"/>
    <w:basedOn w:val="Normal"/>
    <w:next w:val="Normal"/>
    <w:qFormat/>
    <w:rsid w:val="00FB6D01"/>
    <w:pPr>
      <w:keepNext/>
      <w:spacing w:before="240" w:after="60"/>
      <w:outlineLvl w:val="0"/>
    </w:pPr>
    <w:rPr>
      <w:rFonts w:ascii="Arial" w:hAnsi="Arial"/>
      <w:b/>
      <w:kern w:val="28"/>
      <w:sz w:val="28"/>
    </w:rPr>
  </w:style>
  <w:style w:type="paragraph" w:styleId="Heading3">
    <w:name w:val="heading 3"/>
    <w:basedOn w:val="Normal"/>
    <w:next w:val="Normal"/>
    <w:qFormat/>
    <w:rsid w:val="00FB6D0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90EE7"/>
    <w:rPr>
      <w:sz w:val="20"/>
      <w:lang w:eastAsia="da-DK"/>
    </w:rPr>
  </w:style>
  <w:style w:type="paragraph" w:styleId="Header">
    <w:name w:val="header"/>
    <w:basedOn w:val="Normal"/>
    <w:link w:val="HeaderChar"/>
    <w:uiPriority w:val="99"/>
    <w:rsid w:val="00790EE7"/>
    <w:pPr>
      <w:tabs>
        <w:tab w:val="center" w:pos="4819"/>
        <w:tab w:val="right" w:pos="9638"/>
      </w:tabs>
    </w:pPr>
    <w:rPr>
      <w:sz w:val="24"/>
      <w:lang w:eastAsia="da-DK"/>
    </w:rPr>
  </w:style>
  <w:style w:type="paragraph" w:styleId="Title">
    <w:name w:val="Title"/>
    <w:basedOn w:val="Normal"/>
    <w:link w:val="TitleChar"/>
    <w:qFormat/>
    <w:rsid w:val="00790EE7"/>
    <w:pPr>
      <w:jc w:val="center"/>
    </w:pPr>
    <w:rPr>
      <w:b/>
      <w:sz w:val="24"/>
      <w:lang w:eastAsia="da-DK"/>
    </w:rPr>
  </w:style>
  <w:style w:type="character" w:styleId="CommentReference">
    <w:name w:val="annotation reference"/>
    <w:semiHidden/>
    <w:rsid w:val="00790EE7"/>
    <w:rPr>
      <w:sz w:val="16"/>
      <w:szCs w:val="16"/>
    </w:rPr>
  </w:style>
  <w:style w:type="paragraph" w:styleId="BalloonText">
    <w:name w:val="Balloon Text"/>
    <w:basedOn w:val="Normal"/>
    <w:semiHidden/>
    <w:rsid w:val="00790EE7"/>
    <w:rPr>
      <w:rFonts w:ascii="Tahoma" w:hAnsi="Tahoma" w:cs="Tahoma"/>
      <w:sz w:val="16"/>
      <w:szCs w:val="16"/>
    </w:rPr>
  </w:style>
  <w:style w:type="paragraph" w:styleId="Footer">
    <w:name w:val="footer"/>
    <w:basedOn w:val="Normal"/>
    <w:rsid w:val="00C42586"/>
    <w:pPr>
      <w:tabs>
        <w:tab w:val="center" w:pos="4819"/>
        <w:tab w:val="right" w:pos="9638"/>
      </w:tabs>
    </w:pPr>
  </w:style>
  <w:style w:type="character" w:styleId="PageNumber">
    <w:name w:val="page number"/>
    <w:basedOn w:val="DefaultParagraphFont"/>
    <w:rsid w:val="00C42586"/>
  </w:style>
  <w:style w:type="character" w:customStyle="1" w:styleId="CommentTextChar">
    <w:name w:val="Comment Text Char"/>
    <w:basedOn w:val="DefaultParagraphFont"/>
    <w:link w:val="CommentText"/>
    <w:semiHidden/>
    <w:rsid w:val="00B003BF"/>
  </w:style>
  <w:style w:type="character" w:customStyle="1" w:styleId="HeaderChar">
    <w:name w:val="Header Char"/>
    <w:link w:val="Header"/>
    <w:uiPriority w:val="99"/>
    <w:rsid w:val="00B003BF"/>
    <w:rPr>
      <w:sz w:val="24"/>
    </w:rPr>
  </w:style>
  <w:style w:type="character" w:customStyle="1" w:styleId="TitleChar">
    <w:name w:val="Title Char"/>
    <w:link w:val="Title"/>
    <w:rsid w:val="00B003BF"/>
    <w:rPr>
      <w:b/>
      <w:sz w:val="24"/>
    </w:rPr>
  </w:style>
  <w:style w:type="paragraph" w:styleId="CommentSubject">
    <w:name w:val="annotation subject"/>
    <w:basedOn w:val="CommentText"/>
    <w:next w:val="CommentText"/>
    <w:link w:val="CommentSubjectChar"/>
    <w:uiPriority w:val="99"/>
    <w:semiHidden/>
    <w:unhideWhenUsed/>
    <w:rsid w:val="009260DE"/>
    <w:rPr>
      <w:b/>
      <w:bCs/>
      <w:lang w:eastAsia="en-US"/>
    </w:rPr>
  </w:style>
  <w:style w:type="character" w:customStyle="1" w:styleId="CommentSubjectChar">
    <w:name w:val="Comment Subject Char"/>
    <w:basedOn w:val="CommentTextChar"/>
    <w:link w:val="CommentSubject"/>
    <w:uiPriority w:val="99"/>
    <w:semiHidden/>
    <w:rsid w:val="009260DE"/>
    <w:rPr>
      <w:b/>
      <w:bCs/>
      <w:lang w:eastAsia="en-US"/>
    </w:rPr>
  </w:style>
  <w:style w:type="paragraph" w:styleId="NormalWeb">
    <w:name w:val="Normal (Web)"/>
    <w:basedOn w:val="Normal"/>
    <w:rsid w:val="00BE29D4"/>
    <w:pPr>
      <w:spacing w:before="100" w:beforeAutospacing="1" w:after="94"/>
    </w:pPr>
    <w:rPr>
      <w:color w:val="000000"/>
      <w:sz w:val="24"/>
      <w:szCs w:val="24"/>
      <w:lang w:eastAsia="da-DK"/>
    </w:rPr>
  </w:style>
  <w:style w:type="paragraph" w:customStyle="1" w:styleId="Default">
    <w:name w:val="Default"/>
    <w:rsid w:val="00BE29D4"/>
    <w:pPr>
      <w:autoSpaceDE w:val="0"/>
      <w:autoSpaceDN w:val="0"/>
      <w:adjustRightInd w:val="0"/>
    </w:pPr>
    <w:rPr>
      <w:color w:val="000000"/>
      <w:sz w:val="24"/>
      <w:szCs w:val="24"/>
    </w:rPr>
  </w:style>
  <w:style w:type="paragraph" w:styleId="ListParagraph">
    <w:name w:val="List Paragraph"/>
    <w:basedOn w:val="Normal"/>
    <w:uiPriority w:val="34"/>
    <w:qFormat/>
    <w:rsid w:val="00BE29D4"/>
    <w:pPr>
      <w:ind w:left="720"/>
      <w:contextualSpacing/>
    </w:pPr>
  </w:style>
  <w:style w:type="character" w:styleId="Hyperlink">
    <w:name w:val="Hyperlink"/>
    <w:basedOn w:val="DefaultParagraphFont"/>
    <w:uiPriority w:val="99"/>
    <w:unhideWhenUsed/>
    <w:rsid w:val="00BE2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0</TotalTime>
  <Pages>1</Pages>
  <Words>2373</Words>
  <Characters>14476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SPC Human</vt:lpstr>
    </vt:vector>
  </TitlesOfParts>
  <Company>OPTION</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2019080494 - MT forlængelse - Helle Venn : 07-02-2020 12:18_x000d_
_x000d_
2019071973 - pkt. 4.6, 4.8, 5.3</dc:description>
  <cp:lastModifiedBy>Nils Boje</cp:lastModifiedBy>
  <cp:revision>2</cp:revision>
  <cp:lastPrinted>2012-08-22T08:53:00Z</cp:lastPrinted>
  <dcterms:created xsi:type="dcterms:W3CDTF">2020-02-10T01:09:00Z</dcterms:created>
  <dcterms:modified xsi:type="dcterms:W3CDTF">2020-02-10T01:09:00Z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