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59B" w:rsidRDefault="0095659B" w:rsidP="0095659B">
      <w:pPr>
        <w:pStyle w:val="Titel"/>
        <w:tabs>
          <w:tab w:val="left" w:pos="8222"/>
        </w:tabs>
        <w:jc w:val="left"/>
      </w:pPr>
      <w:bookmarkStart w:id="0" w:name="_GoBack"/>
      <w:bookmarkEnd w:id="0"/>
      <w:r>
        <w:rPr>
          <w:noProof/>
        </w:rPr>
        <w:drawing>
          <wp:inline distT="0" distB="0" distL="0" distR="0" wp14:anchorId="3C8CD54F" wp14:editId="01DFFA8A">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5659B" w:rsidRPr="00870E51" w:rsidRDefault="001966FB" w:rsidP="0095659B">
      <w:pPr>
        <w:pStyle w:val="Titel"/>
        <w:tabs>
          <w:tab w:val="left" w:pos="8222"/>
        </w:tabs>
        <w:jc w:val="right"/>
        <w:rPr>
          <w:szCs w:val="24"/>
        </w:rPr>
      </w:pPr>
      <w:r>
        <w:rPr>
          <w:szCs w:val="24"/>
          <w:lang w:eastAsia="en-US"/>
        </w:rPr>
        <w:t>25</w:t>
      </w:r>
      <w:r w:rsidR="007E3B70">
        <w:rPr>
          <w:szCs w:val="24"/>
          <w:lang w:eastAsia="en-US"/>
        </w:rPr>
        <w:t>. september</w:t>
      </w:r>
      <w:r w:rsidR="0095659B">
        <w:rPr>
          <w:szCs w:val="24"/>
          <w:lang w:eastAsia="en-US"/>
        </w:rPr>
        <w:t xml:space="preserve"> 202</w:t>
      </w:r>
      <w:r w:rsidR="007E3B70">
        <w:rPr>
          <w:szCs w:val="24"/>
          <w:lang w:eastAsia="en-US"/>
        </w:rPr>
        <w:t>3</w:t>
      </w:r>
    </w:p>
    <w:p w:rsidR="007E3B70" w:rsidRDefault="007E3B70" w:rsidP="0095659B">
      <w:pPr>
        <w:pStyle w:val="Titel"/>
        <w:tabs>
          <w:tab w:val="left" w:pos="8222"/>
        </w:tabs>
        <w:rPr>
          <w:b w:val="0"/>
        </w:rPr>
      </w:pPr>
    </w:p>
    <w:p w:rsidR="007E3B70" w:rsidRDefault="007E3B70" w:rsidP="0095659B">
      <w:pPr>
        <w:pStyle w:val="Titel"/>
        <w:tabs>
          <w:tab w:val="left" w:pos="8222"/>
        </w:tabs>
        <w:rPr>
          <w:szCs w:val="24"/>
        </w:rPr>
      </w:pPr>
    </w:p>
    <w:p w:rsidR="0095659B" w:rsidRPr="00EC0B9B" w:rsidRDefault="0095659B" w:rsidP="0095659B">
      <w:pPr>
        <w:pStyle w:val="Titel"/>
        <w:tabs>
          <w:tab w:val="left" w:pos="8222"/>
        </w:tabs>
        <w:rPr>
          <w:szCs w:val="24"/>
        </w:rPr>
      </w:pPr>
      <w:r w:rsidRPr="00EC0B9B">
        <w:rPr>
          <w:szCs w:val="24"/>
        </w:rPr>
        <w:t>PRODUKTRESUMÉ</w:t>
      </w:r>
    </w:p>
    <w:p w:rsidR="0095659B" w:rsidRPr="00EC0B9B" w:rsidRDefault="0095659B" w:rsidP="0095659B">
      <w:pPr>
        <w:jc w:val="center"/>
        <w:rPr>
          <w:b/>
          <w:sz w:val="24"/>
          <w:szCs w:val="24"/>
        </w:rPr>
      </w:pPr>
    </w:p>
    <w:p w:rsidR="0095659B" w:rsidRPr="00EC0B9B" w:rsidRDefault="0095659B" w:rsidP="0095659B">
      <w:pPr>
        <w:tabs>
          <w:tab w:val="center" w:pos="4819"/>
        </w:tabs>
        <w:rPr>
          <w:b/>
          <w:sz w:val="24"/>
          <w:szCs w:val="24"/>
        </w:rPr>
      </w:pPr>
      <w:r>
        <w:rPr>
          <w:b/>
          <w:sz w:val="24"/>
          <w:szCs w:val="24"/>
        </w:rPr>
        <w:tab/>
      </w:r>
      <w:r w:rsidRPr="00EC0B9B">
        <w:rPr>
          <w:b/>
          <w:sz w:val="24"/>
          <w:szCs w:val="24"/>
        </w:rPr>
        <w:t>for</w:t>
      </w:r>
    </w:p>
    <w:p w:rsidR="0095659B" w:rsidRPr="00EC0B9B" w:rsidRDefault="0095659B" w:rsidP="0095659B">
      <w:pPr>
        <w:jc w:val="center"/>
        <w:rPr>
          <w:b/>
          <w:sz w:val="24"/>
          <w:szCs w:val="24"/>
        </w:rPr>
      </w:pPr>
    </w:p>
    <w:p w:rsidR="0095659B" w:rsidRPr="0049104B" w:rsidRDefault="0095659B" w:rsidP="0095659B">
      <w:pPr>
        <w:jc w:val="center"/>
        <w:rPr>
          <w:b/>
          <w:sz w:val="24"/>
          <w:szCs w:val="24"/>
        </w:rPr>
      </w:pPr>
      <w:r>
        <w:rPr>
          <w:b/>
          <w:sz w:val="24"/>
          <w:szCs w:val="24"/>
        </w:rPr>
        <w:t>Paracetamol ”B. Braun”, infusionsvæske, opløsning</w:t>
      </w:r>
    </w:p>
    <w:p w:rsidR="0095659B" w:rsidRPr="00EC0B9B" w:rsidRDefault="0095659B" w:rsidP="0095659B">
      <w:pPr>
        <w:jc w:val="both"/>
        <w:rPr>
          <w:sz w:val="24"/>
          <w:szCs w:val="24"/>
        </w:rPr>
      </w:pPr>
    </w:p>
    <w:p w:rsidR="0095659B" w:rsidRPr="00E73AE9" w:rsidRDefault="0095659B" w:rsidP="0095659B">
      <w:pPr>
        <w:ind w:left="851" w:hanging="851"/>
        <w:jc w:val="both"/>
        <w:rPr>
          <w:sz w:val="24"/>
          <w:szCs w:val="24"/>
        </w:rPr>
      </w:pPr>
    </w:p>
    <w:p w:rsidR="0095659B" w:rsidRPr="00E73AE9" w:rsidRDefault="0095659B" w:rsidP="0095659B">
      <w:pPr>
        <w:numPr>
          <w:ilvl w:val="0"/>
          <w:numId w:val="1"/>
        </w:numPr>
        <w:tabs>
          <w:tab w:val="clear" w:pos="855"/>
        </w:tabs>
        <w:ind w:left="851" w:hanging="851"/>
        <w:rPr>
          <w:b/>
          <w:sz w:val="24"/>
          <w:szCs w:val="24"/>
        </w:rPr>
      </w:pPr>
      <w:r w:rsidRPr="00E73AE9">
        <w:rPr>
          <w:b/>
          <w:sz w:val="24"/>
          <w:szCs w:val="24"/>
        </w:rPr>
        <w:t>D.SP.NR.</w:t>
      </w:r>
    </w:p>
    <w:p w:rsidR="0095659B" w:rsidRPr="00E73AE9" w:rsidRDefault="0095659B" w:rsidP="0095659B">
      <w:pPr>
        <w:ind w:left="851" w:hanging="851"/>
        <w:rPr>
          <w:sz w:val="24"/>
          <w:szCs w:val="24"/>
        </w:rPr>
      </w:pPr>
      <w:r w:rsidRPr="00E73AE9">
        <w:rPr>
          <w:sz w:val="24"/>
          <w:szCs w:val="24"/>
        </w:rPr>
        <w:tab/>
        <w:t>27739</w:t>
      </w:r>
    </w:p>
    <w:p w:rsidR="0095659B" w:rsidRPr="00E73AE9" w:rsidRDefault="0095659B" w:rsidP="0095659B">
      <w:pPr>
        <w:ind w:left="851" w:hanging="851"/>
        <w:rPr>
          <w:sz w:val="24"/>
          <w:szCs w:val="24"/>
        </w:rPr>
      </w:pPr>
    </w:p>
    <w:p w:rsidR="0095659B" w:rsidRPr="00E73AE9" w:rsidRDefault="0095659B" w:rsidP="0095659B">
      <w:pPr>
        <w:numPr>
          <w:ilvl w:val="0"/>
          <w:numId w:val="1"/>
        </w:numPr>
        <w:tabs>
          <w:tab w:val="clear" w:pos="855"/>
        </w:tabs>
        <w:ind w:left="851" w:hanging="851"/>
        <w:rPr>
          <w:b/>
          <w:sz w:val="24"/>
          <w:szCs w:val="24"/>
        </w:rPr>
      </w:pPr>
      <w:r w:rsidRPr="00E73AE9">
        <w:rPr>
          <w:b/>
          <w:sz w:val="24"/>
          <w:szCs w:val="24"/>
        </w:rPr>
        <w:t>LÆGEMIDLETS NAVN</w:t>
      </w:r>
    </w:p>
    <w:p w:rsidR="0095659B" w:rsidRPr="00E73AE9" w:rsidRDefault="0095659B" w:rsidP="0095659B">
      <w:pPr>
        <w:ind w:left="851"/>
        <w:rPr>
          <w:sz w:val="24"/>
          <w:szCs w:val="24"/>
        </w:rPr>
      </w:pPr>
      <w:r w:rsidRPr="00E73AE9">
        <w:rPr>
          <w:sz w:val="24"/>
          <w:szCs w:val="24"/>
        </w:rPr>
        <w:t>Paracetamol ”B. Braun”</w:t>
      </w:r>
    </w:p>
    <w:p w:rsidR="0095659B" w:rsidRPr="00E73AE9" w:rsidRDefault="0095659B" w:rsidP="0095659B">
      <w:pPr>
        <w:ind w:left="851" w:hanging="851"/>
        <w:rPr>
          <w:sz w:val="24"/>
          <w:szCs w:val="24"/>
        </w:rPr>
      </w:pPr>
      <w:r w:rsidRPr="00E73AE9">
        <w:rPr>
          <w:sz w:val="24"/>
          <w:szCs w:val="24"/>
        </w:rPr>
        <w:tab/>
      </w:r>
    </w:p>
    <w:p w:rsidR="0095659B" w:rsidRPr="00E73AE9" w:rsidRDefault="0095659B" w:rsidP="0095659B">
      <w:pPr>
        <w:numPr>
          <w:ilvl w:val="0"/>
          <w:numId w:val="1"/>
        </w:numPr>
        <w:tabs>
          <w:tab w:val="clear" w:pos="855"/>
        </w:tabs>
        <w:ind w:left="851" w:hanging="851"/>
        <w:rPr>
          <w:b/>
          <w:sz w:val="24"/>
          <w:szCs w:val="24"/>
        </w:rPr>
      </w:pPr>
      <w:r w:rsidRPr="00E73AE9">
        <w:rPr>
          <w:b/>
          <w:sz w:val="24"/>
          <w:szCs w:val="24"/>
        </w:rPr>
        <w:t>KVALITATIV OG KVANTITATIV SAMMENSÆTNING</w:t>
      </w:r>
    </w:p>
    <w:p w:rsidR="0095659B" w:rsidRDefault="0095659B" w:rsidP="0095659B">
      <w:pPr>
        <w:ind w:left="851"/>
        <w:rPr>
          <w:sz w:val="24"/>
          <w:szCs w:val="24"/>
        </w:rPr>
      </w:pPr>
      <w:r w:rsidRPr="00E73AE9">
        <w:rPr>
          <w:sz w:val="24"/>
          <w:szCs w:val="24"/>
        </w:rPr>
        <w:t>Én ml infusionsvæske, opløsning indeholder 10 mg paracetamol.</w:t>
      </w:r>
      <w:r>
        <w:rPr>
          <w:sz w:val="24"/>
          <w:szCs w:val="24"/>
        </w:rPr>
        <w:br/>
        <w:t>Hver 10 ml ampul indeholder 100 mg paracetamol</w:t>
      </w:r>
    </w:p>
    <w:p w:rsidR="0095659B" w:rsidRPr="00E73AE9" w:rsidRDefault="0095659B" w:rsidP="0095659B">
      <w:pPr>
        <w:ind w:left="851"/>
        <w:rPr>
          <w:sz w:val="24"/>
          <w:szCs w:val="24"/>
        </w:rPr>
      </w:pPr>
      <w:r w:rsidRPr="00E73AE9">
        <w:rPr>
          <w:sz w:val="24"/>
          <w:szCs w:val="24"/>
        </w:rPr>
        <w:t>Hver 50 ml flaske indeholder 500 mg paracetamol.</w:t>
      </w:r>
    </w:p>
    <w:p w:rsidR="0095659B" w:rsidRPr="00E73AE9" w:rsidRDefault="0095659B" w:rsidP="0095659B">
      <w:pPr>
        <w:ind w:left="851"/>
        <w:rPr>
          <w:sz w:val="24"/>
          <w:szCs w:val="24"/>
        </w:rPr>
      </w:pPr>
      <w:r w:rsidRPr="00E73AE9">
        <w:rPr>
          <w:sz w:val="24"/>
          <w:szCs w:val="24"/>
        </w:rPr>
        <w:t>Hver 100 ml flaske indeholder 1000 mg paracetamol.</w:t>
      </w:r>
    </w:p>
    <w:p w:rsidR="0095659B" w:rsidRPr="00E73AE9" w:rsidRDefault="0095659B" w:rsidP="0095659B">
      <w:pPr>
        <w:ind w:left="851" w:hanging="851"/>
        <w:rPr>
          <w:sz w:val="24"/>
          <w:szCs w:val="24"/>
        </w:rPr>
      </w:pPr>
    </w:p>
    <w:p w:rsidR="0095659B" w:rsidRPr="00E73AE9" w:rsidRDefault="0095659B" w:rsidP="0095659B">
      <w:pPr>
        <w:ind w:left="851"/>
        <w:rPr>
          <w:sz w:val="24"/>
          <w:szCs w:val="24"/>
          <w:lang w:val="nb-NO"/>
        </w:rPr>
      </w:pPr>
      <w:r w:rsidRPr="00E73AE9">
        <w:rPr>
          <w:sz w:val="24"/>
          <w:szCs w:val="24"/>
        </w:rPr>
        <w:t>Alle hjælpestoffer er anført under pkt. 6.1.</w:t>
      </w:r>
      <w:r w:rsidRPr="00E73AE9">
        <w:rPr>
          <w:sz w:val="24"/>
          <w:szCs w:val="24"/>
          <w:lang w:val="nb-NO"/>
        </w:rPr>
        <w:t xml:space="preserve"> </w:t>
      </w:r>
    </w:p>
    <w:p w:rsidR="0095659B" w:rsidRPr="00E73AE9" w:rsidRDefault="0095659B" w:rsidP="0095659B">
      <w:pPr>
        <w:ind w:left="851" w:hanging="851"/>
        <w:rPr>
          <w:sz w:val="24"/>
          <w:szCs w:val="24"/>
        </w:rPr>
      </w:pPr>
    </w:p>
    <w:p w:rsidR="0095659B" w:rsidRPr="00E73AE9" w:rsidRDefault="0095659B" w:rsidP="0095659B">
      <w:pPr>
        <w:numPr>
          <w:ilvl w:val="0"/>
          <w:numId w:val="1"/>
        </w:numPr>
        <w:tabs>
          <w:tab w:val="clear" w:pos="855"/>
        </w:tabs>
        <w:ind w:left="851" w:hanging="851"/>
        <w:rPr>
          <w:b/>
          <w:sz w:val="24"/>
          <w:szCs w:val="24"/>
        </w:rPr>
      </w:pPr>
      <w:r w:rsidRPr="00E73AE9">
        <w:rPr>
          <w:b/>
          <w:sz w:val="24"/>
          <w:szCs w:val="24"/>
        </w:rPr>
        <w:t>LÆGEMIDDELFORM</w:t>
      </w:r>
    </w:p>
    <w:p w:rsidR="0095659B" w:rsidRPr="00E73AE9" w:rsidRDefault="0095659B" w:rsidP="0095659B">
      <w:pPr>
        <w:ind w:left="851" w:hanging="851"/>
        <w:rPr>
          <w:sz w:val="24"/>
          <w:szCs w:val="24"/>
          <w:lang w:val="nb-NO"/>
        </w:rPr>
      </w:pPr>
      <w:r w:rsidRPr="00E73AE9">
        <w:rPr>
          <w:sz w:val="24"/>
          <w:szCs w:val="24"/>
        </w:rPr>
        <w:tab/>
        <w:t>Infusionsvæske, opløsning.</w:t>
      </w:r>
    </w:p>
    <w:p w:rsidR="0095659B" w:rsidRPr="00E73AE9" w:rsidRDefault="0095659B" w:rsidP="0095659B">
      <w:pPr>
        <w:ind w:left="851"/>
        <w:rPr>
          <w:sz w:val="24"/>
          <w:szCs w:val="24"/>
          <w:lang w:val="nb-NO"/>
        </w:rPr>
      </w:pPr>
      <w:r w:rsidRPr="00E73AE9">
        <w:rPr>
          <w:sz w:val="24"/>
          <w:szCs w:val="24"/>
        </w:rPr>
        <w:t xml:space="preserve">Opløsningen er klar og farveløs til let </w:t>
      </w:r>
      <w:r w:rsidRPr="00972512">
        <w:rPr>
          <w:sz w:val="24"/>
          <w:szCs w:val="24"/>
        </w:rPr>
        <w:t>lyserød-orangeagtig</w:t>
      </w:r>
      <w:r w:rsidRPr="00E73AE9">
        <w:rPr>
          <w:sz w:val="24"/>
          <w:szCs w:val="24"/>
        </w:rPr>
        <w:t>.</w:t>
      </w:r>
      <w:r>
        <w:rPr>
          <w:sz w:val="24"/>
          <w:szCs w:val="24"/>
        </w:rPr>
        <w:t xml:space="preserve"> Perceptionen kan variere. </w:t>
      </w:r>
      <w:r w:rsidRPr="00E73AE9">
        <w:rPr>
          <w:sz w:val="24"/>
          <w:szCs w:val="24"/>
        </w:rPr>
        <w:t xml:space="preserve">Teoretisk </w:t>
      </w:r>
      <w:proofErr w:type="spellStart"/>
      <w:r w:rsidRPr="00E73AE9">
        <w:rPr>
          <w:sz w:val="24"/>
          <w:szCs w:val="24"/>
        </w:rPr>
        <w:t>osmolaritet</w:t>
      </w:r>
      <w:proofErr w:type="spellEnd"/>
      <w:r w:rsidRPr="00E73AE9">
        <w:rPr>
          <w:sz w:val="24"/>
          <w:szCs w:val="24"/>
        </w:rPr>
        <w:t xml:space="preserve"> 305 </w:t>
      </w:r>
      <w:proofErr w:type="spellStart"/>
      <w:r w:rsidRPr="00E73AE9">
        <w:rPr>
          <w:sz w:val="24"/>
          <w:szCs w:val="24"/>
        </w:rPr>
        <w:t>mOsm</w:t>
      </w:r>
      <w:proofErr w:type="spellEnd"/>
      <w:r w:rsidRPr="00E73AE9">
        <w:rPr>
          <w:sz w:val="24"/>
          <w:szCs w:val="24"/>
        </w:rPr>
        <w:t>/l</w:t>
      </w:r>
    </w:p>
    <w:p w:rsidR="0095659B" w:rsidRPr="00E73AE9" w:rsidRDefault="0095659B" w:rsidP="0095659B">
      <w:pPr>
        <w:ind w:left="851"/>
        <w:rPr>
          <w:sz w:val="24"/>
          <w:szCs w:val="24"/>
        </w:rPr>
      </w:pPr>
      <w:r w:rsidRPr="00E73AE9">
        <w:rPr>
          <w:sz w:val="24"/>
          <w:szCs w:val="24"/>
        </w:rPr>
        <w:t>pH</w:t>
      </w:r>
      <w:r w:rsidRPr="00E73AE9">
        <w:rPr>
          <w:sz w:val="24"/>
          <w:szCs w:val="24"/>
        </w:rPr>
        <w:tab/>
        <w:t>4,5 – 5,5</w:t>
      </w:r>
    </w:p>
    <w:p w:rsidR="0095659B" w:rsidRPr="00E73AE9" w:rsidRDefault="0095659B" w:rsidP="0095659B">
      <w:pPr>
        <w:ind w:left="851" w:hanging="851"/>
        <w:rPr>
          <w:sz w:val="24"/>
          <w:szCs w:val="24"/>
        </w:rPr>
      </w:pPr>
    </w:p>
    <w:p w:rsidR="0095659B" w:rsidRPr="00E73AE9" w:rsidRDefault="0095659B" w:rsidP="0095659B">
      <w:pPr>
        <w:ind w:left="851" w:hanging="851"/>
        <w:rPr>
          <w:sz w:val="24"/>
          <w:szCs w:val="24"/>
        </w:rPr>
      </w:pPr>
    </w:p>
    <w:p w:rsidR="0095659B" w:rsidRPr="00E73AE9" w:rsidRDefault="0095659B" w:rsidP="0095659B">
      <w:pPr>
        <w:numPr>
          <w:ilvl w:val="0"/>
          <w:numId w:val="1"/>
        </w:numPr>
        <w:tabs>
          <w:tab w:val="clear" w:pos="855"/>
        </w:tabs>
        <w:ind w:left="851" w:hanging="851"/>
        <w:rPr>
          <w:b/>
          <w:sz w:val="24"/>
          <w:szCs w:val="24"/>
        </w:rPr>
      </w:pPr>
      <w:r w:rsidRPr="00E73AE9">
        <w:rPr>
          <w:b/>
          <w:sz w:val="24"/>
          <w:szCs w:val="24"/>
        </w:rPr>
        <w:t>KLINISKE OPLYSNINGER</w:t>
      </w:r>
    </w:p>
    <w:p w:rsidR="0095659B" w:rsidRPr="00E73AE9" w:rsidRDefault="0095659B" w:rsidP="0095659B">
      <w:pPr>
        <w:ind w:left="851" w:hanging="851"/>
        <w:rPr>
          <w:b/>
          <w:sz w:val="24"/>
          <w:szCs w:val="24"/>
        </w:rPr>
      </w:pPr>
    </w:p>
    <w:p w:rsidR="0095659B" w:rsidRPr="00E73AE9" w:rsidRDefault="0095659B" w:rsidP="0095659B">
      <w:pPr>
        <w:numPr>
          <w:ilvl w:val="1"/>
          <w:numId w:val="1"/>
        </w:numPr>
        <w:tabs>
          <w:tab w:val="clear" w:pos="855"/>
        </w:tabs>
        <w:ind w:left="851" w:hanging="851"/>
        <w:rPr>
          <w:b/>
          <w:sz w:val="24"/>
          <w:szCs w:val="24"/>
          <w:u w:val="single"/>
        </w:rPr>
      </w:pPr>
      <w:r w:rsidRPr="00E73AE9">
        <w:rPr>
          <w:b/>
          <w:sz w:val="24"/>
          <w:szCs w:val="24"/>
        </w:rPr>
        <w:t>Terapeutiske indikationer</w:t>
      </w:r>
    </w:p>
    <w:p w:rsidR="0095659B" w:rsidRPr="00E73AE9" w:rsidRDefault="0095659B" w:rsidP="0095659B">
      <w:pPr>
        <w:ind w:left="851" w:hanging="851"/>
        <w:rPr>
          <w:sz w:val="24"/>
          <w:szCs w:val="24"/>
        </w:rPr>
      </w:pPr>
      <w:r w:rsidRPr="00E73AE9">
        <w:rPr>
          <w:sz w:val="24"/>
          <w:szCs w:val="24"/>
        </w:rPr>
        <w:tab/>
        <w:t xml:space="preserve">Paracetamol </w:t>
      </w:r>
      <w:r>
        <w:rPr>
          <w:sz w:val="24"/>
          <w:szCs w:val="24"/>
        </w:rPr>
        <w:t>”B. Braun”</w:t>
      </w:r>
      <w:r w:rsidRPr="00E73AE9">
        <w:rPr>
          <w:sz w:val="24"/>
          <w:szCs w:val="24"/>
        </w:rPr>
        <w:t xml:space="preserve"> er indiceret til: </w:t>
      </w:r>
    </w:p>
    <w:p w:rsidR="0095659B" w:rsidRPr="00E73AE9" w:rsidRDefault="0095659B" w:rsidP="0095659B">
      <w:pPr>
        <w:ind w:left="851" w:hanging="851"/>
        <w:rPr>
          <w:sz w:val="24"/>
          <w:szCs w:val="24"/>
        </w:rPr>
      </w:pPr>
    </w:p>
    <w:p w:rsidR="0095659B" w:rsidRPr="00E73AE9" w:rsidRDefault="0095659B" w:rsidP="0095659B">
      <w:pPr>
        <w:numPr>
          <w:ilvl w:val="0"/>
          <w:numId w:val="6"/>
        </w:numPr>
        <w:snapToGrid w:val="0"/>
        <w:ind w:left="1276" w:hanging="425"/>
        <w:rPr>
          <w:sz w:val="24"/>
          <w:szCs w:val="24"/>
          <w:lang w:val="nb-NO"/>
        </w:rPr>
      </w:pPr>
      <w:r w:rsidRPr="00E73AE9">
        <w:rPr>
          <w:sz w:val="24"/>
          <w:szCs w:val="24"/>
        </w:rPr>
        <w:t>kortvarig behandling af moderat smerte, især efter operation</w:t>
      </w:r>
      <w:r w:rsidRPr="00E73AE9">
        <w:rPr>
          <w:sz w:val="24"/>
          <w:szCs w:val="24"/>
          <w:lang w:val="nb-NO"/>
        </w:rPr>
        <w:t xml:space="preserve"> </w:t>
      </w:r>
    </w:p>
    <w:p w:rsidR="0095659B" w:rsidRDefault="0095659B" w:rsidP="0095659B">
      <w:pPr>
        <w:numPr>
          <w:ilvl w:val="0"/>
          <w:numId w:val="6"/>
        </w:numPr>
        <w:snapToGrid w:val="0"/>
        <w:ind w:left="1276" w:hanging="425"/>
        <w:rPr>
          <w:sz w:val="24"/>
          <w:szCs w:val="24"/>
        </w:rPr>
      </w:pPr>
      <w:r w:rsidRPr="00B86799">
        <w:rPr>
          <w:sz w:val="24"/>
          <w:szCs w:val="24"/>
        </w:rPr>
        <w:t>kortvarig behandling af feber</w:t>
      </w:r>
    </w:p>
    <w:p w:rsidR="0095659B" w:rsidRDefault="0095659B" w:rsidP="0095659B">
      <w:pPr>
        <w:snapToGrid w:val="0"/>
        <w:ind w:left="851"/>
        <w:rPr>
          <w:sz w:val="24"/>
          <w:szCs w:val="24"/>
        </w:rPr>
      </w:pPr>
    </w:p>
    <w:p w:rsidR="0095659B" w:rsidRPr="00DA39AB" w:rsidRDefault="0095659B" w:rsidP="0095659B">
      <w:pPr>
        <w:tabs>
          <w:tab w:val="left" w:pos="851"/>
        </w:tabs>
        <w:snapToGrid w:val="0"/>
        <w:ind w:left="851"/>
        <w:rPr>
          <w:sz w:val="24"/>
          <w:szCs w:val="24"/>
        </w:rPr>
      </w:pPr>
      <w:r>
        <w:rPr>
          <w:sz w:val="24"/>
          <w:szCs w:val="24"/>
        </w:rPr>
        <w:t>N</w:t>
      </w:r>
      <w:r w:rsidRPr="00DA39AB">
        <w:rPr>
          <w:sz w:val="24"/>
          <w:szCs w:val="24"/>
        </w:rPr>
        <w:t xml:space="preserve">år intravenøs administration er klinisk berettiget ved akut behov for behandling af smerte eller </w:t>
      </w:r>
      <w:proofErr w:type="spellStart"/>
      <w:r w:rsidRPr="00DA39AB">
        <w:rPr>
          <w:sz w:val="24"/>
          <w:szCs w:val="24"/>
        </w:rPr>
        <w:t>hypertermi</w:t>
      </w:r>
      <w:proofErr w:type="spellEnd"/>
      <w:r w:rsidRPr="00DA39AB">
        <w:rPr>
          <w:sz w:val="24"/>
          <w:szCs w:val="24"/>
        </w:rPr>
        <w:t xml:space="preserve">, og/eller når andre administrationsveje ikke er mulige. </w:t>
      </w:r>
    </w:p>
    <w:p w:rsidR="0095659B" w:rsidRPr="00E73AE9" w:rsidRDefault="0095659B" w:rsidP="0095659B">
      <w:pPr>
        <w:ind w:left="851" w:hanging="851"/>
        <w:rPr>
          <w:sz w:val="24"/>
          <w:szCs w:val="24"/>
        </w:rPr>
      </w:pPr>
    </w:p>
    <w:p w:rsidR="0095659B" w:rsidRPr="00E73AE9" w:rsidRDefault="0095659B" w:rsidP="0095659B">
      <w:pPr>
        <w:numPr>
          <w:ilvl w:val="1"/>
          <w:numId w:val="1"/>
        </w:numPr>
        <w:tabs>
          <w:tab w:val="clear" w:pos="855"/>
        </w:tabs>
        <w:ind w:left="851" w:hanging="851"/>
        <w:rPr>
          <w:b/>
          <w:sz w:val="24"/>
          <w:szCs w:val="24"/>
        </w:rPr>
      </w:pPr>
      <w:r w:rsidRPr="00E73AE9">
        <w:rPr>
          <w:b/>
          <w:sz w:val="24"/>
          <w:szCs w:val="24"/>
        </w:rPr>
        <w:t xml:space="preserve">Dosering og </w:t>
      </w:r>
      <w:r w:rsidR="00A55BE7">
        <w:rPr>
          <w:b/>
          <w:sz w:val="24"/>
          <w:szCs w:val="24"/>
        </w:rPr>
        <w:t>administration</w:t>
      </w:r>
    </w:p>
    <w:p w:rsidR="0095659B" w:rsidRPr="00E73AE9" w:rsidRDefault="0095659B" w:rsidP="0095659B">
      <w:pPr>
        <w:ind w:left="851" w:hanging="851"/>
        <w:rPr>
          <w:sz w:val="24"/>
          <w:szCs w:val="24"/>
        </w:rPr>
      </w:pPr>
      <w:r w:rsidRPr="00E73AE9">
        <w:rPr>
          <w:sz w:val="24"/>
          <w:szCs w:val="24"/>
        </w:rPr>
        <w:tab/>
        <w:t xml:space="preserve">100 ml flasken er forbeholdt voksne, unge og børn, der vejer over 33 kg. </w:t>
      </w:r>
    </w:p>
    <w:p w:rsidR="0095659B" w:rsidRPr="00E73AE9" w:rsidRDefault="0095659B" w:rsidP="0095659B">
      <w:pPr>
        <w:ind w:left="851" w:hanging="851"/>
        <w:rPr>
          <w:sz w:val="24"/>
          <w:szCs w:val="24"/>
        </w:rPr>
      </w:pPr>
    </w:p>
    <w:p w:rsidR="0095659B" w:rsidRPr="00805E59" w:rsidRDefault="0095659B" w:rsidP="0095659B">
      <w:pPr>
        <w:ind w:left="851"/>
        <w:rPr>
          <w:sz w:val="24"/>
          <w:szCs w:val="24"/>
        </w:rPr>
      </w:pPr>
      <w:r w:rsidRPr="00805E59">
        <w:rPr>
          <w:sz w:val="24"/>
          <w:szCs w:val="24"/>
        </w:rPr>
        <w:t xml:space="preserve">50 ml flasken er forbeholdt mindre børn og børn, der vejer mere end 10 kg og op til 33 kg. </w:t>
      </w:r>
    </w:p>
    <w:p w:rsidR="0095659B" w:rsidRDefault="0095659B" w:rsidP="0095659B">
      <w:pPr>
        <w:ind w:left="851"/>
        <w:rPr>
          <w:sz w:val="24"/>
          <w:szCs w:val="24"/>
        </w:rPr>
      </w:pPr>
    </w:p>
    <w:p w:rsidR="0095659B" w:rsidRPr="00E73AE9" w:rsidRDefault="0095659B" w:rsidP="0095659B">
      <w:pPr>
        <w:ind w:left="851"/>
        <w:rPr>
          <w:sz w:val="24"/>
          <w:szCs w:val="24"/>
        </w:rPr>
      </w:pPr>
      <w:r>
        <w:rPr>
          <w:sz w:val="24"/>
          <w:szCs w:val="24"/>
        </w:rPr>
        <w:lastRenderedPageBreak/>
        <w:t xml:space="preserve">10 ml ampullen er forbeholdt nyfødte, der er født til tiden, spædbørn og mindre børn, der vejer op til 10 kg. </w:t>
      </w:r>
    </w:p>
    <w:p w:rsidR="0095659B" w:rsidRPr="00E73AE9" w:rsidRDefault="0095659B" w:rsidP="0095659B">
      <w:pPr>
        <w:ind w:left="851" w:hanging="851"/>
        <w:rPr>
          <w:sz w:val="24"/>
          <w:szCs w:val="24"/>
        </w:rPr>
      </w:pPr>
    </w:p>
    <w:p w:rsidR="0095659B" w:rsidRPr="00E73AE9" w:rsidRDefault="0095659B" w:rsidP="0095659B">
      <w:pPr>
        <w:ind w:left="851"/>
        <w:rPr>
          <w:b/>
          <w:i/>
          <w:sz w:val="24"/>
          <w:szCs w:val="24"/>
        </w:rPr>
      </w:pPr>
      <w:r w:rsidRPr="00E73AE9">
        <w:rPr>
          <w:b/>
          <w:i/>
          <w:sz w:val="24"/>
          <w:szCs w:val="24"/>
        </w:rPr>
        <w:t>Dosering:</w:t>
      </w:r>
    </w:p>
    <w:p w:rsidR="0095659B" w:rsidRDefault="0095659B" w:rsidP="0095659B">
      <w:pPr>
        <w:ind w:left="851"/>
        <w:rPr>
          <w:sz w:val="24"/>
          <w:szCs w:val="24"/>
        </w:rPr>
      </w:pPr>
      <w:r w:rsidRPr="00242811">
        <w:rPr>
          <w:sz w:val="24"/>
          <w:szCs w:val="24"/>
        </w:rPr>
        <w:t>Den dosis, der skal administreres, og den flaskestørrelse, der skal anvendes, afhænger udelukkende af patientens vægt. Den mængde, der skal administreres, må ikke overstige den fastlagte dosis. Hvis relevant, skal den ønskede mængde fortyndes med en passende infusionsvæske inden administration (se pkt. 6.6), eller der skal anvendes en infusionspumpe.</w:t>
      </w:r>
    </w:p>
    <w:p w:rsidR="0095659B" w:rsidRDefault="0095659B" w:rsidP="0095659B">
      <w:pPr>
        <w:ind w:left="851"/>
        <w:rPr>
          <w:sz w:val="24"/>
          <w:szCs w:val="24"/>
        </w:rPr>
      </w:pPr>
      <w:r>
        <w:rPr>
          <w:sz w:val="24"/>
          <w:szCs w:val="24"/>
        </w:rPr>
        <w:t>Doseringen er baseret på patientens vægt (se doseringstabellen herunder)</w:t>
      </w:r>
    </w:p>
    <w:p w:rsidR="0095659B" w:rsidRDefault="0095659B" w:rsidP="0095659B">
      <w:pPr>
        <w:ind w:left="851"/>
        <w:rPr>
          <w:sz w:val="24"/>
          <w:szCs w:val="24"/>
        </w:rPr>
      </w:pPr>
    </w:p>
    <w:tbl>
      <w:tblPr>
        <w:tblW w:w="9713" w:type="dxa"/>
        <w:tblLayout w:type="fixed"/>
        <w:tblLook w:val="01E0" w:firstRow="1" w:lastRow="1" w:firstColumn="1" w:lastColumn="1" w:noHBand="0" w:noVBand="0"/>
      </w:tblPr>
      <w:tblGrid>
        <w:gridCol w:w="1668"/>
        <w:gridCol w:w="2268"/>
        <w:gridCol w:w="2126"/>
        <w:gridCol w:w="2126"/>
        <w:gridCol w:w="1525"/>
      </w:tblGrid>
      <w:tr w:rsidR="0095659B" w:rsidRPr="00DE26D8" w:rsidTr="003B4BCE">
        <w:trPr>
          <w:cantSplit/>
          <w:trHeight w:val="125"/>
        </w:trPr>
        <w:tc>
          <w:tcPr>
            <w:tcW w:w="9713" w:type="dxa"/>
            <w:gridSpan w:val="5"/>
            <w:tcBorders>
              <w:top w:val="single" w:sz="4" w:space="0" w:color="auto"/>
              <w:left w:val="single" w:sz="4" w:space="0" w:color="auto"/>
              <w:bottom w:val="single" w:sz="4" w:space="0" w:color="auto"/>
              <w:right w:val="single" w:sz="4" w:space="0" w:color="auto"/>
            </w:tcBorders>
          </w:tcPr>
          <w:p w:rsidR="0095659B" w:rsidRPr="00F9234B" w:rsidRDefault="0095659B" w:rsidP="003B4BCE">
            <w:pPr>
              <w:tabs>
                <w:tab w:val="left" w:pos="567"/>
              </w:tabs>
              <w:jc w:val="center"/>
              <w:rPr>
                <w:b/>
                <w:sz w:val="24"/>
                <w:szCs w:val="24"/>
                <w:lang w:val="en-GB"/>
              </w:rPr>
            </w:pPr>
            <w:r w:rsidRPr="00F9234B">
              <w:rPr>
                <w:b/>
                <w:sz w:val="24"/>
                <w:szCs w:val="24"/>
                <w:lang w:val="en-GB"/>
              </w:rPr>
              <w:t xml:space="preserve">10 ml </w:t>
            </w:r>
            <w:proofErr w:type="spellStart"/>
            <w:r w:rsidRPr="00F9234B">
              <w:rPr>
                <w:b/>
                <w:sz w:val="24"/>
                <w:szCs w:val="24"/>
                <w:lang w:val="en-GB"/>
              </w:rPr>
              <w:t>ampul</w:t>
            </w:r>
            <w:proofErr w:type="spellEnd"/>
          </w:p>
        </w:tc>
      </w:tr>
      <w:tr w:rsidR="0095659B" w:rsidRPr="00DE26D8" w:rsidTr="003B4BCE">
        <w:trPr>
          <w:cantSplit/>
          <w:trHeight w:val="125"/>
        </w:trPr>
        <w:tc>
          <w:tcPr>
            <w:tcW w:w="1668" w:type="dxa"/>
            <w:tcBorders>
              <w:top w:val="single" w:sz="4" w:space="0" w:color="auto"/>
              <w:left w:val="single" w:sz="4" w:space="0" w:color="auto"/>
              <w:bottom w:val="single" w:sz="4" w:space="0" w:color="auto"/>
              <w:right w:val="single" w:sz="4" w:space="0" w:color="auto"/>
            </w:tcBorders>
          </w:tcPr>
          <w:p w:rsidR="0095659B" w:rsidRPr="00F9234B" w:rsidRDefault="0095659B" w:rsidP="003B4BCE">
            <w:pPr>
              <w:tabs>
                <w:tab w:val="left" w:pos="567"/>
              </w:tabs>
              <w:rPr>
                <w:b/>
                <w:sz w:val="24"/>
                <w:szCs w:val="24"/>
                <w:lang w:val="en-GB"/>
              </w:rPr>
            </w:pPr>
            <w:proofErr w:type="spellStart"/>
            <w:r w:rsidRPr="00F9234B">
              <w:rPr>
                <w:b/>
                <w:sz w:val="24"/>
                <w:szCs w:val="24"/>
                <w:lang w:val="en-GB"/>
              </w:rPr>
              <w:t>Patientens</w:t>
            </w:r>
            <w:proofErr w:type="spellEnd"/>
            <w:r w:rsidRPr="00F9234B">
              <w:rPr>
                <w:b/>
                <w:sz w:val="24"/>
                <w:szCs w:val="24"/>
                <w:lang w:val="en-GB"/>
              </w:rPr>
              <w:t xml:space="preserve"> </w:t>
            </w:r>
            <w:proofErr w:type="spellStart"/>
            <w:r w:rsidRPr="00F9234B">
              <w:rPr>
                <w:b/>
                <w:sz w:val="24"/>
                <w:szCs w:val="24"/>
                <w:lang w:val="en-GB"/>
              </w:rPr>
              <w:t>vægt</w:t>
            </w:r>
            <w:proofErr w:type="spellEnd"/>
          </w:p>
        </w:tc>
        <w:tc>
          <w:tcPr>
            <w:tcW w:w="2268" w:type="dxa"/>
            <w:tcBorders>
              <w:top w:val="single" w:sz="4" w:space="0" w:color="auto"/>
              <w:left w:val="single" w:sz="4" w:space="0" w:color="auto"/>
              <w:bottom w:val="single" w:sz="4" w:space="0" w:color="auto"/>
              <w:right w:val="single" w:sz="4" w:space="0" w:color="auto"/>
            </w:tcBorders>
          </w:tcPr>
          <w:p w:rsidR="0095659B" w:rsidRPr="00F9234B" w:rsidRDefault="0095659B" w:rsidP="003B4BCE">
            <w:pPr>
              <w:tabs>
                <w:tab w:val="left" w:pos="567"/>
              </w:tabs>
              <w:rPr>
                <w:b/>
                <w:sz w:val="24"/>
                <w:szCs w:val="24"/>
                <w:lang w:val="en-GB"/>
              </w:rPr>
            </w:pPr>
            <w:proofErr w:type="spellStart"/>
            <w:r w:rsidRPr="00F9234B">
              <w:rPr>
                <w:b/>
                <w:sz w:val="24"/>
                <w:szCs w:val="24"/>
                <w:lang w:val="en-GB"/>
              </w:rPr>
              <w:t>Dosis</w:t>
            </w:r>
            <w:proofErr w:type="spellEnd"/>
            <w:r w:rsidRPr="00F9234B">
              <w:rPr>
                <w:b/>
                <w:sz w:val="24"/>
                <w:szCs w:val="24"/>
                <w:lang w:val="en-GB"/>
              </w:rPr>
              <w:t xml:space="preserve"> pr.  administration</w:t>
            </w:r>
          </w:p>
        </w:tc>
        <w:tc>
          <w:tcPr>
            <w:tcW w:w="2126" w:type="dxa"/>
            <w:tcBorders>
              <w:top w:val="single" w:sz="4" w:space="0" w:color="auto"/>
              <w:left w:val="single" w:sz="4" w:space="0" w:color="auto"/>
              <w:bottom w:val="single" w:sz="4" w:space="0" w:color="auto"/>
              <w:right w:val="single" w:sz="4" w:space="0" w:color="auto"/>
            </w:tcBorders>
          </w:tcPr>
          <w:p w:rsidR="0095659B" w:rsidRPr="00F9234B" w:rsidRDefault="0095659B" w:rsidP="003B4BCE">
            <w:pPr>
              <w:tabs>
                <w:tab w:val="left" w:pos="567"/>
              </w:tabs>
              <w:rPr>
                <w:b/>
                <w:sz w:val="24"/>
                <w:szCs w:val="24"/>
                <w:lang w:val="en-GB"/>
              </w:rPr>
            </w:pPr>
            <w:proofErr w:type="spellStart"/>
            <w:r w:rsidRPr="00F9234B">
              <w:rPr>
                <w:b/>
                <w:sz w:val="24"/>
                <w:szCs w:val="24"/>
                <w:lang w:val="en-GB"/>
              </w:rPr>
              <w:t>Volumen</w:t>
            </w:r>
            <w:proofErr w:type="spellEnd"/>
            <w:r w:rsidRPr="00F9234B">
              <w:rPr>
                <w:b/>
                <w:sz w:val="24"/>
                <w:szCs w:val="24"/>
                <w:lang w:val="en-GB"/>
              </w:rPr>
              <w:t xml:space="preserve"> pr. administration</w:t>
            </w:r>
          </w:p>
        </w:tc>
        <w:tc>
          <w:tcPr>
            <w:tcW w:w="2126" w:type="dxa"/>
            <w:tcBorders>
              <w:top w:val="single" w:sz="4" w:space="0" w:color="auto"/>
              <w:left w:val="single" w:sz="4" w:space="0" w:color="auto"/>
              <w:bottom w:val="single" w:sz="4" w:space="0" w:color="auto"/>
              <w:right w:val="single" w:sz="4" w:space="0" w:color="auto"/>
            </w:tcBorders>
          </w:tcPr>
          <w:p w:rsidR="0095659B" w:rsidRPr="00F9234B" w:rsidRDefault="0095659B" w:rsidP="003B4BCE">
            <w:pPr>
              <w:tabs>
                <w:tab w:val="left" w:pos="567"/>
              </w:tabs>
              <w:rPr>
                <w:b/>
                <w:sz w:val="24"/>
                <w:szCs w:val="24"/>
              </w:rPr>
            </w:pPr>
            <w:r w:rsidRPr="00F9234B">
              <w:rPr>
                <w:b/>
                <w:sz w:val="24"/>
                <w:szCs w:val="24"/>
              </w:rPr>
              <w:t>Maksimalt volumen af Paracetamol “B. Braun” (10 mg/ml) pr. administration baseret på øvre vægtgrænse af gruppen (ml)***</w:t>
            </w:r>
          </w:p>
        </w:tc>
        <w:tc>
          <w:tcPr>
            <w:tcW w:w="1525" w:type="dxa"/>
            <w:tcBorders>
              <w:top w:val="single" w:sz="4" w:space="0" w:color="auto"/>
              <w:left w:val="single" w:sz="4" w:space="0" w:color="auto"/>
              <w:bottom w:val="single" w:sz="4" w:space="0" w:color="auto"/>
              <w:right w:val="single" w:sz="4" w:space="0" w:color="auto"/>
            </w:tcBorders>
          </w:tcPr>
          <w:p w:rsidR="0095659B" w:rsidRPr="00F9234B" w:rsidRDefault="0095659B" w:rsidP="003B4BCE">
            <w:pPr>
              <w:tabs>
                <w:tab w:val="left" w:pos="567"/>
              </w:tabs>
              <w:rPr>
                <w:b/>
                <w:sz w:val="24"/>
                <w:szCs w:val="24"/>
                <w:lang w:val="en-GB"/>
              </w:rPr>
            </w:pPr>
            <w:proofErr w:type="spellStart"/>
            <w:r w:rsidRPr="00F9234B">
              <w:rPr>
                <w:b/>
                <w:sz w:val="24"/>
                <w:szCs w:val="24"/>
                <w:lang w:val="en-GB"/>
              </w:rPr>
              <w:t>Maksimal</w:t>
            </w:r>
            <w:proofErr w:type="spellEnd"/>
            <w:r w:rsidRPr="00F9234B">
              <w:rPr>
                <w:b/>
                <w:sz w:val="24"/>
                <w:szCs w:val="24"/>
                <w:lang w:val="en-GB"/>
              </w:rPr>
              <w:t xml:space="preserve"> </w:t>
            </w:r>
            <w:proofErr w:type="spellStart"/>
            <w:r w:rsidRPr="00F9234B">
              <w:rPr>
                <w:b/>
                <w:sz w:val="24"/>
                <w:szCs w:val="24"/>
                <w:lang w:val="en-GB"/>
              </w:rPr>
              <w:t>daglig</w:t>
            </w:r>
            <w:proofErr w:type="spellEnd"/>
            <w:r w:rsidRPr="00F9234B">
              <w:rPr>
                <w:b/>
                <w:sz w:val="24"/>
                <w:szCs w:val="24"/>
                <w:lang w:val="en-GB"/>
              </w:rPr>
              <w:t xml:space="preserve"> </w:t>
            </w:r>
            <w:proofErr w:type="spellStart"/>
            <w:r w:rsidRPr="00F9234B">
              <w:rPr>
                <w:b/>
                <w:sz w:val="24"/>
                <w:szCs w:val="24"/>
                <w:lang w:val="en-GB"/>
              </w:rPr>
              <w:t>dosis</w:t>
            </w:r>
            <w:proofErr w:type="spellEnd"/>
            <w:r w:rsidRPr="00F9234B">
              <w:rPr>
                <w:b/>
                <w:sz w:val="24"/>
                <w:szCs w:val="24"/>
                <w:lang w:val="en-GB"/>
              </w:rPr>
              <w:t>**</w:t>
            </w:r>
          </w:p>
        </w:tc>
      </w:tr>
      <w:tr w:rsidR="0095659B" w:rsidRPr="00DE26D8" w:rsidTr="003B4BCE">
        <w:trPr>
          <w:cantSplit/>
          <w:trHeight w:val="125"/>
        </w:trPr>
        <w:tc>
          <w:tcPr>
            <w:tcW w:w="1668" w:type="dxa"/>
            <w:tcBorders>
              <w:top w:val="single" w:sz="4" w:space="0" w:color="auto"/>
              <w:left w:val="single" w:sz="4" w:space="0" w:color="auto"/>
              <w:bottom w:val="single" w:sz="4" w:space="0" w:color="auto"/>
              <w:right w:val="single" w:sz="4" w:space="0" w:color="auto"/>
            </w:tcBorders>
          </w:tcPr>
          <w:p w:rsidR="0095659B" w:rsidRPr="00F9234B" w:rsidRDefault="0095659B" w:rsidP="003B4BCE">
            <w:pPr>
              <w:tabs>
                <w:tab w:val="left" w:pos="567"/>
              </w:tabs>
              <w:rPr>
                <w:b/>
                <w:sz w:val="24"/>
                <w:szCs w:val="24"/>
                <w:lang w:val="en-GB"/>
              </w:rPr>
            </w:pPr>
            <w:r w:rsidRPr="00F9234B">
              <w:rPr>
                <w:sz w:val="24"/>
                <w:szCs w:val="24"/>
                <w:lang w:val="en-GB"/>
              </w:rPr>
              <w:sym w:font="Symbol" w:char="F0A3"/>
            </w:r>
            <w:r w:rsidRPr="00F9234B">
              <w:rPr>
                <w:sz w:val="24"/>
                <w:szCs w:val="24"/>
                <w:lang w:val="en-GB"/>
              </w:rPr>
              <w:t xml:space="preserve"> 10 kg*</w:t>
            </w:r>
          </w:p>
        </w:tc>
        <w:tc>
          <w:tcPr>
            <w:tcW w:w="2268" w:type="dxa"/>
            <w:tcBorders>
              <w:top w:val="single" w:sz="4" w:space="0" w:color="auto"/>
              <w:left w:val="single" w:sz="4" w:space="0" w:color="auto"/>
              <w:bottom w:val="single" w:sz="4" w:space="0" w:color="auto"/>
              <w:right w:val="single" w:sz="4" w:space="0" w:color="auto"/>
            </w:tcBorders>
            <w:vAlign w:val="center"/>
          </w:tcPr>
          <w:p w:rsidR="0095659B" w:rsidRPr="00F9234B" w:rsidRDefault="0095659B" w:rsidP="003B4BCE">
            <w:pPr>
              <w:tabs>
                <w:tab w:val="left" w:pos="567"/>
              </w:tabs>
              <w:rPr>
                <w:b/>
                <w:sz w:val="24"/>
                <w:szCs w:val="24"/>
                <w:lang w:val="en-GB"/>
              </w:rPr>
            </w:pPr>
            <w:r w:rsidRPr="00F9234B">
              <w:rPr>
                <w:sz w:val="24"/>
                <w:szCs w:val="24"/>
                <w:lang w:val="de-DE"/>
              </w:rPr>
              <w:t>7,5 mg/kg</w:t>
            </w:r>
          </w:p>
        </w:tc>
        <w:tc>
          <w:tcPr>
            <w:tcW w:w="2126" w:type="dxa"/>
            <w:tcBorders>
              <w:top w:val="single" w:sz="4" w:space="0" w:color="auto"/>
              <w:left w:val="single" w:sz="4" w:space="0" w:color="auto"/>
              <w:bottom w:val="single" w:sz="4" w:space="0" w:color="auto"/>
              <w:right w:val="single" w:sz="4" w:space="0" w:color="auto"/>
            </w:tcBorders>
            <w:vAlign w:val="center"/>
          </w:tcPr>
          <w:p w:rsidR="0095659B" w:rsidRPr="00F9234B" w:rsidRDefault="0095659B" w:rsidP="003B4BCE">
            <w:pPr>
              <w:tabs>
                <w:tab w:val="left" w:pos="567"/>
              </w:tabs>
              <w:rPr>
                <w:b/>
                <w:sz w:val="24"/>
                <w:szCs w:val="24"/>
                <w:lang w:val="en-GB"/>
              </w:rPr>
            </w:pPr>
            <w:r w:rsidRPr="00F9234B">
              <w:rPr>
                <w:sz w:val="24"/>
                <w:szCs w:val="24"/>
                <w:lang w:val="en-GB"/>
              </w:rPr>
              <w:t>0,75 ml/kg</w:t>
            </w:r>
          </w:p>
        </w:tc>
        <w:tc>
          <w:tcPr>
            <w:tcW w:w="2126" w:type="dxa"/>
            <w:tcBorders>
              <w:top w:val="single" w:sz="4" w:space="0" w:color="auto"/>
              <w:left w:val="single" w:sz="4" w:space="0" w:color="auto"/>
              <w:bottom w:val="single" w:sz="4" w:space="0" w:color="auto"/>
              <w:right w:val="single" w:sz="4" w:space="0" w:color="auto"/>
            </w:tcBorders>
            <w:vAlign w:val="center"/>
          </w:tcPr>
          <w:p w:rsidR="0095659B" w:rsidRPr="00F9234B" w:rsidRDefault="0095659B" w:rsidP="003B4BCE">
            <w:pPr>
              <w:tabs>
                <w:tab w:val="left" w:pos="567"/>
              </w:tabs>
              <w:rPr>
                <w:b/>
                <w:sz w:val="24"/>
                <w:szCs w:val="24"/>
                <w:lang w:val="en-GB"/>
              </w:rPr>
            </w:pPr>
            <w:r w:rsidRPr="00F9234B">
              <w:rPr>
                <w:sz w:val="24"/>
                <w:szCs w:val="24"/>
                <w:lang w:val="en-GB"/>
              </w:rPr>
              <w:t>7,5 ml</w:t>
            </w:r>
          </w:p>
        </w:tc>
        <w:tc>
          <w:tcPr>
            <w:tcW w:w="1525" w:type="dxa"/>
            <w:tcBorders>
              <w:top w:val="single" w:sz="4" w:space="0" w:color="auto"/>
              <w:left w:val="single" w:sz="4" w:space="0" w:color="auto"/>
              <w:bottom w:val="single" w:sz="4" w:space="0" w:color="auto"/>
              <w:right w:val="single" w:sz="4" w:space="0" w:color="auto"/>
            </w:tcBorders>
            <w:vAlign w:val="center"/>
          </w:tcPr>
          <w:p w:rsidR="0095659B" w:rsidRPr="00F9234B" w:rsidRDefault="0095659B" w:rsidP="003B4BCE">
            <w:pPr>
              <w:tabs>
                <w:tab w:val="left" w:pos="567"/>
              </w:tabs>
              <w:rPr>
                <w:b/>
                <w:sz w:val="24"/>
                <w:szCs w:val="24"/>
                <w:lang w:val="en-GB"/>
              </w:rPr>
            </w:pPr>
            <w:r w:rsidRPr="00F9234B">
              <w:rPr>
                <w:sz w:val="24"/>
                <w:szCs w:val="24"/>
                <w:lang w:val="nl-NL"/>
              </w:rPr>
              <w:t>30 mg/kg</w:t>
            </w:r>
          </w:p>
        </w:tc>
      </w:tr>
    </w:tbl>
    <w:p w:rsidR="0095659B" w:rsidRDefault="0095659B" w:rsidP="0095659B">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56"/>
        <w:gridCol w:w="1758"/>
        <w:gridCol w:w="1993"/>
        <w:gridCol w:w="2087"/>
        <w:gridCol w:w="1812"/>
      </w:tblGrid>
      <w:tr w:rsidR="0095659B" w:rsidRPr="0082364E" w:rsidTr="003B4BCE">
        <w:tc>
          <w:tcPr>
            <w:tcW w:w="1027" w:type="pct"/>
            <w:gridSpan w:val="2"/>
          </w:tcPr>
          <w:p w:rsidR="0095659B" w:rsidRPr="0082364E" w:rsidRDefault="0095659B" w:rsidP="003B4BCE">
            <w:pPr>
              <w:jc w:val="center"/>
              <w:rPr>
                <w:b/>
                <w:sz w:val="24"/>
                <w:szCs w:val="24"/>
              </w:rPr>
            </w:pPr>
          </w:p>
        </w:tc>
        <w:tc>
          <w:tcPr>
            <w:tcW w:w="3973" w:type="pct"/>
            <w:gridSpan w:val="4"/>
            <w:shd w:val="clear" w:color="auto" w:fill="auto"/>
          </w:tcPr>
          <w:p w:rsidR="0095659B" w:rsidRPr="0082364E" w:rsidRDefault="0095659B" w:rsidP="003B4BCE">
            <w:pPr>
              <w:jc w:val="center"/>
              <w:rPr>
                <w:sz w:val="24"/>
                <w:szCs w:val="24"/>
              </w:rPr>
            </w:pPr>
            <w:r w:rsidRPr="0082364E">
              <w:rPr>
                <w:b/>
                <w:sz w:val="24"/>
                <w:szCs w:val="24"/>
              </w:rPr>
              <w:t>50 ml flaske</w:t>
            </w:r>
          </w:p>
        </w:tc>
      </w:tr>
      <w:tr w:rsidR="0095659B" w:rsidRPr="0082364E" w:rsidTr="003B4BCE">
        <w:tc>
          <w:tcPr>
            <w:tcW w:w="946" w:type="pct"/>
            <w:shd w:val="clear" w:color="auto" w:fill="auto"/>
          </w:tcPr>
          <w:p w:rsidR="0095659B" w:rsidRPr="0082364E" w:rsidRDefault="0095659B" w:rsidP="003B4BCE">
            <w:pPr>
              <w:jc w:val="center"/>
              <w:rPr>
                <w:sz w:val="24"/>
                <w:szCs w:val="24"/>
              </w:rPr>
            </w:pPr>
            <w:r w:rsidRPr="0082364E">
              <w:rPr>
                <w:b/>
                <w:sz w:val="24"/>
                <w:szCs w:val="24"/>
              </w:rPr>
              <w:t>Patientens vægt</w:t>
            </w:r>
          </w:p>
        </w:tc>
        <w:tc>
          <w:tcPr>
            <w:tcW w:w="994" w:type="pct"/>
            <w:gridSpan w:val="2"/>
            <w:shd w:val="clear" w:color="auto" w:fill="auto"/>
          </w:tcPr>
          <w:p w:rsidR="0095659B" w:rsidRPr="0038614F" w:rsidRDefault="0095659B" w:rsidP="003B4BCE">
            <w:pPr>
              <w:pStyle w:val="EMEABodyText"/>
              <w:jc w:val="center"/>
              <w:rPr>
                <w:b/>
                <w:sz w:val="24"/>
                <w:szCs w:val="24"/>
                <w:lang w:val="da-DK"/>
              </w:rPr>
            </w:pPr>
            <w:r w:rsidRPr="0082364E">
              <w:rPr>
                <w:b/>
                <w:sz w:val="24"/>
                <w:szCs w:val="24"/>
                <w:lang w:val="da-DK"/>
              </w:rPr>
              <w:t>Dosis</w:t>
            </w:r>
          </w:p>
          <w:p w:rsidR="0095659B" w:rsidRPr="0082364E" w:rsidRDefault="0095659B" w:rsidP="003B4BCE">
            <w:pPr>
              <w:jc w:val="center"/>
              <w:rPr>
                <w:sz w:val="24"/>
                <w:szCs w:val="24"/>
              </w:rPr>
            </w:pPr>
            <w:r w:rsidRPr="0082364E">
              <w:rPr>
                <w:b/>
                <w:sz w:val="24"/>
                <w:szCs w:val="24"/>
              </w:rPr>
              <w:t xml:space="preserve">pr. administration </w:t>
            </w:r>
          </w:p>
        </w:tc>
        <w:tc>
          <w:tcPr>
            <w:tcW w:w="1035" w:type="pct"/>
          </w:tcPr>
          <w:p w:rsidR="0095659B" w:rsidRPr="0082364E" w:rsidRDefault="0095659B" w:rsidP="003B4BCE">
            <w:pPr>
              <w:jc w:val="center"/>
              <w:rPr>
                <w:b/>
                <w:sz w:val="24"/>
                <w:szCs w:val="24"/>
              </w:rPr>
            </w:pPr>
            <w:r w:rsidRPr="0082364E">
              <w:rPr>
                <w:b/>
                <w:sz w:val="24"/>
                <w:szCs w:val="24"/>
              </w:rPr>
              <w:t>Volumen pr. administration</w:t>
            </w:r>
          </w:p>
        </w:tc>
        <w:tc>
          <w:tcPr>
            <w:tcW w:w="1084" w:type="pct"/>
            <w:shd w:val="clear" w:color="auto" w:fill="auto"/>
          </w:tcPr>
          <w:p w:rsidR="0095659B" w:rsidRPr="0082364E" w:rsidRDefault="0095659B" w:rsidP="003B4BCE">
            <w:pPr>
              <w:jc w:val="center"/>
              <w:rPr>
                <w:sz w:val="24"/>
                <w:szCs w:val="24"/>
              </w:rPr>
            </w:pPr>
            <w:r w:rsidRPr="0082364E">
              <w:rPr>
                <w:b/>
                <w:sz w:val="24"/>
                <w:szCs w:val="24"/>
              </w:rPr>
              <w:t>Maksimalt volumen af Paracetamol ”B. Braun” (10 mg/ml) pr. administration baseret på øvre vægtgrænse af gruppen(ml) ***</w:t>
            </w:r>
          </w:p>
        </w:tc>
        <w:tc>
          <w:tcPr>
            <w:tcW w:w="942" w:type="pct"/>
            <w:shd w:val="clear" w:color="auto" w:fill="auto"/>
          </w:tcPr>
          <w:p w:rsidR="0095659B" w:rsidRPr="0082364E" w:rsidRDefault="0095659B" w:rsidP="003B4BCE">
            <w:pPr>
              <w:jc w:val="center"/>
              <w:rPr>
                <w:sz w:val="24"/>
                <w:szCs w:val="24"/>
              </w:rPr>
            </w:pPr>
            <w:r w:rsidRPr="0082364E">
              <w:rPr>
                <w:b/>
                <w:sz w:val="24"/>
                <w:szCs w:val="24"/>
              </w:rPr>
              <w:t xml:space="preserve">Maksimal </w:t>
            </w:r>
            <w:r w:rsidRPr="0082364E">
              <w:rPr>
                <w:b/>
                <w:sz w:val="24"/>
                <w:szCs w:val="24"/>
                <w:u w:val="single"/>
              </w:rPr>
              <w:t>daglig</w:t>
            </w:r>
            <w:r w:rsidRPr="0082364E">
              <w:rPr>
                <w:b/>
                <w:sz w:val="24"/>
                <w:szCs w:val="24"/>
              </w:rPr>
              <w:t xml:space="preserve"> dosis**</w:t>
            </w:r>
          </w:p>
        </w:tc>
      </w:tr>
      <w:tr w:rsidR="0095659B" w:rsidRPr="0082364E" w:rsidTr="003B4BCE">
        <w:tc>
          <w:tcPr>
            <w:tcW w:w="946" w:type="pct"/>
            <w:shd w:val="clear" w:color="auto" w:fill="auto"/>
          </w:tcPr>
          <w:p w:rsidR="0095659B" w:rsidRPr="0082364E" w:rsidRDefault="0095659B" w:rsidP="003B4BCE">
            <w:pPr>
              <w:jc w:val="center"/>
              <w:rPr>
                <w:sz w:val="24"/>
                <w:szCs w:val="24"/>
              </w:rPr>
            </w:pPr>
          </w:p>
        </w:tc>
        <w:tc>
          <w:tcPr>
            <w:tcW w:w="994" w:type="pct"/>
            <w:gridSpan w:val="2"/>
            <w:shd w:val="clear" w:color="auto" w:fill="auto"/>
          </w:tcPr>
          <w:p w:rsidR="0095659B" w:rsidRPr="0038614F" w:rsidRDefault="0095659B" w:rsidP="003B4BCE">
            <w:pPr>
              <w:pStyle w:val="EMEABodyText"/>
              <w:jc w:val="center"/>
              <w:rPr>
                <w:sz w:val="24"/>
                <w:szCs w:val="24"/>
                <w:lang w:val="da-DK"/>
              </w:rPr>
            </w:pPr>
          </w:p>
        </w:tc>
        <w:tc>
          <w:tcPr>
            <w:tcW w:w="1035" w:type="pct"/>
          </w:tcPr>
          <w:p w:rsidR="0095659B" w:rsidRPr="0082364E" w:rsidRDefault="0095659B" w:rsidP="003B4BCE">
            <w:pPr>
              <w:jc w:val="center"/>
              <w:rPr>
                <w:sz w:val="24"/>
                <w:szCs w:val="24"/>
              </w:rPr>
            </w:pPr>
          </w:p>
        </w:tc>
        <w:tc>
          <w:tcPr>
            <w:tcW w:w="1084" w:type="pct"/>
            <w:shd w:val="clear" w:color="auto" w:fill="auto"/>
          </w:tcPr>
          <w:p w:rsidR="0095659B" w:rsidRPr="0082364E" w:rsidRDefault="0095659B" w:rsidP="003B4BCE">
            <w:pPr>
              <w:jc w:val="center"/>
              <w:rPr>
                <w:sz w:val="24"/>
                <w:szCs w:val="24"/>
              </w:rPr>
            </w:pPr>
          </w:p>
        </w:tc>
        <w:tc>
          <w:tcPr>
            <w:tcW w:w="942" w:type="pct"/>
            <w:shd w:val="clear" w:color="auto" w:fill="auto"/>
          </w:tcPr>
          <w:p w:rsidR="0095659B" w:rsidRPr="0038614F" w:rsidRDefault="0095659B" w:rsidP="003B4BCE">
            <w:pPr>
              <w:pStyle w:val="EMEABodyText"/>
              <w:jc w:val="center"/>
              <w:rPr>
                <w:sz w:val="24"/>
                <w:szCs w:val="24"/>
                <w:lang w:val="da-DK"/>
              </w:rPr>
            </w:pPr>
          </w:p>
        </w:tc>
      </w:tr>
      <w:tr w:rsidR="0095659B" w:rsidRPr="0082364E" w:rsidTr="003B4BCE">
        <w:tc>
          <w:tcPr>
            <w:tcW w:w="946" w:type="pct"/>
            <w:shd w:val="clear" w:color="auto" w:fill="auto"/>
          </w:tcPr>
          <w:p w:rsidR="0095659B" w:rsidRPr="0082364E" w:rsidRDefault="0095659B" w:rsidP="003B4BCE">
            <w:pPr>
              <w:jc w:val="center"/>
              <w:rPr>
                <w:sz w:val="24"/>
                <w:szCs w:val="24"/>
              </w:rPr>
            </w:pPr>
            <w:r w:rsidRPr="0082364E">
              <w:rPr>
                <w:sz w:val="24"/>
                <w:szCs w:val="24"/>
              </w:rPr>
              <w:t xml:space="preserve">&gt;10 kg til </w:t>
            </w:r>
            <w:r w:rsidRPr="0082364E">
              <w:rPr>
                <w:sz w:val="24"/>
                <w:szCs w:val="24"/>
              </w:rPr>
              <w:sym w:font="Symbol" w:char="00A3"/>
            </w:r>
            <w:r w:rsidRPr="0082364E">
              <w:rPr>
                <w:sz w:val="24"/>
                <w:szCs w:val="24"/>
              </w:rPr>
              <w:t>33 kg</w:t>
            </w:r>
          </w:p>
        </w:tc>
        <w:tc>
          <w:tcPr>
            <w:tcW w:w="994" w:type="pct"/>
            <w:gridSpan w:val="2"/>
            <w:shd w:val="clear" w:color="auto" w:fill="auto"/>
          </w:tcPr>
          <w:p w:rsidR="0095659B" w:rsidRPr="0038614F" w:rsidRDefault="0095659B" w:rsidP="003B4BCE">
            <w:pPr>
              <w:pStyle w:val="EMEABodyText"/>
              <w:jc w:val="center"/>
              <w:rPr>
                <w:sz w:val="24"/>
                <w:szCs w:val="24"/>
                <w:lang w:val="da-DK"/>
              </w:rPr>
            </w:pPr>
            <w:r w:rsidRPr="0082364E">
              <w:rPr>
                <w:sz w:val="24"/>
                <w:szCs w:val="24"/>
                <w:lang w:val="da-DK"/>
              </w:rPr>
              <w:t>15 mg/kg</w:t>
            </w:r>
          </w:p>
          <w:p w:rsidR="0095659B" w:rsidRPr="0082364E" w:rsidRDefault="0095659B" w:rsidP="003B4BCE">
            <w:pPr>
              <w:jc w:val="center"/>
              <w:rPr>
                <w:sz w:val="24"/>
                <w:szCs w:val="24"/>
              </w:rPr>
            </w:pPr>
          </w:p>
        </w:tc>
        <w:tc>
          <w:tcPr>
            <w:tcW w:w="1035" w:type="pct"/>
          </w:tcPr>
          <w:p w:rsidR="0095659B" w:rsidRPr="0082364E" w:rsidRDefault="0095659B" w:rsidP="003B4BCE">
            <w:pPr>
              <w:jc w:val="center"/>
              <w:rPr>
                <w:sz w:val="24"/>
                <w:szCs w:val="24"/>
              </w:rPr>
            </w:pPr>
            <w:r w:rsidRPr="0082364E">
              <w:rPr>
                <w:sz w:val="24"/>
                <w:szCs w:val="24"/>
              </w:rPr>
              <w:t xml:space="preserve">1,5 ml/kg </w:t>
            </w:r>
          </w:p>
        </w:tc>
        <w:tc>
          <w:tcPr>
            <w:tcW w:w="1084" w:type="pct"/>
            <w:shd w:val="clear" w:color="auto" w:fill="auto"/>
          </w:tcPr>
          <w:p w:rsidR="0095659B" w:rsidRPr="0082364E" w:rsidRDefault="0095659B" w:rsidP="003B4BCE">
            <w:pPr>
              <w:jc w:val="center"/>
              <w:rPr>
                <w:sz w:val="24"/>
                <w:szCs w:val="24"/>
              </w:rPr>
            </w:pPr>
            <w:r w:rsidRPr="0082364E">
              <w:rPr>
                <w:sz w:val="24"/>
                <w:szCs w:val="24"/>
              </w:rPr>
              <w:t>49,5 ml</w:t>
            </w:r>
          </w:p>
        </w:tc>
        <w:tc>
          <w:tcPr>
            <w:tcW w:w="942" w:type="pct"/>
            <w:shd w:val="clear" w:color="auto" w:fill="auto"/>
          </w:tcPr>
          <w:p w:rsidR="0095659B" w:rsidRPr="0082364E" w:rsidRDefault="0095659B" w:rsidP="003B4BCE">
            <w:pPr>
              <w:pStyle w:val="EMEABodyText"/>
              <w:jc w:val="center"/>
              <w:rPr>
                <w:sz w:val="24"/>
                <w:szCs w:val="24"/>
                <w:lang w:val="da-DK"/>
              </w:rPr>
            </w:pPr>
            <w:r w:rsidRPr="0082364E">
              <w:rPr>
                <w:sz w:val="24"/>
                <w:szCs w:val="24"/>
                <w:lang w:val="da-DK"/>
              </w:rPr>
              <w:t>60 mg/kg</w:t>
            </w:r>
          </w:p>
          <w:p w:rsidR="0095659B" w:rsidRPr="0082364E" w:rsidRDefault="0095659B" w:rsidP="003B4BCE">
            <w:pPr>
              <w:jc w:val="center"/>
              <w:rPr>
                <w:sz w:val="24"/>
                <w:szCs w:val="24"/>
              </w:rPr>
            </w:pPr>
            <w:r w:rsidRPr="0082364E">
              <w:rPr>
                <w:sz w:val="24"/>
                <w:szCs w:val="24"/>
              </w:rPr>
              <w:t xml:space="preserve">må ikke overstige 2 g </w:t>
            </w:r>
          </w:p>
        </w:tc>
      </w:tr>
      <w:tr w:rsidR="0095659B" w:rsidRPr="0082364E" w:rsidTr="003B4BCE">
        <w:tc>
          <w:tcPr>
            <w:tcW w:w="1027" w:type="pct"/>
            <w:gridSpan w:val="2"/>
          </w:tcPr>
          <w:p w:rsidR="0095659B" w:rsidRPr="0082364E" w:rsidRDefault="0095659B" w:rsidP="003B4BCE">
            <w:pPr>
              <w:jc w:val="center"/>
              <w:rPr>
                <w:b/>
                <w:sz w:val="24"/>
                <w:szCs w:val="24"/>
              </w:rPr>
            </w:pPr>
          </w:p>
        </w:tc>
        <w:tc>
          <w:tcPr>
            <w:tcW w:w="3973" w:type="pct"/>
            <w:gridSpan w:val="4"/>
            <w:shd w:val="clear" w:color="auto" w:fill="auto"/>
          </w:tcPr>
          <w:p w:rsidR="0095659B" w:rsidRPr="0082364E" w:rsidRDefault="0095659B" w:rsidP="003B4BCE">
            <w:pPr>
              <w:jc w:val="center"/>
              <w:rPr>
                <w:sz w:val="24"/>
                <w:szCs w:val="24"/>
              </w:rPr>
            </w:pPr>
            <w:r w:rsidRPr="0082364E">
              <w:rPr>
                <w:b/>
                <w:sz w:val="24"/>
                <w:szCs w:val="24"/>
              </w:rPr>
              <w:t>100 ml flaske</w:t>
            </w:r>
          </w:p>
        </w:tc>
      </w:tr>
      <w:tr w:rsidR="0095659B" w:rsidRPr="0082364E" w:rsidTr="003B4BCE">
        <w:tc>
          <w:tcPr>
            <w:tcW w:w="946" w:type="pct"/>
            <w:shd w:val="clear" w:color="auto" w:fill="auto"/>
          </w:tcPr>
          <w:p w:rsidR="0095659B" w:rsidRPr="0082364E" w:rsidRDefault="0095659B" w:rsidP="003B4BCE">
            <w:pPr>
              <w:jc w:val="center"/>
              <w:rPr>
                <w:sz w:val="24"/>
                <w:szCs w:val="24"/>
              </w:rPr>
            </w:pPr>
            <w:r w:rsidRPr="0082364E">
              <w:rPr>
                <w:b/>
                <w:sz w:val="24"/>
                <w:szCs w:val="24"/>
              </w:rPr>
              <w:t>Patientens vægt</w:t>
            </w:r>
          </w:p>
        </w:tc>
        <w:tc>
          <w:tcPr>
            <w:tcW w:w="994" w:type="pct"/>
            <w:gridSpan w:val="2"/>
            <w:shd w:val="clear" w:color="auto" w:fill="auto"/>
          </w:tcPr>
          <w:p w:rsidR="0095659B" w:rsidRPr="0038614F" w:rsidRDefault="0095659B" w:rsidP="003B4BCE">
            <w:pPr>
              <w:pStyle w:val="EMEABodyText"/>
              <w:jc w:val="center"/>
              <w:rPr>
                <w:b/>
                <w:sz w:val="24"/>
                <w:szCs w:val="24"/>
                <w:lang w:val="da-DK"/>
              </w:rPr>
            </w:pPr>
            <w:r w:rsidRPr="0082364E">
              <w:rPr>
                <w:b/>
                <w:sz w:val="24"/>
                <w:szCs w:val="24"/>
                <w:lang w:val="da-DK"/>
              </w:rPr>
              <w:t>Dosis</w:t>
            </w:r>
          </w:p>
          <w:p w:rsidR="0095659B" w:rsidRPr="0082364E" w:rsidRDefault="0095659B" w:rsidP="003B4BCE">
            <w:pPr>
              <w:jc w:val="center"/>
              <w:rPr>
                <w:sz w:val="24"/>
                <w:szCs w:val="24"/>
              </w:rPr>
            </w:pPr>
            <w:r w:rsidRPr="0082364E">
              <w:rPr>
                <w:b/>
                <w:sz w:val="24"/>
                <w:szCs w:val="24"/>
              </w:rPr>
              <w:t>pr. administration</w:t>
            </w:r>
          </w:p>
        </w:tc>
        <w:tc>
          <w:tcPr>
            <w:tcW w:w="1035" w:type="pct"/>
          </w:tcPr>
          <w:p w:rsidR="0095659B" w:rsidRPr="0082364E" w:rsidRDefault="0095659B" w:rsidP="003B4BCE">
            <w:pPr>
              <w:jc w:val="center"/>
              <w:rPr>
                <w:b/>
                <w:sz w:val="24"/>
                <w:szCs w:val="24"/>
              </w:rPr>
            </w:pPr>
            <w:r w:rsidRPr="0082364E">
              <w:rPr>
                <w:b/>
                <w:sz w:val="24"/>
                <w:szCs w:val="24"/>
              </w:rPr>
              <w:t xml:space="preserve">Volumen pr. administration </w:t>
            </w:r>
          </w:p>
        </w:tc>
        <w:tc>
          <w:tcPr>
            <w:tcW w:w="1084" w:type="pct"/>
            <w:shd w:val="clear" w:color="auto" w:fill="auto"/>
          </w:tcPr>
          <w:p w:rsidR="0095659B" w:rsidRPr="0082364E" w:rsidRDefault="0095659B" w:rsidP="003B4BCE">
            <w:pPr>
              <w:jc w:val="center"/>
              <w:rPr>
                <w:sz w:val="24"/>
                <w:szCs w:val="24"/>
              </w:rPr>
            </w:pPr>
            <w:r w:rsidRPr="0082364E">
              <w:rPr>
                <w:b/>
                <w:sz w:val="24"/>
                <w:szCs w:val="24"/>
              </w:rPr>
              <w:t>Maksimalt volumen af Paracetamol ”B. Braun” (10 mg/ml) pr. administration baseret på øvre vægtgrænse af gruppen (ml)***</w:t>
            </w:r>
          </w:p>
        </w:tc>
        <w:tc>
          <w:tcPr>
            <w:tcW w:w="942" w:type="pct"/>
            <w:shd w:val="clear" w:color="auto" w:fill="auto"/>
          </w:tcPr>
          <w:p w:rsidR="0095659B" w:rsidRPr="0082364E" w:rsidRDefault="0095659B" w:rsidP="003B4BCE">
            <w:pPr>
              <w:jc w:val="center"/>
              <w:rPr>
                <w:sz w:val="24"/>
                <w:szCs w:val="24"/>
              </w:rPr>
            </w:pPr>
            <w:r w:rsidRPr="0082364E">
              <w:rPr>
                <w:b/>
                <w:sz w:val="24"/>
                <w:szCs w:val="24"/>
              </w:rPr>
              <w:t>Maksimal daglig dosis**</w:t>
            </w:r>
          </w:p>
        </w:tc>
      </w:tr>
      <w:tr w:rsidR="0095659B" w:rsidRPr="0082364E" w:rsidTr="003B4BCE">
        <w:tc>
          <w:tcPr>
            <w:tcW w:w="946" w:type="pct"/>
            <w:shd w:val="clear" w:color="auto" w:fill="auto"/>
          </w:tcPr>
          <w:p w:rsidR="0095659B" w:rsidRPr="0082364E" w:rsidRDefault="0095659B" w:rsidP="003B4BCE">
            <w:pPr>
              <w:jc w:val="center"/>
              <w:rPr>
                <w:sz w:val="24"/>
                <w:szCs w:val="24"/>
              </w:rPr>
            </w:pPr>
            <w:r w:rsidRPr="0082364E">
              <w:rPr>
                <w:sz w:val="24"/>
                <w:szCs w:val="24"/>
              </w:rPr>
              <w:t xml:space="preserve">&gt;33 kg til </w:t>
            </w:r>
            <w:r w:rsidRPr="0082364E">
              <w:rPr>
                <w:sz w:val="24"/>
                <w:szCs w:val="24"/>
              </w:rPr>
              <w:sym w:font="Symbol" w:char="00A3"/>
            </w:r>
            <w:r w:rsidRPr="0082364E">
              <w:rPr>
                <w:sz w:val="24"/>
                <w:szCs w:val="24"/>
              </w:rPr>
              <w:t>50 kg</w:t>
            </w:r>
          </w:p>
        </w:tc>
        <w:tc>
          <w:tcPr>
            <w:tcW w:w="994" w:type="pct"/>
            <w:gridSpan w:val="2"/>
            <w:shd w:val="clear" w:color="auto" w:fill="auto"/>
          </w:tcPr>
          <w:p w:rsidR="0095659B" w:rsidRPr="0038614F" w:rsidRDefault="0095659B" w:rsidP="003B4BCE">
            <w:pPr>
              <w:pStyle w:val="EMEABodyText"/>
              <w:jc w:val="center"/>
              <w:rPr>
                <w:sz w:val="24"/>
                <w:szCs w:val="24"/>
                <w:lang w:val="da-DK"/>
              </w:rPr>
            </w:pPr>
            <w:r w:rsidRPr="0082364E">
              <w:rPr>
                <w:sz w:val="24"/>
                <w:szCs w:val="24"/>
                <w:lang w:val="da-DK"/>
              </w:rPr>
              <w:t>15 mg/kg</w:t>
            </w:r>
          </w:p>
          <w:p w:rsidR="0095659B" w:rsidRPr="0082364E" w:rsidRDefault="0095659B" w:rsidP="003B4BCE">
            <w:pPr>
              <w:jc w:val="center"/>
              <w:rPr>
                <w:sz w:val="24"/>
                <w:szCs w:val="24"/>
              </w:rPr>
            </w:pPr>
          </w:p>
        </w:tc>
        <w:tc>
          <w:tcPr>
            <w:tcW w:w="1035" w:type="pct"/>
          </w:tcPr>
          <w:p w:rsidR="0095659B" w:rsidRPr="0082364E" w:rsidRDefault="0095659B" w:rsidP="003B4BCE">
            <w:pPr>
              <w:jc w:val="center"/>
              <w:rPr>
                <w:sz w:val="24"/>
                <w:szCs w:val="24"/>
              </w:rPr>
            </w:pPr>
            <w:r w:rsidRPr="0082364E">
              <w:rPr>
                <w:sz w:val="24"/>
                <w:szCs w:val="24"/>
              </w:rPr>
              <w:t xml:space="preserve">1,5ml/kg </w:t>
            </w:r>
          </w:p>
        </w:tc>
        <w:tc>
          <w:tcPr>
            <w:tcW w:w="1084" w:type="pct"/>
            <w:shd w:val="clear" w:color="auto" w:fill="auto"/>
          </w:tcPr>
          <w:p w:rsidR="0095659B" w:rsidRPr="0082364E" w:rsidRDefault="0095659B" w:rsidP="003B4BCE">
            <w:pPr>
              <w:jc w:val="center"/>
              <w:rPr>
                <w:sz w:val="24"/>
                <w:szCs w:val="24"/>
              </w:rPr>
            </w:pPr>
            <w:r w:rsidRPr="0082364E">
              <w:rPr>
                <w:sz w:val="24"/>
                <w:szCs w:val="24"/>
              </w:rPr>
              <w:t>75 ml</w:t>
            </w:r>
          </w:p>
        </w:tc>
        <w:tc>
          <w:tcPr>
            <w:tcW w:w="942" w:type="pct"/>
            <w:shd w:val="clear" w:color="auto" w:fill="auto"/>
          </w:tcPr>
          <w:p w:rsidR="0095659B" w:rsidRPr="0082364E" w:rsidRDefault="0095659B" w:rsidP="003B4BCE">
            <w:pPr>
              <w:pStyle w:val="EMEABodyText"/>
              <w:jc w:val="center"/>
              <w:rPr>
                <w:sz w:val="24"/>
                <w:szCs w:val="24"/>
                <w:lang w:val="da-DK"/>
              </w:rPr>
            </w:pPr>
            <w:r w:rsidRPr="0082364E">
              <w:rPr>
                <w:sz w:val="24"/>
                <w:szCs w:val="24"/>
                <w:lang w:val="da-DK"/>
              </w:rPr>
              <w:t>60 mg/kg</w:t>
            </w:r>
          </w:p>
          <w:p w:rsidR="0095659B" w:rsidRPr="0082364E" w:rsidRDefault="0095659B" w:rsidP="003B4BCE">
            <w:pPr>
              <w:jc w:val="center"/>
              <w:rPr>
                <w:sz w:val="24"/>
                <w:szCs w:val="24"/>
              </w:rPr>
            </w:pPr>
            <w:r w:rsidRPr="0082364E">
              <w:rPr>
                <w:sz w:val="24"/>
                <w:szCs w:val="24"/>
              </w:rPr>
              <w:t xml:space="preserve"> må ikke overstige</w:t>
            </w:r>
            <w:r>
              <w:rPr>
                <w:sz w:val="24"/>
                <w:szCs w:val="24"/>
              </w:rPr>
              <w:t xml:space="preserve"> </w:t>
            </w:r>
            <w:r w:rsidRPr="0082364E">
              <w:rPr>
                <w:sz w:val="24"/>
                <w:szCs w:val="24"/>
              </w:rPr>
              <w:t>3 g</w:t>
            </w:r>
          </w:p>
        </w:tc>
      </w:tr>
      <w:tr w:rsidR="0095659B" w:rsidRPr="0082364E" w:rsidTr="003B4BCE">
        <w:tc>
          <w:tcPr>
            <w:tcW w:w="946" w:type="pct"/>
            <w:shd w:val="clear" w:color="auto" w:fill="auto"/>
          </w:tcPr>
          <w:p w:rsidR="0095659B" w:rsidRPr="0082364E" w:rsidRDefault="0095659B" w:rsidP="003B4BCE">
            <w:pPr>
              <w:jc w:val="center"/>
              <w:rPr>
                <w:sz w:val="24"/>
                <w:szCs w:val="24"/>
              </w:rPr>
            </w:pPr>
            <w:r w:rsidRPr="0082364E">
              <w:rPr>
                <w:sz w:val="24"/>
                <w:szCs w:val="24"/>
              </w:rPr>
              <w:lastRenderedPageBreak/>
              <w:t xml:space="preserve">&gt;50 kg med yderligere risikofaktorer for </w:t>
            </w:r>
            <w:proofErr w:type="spellStart"/>
            <w:r w:rsidRPr="0082364E">
              <w:rPr>
                <w:sz w:val="24"/>
                <w:szCs w:val="24"/>
              </w:rPr>
              <w:t>hepatotoksicitet</w:t>
            </w:r>
            <w:proofErr w:type="spellEnd"/>
            <w:r w:rsidRPr="0082364E">
              <w:rPr>
                <w:sz w:val="24"/>
                <w:szCs w:val="24"/>
              </w:rPr>
              <w:t xml:space="preserve">  </w:t>
            </w:r>
          </w:p>
        </w:tc>
        <w:tc>
          <w:tcPr>
            <w:tcW w:w="994" w:type="pct"/>
            <w:gridSpan w:val="2"/>
            <w:shd w:val="clear" w:color="auto" w:fill="auto"/>
          </w:tcPr>
          <w:p w:rsidR="0095659B" w:rsidRPr="0082364E" w:rsidRDefault="0095659B" w:rsidP="003B4BCE">
            <w:pPr>
              <w:pStyle w:val="EMEABodyText"/>
              <w:jc w:val="center"/>
              <w:rPr>
                <w:sz w:val="24"/>
                <w:szCs w:val="24"/>
                <w:lang w:val="da-DK"/>
              </w:rPr>
            </w:pPr>
            <w:r w:rsidRPr="0082364E">
              <w:rPr>
                <w:sz w:val="24"/>
                <w:szCs w:val="24"/>
                <w:lang w:val="da-DK"/>
              </w:rPr>
              <w:t>1 g</w:t>
            </w:r>
          </w:p>
          <w:p w:rsidR="0095659B" w:rsidRPr="0082364E" w:rsidRDefault="0095659B" w:rsidP="003B4BCE">
            <w:pPr>
              <w:jc w:val="center"/>
              <w:rPr>
                <w:sz w:val="24"/>
                <w:szCs w:val="24"/>
              </w:rPr>
            </w:pPr>
          </w:p>
        </w:tc>
        <w:tc>
          <w:tcPr>
            <w:tcW w:w="1035" w:type="pct"/>
          </w:tcPr>
          <w:p w:rsidR="0095659B" w:rsidRPr="0082364E" w:rsidRDefault="0095659B" w:rsidP="003B4BCE">
            <w:pPr>
              <w:jc w:val="center"/>
              <w:rPr>
                <w:sz w:val="24"/>
                <w:szCs w:val="24"/>
              </w:rPr>
            </w:pPr>
            <w:r w:rsidRPr="0082364E">
              <w:rPr>
                <w:sz w:val="24"/>
                <w:szCs w:val="24"/>
              </w:rPr>
              <w:t>100 ml</w:t>
            </w:r>
          </w:p>
        </w:tc>
        <w:tc>
          <w:tcPr>
            <w:tcW w:w="1084" w:type="pct"/>
            <w:shd w:val="clear" w:color="auto" w:fill="auto"/>
          </w:tcPr>
          <w:p w:rsidR="0095659B" w:rsidRPr="0082364E" w:rsidRDefault="0095659B" w:rsidP="003B4BCE">
            <w:pPr>
              <w:jc w:val="center"/>
              <w:rPr>
                <w:sz w:val="24"/>
                <w:szCs w:val="24"/>
              </w:rPr>
            </w:pPr>
            <w:r w:rsidRPr="0082364E">
              <w:rPr>
                <w:sz w:val="24"/>
                <w:szCs w:val="24"/>
              </w:rPr>
              <w:t>100 ml</w:t>
            </w:r>
          </w:p>
        </w:tc>
        <w:tc>
          <w:tcPr>
            <w:tcW w:w="942" w:type="pct"/>
            <w:shd w:val="clear" w:color="auto" w:fill="auto"/>
          </w:tcPr>
          <w:p w:rsidR="0095659B" w:rsidRPr="0038614F" w:rsidRDefault="0095659B" w:rsidP="003B4BCE">
            <w:pPr>
              <w:pStyle w:val="EMEABodyText"/>
              <w:jc w:val="center"/>
              <w:rPr>
                <w:sz w:val="24"/>
                <w:szCs w:val="24"/>
                <w:lang w:val="da-DK"/>
              </w:rPr>
            </w:pPr>
            <w:r w:rsidRPr="0082364E">
              <w:rPr>
                <w:sz w:val="24"/>
                <w:szCs w:val="24"/>
                <w:lang w:val="da-DK"/>
              </w:rPr>
              <w:t>3 g</w:t>
            </w:r>
          </w:p>
          <w:p w:rsidR="0095659B" w:rsidRPr="0082364E" w:rsidRDefault="0095659B" w:rsidP="003B4BCE">
            <w:pPr>
              <w:jc w:val="center"/>
              <w:rPr>
                <w:sz w:val="24"/>
                <w:szCs w:val="24"/>
              </w:rPr>
            </w:pPr>
          </w:p>
        </w:tc>
      </w:tr>
      <w:tr w:rsidR="0095659B" w:rsidRPr="0082364E" w:rsidTr="003B4BCE">
        <w:tc>
          <w:tcPr>
            <w:tcW w:w="946" w:type="pct"/>
            <w:shd w:val="clear" w:color="auto" w:fill="auto"/>
          </w:tcPr>
          <w:p w:rsidR="0095659B" w:rsidRPr="0082364E" w:rsidRDefault="0095659B" w:rsidP="003B4BCE">
            <w:pPr>
              <w:jc w:val="center"/>
              <w:rPr>
                <w:sz w:val="24"/>
                <w:szCs w:val="24"/>
              </w:rPr>
            </w:pPr>
            <w:r w:rsidRPr="0082364E">
              <w:rPr>
                <w:sz w:val="24"/>
                <w:szCs w:val="24"/>
              </w:rPr>
              <w:t xml:space="preserve">&gt;50 kg uden yderligere risikofaktorer for </w:t>
            </w:r>
            <w:proofErr w:type="spellStart"/>
            <w:r w:rsidRPr="0082364E">
              <w:rPr>
                <w:sz w:val="24"/>
                <w:szCs w:val="24"/>
              </w:rPr>
              <w:t>hepatotoksicitet</w:t>
            </w:r>
            <w:proofErr w:type="spellEnd"/>
          </w:p>
        </w:tc>
        <w:tc>
          <w:tcPr>
            <w:tcW w:w="994" w:type="pct"/>
            <w:gridSpan w:val="2"/>
            <w:shd w:val="clear" w:color="auto" w:fill="auto"/>
          </w:tcPr>
          <w:p w:rsidR="0095659B" w:rsidRPr="0082364E" w:rsidRDefault="0095659B" w:rsidP="003B4BCE">
            <w:pPr>
              <w:pStyle w:val="EMEABodyText"/>
              <w:jc w:val="center"/>
              <w:rPr>
                <w:sz w:val="24"/>
                <w:szCs w:val="24"/>
                <w:lang w:val="da-DK"/>
              </w:rPr>
            </w:pPr>
            <w:r w:rsidRPr="0082364E">
              <w:rPr>
                <w:sz w:val="24"/>
                <w:szCs w:val="24"/>
                <w:lang w:val="da-DK"/>
              </w:rPr>
              <w:t>1 g</w:t>
            </w:r>
          </w:p>
          <w:p w:rsidR="0095659B" w:rsidRPr="0082364E" w:rsidRDefault="0095659B" w:rsidP="003B4BCE">
            <w:pPr>
              <w:pStyle w:val="EMEABodyText"/>
              <w:jc w:val="center"/>
              <w:rPr>
                <w:sz w:val="24"/>
                <w:szCs w:val="24"/>
                <w:lang w:val="da-DK"/>
              </w:rPr>
            </w:pPr>
          </w:p>
        </w:tc>
        <w:tc>
          <w:tcPr>
            <w:tcW w:w="1035" w:type="pct"/>
          </w:tcPr>
          <w:p w:rsidR="0095659B" w:rsidRPr="0082364E" w:rsidRDefault="0095659B" w:rsidP="003B4BCE">
            <w:pPr>
              <w:jc w:val="center"/>
              <w:rPr>
                <w:sz w:val="24"/>
                <w:szCs w:val="24"/>
              </w:rPr>
            </w:pPr>
            <w:r w:rsidRPr="0082364E">
              <w:rPr>
                <w:sz w:val="24"/>
                <w:szCs w:val="24"/>
              </w:rPr>
              <w:t>100 ml</w:t>
            </w:r>
          </w:p>
        </w:tc>
        <w:tc>
          <w:tcPr>
            <w:tcW w:w="1084" w:type="pct"/>
            <w:shd w:val="clear" w:color="auto" w:fill="auto"/>
          </w:tcPr>
          <w:p w:rsidR="0095659B" w:rsidRPr="0082364E" w:rsidRDefault="0095659B" w:rsidP="003B4BCE">
            <w:pPr>
              <w:jc w:val="center"/>
              <w:rPr>
                <w:sz w:val="24"/>
                <w:szCs w:val="24"/>
              </w:rPr>
            </w:pPr>
            <w:r w:rsidRPr="0082364E">
              <w:rPr>
                <w:sz w:val="24"/>
                <w:szCs w:val="24"/>
              </w:rPr>
              <w:t>100 ml</w:t>
            </w:r>
          </w:p>
        </w:tc>
        <w:tc>
          <w:tcPr>
            <w:tcW w:w="942" w:type="pct"/>
            <w:shd w:val="clear" w:color="auto" w:fill="auto"/>
          </w:tcPr>
          <w:p w:rsidR="0095659B" w:rsidRPr="0082364E" w:rsidRDefault="0095659B" w:rsidP="003B4BCE">
            <w:pPr>
              <w:pStyle w:val="EMEABodyText"/>
              <w:jc w:val="center"/>
              <w:rPr>
                <w:sz w:val="24"/>
                <w:szCs w:val="24"/>
                <w:lang w:val="da-DK"/>
              </w:rPr>
            </w:pPr>
            <w:r w:rsidRPr="0082364E">
              <w:rPr>
                <w:sz w:val="24"/>
                <w:szCs w:val="24"/>
                <w:lang w:val="da-DK"/>
              </w:rPr>
              <w:t>4 g</w:t>
            </w:r>
          </w:p>
        </w:tc>
      </w:tr>
    </w:tbl>
    <w:p w:rsidR="0095659B" w:rsidRPr="009136F0" w:rsidRDefault="0095659B" w:rsidP="0095659B">
      <w:pPr>
        <w:ind w:left="851" w:hanging="851"/>
        <w:rPr>
          <w:sz w:val="24"/>
          <w:szCs w:val="24"/>
          <w:u w:val="single"/>
        </w:rPr>
      </w:pPr>
    </w:p>
    <w:p w:rsidR="0095659B" w:rsidRPr="0082364E" w:rsidRDefault="0095659B" w:rsidP="0095659B">
      <w:pPr>
        <w:ind w:left="851"/>
        <w:rPr>
          <w:sz w:val="24"/>
          <w:szCs w:val="24"/>
        </w:rPr>
      </w:pPr>
      <w:r w:rsidRPr="0082364E">
        <w:rPr>
          <w:sz w:val="24"/>
          <w:szCs w:val="24"/>
        </w:rPr>
        <w:t>*Præmature nyfødte:</w:t>
      </w:r>
    </w:p>
    <w:p w:rsidR="0095659B" w:rsidRPr="0038614F" w:rsidRDefault="0095659B" w:rsidP="0095659B">
      <w:pPr>
        <w:ind w:left="851"/>
        <w:rPr>
          <w:sz w:val="24"/>
          <w:szCs w:val="24"/>
        </w:rPr>
      </w:pPr>
      <w:r w:rsidRPr="0082364E">
        <w:rPr>
          <w:sz w:val="24"/>
          <w:szCs w:val="24"/>
        </w:rPr>
        <w:t>Der foreligger ingen sikkerheds- og effektdata for præmature nyfødte (se også pkt. 5.2)</w:t>
      </w:r>
      <w:r w:rsidRPr="0038614F">
        <w:rPr>
          <w:sz w:val="24"/>
          <w:szCs w:val="24"/>
        </w:rPr>
        <w:t xml:space="preserve"> </w:t>
      </w:r>
    </w:p>
    <w:p w:rsidR="0095659B" w:rsidRPr="0038614F" w:rsidRDefault="0095659B" w:rsidP="0095659B">
      <w:pPr>
        <w:ind w:left="851"/>
        <w:rPr>
          <w:sz w:val="24"/>
          <w:szCs w:val="24"/>
        </w:rPr>
      </w:pPr>
    </w:p>
    <w:p w:rsidR="0095659B" w:rsidRPr="0082364E" w:rsidRDefault="0095659B" w:rsidP="0095659B">
      <w:pPr>
        <w:ind w:left="851"/>
        <w:rPr>
          <w:sz w:val="24"/>
          <w:szCs w:val="24"/>
        </w:rPr>
      </w:pPr>
      <w:r w:rsidRPr="0082364E">
        <w:rPr>
          <w:sz w:val="24"/>
          <w:szCs w:val="24"/>
        </w:rPr>
        <w:t>**Maksimal daglig dosis:</w:t>
      </w:r>
    </w:p>
    <w:p w:rsidR="0095659B" w:rsidRPr="0038614F" w:rsidRDefault="0095659B" w:rsidP="0095659B">
      <w:pPr>
        <w:ind w:left="851"/>
        <w:rPr>
          <w:sz w:val="24"/>
          <w:szCs w:val="24"/>
        </w:rPr>
      </w:pPr>
      <w:r w:rsidRPr="0082364E">
        <w:rPr>
          <w:sz w:val="24"/>
          <w:szCs w:val="24"/>
        </w:rPr>
        <w:t>Den maksimale daglige dosis, som vist i skemaet ovenfor, gælder patienter, der ikke anvender andre lægemidler, der indeholder paracetamol og bør justeres tilsvarende ved at tage disse lægemidler i betragtning.</w:t>
      </w:r>
      <w:r w:rsidRPr="0038614F">
        <w:rPr>
          <w:sz w:val="24"/>
          <w:szCs w:val="24"/>
        </w:rPr>
        <w:t xml:space="preserve"> </w:t>
      </w:r>
    </w:p>
    <w:p w:rsidR="0095659B" w:rsidRPr="0082364E" w:rsidRDefault="0095659B" w:rsidP="0095659B">
      <w:pPr>
        <w:ind w:left="851"/>
        <w:rPr>
          <w:sz w:val="24"/>
          <w:szCs w:val="24"/>
        </w:rPr>
      </w:pPr>
    </w:p>
    <w:p w:rsidR="0095659B" w:rsidRPr="0082364E" w:rsidRDefault="0095659B" w:rsidP="0095659B">
      <w:pPr>
        <w:ind w:left="851"/>
        <w:rPr>
          <w:sz w:val="24"/>
          <w:szCs w:val="24"/>
        </w:rPr>
      </w:pPr>
      <w:r w:rsidRPr="0082364E">
        <w:rPr>
          <w:sz w:val="24"/>
          <w:szCs w:val="24"/>
        </w:rPr>
        <w:t>*** Patienter, der vejer mindre, har behov for et mindre volumen.</w:t>
      </w:r>
    </w:p>
    <w:p w:rsidR="0095659B" w:rsidRPr="0082364E" w:rsidRDefault="0095659B" w:rsidP="0095659B">
      <w:pPr>
        <w:ind w:left="851"/>
        <w:rPr>
          <w:sz w:val="24"/>
          <w:szCs w:val="24"/>
        </w:rPr>
      </w:pPr>
    </w:p>
    <w:p w:rsidR="0095659B" w:rsidRPr="0082364E" w:rsidRDefault="0095659B" w:rsidP="0095659B">
      <w:pPr>
        <w:ind w:left="851"/>
        <w:rPr>
          <w:sz w:val="24"/>
          <w:szCs w:val="24"/>
        </w:rPr>
      </w:pPr>
      <w:r w:rsidRPr="0082364E">
        <w:rPr>
          <w:sz w:val="24"/>
          <w:szCs w:val="24"/>
        </w:rPr>
        <w:t>Der skal være mindst 4 timer mellem hver administration.</w:t>
      </w:r>
    </w:p>
    <w:p w:rsidR="0095659B" w:rsidRPr="0082364E" w:rsidRDefault="0095659B" w:rsidP="0095659B">
      <w:pPr>
        <w:ind w:left="851"/>
        <w:rPr>
          <w:sz w:val="24"/>
          <w:szCs w:val="24"/>
        </w:rPr>
      </w:pPr>
      <w:r w:rsidRPr="0082364E">
        <w:rPr>
          <w:sz w:val="24"/>
          <w:szCs w:val="24"/>
        </w:rPr>
        <w:t>Der skal være mindst 6 timer mellem hver administration hos patienter med alvorlig nyreinsufficiens.</w:t>
      </w:r>
    </w:p>
    <w:p w:rsidR="0095659B" w:rsidRPr="0038614F" w:rsidRDefault="0095659B" w:rsidP="0095659B">
      <w:pPr>
        <w:ind w:left="851"/>
        <w:rPr>
          <w:sz w:val="24"/>
          <w:szCs w:val="24"/>
        </w:rPr>
      </w:pPr>
      <w:r w:rsidRPr="0082364E">
        <w:rPr>
          <w:sz w:val="24"/>
          <w:szCs w:val="24"/>
        </w:rPr>
        <w:t>Der må ikke gives mere end 4 doser indenfor 24 timer.</w:t>
      </w:r>
    </w:p>
    <w:p w:rsidR="0095659B" w:rsidRPr="0038614F" w:rsidRDefault="0095659B" w:rsidP="0095659B">
      <w:pPr>
        <w:ind w:left="851" w:hanging="851"/>
        <w:rPr>
          <w:sz w:val="24"/>
          <w:szCs w:val="24"/>
        </w:rPr>
      </w:pPr>
    </w:p>
    <w:p w:rsidR="0095659B" w:rsidRPr="0082364E" w:rsidRDefault="0095659B" w:rsidP="0095659B">
      <w:pPr>
        <w:ind w:left="851"/>
        <w:rPr>
          <w:sz w:val="24"/>
          <w:szCs w:val="24"/>
        </w:rPr>
      </w:pPr>
      <w:r w:rsidRPr="0082364E">
        <w:rPr>
          <w:sz w:val="24"/>
          <w:szCs w:val="24"/>
          <w:u w:val="single"/>
        </w:rPr>
        <w:t>Alvorlig nyreinsufficiens</w:t>
      </w:r>
      <w:r w:rsidRPr="0082364E">
        <w:rPr>
          <w:sz w:val="24"/>
          <w:szCs w:val="24"/>
        </w:rPr>
        <w:t xml:space="preserve">: </w:t>
      </w:r>
    </w:p>
    <w:p w:rsidR="0095659B" w:rsidRPr="0082364E" w:rsidRDefault="0095659B" w:rsidP="0095659B">
      <w:pPr>
        <w:ind w:left="851"/>
        <w:rPr>
          <w:sz w:val="24"/>
          <w:szCs w:val="24"/>
        </w:rPr>
      </w:pPr>
      <w:r w:rsidRPr="0082364E">
        <w:rPr>
          <w:sz w:val="24"/>
          <w:szCs w:val="24"/>
        </w:rPr>
        <w:t>Når der gives paracetamol til patienter med alvorlig nyreinsufficiens (</w:t>
      </w:r>
      <w:proofErr w:type="spellStart"/>
      <w:r w:rsidRPr="0082364E">
        <w:rPr>
          <w:sz w:val="24"/>
          <w:szCs w:val="24"/>
        </w:rPr>
        <w:t>kreatininclearance</w:t>
      </w:r>
      <w:proofErr w:type="spellEnd"/>
      <w:r w:rsidRPr="0082364E">
        <w:rPr>
          <w:sz w:val="24"/>
          <w:szCs w:val="24"/>
        </w:rPr>
        <w:t xml:space="preserve"> ≤30 ml/min), anbefales det at reducere dosis og øge minimumsintervallet mellem hver administration til 6 timer (se pkt. 5.2). </w:t>
      </w:r>
    </w:p>
    <w:p w:rsidR="0095659B" w:rsidRPr="0082364E" w:rsidRDefault="0095659B" w:rsidP="0095659B">
      <w:pPr>
        <w:ind w:left="851" w:hanging="851"/>
        <w:rPr>
          <w:sz w:val="24"/>
          <w:szCs w:val="24"/>
        </w:rPr>
      </w:pPr>
    </w:p>
    <w:p w:rsidR="0095659B" w:rsidRPr="0082364E" w:rsidRDefault="0095659B" w:rsidP="0095659B">
      <w:pPr>
        <w:ind w:left="851"/>
        <w:rPr>
          <w:sz w:val="24"/>
          <w:szCs w:val="24"/>
        </w:rPr>
      </w:pPr>
      <w:r w:rsidRPr="0082364E">
        <w:rPr>
          <w:sz w:val="24"/>
          <w:szCs w:val="24"/>
          <w:u w:val="single"/>
        </w:rPr>
        <w:t xml:space="preserve">Voksne med </w:t>
      </w:r>
      <w:proofErr w:type="spellStart"/>
      <w:r w:rsidRPr="0082364E">
        <w:rPr>
          <w:sz w:val="24"/>
          <w:szCs w:val="24"/>
          <w:u w:val="single"/>
        </w:rPr>
        <w:t>hepatocellulær</w:t>
      </w:r>
      <w:proofErr w:type="spellEnd"/>
      <w:r w:rsidRPr="0082364E">
        <w:rPr>
          <w:sz w:val="24"/>
          <w:szCs w:val="24"/>
          <w:u w:val="single"/>
        </w:rPr>
        <w:t xml:space="preserve"> insufficiens, kronisk alkoholisme, kronisk fejlernæring (lave reserver af </w:t>
      </w:r>
      <w:proofErr w:type="spellStart"/>
      <w:r w:rsidRPr="0082364E">
        <w:rPr>
          <w:sz w:val="24"/>
          <w:szCs w:val="24"/>
          <w:u w:val="single"/>
        </w:rPr>
        <w:t>hepatisk</w:t>
      </w:r>
      <w:proofErr w:type="spellEnd"/>
      <w:r w:rsidRPr="0082364E">
        <w:rPr>
          <w:sz w:val="24"/>
          <w:szCs w:val="24"/>
          <w:u w:val="single"/>
        </w:rPr>
        <w:t xml:space="preserve"> </w:t>
      </w:r>
      <w:proofErr w:type="spellStart"/>
      <w:r w:rsidRPr="0082364E">
        <w:rPr>
          <w:sz w:val="24"/>
          <w:szCs w:val="24"/>
          <w:u w:val="single"/>
        </w:rPr>
        <w:t>glutathion</w:t>
      </w:r>
      <w:proofErr w:type="spellEnd"/>
      <w:r w:rsidRPr="0082364E">
        <w:rPr>
          <w:sz w:val="24"/>
          <w:szCs w:val="24"/>
          <w:u w:val="single"/>
        </w:rPr>
        <w:t xml:space="preserve">), dehydrering: </w:t>
      </w:r>
    </w:p>
    <w:p w:rsidR="0095659B" w:rsidRPr="0038614F" w:rsidRDefault="0095659B" w:rsidP="0095659B">
      <w:pPr>
        <w:ind w:left="851"/>
        <w:rPr>
          <w:sz w:val="24"/>
          <w:szCs w:val="24"/>
        </w:rPr>
      </w:pPr>
      <w:r w:rsidRPr="0082364E">
        <w:rPr>
          <w:sz w:val="24"/>
          <w:szCs w:val="24"/>
        </w:rPr>
        <w:t>Den maksimale daglige dosis må ikke overskride 3</w:t>
      </w:r>
      <w:r>
        <w:rPr>
          <w:sz w:val="24"/>
          <w:szCs w:val="24"/>
        </w:rPr>
        <w:t xml:space="preserve"> </w:t>
      </w:r>
      <w:r w:rsidRPr="0082364E">
        <w:rPr>
          <w:sz w:val="24"/>
          <w:szCs w:val="24"/>
        </w:rPr>
        <w:t>g (se pkt. 4.4).</w:t>
      </w:r>
      <w:r w:rsidRPr="0038614F">
        <w:rPr>
          <w:sz w:val="24"/>
          <w:szCs w:val="24"/>
        </w:rPr>
        <w:t xml:space="preserve"> </w:t>
      </w:r>
    </w:p>
    <w:p w:rsidR="0095659B" w:rsidRPr="0038614F" w:rsidRDefault="0095659B" w:rsidP="0095659B">
      <w:pPr>
        <w:ind w:left="851" w:hanging="851"/>
        <w:rPr>
          <w:sz w:val="24"/>
          <w:szCs w:val="24"/>
        </w:rPr>
      </w:pPr>
    </w:p>
    <w:p w:rsidR="0095659B" w:rsidRPr="007F4905" w:rsidRDefault="0095659B" w:rsidP="0095659B">
      <w:pPr>
        <w:ind w:left="851"/>
        <w:rPr>
          <w:i/>
          <w:sz w:val="24"/>
          <w:szCs w:val="24"/>
        </w:rPr>
      </w:pPr>
      <w:r w:rsidRPr="0082364E">
        <w:rPr>
          <w:i/>
          <w:sz w:val="24"/>
          <w:szCs w:val="24"/>
        </w:rPr>
        <w:t>Administration</w:t>
      </w:r>
    </w:p>
    <w:p w:rsidR="0095659B" w:rsidRDefault="0095659B" w:rsidP="0095659B">
      <w:pPr>
        <w:ind w:left="851" w:hanging="851"/>
        <w:rPr>
          <w:sz w:val="24"/>
          <w:szCs w:val="24"/>
          <w:lang w:val="nb-NO"/>
        </w:rPr>
      </w:pPr>
      <w:r>
        <w:rPr>
          <w:sz w:val="24"/>
          <w:szCs w:val="24"/>
          <w:lang w:val="nb-NO"/>
        </w:rPr>
        <w:tab/>
      </w:r>
    </w:p>
    <w:p w:rsidR="0095659B" w:rsidRDefault="0095659B" w:rsidP="0095659B">
      <w:pPr>
        <w:pBdr>
          <w:top w:val="single" w:sz="4" w:space="1" w:color="auto"/>
          <w:left w:val="single" w:sz="4" w:space="4" w:color="auto"/>
          <w:bottom w:val="single" w:sz="4" w:space="1" w:color="auto"/>
          <w:right w:val="single" w:sz="4" w:space="4" w:color="auto"/>
          <w:between w:val="single" w:sz="4" w:space="1" w:color="auto"/>
          <w:bar w:val="single" w:sz="4" w:color="auto"/>
        </w:pBdr>
        <w:ind w:left="851"/>
        <w:rPr>
          <w:sz w:val="24"/>
          <w:szCs w:val="24"/>
        </w:rPr>
      </w:pPr>
      <w:r>
        <w:rPr>
          <w:sz w:val="24"/>
          <w:szCs w:val="24"/>
          <w:lang w:val="nb-NO"/>
        </w:rPr>
        <w:t xml:space="preserve">Vær særligt opmærksom ved ordination og administration af Paracetamol </w:t>
      </w:r>
      <w:r w:rsidRPr="00FA03B9">
        <w:rPr>
          <w:sz w:val="24"/>
          <w:szCs w:val="24"/>
        </w:rPr>
        <w:t>”B. Braun” for at undgå doseringsfejl pga. forvirring mellem milligram (mg) og milliliter (ml), der kan føre til utilsigtet overdosis og dødsfald</w:t>
      </w:r>
      <w:r>
        <w:rPr>
          <w:sz w:val="24"/>
          <w:szCs w:val="24"/>
        </w:rPr>
        <w:t>.</w:t>
      </w:r>
      <w:r w:rsidRPr="00FA03B9">
        <w:rPr>
          <w:sz w:val="24"/>
          <w:szCs w:val="24"/>
        </w:rPr>
        <w:t xml:space="preserve"> Vær opmærksom på, at den rigtige dosis bliver kommunikeret og doseret. Ved udskrivning af recepter bør både den totale dosis i mg og den totale dosis i volumen (ml) angives. Vær opmærksom på, at dosis er nøjagtigt afmålt og administreret.</w:t>
      </w:r>
    </w:p>
    <w:p w:rsidR="00A55BE7" w:rsidRDefault="00A55BE7" w:rsidP="0095659B">
      <w:pPr>
        <w:ind w:left="851"/>
        <w:rPr>
          <w:sz w:val="24"/>
          <w:szCs w:val="24"/>
        </w:rPr>
      </w:pPr>
    </w:p>
    <w:p w:rsidR="0095659B" w:rsidRDefault="0095659B" w:rsidP="0095659B">
      <w:pPr>
        <w:ind w:left="851"/>
        <w:rPr>
          <w:sz w:val="24"/>
          <w:szCs w:val="24"/>
        </w:rPr>
      </w:pPr>
      <w:r w:rsidRPr="00E73AE9">
        <w:rPr>
          <w:sz w:val="24"/>
          <w:szCs w:val="24"/>
        </w:rPr>
        <w:t>Intravenøs anvendelse.</w:t>
      </w:r>
    </w:p>
    <w:p w:rsidR="0095659B" w:rsidRDefault="0095659B" w:rsidP="0095659B">
      <w:pPr>
        <w:rPr>
          <w:sz w:val="24"/>
          <w:szCs w:val="24"/>
        </w:rPr>
      </w:pPr>
    </w:p>
    <w:p w:rsidR="0095659B" w:rsidRDefault="0095659B" w:rsidP="0095659B">
      <w:pPr>
        <w:ind w:left="851"/>
        <w:rPr>
          <w:sz w:val="24"/>
          <w:szCs w:val="24"/>
          <w:lang w:val="nb-NO"/>
        </w:rPr>
      </w:pPr>
      <w:r w:rsidRPr="00E73AE9">
        <w:rPr>
          <w:sz w:val="24"/>
          <w:szCs w:val="24"/>
        </w:rPr>
        <w:t xml:space="preserve">Paracetamol-opløsningen </w:t>
      </w:r>
      <w:r>
        <w:rPr>
          <w:sz w:val="24"/>
          <w:szCs w:val="24"/>
        </w:rPr>
        <w:t xml:space="preserve">indgives </w:t>
      </w:r>
      <w:r w:rsidRPr="00E73AE9">
        <w:rPr>
          <w:sz w:val="24"/>
          <w:szCs w:val="24"/>
        </w:rPr>
        <w:t>som en 15</w:t>
      </w:r>
      <w:r>
        <w:rPr>
          <w:sz w:val="24"/>
          <w:szCs w:val="24"/>
        </w:rPr>
        <w:t>-</w:t>
      </w:r>
      <w:r w:rsidRPr="00E73AE9">
        <w:rPr>
          <w:sz w:val="24"/>
          <w:szCs w:val="24"/>
        </w:rPr>
        <w:t>minutters intravenøs infusion.</w:t>
      </w:r>
      <w:r w:rsidRPr="00E73AE9">
        <w:rPr>
          <w:sz w:val="24"/>
          <w:szCs w:val="24"/>
          <w:lang w:val="nb-NO"/>
        </w:rPr>
        <w:t xml:space="preserve"> </w:t>
      </w:r>
    </w:p>
    <w:p w:rsidR="0095659B" w:rsidRDefault="0095659B" w:rsidP="0095659B">
      <w:pPr>
        <w:ind w:left="851"/>
        <w:rPr>
          <w:sz w:val="24"/>
          <w:szCs w:val="24"/>
          <w:lang w:val="nb-NO"/>
        </w:rPr>
      </w:pPr>
    </w:p>
    <w:p w:rsidR="0095659B" w:rsidRDefault="0095659B" w:rsidP="0095659B">
      <w:pPr>
        <w:ind w:left="851"/>
        <w:rPr>
          <w:sz w:val="24"/>
          <w:szCs w:val="24"/>
          <w:u w:val="single"/>
        </w:rPr>
      </w:pPr>
      <w:r w:rsidRPr="00FA03B9">
        <w:rPr>
          <w:sz w:val="24"/>
          <w:szCs w:val="24"/>
          <w:u w:val="single"/>
          <w:lang w:val="nb-NO"/>
        </w:rPr>
        <w:t xml:space="preserve">Patienter der vejer  </w:t>
      </w:r>
      <w:r w:rsidRPr="00FA03B9">
        <w:rPr>
          <w:sz w:val="24"/>
          <w:szCs w:val="24"/>
          <w:u w:val="single"/>
        </w:rPr>
        <w:t>≤10 kg:</w:t>
      </w:r>
    </w:p>
    <w:p w:rsidR="0095659B" w:rsidRPr="00FA03B9" w:rsidRDefault="0095659B" w:rsidP="0095659B">
      <w:pPr>
        <w:numPr>
          <w:ilvl w:val="0"/>
          <w:numId w:val="9"/>
        </w:numPr>
        <w:rPr>
          <w:sz w:val="24"/>
          <w:szCs w:val="24"/>
          <w:u w:val="single"/>
          <w:lang w:val="nb-NO"/>
        </w:rPr>
      </w:pPr>
      <w:r w:rsidRPr="0043155D">
        <w:rPr>
          <w:sz w:val="24"/>
          <w:szCs w:val="24"/>
          <w:lang w:val="nb-NO"/>
        </w:rPr>
        <w:t>Voluminet, d</w:t>
      </w:r>
      <w:r>
        <w:rPr>
          <w:sz w:val="24"/>
          <w:szCs w:val="24"/>
          <w:lang w:val="nb-NO"/>
        </w:rPr>
        <w:t xml:space="preserve">er skal administreres, bør trækkes ud af ampullen og opløses i en 9 mg/ml (0,9 %) natriumchloridopløsning eller 50 mg/ml (5 %) glucoseopløsning, </w:t>
      </w:r>
      <w:r>
        <w:rPr>
          <w:sz w:val="24"/>
          <w:szCs w:val="24"/>
          <w:lang w:val="nb-NO"/>
        </w:rPr>
        <w:lastRenderedPageBreak/>
        <w:t xml:space="preserve">eller en kombination af begge opløsninger, </w:t>
      </w:r>
      <w:r w:rsidRPr="00C41121">
        <w:rPr>
          <w:sz w:val="24"/>
          <w:szCs w:val="24"/>
          <w:lang w:val="nb-NO"/>
        </w:rPr>
        <w:t>op til en tiendedel (1</w:t>
      </w:r>
      <w:r>
        <w:rPr>
          <w:sz w:val="24"/>
          <w:szCs w:val="24"/>
          <w:lang w:val="nb-NO"/>
        </w:rPr>
        <w:t xml:space="preserve"> del Paracetamol </w:t>
      </w:r>
      <w:r w:rsidRPr="000E70EE">
        <w:rPr>
          <w:sz w:val="24"/>
          <w:szCs w:val="24"/>
        </w:rPr>
        <w:t>”B. Braun”</w:t>
      </w:r>
      <w:r>
        <w:rPr>
          <w:sz w:val="24"/>
          <w:szCs w:val="24"/>
        </w:rPr>
        <w:t xml:space="preserve"> i 9 dele fortyndingsmiddel) og administreres over 15 minutter. Se også pkt. 6.6.</w:t>
      </w:r>
    </w:p>
    <w:p w:rsidR="0095659B" w:rsidRPr="002C7C76" w:rsidRDefault="0095659B" w:rsidP="0095659B">
      <w:pPr>
        <w:numPr>
          <w:ilvl w:val="0"/>
          <w:numId w:val="9"/>
        </w:numPr>
        <w:rPr>
          <w:sz w:val="24"/>
          <w:szCs w:val="24"/>
          <w:u w:val="single"/>
          <w:lang w:val="nb-NO"/>
        </w:rPr>
      </w:pPr>
      <w:r>
        <w:rPr>
          <w:sz w:val="24"/>
          <w:szCs w:val="24"/>
        </w:rPr>
        <w:t>En 5 eller 10 ml sprøjte bør bruges til at afmåle dosis, der er passende til vægten af barnet og det ønskede volumen. Dog bør dette aldrig overstige 7,5 ml pr dosis.</w:t>
      </w:r>
    </w:p>
    <w:p w:rsidR="0095659B" w:rsidRPr="00E73AE9" w:rsidRDefault="0095659B" w:rsidP="0095659B">
      <w:pPr>
        <w:numPr>
          <w:ilvl w:val="0"/>
          <w:numId w:val="9"/>
        </w:numPr>
        <w:rPr>
          <w:sz w:val="24"/>
          <w:szCs w:val="24"/>
          <w:lang w:val="nb-NO"/>
        </w:rPr>
      </w:pPr>
      <w:r>
        <w:rPr>
          <w:sz w:val="24"/>
          <w:szCs w:val="24"/>
        </w:rPr>
        <w:t>Brugeren bør henvises til produktinformationen for doseringsguidelines.</w:t>
      </w:r>
    </w:p>
    <w:p w:rsidR="0095659B" w:rsidRDefault="0095659B" w:rsidP="0095659B">
      <w:pPr>
        <w:ind w:left="851"/>
        <w:rPr>
          <w:sz w:val="24"/>
          <w:szCs w:val="24"/>
        </w:rPr>
      </w:pPr>
    </w:p>
    <w:p w:rsidR="0095659B" w:rsidRDefault="0095659B" w:rsidP="0095659B">
      <w:pPr>
        <w:ind w:left="851"/>
        <w:rPr>
          <w:sz w:val="24"/>
          <w:szCs w:val="24"/>
        </w:rPr>
      </w:pPr>
      <w:r w:rsidRPr="00E73AE9">
        <w:rPr>
          <w:sz w:val="24"/>
          <w:szCs w:val="24"/>
          <w:lang w:val="nb-NO"/>
        </w:rPr>
        <w:t xml:space="preserve">Paracetamol </w:t>
      </w:r>
      <w:r>
        <w:rPr>
          <w:sz w:val="24"/>
          <w:szCs w:val="24"/>
          <w:lang w:val="nb-NO"/>
        </w:rPr>
        <w:t>”B. Braun”</w:t>
      </w:r>
      <w:r w:rsidRPr="00E73AE9">
        <w:rPr>
          <w:sz w:val="24"/>
          <w:szCs w:val="24"/>
          <w:lang w:val="nb-NO"/>
        </w:rPr>
        <w:t xml:space="preserve"> kan </w:t>
      </w:r>
      <w:r>
        <w:rPr>
          <w:sz w:val="24"/>
          <w:szCs w:val="24"/>
          <w:lang w:val="nb-NO"/>
        </w:rPr>
        <w:t xml:space="preserve">også </w:t>
      </w:r>
      <w:r w:rsidRPr="00E73AE9">
        <w:rPr>
          <w:sz w:val="24"/>
          <w:szCs w:val="24"/>
          <w:lang w:val="nb-NO"/>
        </w:rPr>
        <w:t xml:space="preserve">fortyndes </w:t>
      </w:r>
      <w:r>
        <w:rPr>
          <w:sz w:val="24"/>
          <w:szCs w:val="24"/>
          <w:lang w:val="nb-NO"/>
        </w:rPr>
        <w:t>med 9 mg/ml (0,9 %) natriumchloridopløsning eller 50 mg/ml (5 %) glucoseopløsni</w:t>
      </w:r>
      <w:r w:rsidRPr="00C41121">
        <w:rPr>
          <w:sz w:val="24"/>
          <w:szCs w:val="24"/>
          <w:lang w:val="nb-NO"/>
        </w:rPr>
        <w:t>ng</w:t>
      </w:r>
      <w:r>
        <w:rPr>
          <w:sz w:val="24"/>
          <w:szCs w:val="24"/>
          <w:lang w:val="nb-NO"/>
        </w:rPr>
        <w:t>, eller en kombination af begge opløsninger,</w:t>
      </w:r>
      <w:r w:rsidRPr="00C41121">
        <w:rPr>
          <w:sz w:val="24"/>
          <w:szCs w:val="24"/>
          <w:lang w:val="nb-NO"/>
        </w:rPr>
        <w:t xml:space="preserve"> op til en tiendedel (1 del Para</w:t>
      </w:r>
      <w:r>
        <w:rPr>
          <w:sz w:val="24"/>
          <w:szCs w:val="24"/>
          <w:lang w:val="nb-NO"/>
        </w:rPr>
        <w:t>cetamol ”B. Braun” i 9 dele fortyndingsmiddel). I så fald, skal den fortyndede opløsning anvendes indenfor 1 time efter tilberedning (inklusiv infusionstiden).</w:t>
      </w:r>
    </w:p>
    <w:p w:rsidR="0095659B" w:rsidRPr="00164796" w:rsidRDefault="0095659B" w:rsidP="0095659B">
      <w:pPr>
        <w:ind w:left="851"/>
        <w:rPr>
          <w:sz w:val="24"/>
          <w:szCs w:val="24"/>
        </w:rPr>
      </w:pPr>
    </w:p>
    <w:p w:rsidR="0095659B" w:rsidRPr="00E73AE9" w:rsidRDefault="0095659B" w:rsidP="0095659B">
      <w:pPr>
        <w:ind w:left="851"/>
        <w:rPr>
          <w:sz w:val="24"/>
          <w:szCs w:val="24"/>
          <w:lang w:val="nb-NO"/>
        </w:rPr>
      </w:pPr>
      <w:r w:rsidRPr="00E73AE9">
        <w:rPr>
          <w:sz w:val="24"/>
          <w:szCs w:val="24"/>
        </w:rPr>
        <w:t>For instruktioner om fortynding af lægemidlet før administration, se pkt. 6.6.</w:t>
      </w:r>
    </w:p>
    <w:p w:rsidR="0095659B" w:rsidRPr="00E73AE9" w:rsidRDefault="0095659B" w:rsidP="0095659B">
      <w:pPr>
        <w:ind w:left="851" w:hanging="851"/>
        <w:rPr>
          <w:sz w:val="24"/>
          <w:szCs w:val="24"/>
          <w:lang w:val="nb-NO"/>
        </w:rPr>
      </w:pPr>
    </w:p>
    <w:p w:rsidR="0095659B" w:rsidRPr="00E73AE9" w:rsidRDefault="0095659B" w:rsidP="0095659B">
      <w:pPr>
        <w:ind w:left="851"/>
        <w:rPr>
          <w:sz w:val="24"/>
          <w:szCs w:val="24"/>
          <w:lang w:val="nb-NO"/>
        </w:rPr>
      </w:pPr>
      <w:r w:rsidRPr="00E73AE9">
        <w:rPr>
          <w:sz w:val="24"/>
          <w:szCs w:val="24"/>
        </w:rPr>
        <w:t>Kun til éngangsbrug.</w:t>
      </w:r>
      <w:r w:rsidRPr="00E73AE9">
        <w:rPr>
          <w:sz w:val="24"/>
          <w:szCs w:val="24"/>
          <w:lang w:val="nb-NO"/>
        </w:rPr>
        <w:t xml:space="preserve"> </w:t>
      </w:r>
      <w:r w:rsidRPr="00E73AE9">
        <w:rPr>
          <w:sz w:val="24"/>
          <w:szCs w:val="24"/>
        </w:rPr>
        <w:t>Ikke anvendt opløsning skal bortskaffes.</w:t>
      </w:r>
      <w:r w:rsidRPr="00E73AE9">
        <w:rPr>
          <w:sz w:val="24"/>
          <w:szCs w:val="24"/>
          <w:lang w:val="nb-NO"/>
        </w:rPr>
        <w:t xml:space="preserve"> </w:t>
      </w:r>
    </w:p>
    <w:p w:rsidR="0095659B" w:rsidRPr="00E73AE9" w:rsidRDefault="0095659B" w:rsidP="0095659B">
      <w:pPr>
        <w:ind w:left="851" w:hanging="851"/>
        <w:rPr>
          <w:sz w:val="24"/>
          <w:szCs w:val="24"/>
          <w:lang w:val="nb-NO"/>
        </w:rPr>
      </w:pPr>
    </w:p>
    <w:p w:rsidR="0095659B" w:rsidRPr="00E73AE9" w:rsidRDefault="0095659B" w:rsidP="0095659B">
      <w:pPr>
        <w:ind w:left="851"/>
        <w:rPr>
          <w:sz w:val="24"/>
          <w:szCs w:val="24"/>
          <w:lang w:val="nb-NO"/>
        </w:rPr>
      </w:pPr>
      <w:r w:rsidRPr="00E73AE9">
        <w:rPr>
          <w:sz w:val="24"/>
          <w:szCs w:val="24"/>
        </w:rPr>
        <w:t>Før administration skal produktet inspiceres visuelt for partikler og misfarvning.</w:t>
      </w:r>
      <w:r w:rsidRPr="00E73AE9">
        <w:rPr>
          <w:sz w:val="24"/>
          <w:szCs w:val="24"/>
          <w:lang w:val="nb-NO"/>
        </w:rPr>
        <w:t xml:space="preserve"> </w:t>
      </w:r>
      <w:r w:rsidRPr="00E73AE9">
        <w:rPr>
          <w:sz w:val="24"/>
          <w:szCs w:val="24"/>
        </w:rPr>
        <w:t xml:space="preserve">Må kun anvendes, hvis opløsningen er klar, farveløs eller let </w:t>
      </w:r>
      <w:r w:rsidRPr="00972512">
        <w:rPr>
          <w:sz w:val="24"/>
          <w:szCs w:val="24"/>
        </w:rPr>
        <w:t>lyserød-orangeagtig</w:t>
      </w:r>
      <w:r w:rsidRPr="00E73AE9">
        <w:rPr>
          <w:sz w:val="24"/>
          <w:szCs w:val="24"/>
        </w:rPr>
        <w:t>, og beholderen og dens forsegling er ubeskadiget.</w:t>
      </w:r>
    </w:p>
    <w:p w:rsidR="0095659B" w:rsidRPr="00E73AE9" w:rsidRDefault="0095659B" w:rsidP="0095659B">
      <w:pPr>
        <w:ind w:left="851" w:hanging="851"/>
        <w:rPr>
          <w:sz w:val="24"/>
          <w:szCs w:val="24"/>
          <w:lang w:val="nb-NO"/>
        </w:rPr>
      </w:pPr>
    </w:p>
    <w:p w:rsidR="0095659B" w:rsidRDefault="0095659B" w:rsidP="0095659B">
      <w:pPr>
        <w:ind w:left="851"/>
        <w:rPr>
          <w:sz w:val="24"/>
          <w:szCs w:val="24"/>
          <w:lang w:val="nb-NO"/>
        </w:rPr>
      </w:pPr>
      <w:r w:rsidRPr="00E73AE9">
        <w:rPr>
          <w:sz w:val="24"/>
          <w:szCs w:val="24"/>
        </w:rPr>
        <w:t xml:space="preserve">Som ved alle infusionsopløsninger i beholdere med luftrum, bør der huskes på, at omhyggelig monitorering er nødvendig, særligt ved infusionens afslutning, uanset administrationsvej. Denne monitorering ved infusionens afslutning gælder i særlig grad ved infusioner ad central vej for at undgå </w:t>
      </w:r>
      <w:proofErr w:type="spellStart"/>
      <w:r w:rsidRPr="00E73AE9">
        <w:rPr>
          <w:sz w:val="24"/>
          <w:szCs w:val="24"/>
        </w:rPr>
        <w:t>luftemboli</w:t>
      </w:r>
      <w:proofErr w:type="spellEnd"/>
      <w:r w:rsidRPr="00E73AE9">
        <w:rPr>
          <w:sz w:val="24"/>
          <w:szCs w:val="24"/>
        </w:rPr>
        <w:t>.</w:t>
      </w:r>
      <w:r w:rsidRPr="00E73AE9">
        <w:rPr>
          <w:sz w:val="24"/>
          <w:szCs w:val="24"/>
          <w:lang w:val="nb-NO"/>
        </w:rPr>
        <w:t xml:space="preserve"> </w:t>
      </w:r>
    </w:p>
    <w:p w:rsidR="0095659B" w:rsidRPr="00D672DD" w:rsidRDefault="0095659B" w:rsidP="0095659B">
      <w:pPr>
        <w:ind w:left="851" w:hanging="851"/>
        <w:rPr>
          <w:sz w:val="24"/>
          <w:szCs w:val="24"/>
          <w:lang w:val="nb-NO"/>
        </w:rPr>
      </w:pPr>
    </w:p>
    <w:p w:rsidR="0095659B" w:rsidRPr="00E73AE9" w:rsidRDefault="0095659B" w:rsidP="0095659B">
      <w:pPr>
        <w:numPr>
          <w:ilvl w:val="1"/>
          <w:numId w:val="1"/>
        </w:numPr>
        <w:tabs>
          <w:tab w:val="clear" w:pos="855"/>
        </w:tabs>
        <w:ind w:left="851" w:hanging="851"/>
        <w:rPr>
          <w:b/>
          <w:sz w:val="24"/>
          <w:szCs w:val="24"/>
        </w:rPr>
      </w:pPr>
      <w:r w:rsidRPr="00E73AE9">
        <w:rPr>
          <w:b/>
          <w:sz w:val="24"/>
          <w:szCs w:val="24"/>
        </w:rPr>
        <w:t>Kontraindikationer</w:t>
      </w:r>
    </w:p>
    <w:p w:rsidR="0095659B" w:rsidRPr="00E73AE9" w:rsidRDefault="0095659B" w:rsidP="0095659B">
      <w:pPr>
        <w:pStyle w:val="Listenabsatz"/>
        <w:numPr>
          <w:ilvl w:val="0"/>
          <w:numId w:val="7"/>
        </w:numPr>
        <w:ind w:left="1276" w:hanging="425"/>
        <w:rPr>
          <w:rFonts w:ascii="Times New Roman" w:hAnsi="Times New Roman" w:cs="Times New Roman"/>
          <w:lang w:val="da-DK"/>
        </w:rPr>
      </w:pPr>
      <w:r w:rsidRPr="00E73AE9">
        <w:rPr>
          <w:rFonts w:ascii="Times New Roman" w:hAnsi="Times New Roman" w:cs="Times New Roman"/>
          <w:lang w:val="da-DK"/>
        </w:rPr>
        <w:t xml:space="preserve">Overfølsomhed over for paracetamol, </w:t>
      </w:r>
      <w:proofErr w:type="spellStart"/>
      <w:r w:rsidRPr="00E73AE9">
        <w:rPr>
          <w:rFonts w:ascii="Times New Roman" w:hAnsi="Times New Roman" w:cs="Times New Roman"/>
          <w:lang w:val="da-DK"/>
        </w:rPr>
        <w:t>propacetamolhydrochlorid</w:t>
      </w:r>
      <w:proofErr w:type="spellEnd"/>
      <w:r w:rsidRPr="00E73AE9">
        <w:rPr>
          <w:rFonts w:ascii="Times New Roman" w:hAnsi="Times New Roman" w:cs="Times New Roman"/>
          <w:lang w:val="da-DK"/>
        </w:rPr>
        <w:t xml:space="preserve"> (prodrug til paracetamol) eller over for et eller flere af hjælpestofferne anført i pkt. 6.1. </w:t>
      </w:r>
    </w:p>
    <w:p w:rsidR="0095659B" w:rsidRPr="00E73AE9" w:rsidRDefault="0095659B" w:rsidP="0095659B">
      <w:pPr>
        <w:pStyle w:val="Listenabsatz"/>
        <w:numPr>
          <w:ilvl w:val="0"/>
          <w:numId w:val="7"/>
        </w:numPr>
        <w:ind w:left="1276" w:hanging="425"/>
        <w:rPr>
          <w:rFonts w:ascii="Times New Roman" w:hAnsi="Times New Roman" w:cs="Times New Roman"/>
          <w:lang w:val="da-DK"/>
        </w:rPr>
      </w:pPr>
      <w:r w:rsidRPr="00E73AE9">
        <w:rPr>
          <w:rFonts w:ascii="Times New Roman" w:hAnsi="Times New Roman" w:cs="Times New Roman"/>
          <w:lang w:val="da-DK"/>
        </w:rPr>
        <w:t xml:space="preserve">Tilfælde af svær </w:t>
      </w:r>
      <w:proofErr w:type="spellStart"/>
      <w:r w:rsidRPr="00E73AE9">
        <w:rPr>
          <w:rFonts w:ascii="Times New Roman" w:hAnsi="Times New Roman" w:cs="Times New Roman"/>
          <w:lang w:val="da-DK"/>
        </w:rPr>
        <w:t>hepatocellulær</w:t>
      </w:r>
      <w:proofErr w:type="spellEnd"/>
      <w:r w:rsidRPr="00E73AE9">
        <w:rPr>
          <w:rFonts w:ascii="Times New Roman" w:hAnsi="Times New Roman" w:cs="Times New Roman"/>
          <w:lang w:val="da-DK"/>
        </w:rPr>
        <w:t xml:space="preserve"> insufficiens. </w:t>
      </w:r>
    </w:p>
    <w:p w:rsidR="0095659B" w:rsidRPr="00E73AE9" w:rsidRDefault="0095659B" w:rsidP="0095659B">
      <w:pPr>
        <w:ind w:left="851" w:hanging="851"/>
        <w:rPr>
          <w:sz w:val="24"/>
          <w:szCs w:val="24"/>
        </w:rPr>
      </w:pPr>
    </w:p>
    <w:p w:rsidR="0095659B" w:rsidRPr="00E73AE9" w:rsidRDefault="0095659B" w:rsidP="0095659B">
      <w:pPr>
        <w:numPr>
          <w:ilvl w:val="1"/>
          <w:numId w:val="1"/>
        </w:numPr>
        <w:tabs>
          <w:tab w:val="clear" w:pos="855"/>
        </w:tabs>
        <w:ind w:left="851" w:hanging="851"/>
        <w:rPr>
          <w:b/>
          <w:sz w:val="24"/>
          <w:szCs w:val="24"/>
        </w:rPr>
      </w:pPr>
      <w:r w:rsidRPr="00E73AE9">
        <w:rPr>
          <w:b/>
          <w:sz w:val="24"/>
          <w:szCs w:val="24"/>
        </w:rPr>
        <w:t>Særlige advarsler og forsigtighedsregler vedrørende brugen</w:t>
      </w:r>
    </w:p>
    <w:p w:rsidR="0095659B" w:rsidRDefault="0095659B" w:rsidP="0095659B">
      <w:pPr>
        <w:pBdr>
          <w:top w:val="single" w:sz="4" w:space="1" w:color="auto"/>
          <w:left w:val="single" w:sz="4" w:space="4" w:color="auto"/>
          <w:bottom w:val="single" w:sz="4" w:space="1" w:color="auto"/>
          <w:right w:val="single" w:sz="4" w:space="4" w:color="auto"/>
        </w:pBdr>
        <w:ind w:left="851"/>
        <w:rPr>
          <w:sz w:val="24"/>
          <w:szCs w:val="24"/>
        </w:rPr>
      </w:pPr>
      <w:r w:rsidRPr="00E73AE9">
        <w:rPr>
          <w:sz w:val="24"/>
          <w:szCs w:val="24"/>
        </w:rPr>
        <w:tab/>
      </w:r>
      <w:r>
        <w:rPr>
          <w:sz w:val="24"/>
          <w:szCs w:val="24"/>
        </w:rPr>
        <w:t>RISIKO FOR MEDICINERINGSFEJL</w:t>
      </w:r>
    </w:p>
    <w:p w:rsidR="0095659B" w:rsidRPr="00D4743E" w:rsidRDefault="0095659B" w:rsidP="0095659B">
      <w:pPr>
        <w:pBdr>
          <w:top w:val="single" w:sz="4" w:space="1" w:color="auto"/>
          <w:left w:val="single" w:sz="4" w:space="4" w:color="auto"/>
          <w:bottom w:val="single" w:sz="4" w:space="1" w:color="auto"/>
          <w:right w:val="single" w:sz="4" w:space="4" w:color="auto"/>
        </w:pBdr>
        <w:ind w:left="851"/>
        <w:rPr>
          <w:sz w:val="24"/>
          <w:szCs w:val="24"/>
          <w:u w:val="single"/>
        </w:rPr>
      </w:pPr>
      <w:r>
        <w:rPr>
          <w:sz w:val="24"/>
          <w:szCs w:val="24"/>
        </w:rPr>
        <w:t xml:space="preserve">Vær opmærksom på at undgå fejl, der skyldes forvirring mellem milligram (mg) og milliliter (ml), der kan føre til utilsigtet overdosis og dødsfald </w:t>
      </w:r>
      <w:r w:rsidRPr="00D4743E">
        <w:rPr>
          <w:sz w:val="24"/>
          <w:szCs w:val="24"/>
          <w:u w:val="single"/>
        </w:rPr>
        <w:t>(se pkt. 4.2).</w:t>
      </w:r>
    </w:p>
    <w:p w:rsidR="0095659B" w:rsidRDefault="0095659B" w:rsidP="0095659B">
      <w:pPr>
        <w:ind w:left="851"/>
        <w:rPr>
          <w:sz w:val="24"/>
          <w:szCs w:val="24"/>
        </w:rPr>
      </w:pPr>
    </w:p>
    <w:p w:rsidR="0095659B" w:rsidRPr="0038614F" w:rsidRDefault="0095659B" w:rsidP="0095659B">
      <w:pPr>
        <w:ind w:left="851"/>
        <w:rPr>
          <w:sz w:val="24"/>
          <w:szCs w:val="24"/>
        </w:rPr>
      </w:pPr>
      <w:r w:rsidRPr="0082364E">
        <w:rPr>
          <w:sz w:val="24"/>
          <w:szCs w:val="24"/>
        </w:rPr>
        <w:t>Længerevarende eller hyppig brug frarådes.</w:t>
      </w:r>
      <w:r w:rsidRPr="0038614F">
        <w:rPr>
          <w:sz w:val="24"/>
          <w:szCs w:val="24"/>
        </w:rPr>
        <w:t xml:space="preserve"> </w:t>
      </w:r>
      <w:r w:rsidRPr="0082364E">
        <w:rPr>
          <w:sz w:val="24"/>
          <w:szCs w:val="24"/>
        </w:rPr>
        <w:t>Det anbefales at anvende en passende analgetisk oral behandling, så snart denne administrationsvej er mulig.</w:t>
      </w:r>
      <w:r w:rsidRPr="0038614F">
        <w:rPr>
          <w:sz w:val="24"/>
          <w:szCs w:val="24"/>
        </w:rPr>
        <w:t xml:space="preserve"> </w:t>
      </w:r>
    </w:p>
    <w:p w:rsidR="0095659B" w:rsidRPr="0038614F" w:rsidRDefault="0095659B" w:rsidP="0095659B">
      <w:pPr>
        <w:ind w:left="851" w:hanging="851"/>
        <w:rPr>
          <w:sz w:val="24"/>
          <w:szCs w:val="24"/>
        </w:rPr>
      </w:pPr>
    </w:p>
    <w:p w:rsidR="0095659B" w:rsidRPr="0038614F" w:rsidRDefault="0095659B" w:rsidP="0095659B">
      <w:pPr>
        <w:ind w:left="851"/>
        <w:rPr>
          <w:sz w:val="24"/>
          <w:szCs w:val="24"/>
        </w:rPr>
      </w:pPr>
      <w:r w:rsidRPr="0082364E">
        <w:rPr>
          <w:sz w:val="24"/>
          <w:szCs w:val="24"/>
        </w:rPr>
        <w:t xml:space="preserve">For at undgå risiko for overdosering bør det kontrolleres, at der ikke gives anden medicin, der indeholder enten paracetamol eller </w:t>
      </w:r>
      <w:proofErr w:type="spellStart"/>
      <w:r w:rsidRPr="0082364E">
        <w:rPr>
          <w:sz w:val="24"/>
          <w:szCs w:val="24"/>
        </w:rPr>
        <w:t>propacetamol</w:t>
      </w:r>
      <w:proofErr w:type="spellEnd"/>
      <w:r w:rsidRPr="0082364E">
        <w:rPr>
          <w:sz w:val="24"/>
          <w:szCs w:val="24"/>
        </w:rPr>
        <w:t>.</w:t>
      </w:r>
      <w:r w:rsidRPr="0038614F">
        <w:rPr>
          <w:sz w:val="24"/>
          <w:szCs w:val="24"/>
        </w:rPr>
        <w:t xml:space="preserve"> </w:t>
      </w:r>
      <w:r w:rsidRPr="0082364E">
        <w:rPr>
          <w:sz w:val="24"/>
          <w:szCs w:val="24"/>
        </w:rPr>
        <w:t>Det kan være nødvendigt at justere dosis (se pkt. 4.2).</w:t>
      </w:r>
    </w:p>
    <w:p w:rsidR="0095659B" w:rsidRPr="0038614F" w:rsidRDefault="0095659B" w:rsidP="0095659B">
      <w:pPr>
        <w:ind w:left="851" w:hanging="851"/>
        <w:rPr>
          <w:sz w:val="24"/>
          <w:szCs w:val="24"/>
        </w:rPr>
      </w:pPr>
    </w:p>
    <w:p w:rsidR="0095659B" w:rsidRPr="0038614F" w:rsidRDefault="0095659B" w:rsidP="0095659B">
      <w:pPr>
        <w:ind w:left="851"/>
        <w:rPr>
          <w:sz w:val="24"/>
          <w:szCs w:val="24"/>
        </w:rPr>
      </w:pPr>
      <w:r w:rsidRPr="0082364E">
        <w:rPr>
          <w:sz w:val="24"/>
          <w:szCs w:val="24"/>
        </w:rPr>
        <w:t xml:space="preserve">Doser, der er større end de anbefalede, kan medføre risiko for meget alvorlige leverskader. Kliniske tegn og symptomer på leverskade (herunder fulminant hepatitis, leversvigt, </w:t>
      </w:r>
      <w:proofErr w:type="spellStart"/>
      <w:r w:rsidRPr="0082364E">
        <w:rPr>
          <w:sz w:val="24"/>
          <w:szCs w:val="24"/>
        </w:rPr>
        <w:t>kolestatisk</w:t>
      </w:r>
      <w:proofErr w:type="spellEnd"/>
      <w:r w:rsidRPr="0082364E">
        <w:rPr>
          <w:sz w:val="24"/>
          <w:szCs w:val="24"/>
        </w:rPr>
        <w:t xml:space="preserve"> hepatitis, </w:t>
      </w:r>
      <w:proofErr w:type="spellStart"/>
      <w:r w:rsidRPr="0082364E">
        <w:rPr>
          <w:sz w:val="24"/>
          <w:szCs w:val="24"/>
        </w:rPr>
        <w:t>cytolytisk</w:t>
      </w:r>
      <w:proofErr w:type="spellEnd"/>
      <w:r w:rsidRPr="0082364E">
        <w:rPr>
          <w:sz w:val="24"/>
          <w:szCs w:val="24"/>
        </w:rPr>
        <w:t xml:space="preserve"> hepatitis) ses sædvanligvis først to dage efter administration af lægemidlet, og når sædvanligvis et maksimum 4-6 dage efter administration. Behandling med </w:t>
      </w:r>
      <w:proofErr w:type="spellStart"/>
      <w:r w:rsidRPr="0082364E">
        <w:rPr>
          <w:sz w:val="24"/>
          <w:szCs w:val="24"/>
        </w:rPr>
        <w:t>antidot</w:t>
      </w:r>
      <w:proofErr w:type="spellEnd"/>
      <w:r w:rsidRPr="0082364E">
        <w:rPr>
          <w:sz w:val="24"/>
          <w:szCs w:val="24"/>
        </w:rPr>
        <w:t xml:space="preserve"> skal gives hurtigst muligt (se pkt. 4.9).</w:t>
      </w:r>
      <w:r w:rsidRPr="0038614F">
        <w:rPr>
          <w:sz w:val="24"/>
          <w:szCs w:val="24"/>
        </w:rPr>
        <w:t xml:space="preserve"> </w:t>
      </w:r>
    </w:p>
    <w:p w:rsidR="0095659B" w:rsidRPr="0082364E" w:rsidRDefault="0095659B" w:rsidP="0095659B">
      <w:pPr>
        <w:ind w:left="851" w:hanging="851"/>
        <w:rPr>
          <w:sz w:val="24"/>
          <w:szCs w:val="24"/>
        </w:rPr>
      </w:pPr>
    </w:p>
    <w:p w:rsidR="0095659B" w:rsidRPr="0038614F" w:rsidRDefault="0095659B" w:rsidP="0095659B">
      <w:pPr>
        <w:ind w:left="851"/>
        <w:rPr>
          <w:sz w:val="24"/>
          <w:szCs w:val="24"/>
        </w:rPr>
      </w:pPr>
      <w:r w:rsidRPr="0082364E">
        <w:rPr>
          <w:sz w:val="24"/>
          <w:szCs w:val="24"/>
        </w:rPr>
        <w:t>Paracetamol skal anvendes med forsigtighed i tilfælde af:</w:t>
      </w:r>
    </w:p>
    <w:p w:rsidR="0095659B" w:rsidRPr="0038614F" w:rsidRDefault="0095659B" w:rsidP="0095659B">
      <w:pPr>
        <w:numPr>
          <w:ilvl w:val="0"/>
          <w:numId w:val="8"/>
        </w:numPr>
        <w:snapToGrid w:val="0"/>
        <w:ind w:left="1276" w:hanging="425"/>
        <w:rPr>
          <w:sz w:val="24"/>
          <w:szCs w:val="24"/>
        </w:rPr>
      </w:pPr>
      <w:proofErr w:type="spellStart"/>
      <w:r w:rsidRPr="0082364E">
        <w:rPr>
          <w:sz w:val="24"/>
          <w:szCs w:val="24"/>
        </w:rPr>
        <w:t>hepatocellulær</w:t>
      </w:r>
      <w:proofErr w:type="spellEnd"/>
      <w:r w:rsidRPr="0082364E">
        <w:rPr>
          <w:sz w:val="24"/>
          <w:szCs w:val="24"/>
        </w:rPr>
        <w:t xml:space="preserve"> insufficiens</w:t>
      </w:r>
    </w:p>
    <w:p w:rsidR="0095659B" w:rsidRPr="0038614F" w:rsidRDefault="0095659B" w:rsidP="0095659B">
      <w:pPr>
        <w:numPr>
          <w:ilvl w:val="0"/>
          <w:numId w:val="8"/>
        </w:numPr>
        <w:snapToGrid w:val="0"/>
        <w:ind w:left="1276" w:hanging="425"/>
        <w:rPr>
          <w:sz w:val="24"/>
          <w:szCs w:val="24"/>
        </w:rPr>
      </w:pPr>
      <w:r w:rsidRPr="0082364E">
        <w:rPr>
          <w:sz w:val="24"/>
          <w:szCs w:val="24"/>
        </w:rPr>
        <w:t>alvorlig nyreinsufficiens (</w:t>
      </w:r>
      <w:proofErr w:type="spellStart"/>
      <w:r w:rsidRPr="0082364E">
        <w:rPr>
          <w:sz w:val="24"/>
          <w:szCs w:val="24"/>
        </w:rPr>
        <w:t>kreatininclearance</w:t>
      </w:r>
      <w:proofErr w:type="spellEnd"/>
      <w:r w:rsidRPr="0082364E">
        <w:rPr>
          <w:sz w:val="24"/>
          <w:szCs w:val="24"/>
        </w:rPr>
        <w:t xml:space="preserve"> ≤30 ml/min.) (se pkt. 4.2 og 5.2)</w:t>
      </w:r>
    </w:p>
    <w:p w:rsidR="0095659B" w:rsidRPr="0038614F" w:rsidRDefault="0095659B" w:rsidP="0095659B">
      <w:pPr>
        <w:numPr>
          <w:ilvl w:val="0"/>
          <w:numId w:val="8"/>
        </w:numPr>
        <w:snapToGrid w:val="0"/>
        <w:ind w:left="1276" w:hanging="425"/>
        <w:rPr>
          <w:sz w:val="24"/>
          <w:szCs w:val="24"/>
        </w:rPr>
      </w:pPr>
      <w:r w:rsidRPr="0082364E">
        <w:rPr>
          <w:sz w:val="24"/>
          <w:szCs w:val="24"/>
        </w:rPr>
        <w:lastRenderedPageBreak/>
        <w:t>kronisk alkoholisme</w:t>
      </w:r>
    </w:p>
    <w:p w:rsidR="0095659B" w:rsidRPr="0082364E" w:rsidRDefault="0095659B" w:rsidP="0095659B">
      <w:pPr>
        <w:numPr>
          <w:ilvl w:val="0"/>
          <w:numId w:val="8"/>
        </w:numPr>
        <w:snapToGrid w:val="0"/>
        <w:ind w:left="1276" w:hanging="425"/>
        <w:rPr>
          <w:sz w:val="24"/>
          <w:szCs w:val="24"/>
        </w:rPr>
      </w:pPr>
      <w:r w:rsidRPr="0082364E">
        <w:rPr>
          <w:sz w:val="24"/>
          <w:szCs w:val="24"/>
        </w:rPr>
        <w:t xml:space="preserve">kronisk fejlernæring (lave reserver af </w:t>
      </w:r>
      <w:proofErr w:type="spellStart"/>
      <w:r w:rsidRPr="0082364E">
        <w:rPr>
          <w:sz w:val="24"/>
          <w:szCs w:val="24"/>
        </w:rPr>
        <w:t>hepatisk</w:t>
      </w:r>
      <w:proofErr w:type="spellEnd"/>
      <w:r w:rsidRPr="0082364E">
        <w:rPr>
          <w:sz w:val="24"/>
          <w:szCs w:val="24"/>
        </w:rPr>
        <w:t xml:space="preserve"> </w:t>
      </w:r>
      <w:proofErr w:type="spellStart"/>
      <w:r w:rsidRPr="0082364E">
        <w:rPr>
          <w:sz w:val="24"/>
          <w:szCs w:val="24"/>
        </w:rPr>
        <w:t>glutathion</w:t>
      </w:r>
      <w:proofErr w:type="spellEnd"/>
      <w:r w:rsidRPr="0082364E">
        <w:rPr>
          <w:sz w:val="24"/>
          <w:szCs w:val="24"/>
        </w:rPr>
        <w:t>)</w:t>
      </w:r>
    </w:p>
    <w:p w:rsidR="0095659B" w:rsidRPr="0038614F" w:rsidRDefault="0095659B" w:rsidP="0095659B">
      <w:pPr>
        <w:numPr>
          <w:ilvl w:val="0"/>
          <w:numId w:val="8"/>
        </w:numPr>
        <w:snapToGrid w:val="0"/>
        <w:ind w:left="1276" w:hanging="425"/>
        <w:rPr>
          <w:sz w:val="24"/>
          <w:szCs w:val="24"/>
        </w:rPr>
      </w:pPr>
      <w:r w:rsidRPr="0082364E">
        <w:rPr>
          <w:sz w:val="24"/>
          <w:szCs w:val="24"/>
        </w:rPr>
        <w:t>dehydrering</w:t>
      </w:r>
    </w:p>
    <w:p w:rsidR="0095659B" w:rsidRPr="0082364E" w:rsidRDefault="0095659B" w:rsidP="0095659B">
      <w:pPr>
        <w:numPr>
          <w:ilvl w:val="0"/>
          <w:numId w:val="8"/>
        </w:numPr>
        <w:snapToGrid w:val="0"/>
        <w:ind w:left="1276" w:hanging="425"/>
        <w:rPr>
          <w:sz w:val="24"/>
          <w:szCs w:val="24"/>
        </w:rPr>
      </w:pPr>
      <w:r w:rsidRPr="0082364E">
        <w:rPr>
          <w:sz w:val="24"/>
          <w:szCs w:val="24"/>
        </w:rPr>
        <w:t>patienter, der lider af en genetisk forårsaget G-6-PD-mangel (</w:t>
      </w:r>
      <w:proofErr w:type="spellStart"/>
      <w:r w:rsidRPr="0082364E">
        <w:rPr>
          <w:sz w:val="24"/>
          <w:szCs w:val="24"/>
        </w:rPr>
        <w:t>favisme</w:t>
      </w:r>
      <w:proofErr w:type="spellEnd"/>
      <w:r w:rsidRPr="0082364E">
        <w:rPr>
          <w:sz w:val="24"/>
          <w:szCs w:val="24"/>
        </w:rPr>
        <w:t xml:space="preserve">), forekomsten af en </w:t>
      </w:r>
      <w:proofErr w:type="spellStart"/>
      <w:r w:rsidRPr="0082364E">
        <w:rPr>
          <w:sz w:val="24"/>
          <w:szCs w:val="24"/>
        </w:rPr>
        <w:t>hæmolytisk</w:t>
      </w:r>
      <w:proofErr w:type="spellEnd"/>
      <w:r w:rsidRPr="0082364E">
        <w:rPr>
          <w:sz w:val="24"/>
          <w:szCs w:val="24"/>
        </w:rPr>
        <w:t xml:space="preserve"> anæmi er mulig på grund af den reducerede allokation af </w:t>
      </w:r>
      <w:proofErr w:type="spellStart"/>
      <w:r w:rsidRPr="0082364E">
        <w:rPr>
          <w:sz w:val="24"/>
          <w:szCs w:val="24"/>
        </w:rPr>
        <w:t>glutathion</w:t>
      </w:r>
      <w:proofErr w:type="spellEnd"/>
      <w:r w:rsidRPr="0082364E">
        <w:rPr>
          <w:sz w:val="24"/>
          <w:szCs w:val="24"/>
        </w:rPr>
        <w:t xml:space="preserve"> efter administration af paracetamol. </w:t>
      </w:r>
    </w:p>
    <w:p w:rsidR="0095659B" w:rsidRPr="0038614F" w:rsidRDefault="0095659B" w:rsidP="0095659B">
      <w:pPr>
        <w:rPr>
          <w:sz w:val="24"/>
          <w:szCs w:val="24"/>
        </w:rPr>
      </w:pPr>
    </w:p>
    <w:p w:rsidR="007E3B70" w:rsidRPr="00A3222C" w:rsidRDefault="007E3B70" w:rsidP="007E3B70">
      <w:pPr>
        <w:ind w:left="851"/>
        <w:rPr>
          <w:sz w:val="24"/>
          <w:szCs w:val="24"/>
        </w:rPr>
      </w:pPr>
      <w:r w:rsidRPr="00A3222C">
        <w:rPr>
          <w:sz w:val="24"/>
          <w:szCs w:val="24"/>
        </w:rPr>
        <w:t xml:space="preserve">Forsigtighed tilrådes, når paracetamol gives samtidigt med </w:t>
      </w:r>
      <w:proofErr w:type="spellStart"/>
      <w:r w:rsidRPr="00A3222C">
        <w:rPr>
          <w:sz w:val="24"/>
          <w:szCs w:val="24"/>
        </w:rPr>
        <w:t>flucloxacillin</w:t>
      </w:r>
      <w:proofErr w:type="spellEnd"/>
      <w:r w:rsidRPr="00A3222C">
        <w:rPr>
          <w:sz w:val="24"/>
          <w:szCs w:val="24"/>
        </w:rPr>
        <w:t xml:space="preserve"> på grund af den forhøjede risiko for metabolisk </w:t>
      </w:r>
      <w:proofErr w:type="spellStart"/>
      <w:r w:rsidRPr="00A3222C">
        <w:rPr>
          <w:sz w:val="24"/>
          <w:szCs w:val="24"/>
        </w:rPr>
        <w:t>acidose</w:t>
      </w:r>
      <w:proofErr w:type="spellEnd"/>
      <w:r w:rsidRPr="00A3222C">
        <w:rPr>
          <w:sz w:val="24"/>
          <w:szCs w:val="24"/>
        </w:rPr>
        <w:t xml:space="preserve"> med højt anion-</w:t>
      </w:r>
      <w:proofErr w:type="spellStart"/>
      <w:r w:rsidRPr="00A3222C">
        <w:rPr>
          <w:sz w:val="24"/>
          <w:szCs w:val="24"/>
        </w:rPr>
        <w:t>gap</w:t>
      </w:r>
      <w:proofErr w:type="spellEnd"/>
      <w:r w:rsidRPr="00A3222C">
        <w:rPr>
          <w:sz w:val="24"/>
          <w:szCs w:val="24"/>
        </w:rPr>
        <w:t xml:space="preserve"> (HAGMA), særligt for patienter med svært nedsat nyrefunktion, sepsis, fejlernæring og andre kilder til </w:t>
      </w:r>
      <w:proofErr w:type="spellStart"/>
      <w:r w:rsidRPr="00A3222C">
        <w:rPr>
          <w:sz w:val="24"/>
          <w:szCs w:val="24"/>
        </w:rPr>
        <w:t>glutathionmangel</w:t>
      </w:r>
      <w:proofErr w:type="spellEnd"/>
      <w:r w:rsidRPr="00A3222C">
        <w:rPr>
          <w:sz w:val="24"/>
          <w:szCs w:val="24"/>
        </w:rPr>
        <w:t xml:space="preserve"> (f.eks. kronisk alkoholisme), så vel som for dem, der anvender maksimale daglige doser af paracetamol. Tæt monitorering anbefales herunder måling af 5-oxoprolin i urinen.</w:t>
      </w:r>
    </w:p>
    <w:p w:rsidR="007E3B70" w:rsidRPr="00A3222C" w:rsidRDefault="007E3B70" w:rsidP="007E3B70">
      <w:pPr>
        <w:ind w:left="851"/>
        <w:rPr>
          <w:sz w:val="24"/>
          <w:szCs w:val="24"/>
        </w:rPr>
      </w:pPr>
    </w:p>
    <w:p w:rsidR="007E3B70" w:rsidRPr="00A3222C" w:rsidRDefault="007E3B70" w:rsidP="007E3B70">
      <w:pPr>
        <w:ind w:left="851"/>
        <w:rPr>
          <w:sz w:val="24"/>
          <w:szCs w:val="24"/>
        </w:rPr>
      </w:pPr>
      <w:r w:rsidRPr="00A3222C">
        <w:rPr>
          <w:sz w:val="24"/>
          <w:szCs w:val="24"/>
        </w:rPr>
        <w:t xml:space="preserve">Dette lægemiddel indeholder mindre end 1 mmol (23 mg) natrium pr. beholder, dvs. den er i det væsentlige natriumfri. </w:t>
      </w:r>
    </w:p>
    <w:p w:rsidR="0095659B" w:rsidRPr="00E73AE9" w:rsidRDefault="0095659B" w:rsidP="0095659B">
      <w:pPr>
        <w:ind w:left="851" w:hanging="851"/>
        <w:rPr>
          <w:sz w:val="24"/>
          <w:szCs w:val="24"/>
        </w:rPr>
      </w:pPr>
    </w:p>
    <w:p w:rsidR="0095659B" w:rsidRPr="00E73AE9" w:rsidRDefault="0095659B" w:rsidP="0095659B">
      <w:pPr>
        <w:numPr>
          <w:ilvl w:val="1"/>
          <w:numId w:val="1"/>
        </w:numPr>
        <w:tabs>
          <w:tab w:val="clear" w:pos="855"/>
        </w:tabs>
        <w:ind w:left="851" w:hanging="851"/>
        <w:rPr>
          <w:b/>
          <w:sz w:val="24"/>
          <w:szCs w:val="24"/>
        </w:rPr>
      </w:pPr>
      <w:r w:rsidRPr="00E73AE9">
        <w:rPr>
          <w:b/>
          <w:sz w:val="24"/>
          <w:szCs w:val="24"/>
        </w:rPr>
        <w:t>Interaktion med andre lægemidler og andre former for interaktion</w:t>
      </w:r>
    </w:p>
    <w:p w:rsidR="0095659B" w:rsidRPr="00E73AE9" w:rsidRDefault="0095659B" w:rsidP="0095659B">
      <w:pPr>
        <w:numPr>
          <w:ilvl w:val="0"/>
          <w:numId w:val="8"/>
        </w:numPr>
        <w:snapToGrid w:val="0"/>
        <w:ind w:left="1276" w:hanging="425"/>
        <w:rPr>
          <w:sz w:val="24"/>
          <w:szCs w:val="24"/>
          <w:lang w:val="nb-NO"/>
        </w:rPr>
      </w:pPr>
      <w:proofErr w:type="spellStart"/>
      <w:r w:rsidRPr="00E73AE9">
        <w:rPr>
          <w:b/>
          <w:sz w:val="24"/>
          <w:szCs w:val="24"/>
        </w:rPr>
        <w:t>Probenecid</w:t>
      </w:r>
      <w:proofErr w:type="spellEnd"/>
      <w:r w:rsidRPr="00E73AE9">
        <w:rPr>
          <w:sz w:val="24"/>
          <w:szCs w:val="24"/>
        </w:rPr>
        <w:t xml:space="preserve"> medfører næsten en halvering af paracetamols </w:t>
      </w:r>
      <w:proofErr w:type="spellStart"/>
      <w:r w:rsidRPr="00E73AE9">
        <w:rPr>
          <w:sz w:val="24"/>
          <w:szCs w:val="24"/>
        </w:rPr>
        <w:t>clearance</w:t>
      </w:r>
      <w:proofErr w:type="spellEnd"/>
      <w:r w:rsidRPr="00E73AE9">
        <w:rPr>
          <w:sz w:val="24"/>
          <w:szCs w:val="24"/>
        </w:rPr>
        <w:t xml:space="preserve"> ved at hæmme dets </w:t>
      </w:r>
      <w:proofErr w:type="spellStart"/>
      <w:r w:rsidRPr="00E73AE9">
        <w:rPr>
          <w:sz w:val="24"/>
          <w:szCs w:val="24"/>
        </w:rPr>
        <w:t>konjugering</w:t>
      </w:r>
      <w:proofErr w:type="spellEnd"/>
      <w:r w:rsidRPr="00E73AE9">
        <w:rPr>
          <w:sz w:val="24"/>
          <w:szCs w:val="24"/>
        </w:rPr>
        <w:t xml:space="preserve"> med </w:t>
      </w:r>
      <w:proofErr w:type="spellStart"/>
      <w:r w:rsidRPr="00E73AE9">
        <w:rPr>
          <w:sz w:val="24"/>
          <w:szCs w:val="24"/>
        </w:rPr>
        <w:t>glucuronsyre</w:t>
      </w:r>
      <w:proofErr w:type="spellEnd"/>
      <w:r w:rsidRPr="00E73AE9">
        <w:rPr>
          <w:sz w:val="24"/>
          <w:szCs w:val="24"/>
        </w:rPr>
        <w:t xml:space="preserve">. Der skal overvejes en reduceret dosis paracetamol ved samtidig anvendelse med </w:t>
      </w:r>
      <w:proofErr w:type="spellStart"/>
      <w:r w:rsidRPr="00E73AE9">
        <w:rPr>
          <w:sz w:val="24"/>
          <w:szCs w:val="24"/>
        </w:rPr>
        <w:t>probenecid</w:t>
      </w:r>
      <w:proofErr w:type="spellEnd"/>
      <w:r w:rsidRPr="00E73AE9">
        <w:rPr>
          <w:sz w:val="24"/>
          <w:szCs w:val="24"/>
        </w:rPr>
        <w:t>.</w:t>
      </w:r>
      <w:r w:rsidRPr="00E73AE9">
        <w:rPr>
          <w:sz w:val="24"/>
          <w:szCs w:val="24"/>
          <w:lang w:val="nb-NO"/>
        </w:rPr>
        <w:t xml:space="preserve"> </w:t>
      </w:r>
    </w:p>
    <w:p w:rsidR="0095659B" w:rsidRPr="00E73AE9" w:rsidRDefault="0095659B" w:rsidP="0095659B">
      <w:pPr>
        <w:numPr>
          <w:ilvl w:val="0"/>
          <w:numId w:val="8"/>
        </w:numPr>
        <w:snapToGrid w:val="0"/>
        <w:ind w:left="1276" w:hanging="425"/>
        <w:rPr>
          <w:sz w:val="24"/>
          <w:szCs w:val="24"/>
        </w:rPr>
      </w:pPr>
      <w:r w:rsidRPr="00E73AE9">
        <w:rPr>
          <w:b/>
          <w:sz w:val="24"/>
          <w:szCs w:val="24"/>
        </w:rPr>
        <w:t>Salicylamid</w:t>
      </w:r>
      <w:r w:rsidRPr="00E73AE9">
        <w:rPr>
          <w:sz w:val="24"/>
          <w:szCs w:val="24"/>
        </w:rPr>
        <w:t xml:space="preserve"> kan forlænge paracetamols eliminationshalveringstid. </w:t>
      </w:r>
    </w:p>
    <w:p w:rsidR="0095659B" w:rsidRPr="00E73AE9" w:rsidRDefault="0095659B" w:rsidP="0095659B">
      <w:pPr>
        <w:numPr>
          <w:ilvl w:val="0"/>
          <w:numId w:val="8"/>
        </w:numPr>
        <w:snapToGrid w:val="0"/>
        <w:ind w:left="1276" w:hanging="425"/>
        <w:rPr>
          <w:sz w:val="24"/>
          <w:szCs w:val="24"/>
          <w:lang w:val="nb-NO"/>
        </w:rPr>
      </w:pPr>
      <w:r w:rsidRPr="00E73AE9">
        <w:rPr>
          <w:sz w:val="24"/>
          <w:szCs w:val="24"/>
        </w:rPr>
        <w:t xml:space="preserve">Der skal udvises forsigtighed ved samtidig indtagelse af </w:t>
      </w:r>
      <w:r w:rsidRPr="00E73AE9">
        <w:rPr>
          <w:b/>
          <w:sz w:val="24"/>
          <w:szCs w:val="24"/>
        </w:rPr>
        <w:t>enzyminducerende stoffer</w:t>
      </w:r>
      <w:r w:rsidRPr="00E73AE9">
        <w:rPr>
          <w:sz w:val="24"/>
          <w:szCs w:val="24"/>
        </w:rPr>
        <w:t xml:space="preserve"> (se pkt. 4.9).</w:t>
      </w:r>
      <w:r w:rsidRPr="00E73AE9">
        <w:rPr>
          <w:sz w:val="24"/>
          <w:szCs w:val="24"/>
          <w:lang w:val="nb-NO"/>
        </w:rPr>
        <w:t xml:space="preserve"> </w:t>
      </w:r>
    </w:p>
    <w:p w:rsidR="007E3B70" w:rsidRDefault="007E3B70" w:rsidP="007E3B70">
      <w:pPr>
        <w:numPr>
          <w:ilvl w:val="0"/>
          <w:numId w:val="8"/>
        </w:numPr>
        <w:snapToGrid w:val="0"/>
        <w:ind w:left="1276" w:hanging="425"/>
        <w:rPr>
          <w:sz w:val="24"/>
          <w:szCs w:val="24"/>
        </w:rPr>
      </w:pPr>
      <w:r w:rsidRPr="00A3222C">
        <w:rPr>
          <w:sz w:val="24"/>
          <w:szCs w:val="24"/>
        </w:rPr>
        <w:t xml:space="preserve">Samtidig brug af paracetamol (4000 mg pr. dag i mindst 4 dage) og </w:t>
      </w:r>
      <w:r w:rsidRPr="00A3222C">
        <w:rPr>
          <w:b/>
          <w:sz w:val="24"/>
          <w:szCs w:val="24"/>
        </w:rPr>
        <w:t xml:space="preserve">orale </w:t>
      </w:r>
      <w:proofErr w:type="spellStart"/>
      <w:r w:rsidRPr="00A3222C">
        <w:rPr>
          <w:b/>
          <w:sz w:val="24"/>
          <w:szCs w:val="24"/>
        </w:rPr>
        <w:t>antikoagulantia</w:t>
      </w:r>
      <w:proofErr w:type="spellEnd"/>
      <w:r w:rsidRPr="00A3222C">
        <w:rPr>
          <w:sz w:val="24"/>
          <w:szCs w:val="24"/>
        </w:rPr>
        <w:t xml:space="preserve"> kan medføre små variationer i INR-værdier. I dette tilfælde skal monitoreringen af INR-værdierne øges, så længe den samtidige administration varer samt i 1 uge efter </w:t>
      </w:r>
      <w:proofErr w:type="spellStart"/>
      <w:r w:rsidRPr="00A3222C">
        <w:rPr>
          <w:sz w:val="24"/>
          <w:szCs w:val="24"/>
        </w:rPr>
        <w:t>seponering</w:t>
      </w:r>
      <w:proofErr w:type="spellEnd"/>
      <w:r w:rsidRPr="00A3222C">
        <w:rPr>
          <w:sz w:val="24"/>
          <w:szCs w:val="24"/>
        </w:rPr>
        <w:t xml:space="preserve"> af behandling med paracetamol</w:t>
      </w:r>
    </w:p>
    <w:p w:rsidR="007E3B70" w:rsidRPr="007E3B70" w:rsidRDefault="007E3B70" w:rsidP="007E3B70">
      <w:pPr>
        <w:numPr>
          <w:ilvl w:val="0"/>
          <w:numId w:val="8"/>
        </w:numPr>
        <w:snapToGrid w:val="0"/>
        <w:ind w:left="1276" w:hanging="425"/>
        <w:rPr>
          <w:sz w:val="24"/>
          <w:szCs w:val="24"/>
        </w:rPr>
      </w:pPr>
      <w:r w:rsidRPr="007E3B70">
        <w:rPr>
          <w:sz w:val="24"/>
          <w:szCs w:val="24"/>
        </w:rPr>
        <w:t xml:space="preserve">Der bør udvises forsigtighed, når paracetamol anvendes samtidig med </w:t>
      </w:r>
      <w:proofErr w:type="spellStart"/>
      <w:r w:rsidRPr="00A55BE7">
        <w:rPr>
          <w:b/>
          <w:bCs/>
          <w:sz w:val="24"/>
          <w:szCs w:val="24"/>
        </w:rPr>
        <w:t>flucloxacillin</w:t>
      </w:r>
      <w:proofErr w:type="spellEnd"/>
      <w:r w:rsidRPr="007E3B70">
        <w:rPr>
          <w:sz w:val="24"/>
          <w:szCs w:val="24"/>
        </w:rPr>
        <w:t xml:space="preserve">, idet samtidig brug kan være forbundet med metabolisk </w:t>
      </w:r>
      <w:proofErr w:type="spellStart"/>
      <w:r w:rsidRPr="007E3B70">
        <w:rPr>
          <w:sz w:val="24"/>
          <w:szCs w:val="24"/>
        </w:rPr>
        <w:t>acidose</w:t>
      </w:r>
      <w:proofErr w:type="spellEnd"/>
      <w:r w:rsidRPr="007E3B70">
        <w:rPr>
          <w:sz w:val="24"/>
          <w:szCs w:val="24"/>
        </w:rPr>
        <w:t xml:space="preserve"> med højt anion-</w:t>
      </w:r>
      <w:proofErr w:type="spellStart"/>
      <w:r w:rsidRPr="007E3B70">
        <w:rPr>
          <w:sz w:val="24"/>
          <w:szCs w:val="24"/>
        </w:rPr>
        <w:t>gap</w:t>
      </w:r>
      <w:proofErr w:type="spellEnd"/>
      <w:r w:rsidRPr="007E3B70">
        <w:rPr>
          <w:sz w:val="24"/>
          <w:szCs w:val="24"/>
        </w:rPr>
        <w:t xml:space="preserve">, særligt hos patienter med risikofaktorer (se afsnit 4.4). </w:t>
      </w:r>
    </w:p>
    <w:p w:rsidR="0095659B" w:rsidRPr="00E73AE9" w:rsidRDefault="0095659B" w:rsidP="0095659B">
      <w:pPr>
        <w:ind w:left="851" w:hanging="851"/>
        <w:rPr>
          <w:sz w:val="24"/>
          <w:szCs w:val="24"/>
        </w:rPr>
      </w:pPr>
    </w:p>
    <w:p w:rsidR="0095659B" w:rsidRPr="00E73AE9" w:rsidRDefault="00A55BE7" w:rsidP="0095659B">
      <w:pPr>
        <w:numPr>
          <w:ilvl w:val="1"/>
          <w:numId w:val="1"/>
        </w:numPr>
        <w:tabs>
          <w:tab w:val="clear" w:pos="855"/>
        </w:tabs>
        <w:ind w:left="851" w:hanging="851"/>
        <w:rPr>
          <w:b/>
          <w:sz w:val="24"/>
          <w:szCs w:val="24"/>
        </w:rPr>
      </w:pPr>
      <w:r>
        <w:rPr>
          <w:b/>
          <w:sz w:val="24"/>
          <w:szCs w:val="24"/>
        </w:rPr>
        <w:t>Fertilitet, g</w:t>
      </w:r>
      <w:r w:rsidR="0095659B" w:rsidRPr="00E73AE9">
        <w:rPr>
          <w:b/>
          <w:sz w:val="24"/>
          <w:szCs w:val="24"/>
        </w:rPr>
        <w:t>raviditet og amning</w:t>
      </w:r>
    </w:p>
    <w:p w:rsidR="0095659B" w:rsidRPr="0038614F" w:rsidRDefault="0095659B" w:rsidP="0095659B">
      <w:pPr>
        <w:ind w:left="851" w:hanging="851"/>
        <w:rPr>
          <w:i/>
          <w:sz w:val="24"/>
          <w:szCs w:val="24"/>
        </w:rPr>
      </w:pPr>
      <w:r w:rsidRPr="00E73AE9">
        <w:rPr>
          <w:sz w:val="24"/>
          <w:szCs w:val="24"/>
        </w:rPr>
        <w:tab/>
      </w:r>
      <w:r w:rsidRPr="0082364E">
        <w:rPr>
          <w:i/>
          <w:sz w:val="24"/>
          <w:szCs w:val="24"/>
        </w:rPr>
        <w:t>Graviditet:</w:t>
      </w:r>
    </w:p>
    <w:p w:rsidR="0095659B" w:rsidRPr="0082364E" w:rsidRDefault="0095659B" w:rsidP="0095659B">
      <w:pPr>
        <w:ind w:left="851"/>
        <w:rPr>
          <w:sz w:val="24"/>
          <w:szCs w:val="24"/>
        </w:rPr>
      </w:pPr>
      <w:r w:rsidRPr="0082364E">
        <w:rPr>
          <w:sz w:val="24"/>
          <w:szCs w:val="24"/>
        </w:rPr>
        <w:t xml:space="preserve">En stor mængde data for gravide kvinder peger hverken på risiko for misdannelser eller toksicitet hos fosteret/den nyfødte. Epidemiologiske studier af den neurologiske udvikling hos børn, der eksponeres for paracetamol i </w:t>
      </w:r>
      <w:r>
        <w:rPr>
          <w:sz w:val="24"/>
          <w:szCs w:val="24"/>
        </w:rPr>
        <w:t>uterus</w:t>
      </w:r>
      <w:r w:rsidRPr="0082364E">
        <w:rPr>
          <w:sz w:val="24"/>
          <w:szCs w:val="24"/>
        </w:rPr>
        <w:t xml:space="preserve">, viser </w:t>
      </w:r>
      <w:proofErr w:type="spellStart"/>
      <w:r w:rsidRPr="0082364E">
        <w:rPr>
          <w:sz w:val="24"/>
          <w:szCs w:val="24"/>
        </w:rPr>
        <w:t>inkonklusive</w:t>
      </w:r>
      <w:proofErr w:type="spellEnd"/>
      <w:r w:rsidRPr="0082364E">
        <w:rPr>
          <w:sz w:val="24"/>
          <w:szCs w:val="24"/>
        </w:rPr>
        <w:t xml:space="preserve"> resultater. </w:t>
      </w:r>
    </w:p>
    <w:p w:rsidR="0095659B" w:rsidRDefault="0095659B" w:rsidP="0095659B">
      <w:pPr>
        <w:rPr>
          <w:rStyle w:val="Kommentarhenvisning"/>
          <w:lang w:eastAsia="da-DK"/>
        </w:rPr>
      </w:pPr>
    </w:p>
    <w:p w:rsidR="0095659B" w:rsidRPr="0038614F" w:rsidRDefault="0095659B" w:rsidP="007E3B70">
      <w:pPr>
        <w:ind w:left="851"/>
        <w:rPr>
          <w:sz w:val="24"/>
          <w:szCs w:val="24"/>
        </w:rPr>
      </w:pPr>
      <w:r w:rsidRPr="0082364E">
        <w:rPr>
          <w:sz w:val="24"/>
          <w:szCs w:val="24"/>
        </w:rPr>
        <w:t xml:space="preserve">Paracetamol </w:t>
      </w:r>
      <w:r>
        <w:rPr>
          <w:sz w:val="24"/>
          <w:szCs w:val="24"/>
        </w:rPr>
        <w:t>kan</w:t>
      </w:r>
      <w:r w:rsidRPr="0082364E">
        <w:rPr>
          <w:sz w:val="24"/>
          <w:szCs w:val="24"/>
        </w:rPr>
        <w:t xml:space="preserve"> anvendes under graviditet </w:t>
      </w:r>
      <w:r w:rsidRPr="003D449A">
        <w:rPr>
          <w:sz w:val="24"/>
          <w:szCs w:val="24"/>
        </w:rPr>
        <w:t xml:space="preserve">hvis det er klinisk indiceret, men bør tages i den laveste effektive dosis, så kort tid som muligt og med lavest mulige hyppighed. </w:t>
      </w:r>
    </w:p>
    <w:p w:rsidR="0095659B" w:rsidRPr="0038614F" w:rsidRDefault="0095659B" w:rsidP="0095659B">
      <w:pPr>
        <w:ind w:left="851" w:hanging="851"/>
        <w:rPr>
          <w:sz w:val="24"/>
          <w:szCs w:val="24"/>
        </w:rPr>
      </w:pPr>
    </w:p>
    <w:p w:rsidR="0095659B" w:rsidRPr="0038614F" w:rsidRDefault="0095659B" w:rsidP="0095659B">
      <w:pPr>
        <w:ind w:left="851"/>
        <w:rPr>
          <w:i/>
          <w:sz w:val="24"/>
          <w:szCs w:val="24"/>
        </w:rPr>
      </w:pPr>
      <w:r w:rsidRPr="0082364E">
        <w:rPr>
          <w:i/>
          <w:sz w:val="24"/>
          <w:szCs w:val="24"/>
        </w:rPr>
        <w:t>Amning:</w:t>
      </w:r>
    </w:p>
    <w:p w:rsidR="0095659B" w:rsidRDefault="0095659B" w:rsidP="0095659B">
      <w:pPr>
        <w:ind w:left="851"/>
        <w:rPr>
          <w:sz w:val="24"/>
          <w:szCs w:val="24"/>
        </w:rPr>
      </w:pPr>
      <w:r w:rsidRPr="0082364E">
        <w:rPr>
          <w:sz w:val="24"/>
          <w:szCs w:val="24"/>
        </w:rPr>
        <w:t>Efter peroral administration udskilles paracetamol i human mælk i små mængder. Der er ikke rapporteret om bivirkninger hos børn, der ammes.</w:t>
      </w:r>
      <w:r w:rsidRPr="0038614F">
        <w:rPr>
          <w:sz w:val="24"/>
          <w:szCs w:val="24"/>
        </w:rPr>
        <w:t xml:space="preserve"> </w:t>
      </w:r>
      <w:r w:rsidRPr="0082364E">
        <w:rPr>
          <w:sz w:val="24"/>
          <w:szCs w:val="24"/>
        </w:rPr>
        <w:t>Paracetamol ”B. Braun” kan derfor anvendes til ammende kvinder.</w:t>
      </w:r>
      <w:r w:rsidRPr="0038614F">
        <w:rPr>
          <w:sz w:val="24"/>
          <w:szCs w:val="24"/>
        </w:rPr>
        <w:t xml:space="preserve"> </w:t>
      </w:r>
    </w:p>
    <w:p w:rsidR="0095659B" w:rsidRDefault="0095659B" w:rsidP="0095659B">
      <w:pPr>
        <w:ind w:left="851"/>
        <w:rPr>
          <w:sz w:val="24"/>
          <w:szCs w:val="24"/>
        </w:rPr>
      </w:pPr>
    </w:p>
    <w:p w:rsidR="0095659B" w:rsidRPr="00E73AE9" w:rsidRDefault="0095659B" w:rsidP="0095659B">
      <w:pPr>
        <w:numPr>
          <w:ilvl w:val="1"/>
          <w:numId w:val="1"/>
        </w:numPr>
        <w:tabs>
          <w:tab w:val="clear" w:pos="855"/>
        </w:tabs>
        <w:ind w:left="851" w:hanging="851"/>
        <w:rPr>
          <w:b/>
          <w:sz w:val="24"/>
          <w:szCs w:val="24"/>
        </w:rPr>
      </w:pPr>
      <w:r w:rsidRPr="00E73AE9">
        <w:rPr>
          <w:b/>
          <w:sz w:val="24"/>
          <w:szCs w:val="24"/>
        </w:rPr>
        <w:t xml:space="preserve">Virkning på evnen til at føre motorkøretøj </w:t>
      </w:r>
      <w:r>
        <w:rPr>
          <w:b/>
          <w:sz w:val="24"/>
          <w:szCs w:val="24"/>
        </w:rPr>
        <w:t>og</w:t>
      </w:r>
      <w:r w:rsidRPr="00E73AE9">
        <w:rPr>
          <w:b/>
          <w:sz w:val="24"/>
          <w:szCs w:val="24"/>
        </w:rPr>
        <w:t xml:space="preserve"> betjene maskiner</w:t>
      </w:r>
    </w:p>
    <w:p w:rsidR="0095659B" w:rsidRPr="00E73AE9" w:rsidRDefault="0095659B" w:rsidP="0095659B">
      <w:pPr>
        <w:ind w:left="851" w:hanging="851"/>
        <w:rPr>
          <w:sz w:val="24"/>
          <w:szCs w:val="24"/>
          <w:lang w:val="nb-NO"/>
        </w:rPr>
      </w:pPr>
      <w:r w:rsidRPr="00E73AE9">
        <w:rPr>
          <w:sz w:val="24"/>
          <w:szCs w:val="24"/>
        </w:rPr>
        <w:tab/>
        <w:t xml:space="preserve">Ikke </w:t>
      </w:r>
      <w:r>
        <w:rPr>
          <w:sz w:val="24"/>
          <w:szCs w:val="24"/>
        </w:rPr>
        <w:t>mærkning</w:t>
      </w:r>
      <w:r w:rsidRPr="00E73AE9">
        <w:rPr>
          <w:sz w:val="24"/>
          <w:szCs w:val="24"/>
        </w:rPr>
        <w:t>.</w:t>
      </w:r>
    </w:p>
    <w:p w:rsidR="0095659B" w:rsidRPr="00E73AE9" w:rsidRDefault="0095659B" w:rsidP="0095659B">
      <w:pPr>
        <w:ind w:left="851" w:hanging="851"/>
        <w:rPr>
          <w:sz w:val="24"/>
          <w:szCs w:val="24"/>
        </w:rPr>
      </w:pPr>
    </w:p>
    <w:p w:rsidR="0095659B" w:rsidRPr="00E73AE9" w:rsidRDefault="0095659B" w:rsidP="0095659B">
      <w:pPr>
        <w:numPr>
          <w:ilvl w:val="1"/>
          <w:numId w:val="1"/>
        </w:numPr>
        <w:tabs>
          <w:tab w:val="clear" w:pos="855"/>
        </w:tabs>
        <w:ind w:left="851" w:hanging="851"/>
        <w:rPr>
          <w:b/>
          <w:sz w:val="24"/>
          <w:szCs w:val="24"/>
        </w:rPr>
      </w:pPr>
      <w:r w:rsidRPr="00E73AE9">
        <w:rPr>
          <w:b/>
          <w:sz w:val="24"/>
          <w:szCs w:val="24"/>
        </w:rPr>
        <w:t>Bivirkninger</w:t>
      </w:r>
    </w:p>
    <w:p w:rsidR="0095659B" w:rsidRPr="00E73AE9" w:rsidRDefault="0095659B" w:rsidP="0095659B">
      <w:pPr>
        <w:ind w:left="851" w:hanging="851"/>
        <w:rPr>
          <w:sz w:val="24"/>
          <w:szCs w:val="24"/>
          <w:lang w:val="nb-NO"/>
        </w:rPr>
      </w:pPr>
      <w:r w:rsidRPr="00E73AE9">
        <w:rPr>
          <w:sz w:val="24"/>
          <w:szCs w:val="24"/>
        </w:rPr>
        <w:tab/>
        <w:t>Som for alle andre paracetamol-produkter er bivirkninger sjældne (≥1/10.000 til &lt;1/1.000) eller meget sjældne (&lt;1/10.000).</w:t>
      </w:r>
      <w:r w:rsidRPr="00E73AE9">
        <w:rPr>
          <w:sz w:val="24"/>
          <w:szCs w:val="24"/>
          <w:lang w:val="nb-NO"/>
        </w:rPr>
        <w:t xml:space="preserve"> </w:t>
      </w:r>
      <w:r w:rsidRPr="00E73AE9">
        <w:rPr>
          <w:sz w:val="24"/>
          <w:szCs w:val="24"/>
        </w:rPr>
        <w:t>De er beskrevet herunder:</w:t>
      </w:r>
    </w:p>
    <w:p w:rsidR="0095659B" w:rsidRPr="00E73AE9" w:rsidRDefault="0095659B" w:rsidP="0095659B">
      <w:pPr>
        <w:ind w:left="851" w:hanging="851"/>
        <w:rPr>
          <w:sz w:val="24"/>
          <w:szCs w:val="24"/>
          <w:lang w:val="nb-N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307"/>
        <w:gridCol w:w="2212"/>
        <w:gridCol w:w="2523"/>
        <w:gridCol w:w="2596"/>
      </w:tblGrid>
      <w:tr w:rsidR="0095659B" w:rsidRPr="0082364E" w:rsidTr="003B4BCE">
        <w:trPr>
          <w:trHeight w:val="792"/>
          <w:tblCellSpacing w:w="0" w:type="dxa"/>
        </w:trPr>
        <w:tc>
          <w:tcPr>
            <w:tcW w:w="1230" w:type="pct"/>
            <w:tcBorders>
              <w:top w:val="outset" w:sz="6" w:space="0" w:color="auto"/>
              <w:left w:val="nil"/>
              <w:bottom w:val="outset" w:sz="6" w:space="0" w:color="auto"/>
              <w:right w:val="outset" w:sz="6" w:space="0" w:color="auto"/>
            </w:tcBorders>
            <w:hideMark/>
          </w:tcPr>
          <w:p w:rsidR="0095659B" w:rsidRPr="0038614F" w:rsidRDefault="0095659B" w:rsidP="003B4BCE">
            <w:pPr>
              <w:snapToGrid w:val="0"/>
              <w:rPr>
                <w:sz w:val="24"/>
                <w:szCs w:val="24"/>
              </w:rPr>
            </w:pPr>
            <w:r w:rsidRPr="0082364E">
              <w:rPr>
                <w:b/>
                <w:sz w:val="24"/>
                <w:szCs w:val="24"/>
              </w:rPr>
              <w:t>Systemorganklasse</w:t>
            </w:r>
          </w:p>
        </w:tc>
        <w:tc>
          <w:tcPr>
            <w:tcW w:w="1181"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82364E">
              <w:rPr>
                <w:b/>
                <w:sz w:val="24"/>
                <w:szCs w:val="24"/>
              </w:rPr>
              <w:t xml:space="preserve">Sjældne </w:t>
            </w:r>
            <w:r w:rsidRPr="0082364E">
              <w:rPr>
                <w:sz w:val="24"/>
                <w:szCs w:val="24"/>
              </w:rPr>
              <w:t>(≥1/10.000 til &lt;1/1.000)</w:t>
            </w:r>
          </w:p>
        </w:tc>
        <w:tc>
          <w:tcPr>
            <w:tcW w:w="1209"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82364E">
              <w:rPr>
                <w:b/>
                <w:sz w:val="24"/>
                <w:szCs w:val="24"/>
              </w:rPr>
              <w:t xml:space="preserve">Meget sjældne </w:t>
            </w:r>
            <w:r w:rsidRPr="0082364E">
              <w:rPr>
                <w:sz w:val="24"/>
                <w:szCs w:val="24"/>
              </w:rPr>
              <w:t>(&lt;1/10.000)</w:t>
            </w:r>
          </w:p>
        </w:tc>
        <w:tc>
          <w:tcPr>
            <w:tcW w:w="1380" w:type="pct"/>
            <w:tcBorders>
              <w:top w:val="outset" w:sz="6" w:space="0" w:color="auto"/>
              <w:left w:val="outset" w:sz="6" w:space="0" w:color="auto"/>
              <w:bottom w:val="outset" w:sz="6" w:space="0" w:color="auto"/>
              <w:right w:val="nil"/>
            </w:tcBorders>
            <w:hideMark/>
          </w:tcPr>
          <w:p w:rsidR="0095659B" w:rsidRPr="0038614F" w:rsidRDefault="0095659B" w:rsidP="003B4BCE">
            <w:pPr>
              <w:snapToGrid w:val="0"/>
              <w:rPr>
                <w:sz w:val="24"/>
                <w:szCs w:val="24"/>
              </w:rPr>
            </w:pPr>
            <w:r w:rsidRPr="0082364E">
              <w:rPr>
                <w:b/>
                <w:sz w:val="24"/>
                <w:szCs w:val="24"/>
              </w:rPr>
              <w:t xml:space="preserve">Ikke kendt </w:t>
            </w:r>
            <w:r w:rsidRPr="0082364E">
              <w:rPr>
                <w:sz w:val="24"/>
                <w:szCs w:val="24"/>
              </w:rPr>
              <w:t>(kan ikke estimeres ud fra forhåndenværende data)</w:t>
            </w:r>
          </w:p>
        </w:tc>
      </w:tr>
      <w:tr w:rsidR="0095659B" w:rsidRPr="0082364E" w:rsidTr="003B4BCE">
        <w:trPr>
          <w:trHeight w:val="780"/>
          <w:tblCellSpacing w:w="0" w:type="dxa"/>
        </w:trPr>
        <w:tc>
          <w:tcPr>
            <w:tcW w:w="1230" w:type="pct"/>
            <w:tcBorders>
              <w:top w:val="outset" w:sz="6" w:space="0" w:color="auto"/>
              <w:left w:val="nil"/>
              <w:bottom w:val="outset" w:sz="6" w:space="0" w:color="auto"/>
              <w:right w:val="outset" w:sz="6" w:space="0" w:color="auto"/>
            </w:tcBorders>
            <w:hideMark/>
          </w:tcPr>
          <w:p w:rsidR="0095659B" w:rsidRPr="0038614F" w:rsidRDefault="0095659B" w:rsidP="003B4BCE">
            <w:pPr>
              <w:snapToGrid w:val="0"/>
              <w:rPr>
                <w:sz w:val="24"/>
                <w:szCs w:val="24"/>
              </w:rPr>
            </w:pPr>
            <w:r w:rsidRPr="0082364E">
              <w:rPr>
                <w:i/>
                <w:sz w:val="24"/>
                <w:szCs w:val="24"/>
              </w:rPr>
              <w:t>Blod og lymfesystem</w:t>
            </w:r>
          </w:p>
        </w:tc>
        <w:tc>
          <w:tcPr>
            <w:tcW w:w="1181"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38614F">
              <w:rPr>
                <w:sz w:val="24"/>
                <w:szCs w:val="24"/>
              </w:rPr>
              <w:t>—</w:t>
            </w:r>
          </w:p>
        </w:tc>
        <w:tc>
          <w:tcPr>
            <w:tcW w:w="1209"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proofErr w:type="spellStart"/>
            <w:r w:rsidRPr="0082364E">
              <w:rPr>
                <w:sz w:val="24"/>
                <w:szCs w:val="24"/>
              </w:rPr>
              <w:t>Trombocytopeni</w:t>
            </w:r>
            <w:proofErr w:type="spellEnd"/>
            <w:r w:rsidRPr="0082364E">
              <w:rPr>
                <w:sz w:val="24"/>
                <w:szCs w:val="24"/>
              </w:rPr>
              <w:t xml:space="preserve">, </w:t>
            </w:r>
            <w:proofErr w:type="spellStart"/>
            <w:r w:rsidRPr="0082364E">
              <w:rPr>
                <w:sz w:val="24"/>
                <w:szCs w:val="24"/>
              </w:rPr>
              <w:t>leukopeni</w:t>
            </w:r>
            <w:proofErr w:type="spellEnd"/>
            <w:r w:rsidRPr="0082364E">
              <w:rPr>
                <w:sz w:val="24"/>
                <w:szCs w:val="24"/>
              </w:rPr>
              <w:t xml:space="preserve">, </w:t>
            </w:r>
            <w:proofErr w:type="spellStart"/>
            <w:r w:rsidRPr="0082364E">
              <w:rPr>
                <w:sz w:val="24"/>
                <w:szCs w:val="24"/>
              </w:rPr>
              <w:t>neutropeni</w:t>
            </w:r>
            <w:proofErr w:type="spellEnd"/>
          </w:p>
        </w:tc>
        <w:tc>
          <w:tcPr>
            <w:tcW w:w="1380" w:type="pct"/>
            <w:tcBorders>
              <w:top w:val="outset" w:sz="6" w:space="0" w:color="auto"/>
              <w:left w:val="outset" w:sz="6" w:space="0" w:color="auto"/>
              <w:bottom w:val="outset" w:sz="6" w:space="0" w:color="auto"/>
              <w:right w:val="nil"/>
            </w:tcBorders>
            <w:hideMark/>
          </w:tcPr>
          <w:p w:rsidR="0095659B" w:rsidRPr="0038614F" w:rsidRDefault="0095659B" w:rsidP="003B4BCE">
            <w:pPr>
              <w:snapToGrid w:val="0"/>
              <w:rPr>
                <w:sz w:val="24"/>
                <w:szCs w:val="24"/>
              </w:rPr>
            </w:pPr>
            <w:r w:rsidRPr="0038614F">
              <w:rPr>
                <w:sz w:val="24"/>
                <w:szCs w:val="24"/>
              </w:rPr>
              <w:t>—</w:t>
            </w:r>
          </w:p>
        </w:tc>
      </w:tr>
      <w:tr w:rsidR="0095659B" w:rsidRPr="0082364E" w:rsidTr="003B4BCE">
        <w:trPr>
          <w:trHeight w:val="523"/>
          <w:tblCellSpacing w:w="0" w:type="dxa"/>
        </w:trPr>
        <w:tc>
          <w:tcPr>
            <w:tcW w:w="1230" w:type="pct"/>
            <w:tcBorders>
              <w:top w:val="outset" w:sz="6" w:space="0" w:color="auto"/>
              <w:left w:val="nil"/>
              <w:bottom w:val="outset" w:sz="6" w:space="0" w:color="auto"/>
              <w:right w:val="outset" w:sz="6" w:space="0" w:color="auto"/>
            </w:tcBorders>
            <w:hideMark/>
          </w:tcPr>
          <w:p w:rsidR="0095659B" w:rsidRPr="0038614F" w:rsidRDefault="0095659B" w:rsidP="003B4BCE">
            <w:pPr>
              <w:snapToGrid w:val="0"/>
              <w:rPr>
                <w:sz w:val="24"/>
                <w:szCs w:val="24"/>
              </w:rPr>
            </w:pPr>
            <w:r w:rsidRPr="0082364E">
              <w:rPr>
                <w:i/>
                <w:sz w:val="24"/>
                <w:szCs w:val="24"/>
              </w:rPr>
              <w:t>Immunsystemet</w:t>
            </w:r>
          </w:p>
        </w:tc>
        <w:tc>
          <w:tcPr>
            <w:tcW w:w="1181"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38614F">
              <w:rPr>
                <w:sz w:val="24"/>
                <w:szCs w:val="24"/>
              </w:rPr>
              <w:t>—</w:t>
            </w:r>
          </w:p>
        </w:tc>
        <w:tc>
          <w:tcPr>
            <w:tcW w:w="1209"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82364E">
              <w:rPr>
                <w:sz w:val="24"/>
                <w:szCs w:val="24"/>
              </w:rPr>
              <w:t>Overfølsomhedsreaktion (1</w:t>
            </w:r>
            <w:r>
              <w:rPr>
                <w:sz w:val="24"/>
                <w:szCs w:val="24"/>
              </w:rPr>
              <w:t>, 3</w:t>
            </w:r>
            <w:r w:rsidRPr="0082364E">
              <w:rPr>
                <w:sz w:val="24"/>
                <w:szCs w:val="24"/>
              </w:rPr>
              <w:t>)</w:t>
            </w:r>
          </w:p>
        </w:tc>
        <w:tc>
          <w:tcPr>
            <w:tcW w:w="1380" w:type="pct"/>
            <w:tcBorders>
              <w:top w:val="outset" w:sz="6" w:space="0" w:color="auto"/>
              <w:left w:val="outset" w:sz="6" w:space="0" w:color="auto"/>
              <w:bottom w:val="outset" w:sz="6" w:space="0" w:color="auto"/>
              <w:right w:val="nil"/>
            </w:tcBorders>
            <w:hideMark/>
          </w:tcPr>
          <w:p w:rsidR="0095659B" w:rsidRPr="0038614F" w:rsidRDefault="0095659B" w:rsidP="003B4BCE">
            <w:pPr>
              <w:snapToGrid w:val="0"/>
              <w:rPr>
                <w:sz w:val="24"/>
                <w:szCs w:val="24"/>
              </w:rPr>
            </w:pPr>
            <w:r w:rsidRPr="0038614F">
              <w:rPr>
                <w:sz w:val="24"/>
                <w:szCs w:val="24"/>
              </w:rPr>
              <w:t>—</w:t>
            </w:r>
          </w:p>
        </w:tc>
      </w:tr>
      <w:tr w:rsidR="0095659B" w:rsidRPr="0082364E" w:rsidTr="003B4BCE">
        <w:trPr>
          <w:trHeight w:val="268"/>
          <w:tblCellSpacing w:w="0" w:type="dxa"/>
        </w:trPr>
        <w:tc>
          <w:tcPr>
            <w:tcW w:w="1230" w:type="pct"/>
            <w:tcBorders>
              <w:top w:val="outset" w:sz="6" w:space="0" w:color="auto"/>
              <w:left w:val="nil"/>
              <w:bottom w:val="outset" w:sz="6" w:space="0" w:color="auto"/>
              <w:right w:val="outset" w:sz="6" w:space="0" w:color="auto"/>
            </w:tcBorders>
            <w:hideMark/>
          </w:tcPr>
          <w:p w:rsidR="0095659B" w:rsidRPr="0038614F" w:rsidRDefault="0095659B" w:rsidP="003B4BCE">
            <w:pPr>
              <w:snapToGrid w:val="0"/>
              <w:rPr>
                <w:sz w:val="24"/>
                <w:szCs w:val="24"/>
              </w:rPr>
            </w:pPr>
            <w:r w:rsidRPr="0082364E">
              <w:rPr>
                <w:i/>
                <w:sz w:val="24"/>
                <w:szCs w:val="24"/>
              </w:rPr>
              <w:t>Hjerte</w:t>
            </w:r>
          </w:p>
        </w:tc>
        <w:tc>
          <w:tcPr>
            <w:tcW w:w="1181"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38614F">
              <w:rPr>
                <w:sz w:val="24"/>
                <w:szCs w:val="24"/>
              </w:rPr>
              <w:t>—</w:t>
            </w:r>
          </w:p>
        </w:tc>
        <w:tc>
          <w:tcPr>
            <w:tcW w:w="1209"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38614F">
              <w:rPr>
                <w:sz w:val="24"/>
                <w:szCs w:val="24"/>
              </w:rPr>
              <w:t>—</w:t>
            </w:r>
          </w:p>
        </w:tc>
        <w:tc>
          <w:tcPr>
            <w:tcW w:w="1380" w:type="pct"/>
            <w:tcBorders>
              <w:top w:val="outset" w:sz="6" w:space="0" w:color="auto"/>
              <w:left w:val="outset" w:sz="6" w:space="0" w:color="auto"/>
              <w:bottom w:val="outset" w:sz="6" w:space="0" w:color="auto"/>
              <w:right w:val="nil"/>
            </w:tcBorders>
            <w:hideMark/>
          </w:tcPr>
          <w:p w:rsidR="0095659B" w:rsidRPr="0038614F" w:rsidRDefault="0095659B" w:rsidP="003B4BCE">
            <w:pPr>
              <w:snapToGrid w:val="0"/>
              <w:rPr>
                <w:sz w:val="24"/>
                <w:szCs w:val="24"/>
              </w:rPr>
            </w:pPr>
            <w:proofErr w:type="spellStart"/>
            <w:r w:rsidRPr="0082364E">
              <w:rPr>
                <w:sz w:val="24"/>
                <w:szCs w:val="24"/>
              </w:rPr>
              <w:t>Takykardi</w:t>
            </w:r>
            <w:proofErr w:type="spellEnd"/>
            <w:r w:rsidRPr="0082364E">
              <w:rPr>
                <w:sz w:val="24"/>
                <w:szCs w:val="24"/>
              </w:rPr>
              <w:t xml:space="preserve"> (2)</w:t>
            </w:r>
          </w:p>
        </w:tc>
      </w:tr>
      <w:tr w:rsidR="0095659B" w:rsidRPr="0082364E" w:rsidTr="003B4BCE">
        <w:trPr>
          <w:trHeight w:val="268"/>
          <w:tblCellSpacing w:w="0" w:type="dxa"/>
        </w:trPr>
        <w:tc>
          <w:tcPr>
            <w:tcW w:w="1230" w:type="pct"/>
            <w:tcBorders>
              <w:top w:val="outset" w:sz="6" w:space="0" w:color="auto"/>
              <w:left w:val="nil"/>
              <w:bottom w:val="outset" w:sz="6" w:space="0" w:color="auto"/>
              <w:right w:val="outset" w:sz="6" w:space="0" w:color="auto"/>
            </w:tcBorders>
            <w:hideMark/>
          </w:tcPr>
          <w:p w:rsidR="0095659B" w:rsidRPr="0038614F" w:rsidRDefault="0095659B" w:rsidP="003B4BCE">
            <w:pPr>
              <w:snapToGrid w:val="0"/>
              <w:rPr>
                <w:sz w:val="24"/>
                <w:szCs w:val="24"/>
              </w:rPr>
            </w:pPr>
            <w:proofErr w:type="spellStart"/>
            <w:r w:rsidRPr="0082364E">
              <w:rPr>
                <w:i/>
                <w:sz w:val="24"/>
                <w:szCs w:val="24"/>
              </w:rPr>
              <w:t>Vaskulære</w:t>
            </w:r>
            <w:proofErr w:type="spellEnd"/>
            <w:r w:rsidRPr="0082364E">
              <w:rPr>
                <w:i/>
                <w:sz w:val="24"/>
                <w:szCs w:val="24"/>
              </w:rPr>
              <w:t xml:space="preserve"> sygdomme</w:t>
            </w:r>
          </w:p>
        </w:tc>
        <w:tc>
          <w:tcPr>
            <w:tcW w:w="1181"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82364E">
              <w:rPr>
                <w:sz w:val="24"/>
                <w:szCs w:val="24"/>
              </w:rPr>
              <w:t>Hypotension</w:t>
            </w:r>
          </w:p>
        </w:tc>
        <w:tc>
          <w:tcPr>
            <w:tcW w:w="1209"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38614F">
              <w:rPr>
                <w:sz w:val="24"/>
                <w:szCs w:val="24"/>
              </w:rPr>
              <w:t>—</w:t>
            </w:r>
          </w:p>
        </w:tc>
        <w:tc>
          <w:tcPr>
            <w:tcW w:w="1380" w:type="pct"/>
            <w:tcBorders>
              <w:top w:val="outset" w:sz="6" w:space="0" w:color="auto"/>
              <w:left w:val="outset" w:sz="6" w:space="0" w:color="auto"/>
              <w:bottom w:val="outset" w:sz="6" w:space="0" w:color="auto"/>
              <w:right w:val="nil"/>
            </w:tcBorders>
            <w:hideMark/>
          </w:tcPr>
          <w:p w:rsidR="0095659B" w:rsidRPr="0038614F" w:rsidRDefault="0095659B" w:rsidP="003B4BCE">
            <w:pPr>
              <w:snapToGrid w:val="0"/>
              <w:rPr>
                <w:sz w:val="24"/>
                <w:szCs w:val="24"/>
              </w:rPr>
            </w:pPr>
            <w:r w:rsidRPr="0082364E">
              <w:rPr>
                <w:sz w:val="24"/>
                <w:szCs w:val="24"/>
              </w:rPr>
              <w:t>Hedeture (2)</w:t>
            </w:r>
          </w:p>
        </w:tc>
      </w:tr>
      <w:tr w:rsidR="0095659B" w:rsidRPr="0082364E" w:rsidTr="003B4BCE">
        <w:trPr>
          <w:trHeight w:val="792"/>
          <w:tblCellSpacing w:w="0" w:type="dxa"/>
        </w:trPr>
        <w:tc>
          <w:tcPr>
            <w:tcW w:w="1230" w:type="pct"/>
            <w:tcBorders>
              <w:top w:val="outset" w:sz="6" w:space="0" w:color="auto"/>
              <w:left w:val="nil"/>
              <w:bottom w:val="outset" w:sz="6" w:space="0" w:color="auto"/>
              <w:right w:val="outset" w:sz="6" w:space="0" w:color="auto"/>
            </w:tcBorders>
            <w:hideMark/>
          </w:tcPr>
          <w:p w:rsidR="0095659B" w:rsidRPr="0038614F" w:rsidRDefault="0095659B" w:rsidP="003B4BCE">
            <w:pPr>
              <w:snapToGrid w:val="0"/>
              <w:rPr>
                <w:sz w:val="24"/>
                <w:szCs w:val="24"/>
              </w:rPr>
            </w:pPr>
            <w:r w:rsidRPr="0082364E">
              <w:rPr>
                <w:i/>
                <w:sz w:val="24"/>
                <w:szCs w:val="24"/>
              </w:rPr>
              <w:t>Lever og galdeveje</w:t>
            </w:r>
          </w:p>
        </w:tc>
        <w:tc>
          <w:tcPr>
            <w:tcW w:w="1181"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82364E">
              <w:rPr>
                <w:sz w:val="24"/>
                <w:szCs w:val="24"/>
              </w:rPr>
              <w:t xml:space="preserve">Forhøjede niveauer af </w:t>
            </w:r>
            <w:proofErr w:type="spellStart"/>
            <w:r w:rsidRPr="0082364E">
              <w:rPr>
                <w:sz w:val="24"/>
                <w:szCs w:val="24"/>
              </w:rPr>
              <w:t>levertransaminaser</w:t>
            </w:r>
            <w:proofErr w:type="spellEnd"/>
          </w:p>
        </w:tc>
        <w:tc>
          <w:tcPr>
            <w:tcW w:w="1209"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38614F">
              <w:rPr>
                <w:sz w:val="24"/>
                <w:szCs w:val="24"/>
              </w:rPr>
              <w:t>—</w:t>
            </w:r>
          </w:p>
        </w:tc>
        <w:tc>
          <w:tcPr>
            <w:tcW w:w="1380" w:type="pct"/>
            <w:tcBorders>
              <w:top w:val="outset" w:sz="6" w:space="0" w:color="auto"/>
              <w:left w:val="outset" w:sz="6" w:space="0" w:color="auto"/>
              <w:bottom w:val="outset" w:sz="6" w:space="0" w:color="auto"/>
              <w:right w:val="nil"/>
            </w:tcBorders>
            <w:hideMark/>
          </w:tcPr>
          <w:p w:rsidR="0095659B" w:rsidRPr="0038614F" w:rsidRDefault="0095659B" w:rsidP="003B4BCE">
            <w:pPr>
              <w:snapToGrid w:val="0"/>
              <w:rPr>
                <w:sz w:val="24"/>
                <w:szCs w:val="24"/>
              </w:rPr>
            </w:pPr>
            <w:r w:rsidRPr="0038614F">
              <w:rPr>
                <w:sz w:val="24"/>
                <w:szCs w:val="24"/>
              </w:rPr>
              <w:t>—</w:t>
            </w:r>
          </w:p>
        </w:tc>
      </w:tr>
      <w:tr w:rsidR="0095659B" w:rsidRPr="0082364E" w:rsidTr="003B4BCE">
        <w:trPr>
          <w:trHeight w:val="792"/>
          <w:tblCellSpacing w:w="0" w:type="dxa"/>
        </w:trPr>
        <w:tc>
          <w:tcPr>
            <w:tcW w:w="1230" w:type="pct"/>
            <w:tcBorders>
              <w:top w:val="outset" w:sz="6" w:space="0" w:color="auto"/>
              <w:left w:val="nil"/>
              <w:bottom w:val="outset" w:sz="6" w:space="0" w:color="auto"/>
              <w:right w:val="outset" w:sz="6" w:space="0" w:color="auto"/>
            </w:tcBorders>
            <w:hideMark/>
          </w:tcPr>
          <w:p w:rsidR="0095659B" w:rsidRPr="0038614F" w:rsidRDefault="0095659B" w:rsidP="003B4BCE">
            <w:pPr>
              <w:snapToGrid w:val="0"/>
              <w:rPr>
                <w:sz w:val="24"/>
                <w:szCs w:val="24"/>
              </w:rPr>
            </w:pPr>
            <w:r w:rsidRPr="0082364E">
              <w:rPr>
                <w:i/>
                <w:sz w:val="24"/>
                <w:szCs w:val="24"/>
              </w:rPr>
              <w:t>Hud og subkutane væv</w:t>
            </w:r>
          </w:p>
        </w:tc>
        <w:tc>
          <w:tcPr>
            <w:tcW w:w="1181"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38614F">
              <w:rPr>
                <w:sz w:val="24"/>
                <w:szCs w:val="24"/>
              </w:rPr>
              <w:t>—</w:t>
            </w:r>
          </w:p>
        </w:tc>
        <w:tc>
          <w:tcPr>
            <w:tcW w:w="1209"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38614F">
              <w:rPr>
                <w:sz w:val="24"/>
                <w:szCs w:val="24"/>
              </w:rPr>
              <w:t>Alvorlige hudreaktioner (3)</w:t>
            </w:r>
          </w:p>
        </w:tc>
        <w:tc>
          <w:tcPr>
            <w:tcW w:w="1380" w:type="pct"/>
            <w:tcBorders>
              <w:top w:val="outset" w:sz="6" w:space="0" w:color="auto"/>
              <w:left w:val="outset" w:sz="6" w:space="0" w:color="auto"/>
              <w:bottom w:val="outset" w:sz="6" w:space="0" w:color="auto"/>
              <w:right w:val="nil"/>
            </w:tcBorders>
            <w:hideMark/>
          </w:tcPr>
          <w:p w:rsidR="0095659B" w:rsidRPr="0038614F" w:rsidRDefault="0095659B" w:rsidP="003B4BCE">
            <w:pPr>
              <w:rPr>
                <w:sz w:val="24"/>
                <w:szCs w:val="24"/>
              </w:rPr>
            </w:pPr>
            <w:proofErr w:type="spellStart"/>
            <w:proofErr w:type="gramStart"/>
            <w:r w:rsidRPr="0082364E">
              <w:rPr>
                <w:sz w:val="24"/>
                <w:szCs w:val="24"/>
              </w:rPr>
              <w:t>Pruritus</w:t>
            </w:r>
            <w:proofErr w:type="spellEnd"/>
            <w:r w:rsidRPr="0082364E">
              <w:rPr>
                <w:sz w:val="24"/>
                <w:szCs w:val="24"/>
              </w:rPr>
              <w:t>,(</w:t>
            </w:r>
            <w:proofErr w:type="gramEnd"/>
            <w:r w:rsidRPr="0082364E">
              <w:rPr>
                <w:sz w:val="24"/>
                <w:szCs w:val="24"/>
              </w:rPr>
              <w:t>2)</w:t>
            </w:r>
          </w:p>
          <w:p w:rsidR="0095659B" w:rsidRPr="0038614F" w:rsidRDefault="0095659B" w:rsidP="003B4BCE">
            <w:pPr>
              <w:snapToGrid w:val="0"/>
              <w:rPr>
                <w:sz w:val="24"/>
                <w:szCs w:val="24"/>
              </w:rPr>
            </w:pPr>
            <w:proofErr w:type="spellStart"/>
            <w:r w:rsidRPr="0082364E">
              <w:rPr>
                <w:sz w:val="24"/>
                <w:szCs w:val="24"/>
              </w:rPr>
              <w:t>Erythem</w:t>
            </w:r>
            <w:proofErr w:type="spellEnd"/>
            <w:r w:rsidRPr="0082364E">
              <w:rPr>
                <w:sz w:val="24"/>
                <w:szCs w:val="24"/>
              </w:rPr>
              <w:t xml:space="preserve"> (2)</w:t>
            </w:r>
          </w:p>
        </w:tc>
      </w:tr>
      <w:tr w:rsidR="0095659B" w:rsidRPr="0082364E" w:rsidTr="003B4BCE">
        <w:trPr>
          <w:trHeight w:val="766"/>
          <w:tblCellSpacing w:w="0" w:type="dxa"/>
        </w:trPr>
        <w:tc>
          <w:tcPr>
            <w:tcW w:w="1230" w:type="pct"/>
            <w:tcBorders>
              <w:top w:val="outset" w:sz="6" w:space="0" w:color="auto"/>
              <w:left w:val="nil"/>
              <w:bottom w:val="outset" w:sz="6" w:space="0" w:color="auto"/>
              <w:right w:val="outset" w:sz="6" w:space="0" w:color="auto"/>
            </w:tcBorders>
            <w:hideMark/>
          </w:tcPr>
          <w:p w:rsidR="0095659B" w:rsidRPr="0038614F" w:rsidRDefault="0095659B" w:rsidP="003B4BCE">
            <w:pPr>
              <w:snapToGrid w:val="0"/>
              <w:rPr>
                <w:sz w:val="24"/>
                <w:szCs w:val="24"/>
              </w:rPr>
            </w:pPr>
            <w:r w:rsidRPr="0082364E">
              <w:rPr>
                <w:i/>
                <w:sz w:val="24"/>
                <w:szCs w:val="24"/>
              </w:rPr>
              <w:t>Almene symptomer og reaktioner på administrationsstedet</w:t>
            </w:r>
          </w:p>
        </w:tc>
        <w:tc>
          <w:tcPr>
            <w:tcW w:w="1181"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82364E">
              <w:rPr>
                <w:sz w:val="24"/>
                <w:szCs w:val="24"/>
              </w:rPr>
              <w:t>Utilpashed</w:t>
            </w:r>
          </w:p>
        </w:tc>
        <w:tc>
          <w:tcPr>
            <w:tcW w:w="1209" w:type="pct"/>
            <w:tcBorders>
              <w:top w:val="outset" w:sz="6" w:space="0" w:color="auto"/>
              <w:left w:val="outset" w:sz="6" w:space="0" w:color="auto"/>
              <w:bottom w:val="outset" w:sz="6" w:space="0" w:color="auto"/>
              <w:right w:val="outset" w:sz="6" w:space="0" w:color="auto"/>
            </w:tcBorders>
            <w:hideMark/>
          </w:tcPr>
          <w:p w:rsidR="0095659B" w:rsidRPr="0038614F" w:rsidRDefault="0095659B" w:rsidP="003B4BCE">
            <w:pPr>
              <w:snapToGrid w:val="0"/>
              <w:rPr>
                <w:sz w:val="24"/>
                <w:szCs w:val="24"/>
              </w:rPr>
            </w:pPr>
            <w:r w:rsidRPr="0038614F">
              <w:rPr>
                <w:sz w:val="24"/>
                <w:szCs w:val="24"/>
              </w:rPr>
              <w:t>—</w:t>
            </w:r>
          </w:p>
        </w:tc>
        <w:tc>
          <w:tcPr>
            <w:tcW w:w="1380" w:type="pct"/>
            <w:tcBorders>
              <w:top w:val="outset" w:sz="6" w:space="0" w:color="auto"/>
              <w:left w:val="outset" w:sz="6" w:space="0" w:color="auto"/>
              <w:bottom w:val="outset" w:sz="6" w:space="0" w:color="auto"/>
              <w:right w:val="nil"/>
            </w:tcBorders>
            <w:hideMark/>
          </w:tcPr>
          <w:p w:rsidR="0095659B" w:rsidRPr="0038614F" w:rsidRDefault="0095659B" w:rsidP="003B4BCE">
            <w:pPr>
              <w:snapToGrid w:val="0"/>
              <w:rPr>
                <w:sz w:val="24"/>
                <w:szCs w:val="24"/>
              </w:rPr>
            </w:pPr>
            <w:r w:rsidRPr="0038614F">
              <w:rPr>
                <w:sz w:val="24"/>
                <w:szCs w:val="24"/>
              </w:rPr>
              <w:t>—</w:t>
            </w:r>
          </w:p>
        </w:tc>
      </w:tr>
    </w:tbl>
    <w:p w:rsidR="0095659B" w:rsidRPr="00E73AE9" w:rsidRDefault="0095659B" w:rsidP="0095659B">
      <w:pPr>
        <w:ind w:left="851" w:hanging="851"/>
        <w:rPr>
          <w:sz w:val="24"/>
          <w:szCs w:val="24"/>
          <w:lang w:val="en-GB"/>
        </w:rPr>
      </w:pPr>
    </w:p>
    <w:p w:rsidR="0095659B" w:rsidRPr="0038614F" w:rsidRDefault="0095659B" w:rsidP="0095659B">
      <w:pPr>
        <w:ind w:left="1276" w:hanging="425"/>
        <w:rPr>
          <w:sz w:val="24"/>
          <w:szCs w:val="24"/>
        </w:rPr>
      </w:pPr>
      <w:r w:rsidRPr="0038614F">
        <w:rPr>
          <w:sz w:val="24"/>
          <w:szCs w:val="24"/>
        </w:rPr>
        <w:t>(1)</w:t>
      </w:r>
      <w:r w:rsidRPr="0038614F">
        <w:rPr>
          <w:sz w:val="24"/>
          <w:szCs w:val="24"/>
        </w:rPr>
        <w:tab/>
      </w:r>
      <w:r w:rsidRPr="0082364E">
        <w:rPr>
          <w:sz w:val="24"/>
          <w:szCs w:val="24"/>
        </w:rPr>
        <w:t xml:space="preserve">Meget sjældne tilfælde af overfølsomhedsreaktioner lige fra simpelt hududslæt eller </w:t>
      </w:r>
      <w:proofErr w:type="spellStart"/>
      <w:r w:rsidRPr="0082364E">
        <w:rPr>
          <w:sz w:val="24"/>
          <w:szCs w:val="24"/>
        </w:rPr>
        <w:t>urticaria</w:t>
      </w:r>
      <w:proofErr w:type="spellEnd"/>
      <w:r w:rsidRPr="0082364E">
        <w:rPr>
          <w:sz w:val="24"/>
          <w:szCs w:val="24"/>
        </w:rPr>
        <w:t xml:space="preserve"> til </w:t>
      </w:r>
      <w:proofErr w:type="spellStart"/>
      <w:r w:rsidRPr="0082364E">
        <w:rPr>
          <w:sz w:val="24"/>
          <w:szCs w:val="24"/>
        </w:rPr>
        <w:t>anafylaktisk</w:t>
      </w:r>
      <w:proofErr w:type="spellEnd"/>
      <w:r w:rsidRPr="0082364E">
        <w:rPr>
          <w:sz w:val="24"/>
          <w:szCs w:val="24"/>
        </w:rPr>
        <w:t xml:space="preserve"> </w:t>
      </w:r>
      <w:proofErr w:type="spellStart"/>
      <w:r w:rsidRPr="0082364E">
        <w:rPr>
          <w:sz w:val="24"/>
          <w:szCs w:val="24"/>
        </w:rPr>
        <w:t>shock</w:t>
      </w:r>
      <w:proofErr w:type="spellEnd"/>
      <w:r w:rsidRPr="0082364E">
        <w:rPr>
          <w:sz w:val="24"/>
          <w:szCs w:val="24"/>
        </w:rPr>
        <w:t xml:space="preserve"> er rapporteret og kræver </w:t>
      </w:r>
      <w:proofErr w:type="spellStart"/>
      <w:r w:rsidRPr="0082364E">
        <w:rPr>
          <w:sz w:val="24"/>
          <w:szCs w:val="24"/>
        </w:rPr>
        <w:t>seponering</w:t>
      </w:r>
      <w:proofErr w:type="spellEnd"/>
      <w:r w:rsidRPr="0082364E">
        <w:rPr>
          <w:sz w:val="24"/>
          <w:szCs w:val="24"/>
        </w:rPr>
        <w:t xml:space="preserve"> af behandling.</w:t>
      </w:r>
    </w:p>
    <w:p w:rsidR="0095659B" w:rsidRPr="0038614F" w:rsidRDefault="0095659B" w:rsidP="0095659B">
      <w:pPr>
        <w:ind w:left="1276" w:hanging="425"/>
        <w:rPr>
          <w:sz w:val="24"/>
          <w:szCs w:val="24"/>
        </w:rPr>
      </w:pPr>
      <w:r w:rsidRPr="0038614F">
        <w:rPr>
          <w:sz w:val="24"/>
          <w:szCs w:val="24"/>
        </w:rPr>
        <w:t>(2)</w:t>
      </w:r>
      <w:r w:rsidRPr="0038614F">
        <w:rPr>
          <w:sz w:val="24"/>
          <w:szCs w:val="24"/>
        </w:rPr>
        <w:tab/>
      </w:r>
      <w:r w:rsidRPr="0082364E">
        <w:rPr>
          <w:sz w:val="24"/>
          <w:szCs w:val="24"/>
        </w:rPr>
        <w:t>Isolerede tilfælde</w:t>
      </w:r>
      <w:r w:rsidR="007E3B70">
        <w:rPr>
          <w:sz w:val="24"/>
          <w:szCs w:val="24"/>
        </w:rPr>
        <w:t>.</w:t>
      </w:r>
    </w:p>
    <w:p w:rsidR="0095659B" w:rsidRPr="001F5CF6" w:rsidRDefault="0095659B" w:rsidP="0095659B">
      <w:pPr>
        <w:ind w:left="1276" w:hanging="425"/>
        <w:rPr>
          <w:sz w:val="24"/>
          <w:szCs w:val="24"/>
        </w:rPr>
      </w:pPr>
      <w:r w:rsidRPr="001F5CF6">
        <w:rPr>
          <w:sz w:val="24"/>
          <w:szCs w:val="24"/>
        </w:rPr>
        <w:t>(3)</w:t>
      </w:r>
      <w:r w:rsidRPr="001F5CF6">
        <w:rPr>
          <w:sz w:val="24"/>
          <w:szCs w:val="24"/>
        </w:rPr>
        <w:tab/>
        <w:t>Meget sjældne tilfælde af alvorlige hudreaktioner er rapporteret.</w:t>
      </w:r>
    </w:p>
    <w:p w:rsidR="0095659B" w:rsidRPr="001F5CF6" w:rsidRDefault="0095659B" w:rsidP="0095659B">
      <w:pPr>
        <w:ind w:left="851" w:hanging="851"/>
        <w:rPr>
          <w:sz w:val="24"/>
          <w:szCs w:val="24"/>
        </w:rPr>
      </w:pPr>
    </w:p>
    <w:p w:rsidR="0095659B" w:rsidRPr="0082364E" w:rsidRDefault="0095659B" w:rsidP="0095659B">
      <w:pPr>
        <w:ind w:left="851"/>
        <w:rPr>
          <w:sz w:val="24"/>
          <w:szCs w:val="24"/>
        </w:rPr>
      </w:pPr>
      <w:r w:rsidRPr="0082364E">
        <w:rPr>
          <w:sz w:val="24"/>
          <w:szCs w:val="24"/>
        </w:rPr>
        <w:t>Der er blevet rapporteret om hyppige bivirkninger på injektionsstedet under kliniske forsøg (smerte og brændende fornemmelse).</w:t>
      </w:r>
    </w:p>
    <w:p w:rsidR="0095659B" w:rsidRPr="0082364E" w:rsidRDefault="0095659B" w:rsidP="0095659B">
      <w:pPr>
        <w:ind w:left="851"/>
        <w:rPr>
          <w:sz w:val="24"/>
          <w:szCs w:val="24"/>
        </w:rPr>
      </w:pPr>
    </w:p>
    <w:p w:rsidR="0095659B" w:rsidRPr="001F5CF6" w:rsidRDefault="0095659B" w:rsidP="0095659B">
      <w:pPr>
        <w:pStyle w:val="Sidehoved"/>
        <w:tabs>
          <w:tab w:val="left" w:pos="567"/>
        </w:tabs>
        <w:ind w:left="851"/>
        <w:rPr>
          <w:szCs w:val="24"/>
          <w:u w:val="single"/>
        </w:rPr>
      </w:pPr>
      <w:r w:rsidRPr="001F5CF6">
        <w:rPr>
          <w:szCs w:val="24"/>
          <w:u w:val="single"/>
        </w:rPr>
        <w:t xml:space="preserve">Indberetning af </w:t>
      </w:r>
      <w:r>
        <w:rPr>
          <w:szCs w:val="24"/>
          <w:u w:val="single"/>
        </w:rPr>
        <w:t>formodede</w:t>
      </w:r>
      <w:r w:rsidRPr="001F5CF6">
        <w:rPr>
          <w:szCs w:val="24"/>
          <w:u w:val="single"/>
        </w:rPr>
        <w:t xml:space="preserve"> bivirkninger</w:t>
      </w:r>
    </w:p>
    <w:p w:rsidR="007E3B70" w:rsidRPr="00A3222C" w:rsidRDefault="007E3B70" w:rsidP="007E3B70">
      <w:pPr>
        <w:pStyle w:val="Sidehoved"/>
        <w:tabs>
          <w:tab w:val="left" w:pos="567"/>
        </w:tabs>
        <w:ind w:left="851"/>
        <w:rPr>
          <w:szCs w:val="24"/>
        </w:rPr>
      </w:pPr>
      <w:r w:rsidRPr="00A3222C">
        <w:rPr>
          <w:szCs w:val="24"/>
        </w:rPr>
        <w:t>Når lægemidlet er godkendt, er indberetning af formodede bivirkninger vigtig. Det muliggør løbende overvågning af benefit/</w:t>
      </w:r>
      <w:proofErr w:type="spellStart"/>
      <w:r w:rsidRPr="00A3222C">
        <w:rPr>
          <w:szCs w:val="24"/>
        </w:rPr>
        <w:t>risk</w:t>
      </w:r>
      <w:proofErr w:type="spellEnd"/>
      <w:r w:rsidRPr="00A3222C">
        <w:rPr>
          <w:szCs w:val="24"/>
        </w:rPr>
        <w:t>-forholdet for lægemidlet. Sundhedspersoner anmodes om at indberette alle formodede bivirkninger til:</w:t>
      </w:r>
    </w:p>
    <w:p w:rsidR="007E3B70" w:rsidRPr="00A3222C" w:rsidRDefault="007E3B70" w:rsidP="007E3B70">
      <w:pPr>
        <w:pStyle w:val="Sidehoved"/>
        <w:tabs>
          <w:tab w:val="left" w:pos="567"/>
        </w:tabs>
        <w:ind w:firstLine="851"/>
        <w:rPr>
          <w:szCs w:val="24"/>
        </w:rPr>
      </w:pPr>
      <w:r w:rsidRPr="00A3222C">
        <w:rPr>
          <w:iCs/>
          <w:szCs w:val="24"/>
        </w:rPr>
        <w:t xml:space="preserve">Lægemiddelstyrelsen </w:t>
      </w:r>
    </w:p>
    <w:p w:rsidR="007E3B70" w:rsidRPr="00A3222C" w:rsidRDefault="007E3B70" w:rsidP="007E3B70">
      <w:pPr>
        <w:pStyle w:val="Sidehoved"/>
        <w:tabs>
          <w:tab w:val="left" w:pos="567"/>
        </w:tabs>
        <w:ind w:firstLine="851"/>
        <w:rPr>
          <w:szCs w:val="24"/>
        </w:rPr>
      </w:pPr>
      <w:r w:rsidRPr="00A3222C">
        <w:rPr>
          <w:iCs/>
          <w:szCs w:val="24"/>
        </w:rPr>
        <w:t>Axel Heides Gade 1</w:t>
      </w:r>
    </w:p>
    <w:p w:rsidR="007E3B70" w:rsidRPr="00A3222C" w:rsidRDefault="007E3B70" w:rsidP="007E3B70">
      <w:pPr>
        <w:pStyle w:val="Sidehoved"/>
        <w:tabs>
          <w:tab w:val="left" w:pos="567"/>
        </w:tabs>
        <w:ind w:firstLine="851"/>
        <w:rPr>
          <w:szCs w:val="24"/>
        </w:rPr>
      </w:pPr>
      <w:r w:rsidRPr="00A3222C">
        <w:rPr>
          <w:iCs/>
          <w:szCs w:val="24"/>
        </w:rPr>
        <w:t>DK-2300 København S</w:t>
      </w:r>
    </w:p>
    <w:p w:rsidR="007E3B70" w:rsidRPr="00A55BE7" w:rsidRDefault="007E3B70" w:rsidP="007E3B70">
      <w:pPr>
        <w:pStyle w:val="Sidehoved"/>
        <w:tabs>
          <w:tab w:val="left" w:pos="567"/>
        </w:tabs>
        <w:ind w:firstLine="851"/>
        <w:rPr>
          <w:szCs w:val="24"/>
        </w:rPr>
      </w:pPr>
      <w:r w:rsidRPr="00A55BE7">
        <w:rPr>
          <w:iCs/>
          <w:szCs w:val="24"/>
        </w:rPr>
        <w:t xml:space="preserve">Websted: </w:t>
      </w:r>
      <w:hyperlink r:id="rId8" w:history="1">
        <w:r w:rsidRPr="00A55BE7">
          <w:rPr>
            <w:rStyle w:val="Hyperlink"/>
            <w:iCs/>
            <w:szCs w:val="24"/>
          </w:rPr>
          <w:t>www.meldenbivirkning.dk</w:t>
        </w:r>
      </w:hyperlink>
      <w:r w:rsidRPr="00A55BE7">
        <w:rPr>
          <w:rStyle w:val="Hyperlink"/>
          <w:iCs/>
          <w:szCs w:val="24"/>
        </w:rPr>
        <w:t xml:space="preserve"> </w:t>
      </w:r>
    </w:p>
    <w:p w:rsidR="0095659B" w:rsidRPr="007E3B70" w:rsidRDefault="0095659B" w:rsidP="0095659B">
      <w:pPr>
        <w:pStyle w:val="Sidehoved"/>
        <w:tabs>
          <w:tab w:val="clear" w:pos="4819"/>
          <w:tab w:val="clear" w:pos="9638"/>
        </w:tabs>
        <w:ind w:left="851" w:hanging="851"/>
        <w:rPr>
          <w:szCs w:val="24"/>
        </w:rPr>
      </w:pPr>
    </w:p>
    <w:p w:rsidR="0095659B" w:rsidRPr="00E73AE9" w:rsidRDefault="0095659B" w:rsidP="0095659B">
      <w:pPr>
        <w:numPr>
          <w:ilvl w:val="1"/>
          <w:numId w:val="1"/>
        </w:numPr>
        <w:tabs>
          <w:tab w:val="clear" w:pos="855"/>
        </w:tabs>
        <w:ind w:left="851" w:hanging="851"/>
        <w:rPr>
          <w:b/>
          <w:sz w:val="24"/>
          <w:szCs w:val="24"/>
        </w:rPr>
      </w:pPr>
      <w:r w:rsidRPr="00E73AE9">
        <w:rPr>
          <w:b/>
          <w:sz w:val="24"/>
          <w:szCs w:val="24"/>
        </w:rPr>
        <w:t>Overdosering</w:t>
      </w:r>
    </w:p>
    <w:p w:rsidR="0095659B" w:rsidRPr="00E73AE9" w:rsidRDefault="0095659B" w:rsidP="0095659B">
      <w:pPr>
        <w:ind w:left="851"/>
        <w:rPr>
          <w:sz w:val="24"/>
          <w:szCs w:val="24"/>
          <w:u w:val="single"/>
        </w:rPr>
      </w:pPr>
      <w:r w:rsidRPr="00E73AE9">
        <w:rPr>
          <w:sz w:val="24"/>
          <w:szCs w:val="24"/>
          <w:u w:val="single"/>
        </w:rPr>
        <w:t>Symptomer</w:t>
      </w:r>
    </w:p>
    <w:p w:rsidR="0095659B" w:rsidRPr="00E73AE9" w:rsidRDefault="0095659B" w:rsidP="0095659B">
      <w:pPr>
        <w:ind w:left="851"/>
        <w:rPr>
          <w:sz w:val="24"/>
          <w:szCs w:val="24"/>
          <w:lang w:val="nb-NO"/>
        </w:rPr>
      </w:pPr>
      <w:r w:rsidRPr="00E73AE9">
        <w:rPr>
          <w:sz w:val="24"/>
          <w:szCs w:val="24"/>
        </w:rPr>
        <w:t xml:space="preserve">Der er risiko for leverskade (herunder fulminant hepatitis, leversvigt, </w:t>
      </w:r>
      <w:proofErr w:type="spellStart"/>
      <w:r w:rsidRPr="00E73AE9">
        <w:rPr>
          <w:sz w:val="24"/>
          <w:szCs w:val="24"/>
        </w:rPr>
        <w:t>kolestatisk</w:t>
      </w:r>
      <w:proofErr w:type="spellEnd"/>
      <w:r w:rsidRPr="00E73AE9">
        <w:rPr>
          <w:sz w:val="24"/>
          <w:szCs w:val="24"/>
        </w:rPr>
        <w:t xml:space="preserve"> hepatitis, </w:t>
      </w:r>
      <w:proofErr w:type="spellStart"/>
      <w:r w:rsidRPr="00E73AE9">
        <w:rPr>
          <w:sz w:val="24"/>
          <w:szCs w:val="24"/>
        </w:rPr>
        <w:t>cytolytisk</w:t>
      </w:r>
      <w:proofErr w:type="spellEnd"/>
      <w:r w:rsidRPr="00E73AE9">
        <w:rPr>
          <w:sz w:val="24"/>
          <w:szCs w:val="24"/>
        </w:rPr>
        <w:t xml:space="preserve"> hepatitis) især hos ældre, mindre børn, patienter med leversygdom, ved kronisk alkoholisme, hos patienter med kronisk fejlernæring og hos patienter, som tager enzyminduktorer.</w:t>
      </w:r>
      <w:r w:rsidRPr="00E73AE9">
        <w:rPr>
          <w:sz w:val="24"/>
          <w:szCs w:val="24"/>
          <w:lang w:val="nb-NO"/>
        </w:rPr>
        <w:t xml:space="preserve"> </w:t>
      </w:r>
      <w:r w:rsidRPr="00E73AE9">
        <w:rPr>
          <w:sz w:val="24"/>
          <w:szCs w:val="24"/>
        </w:rPr>
        <w:t>Overdosering kan være dødelig i disse tilfælde.</w:t>
      </w:r>
      <w:r w:rsidRPr="00E73AE9">
        <w:rPr>
          <w:sz w:val="24"/>
          <w:szCs w:val="24"/>
          <w:lang w:val="nb-NO"/>
        </w:rPr>
        <w:t xml:space="preserve"> </w:t>
      </w:r>
    </w:p>
    <w:p w:rsidR="0095659B" w:rsidRPr="00E73AE9" w:rsidRDefault="0095659B" w:rsidP="0095659B">
      <w:pPr>
        <w:ind w:left="851" w:hanging="851"/>
        <w:rPr>
          <w:sz w:val="24"/>
          <w:szCs w:val="24"/>
          <w:lang w:val="nb-NO"/>
        </w:rPr>
      </w:pPr>
    </w:p>
    <w:p w:rsidR="0095659B" w:rsidRPr="00E73AE9" w:rsidRDefault="0095659B" w:rsidP="0095659B">
      <w:pPr>
        <w:ind w:left="851"/>
        <w:rPr>
          <w:sz w:val="24"/>
          <w:szCs w:val="24"/>
          <w:lang w:val="nb-NO"/>
        </w:rPr>
      </w:pPr>
      <w:r w:rsidRPr="00E73AE9">
        <w:rPr>
          <w:sz w:val="24"/>
          <w:szCs w:val="24"/>
        </w:rPr>
        <w:lastRenderedPageBreak/>
        <w:t>Symptomer opstår sædvanligvis inden for de første 24 timer og omfatter:</w:t>
      </w:r>
      <w:r w:rsidRPr="00E73AE9">
        <w:rPr>
          <w:sz w:val="24"/>
          <w:szCs w:val="24"/>
          <w:lang w:val="nb-NO"/>
        </w:rPr>
        <w:t xml:space="preserve"> </w:t>
      </w:r>
      <w:r w:rsidRPr="00E73AE9">
        <w:rPr>
          <w:sz w:val="24"/>
          <w:szCs w:val="24"/>
        </w:rPr>
        <w:t>kvalme, opkastning, anoreksi, bleghed og mavesmerter.</w:t>
      </w:r>
      <w:r w:rsidRPr="00E73AE9">
        <w:rPr>
          <w:sz w:val="24"/>
          <w:szCs w:val="24"/>
          <w:lang w:val="nb-NO"/>
        </w:rPr>
        <w:t xml:space="preserve"> </w:t>
      </w:r>
      <w:r w:rsidRPr="00E73AE9">
        <w:rPr>
          <w:sz w:val="24"/>
          <w:szCs w:val="24"/>
        </w:rPr>
        <w:t>Akut behandling er nødvendig ved overdosering af paracetamol, selv hvor der ikke er symptomer.</w:t>
      </w:r>
    </w:p>
    <w:p w:rsidR="0095659B" w:rsidRPr="00E73AE9" w:rsidRDefault="0095659B" w:rsidP="0095659B">
      <w:pPr>
        <w:ind w:left="851" w:hanging="851"/>
        <w:rPr>
          <w:sz w:val="24"/>
          <w:szCs w:val="24"/>
          <w:lang w:val="nb-NO"/>
        </w:rPr>
      </w:pPr>
    </w:p>
    <w:p w:rsidR="0095659B" w:rsidRPr="00E73AE9" w:rsidRDefault="0095659B" w:rsidP="0095659B">
      <w:pPr>
        <w:ind w:left="851"/>
        <w:rPr>
          <w:sz w:val="24"/>
          <w:szCs w:val="24"/>
          <w:lang w:val="nb-NO"/>
        </w:rPr>
      </w:pPr>
      <w:r w:rsidRPr="00E73AE9">
        <w:rPr>
          <w:sz w:val="24"/>
          <w:szCs w:val="24"/>
        </w:rPr>
        <w:t xml:space="preserve">En overdosis, 7,5 g eller mere af paracetamol i en enkelt administration hos voksne eller 140 mg/kg kropsvægt i en enkelt administration hos børn, forårsager </w:t>
      </w:r>
      <w:proofErr w:type="spellStart"/>
      <w:r w:rsidRPr="00E73AE9">
        <w:rPr>
          <w:sz w:val="24"/>
          <w:szCs w:val="24"/>
        </w:rPr>
        <w:t>hepatisk</w:t>
      </w:r>
      <w:proofErr w:type="spellEnd"/>
      <w:r w:rsidRPr="00E73AE9">
        <w:rPr>
          <w:sz w:val="24"/>
          <w:szCs w:val="24"/>
        </w:rPr>
        <w:t xml:space="preserve"> </w:t>
      </w:r>
      <w:proofErr w:type="spellStart"/>
      <w:r w:rsidRPr="00E73AE9">
        <w:rPr>
          <w:sz w:val="24"/>
          <w:szCs w:val="24"/>
        </w:rPr>
        <w:t>cytolyse</w:t>
      </w:r>
      <w:proofErr w:type="spellEnd"/>
      <w:r w:rsidRPr="00E73AE9">
        <w:rPr>
          <w:sz w:val="24"/>
          <w:szCs w:val="24"/>
        </w:rPr>
        <w:t xml:space="preserve">, som sandsynligvis kan inducere fuldstændig og irreversibel nekrose, resulterende i </w:t>
      </w:r>
      <w:proofErr w:type="spellStart"/>
      <w:r w:rsidRPr="00E73AE9">
        <w:rPr>
          <w:sz w:val="24"/>
          <w:szCs w:val="24"/>
        </w:rPr>
        <w:t>hepatocellulær</w:t>
      </w:r>
      <w:proofErr w:type="spellEnd"/>
      <w:r w:rsidRPr="00E73AE9">
        <w:rPr>
          <w:sz w:val="24"/>
          <w:szCs w:val="24"/>
        </w:rPr>
        <w:t xml:space="preserve"> insufficiens, metabolisk </w:t>
      </w:r>
      <w:proofErr w:type="spellStart"/>
      <w:r w:rsidRPr="00E73AE9">
        <w:rPr>
          <w:sz w:val="24"/>
          <w:szCs w:val="24"/>
        </w:rPr>
        <w:t>acidose</w:t>
      </w:r>
      <w:proofErr w:type="spellEnd"/>
      <w:r w:rsidRPr="00E73AE9">
        <w:rPr>
          <w:sz w:val="24"/>
          <w:szCs w:val="24"/>
        </w:rPr>
        <w:t xml:space="preserve"> samt </w:t>
      </w:r>
      <w:proofErr w:type="spellStart"/>
      <w:r w:rsidRPr="00E73AE9">
        <w:rPr>
          <w:sz w:val="24"/>
          <w:szCs w:val="24"/>
        </w:rPr>
        <w:t>encephalopati</w:t>
      </w:r>
      <w:proofErr w:type="spellEnd"/>
      <w:r w:rsidRPr="00E73AE9">
        <w:rPr>
          <w:sz w:val="24"/>
          <w:szCs w:val="24"/>
        </w:rPr>
        <w:t xml:space="preserve">, hvilket kan forårsage koma og død. Samtidig ses forhøjede niveauer af </w:t>
      </w:r>
      <w:proofErr w:type="spellStart"/>
      <w:r w:rsidRPr="00E73AE9">
        <w:rPr>
          <w:sz w:val="24"/>
          <w:szCs w:val="24"/>
        </w:rPr>
        <w:t>levertransaminaser</w:t>
      </w:r>
      <w:proofErr w:type="spellEnd"/>
      <w:r w:rsidRPr="00E73AE9">
        <w:rPr>
          <w:sz w:val="24"/>
          <w:szCs w:val="24"/>
        </w:rPr>
        <w:t xml:space="preserve"> (AST, ALT), </w:t>
      </w:r>
      <w:proofErr w:type="spellStart"/>
      <w:r w:rsidRPr="00E73AE9">
        <w:rPr>
          <w:sz w:val="24"/>
          <w:szCs w:val="24"/>
        </w:rPr>
        <w:t>lactatdehydrogenase</w:t>
      </w:r>
      <w:proofErr w:type="spellEnd"/>
      <w:r w:rsidRPr="00E73AE9">
        <w:rPr>
          <w:sz w:val="24"/>
          <w:szCs w:val="24"/>
        </w:rPr>
        <w:t xml:space="preserve"> og bilirubin sammen med reducerede </w:t>
      </w:r>
      <w:proofErr w:type="spellStart"/>
      <w:r w:rsidRPr="00E73AE9">
        <w:rPr>
          <w:sz w:val="24"/>
          <w:szCs w:val="24"/>
        </w:rPr>
        <w:t>protrombinniveauer</w:t>
      </w:r>
      <w:proofErr w:type="spellEnd"/>
      <w:r w:rsidRPr="00E73AE9">
        <w:rPr>
          <w:sz w:val="24"/>
          <w:szCs w:val="24"/>
        </w:rPr>
        <w:t>, som kan optræde 12-48 timer efter administration. Kliniske symptomer på leverskade er sædvanligvis evident allerede efter to dage og når et maksimum efter 4-6 dage.</w:t>
      </w:r>
      <w:r w:rsidRPr="00E73AE9">
        <w:rPr>
          <w:sz w:val="24"/>
          <w:szCs w:val="24"/>
          <w:lang w:val="nb-NO"/>
        </w:rPr>
        <w:t xml:space="preserve"> </w:t>
      </w:r>
    </w:p>
    <w:p w:rsidR="0095659B" w:rsidRPr="00E73AE9" w:rsidRDefault="0095659B" w:rsidP="0095659B">
      <w:pPr>
        <w:ind w:left="851" w:hanging="851"/>
        <w:rPr>
          <w:sz w:val="24"/>
          <w:szCs w:val="24"/>
          <w:lang w:val="nb-NO"/>
        </w:rPr>
      </w:pPr>
    </w:p>
    <w:p w:rsidR="0095659B" w:rsidRPr="00E73AE9" w:rsidRDefault="0095659B" w:rsidP="0095659B">
      <w:pPr>
        <w:ind w:left="851"/>
        <w:rPr>
          <w:sz w:val="24"/>
          <w:szCs w:val="24"/>
          <w:lang w:val="nb-NO"/>
        </w:rPr>
      </w:pPr>
      <w:r w:rsidRPr="00E73AE9">
        <w:rPr>
          <w:sz w:val="24"/>
          <w:szCs w:val="24"/>
          <w:u w:val="single"/>
        </w:rPr>
        <w:t>Behandling</w:t>
      </w:r>
    </w:p>
    <w:p w:rsidR="0095659B" w:rsidRPr="00E73AE9" w:rsidRDefault="0095659B" w:rsidP="0095659B">
      <w:pPr>
        <w:ind w:left="851"/>
        <w:rPr>
          <w:sz w:val="24"/>
          <w:szCs w:val="24"/>
          <w:lang w:val="nb-NO"/>
        </w:rPr>
      </w:pPr>
      <w:r w:rsidRPr="00E73AE9">
        <w:rPr>
          <w:sz w:val="24"/>
          <w:szCs w:val="24"/>
        </w:rPr>
        <w:t>Øjeblikkelig hospitalsindlæggelse.</w:t>
      </w:r>
      <w:r w:rsidRPr="00E73AE9">
        <w:rPr>
          <w:sz w:val="24"/>
          <w:szCs w:val="24"/>
          <w:lang w:val="nb-NO"/>
        </w:rPr>
        <w:t xml:space="preserve"> </w:t>
      </w:r>
    </w:p>
    <w:p w:rsidR="0095659B" w:rsidRPr="00E73AE9" w:rsidRDefault="0095659B" w:rsidP="0095659B">
      <w:pPr>
        <w:ind w:left="851" w:hanging="851"/>
        <w:rPr>
          <w:sz w:val="24"/>
          <w:szCs w:val="24"/>
          <w:lang w:val="nb-NO"/>
        </w:rPr>
      </w:pPr>
    </w:p>
    <w:p w:rsidR="0095659B" w:rsidRPr="00E73AE9" w:rsidRDefault="0095659B" w:rsidP="0095659B">
      <w:pPr>
        <w:ind w:left="851"/>
        <w:rPr>
          <w:sz w:val="24"/>
          <w:szCs w:val="24"/>
          <w:lang w:val="nb-NO"/>
        </w:rPr>
      </w:pPr>
      <w:r w:rsidRPr="00E73AE9">
        <w:rPr>
          <w:sz w:val="24"/>
          <w:szCs w:val="24"/>
        </w:rPr>
        <w:t>Inden der påbegyndes behandling, skal der tages en blodprøve til måling af plasmaparacetamol så hurtigt som muligt efter overdoseringen.</w:t>
      </w:r>
      <w:r w:rsidRPr="00E73AE9">
        <w:rPr>
          <w:sz w:val="24"/>
          <w:szCs w:val="24"/>
          <w:lang w:val="nb-NO"/>
        </w:rPr>
        <w:t xml:space="preserve"> </w:t>
      </w:r>
    </w:p>
    <w:p w:rsidR="0095659B" w:rsidRPr="00E73AE9" w:rsidRDefault="0095659B" w:rsidP="0095659B">
      <w:pPr>
        <w:ind w:left="851" w:hanging="851"/>
        <w:rPr>
          <w:sz w:val="24"/>
          <w:szCs w:val="24"/>
          <w:lang w:val="nb-NO"/>
        </w:rPr>
      </w:pPr>
    </w:p>
    <w:p w:rsidR="0095659B" w:rsidRPr="00E73AE9" w:rsidRDefault="0095659B" w:rsidP="0095659B">
      <w:pPr>
        <w:ind w:left="851"/>
        <w:rPr>
          <w:sz w:val="24"/>
          <w:szCs w:val="24"/>
          <w:lang w:val="nb-NO"/>
        </w:rPr>
      </w:pPr>
      <w:r w:rsidRPr="00E73AE9">
        <w:rPr>
          <w:sz w:val="24"/>
          <w:szCs w:val="24"/>
        </w:rPr>
        <w:t xml:space="preserve">Behandlingen omfatter administration af </w:t>
      </w:r>
      <w:proofErr w:type="spellStart"/>
      <w:r w:rsidRPr="00E73AE9">
        <w:rPr>
          <w:sz w:val="24"/>
          <w:szCs w:val="24"/>
        </w:rPr>
        <w:t>antidotet</w:t>
      </w:r>
      <w:proofErr w:type="spellEnd"/>
      <w:r w:rsidRPr="00E73AE9">
        <w:rPr>
          <w:sz w:val="24"/>
          <w:szCs w:val="24"/>
        </w:rPr>
        <w:t xml:space="preserve"> N-</w:t>
      </w:r>
      <w:proofErr w:type="spellStart"/>
      <w:r w:rsidRPr="00E73AE9">
        <w:rPr>
          <w:sz w:val="24"/>
          <w:szCs w:val="24"/>
        </w:rPr>
        <w:t>acetylcystein</w:t>
      </w:r>
      <w:proofErr w:type="spellEnd"/>
      <w:r w:rsidRPr="00E73AE9">
        <w:rPr>
          <w:sz w:val="24"/>
          <w:szCs w:val="24"/>
        </w:rPr>
        <w:t xml:space="preserve"> (NAC) enten intravenøst eller oralt, om muligt </w:t>
      </w:r>
      <w:r w:rsidRPr="00E73AE9">
        <w:rPr>
          <w:sz w:val="24"/>
          <w:szCs w:val="24"/>
          <w:u w:val="single"/>
        </w:rPr>
        <w:t>inden</w:t>
      </w:r>
      <w:r w:rsidRPr="00E73AE9">
        <w:rPr>
          <w:sz w:val="24"/>
          <w:szCs w:val="24"/>
        </w:rPr>
        <w:t xml:space="preserve"> den 10. time. NAC kan dog give nogen grad af beskyttelse også efter 10 timer, men i disse tilfælde gives langvarig behandling.</w:t>
      </w:r>
      <w:r w:rsidRPr="00E73AE9">
        <w:rPr>
          <w:sz w:val="24"/>
          <w:szCs w:val="24"/>
          <w:lang w:val="nb-NO"/>
        </w:rPr>
        <w:t xml:space="preserve"> </w:t>
      </w:r>
    </w:p>
    <w:p w:rsidR="0095659B" w:rsidRPr="00E73AE9" w:rsidRDefault="0095659B" w:rsidP="0095659B">
      <w:pPr>
        <w:ind w:left="851" w:hanging="851"/>
        <w:rPr>
          <w:sz w:val="24"/>
          <w:szCs w:val="24"/>
          <w:lang w:val="nb-NO"/>
        </w:rPr>
      </w:pPr>
    </w:p>
    <w:p w:rsidR="0095659B" w:rsidRPr="00E73AE9" w:rsidRDefault="0095659B" w:rsidP="0095659B">
      <w:pPr>
        <w:ind w:left="851"/>
        <w:rPr>
          <w:sz w:val="24"/>
          <w:szCs w:val="24"/>
          <w:lang w:val="nb-NO"/>
        </w:rPr>
      </w:pPr>
      <w:r w:rsidRPr="00E73AE9">
        <w:rPr>
          <w:sz w:val="24"/>
          <w:szCs w:val="24"/>
        </w:rPr>
        <w:t>Symptomatisk behandling.</w:t>
      </w:r>
    </w:p>
    <w:p w:rsidR="0095659B" w:rsidRPr="00E73AE9" w:rsidRDefault="0095659B" w:rsidP="0095659B">
      <w:pPr>
        <w:ind w:left="851" w:hanging="851"/>
        <w:rPr>
          <w:sz w:val="24"/>
          <w:szCs w:val="24"/>
          <w:lang w:val="nb-NO"/>
        </w:rPr>
      </w:pPr>
    </w:p>
    <w:p w:rsidR="0095659B" w:rsidRPr="00E73AE9" w:rsidRDefault="0095659B" w:rsidP="0095659B">
      <w:pPr>
        <w:ind w:left="851"/>
        <w:rPr>
          <w:sz w:val="24"/>
          <w:szCs w:val="24"/>
          <w:lang w:val="nb-NO"/>
        </w:rPr>
      </w:pPr>
      <w:r w:rsidRPr="00E73AE9">
        <w:rPr>
          <w:sz w:val="24"/>
          <w:szCs w:val="24"/>
        </w:rPr>
        <w:t>Der skal udføres leverprøver ved påbegyndelse af behandlingen, og de skal gentages hver 24. time.</w:t>
      </w:r>
      <w:r w:rsidRPr="00E73AE9">
        <w:rPr>
          <w:sz w:val="24"/>
          <w:szCs w:val="24"/>
          <w:lang w:val="nb-NO"/>
        </w:rPr>
        <w:t xml:space="preserve"> </w:t>
      </w:r>
      <w:r w:rsidRPr="00E73AE9">
        <w:rPr>
          <w:sz w:val="24"/>
          <w:szCs w:val="24"/>
        </w:rPr>
        <w:t xml:space="preserve">I de fleste tilfælde normaliseres </w:t>
      </w:r>
      <w:proofErr w:type="spellStart"/>
      <w:r w:rsidRPr="00E73AE9">
        <w:rPr>
          <w:sz w:val="24"/>
          <w:szCs w:val="24"/>
        </w:rPr>
        <w:t>levertransaminaser</w:t>
      </w:r>
      <w:proofErr w:type="spellEnd"/>
      <w:r w:rsidRPr="00E73AE9">
        <w:rPr>
          <w:sz w:val="24"/>
          <w:szCs w:val="24"/>
        </w:rPr>
        <w:t xml:space="preserve"> i løbet af 1-2 uger med fuld restituering af normal leverfunktion.</w:t>
      </w:r>
      <w:r w:rsidRPr="00E73AE9">
        <w:rPr>
          <w:sz w:val="24"/>
          <w:szCs w:val="24"/>
          <w:lang w:val="nb-NO"/>
        </w:rPr>
        <w:t xml:space="preserve"> </w:t>
      </w:r>
      <w:r w:rsidRPr="00E73AE9">
        <w:rPr>
          <w:sz w:val="24"/>
          <w:szCs w:val="24"/>
        </w:rPr>
        <w:t>I meget alvorlige tilfælde kan levertransplantation dog være nødvendig.</w:t>
      </w:r>
    </w:p>
    <w:p w:rsidR="0095659B" w:rsidRPr="00E73AE9" w:rsidRDefault="0095659B" w:rsidP="0095659B">
      <w:pPr>
        <w:ind w:left="851" w:hanging="851"/>
        <w:rPr>
          <w:sz w:val="24"/>
          <w:szCs w:val="24"/>
        </w:rPr>
      </w:pPr>
    </w:p>
    <w:p w:rsidR="0095659B" w:rsidRPr="00E73AE9" w:rsidRDefault="0095659B" w:rsidP="0095659B">
      <w:pPr>
        <w:numPr>
          <w:ilvl w:val="1"/>
          <w:numId w:val="1"/>
        </w:numPr>
        <w:tabs>
          <w:tab w:val="clear" w:pos="855"/>
        </w:tabs>
        <w:ind w:left="851" w:hanging="851"/>
        <w:rPr>
          <w:b/>
          <w:sz w:val="24"/>
          <w:szCs w:val="24"/>
        </w:rPr>
      </w:pPr>
      <w:r w:rsidRPr="00E73AE9">
        <w:rPr>
          <w:b/>
          <w:sz w:val="24"/>
          <w:szCs w:val="24"/>
        </w:rPr>
        <w:t>Udlevering</w:t>
      </w:r>
    </w:p>
    <w:p w:rsidR="0095659B" w:rsidRPr="00E73AE9" w:rsidRDefault="0095659B" w:rsidP="0095659B">
      <w:pPr>
        <w:ind w:left="851" w:hanging="851"/>
        <w:rPr>
          <w:sz w:val="24"/>
          <w:szCs w:val="24"/>
        </w:rPr>
      </w:pPr>
      <w:r w:rsidRPr="00E73AE9">
        <w:rPr>
          <w:sz w:val="24"/>
          <w:szCs w:val="24"/>
        </w:rPr>
        <w:tab/>
      </w:r>
      <w:r>
        <w:rPr>
          <w:sz w:val="24"/>
          <w:szCs w:val="24"/>
        </w:rPr>
        <w:t>B</w:t>
      </w:r>
    </w:p>
    <w:p w:rsidR="0095659B" w:rsidRDefault="0095659B" w:rsidP="0095659B">
      <w:pPr>
        <w:ind w:left="851" w:hanging="851"/>
        <w:rPr>
          <w:sz w:val="24"/>
          <w:szCs w:val="24"/>
        </w:rPr>
      </w:pPr>
    </w:p>
    <w:p w:rsidR="0095659B" w:rsidRPr="00E73AE9" w:rsidRDefault="0095659B" w:rsidP="0095659B">
      <w:pPr>
        <w:ind w:left="851" w:hanging="851"/>
        <w:rPr>
          <w:sz w:val="24"/>
          <w:szCs w:val="24"/>
        </w:rPr>
      </w:pPr>
    </w:p>
    <w:p w:rsidR="0095659B" w:rsidRPr="00A55BE7" w:rsidRDefault="0095659B" w:rsidP="0095659B">
      <w:pPr>
        <w:numPr>
          <w:ilvl w:val="0"/>
          <w:numId w:val="1"/>
        </w:numPr>
        <w:tabs>
          <w:tab w:val="clear" w:pos="855"/>
        </w:tabs>
        <w:ind w:left="851" w:hanging="851"/>
        <w:rPr>
          <w:b/>
          <w:sz w:val="24"/>
          <w:szCs w:val="24"/>
        </w:rPr>
      </w:pPr>
      <w:r w:rsidRPr="00E73AE9">
        <w:rPr>
          <w:b/>
          <w:sz w:val="24"/>
          <w:szCs w:val="24"/>
        </w:rPr>
        <w:t>FARMAKOLOGISKE EGENSKABER</w:t>
      </w:r>
    </w:p>
    <w:p w:rsidR="0095659B" w:rsidRDefault="0095659B" w:rsidP="0095659B">
      <w:pPr>
        <w:rPr>
          <w:b/>
          <w:sz w:val="24"/>
          <w:szCs w:val="24"/>
        </w:rPr>
      </w:pPr>
    </w:p>
    <w:p w:rsidR="0095659B" w:rsidRDefault="0095659B" w:rsidP="0095659B">
      <w:pPr>
        <w:numPr>
          <w:ilvl w:val="1"/>
          <w:numId w:val="2"/>
        </w:numPr>
        <w:tabs>
          <w:tab w:val="clear" w:pos="2159"/>
        </w:tabs>
        <w:ind w:left="851" w:hanging="851"/>
        <w:rPr>
          <w:b/>
          <w:sz w:val="24"/>
          <w:szCs w:val="24"/>
        </w:rPr>
      </w:pPr>
      <w:proofErr w:type="spellStart"/>
      <w:r w:rsidRPr="00E73AE9">
        <w:rPr>
          <w:b/>
          <w:sz w:val="24"/>
          <w:szCs w:val="24"/>
        </w:rPr>
        <w:t>Farmakodynamiske</w:t>
      </w:r>
      <w:proofErr w:type="spellEnd"/>
      <w:r w:rsidRPr="00E73AE9">
        <w:rPr>
          <w:b/>
          <w:sz w:val="24"/>
          <w:szCs w:val="24"/>
        </w:rPr>
        <w:t xml:space="preserve"> egenskaber</w:t>
      </w:r>
    </w:p>
    <w:p w:rsidR="00A55BE7" w:rsidRPr="00A55BE7" w:rsidRDefault="00A55BE7" w:rsidP="00A55BE7">
      <w:pPr>
        <w:pStyle w:val="Listeafsnit"/>
        <w:ind w:left="855"/>
        <w:rPr>
          <w:sz w:val="24"/>
          <w:szCs w:val="24"/>
          <w:lang w:val="nb-NO"/>
        </w:rPr>
      </w:pPr>
      <w:proofErr w:type="spellStart"/>
      <w:r w:rsidRPr="00A55BE7">
        <w:rPr>
          <w:sz w:val="24"/>
          <w:szCs w:val="24"/>
        </w:rPr>
        <w:t>Farmakoterapeutisk</w:t>
      </w:r>
      <w:proofErr w:type="spellEnd"/>
      <w:r w:rsidRPr="00A55BE7">
        <w:rPr>
          <w:sz w:val="24"/>
          <w:szCs w:val="24"/>
        </w:rPr>
        <w:t xml:space="preserve"> klassifikation:</w:t>
      </w:r>
      <w:r w:rsidRPr="00A55BE7">
        <w:rPr>
          <w:sz w:val="24"/>
          <w:szCs w:val="24"/>
          <w:lang w:val="nb-NO"/>
        </w:rPr>
        <w:t xml:space="preserve"> </w:t>
      </w:r>
      <w:proofErr w:type="spellStart"/>
      <w:r w:rsidRPr="00A55BE7">
        <w:rPr>
          <w:sz w:val="24"/>
          <w:szCs w:val="24"/>
        </w:rPr>
        <w:t>Analgetika</w:t>
      </w:r>
      <w:proofErr w:type="spellEnd"/>
      <w:r w:rsidRPr="00A55BE7">
        <w:rPr>
          <w:sz w:val="24"/>
          <w:szCs w:val="24"/>
        </w:rPr>
        <w:t xml:space="preserve">, andre </w:t>
      </w:r>
      <w:proofErr w:type="spellStart"/>
      <w:r w:rsidRPr="00A55BE7">
        <w:rPr>
          <w:sz w:val="24"/>
          <w:szCs w:val="24"/>
        </w:rPr>
        <w:t>analgetika</w:t>
      </w:r>
      <w:proofErr w:type="spellEnd"/>
      <w:r w:rsidRPr="00A55BE7">
        <w:rPr>
          <w:sz w:val="24"/>
          <w:szCs w:val="24"/>
        </w:rPr>
        <w:t xml:space="preserve"> og </w:t>
      </w:r>
      <w:proofErr w:type="spellStart"/>
      <w:r w:rsidRPr="00A55BE7">
        <w:rPr>
          <w:sz w:val="24"/>
          <w:szCs w:val="24"/>
        </w:rPr>
        <w:t>antipyretika</w:t>
      </w:r>
      <w:proofErr w:type="spellEnd"/>
      <w:r w:rsidRPr="00A55BE7">
        <w:rPr>
          <w:sz w:val="24"/>
          <w:szCs w:val="24"/>
        </w:rPr>
        <w:t>, anilider</w:t>
      </w:r>
      <w:r>
        <w:rPr>
          <w:sz w:val="24"/>
          <w:szCs w:val="24"/>
        </w:rPr>
        <w:t xml:space="preserve">, </w:t>
      </w:r>
      <w:r w:rsidRPr="00A55BE7">
        <w:rPr>
          <w:sz w:val="24"/>
          <w:szCs w:val="24"/>
        </w:rPr>
        <w:t>ATC-kode:</w:t>
      </w:r>
      <w:r w:rsidRPr="00A55BE7">
        <w:rPr>
          <w:sz w:val="24"/>
          <w:szCs w:val="24"/>
          <w:lang w:val="nb-NO"/>
        </w:rPr>
        <w:t xml:space="preserve"> </w:t>
      </w:r>
      <w:r w:rsidRPr="00A55BE7">
        <w:rPr>
          <w:sz w:val="24"/>
          <w:szCs w:val="24"/>
        </w:rPr>
        <w:t>N02BE01</w:t>
      </w:r>
    </w:p>
    <w:p w:rsidR="00A55BE7" w:rsidRPr="00E73AE9" w:rsidRDefault="00A55BE7" w:rsidP="00A55BE7">
      <w:pPr>
        <w:ind w:left="851"/>
        <w:rPr>
          <w:b/>
          <w:sz w:val="24"/>
          <w:szCs w:val="24"/>
        </w:rPr>
      </w:pPr>
    </w:p>
    <w:p w:rsidR="0095659B" w:rsidRPr="00E73AE9" w:rsidRDefault="0095659B" w:rsidP="0095659B">
      <w:pPr>
        <w:ind w:left="851"/>
        <w:rPr>
          <w:sz w:val="24"/>
          <w:szCs w:val="24"/>
          <w:lang w:val="nb-NO"/>
        </w:rPr>
      </w:pPr>
      <w:r w:rsidRPr="00E73AE9">
        <w:rPr>
          <w:sz w:val="24"/>
          <w:szCs w:val="24"/>
          <w:u w:val="single"/>
        </w:rPr>
        <w:t>Virkningsmekanisme</w:t>
      </w:r>
      <w:r w:rsidRPr="00E73AE9">
        <w:rPr>
          <w:sz w:val="24"/>
          <w:szCs w:val="24"/>
          <w:u w:val="single"/>
          <w:lang w:val="nb-NO"/>
        </w:rPr>
        <w:t xml:space="preserve"> </w:t>
      </w:r>
    </w:p>
    <w:p w:rsidR="0095659B" w:rsidRPr="00E73AE9" w:rsidRDefault="0095659B" w:rsidP="0095659B">
      <w:pPr>
        <w:ind w:left="851"/>
        <w:rPr>
          <w:sz w:val="24"/>
          <w:szCs w:val="24"/>
          <w:lang w:val="nb-NO"/>
        </w:rPr>
      </w:pPr>
      <w:r w:rsidRPr="00E73AE9">
        <w:rPr>
          <w:sz w:val="24"/>
          <w:szCs w:val="24"/>
        </w:rPr>
        <w:t xml:space="preserve">Den præcise mekanisme af paracetamols analgetiske og </w:t>
      </w:r>
      <w:proofErr w:type="spellStart"/>
      <w:r w:rsidRPr="00E73AE9">
        <w:rPr>
          <w:sz w:val="24"/>
          <w:szCs w:val="24"/>
        </w:rPr>
        <w:t>antipyretiske</w:t>
      </w:r>
      <w:proofErr w:type="spellEnd"/>
      <w:r w:rsidRPr="00E73AE9">
        <w:rPr>
          <w:sz w:val="24"/>
          <w:szCs w:val="24"/>
        </w:rPr>
        <w:t xml:space="preserve"> egenskaber mangler endnu at blive fastslået, men kan involvere central og perifer virkning.</w:t>
      </w:r>
      <w:r w:rsidRPr="00E73AE9">
        <w:rPr>
          <w:sz w:val="24"/>
          <w:szCs w:val="24"/>
          <w:lang w:val="nb-NO"/>
        </w:rPr>
        <w:t xml:space="preserve"> </w:t>
      </w:r>
    </w:p>
    <w:p w:rsidR="0095659B" w:rsidRPr="00E73AE9" w:rsidRDefault="0095659B" w:rsidP="0095659B">
      <w:pPr>
        <w:ind w:left="851" w:hanging="851"/>
        <w:rPr>
          <w:sz w:val="24"/>
          <w:szCs w:val="24"/>
          <w:u w:val="single"/>
          <w:lang w:val="nb-NO"/>
        </w:rPr>
      </w:pPr>
    </w:p>
    <w:p w:rsidR="0095659B" w:rsidRPr="00E73AE9" w:rsidRDefault="0095659B" w:rsidP="0095659B">
      <w:pPr>
        <w:ind w:left="851"/>
        <w:rPr>
          <w:sz w:val="24"/>
          <w:szCs w:val="24"/>
          <w:lang w:val="nb-NO"/>
        </w:rPr>
      </w:pPr>
      <w:proofErr w:type="spellStart"/>
      <w:r w:rsidRPr="00E73AE9">
        <w:rPr>
          <w:sz w:val="24"/>
          <w:szCs w:val="24"/>
          <w:u w:val="single"/>
        </w:rPr>
        <w:t>Farmakodynamisk</w:t>
      </w:r>
      <w:proofErr w:type="spellEnd"/>
      <w:r w:rsidRPr="00E73AE9">
        <w:rPr>
          <w:sz w:val="24"/>
          <w:szCs w:val="24"/>
          <w:u w:val="single"/>
        </w:rPr>
        <w:t xml:space="preserve"> </w:t>
      </w:r>
      <w:r w:rsidRPr="00E73AE9">
        <w:rPr>
          <w:bCs/>
          <w:sz w:val="24"/>
          <w:szCs w:val="24"/>
          <w:u w:val="single"/>
        </w:rPr>
        <w:t>virkning</w:t>
      </w:r>
    </w:p>
    <w:p w:rsidR="0095659B" w:rsidRPr="00E73AE9" w:rsidRDefault="0095659B" w:rsidP="0095659B">
      <w:pPr>
        <w:ind w:left="851"/>
        <w:rPr>
          <w:sz w:val="24"/>
          <w:szCs w:val="24"/>
        </w:rPr>
      </w:pPr>
      <w:r w:rsidRPr="00E73AE9">
        <w:rPr>
          <w:sz w:val="24"/>
          <w:szCs w:val="24"/>
        </w:rPr>
        <w:t xml:space="preserve">Paracetamol </w:t>
      </w:r>
      <w:r>
        <w:rPr>
          <w:sz w:val="24"/>
          <w:szCs w:val="24"/>
        </w:rPr>
        <w:t>”B. Braun”</w:t>
      </w:r>
      <w:r w:rsidRPr="00E73AE9">
        <w:rPr>
          <w:sz w:val="24"/>
          <w:szCs w:val="24"/>
        </w:rPr>
        <w:t xml:space="preserve"> giver smertelindring i løbet af 5-10 minutter efter påbegyndelse af administrationen. Maksimal analgetisk virkning opnås inden for 1 time og varer sædvanligvis 4-6 timer. </w:t>
      </w:r>
    </w:p>
    <w:p w:rsidR="0095659B" w:rsidRPr="00E73AE9" w:rsidRDefault="0095659B" w:rsidP="0095659B">
      <w:pPr>
        <w:ind w:left="851" w:hanging="851"/>
        <w:rPr>
          <w:sz w:val="24"/>
          <w:szCs w:val="24"/>
        </w:rPr>
      </w:pPr>
    </w:p>
    <w:p w:rsidR="0095659B" w:rsidRDefault="0095659B" w:rsidP="0057496A">
      <w:pPr>
        <w:ind w:left="851"/>
        <w:rPr>
          <w:sz w:val="24"/>
          <w:szCs w:val="24"/>
        </w:rPr>
      </w:pPr>
      <w:r w:rsidRPr="00E73AE9">
        <w:rPr>
          <w:sz w:val="24"/>
          <w:szCs w:val="24"/>
        </w:rPr>
        <w:t xml:space="preserve">Paracetamol </w:t>
      </w:r>
      <w:r>
        <w:rPr>
          <w:sz w:val="24"/>
          <w:szCs w:val="24"/>
        </w:rPr>
        <w:t>”B. Braun”</w:t>
      </w:r>
      <w:r w:rsidRPr="00E73AE9">
        <w:rPr>
          <w:sz w:val="24"/>
          <w:szCs w:val="24"/>
        </w:rPr>
        <w:t xml:space="preserve"> nedsætter feber inden for 30 minutter efter påbegyndelse af administrationen med en varighed af den </w:t>
      </w:r>
      <w:proofErr w:type="spellStart"/>
      <w:r w:rsidRPr="00E73AE9">
        <w:rPr>
          <w:sz w:val="24"/>
          <w:szCs w:val="24"/>
        </w:rPr>
        <w:t>antipyretiske</w:t>
      </w:r>
      <w:proofErr w:type="spellEnd"/>
      <w:r w:rsidRPr="00E73AE9">
        <w:rPr>
          <w:sz w:val="24"/>
          <w:szCs w:val="24"/>
        </w:rPr>
        <w:t xml:space="preserve"> virkning på mindst 6 timer. </w:t>
      </w:r>
    </w:p>
    <w:p w:rsidR="00A55BE7" w:rsidRDefault="00A55BE7" w:rsidP="0095659B">
      <w:pPr>
        <w:ind w:left="851" w:hanging="851"/>
        <w:rPr>
          <w:sz w:val="24"/>
          <w:szCs w:val="24"/>
        </w:rPr>
      </w:pPr>
    </w:p>
    <w:p w:rsidR="0095659B" w:rsidRPr="00E73AE9" w:rsidRDefault="0095659B" w:rsidP="0095659B">
      <w:pPr>
        <w:numPr>
          <w:ilvl w:val="1"/>
          <w:numId w:val="3"/>
        </w:numPr>
        <w:tabs>
          <w:tab w:val="clear" w:pos="855"/>
        </w:tabs>
        <w:ind w:left="851" w:hanging="851"/>
        <w:rPr>
          <w:b/>
          <w:sz w:val="24"/>
          <w:szCs w:val="24"/>
        </w:rPr>
      </w:pPr>
      <w:proofErr w:type="spellStart"/>
      <w:r w:rsidRPr="00E73AE9">
        <w:rPr>
          <w:b/>
          <w:sz w:val="24"/>
          <w:szCs w:val="24"/>
        </w:rPr>
        <w:t>Farmakokinetiske</w:t>
      </w:r>
      <w:proofErr w:type="spellEnd"/>
      <w:r w:rsidRPr="00E73AE9">
        <w:rPr>
          <w:b/>
          <w:sz w:val="24"/>
          <w:szCs w:val="24"/>
        </w:rPr>
        <w:t xml:space="preserve"> egenskaber</w:t>
      </w:r>
    </w:p>
    <w:p w:rsidR="0095659B" w:rsidRPr="00E73AE9" w:rsidRDefault="0095659B" w:rsidP="0095659B">
      <w:pPr>
        <w:ind w:left="851" w:hanging="851"/>
        <w:rPr>
          <w:sz w:val="24"/>
          <w:szCs w:val="24"/>
          <w:lang w:val="nb-NO"/>
        </w:rPr>
      </w:pPr>
      <w:r w:rsidRPr="00E73AE9">
        <w:rPr>
          <w:sz w:val="24"/>
          <w:szCs w:val="24"/>
        </w:rPr>
        <w:tab/>
      </w:r>
      <w:r w:rsidRPr="00E73AE9">
        <w:rPr>
          <w:b/>
          <w:sz w:val="24"/>
          <w:szCs w:val="24"/>
          <w:u w:val="single"/>
        </w:rPr>
        <w:t>Voksne</w:t>
      </w:r>
    </w:p>
    <w:p w:rsidR="0095659B" w:rsidRPr="00805E59" w:rsidRDefault="0095659B" w:rsidP="0095659B">
      <w:pPr>
        <w:ind w:left="851"/>
        <w:rPr>
          <w:sz w:val="24"/>
          <w:szCs w:val="24"/>
          <w:u w:val="single"/>
          <w:lang w:val="nb-NO"/>
        </w:rPr>
      </w:pPr>
      <w:r w:rsidRPr="00805E59">
        <w:rPr>
          <w:b/>
          <w:sz w:val="24"/>
          <w:szCs w:val="24"/>
        </w:rPr>
        <w:t>Absorption</w:t>
      </w:r>
      <w:r w:rsidRPr="00981F3C">
        <w:rPr>
          <w:b/>
          <w:sz w:val="24"/>
          <w:szCs w:val="24"/>
        </w:rPr>
        <w:t>:</w:t>
      </w:r>
    </w:p>
    <w:p w:rsidR="0095659B" w:rsidRPr="00E73AE9" w:rsidRDefault="0095659B" w:rsidP="0095659B">
      <w:pPr>
        <w:ind w:left="851"/>
        <w:rPr>
          <w:sz w:val="24"/>
          <w:szCs w:val="24"/>
        </w:rPr>
      </w:pPr>
      <w:r w:rsidRPr="00E73AE9">
        <w:rPr>
          <w:sz w:val="24"/>
          <w:szCs w:val="24"/>
        </w:rPr>
        <w:t xml:space="preserve">Paracetamols farmakokinetik er lineær op til 2 g efter enkelt administration og efter gentagen administration i løbet af 24 timer. </w:t>
      </w:r>
    </w:p>
    <w:p w:rsidR="0095659B" w:rsidRPr="00E73AE9" w:rsidRDefault="0095659B" w:rsidP="0095659B">
      <w:pPr>
        <w:ind w:left="851"/>
        <w:rPr>
          <w:sz w:val="24"/>
          <w:szCs w:val="24"/>
          <w:lang w:val="nb-NO"/>
        </w:rPr>
      </w:pPr>
      <w:r w:rsidRPr="00E73AE9">
        <w:rPr>
          <w:sz w:val="24"/>
          <w:szCs w:val="24"/>
        </w:rPr>
        <w:t xml:space="preserve">Paracetamols biotilgængelighed efter infusion af 500 mg og 1 g Paracetamol </w:t>
      </w:r>
      <w:r>
        <w:rPr>
          <w:sz w:val="24"/>
          <w:szCs w:val="24"/>
        </w:rPr>
        <w:t>”B. Braun”</w:t>
      </w:r>
      <w:r w:rsidRPr="00E73AE9">
        <w:rPr>
          <w:sz w:val="24"/>
          <w:szCs w:val="24"/>
        </w:rPr>
        <w:t xml:space="preserve"> svarer til, hvad der observeres efter infusion af 1 g og 2 g </w:t>
      </w:r>
      <w:proofErr w:type="spellStart"/>
      <w:r w:rsidRPr="00E73AE9">
        <w:rPr>
          <w:sz w:val="24"/>
          <w:szCs w:val="24"/>
        </w:rPr>
        <w:t>propacetamol</w:t>
      </w:r>
      <w:proofErr w:type="spellEnd"/>
      <w:r w:rsidRPr="00E73AE9">
        <w:rPr>
          <w:sz w:val="24"/>
          <w:szCs w:val="24"/>
        </w:rPr>
        <w:t xml:space="preserve"> (indeholdende henholdsvis 500 mg og 1 g paracetamol).</w:t>
      </w:r>
      <w:r w:rsidRPr="00E73AE9">
        <w:rPr>
          <w:sz w:val="24"/>
          <w:szCs w:val="24"/>
          <w:lang w:val="nb-NO"/>
        </w:rPr>
        <w:t xml:space="preserve"> Paracetamols maksimale plasmakoncentration (C</w:t>
      </w:r>
      <w:r w:rsidRPr="00E73AE9">
        <w:rPr>
          <w:sz w:val="24"/>
          <w:szCs w:val="24"/>
          <w:vertAlign w:val="subscript"/>
          <w:lang w:val="nb-NO"/>
        </w:rPr>
        <w:t>max</w:t>
      </w:r>
      <w:r w:rsidRPr="00E73AE9">
        <w:rPr>
          <w:sz w:val="24"/>
          <w:szCs w:val="24"/>
          <w:lang w:val="nb-NO"/>
        </w:rPr>
        <w:t xml:space="preserve">), der ses efter 15 minutters intravenøs infusion af 500 mg og 1 g Paracetamol </w:t>
      </w:r>
      <w:r>
        <w:rPr>
          <w:sz w:val="24"/>
          <w:szCs w:val="24"/>
          <w:lang w:val="nb-NO"/>
        </w:rPr>
        <w:t>”B. Braun”</w:t>
      </w:r>
      <w:r w:rsidRPr="00E73AE9">
        <w:rPr>
          <w:sz w:val="24"/>
          <w:szCs w:val="24"/>
          <w:lang w:val="nb-NO"/>
        </w:rPr>
        <w:t xml:space="preserve">, er henholdsvis ca. 15 mikrogram/ml og 30 mikrogram/ml. </w:t>
      </w:r>
    </w:p>
    <w:p w:rsidR="0095659B" w:rsidRPr="00E73AE9" w:rsidRDefault="0095659B" w:rsidP="0095659B">
      <w:pPr>
        <w:ind w:left="851" w:hanging="851"/>
        <w:rPr>
          <w:sz w:val="24"/>
          <w:szCs w:val="24"/>
          <w:lang w:val="nb-NO"/>
        </w:rPr>
      </w:pPr>
    </w:p>
    <w:p w:rsidR="0095659B" w:rsidRPr="00E73AE9" w:rsidRDefault="0095659B" w:rsidP="0095659B">
      <w:pPr>
        <w:ind w:left="851"/>
        <w:rPr>
          <w:sz w:val="24"/>
          <w:szCs w:val="24"/>
          <w:lang w:val="nb-NO"/>
        </w:rPr>
      </w:pPr>
      <w:r w:rsidRPr="00F57096">
        <w:rPr>
          <w:b/>
          <w:sz w:val="24"/>
          <w:szCs w:val="24"/>
        </w:rPr>
        <w:t>Fordeling:</w:t>
      </w:r>
    </w:p>
    <w:p w:rsidR="0095659B" w:rsidRPr="00E73AE9" w:rsidRDefault="0095659B" w:rsidP="0095659B">
      <w:pPr>
        <w:ind w:left="851"/>
        <w:rPr>
          <w:sz w:val="24"/>
          <w:szCs w:val="24"/>
          <w:lang w:val="nb-NO"/>
        </w:rPr>
      </w:pPr>
      <w:r w:rsidRPr="00F57096">
        <w:rPr>
          <w:sz w:val="24"/>
          <w:szCs w:val="24"/>
        </w:rPr>
        <w:t>Paracetamols distributionsvolumen er ca. 1 l/kg.</w:t>
      </w:r>
      <w:r w:rsidRPr="00E73AE9">
        <w:rPr>
          <w:sz w:val="24"/>
          <w:szCs w:val="24"/>
          <w:lang w:val="nb-NO"/>
        </w:rPr>
        <w:t xml:space="preserve"> </w:t>
      </w:r>
    </w:p>
    <w:p w:rsidR="0095659B" w:rsidRPr="00E73AE9" w:rsidRDefault="0095659B" w:rsidP="0095659B">
      <w:pPr>
        <w:ind w:left="851"/>
        <w:rPr>
          <w:sz w:val="24"/>
          <w:szCs w:val="24"/>
          <w:lang w:val="nb-NO"/>
        </w:rPr>
      </w:pPr>
      <w:r w:rsidRPr="00E73AE9">
        <w:rPr>
          <w:sz w:val="24"/>
          <w:szCs w:val="24"/>
        </w:rPr>
        <w:t>Paracetamol bindes ikke i udstrakt grad til plasmaproteiner.</w:t>
      </w:r>
      <w:r w:rsidRPr="00E73AE9">
        <w:rPr>
          <w:sz w:val="24"/>
          <w:szCs w:val="24"/>
          <w:lang w:val="nb-NO"/>
        </w:rPr>
        <w:t xml:space="preserve"> </w:t>
      </w:r>
    </w:p>
    <w:p w:rsidR="0095659B" w:rsidRPr="00E73AE9" w:rsidRDefault="0095659B" w:rsidP="0095659B">
      <w:pPr>
        <w:ind w:left="851"/>
        <w:rPr>
          <w:sz w:val="24"/>
          <w:szCs w:val="24"/>
        </w:rPr>
      </w:pPr>
      <w:r w:rsidRPr="00E73AE9">
        <w:rPr>
          <w:sz w:val="24"/>
          <w:szCs w:val="24"/>
        </w:rPr>
        <w:t xml:space="preserve">Efter infusion af 1 g paracetamol blev der observeret signifikante koncentrationer af paracetamol (ca. 1,5 mikrogram/ml) i cerebrospinalvæsken 20 minutter efter infusionen og derefter. </w:t>
      </w:r>
    </w:p>
    <w:p w:rsidR="0095659B" w:rsidRPr="00E73AE9" w:rsidRDefault="0095659B" w:rsidP="0095659B">
      <w:pPr>
        <w:ind w:left="851" w:hanging="851"/>
        <w:rPr>
          <w:sz w:val="24"/>
          <w:szCs w:val="24"/>
        </w:rPr>
      </w:pPr>
    </w:p>
    <w:p w:rsidR="0095659B" w:rsidRPr="00E73AE9" w:rsidRDefault="0095659B" w:rsidP="0095659B">
      <w:pPr>
        <w:ind w:left="851"/>
        <w:rPr>
          <w:sz w:val="24"/>
          <w:szCs w:val="24"/>
          <w:lang w:val="nb-NO"/>
        </w:rPr>
      </w:pPr>
      <w:r w:rsidRPr="00805E59">
        <w:rPr>
          <w:b/>
          <w:sz w:val="24"/>
          <w:szCs w:val="24"/>
        </w:rPr>
        <w:t>Biotransformation</w:t>
      </w:r>
      <w:r w:rsidRPr="00E73AE9">
        <w:rPr>
          <w:b/>
          <w:sz w:val="24"/>
          <w:szCs w:val="24"/>
        </w:rPr>
        <w:t>:</w:t>
      </w:r>
    </w:p>
    <w:p w:rsidR="0095659B" w:rsidRPr="00E73AE9" w:rsidRDefault="0095659B" w:rsidP="0095659B">
      <w:pPr>
        <w:ind w:left="851"/>
        <w:rPr>
          <w:sz w:val="24"/>
          <w:szCs w:val="24"/>
          <w:lang w:val="nb-NO"/>
        </w:rPr>
      </w:pPr>
      <w:r w:rsidRPr="00E73AE9">
        <w:rPr>
          <w:sz w:val="24"/>
          <w:szCs w:val="24"/>
        </w:rPr>
        <w:t xml:space="preserve">Paracetamol </w:t>
      </w:r>
      <w:proofErr w:type="spellStart"/>
      <w:r w:rsidRPr="00E73AE9">
        <w:rPr>
          <w:sz w:val="24"/>
          <w:szCs w:val="24"/>
        </w:rPr>
        <w:t>metaboliseres</w:t>
      </w:r>
      <w:proofErr w:type="spellEnd"/>
      <w:r w:rsidRPr="00E73AE9">
        <w:rPr>
          <w:sz w:val="24"/>
          <w:szCs w:val="24"/>
        </w:rPr>
        <w:t xml:space="preserve"> hovedsageligt i leveren via to større levermekanismer: </w:t>
      </w:r>
      <w:proofErr w:type="spellStart"/>
      <w:r w:rsidRPr="00E73AE9">
        <w:rPr>
          <w:sz w:val="24"/>
          <w:szCs w:val="24"/>
        </w:rPr>
        <w:t>glucuronsyrekonjugation</w:t>
      </w:r>
      <w:proofErr w:type="spellEnd"/>
      <w:r w:rsidRPr="00E73AE9">
        <w:rPr>
          <w:sz w:val="24"/>
          <w:szCs w:val="24"/>
        </w:rPr>
        <w:t xml:space="preserve"> og svovlsyrekonjugation. Den sidstnævnte mekanisme mættes hurtigt ved doser, som overstiger de terapeutiske doser.</w:t>
      </w:r>
      <w:r w:rsidRPr="00E73AE9">
        <w:rPr>
          <w:sz w:val="24"/>
          <w:szCs w:val="24"/>
          <w:lang w:val="nb-NO"/>
        </w:rPr>
        <w:t xml:space="preserve"> </w:t>
      </w:r>
      <w:r w:rsidRPr="00E73AE9">
        <w:rPr>
          <w:sz w:val="24"/>
          <w:szCs w:val="24"/>
        </w:rPr>
        <w:t xml:space="preserve">En lille andel (mindre end 4 %) </w:t>
      </w:r>
      <w:proofErr w:type="spellStart"/>
      <w:r w:rsidRPr="00E73AE9">
        <w:rPr>
          <w:sz w:val="24"/>
          <w:szCs w:val="24"/>
        </w:rPr>
        <w:t>metaboliseres</w:t>
      </w:r>
      <w:proofErr w:type="spellEnd"/>
      <w:r w:rsidRPr="00E73AE9">
        <w:rPr>
          <w:sz w:val="24"/>
          <w:szCs w:val="24"/>
        </w:rPr>
        <w:t xml:space="preserve"> af </w:t>
      </w:r>
      <w:proofErr w:type="spellStart"/>
      <w:r w:rsidRPr="00E73AE9">
        <w:rPr>
          <w:sz w:val="24"/>
          <w:szCs w:val="24"/>
        </w:rPr>
        <w:t>cytokrom</w:t>
      </w:r>
      <w:proofErr w:type="spellEnd"/>
      <w:r w:rsidRPr="00E73AE9">
        <w:rPr>
          <w:sz w:val="24"/>
          <w:szCs w:val="24"/>
        </w:rPr>
        <w:t xml:space="preserve"> P450 til et reaktivt </w:t>
      </w:r>
      <w:proofErr w:type="spellStart"/>
      <w:r w:rsidRPr="00E73AE9">
        <w:rPr>
          <w:sz w:val="24"/>
          <w:szCs w:val="24"/>
        </w:rPr>
        <w:t>intermediat</w:t>
      </w:r>
      <w:proofErr w:type="spellEnd"/>
      <w:r w:rsidRPr="00E73AE9">
        <w:rPr>
          <w:sz w:val="24"/>
          <w:szCs w:val="24"/>
        </w:rPr>
        <w:t xml:space="preserve"> (N-</w:t>
      </w:r>
      <w:proofErr w:type="spellStart"/>
      <w:r w:rsidRPr="00E73AE9">
        <w:rPr>
          <w:sz w:val="24"/>
          <w:szCs w:val="24"/>
        </w:rPr>
        <w:t>acetylbenzoquinonimin</w:t>
      </w:r>
      <w:proofErr w:type="spellEnd"/>
      <w:r w:rsidRPr="00E73AE9">
        <w:rPr>
          <w:sz w:val="24"/>
          <w:szCs w:val="24"/>
        </w:rPr>
        <w:t xml:space="preserve">), der under normale anvendelsesforhold hurtigt afgiftes af reduceret </w:t>
      </w:r>
      <w:proofErr w:type="spellStart"/>
      <w:r w:rsidRPr="00E73AE9">
        <w:rPr>
          <w:sz w:val="24"/>
          <w:szCs w:val="24"/>
        </w:rPr>
        <w:t>glutathion</w:t>
      </w:r>
      <w:proofErr w:type="spellEnd"/>
      <w:r w:rsidRPr="00E73AE9">
        <w:rPr>
          <w:sz w:val="24"/>
          <w:szCs w:val="24"/>
        </w:rPr>
        <w:t xml:space="preserve"> og elimineres i urinen efter </w:t>
      </w:r>
      <w:proofErr w:type="spellStart"/>
      <w:r w:rsidRPr="00E73AE9">
        <w:rPr>
          <w:sz w:val="24"/>
          <w:szCs w:val="24"/>
        </w:rPr>
        <w:t>konjugering</w:t>
      </w:r>
      <w:proofErr w:type="spellEnd"/>
      <w:r w:rsidRPr="00E73AE9">
        <w:rPr>
          <w:sz w:val="24"/>
          <w:szCs w:val="24"/>
        </w:rPr>
        <w:t xml:space="preserve"> med </w:t>
      </w:r>
      <w:proofErr w:type="spellStart"/>
      <w:r w:rsidRPr="00E73AE9">
        <w:rPr>
          <w:sz w:val="24"/>
          <w:szCs w:val="24"/>
        </w:rPr>
        <w:t>cystein</w:t>
      </w:r>
      <w:proofErr w:type="spellEnd"/>
      <w:r w:rsidRPr="00E73AE9">
        <w:rPr>
          <w:sz w:val="24"/>
          <w:szCs w:val="24"/>
        </w:rPr>
        <w:t xml:space="preserve"> og </w:t>
      </w:r>
      <w:proofErr w:type="spellStart"/>
      <w:r w:rsidRPr="00E73AE9">
        <w:rPr>
          <w:sz w:val="24"/>
          <w:szCs w:val="24"/>
        </w:rPr>
        <w:t>mercaptopurinsyre</w:t>
      </w:r>
      <w:proofErr w:type="spellEnd"/>
      <w:r w:rsidRPr="00E73AE9">
        <w:rPr>
          <w:sz w:val="24"/>
          <w:szCs w:val="24"/>
        </w:rPr>
        <w:t>. Dog øges mængden af denne toksiske metabolit ved massiv overdosering.</w:t>
      </w:r>
      <w:r w:rsidRPr="00E73AE9">
        <w:rPr>
          <w:sz w:val="24"/>
          <w:szCs w:val="24"/>
          <w:lang w:val="nb-NO"/>
        </w:rPr>
        <w:t xml:space="preserve"> </w:t>
      </w:r>
    </w:p>
    <w:p w:rsidR="0095659B" w:rsidRDefault="0095659B" w:rsidP="0095659B">
      <w:pPr>
        <w:ind w:left="851" w:hanging="851"/>
        <w:rPr>
          <w:sz w:val="24"/>
          <w:szCs w:val="24"/>
          <w:lang w:val="nb-NO"/>
        </w:rPr>
      </w:pPr>
    </w:p>
    <w:p w:rsidR="0095659B" w:rsidRPr="00E73AE9" w:rsidRDefault="0095659B" w:rsidP="0095659B">
      <w:pPr>
        <w:ind w:left="851" w:hanging="851"/>
        <w:rPr>
          <w:sz w:val="24"/>
          <w:szCs w:val="24"/>
          <w:lang w:val="nb-NO"/>
        </w:rPr>
      </w:pPr>
    </w:p>
    <w:p w:rsidR="0095659B" w:rsidRPr="00E73AE9" w:rsidRDefault="0095659B" w:rsidP="0095659B">
      <w:pPr>
        <w:ind w:left="851"/>
        <w:rPr>
          <w:sz w:val="24"/>
          <w:szCs w:val="24"/>
          <w:lang w:val="nb-NO"/>
        </w:rPr>
      </w:pPr>
      <w:r w:rsidRPr="00805E59">
        <w:rPr>
          <w:b/>
          <w:sz w:val="24"/>
          <w:szCs w:val="24"/>
        </w:rPr>
        <w:t>Elimination</w:t>
      </w:r>
      <w:r w:rsidRPr="00E73AE9">
        <w:rPr>
          <w:b/>
          <w:sz w:val="24"/>
          <w:szCs w:val="24"/>
        </w:rPr>
        <w:t>:</w:t>
      </w:r>
    </w:p>
    <w:p w:rsidR="0095659B" w:rsidRPr="00E73AE9" w:rsidRDefault="0095659B" w:rsidP="0095659B">
      <w:pPr>
        <w:ind w:left="851"/>
        <w:rPr>
          <w:sz w:val="24"/>
          <w:szCs w:val="24"/>
          <w:lang w:val="nb-NO"/>
        </w:rPr>
      </w:pPr>
      <w:r w:rsidRPr="00E73AE9">
        <w:rPr>
          <w:sz w:val="24"/>
          <w:szCs w:val="24"/>
        </w:rPr>
        <w:t>Paracetamols metabolitter udskilles primært i urinen.</w:t>
      </w:r>
      <w:r w:rsidRPr="00E73AE9">
        <w:rPr>
          <w:sz w:val="24"/>
          <w:szCs w:val="24"/>
          <w:lang w:val="nb-NO"/>
        </w:rPr>
        <w:t xml:space="preserve"> </w:t>
      </w:r>
      <w:r w:rsidRPr="00E73AE9">
        <w:rPr>
          <w:sz w:val="24"/>
          <w:szCs w:val="24"/>
        </w:rPr>
        <w:t xml:space="preserve">90 % af den administrerede dosis udskilles inden for 24 timer, primært som </w:t>
      </w:r>
      <w:proofErr w:type="spellStart"/>
      <w:r w:rsidRPr="00E73AE9">
        <w:rPr>
          <w:sz w:val="24"/>
          <w:szCs w:val="24"/>
        </w:rPr>
        <w:t>konjugater</w:t>
      </w:r>
      <w:proofErr w:type="spellEnd"/>
      <w:r w:rsidRPr="00E73AE9">
        <w:rPr>
          <w:sz w:val="24"/>
          <w:szCs w:val="24"/>
        </w:rPr>
        <w:t xml:space="preserve"> af </w:t>
      </w:r>
      <w:proofErr w:type="spellStart"/>
      <w:r w:rsidRPr="00E73AE9">
        <w:rPr>
          <w:sz w:val="24"/>
          <w:szCs w:val="24"/>
        </w:rPr>
        <w:t>glucuronid</w:t>
      </w:r>
      <w:proofErr w:type="spellEnd"/>
      <w:r w:rsidRPr="00E73AE9">
        <w:rPr>
          <w:sz w:val="24"/>
          <w:szCs w:val="24"/>
        </w:rPr>
        <w:t xml:space="preserve"> (60-80 %) og sulfat (20-30 %). Mindre end 5 % udskilles i uændret form.</w:t>
      </w:r>
      <w:r w:rsidRPr="00E73AE9">
        <w:rPr>
          <w:sz w:val="24"/>
          <w:szCs w:val="24"/>
          <w:lang w:val="nb-NO"/>
        </w:rPr>
        <w:t xml:space="preserve"> </w:t>
      </w:r>
      <w:r w:rsidRPr="00E73AE9">
        <w:rPr>
          <w:sz w:val="24"/>
          <w:szCs w:val="24"/>
        </w:rPr>
        <w:t xml:space="preserve">Plasmahalveringstiden er 2,7 timer og den samlede </w:t>
      </w:r>
      <w:proofErr w:type="spellStart"/>
      <w:r w:rsidRPr="00E73AE9">
        <w:rPr>
          <w:sz w:val="24"/>
          <w:szCs w:val="24"/>
        </w:rPr>
        <w:t>kropsclearance</w:t>
      </w:r>
      <w:proofErr w:type="spellEnd"/>
      <w:r w:rsidRPr="00E73AE9">
        <w:rPr>
          <w:sz w:val="24"/>
          <w:szCs w:val="24"/>
        </w:rPr>
        <w:t xml:space="preserve"> er 18 l/time.</w:t>
      </w:r>
      <w:r w:rsidRPr="00E73AE9">
        <w:rPr>
          <w:sz w:val="24"/>
          <w:szCs w:val="24"/>
          <w:lang w:val="nb-NO"/>
        </w:rPr>
        <w:t xml:space="preserve"> </w:t>
      </w:r>
    </w:p>
    <w:p w:rsidR="0095659B" w:rsidRPr="00E73AE9" w:rsidRDefault="0095659B" w:rsidP="0095659B">
      <w:pPr>
        <w:ind w:left="851" w:hanging="851"/>
        <w:rPr>
          <w:sz w:val="24"/>
          <w:szCs w:val="24"/>
          <w:lang w:val="nb-NO"/>
        </w:rPr>
      </w:pPr>
    </w:p>
    <w:p w:rsidR="0095659B" w:rsidRPr="00E73AE9" w:rsidRDefault="0095659B" w:rsidP="0095659B">
      <w:pPr>
        <w:keepNext/>
        <w:ind w:left="851"/>
        <w:rPr>
          <w:sz w:val="24"/>
          <w:szCs w:val="24"/>
          <w:lang w:val="nb-NO"/>
        </w:rPr>
      </w:pPr>
      <w:r w:rsidRPr="00E73AE9">
        <w:rPr>
          <w:b/>
          <w:sz w:val="24"/>
          <w:szCs w:val="24"/>
          <w:u w:val="single"/>
        </w:rPr>
        <w:t>Nyfødte, spædbørn og børn:</w:t>
      </w:r>
    </w:p>
    <w:p w:rsidR="0095659B" w:rsidRPr="00E73AE9" w:rsidRDefault="0095659B" w:rsidP="0095659B">
      <w:pPr>
        <w:ind w:left="851"/>
        <w:rPr>
          <w:sz w:val="24"/>
          <w:szCs w:val="24"/>
          <w:lang w:val="nb-NO"/>
        </w:rPr>
      </w:pPr>
      <w:r w:rsidRPr="00E73AE9">
        <w:rPr>
          <w:sz w:val="24"/>
          <w:szCs w:val="24"/>
        </w:rPr>
        <w:t xml:space="preserve">De </w:t>
      </w:r>
      <w:proofErr w:type="spellStart"/>
      <w:r w:rsidRPr="00E73AE9">
        <w:rPr>
          <w:sz w:val="24"/>
          <w:szCs w:val="24"/>
        </w:rPr>
        <w:t>farmakokinetiske</w:t>
      </w:r>
      <w:proofErr w:type="spellEnd"/>
      <w:r w:rsidRPr="00E73AE9">
        <w:rPr>
          <w:sz w:val="24"/>
          <w:szCs w:val="24"/>
        </w:rPr>
        <w:t xml:space="preserve"> parametre for paracetamol, der er observeret hos spædbørn og børn, svarer til, hvad der er observeret hos voksne med undtagelse af plasmahalveringstiden, som er lidt kortere (1,5-2 timer) end hos voksne. Hos nyfødte er plasmahalveringstiden længere end hos spædbørn, dvs. ca. 3,5 timer.</w:t>
      </w:r>
      <w:r w:rsidRPr="00E73AE9">
        <w:rPr>
          <w:sz w:val="24"/>
          <w:szCs w:val="24"/>
          <w:lang w:val="nb-NO"/>
        </w:rPr>
        <w:t xml:space="preserve"> </w:t>
      </w:r>
      <w:r w:rsidRPr="00E73AE9">
        <w:rPr>
          <w:sz w:val="24"/>
          <w:szCs w:val="24"/>
        </w:rPr>
        <w:t xml:space="preserve">Nyfødte, spædbørn og børn op til 10 år udskiller signifikant mindre </w:t>
      </w:r>
      <w:proofErr w:type="spellStart"/>
      <w:r w:rsidRPr="00E73AE9">
        <w:rPr>
          <w:sz w:val="24"/>
          <w:szCs w:val="24"/>
        </w:rPr>
        <w:t>glucuronid</w:t>
      </w:r>
      <w:proofErr w:type="spellEnd"/>
      <w:r w:rsidRPr="00E73AE9">
        <w:rPr>
          <w:sz w:val="24"/>
          <w:szCs w:val="24"/>
        </w:rPr>
        <w:t xml:space="preserve">- og mere </w:t>
      </w:r>
      <w:proofErr w:type="spellStart"/>
      <w:r w:rsidRPr="00E73AE9">
        <w:rPr>
          <w:sz w:val="24"/>
          <w:szCs w:val="24"/>
        </w:rPr>
        <w:t>sulfatkonjugat</w:t>
      </w:r>
      <w:proofErr w:type="spellEnd"/>
      <w:r w:rsidRPr="00E73AE9">
        <w:rPr>
          <w:sz w:val="24"/>
          <w:szCs w:val="24"/>
        </w:rPr>
        <w:t xml:space="preserve"> end voksne.</w:t>
      </w:r>
      <w:r w:rsidRPr="00E73AE9">
        <w:rPr>
          <w:sz w:val="24"/>
          <w:szCs w:val="24"/>
          <w:lang w:val="nb-NO"/>
        </w:rPr>
        <w:t xml:space="preserve"> </w:t>
      </w:r>
    </w:p>
    <w:p w:rsidR="0095659B" w:rsidRPr="00E73AE9" w:rsidRDefault="0095659B" w:rsidP="0095659B">
      <w:pPr>
        <w:ind w:left="851" w:hanging="851"/>
        <w:rPr>
          <w:sz w:val="24"/>
          <w:szCs w:val="24"/>
          <w:lang w:val="nb-NO"/>
        </w:rPr>
      </w:pPr>
    </w:p>
    <w:p w:rsidR="007E3B70" w:rsidRPr="00A3222C" w:rsidRDefault="007E3B70" w:rsidP="007E3B70">
      <w:pPr>
        <w:ind w:left="851"/>
        <w:rPr>
          <w:sz w:val="24"/>
          <w:szCs w:val="24"/>
          <w:lang w:val="nb-NO"/>
        </w:rPr>
      </w:pPr>
      <w:r w:rsidRPr="00A3222C">
        <w:rPr>
          <w:sz w:val="24"/>
          <w:szCs w:val="24"/>
        </w:rPr>
        <w:t xml:space="preserve">Tabel – Aldersrelaterede </w:t>
      </w:r>
      <w:proofErr w:type="spellStart"/>
      <w:r w:rsidRPr="00A3222C">
        <w:rPr>
          <w:sz w:val="24"/>
          <w:szCs w:val="24"/>
        </w:rPr>
        <w:t>farmakokinetiske</w:t>
      </w:r>
      <w:proofErr w:type="spellEnd"/>
      <w:r w:rsidRPr="00A3222C">
        <w:rPr>
          <w:sz w:val="24"/>
          <w:szCs w:val="24"/>
        </w:rPr>
        <w:t xml:space="preserve"> værdier (standardiseret </w:t>
      </w:r>
      <w:proofErr w:type="spellStart"/>
      <w:r w:rsidRPr="00A3222C">
        <w:rPr>
          <w:sz w:val="24"/>
          <w:szCs w:val="24"/>
        </w:rPr>
        <w:t>clearance</w:t>
      </w:r>
      <w:proofErr w:type="spellEnd"/>
      <w:r w:rsidRPr="00A3222C">
        <w:rPr>
          <w:sz w:val="24"/>
          <w:szCs w:val="24"/>
        </w:rPr>
        <w:t>, *</w:t>
      </w:r>
      <w:proofErr w:type="spellStart"/>
      <w:r w:rsidRPr="00A3222C">
        <w:rPr>
          <w:sz w:val="24"/>
          <w:szCs w:val="24"/>
        </w:rPr>
        <w:t>CL</w:t>
      </w:r>
      <w:r w:rsidRPr="00A3222C">
        <w:rPr>
          <w:sz w:val="24"/>
          <w:szCs w:val="24"/>
          <w:vertAlign w:val="subscript"/>
        </w:rPr>
        <w:t>std</w:t>
      </w:r>
      <w:proofErr w:type="spellEnd"/>
      <w:r w:rsidRPr="00A3222C">
        <w:rPr>
          <w:sz w:val="24"/>
          <w:szCs w:val="24"/>
        </w:rPr>
        <w:t>/</w:t>
      </w:r>
      <w:proofErr w:type="spellStart"/>
      <w:proofErr w:type="gramStart"/>
      <w:r w:rsidRPr="00A3222C">
        <w:rPr>
          <w:sz w:val="24"/>
          <w:szCs w:val="24"/>
        </w:rPr>
        <w:t>F</w:t>
      </w:r>
      <w:r w:rsidRPr="00A3222C">
        <w:rPr>
          <w:sz w:val="24"/>
          <w:szCs w:val="24"/>
          <w:vertAlign w:val="subscript"/>
        </w:rPr>
        <w:t>oral</w:t>
      </w:r>
      <w:proofErr w:type="spellEnd"/>
      <w:r w:rsidRPr="00A3222C">
        <w:rPr>
          <w:sz w:val="24"/>
          <w:szCs w:val="24"/>
        </w:rPr>
        <w:t>(</w:t>
      </w:r>
      <w:proofErr w:type="gramEnd"/>
      <w:r w:rsidRPr="00A3222C">
        <w:rPr>
          <w:sz w:val="24"/>
          <w:szCs w:val="24"/>
        </w:rPr>
        <w:t>l×t</w:t>
      </w:r>
      <w:r w:rsidRPr="00A3222C">
        <w:rPr>
          <w:sz w:val="24"/>
          <w:szCs w:val="24"/>
          <w:vertAlign w:val="superscript"/>
        </w:rPr>
        <w:t>-1</w:t>
      </w:r>
      <w:r w:rsidRPr="00A3222C">
        <w:rPr>
          <w:sz w:val="24"/>
          <w:szCs w:val="24"/>
        </w:rPr>
        <w:t>×70 kg</w:t>
      </w:r>
      <w:r w:rsidRPr="00A3222C">
        <w:rPr>
          <w:sz w:val="24"/>
          <w:szCs w:val="24"/>
          <w:vertAlign w:val="superscript"/>
        </w:rPr>
        <w:t>-1</w:t>
      </w:r>
      <w:r w:rsidRPr="00A3222C">
        <w:rPr>
          <w:sz w:val="24"/>
          <w:szCs w:val="24"/>
        </w:rPr>
        <w:t>)</w:t>
      </w:r>
      <w:r w:rsidRPr="00A3222C">
        <w:rPr>
          <w:sz w:val="24"/>
          <w:szCs w:val="24"/>
          <w:lang w:val="nb-NO"/>
        </w:rPr>
        <w:t xml:space="preserve"> </w:t>
      </w:r>
    </w:p>
    <w:p w:rsidR="0095659B" w:rsidRPr="00E73AE9" w:rsidRDefault="0095659B" w:rsidP="0095659B">
      <w:pPr>
        <w:ind w:left="851" w:hanging="851"/>
        <w:rPr>
          <w:sz w:val="24"/>
          <w:szCs w:val="24"/>
          <w:lang w:val="nb-NO"/>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2976"/>
      </w:tblGrid>
      <w:tr w:rsidR="0095659B" w:rsidRPr="00E73AE9" w:rsidTr="003B4BCE">
        <w:tc>
          <w:tcPr>
            <w:tcW w:w="2410"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de-DE"/>
              </w:rPr>
            </w:pPr>
            <w:r w:rsidRPr="00E73AE9">
              <w:rPr>
                <w:b/>
                <w:sz w:val="24"/>
                <w:szCs w:val="24"/>
              </w:rPr>
              <w:t>Alder</w:t>
            </w:r>
          </w:p>
        </w:tc>
        <w:tc>
          <w:tcPr>
            <w:tcW w:w="1701"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de-DE"/>
              </w:rPr>
            </w:pPr>
            <w:r w:rsidRPr="00E73AE9">
              <w:rPr>
                <w:b/>
                <w:sz w:val="24"/>
                <w:szCs w:val="24"/>
              </w:rPr>
              <w:t>Vægt (kg)</w:t>
            </w:r>
          </w:p>
        </w:tc>
        <w:tc>
          <w:tcPr>
            <w:tcW w:w="2976"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de-DE"/>
              </w:rPr>
            </w:pPr>
            <w:proofErr w:type="spellStart"/>
            <w:r w:rsidRPr="00E73AE9">
              <w:rPr>
                <w:b/>
                <w:sz w:val="24"/>
                <w:szCs w:val="24"/>
              </w:rPr>
              <w:t>CL</w:t>
            </w:r>
            <w:r w:rsidRPr="00E73AE9">
              <w:rPr>
                <w:b/>
                <w:sz w:val="24"/>
                <w:szCs w:val="24"/>
                <w:vertAlign w:val="subscript"/>
              </w:rPr>
              <w:t>std</w:t>
            </w:r>
            <w:proofErr w:type="spellEnd"/>
            <w:r w:rsidRPr="00E73AE9">
              <w:rPr>
                <w:b/>
                <w:sz w:val="24"/>
                <w:szCs w:val="24"/>
              </w:rPr>
              <w:t>/</w:t>
            </w:r>
            <w:proofErr w:type="spellStart"/>
            <w:r w:rsidRPr="00E73AE9">
              <w:rPr>
                <w:b/>
                <w:sz w:val="24"/>
                <w:szCs w:val="24"/>
              </w:rPr>
              <w:t>F</w:t>
            </w:r>
            <w:r w:rsidRPr="00E73AE9">
              <w:rPr>
                <w:b/>
                <w:sz w:val="24"/>
                <w:szCs w:val="24"/>
                <w:vertAlign w:val="subscript"/>
              </w:rPr>
              <w:t>oral</w:t>
            </w:r>
            <w:proofErr w:type="spellEnd"/>
            <w:r w:rsidRPr="00E73AE9">
              <w:rPr>
                <w:b/>
                <w:sz w:val="24"/>
                <w:szCs w:val="24"/>
              </w:rPr>
              <w:t xml:space="preserve"> (l×t</w:t>
            </w:r>
            <w:r w:rsidRPr="00E73AE9">
              <w:rPr>
                <w:b/>
                <w:sz w:val="24"/>
                <w:szCs w:val="24"/>
                <w:vertAlign w:val="superscript"/>
              </w:rPr>
              <w:t>-1</w:t>
            </w:r>
            <w:r w:rsidRPr="00E73AE9">
              <w:rPr>
                <w:b/>
                <w:sz w:val="24"/>
                <w:szCs w:val="24"/>
              </w:rPr>
              <w:t>×70 kg</w:t>
            </w:r>
            <w:r w:rsidRPr="00E73AE9">
              <w:rPr>
                <w:b/>
                <w:sz w:val="24"/>
                <w:szCs w:val="24"/>
                <w:vertAlign w:val="superscript"/>
              </w:rPr>
              <w:t>-1</w:t>
            </w:r>
            <w:r w:rsidRPr="00E73AE9">
              <w:rPr>
                <w:b/>
                <w:sz w:val="24"/>
                <w:szCs w:val="24"/>
              </w:rPr>
              <w:t>)</w:t>
            </w:r>
          </w:p>
        </w:tc>
      </w:tr>
      <w:tr w:rsidR="0095659B" w:rsidRPr="00E73AE9" w:rsidTr="003B4BCE">
        <w:tc>
          <w:tcPr>
            <w:tcW w:w="2410"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rPr>
                <w:sz w:val="24"/>
                <w:szCs w:val="24"/>
                <w:lang w:val="de-DE"/>
              </w:rPr>
            </w:pPr>
            <w:r w:rsidRPr="00E73AE9">
              <w:rPr>
                <w:sz w:val="24"/>
                <w:szCs w:val="24"/>
              </w:rPr>
              <w:t>40 uger efter undfangelse</w:t>
            </w:r>
          </w:p>
        </w:tc>
        <w:tc>
          <w:tcPr>
            <w:tcW w:w="1701"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3,3</w:t>
            </w:r>
          </w:p>
        </w:tc>
        <w:tc>
          <w:tcPr>
            <w:tcW w:w="2976"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5,9</w:t>
            </w:r>
          </w:p>
        </w:tc>
      </w:tr>
      <w:tr w:rsidR="0095659B" w:rsidRPr="00E73AE9" w:rsidTr="003B4BCE">
        <w:tc>
          <w:tcPr>
            <w:tcW w:w="2410"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rPr>
                <w:sz w:val="24"/>
                <w:szCs w:val="24"/>
                <w:lang w:val="de-DE"/>
              </w:rPr>
            </w:pPr>
            <w:r w:rsidRPr="00E73AE9">
              <w:rPr>
                <w:sz w:val="24"/>
                <w:szCs w:val="24"/>
              </w:rPr>
              <w:t>3 måneder efter fødsel</w:t>
            </w:r>
          </w:p>
        </w:tc>
        <w:tc>
          <w:tcPr>
            <w:tcW w:w="1701"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6</w:t>
            </w:r>
          </w:p>
        </w:tc>
        <w:tc>
          <w:tcPr>
            <w:tcW w:w="2976"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8,8</w:t>
            </w:r>
          </w:p>
        </w:tc>
      </w:tr>
      <w:tr w:rsidR="0095659B" w:rsidRPr="00E73AE9" w:rsidTr="003B4BCE">
        <w:tc>
          <w:tcPr>
            <w:tcW w:w="2410"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rPr>
                <w:sz w:val="24"/>
                <w:szCs w:val="24"/>
                <w:lang w:val="de-DE"/>
              </w:rPr>
            </w:pPr>
            <w:r w:rsidRPr="00E73AE9">
              <w:rPr>
                <w:sz w:val="24"/>
                <w:szCs w:val="24"/>
              </w:rPr>
              <w:t>6 måneder efter fødsel</w:t>
            </w:r>
          </w:p>
        </w:tc>
        <w:tc>
          <w:tcPr>
            <w:tcW w:w="1701"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7,5</w:t>
            </w:r>
          </w:p>
        </w:tc>
        <w:tc>
          <w:tcPr>
            <w:tcW w:w="2976"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11,1</w:t>
            </w:r>
          </w:p>
        </w:tc>
      </w:tr>
      <w:tr w:rsidR="0095659B" w:rsidRPr="00E73AE9" w:rsidTr="003B4BCE">
        <w:tc>
          <w:tcPr>
            <w:tcW w:w="2410"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rPr>
                <w:sz w:val="24"/>
                <w:szCs w:val="24"/>
                <w:lang w:val="de-DE"/>
              </w:rPr>
            </w:pPr>
            <w:r w:rsidRPr="00E73AE9">
              <w:rPr>
                <w:sz w:val="24"/>
                <w:szCs w:val="24"/>
              </w:rPr>
              <w:t>1 år efter fødsel</w:t>
            </w:r>
          </w:p>
        </w:tc>
        <w:tc>
          <w:tcPr>
            <w:tcW w:w="1701"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10</w:t>
            </w:r>
          </w:p>
        </w:tc>
        <w:tc>
          <w:tcPr>
            <w:tcW w:w="2976"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13,6</w:t>
            </w:r>
          </w:p>
        </w:tc>
      </w:tr>
      <w:tr w:rsidR="0095659B" w:rsidRPr="00E73AE9" w:rsidTr="003B4BCE">
        <w:tc>
          <w:tcPr>
            <w:tcW w:w="2410"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rPr>
                <w:sz w:val="24"/>
                <w:szCs w:val="24"/>
                <w:lang w:val="de-DE"/>
              </w:rPr>
            </w:pPr>
            <w:r w:rsidRPr="00E73AE9">
              <w:rPr>
                <w:sz w:val="24"/>
                <w:szCs w:val="24"/>
              </w:rPr>
              <w:lastRenderedPageBreak/>
              <w:t>2 år efter fødsel</w:t>
            </w:r>
          </w:p>
        </w:tc>
        <w:tc>
          <w:tcPr>
            <w:tcW w:w="1701"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12</w:t>
            </w:r>
          </w:p>
        </w:tc>
        <w:tc>
          <w:tcPr>
            <w:tcW w:w="2976"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15,6</w:t>
            </w:r>
          </w:p>
        </w:tc>
      </w:tr>
      <w:tr w:rsidR="0095659B" w:rsidRPr="00E73AE9" w:rsidTr="003B4BCE">
        <w:tc>
          <w:tcPr>
            <w:tcW w:w="2410"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rPr>
                <w:sz w:val="24"/>
                <w:szCs w:val="24"/>
                <w:lang w:val="de-DE"/>
              </w:rPr>
            </w:pPr>
            <w:r w:rsidRPr="00E73AE9">
              <w:rPr>
                <w:sz w:val="24"/>
                <w:szCs w:val="24"/>
              </w:rPr>
              <w:t>5 år efter fødsel</w:t>
            </w:r>
          </w:p>
        </w:tc>
        <w:tc>
          <w:tcPr>
            <w:tcW w:w="1701"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20</w:t>
            </w:r>
          </w:p>
        </w:tc>
        <w:tc>
          <w:tcPr>
            <w:tcW w:w="2976"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16,3</w:t>
            </w:r>
          </w:p>
        </w:tc>
      </w:tr>
      <w:tr w:rsidR="0095659B" w:rsidRPr="00E73AE9" w:rsidTr="003B4BCE">
        <w:tc>
          <w:tcPr>
            <w:tcW w:w="2410"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rPr>
                <w:sz w:val="24"/>
                <w:szCs w:val="24"/>
                <w:lang w:val="de-DE"/>
              </w:rPr>
            </w:pPr>
            <w:r w:rsidRPr="00E73AE9">
              <w:rPr>
                <w:sz w:val="24"/>
                <w:szCs w:val="24"/>
              </w:rPr>
              <w:t>8 år efter fødsel</w:t>
            </w:r>
          </w:p>
        </w:tc>
        <w:tc>
          <w:tcPr>
            <w:tcW w:w="1701"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25</w:t>
            </w:r>
          </w:p>
        </w:tc>
        <w:tc>
          <w:tcPr>
            <w:tcW w:w="2976" w:type="dxa"/>
            <w:tcBorders>
              <w:top w:val="single" w:sz="4" w:space="0" w:color="000000"/>
              <w:left w:val="single" w:sz="4" w:space="0" w:color="000000"/>
              <w:bottom w:val="single" w:sz="4" w:space="0" w:color="000000"/>
              <w:right w:val="single" w:sz="4" w:space="0" w:color="000000"/>
            </w:tcBorders>
            <w:hideMark/>
          </w:tcPr>
          <w:p w:rsidR="0095659B" w:rsidRPr="00E73AE9" w:rsidRDefault="0095659B" w:rsidP="003B4BCE">
            <w:pPr>
              <w:snapToGrid w:val="0"/>
              <w:jc w:val="center"/>
              <w:rPr>
                <w:sz w:val="24"/>
                <w:szCs w:val="24"/>
                <w:lang w:val="en-GB"/>
              </w:rPr>
            </w:pPr>
            <w:r w:rsidRPr="00E73AE9">
              <w:rPr>
                <w:sz w:val="24"/>
                <w:szCs w:val="24"/>
                <w:lang w:val="en-GB"/>
              </w:rPr>
              <w:t>16,3</w:t>
            </w:r>
          </w:p>
        </w:tc>
      </w:tr>
    </w:tbl>
    <w:p w:rsidR="0095659B" w:rsidRPr="00DB0DE0" w:rsidRDefault="0095659B" w:rsidP="0095659B">
      <w:pPr>
        <w:ind w:left="851"/>
        <w:rPr>
          <w:sz w:val="24"/>
          <w:szCs w:val="24"/>
        </w:rPr>
      </w:pPr>
      <w:r w:rsidRPr="00E73AE9">
        <w:rPr>
          <w:sz w:val="24"/>
          <w:szCs w:val="24"/>
        </w:rPr>
        <w:t>*</w:t>
      </w:r>
      <w:proofErr w:type="spellStart"/>
      <w:r w:rsidRPr="00E73AE9">
        <w:rPr>
          <w:sz w:val="24"/>
          <w:szCs w:val="24"/>
        </w:rPr>
        <w:t>CL</w:t>
      </w:r>
      <w:r w:rsidRPr="00E73AE9">
        <w:rPr>
          <w:sz w:val="24"/>
          <w:szCs w:val="24"/>
          <w:vertAlign w:val="subscript"/>
        </w:rPr>
        <w:t>std</w:t>
      </w:r>
      <w:proofErr w:type="spellEnd"/>
      <w:r w:rsidRPr="00E73AE9">
        <w:rPr>
          <w:sz w:val="24"/>
          <w:szCs w:val="24"/>
        </w:rPr>
        <w:t xml:space="preserve"> er populationsestimatet for CL</w:t>
      </w:r>
      <w:r w:rsidRPr="00DB0DE0">
        <w:rPr>
          <w:sz w:val="24"/>
          <w:szCs w:val="24"/>
        </w:rPr>
        <w:t xml:space="preserve"> </w:t>
      </w:r>
    </w:p>
    <w:p w:rsidR="0095659B" w:rsidRPr="00DB0DE0" w:rsidRDefault="0095659B" w:rsidP="0095659B">
      <w:pPr>
        <w:ind w:left="851" w:hanging="851"/>
        <w:rPr>
          <w:sz w:val="24"/>
          <w:szCs w:val="24"/>
        </w:rPr>
      </w:pPr>
    </w:p>
    <w:p w:rsidR="0095659B" w:rsidRPr="00E73AE9" w:rsidRDefault="0095659B" w:rsidP="0095659B">
      <w:pPr>
        <w:ind w:left="851"/>
        <w:rPr>
          <w:sz w:val="24"/>
          <w:szCs w:val="24"/>
          <w:lang w:val="en-GB"/>
        </w:rPr>
      </w:pPr>
      <w:r w:rsidRPr="00E73AE9">
        <w:rPr>
          <w:b/>
          <w:sz w:val="24"/>
          <w:szCs w:val="24"/>
          <w:u w:val="single"/>
        </w:rPr>
        <w:t>Særlige populationer:</w:t>
      </w:r>
    </w:p>
    <w:p w:rsidR="0095659B" w:rsidRPr="00E73AE9" w:rsidRDefault="0095659B" w:rsidP="0095659B">
      <w:pPr>
        <w:ind w:left="851"/>
        <w:rPr>
          <w:sz w:val="24"/>
          <w:szCs w:val="24"/>
          <w:lang w:val="en-GB"/>
        </w:rPr>
      </w:pPr>
      <w:r w:rsidRPr="00E73AE9">
        <w:rPr>
          <w:sz w:val="24"/>
          <w:szCs w:val="24"/>
          <w:u w:val="single"/>
        </w:rPr>
        <w:t>Nyreinsufficiens</w:t>
      </w:r>
      <w:r w:rsidRPr="00E73AE9">
        <w:rPr>
          <w:sz w:val="24"/>
          <w:szCs w:val="24"/>
        </w:rPr>
        <w:t>:</w:t>
      </w:r>
      <w:r w:rsidRPr="00E73AE9">
        <w:rPr>
          <w:sz w:val="24"/>
          <w:szCs w:val="24"/>
          <w:lang w:val="en-GB"/>
        </w:rPr>
        <w:t xml:space="preserve"> </w:t>
      </w:r>
    </w:p>
    <w:p w:rsidR="0095659B" w:rsidRPr="00E73AE9" w:rsidRDefault="0095659B" w:rsidP="0095659B">
      <w:pPr>
        <w:ind w:left="851"/>
        <w:rPr>
          <w:sz w:val="24"/>
          <w:szCs w:val="24"/>
          <w:lang w:val="nb-NO"/>
        </w:rPr>
      </w:pPr>
      <w:r w:rsidRPr="00E73AE9">
        <w:rPr>
          <w:sz w:val="24"/>
          <w:szCs w:val="24"/>
        </w:rPr>
        <w:t>I tilfælde af alvorlig nyreinsufficiens (</w:t>
      </w:r>
      <w:proofErr w:type="spellStart"/>
      <w:r w:rsidRPr="00E73AE9">
        <w:rPr>
          <w:sz w:val="24"/>
          <w:szCs w:val="24"/>
        </w:rPr>
        <w:t>kreatininclearance</w:t>
      </w:r>
      <w:proofErr w:type="spellEnd"/>
      <w:r w:rsidRPr="00E73AE9">
        <w:rPr>
          <w:sz w:val="24"/>
          <w:szCs w:val="24"/>
        </w:rPr>
        <w:t xml:space="preserve"> 10-30 ml/min.) er eliminationen af paracetamol lidt forsinket, og eliminationshalveringstiden ligger i intervallet 2-5,3 timer. For </w:t>
      </w:r>
      <w:proofErr w:type="spellStart"/>
      <w:r w:rsidRPr="00E73AE9">
        <w:rPr>
          <w:sz w:val="24"/>
          <w:szCs w:val="24"/>
        </w:rPr>
        <w:t>glucuronid</w:t>
      </w:r>
      <w:proofErr w:type="spellEnd"/>
      <w:r w:rsidRPr="00E73AE9">
        <w:rPr>
          <w:sz w:val="24"/>
          <w:szCs w:val="24"/>
        </w:rPr>
        <w:t xml:space="preserve">- og </w:t>
      </w:r>
      <w:proofErr w:type="spellStart"/>
      <w:r w:rsidRPr="00E73AE9">
        <w:rPr>
          <w:sz w:val="24"/>
          <w:szCs w:val="24"/>
        </w:rPr>
        <w:t>sulfatkonjugat</w:t>
      </w:r>
      <w:proofErr w:type="spellEnd"/>
      <w:r w:rsidRPr="00E73AE9">
        <w:rPr>
          <w:sz w:val="24"/>
          <w:szCs w:val="24"/>
        </w:rPr>
        <w:t xml:space="preserve"> er eliminationshastigheden 3 gange langsommere hos individer med alvorlig nyreinsufficiens end hos raske forsøgspersoner. Derfor bør det minimale interval mellem hver administration forhøjes til 6 timer, når paracetamol gives til patienter med alvorlig nyreinsufficiens (</w:t>
      </w:r>
      <w:proofErr w:type="spellStart"/>
      <w:r w:rsidRPr="00E73AE9">
        <w:rPr>
          <w:sz w:val="24"/>
          <w:szCs w:val="24"/>
        </w:rPr>
        <w:t>kreatininclearance</w:t>
      </w:r>
      <w:proofErr w:type="spellEnd"/>
      <w:r w:rsidRPr="00E73AE9">
        <w:rPr>
          <w:sz w:val="24"/>
          <w:szCs w:val="24"/>
        </w:rPr>
        <w:t xml:space="preserve"> </w:t>
      </w:r>
      <w:r w:rsidRPr="00E73AE9">
        <w:rPr>
          <w:sz w:val="24"/>
          <w:szCs w:val="24"/>
        </w:rPr>
        <w:sym w:font="Symbol" w:char="00A3"/>
      </w:r>
      <w:r w:rsidRPr="00E73AE9">
        <w:rPr>
          <w:sz w:val="24"/>
          <w:szCs w:val="24"/>
        </w:rPr>
        <w:t> 30 ml/min.) (se pkt. 4.2.).</w:t>
      </w:r>
      <w:r w:rsidRPr="00E73AE9">
        <w:rPr>
          <w:sz w:val="24"/>
          <w:szCs w:val="24"/>
          <w:lang w:val="nb-NO"/>
        </w:rPr>
        <w:t xml:space="preserve"> </w:t>
      </w:r>
    </w:p>
    <w:p w:rsidR="0095659B" w:rsidRPr="00E73AE9" w:rsidRDefault="0095659B" w:rsidP="0095659B">
      <w:pPr>
        <w:ind w:left="851" w:hanging="851"/>
        <w:rPr>
          <w:sz w:val="24"/>
          <w:szCs w:val="24"/>
          <w:lang w:val="nb-NO"/>
        </w:rPr>
      </w:pPr>
    </w:p>
    <w:p w:rsidR="0095659B" w:rsidRPr="00E73AE9" w:rsidRDefault="0095659B" w:rsidP="0095659B">
      <w:pPr>
        <w:ind w:left="851"/>
        <w:rPr>
          <w:sz w:val="24"/>
          <w:szCs w:val="24"/>
          <w:lang w:val="nb-NO"/>
        </w:rPr>
      </w:pPr>
      <w:r w:rsidRPr="00E73AE9">
        <w:rPr>
          <w:sz w:val="24"/>
          <w:szCs w:val="24"/>
          <w:u w:val="single"/>
        </w:rPr>
        <w:t>Ældre</w:t>
      </w:r>
      <w:r w:rsidRPr="00E73AE9">
        <w:rPr>
          <w:sz w:val="24"/>
          <w:szCs w:val="24"/>
        </w:rPr>
        <w:t>:</w:t>
      </w:r>
    </w:p>
    <w:p w:rsidR="0095659B" w:rsidRPr="00E73AE9" w:rsidRDefault="0095659B" w:rsidP="0095659B">
      <w:pPr>
        <w:ind w:left="851"/>
        <w:rPr>
          <w:sz w:val="24"/>
          <w:szCs w:val="24"/>
          <w:lang w:val="nb-NO"/>
        </w:rPr>
      </w:pPr>
      <w:r w:rsidRPr="00E73AE9">
        <w:rPr>
          <w:sz w:val="24"/>
          <w:szCs w:val="24"/>
        </w:rPr>
        <w:t>Paracetamols farmakokinetik og metabolisme er uændret hos ældre.</w:t>
      </w:r>
      <w:r w:rsidRPr="00E73AE9">
        <w:rPr>
          <w:sz w:val="24"/>
          <w:szCs w:val="24"/>
          <w:lang w:val="nb-NO"/>
        </w:rPr>
        <w:t xml:space="preserve"> </w:t>
      </w:r>
      <w:r w:rsidRPr="00E73AE9">
        <w:rPr>
          <w:sz w:val="24"/>
          <w:szCs w:val="24"/>
        </w:rPr>
        <w:t>Der kræves ingen dosisjustering hos denne population.</w:t>
      </w:r>
      <w:r w:rsidRPr="00E73AE9">
        <w:rPr>
          <w:sz w:val="24"/>
          <w:szCs w:val="24"/>
          <w:lang w:val="nb-NO"/>
        </w:rPr>
        <w:t xml:space="preserve"> </w:t>
      </w:r>
    </w:p>
    <w:p w:rsidR="0095659B" w:rsidRPr="00E73AE9" w:rsidRDefault="0095659B" w:rsidP="0095659B">
      <w:pPr>
        <w:ind w:left="851" w:hanging="851"/>
        <w:rPr>
          <w:sz w:val="24"/>
          <w:szCs w:val="24"/>
        </w:rPr>
      </w:pPr>
    </w:p>
    <w:p w:rsidR="0095659B" w:rsidRPr="00E73AE9" w:rsidRDefault="00A55BE7" w:rsidP="0095659B">
      <w:pPr>
        <w:numPr>
          <w:ilvl w:val="1"/>
          <w:numId w:val="4"/>
        </w:numPr>
        <w:tabs>
          <w:tab w:val="clear" w:pos="855"/>
        </w:tabs>
        <w:ind w:left="851" w:hanging="851"/>
        <w:rPr>
          <w:b/>
          <w:sz w:val="24"/>
          <w:szCs w:val="24"/>
        </w:rPr>
      </w:pPr>
      <w:r>
        <w:rPr>
          <w:b/>
          <w:sz w:val="24"/>
          <w:szCs w:val="24"/>
        </w:rPr>
        <w:t>Non-</w:t>
      </w:r>
      <w:r w:rsidR="0095659B" w:rsidRPr="00E73AE9">
        <w:rPr>
          <w:b/>
          <w:sz w:val="24"/>
          <w:szCs w:val="24"/>
        </w:rPr>
        <w:t>kliniske sikkerhedsdata</w:t>
      </w:r>
      <w:r w:rsidR="0095659B">
        <w:rPr>
          <w:b/>
          <w:sz w:val="24"/>
          <w:szCs w:val="24"/>
        </w:rPr>
        <w:t xml:space="preserve"> studier</w:t>
      </w:r>
    </w:p>
    <w:p w:rsidR="0095659B" w:rsidRPr="0038614F" w:rsidRDefault="0095659B" w:rsidP="0095659B">
      <w:pPr>
        <w:ind w:left="851"/>
        <w:rPr>
          <w:sz w:val="24"/>
          <w:szCs w:val="24"/>
        </w:rPr>
      </w:pPr>
      <w:r w:rsidRPr="00E73AE9">
        <w:rPr>
          <w:sz w:val="24"/>
          <w:szCs w:val="24"/>
        </w:rPr>
        <w:tab/>
      </w:r>
      <w:r w:rsidRPr="0082364E">
        <w:rPr>
          <w:sz w:val="24"/>
          <w:szCs w:val="24"/>
        </w:rPr>
        <w:t>Prækliniske data viser ingen speciel risiko for mennesker, ud over hvad der fremgår af andre afsnit i produktresumeet.</w:t>
      </w:r>
      <w:r w:rsidRPr="0038614F">
        <w:rPr>
          <w:sz w:val="24"/>
          <w:szCs w:val="24"/>
        </w:rPr>
        <w:t xml:space="preserve"> </w:t>
      </w:r>
    </w:p>
    <w:p w:rsidR="0095659B" w:rsidRPr="0038614F" w:rsidRDefault="0095659B" w:rsidP="0095659B">
      <w:pPr>
        <w:ind w:left="851" w:hanging="851"/>
        <w:rPr>
          <w:sz w:val="24"/>
          <w:szCs w:val="24"/>
        </w:rPr>
      </w:pPr>
    </w:p>
    <w:p w:rsidR="0095659B" w:rsidRPr="0038614F" w:rsidRDefault="0095659B" w:rsidP="0095659B">
      <w:pPr>
        <w:ind w:left="851"/>
        <w:rPr>
          <w:sz w:val="24"/>
          <w:szCs w:val="24"/>
        </w:rPr>
      </w:pPr>
      <w:r w:rsidRPr="0082364E">
        <w:rPr>
          <w:sz w:val="24"/>
          <w:szCs w:val="24"/>
        </w:rPr>
        <w:t xml:space="preserve">Studier af lokal tolerance af paracetamol hos rotter og kaniner viste god </w:t>
      </w:r>
      <w:proofErr w:type="spellStart"/>
      <w:r w:rsidRPr="0082364E">
        <w:rPr>
          <w:sz w:val="24"/>
          <w:szCs w:val="24"/>
        </w:rPr>
        <w:t>tolerabilitet</w:t>
      </w:r>
      <w:proofErr w:type="spellEnd"/>
      <w:r w:rsidRPr="0082364E">
        <w:rPr>
          <w:sz w:val="24"/>
          <w:szCs w:val="24"/>
        </w:rPr>
        <w:t>.</w:t>
      </w:r>
      <w:r w:rsidRPr="0038614F">
        <w:rPr>
          <w:sz w:val="24"/>
          <w:szCs w:val="24"/>
        </w:rPr>
        <w:t xml:space="preserve"> </w:t>
      </w:r>
      <w:r w:rsidRPr="0082364E">
        <w:rPr>
          <w:sz w:val="24"/>
          <w:szCs w:val="24"/>
        </w:rPr>
        <w:t>Udeblivelse af forsinket kontaktoverfølsomhed er blevet afprøvet på marsvin.</w:t>
      </w:r>
      <w:r w:rsidRPr="0038614F">
        <w:rPr>
          <w:sz w:val="24"/>
          <w:szCs w:val="24"/>
        </w:rPr>
        <w:t xml:space="preserve"> </w:t>
      </w:r>
    </w:p>
    <w:p w:rsidR="0095659B" w:rsidRDefault="0095659B" w:rsidP="0095659B">
      <w:pPr>
        <w:pStyle w:val="Listeafsnit"/>
        <w:ind w:left="855"/>
        <w:rPr>
          <w:sz w:val="24"/>
          <w:szCs w:val="24"/>
        </w:rPr>
      </w:pPr>
    </w:p>
    <w:p w:rsidR="0095659B" w:rsidRPr="007F4905" w:rsidRDefault="0095659B" w:rsidP="0095659B">
      <w:pPr>
        <w:pStyle w:val="Listeafsnit"/>
        <w:ind w:left="855"/>
        <w:rPr>
          <w:sz w:val="24"/>
          <w:szCs w:val="24"/>
        </w:rPr>
      </w:pPr>
      <w:r w:rsidRPr="000242D4">
        <w:rPr>
          <w:sz w:val="24"/>
          <w:szCs w:val="24"/>
        </w:rPr>
        <w:t>Der foreligger ikke konventionelle studier, hvor man har anvendt aktuelt anerkendte standarder for evaluering af reproduktions- og udviklingstoksicitet.</w:t>
      </w:r>
      <w:r w:rsidRPr="00E73AE9">
        <w:rPr>
          <w:sz w:val="24"/>
          <w:szCs w:val="24"/>
          <w:lang w:val="nb-NO"/>
        </w:rPr>
        <w:t xml:space="preserve"> </w:t>
      </w:r>
    </w:p>
    <w:p w:rsidR="0095659B" w:rsidRPr="00E73AE9" w:rsidRDefault="0095659B" w:rsidP="0095659B">
      <w:pPr>
        <w:ind w:left="851" w:hanging="851"/>
        <w:rPr>
          <w:sz w:val="24"/>
          <w:szCs w:val="24"/>
        </w:rPr>
      </w:pPr>
    </w:p>
    <w:p w:rsidR="0095659B" w:rsidRPr="00E73AE9" w:rsidRDefault="0095659B" w:rsidP="0095659B">
      <w:pPr>
        <w:ind w:left="851" w:hanging="851"/>
        <w:rPr>
          <w:sz w:val="24"/>
          <w:szCs w:val="24"/>
        </w:rPr>
      </w:pPr>
    </w:p>
    <w:p w:rsidR="0095659B" w:rsidRPr="00E73AE9" w:rsidRDefault="0095659B" w:rsidP="0095659B">
      <w:pPr>
        <w:numPr>
          <w:ilvl w:val="0"/>
          <w:numId w:val="3"/>
        </w:numPr>
        <w:tabs>
          <w:tab w:val="clear" w:pos="855"/>
        </w:tabs>
        <w:ind w:left="851" w:hanging="851"/>
        <w:rPr>
          <w:b/>
          <w:sz w:val="24"/>
          <w:szCs w:val="24"/>
        </w:rPr>
      </w:pPr>
      <w:r w:rsidRPr="00E73AE9">
        <w:rPr>
          <w:b/>
          <w:sz w:val="24"/>
          <w:szCs w:val="24"/>
        </w:rPr>
        <w:t>FARMACEUTISKE OPLYSNINGER</w:t>
      </w:r>
    </w:p>
    <w:p w:rsidR="0095659B" w:rsidRPr="00E73AE9" w:rsidRDefault="0095659B" w:rsidP="0095659B">
      <w:pPr>
        <w:ind w:left="851" w:hanging="851"/>
        <w:rPr>
          <w:b/>
          <w:sz w:val="24"/>
          <w:szCs w:val="24"/>
        </w:rPr>
      </w:pPr>
    </w:p>
    <w:p w:rsidR="0095659B" w:rsidRPr="00E73AE9" w:rsidRDefault="0095659B" w:rsidP="0095659B">
      <w:pPr>
        <w:keepNext/>
        <w:numPr>
          <w:ilvl w:val="1"/>
          <w:numId w:val="5"/>
        </w:numPr>
        <w:tabs>
          <w:tab w:val="clear" w:pos="855"/>
        </w:tabs>
        <w:ind w:left="851" w:hanging="851"/>
        <w:rPr>
          <w:b/>
          <w:sz w:val="24"/>
          <w:szCs w:val="24"/>
        </w:rPr>
      </w:pPr>
      <w:r w:rsidRPr="00E73AE9">
        <w:rPr>
          <w:b/>
          <w:sz w:val="24"/>
          <w:szCs w:val="24"/>
        </w:rPr>
        <w:t>Hjælpestoffer</w:t>
      </w:r>
    </w:p>
    <w:p w:rsidR="0095659B" w:rsidRPr="00E73AE9" w:rsidRDefault="0095659B" w:rsidP="0095659B">
      <w:pPr>
        <w:ind w:left="851" w:hanging="851"/>
        <w:rPr>
          <w:sz w:val="24"/>
          <w:szCs w:val="24"/>
          <w:lang w:val="nb-NO"/>
        </w:rPr>
      </w:pPr>
      <w:r w:rsidRPr="00E73AE9">
        <w:rPr>
          <w:sz w:val="24"/>
          <w:szCs w:val="24"/>
        </w:rPr>
        <w:tab/>
      </w:r>
      <w:proofErr w:type="spellStart"/>
      <w:r w:rsidRPr="00E73AE9">
        <w:rPr>
          <w:sz w:val="24"/>
          <w:szCs w:val="24"/>
        </w:rPr>
        <w:t>Mannitol</w:t>
      </w:r>
      <w:proofErr w:type="spellEnd"/>
      <w:r w:rsidRPr="00E73AE9">
        <w:rPr>
          <w:sz w:val="24"/>
          <w:szCs w:val="24"/>
          <w:lang w:val="nb-NO"/>
        </w:rPr>
        <w:t xml:space="preserve"> </w:t>
      </w:r>
    </w:p>
    <w:p w:rsidR="0095659B" w:rsidRPr="00E73AE9" w:rsidRDefault="0095659B" w:rsidP="0095659B">
      <w:pPr>
        <w:ind w:left="851"/>
        <w:rPr>
          <w:sz w:val="24"/>
          <w:szCs w:val="24"/>
          <w:lang w:val="nb-NO"/>
        </w:rPr>
      </w:pPr>
      <w:proofErr w:type="spellStart"/>
      <w:r w:rsidRPr="00E73AE9">
        <w:rPr>
          <w:sz w:val="24"/>
          <w:szCs w:val="24"/>
        </w:rPr>
        <w:t>Natriumcitratdihydrat</w:t>
      </w:r>
      <w:proofErr w:type="spellEnd"/>
    </w:p>
    <w:p w:rsidR="0095659B" w:rsidRPr="00E73AE9" w:rsidRDefault="0095659B" w:rsidP="0095659B">
      <w:pPr>
        <w:ind w:left="851"/>
        <w:rPr>
          <w:sz w:val="24"/>
          <w:szCs w:val="24"/>
          <w:lang w:val="nb-NO"/>
        </w:rPr>
      </w:pPr>
      <w:r w:rsidRPr="00E73AE9">
        <w:rPr>
          <w:sz w:val="24"/>
          <w:szCs w:val="24"/>
        </w:rPr>
        <w:t xml:space="preserve">Eddikesyre </w:t>
      </w:r>
      <w:r w:rsidRPr="00E73AE9">
        <w:rPr>
          <w:color w:val="000000"/>
          <w:sz w:val="24"/>
          <w:szCs w:val="24"/>
        </w:rPr>
        <w:t>(til pH-justering)</w:t>
      </w:r>
    </w:p>
    <w:p w:rsidR="0095659B" w:rsidRPr="00E73AE9" w:rsidRDefault="0095659B" w:rsidP="0095659B">
      <w:pPr>
        <w:ind w:left="851"/>
        <w:rPr>
          <w:sz w:val="24"/>
          <w:szCs w:val="24"/>
          <w:lang w:val="nb-NO"/>
        </w:rPr>
      </w:pPr>
      <w:r w:rsidRPr="00E73AE9">
        <w:rPr>
          <w:sz w:val="24"/>
          <w:szCs w:val="24"/>
        </w:rPr>
        <w:t>Vand til injektionsvæsker</w:t>
      </w:r>
    </w:p>
    <w:p w:rsidR="0095659B" w:rsidRPr="00E73AE9" w:rsidRDefault="0095659B" w:rsidP="0095659B">
      <w:pPr>
        <w:ind w:left="851" w:hanging="851"/>
        <w:rPr>
          <w:sz w:val="24"/>
          <w:szCs w:val="24"/>
        </w:rPr>
      </w:pPr>
    </w:p>
    <w:p w:rsidR="0095659B" w:rsidRPr="00E73AE9" w:rsidRDefault="0095659B" w:rsidP="0095659B">
      <w:pPr>
        <w:numPr>
          <w:ilvl w:val="1"/>
          <w:numId w:val="5"/>
        </w:numPr>
        <w:tabs>
          <w:tab w:val="clear" w:pos="855"/>
        </w:tabs>
        <w:ind w:left="851" w:hanging="851"/>
        <w:rPr>
          <w:b/>
          <w:sz w:val="24"/>
          <w:szCs w:val="24"/>
        </w:rPr>
      </w:pPr>
      <w:r w:rsidRPr="00E73AE9">
        <w:rPr>
          <w:b/>
          <w:sz w:val="24"/>
          <w:szCs w:val="24"/>
        </w:rPr>
        <w:t>Uforligeligheder</w:t>
      </w:r>
    </w:p>
    <w:p w:rsidR="0095659B" w:rsidRPr="00E73AE9" w:rsidRDefault="0095659B" w:rsidP="0095659B">
      <w:pPr>
        <w:ind w:left="851" w:hanging="851"/>
        <w:rPr>
          <w:sz w:val="24"/>
          <w:szCs w:val="24"/>
          <w:lang w:val="nb-NO"/>
        </w:rPr>
      </w:pPr>
      <w:r w:rsidRPr="00E73AE9">
        <w:rPr>
          <w:sz w:val="24"/>
          <w:szCs w:val="24"/>
        </w:rPr>
        <w:tab/>
        <w:t xml:space="preserve">Paracetamol </w:t>
      </w:r>
      <w:r>
        <w:rPr>
          <w:sz w:val="24"/>
          <w:szCs w:val="24"/>
        </w:rPr>
        <w:t>”B. Braun”</w:t>
      </w:r>
      <w:r w:rsidRPr="00E73AE9">
        <w:rPr>
          <w:sz w:val="24"/>
          <w:szCs w:val="24"/>
        </w:rPr>
        <w:t xml:space="preserve"> må ikke blandes med andre lægemidler end dem, der er anført under pkt. 6.6.</w:t>
      </w:r>
    </w:p>
    <w:p w:rsidR="0095659B" w:rsidRPr="00E73AE9" w:rsidRDefault="0095659B" w:rsidP="0095659B">
      <w:pPr>
        <w:ind w:left="851" w:hanging="851"/>
        <w:rPr>
          <w:sz w:val="24"/>
          <w:szCs w:val="24"/>
        </w:rPr>
      </w:pPr>
    </w:p>
    <w:p w:rsidR="0095659B" w:rsidRPr="00E73AE9" w:rsidRDefault="0095659B" w:rsidP="0095659B">
      <w:pPr>
        <w:numPr>
          <w:ilvl w:val="1"/>
          <w:numId w:val="5"/>
        </w:numPr>
        <w:tabs>
          <w:tab w:val="clear" w:pos="855"/>
        </w:tabs>
        <w:ind w:left="851" w:hanging="851"/>
        <w:rPr>
          <w:b/>
          <w:sz w:val="24"/>
          <w:szCs w:val="24"/>
        </w:rPr>
      </w:pPr>
      <w:r w:rsidRPr="00E73AE9">
        <w:rPr>
          <w:b/>
          <w:sz w:val="24"/>
          <w:szCs w:val="24"/>
        </w:rPr>
        <w:t>Opbevaringstid</w:t>
      </w:r>
    </w:p>
    <w:p w:rsidR="0095659B" w:rsidRPr="00E73AE9" w:rsidRDefault="0095659B" w:rsidP="0095659B">
      <w:pPr>
        <w:ind w:left="851" w:hanging="851"/>
        <w:rPr>
          <w:sz w:val="24"/>
          <w:szCs w:val="24"/>
          <w:lang w:val="nb-NO"/>
        </w:rPr>
      </w:pPr>
      <w:r w:rsidRPr="00E73AE9">
        <w:rPr>
          <w:sz w:val="24"/>
          <w:szCs w:val="24"/>
        </w:rPr>
        <w:tab/>
      </w:r>
      <w:r w:rsidRPr="00E73AE9">
        <w:rPr>
          <w:i/>
          <w:sz w:val="24"/>
          <w:szCs w:val="24"/>
        </w:rPr>
        <w:t>Uåbnet:</w:t>
      </w:r>
      <w:r w:rsidRPr="00E73AE9">
        <w:rPr>
          <w:i/>
          <w:sz w:val="24"/>
          <w:szCs w:val="24"/>
          <w:lang w:val="nb-NO"/>
        </w:rPr>
        <w:t xml:space="preserve"> </w:t>
      </w:r>
    </w:p>
    <w:p w:rsidR="0095659B" w:rsidRPr="00E73AE9" w:rsidRDefault="0095659B" w:rsidP="0095659B">
      <w:pPr>
        <w:ind w:left="851"/>
        <w:rPr>
          <w:sz w:val="24"/>
          <w:szCs w:val="24"/>
          <w:lang w:val="nb-NO"/>
        </w:rPr>
      </w:pPr>
      <w:r w:rsidRPr="00E73AE9">
        <w:rPr>
          <w:sz w:val="24"/>
          <w:szCs w:val="24"/>
        </w:rPr>
        <w:t>2 år.</w:t>
      </w:r>
      <w:r w:rsidRPr="00E73AE9">
        <w:rPr>
          <w:sz w:val="24"/>
          <w:szCs w:val="24"/>
          <w:lang w:val="nb-NO"/>
        </w:rPr>
        <w:t xml:space="preserve"> </w:t>
      </w:r>
    </w:p>
    <w:p w:rsidR="0095659B" w:rsidRPr="00E73AE9" w:rsidRDefault="0095659B" w:rsidP="0095659B">
      <w:pPr>
        <w:ind w:left="851" w:hanging="851"/>
        <w:rPr>
          <w:i/>
          <w:sz w:val="24"/>
          <w:szCs w:val="24"/>
          <w:lang w:val="nb-NO"/>
        </w:rPr>
      </w:pPr>
    </w:p>
    <w:p w:rsidR="0095659B" w:rsidRPr="00E73AE9" w:rsidRDefault="0095659B" w:rsidP="0095659B">
      <w:pPr>
        <w:ind w:left="851"/>
        <w:rPr>
          <w:sz w:val="24"/>
          <w:szCs w:val="24"/>
        </w:rPr>
      </w:pPr>
      <w:r w:rsidRPr="00E73AE9">
        <w:rPr>
          <w:i/>
          <w:sz w:val="24"/>
          <w:szCs w:val="24"/>
        </w:rPr>
        <w:t>Efter anbrud</w:t>
      </w:r>
      <w:r w:rsidRPr="00E73AE9">
        <w:rPr>
          <w:sz w:val="24"/>
          <w:szCs w:val="24"/>
        </w:rPr>
        <w:t xml:space="preserve"> </w:t>
      </w:r>
    </w:p>
    <w:p w:rsidR="0095659B" w:rsidRPr="00E73AE9" w:rsidRDefault="0095659B" w:rsidP="0095659B">
      <w:pPr>
        <w:ind w:left="851"/>
        <w:rPr>
          <w:sz w:val="24"/>
          <w:szCs w:val="24"/>
        </w:rPr>
      </w:pPr>
      <w:r w:rsidRPr="00E73AE9">
        <w:rPr>
          <w:sz w:val="24"/>
          <w:szCs w:val="24"/>
        </w:rPr>
        <w:t xml:space="preserve">Infusionen skal påbegyndes umiddelbart efter tilslutning af beholderen til infusionssættet. </w:t>
      </w:r>
    </w:p>
    <w:p w:rsidR="0057496A" w:rsidRDefault="0057496A" w:rsidP="0057496A">
      <w:pPr>
        <w:rPr>
          <w:i/>
          <w:sz w:val="24"/>
          <w:szCs w:val="24"/>
        </w:rPr>
      </w:pPr>
    </w:p>
    <w:p w:rsidR="0095659B" w:rsidRPr="00E73AE9" w:rsidRDefault="0095659B" w:rsidP="0095659B">
      <w:pPr>
        <w:ind w:left="851"/>
        <w:rPr>
          <w:i/>
          <w:sz w:val="24"/>
          <w:szCs w:val="24"/>
          <w:lang w:val="nb-NO"/>
        </w:rPr>
      </w:pPr>
      <w:r w:rsidRPr="00E73AE9">
        <w:rPr>
          <w:i/>
          <w:sz w:val="24"/>
          <w:szCs w:val="24"/>
        </w:rPr>
        <w:t>Efter fortynding</w:t>
      </w:r>
    </w:p>
    <w:p w:rsidR="0095659B" w:rsidRPr="00E73AE9" w:rsidRDefault="0095659B" w:rsidP="0095659B">
      <w:pPr>
        <w:ind w:left="851"/>
        <w:rPr>
          <w:sz w:val="24"/>
          <w:szCs w:val="24"/>
        </w:rPr>
      </w:pPr>
      <w:r w:rsidRPr="00E73AE9">
        <w:rPr>
          <w:sz w:val="24"/>
          <w:szCs w:val="24"/>
        </w:rPr>
        <w:t>Kemisk og fysisk holdbarhed under brug (herunder infusionstid) for opløsningerne, der er angivet i pkt. 6.6, er blevet påvist for 48 timer ved 23 °C.</w:t>
      </w:r>
    </w:p>
    <w:p w:rsidR="0095659B" w:rsidRPr="00E73AE9" w:rsidRDefault="0095659B" w:rsidP="0095659B">
      <w:pPr>
        <w:ind w:left="851" w:hanging="851"/>
        <w:rPr>
          <w:sz w:val="24"/>
          <w:szCs w:val="24"/>
        </w:rPr>
      </w:pPr>
    </w:p>
    <w:p w:rsidR="0095659B" w:rsidRPr="00E73AE9" w:rsidRDefault="0095659B" w:rsidP="0095659B">
      <w:pPr>
        <w:ind w:left="851"/>
        <w:rPr>
          <w:strike/>
          <w:sz w:val="24"/>
          <w:szCs w:val="24"/>
          <w:lang w:val="nb-NO"/>
        </w:rPr>
      </w:pPr>
      <w:r w:rsidRPr="00E73AE9">
        <w:rPr>
          <w:sz w:val="24"/>
          <w:szCs w:val="24"/>
        </w:rPr>
        <w:t>Set ud fra et mikrobiologisk synspunkt skal produktet anvendes med det samme. Hvis det ikke anvendes straks, er opbevaringstid og -betingelser før anvendelse brugerens ansvar.</w:t>
      </w:r>
    </w:p>
    <w:p w:rsidR="0095659B" w:rsidRPr="00E73AE9" w:rsidRDefault="0095659B" w:rsidP="0095659B">
      <w:pPr>
        <w:ind w:left="851" w:hanging="851"/>
        <w:rPr>
          <w:sz w:val="24"/>
          <w:szCs w:val="24"/>
        </w:rPr>
      </w:pPr>
    </w:p>
    <w:p w:rsidR="0095659B" w:rsidRPr="00E73AE9" w:rsidRDefault="0095659B" w:rsidP="0095659B">
      <w:pPr>
        <w:numPr>
          <w:ilvl w:val="1"/>
          <w:numId w:val="5"/>
        </w:numPr>
        <w:tabs>
          <w:tab w:val="clear" w:pos="855"/>
        </w:tabs>
        <w:ind w:left="851" w:hanging="851"/>
        <w:rPr>
          <w:b/>
          <w:sz w:val="24"/>
          <w:szCs w:val="24"/>
        </w:rPr>
      </w:pPr>
      <w:r w:rsidRPr="00E73AE9">
        <w:rPr>
          <w:b/>
          <w:sz w:val="24"/>
          <w:szCs w:val="24"/>
        </w:rPr>
        <w:t>Særlige opbevaringsforhold</w:t>
      </w:r>
    </w:p>
    <w:p w:rsidR="0095659B" w:rsidRPr="00DB0DE0" w:rsidRDefault="0095659B" w:rsidP="0095659B">
      <w:pPr>
        <w:ind w:firstLine="851"/>
        <w:rPr>
          <w:b/>
          <w:sz w:val="24"/>
          <w:szCs w:val="24"/>
          <w:lang w:val="nb-NO"/>
        </w:rPr>
      </w:pPr>
      <w:r w:rsidRPr="00DB0DE0">
        <w:rPr>
          <w:sz w:val="24"/>
          <w:szCs w:val="24"/>
          <w:lang w:val="nb-NO"/>
        </w:rPr>
        <w:t>Må ikke opbevares ved temperaturer over 30 °C.</w:t>
      </w:r>
    </w:p>
    <w:p w:rsidR="0095659B" w:rsidRPr="00DB0DE0" w:rsidRDefault="0095659B" w:rsidP="0095659B">
      <w:pPr>
        <w:rPr>
          <w:sz w:val="24"/>
          <w:szCs w:val="24"/>
          <w:lang w:val="nb-NO"/>
        </w:rPr>
      </w:pPr>
    </w:p>
    <w:p w:rsidR="0095659B" w:rsidRPr="00DB0DE0" w:rsidRDefault="0095659B" w:rsidP="0095659B">
      <w:pPr>
        <w:ind w:firstLine="851"/>
        <w:rPr>
          <w:sz w:val="24"/>
          <w:szCs w:val="24"/>
          <w:lang w:val="nb-NO"/>
        </w:rPr>
      </w:pPr>
      <w:r w:rsidRPr="00DB0DE0">
        <w:rPr>
          <w:sz w:val="24"/>
          <w:szCs w:val="24"/>
        </w:rPr>
        <w:t xml:space="preserve">Opbevar </w:t>
      </w:r>
      <w:r>
        <w:rPr>
          <w:sz w:val="24"/>
          <w:szCs w:val="24"/>
        </w:rPr>
        <w:t>beholderen</w:t>
      </w:r>
      <w:r w:rsidRPr="00DB0DE0">
        <w:rPr>
          <w:sz w:val="24"/>
          <w:szCs w:val="24"/>
        </w:rPr>
        <w:t xml:space="preserve"> i den ydre karton for at beskytte mod lys.</w:t>
      </w:r>
    </w:p>
    <w:p w:rsidR="0095659B" w:rsidRPr="00DB0DE0" w:rsidRDefault="0095659B" w:rsidP="0095659B">
      <w:pPr>
        <w:rPr>
          <w:sz w:val="24"/>
          <w:szCs w:val="24"/>
          <w:lang w:val="nb-NO"/>
        </w:rPr>
      </w:pPr>
    </w:p>
    <w:p w:rsidR="0095659B" w:rsidRPr="00DB0DE0" w:rsidRDefault="0095659B" w:rsidP="0095659B">
      <w:pPr>
        <w:ind w:firstLine="851"/>
        <w:rPr>
          <w:sz w:val="24"/>
          <w:szCs w:val="24"/>
        </w:rPr>
      </w:pPr>
      <w:r w:rsidRPr="00DB0DE0">
        <w:rPr>
          <w:sz w:val="24"/>
          <w:szCs w:val="24"/>
        </w:rPr>
        <w:t>For opbevaringsbetingelser efter anbrud og fortynding af lægemidlet, se pkt. 6.3</w:t>
      </w:r>
    </w:p>
    <w:p w:rsidR="0095659B" w:rsidRPr="00E73AE9" w:rsidRDefault="0095659B" w:rsidP="0095659B">
      <w:pPr>
        <w:ind w:left="851" w:hanging="851"/>
        <w:rPr>
          <w:sz w:val="24"/>
          <w:szCs w:val="24"/>
        </w:rPr>
      </w:pPr>
    </w:p>
    <w:p w:rsidR="0095659B" w:rsidRPr="00E73AE9" w:rsidRDefault="0095659B" w:rsidP="0095659B">
      <w:pPr>
        <w:numPr>
          <w:ilvl w:val="1"/>
          <w:numId w:val="5"/>
        </w:numPr>
        <w:tabs>
          <w:tab w:val="clear" w:pos="855"/>
        </w:tabs>
        <w:ind w:left="851" w:hanging="851"/>
        <w:rPr>
          <w:b/>
          <w:sz w:val="24"/>
          <w:szCs w:val="24"/>
        </w:rPr>
      </w:pPr>
      <w:r w:rsidRPr="00E73AE9">
        <w:rPr>
          <w:b/>
          <w:sz w:val="24"/>
          <w:szCs w:val="24"/>
        </w:rPr>
        <w:t>Emballagetype og pakningsstørrelser</w:t>
      </w:r>
    </w:p>
    <w:p w:rsidR="0095659B" w:rsidRPr="00E73AE9" w:rsidRDefault="0095659B" w:rsidP="0095659B">
      <w:pPr>
        <w:ind w:left="851"/>
        <w:rPr>
          <w:sz w:val="24"/>
          <w:szCs w:val="24"/>
          <w:lang w:val="nb-NO"/>
        </w:rPr>
      </w:pPr>
      <w:r w:rsidRPr="00E73AE9">
        <w:rPr>
          <w:sz w:val="24"/>
          <w:szCs w:val="24"/>
        </w:rPr>
        <w:t xml:space="preserve">Flasker af </w:t>
      </w:r>
      <w:proofErr w:type="spellStart"/>
      <w:r w:rsidRPr="00E73AE9">
        <w:rPr>
          <w:sz w:val="24"/>
          <w:szCs w:val="24"/>
        </w:rPr>
        <w:t>polyethylen</w:t>
      </w:r>
      <w:proofErr w:type="spellEnd"/>
      <w:r w:rsidRPr="00E73AE9">
        <w:rPr>
          <w:sz w:val="24"/>
          <w:szCs w:val="24"/>
        </w:rPr>
        <w:t xml:space="preserve"> med lav densitet, indhold:</w:t>
      </w:r>
      <w:r w:rsidRPr="00E73AE9">
        <w:rPr>
          <w:sz w:val="24"/>
          <w:szCs w:val="24"/>
          <w:lang w:val="nb-NO"/>
        </w:rPr>
        <w:t xml:space="preserve"> </w:t>
      </w:r>
      <w:r w:rsidRPr="00E73AE9">
        <w:rPr>
          <w:sz w:val="24"/>
          <w:szCs w:val="24"/>
        </w:rPr>
        <w:t>50 ml, 100 ml</w:t>
      </w:r>
    </w:p>
    <w:p w:rsidR="0095659B" w:rsidRDefault="0095659B" w:rsidP="0095659B">
      <w:pPr>
        <w:ind w:left="851"/>
        <w:rPr>
          <w:sz w:val="24"/>
          <w:szCs w:val="24"/>
          <w:lang w:val="nb-NO"/>
        </w:rPr>
      </w:pPr>
      <w:r>
        <w:rPr>
          <w:sz w:val="24"/>
          <w:szCs w:val="24"/>
          <w:lang w:val="nb-NO"/>
        </w:rPr>
        <w:t>Ampul af polyethylen med lav densitet, indhold: 10 ml</w:t>
      </w:r>
    </w:p>
    <w:p w:rsidR="0095659B" w:rsidRDefault="0095659B" w:rsidP="0095659B">
      <w:pPr>
        <w:ind w:left="851"/>
        <w:rPr>
          <w:sz w:val="24"/>
          <w:szCs w:val="24"/>
          <w:lang w:val="nb-NO"/>
        </w:rPr>
      </w:pPr>
    </w:p>
    <w:p w:rsidR="0095659B" w:rsidRPr="00E73AE9" w:rsidRDefault="0095659B" w:rsidP="0095659B">
      <w:pPr>
        <w:ind w:left="851"/>
        <w:rPr>
          <w:sz w:val="24"/>
          <w:szCs w:val="24"/>
          <w:lang w:val="nb-NO"/>
        </w:rPr>
      </w:pPr>
      <w:r w:rsidRPr="00E73AE9">
        <w:rPr>
          <w:sz w:val="24"/>
          <w:szCs w:val="24"/>
        </w:rPr>
        <w:t>Pakningsstørrelse:</w:t>
      </w:r>
      <w:r w:rsidRPr="00E73AE9">
        <w:rPr>
          <w:sz w:val="24"/>
          <w:szCs w:val="24"/>
          <w:lang w:val="nb-NO"/>
        </w:rPr>
        <w:t xml:space="preserve"> </w:t>
      </w:r>
      <w:r>
        <w:rPr>
          <w:sz w:val="24"/>
          <w:szCs w:val="24"/>
          <w:lang w:val="nb-NO"/>
        </w:rPr>
        <w:t xml:space="preserve">20 x 10 ml, </w:t>
      </w:r>
      <w:r w:rsidRPr="00E73AE9">
        <w:rPr>
          <w:sz w:val="24"/>
          <w:szCs w:val="24"/>
        </w:rPr>
        <w:t>10 × 50 ml, 10 × 100 ml</w:t>
      </w:r>
    </w:p>
    <w:p w:rsidR="0095659B" w:rsidRPr="00E73AE9" w:rsidRDefault="0095659B" w:rsidP="0095659B">
      <w:pPr>
        <w:ind w:left="851"/>
        <w:rPr>
          <w:sz w:val="24"/>
          <w:szCs w:val="24"/>
          <w:lang w:val="nb-NO"/>
        </w:rPr>
      </w:pPr>
      <w:r w:rsidRPr="00E73AE9">
        <w:rPr>
          <w:sz w:val="24"/>
          <w:szCs w:val="24"/>
        </w:rPr>
        <w:t>Ikke alle pakningsstørrelser er nødvendigvis markedsført.</w:t>
      </w:r>
    </w:p>
    <w:p w:rsidR="0095659B" w:rsidRPr="00E73AE9" w:rsidRDefault="0095659B" w:rsidP="0095659B">
      <w:pPr>
        <w:ind w:left="851" w:hanging="851"/>
        <w:rPr>
          <w:sz w:val="24"/>
          <w:szCs w:val="24"/>
        </w:rPr>
      </w:pPr>
    </w:p>
    <w:p w:rsidR="0095659B" w:rsidRPr="00E73AE9" w:rsidRDefault="0095659B" w:rsidP="0095659B">
      <w:pPr>
        <w:numPr>
          <w:ilvl w:val="1"/>
          <w:numId w:val="5"/>
        </w:numPr>
        <w:tabs>
          <w:tab w:val="clear" w:pos="855"/>
        </w:tabs>
        <w:ind w:left="851" w:hanging="851"/>
        <w:rPr>
          <w:b/>
          <w:sz w:val="24"/>
          <w:szCs w:val="24"/>
        </w:rPr>
      </w:pPr>
      <w:r w:rsidRPr="00E73AE9">
        <w:rPr>
          <w:b/>
          <w:sz w:val="24"/>
          <w:szCs w:val="24"/>
        </w:rPr>
        <w:t xml:space="preserve">Regler for </w:t>
      </w:r>
      <w:r w:rsidR="00A55BE7">
        <w:rPr>
          <w:b/>
          <w:sz w:val="24"/>
          <w:szCs w:val="24"/>
        </w:rPr>
        <w:t>bortskaffelse</w:t>
      </w:r>
      <w:r w:rsidRPr="00E73AE9">
        <w:rPr>
          <w:b/>
          <w:sz w:val="24"/>
          <w:szCs w:val="24"/>
        </w:rPr>
        <w:t xml:space="preserve"> og anden håndtering</w:t>
      </w:r>
    </w:p>
    <w:p w:rsidR="00A55BE7" w:rsidRDefault="00A55BE7" w:rsidP="00A55BE7">
      <w:pPr>
        <w:pStyle w:val="Listeafsnit"/>
        <w:ind w:left="855"/>
        <w:rPr>
          <w:sz w:val="24"/>
          <w:szCs w:val="24"/>
        </w:rPr>
      </w:pPr>
      <w:r w:rsidRPr="00A55BE7">
        <w:rPr>
          <w:sz w:val="24"/>
          <w:szCs w:val="24"/>
        </w:rPr>
        <w:t>Ingen særlige forholdsregler ved bortskaffelse.</w:t>
      </w:r>
    </w:p>
    <w:p w:rsidR="00A55BE7" w:rsidRPr="00A55BE7" w:rsidRDefault="00A55BE7" w:rsidP="00A55BE7">
      <w:pPr>
        <w:pStyle w:val="Listeafsnit"/>
        <w:ind w:left="855"/>
        <w:rPr>
          <w:sz w:val="24"/>
          <w:szCs w:val="24"/>
          <w:lang w:val="nb-NO"/>
        </w:rPr>
      </w:pPr>
      <w:r w:rsidRPr="00A55BE7">
        <w:rPr>
          <w:sz w:val="24"/>
          <w:szCs w:val="24"/>
          <w:lang w:val="nb-NO"/>
        </w:rPr>
        <w:t xml:space="preserve">Paracetamol ”B. Braun” kan fortyndes med 9 mg/ml (0,9 %) natriumchlorid infusionsvæske, opløsning eller 50 mg/ml (5 %) glucoseinfusionsvæske, opløsning, eller en kombination af begge opløsninger, op til en tiendedel. Se også pkt. 4.2. </w:t>
      </w:r>
      <w:r w:rsidRPr="00A55BE7">
        <w:rPr>
          <w:sz w:val="24"/>
          <w:szCs w:val="24"/>
        </w:rPr>
        <w:t>Se pkt. 6.3 vedrørende opbevaringstid efter fortynding.</w:t>
      </w:r>
    </w:p>
    <w:p w:rsidR="0095659B" w:rsidRDefault="0095659B" w:rsidP="0095659B">
      <w:pPr>
        <w:ind w:left="851" w:hanging="851"/>
        <w:jc w:val="both"/>
        <w:rPr>
          <w:sz w:val="24"/>
          <w:szCs w:val="24"/>
        </w:rPr>
      </w:pPr>
    </w:p>
    <w:p w:rsidR="0095659B" w:rsidRPr="00E73AE9" w:rsidRDefault="0095659B" w:rsidP="0095659B">
      <w:pPr>
        <w:ind w:left="851" w:hanging="851"/>
        <w:jc w:val="both"/>
        <w:rPr>
          <w:sz w:val="24"/>
          <w:szCs w:val="24"/>
        </w:rPr>
      </w:pPr>
    </w:p>
    <w:p w:rsidR="0095659B" w:rsidRPr="00E73AE9" w:rsidRDefault="0095659B" w:rsidP="0095659B">
      <w:pPr>
        <w:ind w:left="851" w:hanging="851"/>
        <w:rPr>
          <w:b/>
          <w:sz w:val="24"/>
          <w:szCs w:val="24"/>
        </w:rPr>
      </w:pPr>
      <w:r w:rsidRPr="00E73AE9">
        <w:rPr>
          <w:b/>
          <w:sz w:val="24"/>
          <w:szCs w:val="24"/>
        </w:rPr>
        <w:t>7.</w:t>
      </w:r>
      <w:r w:rsidRPr="00E73AE9">
        <w:rPr>
          <w:b/>
          <w:sz w:val="24"/>
          <w:szCs w:val="24"/>
        </w:rPr>
        <w:tab/>
        <w:t>INDEHAVER AF MARKEDSFØRINGSTILLADELSEN</w:t>
      </w:r>
    </w:p>
    <w:p w:rsidR="0095659B" w:rsidRPr="00E73AE9" w:rsidRDefault="0095659B" w:rsidP="0095659B">
      <w:pPr>
        <w:ind w:firstLine="851"/>
      </w:pPr>
      <w:r w:rsidRPr="00E73AE9">
        <w:t>B. Braun Melsungen AG,</w:t>
      </w:r>
    </w:p>
    <w:p w:rsidR="0095659B" w:rsidRDefault="0095659B" w:rsidP="0095659B">
      <w:pPr>
        <w:ind w:firstLine="851"/>
      </w:pPr>
      <w:r>
        <w:t>Carl-Braun-</w:t>
      </w:r>
      <w:proofErr w:type="spellStart"/>
      <w:r>
        <w:t>Straße</w:t>
      </w:r>
      <w:proofErr w:type="spellEnd"/>
      <w:r>
        <w:t xml:space="preserve"> 1</w:t>
      </w:r>
    </w:p>
    <w:p w:rsidR="0095659B" w:rsidRDefault="0095659B" w:rsidP="0095659B">
      <w:pPr>
        <w:ind w:firstLine="851"/>
      </w:pPr>
      <w:r>
        <w:t>34212</w:t>
      </w:r>
      <w:r w:rsidRPr="00E73AE9">
        <w:t xml:space="preserve"> Melsungen</w:t>
      </w:r>
    </w:p>
    <w:p w:rsidR="0095659B" w:rsidRPr="00E73AE9" w:rsidRDefault="0095659B" w:rsidP="0095659B">
      <w:pPr>
        <w:ind w:firstLine="851"/>
        <w:rPr>
          <w:lang w:val="nb-NO"/>
        </w:rPr>
      </w:pPr>
      <w:r w:rsidRPr="00E73AE9">
        <w:t>Tyskland</w:t>
      </w:r>
    </w:p>
    <w:p w:rsidR="0095659B" w:rsidRPr="00E73AE9" w:rsidRDefault="0095659B" w:rsidP="0095659B">
      <w:pPr>
        <w:rPr>
          <w:lang w:val="nb-NO"/>
        </w:rPr>
      </w:pPr>
    </w:p>
    <w:p w:rsidR="0095659B" w:rsidRPr="00E73AE9" w:rsidRDefault="0095659B" w:rsidP="0095659B">
      <w:pPr>
        <w:ind w:left="851"/>
        <w:rPr>
          <w:b/>
          <w:sz w:val="24"/>
          <w:szCs w:val="24"/>
          <w:lang w:val="nb-NO"/>
        </w:rPr>
      </w:pPr>
      <w:r w:rsidRPr="00E73AE9">
        <w:rPr>
          <w:b/>
          <w:sz w:val="24"/>
          <w:szCs w:val="24"/>
          <w:lang w:val="nb-NO"/>
        </w:rPr>
        <w:t>Repræsentant</w:t>
      </w:r>
    </w:p>
    <w:p w:rsidR="0095659B" w:rsidRPr="00E73AE9" w:rsidRDefault="0095659B" w:rsidP="0095659B">
      <w:pPr>
        <w:ind w:left="851"/>
        <w:rPr>
          <w:sz w:val="24"/>
          <w:szCs w:val="24"/>
          <w:lang w:val="nb-NO"/>
        </w:rPr>
      </w:pPr>
      <w:r w:rsidRPr="00E73AE9">
        <w:rPr>
          <w:sz w:val="24"/>
          <w:szCs w:val="24"/>
          <w:lang w:val="nb-NO"/>
        </w:rPr>
        <w:t>B. Braun Medical A/S</w:t>
      </w:r>
    </w:p>
    <w:p w:rsidR="0095659B" w:rsidRPr="00E73AE9" w:rsidRDefault="0095659B" w:rsidP="0095659B">
      <w:pPr>
        <w:ind w:left="851"/>
        <w:rPr>
          <w:sz w:val="24"/>
          <w:szCs w:val="24"/>
          <w:lang w:val="nb-NO"/>
        </w:rPr>
      </w:pPr>
      <w:r w:rsidRPr="00E73AE9">
        <w:rPr>
          <w:sz w:val="24"/>
          <w:szCs w:val="24"/>
          <w:lang w:val="nb-NO"/>
        </w:rPr>
        <w:t>Dirch Passers Allé 27, 3. sal</w:t>
      </w:r>
    </w:p>
    <w:p w:rsidR="0095659B" w:rsidRPr="00E73AE9" w:rsidRDefault="0095659B" w:rsidP="0095659B">
      <w:pPr>
        <w:ind w:left="851"/>
        <w:rPr>
          <w:sz w:val="24"/>
          <w:szCs w:val="24"/>
          <w:lang w:val="nb-NO"/>
        </w:rPr>
      </w:pPr>
      <w:r w:rsidRPr="00E73AE9">
        <w:rPr>
          <w:sz w:val="24"/>
          <w:szCs w:val="24"/>
          <w:lang w:val="nb-NO"/>
        </w:rPr>
        <w:t>2000 Frederiksberg</w:t>
      </w:r>
    </w:p>
    <w:p w:rsidR="0095659B" w:rsidRPr="00E73AE9" w:rsidRDefault="0095659B" w:rsidP="0095659B">
      <w:pPr>
        <w:ind w:left="851" w:hanging="851"/>
        <w:rPr>
          <w:sz w:val="24"/>
          <w:szCs w:val="24"/>
        </w:rPr>
      </w:pPr>
    </w:p>
    <w:p w:rsidR="0095659B" w:rsidRPr="00E73AE9" w:rsidRDefault="0095659B" w:rsidP="0095659B">
      <w:pPr>
        <w:ind w:left="851" w:hanging="851"/>
        <w:rPr>
          <w:b/>
          <w:sz w:val="24"/>
          <w:szCs w:val="24"/>
        </w:rPr>
      </w:pPr>
      <w:r w:rsidRPr="00E73AE9">
        <w:rPr>
          <w:b/>
          <w:sz w:val="24"/>
          <w:szCs w:val="24"/>
        </w:rPr>
        <w:t>8.</w:t>
      </w:r>
      <w:r w:rsidRPr="00E73AE9">
        <w:rPr>
          <w:b/>
          <w:sz w:val="24"/>
          <w:szCs w:val="24"/>
        </w:rPr>
        <w:tab/>
        <w:t>MARKEDSFØRINGSTILLADELSESNUMMER (</w:t>
      </w:r>
      <w:r w:rsidR="00A55BE7">
        <w:rPr>
          <w:b/>
          <w:sz w:val="24"/>
          <w:szCs w:val="24"/>
        </w:rPr>
        <w:t>-</w:t>
      </w:r>
      <w:r w:rsidRPr="00E73AE9">
        <w:rPr>
          <w:b/>
          <w:sz w:val="24"/>
          <w:szCs w:val="24"/>
        </w:rPr>
        <w:t>NUMRE)</w:t>
      </w:r>
    </w:p>
    <w:p w:rsidR="0095659B" w:rsidRPr="00E73AE9" w:rsidRDefault="0095659B" w:rsidP="0095659B">
      <w:pPr>
        <w:ind w:left="851" w:hanging="851"/>
        <w:rPr>
          <w:sz w:val="24"/>
          <w:szCs w:val="24"/>
        </w:rPr>
      </w:pPr>
      <w:r w:rsidRPr="00E73AE9">
        <w:rPr>
          <w:sz w:val="24"/>
          <w:szCs w:val="24"/>
        </w:rPr>
        <w:tab/>
        <w:t>48517</w:t>
      </w:r>
    </w:p>
    <w:p w:rsidR="0095659B" w:rsidRPr="00E73AE9" w:rsidRDefault="0095659B" w:rsidP="0095659B">
      <w:pPr>
        <w:ind w:left="851" w:hanging="851"/>
        <w:jc w:val="both"/>
        <w:rPr>
          <w:sz w:val="24"/>
          <w:szCs w:val="24"/>
        </w:rPr>
      </w:pPr>
    </w:p>
    <w:p w:rsidR="0095659B" w:rsidRPr="00E73AE9" w:rsidRDefault="0095659B" w:rsidP="0095659B">
      <w:pPr>
        <w:ind w:left="851" w:hanging="851"/>
        <w:rPr>
          <w:b/>
          <w:sz w:val="24"/>
          <w:szCs w:val="24"/>
        </w:rPr>
      </w:pPr>
      <w:r w:rsidRPr="00E73AE9">
        <w:rPr>
          <w:b/>
          <w:sz w:val="24"/>
          <w:szCs w:val="24"/>
        </w:rPr>
        <w:t>9.</w:t>
      </w:r>
      <w:r w:rsidRPr="00E73AE9">
        <w:rPr>
          <w:b/>
          <w:sz w:val="24"/>
          <w:szCs w:val="24"/>
        </w:rPr>
        <w:tab/>
        <w:t>DATO FOR FØRSTE MARKEDSFØRINGSTILLADELSE</w:t>
      </w:r>
    </w:p>
    <w:p w:rsidR="0095659B" w:rsidRPr="00E73AE9" w:rsidRDefault="0095659B" w:rsidP="0095659B">
      <w:pPr>
        <w:ind w:left="851" w:hanging="851"/>
        <w:rPr>
          <w:sz w:val="24"/>
          <w:szCs w:val="24"/>
        </w:rPr>
      </w:pPr>
      <w:r w:rsidRPr="00E73AE9">
        <w:rPr>
          <w:sz w:val="24"/>
          <w:szCs w:val="24"/>
        </w:rPr>
        <w:tab/>
        <w:t>15. marts 2012</w:t>
      </w:r>
    </w:p>
    <w:p w:rsidR="0095659B" w:rsidRPr="00E73AE9" w:rsidRDefault="0095659B" w:rsidP="0095659B">
      <w:pPr>
        <w:ind w:left="851" w:hanging="851"/>
        <w:rPr>
          <w:sz w:val="24"/>
          <w:szCs w:val="24"/>
        </w:rPr>
      </w:pPr>
    </w:p>
    <w:p w:rsidR="0095659B" w:rsidRPr="00E73AE9" w:rsidRDefault="0095659B" w:rsidP="0095659B">
      <w:pPr>
        <w:ind w:left="851" w:hanging="851"/>
        <w:rPr>
          <w:b/>
          <w:sz w:val="24"/>
          <w:szCs w:val="24"/>
        </w:rPr>
      </w:pPr>
      <w:r w:rsidRPr="00E73AE9">
        <w:rPr>
          <w:b/>
          <w:sz w:val="24"/>
          <w:szCs w:val="24"/>
        </w:rPr>
        <w:t>10.</w:t>
      </w:r>
      <w:r w:rsidRPr="00E73AE9">
        <w:rPr>
          <w:b/>
          <w:sz w:val="24"/>
          <w:szCs w:val="24"/>
        </w:rPr>
        <w:tab/>
        <w:t>DATO FOR ÆNDRING AF TEKSTEN</w:t>
      </w:r>
    </w:p>
    <w:p w:rsidR="0095659B" w:rsidRPr="00E73AE9" w:rsidRDefault="0095659B" w:rsidP="0095659B">
      <w:pPr>
        <w:ind w:left="851" w:hanging="851"/>
        <w:rPr>
          <w:sz w:val="24"/>
          <w:szCs w:val="24"/>
        </w:rPr>
      </w:pPr>
      <w:r w:rsidRPr="00E73AE9">
        <w:rPr>
          <w:sz w:val="24"/>
          <w:szCs w:val="24"/>
        </w:rPr>
        <w:tab/>
      </w:r>
      <w:r w:rsidR="001966FB">
        <w:rPr>
          <w:sz w:val="24"/>
          <w:szCs w:val="24"/>
        </w:rPr>
        <w:t>25</w:t>
      </w:r>
      <w:r w:rsidR="007E3B70">
        <w:rPr>
          <w:sz w:val="24"/>
          <w:szCs w:val="24"/>
        </w:rPr>
        <w:t>. september 2023</w:t>
      </w:r>
      <w:r>
        <w:rPr>
          <w:sz w:val="24"/>
          <w:szCs w:val="24"/>
        </w:rPr>
        <w:t xml:space="preserve"> </w:t>
      </w:r>
    </w:p>
    <w:p w:rsidR="0095659B" w:rsidRPr="00EC7F78" w:rsidRDefault="0095659B" w:rsidP="0095659B"/>
    <w:p w:rsidR="0095659B" w:rsidRPr="0094279E" w:rsidRDefault="0095659B" w:rsidP="0095659B"/>
    <w:p w:rsidR="009260DE" w:rsidRPr="0095659B" w:rsidRDefault="009260DE" w:rsidP="0095659B"/>
    <w:sectPr w:rsidR="009260DE" w:rsidRPr="0095659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59B" w:rsidRDefault="0095659B">
      <w:r>
        <w:separator/>
      </w:r>
    </w:p>
  </w:endnote>
  <w:endnote w:type="continuationSeparator" w:id="0">
    <w:p w:rsidR="0095659B" w:rsidRDefault="0095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
    <w:altName w:val="Nyala"/>
    <w:charset w:val="00"/>
    <w:family w:val="swiss"/>
    <w:pitch w:val="variable"/>
    <w:sig w:usb0="8000002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55BE7">
      <w:rPr>
        <w:i/>
        <w:noProof/>
        <w:sz w:val="18"/>
        <w:szCs w:val="18"/>
      </w:rPr>
      <w:t>Paracetamol B. Braun, infusionsvæske, opløsning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59B" w:rsidRDefault="0095659B">
      <w:r>
        <w:separator/>
      </w:r>
    </w:p>
  </w:footnote>
  <w:footnote w:type="continuationSeparator" w:id="0">
    <w:p w:rsidR="0095659B" w:rsidRDefault="00956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5D17"/>
    <w:multiLevelType w:val="hybridMultilevel"/>
    <w:tmpl w:val="16D2FB5A"/>
    <w:lvl w:ilvl="0" w:tplc="3BE4E8F8">
      <w:start w:val="1"/>
      <w:numFmt w:val="bullet"/>
      <w:lvlText w:val="●"/>
      <w:lvlJc w:val="left"/>
      <w:pPr>
        <w:ind w:left="720" w:hanging="360"/>
      </w:pPr>
      <w:rPr>
        <w:rFonts w:ascii="Times New Roman" w:hAnsi="Times New Roman" w:cs="Times New Roman" w:hint="default"/>
        <w:sz w:val="2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C67BCD"/>
    <w:multiLevelType w:val="hybridMultilevel"/>
    <w:tmpl w:val="550C43C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9525DD9"/>
    <w:multiLevelType w:val="hybridMultilevel"/>
    <w:tmpl w:val="3CB8AAB8"/>
    <w:lvl w:ilvl="0" w:tplc="A74C8F64">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EBA0150"/>
    <w:multiLevelType w:val="hybridMultilevel"/>
    <w:tmpl w:val="D11E24C4"/>
    <w:lvl w:ilvl="0" w:tplc="3BE4E8F8">
      <w:start w:val="1"/>
      <w:numFmt w:val="bullet"/>
      <w:lvlText w:val="●"/>
      <w:lvlJc w:val="left"/>
      <w:pPr>
        <w:ind w:left="720" w:hanging="360"/>
      </w:pPr>
      <w:rPr>
        <w:rFonts w:ascii="Times New Roman" w:hAnsi="Times New Roman" w:cs="Times New Roman" w:hint="default"/>
        <w:sz w:val="2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9B"/>
    <w:rsid w:val="000259B9"/>
    <w:rsid w:val="00041491"/>
    <w:rsid w:val="00050D16"/>
    <w:rsid w:val="00074F2A"/>
    <w:rsid w:val="000A1CA8"/>
    <w:rsid w:val="000A466B"/>
    <w:rsid w:val="000B058C"/>
    <w:rsid w:val="000E4EE6"/>
    <w:rsid w:val="001454E2"/>
    <w:rsid w:val="001966FB"/>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4140A"/>
    <w:rsid w:val="00560ECC"/>
    <w:rsid w:val="00565F0F"/>
    <w:rsid w:val="0057496A"/>
    <w:rsid w:val="00594A86"/>
    <w:rsid w:val="00596D86"/>
    <w:rsid w:val="00637F5A"/>
    <w:rsid w:val="006560B1"/>
    <w:rsid w:val="006756DD"/>
    <w:rsid w:val="006906CF"/>
    <w:rsid w:val="00737275"/>
    <w:rsid w:val="00740EEC"/>
    <w:rsid w:val="0078011A"/>
    <w:rsid w:val="00782AF4"/>
    <w:rsid w:val="00790EE7"/>
    <w:rsid w:val="007B6649"/>
    <w:rsid w:val="007E3B70"/>
    <w:rsid w:val="0081546F"/>
    <w:rsid w:val="0082576E"/>
    <w:rsid w:val="00907F75"/>
    <w:rsid w:val="009260DE"/>
    <w:rsid w:val="0093258A"/>
    <w:rsid w:val="0095659B"/>
    <w:rsid w:val="00977D58"/>
    <w:rsid w:val="00985780"/>
    <w:rsid w:val="009C7BA3"/>
    <w:rsid w:val="009D1F5A"/>
    <w:rsid w:val="00A55BE7"/>
    <w:rsid w:val="00B003BF"/>
    <w:rsid w:val="00B373D7"/>
    <w:rsid w:val="00C36276"/>
    <w:rsid w:val="00C42586"/>
    <w:rsid w:val="00C60CCD"/>
    <w:rsid w:val="00C84483"/>
    <w:rsid w:val="00C95551"/>
    <w:rsid w:val="00CB20D7"/>
    <w:rsid w:val="00D020B0"/>
    <w:rsid w:val="00D11748"/>
    <w:rsid w:val="00D366CF"/>
    <w:rsid w:val="00E108AA"/>
    <w:rsid w:val="00E206D8"/>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16B3D"/>
  <w15:chartTrackingRefBased/>
  <w15:docId w15:val="{9D94DDD1-D18A-4D98-AD7A-A86A5B66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BE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BodyText">
    <w:name w:val="EMEA Body Text"/>
    <w:basedOn w:val="Normal"/>
    <w:rsid w:val="0095659B"/>
    <w:pPr>
      <w:snapToGrid w:val="0"/>
    </w:pPr>
    <w:rPr>
      <w:sz w:val="22"/>
      <w:lang w:val="en-GB" w:eastAsia="da-DK"/>
    </w:rPr>
  </w:style>
  <w:style w:type="paragraph" w:customStyle="1" w:styleId="Listenabsatz">
    <w:name w:val="Listenabsatz"/>
    <w:basedOn w:val="Normal"/>
    <w:uiPriority w:val="99"/>
    <w:qFormat/>
    <w:rsid w:val="0095659B"/>
    <w:pPr>
      <w:snapToGrid w:val="0"/>
      <w:ind w:left="708"/>
    </w:pPr>
    <w:rPr>
      <w:rFonts w:ascii="RotisSansSerif" w:hAnsi="RotisSansSerif" w:cs="RotisSansSerif"/>
      <w:sz w:val="24"/>
      <w:szCs w:val="24"/>
      <w:lang w:val="de-DE" w:eastAsia="da-DK"/>
    </w:rPr>
  </w:style>
  <w:style w:type="character" w:styleId="Hyperlink">
    <w:name w:val="Hyperlink"/>
    <w:basedOn w:val="Standardskrifttypeiafsnit"/>
    <w:uiPriority w:val="99"/>
    <w:unhideWhenUsed/>
    <w:rsid w:val="0095659B"/>
    <w:rPr>
      <w:color w:val="0563C1" w:themeColor="hyperlink"/>
      <w:u w:val="single"/>
    </w:rPr>
  </w:style>
  <w:style w:type="paragraph" w:styleId="Listeafsnit">
    <w:name w:val="List Paragraph"/>
    <w:basedOn w:val="Normal"/>
    <w:uiPriority w:val="34"/>
    <w:qFormat/>
    <w:rsid w:val="00956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20</TotalTime>
  <Pages>10</Pages>
  <Words>2776</Words>
  <Characters>17376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2022051563 _x000d_
SPC Pkt. 4.4 - 4.5 - 4.6 - 4.8 - 5.2 - 6.6</dc:description>
  <cp:lastModifiedBy>Marianne Ott Jensen</cp:lastModifiedBy>
  <cp:revision>6</cp:revision>
  <cp:lastPrinted>2012-08-22T08:53:00Z</cp:lastPrinted>
  <dcterms:created xsi:type="dcterms:W3CDTF">2023-09-20T11:39:00Z</dcterms:created>
  <dcterms:modified xsi:type="dcterms:W3CDTF">2023-09-25T10:23:00Z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