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8B5" w:rsidRPr="008F49E1" w:rsidRDefault="00D478B5" w:rsidP="00D478B5">
      <w:pPr>
        <w:rPr>
          <w:sz w:val="24"/>
          <w:szCs w:val="24"/>
        </w:rPr>
      </w:pPr>
      <w:bookmarkStart w:id="0" w:name="_GoBack"/>
      <w:bookmarkEnd w:id="0"/>
      <w:r w:rsidRPr="009260DE">
        <w:rPr>
          <w:noProof/>
          <w:sz w:val="24"/>
          <w:szCs w:val="24"/>
          <w:lang w:eastAsia="da-DK"/>
        </w:rPr>
        <w:drawing>
          <wp:anchor distT="0" distB="0" distL="114300" distR="114300" simplePos="0" relativeHeight="251659264" behindDoc="0" locked="0" layoutInCell="1" allowOverlap="1" wp14:anchorId="1E16CF75" wp14:editId="6C217D8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D478B5" w:rsidRPr="00C84483" w:rsidRDefault="00D478B5" w:rsidP="00D478B5">
      <w:pPr>
        <w:pStyle w:val="Titel"/>
        <w:tabs>
          <w:tab w:val="right" w:pos="9356"/>
        </w:tabs>
        <w:jc w:val="left"/>
        <w:rPr>
          <w:b w:val="0"/>
          <w:szCs w:val="24"/>
          <w:lang w:eastAsia="en-US"/>
        </w:rPr>
      </w:pPr>
      <w:r w:rsidRPr="00C84483">
        <w:rPr>
          <w:b w:val="0"/>
          <w:szCs w:val="24"/>
          <w:lang w:eastAsia="en-US"/>
        </w:rPr>
        <w:tab/>
      </w:r>
      <w:r w:rsidR="00634F49">
        <w:rPr>
          <w:szCs w:val="24"/>
          <w:lang w:eastAsia="en-US"/>
        </w:rPr>
        <w:t>2</w:t>
      </w:r>
      <w:r w:rsidR="004E0B94">
        <w:rPr>
          <w:szCs w:val="24"/>
          <w:lang w:eastAsia="en-US"/>
        </w:rPr>
        <w:t xml:space="preserve">. </w:t>
      </w:r>
      <w:r w:rsidR="00634F49">
        <w:rPr>
          <w:szCs w:val="24"/>
          <w:lang w:eastAsia="en-US"/>
        </w:rPr>
        <w:t>december</w:t>
      </w:r>
      <w:r w:rsidR="004E0B94">
        <w:rPr>
          <w:szCs w:val="24"/>
          <w:lang w:eastAsia="en-US"/>
        </w:rPr>
        <w:t xml:space="preserve"> 2025</w:t>
      </w:r>
    </w:p>
    <w:p w:rsidR="00073A10" w:rsidRPr="00C84483" w:rsidRDefault="00073A10" w:rsidP="00D478B5">
      <w:pPr>
        <w:pStyle w:val="Titel"/>
        <w:tabs>
          <w:tab w:val="left" w:pos="8222"/>
        </w:tabs>
        <w:jc w:val="left"/>
        <w:rPr>
          <w:b w:val="0"/>
          <w:szCs w:val="24"/>
        </w:rPr>
      </w:pPr>
    </w:p>
    <w:p w:rsidR="00D478B5" w:rsidRPr="00C84483" w:rsidRDefault="00D478B5" w:rsidP="00D478B5">
      <w:pPr>
        <w:pStyle w:val="Titel"/>
        <w:jc w:val="left"/>
        <w:rPr>
          <w:b w:val="0"/>
          <w:szCs w:val="24"/>
        </w:rPr>
      </w:pPr>
    </w:p>
    <w:p w:rsidR="00D478B5" w:rsidRPr="00C84483" w:rsidRDefault="00D478B5" w:rsidP="00D478B5">
      <w:pPr>
        <w:pStyle w:val="Titel"/>
        <w:jc w:val="left"/>
        <w:rPr>
          <w:b w:val="0"/>
          <w:szCs w:val="24"/>
        </w:rPr>
      </w:pPr>
    </w:p>
    <w:p w:rsidR="00D478B5" w:rsidRPr="00C84483" w:rsidRDefault="00D478B5" w:rsidP="00D478B5">
      <w:pPr>
        <w:jc w:val="center"/>
        <w:rPr>
          <w:b/>
          <w:sz w:val="24"/>
          <w:szCs w:val="24"/>
        </w:rPr>
      </w:pPr>
      <w:r w:rsidRPr="00C84483">
        <w:rPr>
          <w:b/>
          <w:sz w:val="24"/>
          <w:szCs w:val="24"/>
        </w:rPr>
        <w:t>PRODUKTRESUMÉ</w:t>
      </w:r>
    </w:p>
    <w:p w:rsidR="00D478B5" w:rsidRPr="00C84483" w:rsidRDefault="00D478B5" w:rsidP="00D478B5">
      <w:pPr>
        <w:jc w:val="center"/>
        <w:rPr>
          <w:b/>
          <w:sz w:val="24"/>
          <w:szCs w:val="24"/>
        </w:rPr>
      </w:pPr>
    </w:p>
    <w:p w:rsidR="00D478B5" w:rsidRDefault="009E097A" w:rsidP="009E097A">
      <w:pPr>
        <w:tabs>
          <w:tab w:val="left" w:pos="410"/>
          <w:tab w:val="center" w:pos="4819"/>
        </w:tabs>
        <w:rPr>
          <w:b/>
          <w:sz w:val="24"/>
          <w:szCs w:val="24"/>
        </w:rPr>
      </w:pPr>
      <w:r>
        <w:rPr>
          <w:b/>
          <w:sz w:val="24"/>
          <w:szCs w:val="24"/>
        </w:rPr>
        <w:tab/>
      </w:r>
      <w:r>
        <w:rPr>
          <w:b/>
          <w:sz w:val="24"/>
          <w:szCs w:val="24"/>
        </w:rPr>
        <w:tab/>
      </w:r>
      <w:r w:rsidR="00D478B5" w:rsidRPr="00C84483">
        <w:rPr>
          <w:b/>
          <w:sz w:val="24"/>
          <w:szCs w:val="24"/>
        </w:rPr>
        <w:t>for</w:t>
      </w:r>
    </w:p>
    <w:p w:rsidR="00D478B5" w:rsidRPr="00C84483" w:rsidRDefault="00D478B5" w:rsidP="00D478B5">
      <w:pPr>
        <w:jc w:val="center"/>
        <w:rPr>
          <w:b/>
          <w:sz w:val="24"/>
          <w:szCs w:val="24"/>
        </w:rPr>
      </w:pPr>
    </w:p>
    <w:p w:rsidR="00D478B5" w:rsidRPr="00C84483" w:rsidRDefault="004E0B94" w:rsidP="00D478B5">
      <w:pPr>
        <w:jc w:val="center"/>
        <w:rPr>
          <w:b/>
          <w:sz w:val="24"/>
          <w:szCs w:val="24"/>
        </w:rPr>
      </w:pPr>
      <w:r>
        <w:rPr>
          <w:b/>
          <w:sz w:val="24"/>
          <w:szCs w:val="24"/>
        </w:rPr>
        <w:t>Paracetamol "Cooper"</w:t>
      </w:r>
      <w:r w:rsidR="00D478B5">
        <w:rPr>
          <w:b/>
          <w:sz w:val="24"/>
          <w:szCs w:val="24"/>
        </w:rPr>
        <w:t>, tabletter</w:t>
      </w:r>
    </w:p>
    <w:p w:rsidR="00D478B5" w:rsidRPr="00C84483" w:rsidRDefault="00D478B5" w:rsidP="00D478B5">
      <w:pPr>
        <w:jc w:val="both"/>
        <w:rPr>
          <w:sz w:val="24"/>
          <w:szCs w:val="24"/>
        </w:rPr>
      </w:pPr>
    </w:p>
    <w:p w:rsidR="00D478B5" w:rsidRPr="005B6F85" w:rsidRDefault="00D478B5" w:rsidP="00D478B5">
      <w:pPr>
        <w:jc w:val="both"/>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0.</w:t>
      </w:r>
      <w:r w:rsidRPr="005B6F85">
        <w:rPr>
          <w:b/>
          <w:sz w:val="24"/>
          <w:szCs w:val="24"/>
        </w:rPr>
        <w:tab/>
        <w:t>D.SP.NR.</w:t>
      </w:r>
    </w:p>
    <w:p w:rsidR="00D478B5" w:rsidRPr="005B6F85" w:rsidRDefault="00D478B5" w:rsidP="00D478B5">
      <w:pPr>
        <w:tabs>
          <w:tab w:val="left" w:pos="851"/>
        </w:tabs>
        <w:ind w:left="851"/>
        <w:rPr>
          <w:sz w:val="24"/>
          <w:szCs w:val="24"/>
        </w:rPr>
      </w:pPr>
      <w:r w:rsidRPr="005B6F85">
        <w:rPr>
          <w:sz w:val="24"/>
          <w:szCs w:val="24"/>
        </w:rPr>
        <w:t>31064</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1.</w:t>
      </w:r>
      <w:r w:rsidRPr="005B6F85">
        <w:rPr>
          <w:b/>
          <w:sz w:val="24"/>
          <w:szCs w:val="24"/>
        </w:rPr>
        <w:tab/>
        <w:t>LÆGEMIDLETS NAVN</w:t>
      </w:r>
    </w:p>
    <w:p w:rsidR="00D478B5" w:rsidRPr="005B6F85" w:rsidRDefault="004E0B94" w:rsidP="00D478B5">
      <w:pPr>
        <w:tabs>
          <w:tab w:val="left" w:pos="851"/>
        </w:tabs>
        <w:ind w:left="851"/>
        <w:rPr>
          <w:sz w:val="24"/>
          <w:szCs w:val="24"/>
        </w:rPr>
      </w:pPr>
      <w:r>
        <w:rPr>
          <w:sz w:val="24"/>
          <w:szCs w:val="24"/>
        </w:rPr>
        <w:t>Paracetamol "Cooper"</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2.</w:t>
      </w:r>
      <w:r w:rsidRPr="005B6F85">
        <w:rPr>
          <w:b/>
          <w:sz w:val="24"/>
          <w:szCs w:val="24"/>
        </w:rPr>
        <w:tab/>
        <w:t>KVALITATIV OG KVANTITATIV SAMMENSÆTNING</w:t>
      </w:r>
    </w:p>
    <w:p w:rsidR="00D478B5" w:rsidRPr="005B6F85" w:rsidRDefault="00D478B5" w:rsidP="00D478B5">
      <w:pPr>
        <w:ind w:left="851"/>
        <w:rPr>
          <w:sz w:val="24"/>
          <w:szCs w:val="24"/>
        </w:rPr>
      </w:pPr>
      <w:r w:rsidRPr="005B6F85">
        <w:rPr>
          <w:sz w:val="24"/>
          <w:szCs w:val="24"/>
        </w:rPr>
        <w:t>Hver tablet indeholder 500 mg eller 1.000 mg paracetamol.</w:t>
      </w:r>
    </w:p>
    <w:p w:rsidR="00D478B5" w:rsidRPr="005B6F85" w:rsidRDefault="00D478B5" w:rsidP="00D478B5">
      <w:pPr>
        <w:pStyle w:val="EMEAEnBodyText"/>
        <w:autoSpaceDE w:val="0"/>
        <w:autoSpaceDN w:val="0"/>
        <w:adjustRightInd w:val="0"/>
        <w:spacing w:before="0" w:after="0"/>
        <w:ind w:left="851"/>
        <w:rPr>
          <w:sz w:val="24"/>
          <w:szCs w:val="24"/>
          <w:u w:val="single"/>
        </w:rPr>
      </w:pPr>
    </w:p>
    <w:p w:rsidR="00D478B5" w:rsidRPr="005B6F85" w:rsidRDefault="00D478B5" w:rsidP="00D478B5">
      <w:pPr>
        <w:ind w:left="851"/>
        <w:rPr>
          <w:sz w:val="24"/>
          <w:szCs w:val="24"/>
        </w:rPr>
      </w:pPr>
      <w:r w:rsidRPr="005B6F85">
        <w:rPr>
          <w:sz w:val="24"/>
          <w:szCs w:val="24"/>
        </w:rPr>
        <w:t>Alle hjælpestoffer er anført under pkt. 6.1.</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3.</w:t>
      </w:r>
      <w:r w:rsidRPr="005B6F85">
        <w:rPr>
          <w:b/>
          <w:sz w:val="24"/>
          <w:szCs w:val="24"/>
        </w:rPr>
        <w:tab/>
        <w:t>LÆGEMIDDELFORM</w:t>
      </w:r>
    </w:p>
    <w:p w:rsidR="00D478B5" w:rsidRPr="005B6F85" w:rsidRDefault="00D478B5" w:rsidP="00D478B5">
      <w:pPr>
        <w:ind w:left="851"/>
        <w:rPr>
          <w:sz w:val="24"/>
          <w:szCs w:val="24"/>
        </w:rPr>
      </w:pPr>
      <w:r>
        <w:rPr>
          <w:sz w:val="24"/>
          <w:szCs w:val="24"/>
        </w:rPr>
        <w:t>Tabletter</w:t>
      </w:r>
    </w:p>
    <w:p w:rsidR="00D478B5" w:rsidRPr="005B6F85" w:rsidRDefault="00D478B5" w:rsidP="00D478B5">
      <w:pPr>
        <w:ind w:left="851"/>
        <w:rPr>
          <w:sz w:val="24"/>
          <w:szCs w:val="24"/>
        </w:rPr>
      </w:pPr>
    </w:p>
    <w:p w:rsidR="00D478B5" w:rsidRPr="005B6F85" w:rsidRDefault="004E0B94" w:rsidP="00D478B5">
      <w:pPr>
        <w:ind w:left="851"/>
        <w:rPr>
          <w:noProof/>
          <w:sz w:val="24"/>
          <w:szCs w:val="24"/>
          <w:u w:val="single"/>
        </w:rPr>
      </w:pPr>
      <w:r>
        <w:rPr>
          <w:sz w:val="24"/>
          <w:szCs w:val="24"/>
          <w:u w:val="single"/>
        </w:rPr>
        <w:t>Paracetamol "Cooper"</w:t>
      </w:r>
      <w:r w:rsidR="00D478B5" w:rsidRPr="005B6F85">
        <w:rPr>
          <w:sz w:val="24"/>
          <w:szCs w:val="24"/>
          <w:u w:val="single"/>
        </w:rPr>
        <w:t xml:space="preserve"> 500 mg tabletter</w:t>
      </w:r>
    </w:p>
    <w:p w:rsidR="00D478B5" w:rsidRPr="005B6F85" w:rsidRDefault="00D478B5" w:rsidP="00D478B5">
      <w:pPr>
        <w:ind w:left="851"/>
        <w:rPr>
          <w:sz w:val="24"/>
          <w:szCs w:val="24"/>
        </w:rPr>
      </w:pPr>
      <w:r w:rsidRPr="005B6F85">
        <w:rPr>
          <w:sz w:val="24"/>
          <w:szCs w:val="24"/>
        </w:rPr>
        <w:t>Hvide til råhvide, runde, flade tabletter med skrå kanter, der måler 13,0-13,3 mm i længden og 4,0 mm i bredden og har delekærv på den ene side.</w:t>
      </w:r>
    </w:p>
    <w:p w:rsidR="00D478B5" w:rsidRPr="005B6F85" w:rsidRDefault="00D478B5" w:rsidP="00D478B5">
      <w:pPr>
        <w:ind w:left="851"/>
        <w:rPr>
          <w:i/>
          <w:sz w:val="24"/>
          <w:szCs w:val="24"/>
        </w:rPr>
      </w:pPr>
    </w:p>
    <w:p w:rsidR="00D478B5" w:rsidRPr="005B6F85" w:rsidRDefault="004E0B94" w:rsidP="00D478B5">
      <w:pPr>
        <w:ind w:left="851"/>
        <w:rPr>
          <w:sz w:val="24"/>
          <w:szCs w:val="24"/>
          <w:u w:val="single"/>
        </w:rPr>
      </w:pPr>
      <w:r>
        <w:rPr>
          <w:sz w:val="24"/>
          <w:szCs w:val="24"/>
          <w:u w:val="single"/>
        </w:rPr>
        <w:t>Paracetamol "Cooper"</w:t>
      </w:r>
      <w:r w:rsidR="00D478B5" w:rsidRPr="005B6F85">
        <w:rPr>
          <w:sz w:val="24"/>
          <w:szCs w:val="24"/>
          <w:u w:val="single"/>
        </w:rPr>
        <w:t xml:space="preserve"> 1.000 mg tabletter</w:t>
      </w:r>
    </w:p>
    <w:p w:rsidR="00D478B5" w:rsidRPr="005B6F85" w:rsidRDefault="00D478B5" w:rsidP="00D478B5">
      <w:pPr>
        <w:ind w:left="851"/>
        <w:rPr>
          <w:sz w:val="24"/>
          <w:szCs w:val="24"/>
        </w:rPr>
      </w:pPr>
      <w:r w:rsidRPr="005B6F85">
        <w:rPr>
          <w:sz w:val="24"/>
          <w:szCs w:val="24"/>
        </w:rPr>
        <w:t xml:space="preserve">Hvide til råhvide, </w:t>
      </w:r>
      <w:proofErr w:type="spellStart"/>
      <w:r w:rsidRPr="005B6F85">
        <w:rPr>
          <w:sz w:val="24"/>
          <w:szCs w:val="24"/>
        </w:rPr>
        <w:t>bikonvekse</w:t>
      </w:r>
      <w:proofErr w:type="spellEnd"/>
      <w:r w:rsidRPr="005B6F85">
        <w:rPr>
          <w:sz w:val="24"/>
          <w:szCs w:val="24"/>
        </w:rPr>
        <w:t>, aflange tabletter uden overtræk, der måler 19,1 mm i længden og 9,8 mm i bredden og har delekærv på begge sider.</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Tabletten kan deles i to lige store doser.</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4.</w:t>
      </w:r>
      <w:r w:rsidRPr="005B6F85">
        <w:rPr>
          <w:b/>
          <w:sz w:val="24"/>
          <w:szCs w:val="24"/>
        </w:rPr>
        <w:tab/>
        <w:t>KLINISKE OPLYSNINGER</w:t>
      </w:r>
    </w:p>
    <w:p w:rsidR="00D478B5" w:rsidRPr="005B6F85" w:rsidRDefault="00D478B5" w:rsidP="00D478B5">
      <w:pPr>
        <w:tabs>
          <w:tab w:val="left" w:pos="851"/>
        </w:tabs>
        <w:ind w:left="851"/>
        <w:rPr>
          <w:b/>
          <w:sz w:val="24"/>
          <w:szCs w:val="24"/>
        </w:rPr>
      </w:pPr>
    </w:p>
    <w:p w:rsidR="00D478B5" w:rsidRPr="005B6F85" w:rsidRDefault="00D478B5" w:rsidP="00D478B5">
      <w:pPr>
        <w:tabs>
          <w:tab w:val="left" w:pos="851"/>
        </w:tabs>
        <w:ind w:left="851" w:hanging="851"/>
        <w:rPr>
          <w:b/>
          <w:sz w:val="24"/>
          <w:szCs w:val="24"/>
          <w:u w:val="single"/>
        </w:rPr>
      </w:pPr>
      <w:r w:rsidRPr="005B6F85">
        <w:rPr>
          <w:b/>
          <w:sz w:val="24"/>
          <w:szCs w:val="24"/>
        </w:rPr>
        <w:t>4.1</w:t>
      </w:r>
      <w:r w:rsidRPr="005B6F85">
        <w:rPr>
          <w:b/>
          <w:sz w:val="24"/>
          <w:szCs w:val="24"/>
        </w:rPr>
        <w:tab/>
        <w:t>Terapeutiske indikationer</w:t>
      </w:r>
    </w:p>
    <w:p w:rsidR="00D478B5" w:rsidRPr="005B6F85" w:rsidRDefault="004E0B94" w:rsidP="00D478B5">
      <w:pPr>
        <w:ind w:left="851"/>
        <w:rPr>
          <w:i/>
          <w:color w:val="000000"/>
          <w:sz w:val="24"/>
          <w:szCs w:val="24"/>
        </w:rPr>
      </w:pPr>
      <w:r>
        <w:rPr>
          <w:sz w:val="24"/>
          <w:szCs w:val="24"/>
        </w:rPr>
        <w:t>Paracetamol "Cooper"</w:t>
      </w:r>
      <w:r w:rsidR="00D478B5" w:rsidRPr="005B6F85">
        <w:rPr>
          <w:sz w:val="24"/>
          <w:szCs w:val="24"/>
        </w:rPr>
        <w:t xml:space="preserve"> er anbefalet til behandling af mild til moderat smerte og feber.</w:t>
      </w:r>
    </w:p>
    <w:p w:rsidR="00D478B5" w:rsidRPr="005B6F85" w:rsidRDefault="00D478B5" w:rsidP="00D478B5">
      <w:pPr>
        <w:ind w:left="851"/>
        <w:rPr>
          <w:i/>
          <w:color w:val="000000"/>
          <w:sz w:val="24"/>
          <w:szCs w:val="24"/>
        </w:rPr>
      </w:pPr>
    </w:p>
    <w:p w:rsidR="00D478B5" w:rsidRPr="005B6F85" w:rsidRDefault="004E0B94" w:rsidP="00D478B5">
      <w:pPr>
        <w:ind w:left="851"/>
        <w:rPr>
          <w:noProof/>
          <w:sz w:val="24"/>
          <w:szCs w:val="24"/>
          <w:u w:val="single"/>
        </w:rPr>
      </w:pPr>
      <w:r>
        <w:rPr>
          <w:sz w:val="24"/>
          <w:szCs w:val="24"/>
          <w:u w:val="single"/>
        </w:rPr>
        <w:t>Paracetamol "Cooper"</w:t>
      </w:r>
      <w:r w:rsidR="00D478B5" w:rsidRPr="005B6F85">
        <w:rPr>
          <w:sz w:val="24"/>
          <w:szCs w:val="24"/>
          <w:u w:val="single"/>
        </w:rPr>
        <w:t xml:space="preserve"> 500 mg tabletter</w:t>
      </w:r>
    </w:p>
    <w:p w:rsidR="00D478B5" w:rsidRPr="005B6F85" w:rsidRDefault="004E0B94" w:rsidP="00D478B5">
      <w:pPr>
        <w:tabs>
          <w:tab w:val="left" w:pos="1304"/>
        </w:tabs>
        <w:autoSpaceDE w:val="0"/>
        <w:autoSpaceDN w:val="0"/>
        <w:adjustRightInd w:val="0"/>
        <w:ind w:left="851"/>
        <w:rPr>
          <w:sz w:val="24"/>
          <w:szCs w:val="24"/>
        </w:rPr>
      </w:pPr>
      <w:bookmarkStart w:id="1" w:name="_Hlk529475371"/>
      <w:r>
        <w:rPr>
          <w:sz w:val="24"/>
          <w:szCs w:val="24"/>
        </w:rPr>
        <w:t>Paracetamol "Cooper"</w:t>
      </w:r>
      <w:r w:rsidR="00D478B5" w:rsidRPr="005B6F85">
        <w:rPr>
          <w:sz w:val="24"/>
          <w:szCs w:val="24"/>
        </w:rPr>
        <w:t xml:space="preserve"> er indiceret til voksne og børn over 12 år (</w:t>
      </w:r>
      <w:r w:rsidR="00D478B5" w:rsidRPr="005B6F85">
        <w:rPr>
          <w:i/>
          <w:iCs/>
          <w:sz w:val="24"/>
          <w:szCs w:val="24"/>
        </w:rPr>
        <w:t>eller med en legemsvægt over 40 kg)</w:t>
      </w:r>
      <w:r w:rsidR="00D478B5" w:rsidRPr="005B6F85">
        <w:rPr>
          <w:sz w:val="24"/>
          <w:szCs w:val="24"/>
        </w:rPr>
        <w:t>.</w:t>
      </w:r>
    </w:p>
    <w:bookmarkEnd w:id="1"/>
    <w:p w:rsidR="00D478B5" w:rsidRDefault="00D478B5" w:rsidP="00D478B5">
      <w:pPr>
        <w:rPr>
          <w:sz w:val="24"/>
          <w:szCs w:val="24"/>
          <w:u w:val="single"/>
        </w:rPr>
      </w:pPr>
      <w:r>
        <w:rPr>
          <w:sz w:val="24"/>
          <w:szCs w:val="24"/>
          <w:u w:val="single"/>
        </w:rPr>
        <w:br w:type="page"/>
      </w:r>
    </w:p>
    <w:p w:rsidR="00D478B5" w:rsidRPr="005B6F85" w:rsidRDefault="00D478B5" w:rsidP="00D478B5">
      <w:pPr>
        <w:ind w:left="851"/>
        <w:rPr>
          <w:sz w:val="24"/>
          <w:szCs w:val="24"/>
          <w:u w:val="single"/>
        </w:rPr>
      </w:pPr>
    </w:p>
    <w:p w:rsidR="00D478B5" w:rsidRPr="005B6F85" w:rsidRDefault="004E0B94" w:rsidP="00D478B5">
      <w:pPr>
        <w:ind w:left="851"/>
        <w:rPr>
          <w:sz w:val="24"/>
          <w:szCs w:val="24"/>
          <w:u w:val="single"/>
        </w:rPr>
      </w:pPr>
      <w:r>
        <w:rPr>
          <w:sz w:val="24"/>
          <w:szCs w:val="24"/>
          <w:u w:val="single"/>
        </w:rPr>
        <w:t>Paracetamol "Cooper"</w:t>
      </w:r>
      <w:r w:rsidR="00D478B5" w:rsidRPr="005B6F85">
        <w:rPr>
          <w:sz w:val="24"/>
          <w:szCs w:val="24"/>
          <w:u w:val="single"/>
        </w:rPr>
        <w:t xml:space="preserve"> 1.000 mg tabletter</w:t>
      </w:r>
    </w:p>
    <w:p w:rsidR="00D478B5" w:rsidRPr="005B6F85" w:rsidRDefault="004E0B94" w:rsidP="00D478B5">
      <w:pPr>
        <w:ind w:left="851"/>
        <w:rPr>
          <w:color w:val="000000"/>
          <w:sz w:val="24"/>
          <w:szCs w:val="24"/>
        </w:rPr>
      </w:pPr>
      <w:r>
        <w:rPr>
          <w:sz w:val="24"/>
          <w:szCs w:val="24"/>
        </w:rPr>
        <w:t>Paracetamol "Cooper"</w:t>
      </w:r>
      <w:r w:rsidR="00D478B5" w:rsidRPr="005B6F85">
        <w:rPr>
          <w:sz w:val="24"/>
          <w:szCs w:val="24"/>
        </w:rPr>
        <w:t xml:space="preserve"> er indiceret til voksne og unge over 16 år (</w:t>
      </w:r>
      <w:r w:rsidR="00D478B5" w:rsidRPr="005B6F85">
        <w:rPr>
          <w:i/>
          <w:sz w:val="24"/>
          <w:szCs w:val="24"/>
        </w:rPr>
        <w:t>eller med en legemsvægt over 50 kg)</w:t>
      </w:r>
      <w:r w:rsidR="00D478B5" w:rsidRPr="005B6F85">
        <w:rPr>
          <w:sz w:val="24"/>
          <w:szCs w:val="24"/>
        </w:rPr>
        <w:t>.</w:t>
      </w:r>
    </w:p>
    <w:p w:rsidR="00D478B5" w:rsidRPr="005B6F85" w:rsidRDefault="00D478B5" w:rsidP="00D478B5">
      <w:pPr>
        <w:tabs>
          <w:tab w:val="left" w:pos="851"/>
        </w:tabs>
        <w:ind w:left="851"/>
        <w:rPr>
          <w:sz w:val="24"/>
          <w:szCs w:val="24"/>
        </w:rPr>
      </w:pPr>
    </w:p>
    <w:p w:rsidR="00D87833" w:rsidRPr="00C84483" w:rsidRDefault="00D87833" w:rsidP="00D87833">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D478B5" w:rsidRDefault="00D478B5" w:rsidP="00D478B5">
      <w:pPr>
        <w:ind w:left="851"/>
        <w:rPr>
          <w:sz w:val="24"/>
          <w:szCs w:val="24"/>
          <w:u w:val="single"/>
        </w:rPr>
      </w:pPr>
    </w:p>
    <w:p w:rsidR="00D478B5" w:rsidRPr="004E0B94" w:rsidRDefault="00D478B5" w:rsidP="00D478B5">
      <w:pPr>
        <w:ind w:left="851"/>
        <w:rPr>
          <w:b/>
          <w:sz w:val="24"/>
          <w:szCs w:val="24"/>
        </w:rPr>
      </w:pPr>
      <w:r w:rsidRPr="004E0B94">
        <w:rPr>
          <w:b/>
          <w:sz w:val="24"/>
          <w:szCs w:val="24"/>
        </w:rPr>
        <w:t>Dosering</w:t>
      </w:r>
    </w:p>
    <w:p w:rsidR="00D478B5" w:rsidRPr="005B6F85" w:rsidRDefault="00D478B5" w:rsidP="00D478B5">
      <w:pPr>
        <w:ind w:left="851"/>
        <w:rPr>
          <w:sz w:val="24"/>
          <w:szCs w:val="24"/>
          <w:u w:val="single"/>
        </w:rPr>
      </w:pPr>
    </w:p>
    <w:p w:rsidR="00D478B5" w:rsidRPr="005B6F85" w:rsidRDefault="00D478B5" w:rsidP="00D478B5">
      <w:pPr>
        <w:ind w:left="851"/>
        <w:rPr>
          <w:sz w:val="24"/>
          <w:szCs w:val="24"/>
          <w:u w:val="single"/>
        </w:rPr>
      </w:pPr>
      <w:r w:rsidRPr="005B6F85">
        <w:rPr>
          <w:sz w:val="24"/>
          <w:szCs w:val="24"/>
          <w:u w:val="single"/>
        </w:rPr>
        <w:t>Generelt bør der anvendes den laveste effektive dosis i så kort tid som muligt for at lindre symptomerne.</w:t>
      </w:r>
    </w:p>
    <w:p w:rsidR="00D478B5" w:rsidRPr="005B6F85" w:rsidRDefault="00D478B5" w:rsidP="00D478B5">
      <w:pPr>
        <w:ind w:left="851"/>
        <w:rPr>
          <w:sz w:val="24"/>
          <w:szCs w:val="24"/>
          <w:u w:val="single"/>
        </w:rPr>
      </w:pPr>
    </w:p>
    <w:p w:rsidR="00D478B5" w:rsidRPr="005B6F85" w:rsidRDefault="004E0B94" w:rsidP="00D478B5">
      <w:pPr>
        <w:ind w:left="851"/>
        <w:rPr>
          <w:noProof/>
          <w:sz w:val="24"/>
          <w:szCs w:val="24"/>
          <w:u w:val="single"/>
        </w:rPr>
      </w:pPr>
      <w:r>
        <w:rPr>
          <w:sz w:val="24"/>
          <w:szCs w:val="24"/>
          <w:u w:val="single"/>
        </w:rPr>
        <w:t>Paracetamol "Cooper"</w:t>
      </w:r>
      <w:r w:rsidR="00D478B5" w:rsidRPr="005B6F85">
        <w:rPr>
          <w:sz w:val="24"/>
          <w:szCs w:val="24"/>
          <w:u w:val="single"/>
        </w:rPr>
        <w:t xml:space="preserve"> 500 mg tabletter</w:t>
      </w:r>
    </w:p>
    <w:p w:rsidR="004E0B94" w:rsidRDefault="004E0B94" w:rsidP="00D478B5">
      <w:pPr>
        <w:ind w:left="851"/>
        <w:rPr>
          <w:i/>
          <w:sz w:val="24"/>
          <w:szCs w:val="24"/>
        </w:rPr>
      </w:pPr>
    </w:p>
    <w:p w:rsidR="00D478B5" w:rsidRPr="005B6F85" w:rsidRDefault="00D478B5" w:rsidP="00D478B5">
      <w:pPr>
        <w:ind w:left="851"/>
        <w:rPr>
          <w:i/>
          <w:sz w:val="24"/>
          <w:szCs w:val="24"/>
        </w:rPr>
      </w:pPr>
      <w:r w:rsidRPr="005B6F85">
        <w:rPr>
          <w:i/>
          <w:sz w:val="24"/>
          <w:szCs w:val="24"/>
        </w:rPr>
        <w:t xml:space="preserve">Voksne (inklusive ældre) og børn over 16 år (eller med en legemsvægt over 50 kg): </w:t>
      </w:r>
    </w:p>
    <w:p w:rsidR="00D478B5" w:rsidRPr="005B6F85" w:rsidRDefault="00D478B5" w:rsidP="00D478B5">
      <w:pPr>
        <w:autoSpaceDE w:val="0"/>
        <w:autoSpaceDN w:val="0"/>
        <w:adjustRightInd w:val="0"/>
        <w:ind w:left="851"/>
        <w:rPr>
          <w:sz w:val="24"/>
          <w:szCs w:val="24"/>
        </w:rPr>
      </w:pPr>
      <w:r w:rsidRPr="005B6F85">
        <w:rPr>
          <w:sz w:val="24"/>
          <w:szCs w:val="24"/>
        </w:rPr>
        <w:t xml:space="preserve">En eller to tabletter hver 4. til 6. time (3-4 gange om dagen), dog højst 3.000 mg om dagen. </w:t>
      </w:r>
    </w:p>
    <w:p w:rsidR="00D478B5" w:rsidRPr="005B6F85" w:rsidRDefault="00D478B5" w:rsidP="00D478B5">
      <w:pPr>
        <w:ind w:left="851"/>
        <w:rPr>
          <w:sz w:val="24"/>
          <w:szCs w:val="24"/>
        </w:rPr>
      </w:pPr>
      <w:r w:rsidRPr="005B6F85">
        <w:rPr>
          <w:sz w:val="24"/>
          <w:szCs w:val="24"/>
        </w:rPr>
        <w:t xml:space="preserve">Dosisintervallet bør være minimum 4 timer. </w:t>
      </w:r>
    </w:p>
    <w:p w:rsidR="00D478B5" w:rsidRPr="007654D5" w:rsidRDefault="00D478B5" w:rsidP="00D478B5">
      <w:pPr>
        <w:pStyle w:val="Default"/>
        <w:ind w:left="851"/>
        <w:rPr>
          <w:iCs/>
          <w:sz w:val="24"/>
          <w:szCs w:val="24"/>
        </w:rPr>
      </w:pPr>
    </w:p>
    <w:p w:rsidR="00D478B5" w:rsidRPr="005B6F85" w:rsidRDefault="00D478B5" w:rsidP="00D478B5">
      <w:pPr>
        <w:pStyle w:val="Default"/>
        <w:ind w:left="851"/>
        <w:rPr>
          <w:i/>
          <w:sz w:val="24"/>
          <w:szCs w:val="24"/>
        </w:rPr>
      </w:pPr>
      <w:r w:rsidRPr="005B6F85">
        <w:rPr>
          <w:i/>
          <w:iCs/>
          <w:sz w:val="24"/>
          <w:szCs w:val="24"/>
        </w:rPr>
        <w:t>Børn og unge over 12 år (eller med en legemsvægt over 40 kg):</w:t>
      </w:r>
    </w:p>
    <w:p w:rsidR="00D478B5" w:rsidRPr="005B6F85" w:rsidRDefault="00D478B5" w:rsidP="00D478B5">
      <w:pPr>
        <w:pStyle w:val="Default"/>
        <w:ind w:left="851"/>
        <w:rPr>
          <w:sz w:val="24"/>
          <w:szCs w:val="24"/>
        </w:rPr>
      </w:pPr>
      <w:r w:rsidRPr="005B6F85">
        <w:rPr>
          <w:sz w:val="24"/>
          <w:szCs w:val="24"/>
        </w:rPr>
        <w:t xml:space="preserve">Der tages én tablet højst 4 gange om dagen, dvs. højst 2.000 mg om dagen. </w:t>
      </w:r>
    </w:p>
    <w:p w:rsidR="00D478B5" w:rsidRPr="005B6F85" w:rsidRDefault="00D478B5" w:rsidP="00D478B5">
      <w:pPr>
        <w:ind w:left="851"/>
        <w:rPr>
          <w:sz w:val="24"/>
          <w:szCs w:val="24"/>
          <w:u w:val="single"/>
        </w:rPr>
      </w:pPr>
    </w:p>
    <w:p w:rsidR="00D478B5" w:rsidRPr="005B6F85" w:rsidRDefault="004E0B94" w:rsidP="00D478B5">
      <w:pPr>
        <w:ind w:left="851"/>
        <w:rPr>
          <w:sz w:val="24"/>
          <w:szCs w:val="24"/>
          <w:u w:val="single"/>
        </w:rPr>
      </w:pPr>
      <w:r>
        <w:rPr>
          <w:sz w:val="24"/>
          <w:szCs w:val="24"/>
          <w:u w:val="single"/>
        </w:rPr>
        <w:t>Paracetamol "Cooper"</w:t>
      </w:r>
      <w:r w:rsidR="00D478B5" w:rsidRPr="005B6F85">
        <w:rPr>
          <w:sz w:val="24"/>
          <w:szCs w:val="24"/>
          <w:u w:val="single"/>
        </w:rPr>
        <w:t xml:space="preserve"> 1.000 mg tabletter</w:t>
      </w:r>
    </w:p>
    <w:p w:rsidR="004E0B94" w:rsidRDefault="004E0B94" w:rsidP="00D478B5">
      <w:pPr>
        <w:ind w:left="851"/>
        <w:rPr>
          <w:i/>
          <w:sz w:val="24"/>
          <w:szCs w:val="24"/>
        </w:rPr>
      </w:pPr>
    </w:p>
    <w:p w:rsidR="00D478B5" w:rsidRPr="005B6F85" w:rsidRDefault="00D478B5" w:rsidP="00D478B5">
      <w:pPr>
        <w:ind w:left="851"/>
        <w:rPr>
          <w:sz w:val="24"/>
          <w:szCs w:val="24"/>
        </w:rPr>
      </w:pPr>
      <w:r w:rsidRPr="005B6F85">
        <w:rPr>
          <w:i/>
          <w:sz w:val="24"/>
          <w:szCs w:val="24"/>
        </w:rPr>
        <w:t>Voksne (inklusive ældre) og unge over 16 år (eller med en legemsvægt over 50 kg)</w:t>
      </w:r>
      <w:r w:rsidRPr="005B6F85">
        <w:rPr>
          <w:sz w:val="24"/>
          <w:szCs w:val="24"/>
        </w:rPr>
        <w:t xml:space="preserve">: </w:t>
      </w:r>
    </w:p>
    <w:p w:rsidR="00D478B5" w:rsidRPr="005B6F85" w:rsidRDefault="00D478B5" w:rsidP="00D478B5">
      <w:pPr>
        <w:ind w:left="851"/>
        <w:rPr>
          <w:bCs/>
          <w:iCs/>
          <w:sz w:val="24"/>
          <w:szCs w:val="24"/>
        </w:rPr>
      </w:pPr>
      <w:r w:rsidRPr="005B6F85">
        <w:rPr>
          <w:sz w:val="24"/>
          <w:szCs w:val="24"/>
        </w:rPr>
        <w:t>½ til 1 tablet hver 4. til 6. time, 3-4 gange om dagen, dog højst 3.000 mg om dagen.</w:t>
      </w:r>
    </w:p>
    <w:p w:rsidR="00D478B5" w:rsidRPr="005B6F85" w:rsidRDefault="00D478B5" w:rsidP="00D478B5">
      <w:pPr>
        <w:ind w:left="851"/>
        <w:rPr>
          <w:bCs/>
          <w:iCs/>
          <w:sz w:val="24"/>
          <w:szCs w:val="24"/>
        </w:rPr>
      </w:pPr>
    </w:p>
    <w:p w:rsidR="00D478B5" w:rsidRPr="005B6F85" w:rsidRDefault="00D478B5" w:rsidP="00D478B5">
      <w:pPr>
        <w:ind w:left="851"/>
        <w:rPr>
          <w:bCs/>
          <w:iCs/>
          <w:sz w:val="24"/>
          <w:szCs w:val="24"/>
        </w:rPr>
      </w:pPr>
      <w:r w:rsidRPr="005B6F85">
        <w:rPr>
          <w:sz w:val="24"/>
          <w:szCs w:val="24"/>
        </w:rPr>
        <w:t>Behandlingen skal helst startes med 500 mg (en halv tablet). Der bør ikke tages mere end 1.000 mg (1 tablet) ad gangen.</w:t>
      </w:r>
    </w:p>
    <w:p w:rsidR="00D478B5" w:rsidRPr="005B6F85" w:rsidRDefault="00D478B5" w:rsidP="00D478B5">
      <w:pPr>
        <w:ind w:left="851"/>
        <w:rPr>
          <w:bCs/>
          <w:iCs/>
          <w:sz w:val="24"/>
          <w:szCs w:val="24"/>
        </w:rPr>
      </w:pPr>
    </w:p>
    <w:p w:rsidR="00D478B5" w:rsidRPr="005B6F85" w:rsidRDefault="00D478B5" w:rsidP="00D478B5">
      <w:pPr>
        <w:autoSpaceDE w:val="0"/>
        <w:autoSpaceDN w:val="0"/>
        <w:adjustRightInd w:val="0"/>
        <w:ind w:left="851"/>
        <w:rPr>
          <w:bCs/>
          <w:iCs/>
          <w:sz w:val="24"/>
          <w:szCs w:val="24"/>
        </w:rPr>
      </w:pPr>
      <w:bookmarkStart w:id="2" w:name="_Hlk529477620"/>
      <w:r w:rsidRPr="005B6F85">
        <w:rPr>
          <w:sz w:val="24"/>
          <w:szCs w:val="24"/>
        </w:rPr>
        <w:t>Dosisintervallet bør være minimum 4 timer.</w:t>
      </w:r>
      <w:bookmarkEnd w:id="2"/>
      <w:r w:rsidRPr="005B6F85">
        <w:rPr>
          <w:sz w:val="24"/>
          <w:szCs w:val="24"/>
        </w:rPr>
        <w:t xml:space="preserve"> </w:t>
      </w:r>
    </w:p>
    <w:p w:rsidR="00D478B5" w:rsidRPr="005B6F85" w:rsidRDefault="00D478B5" w:rsidP="00D478B5">
      <w:pPr>
        <w:ind w:left="851"/>
        <w:rPr>
          <w:bCs/>
          <w:iCs/>
          <w:sz w:val="24"/>
          <w:szCs w:val="24"/>
        </w:rPr>
      </w:pPr>
    </w:p>
    <w:p w:rsidR="00D478B5" w:rsidRPr="004E0B94" w:rsidRDefault="00D478B5" w:rsidP="00D478B5">
      <w:pPr>
        <w:ind w:left="851"/>
        <w:rPr>
          <w:bCs/>
          <w:i/>
          <w:iCs/>
          <w:sz w:val="24"/>
          <w:szCs w:val="24"/>
          <w:u w:val="single"/>
        </w:rPr>
      </w:pPr>
      <w:r w:rsidRPr="004E0B94">
        <w:rPr>
          <w:bCs/>
          <w:i/>
          <w:iCs/>
          <w:sz w:val="24"/>
          <w:szCs w:val="24"/>
          <w:u w:val="single"/>
        </w:rPr>
        <w:t>Pædiatrisk population</w:t>
      </w:r>
    </w:p>
    <w:p w:rsidR="00D478B5" w:rsidRPr="005B6F85" w:rsidRDefault="00D478B5" w:rsidP="00D478B5">
      <w:pPr>
        <w:ind w:left="851"/>
        <w:rPr>
          <w:sz w:val="24"/>
          <w:szCs w:val="24"/>
        </w:rPr>
      </w:pPr>
    </w:p>
    <w:p w:rsidR="00D478B5" w:rsidRPr="005B6F85" w:rsidRDefault="004E0B94" w:rsidP="00D478B5">
      <w:pPr>
        <w:ind w:left="851"/>
        <w:rPr>
          <w:noProof/>
          <w:sz w:val="24"/>
          <w:szCs w:val="24"/>
          <w:u w:val="single"/>
        </w:rPr>
      </w:pPr>
      <w:r>
        <w:rPr>
          <w:sz w:val="24"/>
          <w:szCs w:val="24"/>
          <w:u w:val="single"/>
        </w:rPr>
        <w:t>Paracetamol "Cooper"</w:t>
      </w:r>
      <w:r w:rsidR="00D478B5" w:rsidRPr="005B6F85">
        <w:rPr>
          <w:sz w:val="24"/>
          <w:szCs w:val="24"/>
          <w:u w:val="single"/>
        </w:rPr>
        <w:t xml:space="preserve"> 500 mg tabletter</w:t>
      </w:r>
    </w:p>
    <w:p w:rsidR="00D478B5" w:rsidRPr="005B6F85" w:rsidRDefault="004E0B94" w:rsidP="00D478B5">
      <w:pPr>
        <w:autoSpaceDE w:val="0"/>
        <w:autoSpaceDN w:val="0"/>
        <w:adjustRightInd w:val="0"/>
        <w:ind w:left="851"/>
        <w:rPr>
          <w:sz w:val="24"/>
          <w:szCs w:val="24"/>
        </w:rPr>
      </w:pPr>
      <w:r>
        <w:rPr>
          <w:sz w:val="24"/>
          <w:szCs w:val="24"/>
        </w:rPr>
        <w:t>Paracetamol "Cooper"</w:t>
      </w:r>
      <w:r w:rsidR="00D478B5" w:rsidRPr="005B6F85">
        <w:rPr>
          <w:sz w:val="24"/>
          <w:szCs w:val="24"/>
        </w:rPr>
        <w:t xml:space="preserve"> bør ikke anvendes til børn under 12 år eller børn, der vejer under 40 kg.</w:t>
      </w:r>
    </w:p>
    <w:p w:rsidR="00D478B5" w:rsidRPr="005B6F85" w:rsidRDefault="00D478B5" w:rsidP="00D478B5">
      <w:pPr>
        <w:ind w:left="851"/>
        <w:rPr>
          <w:sz w:val="24"/>
          <w:szCs w:val="24"/>
          <w:u w:val="single"/>
        </w:rPr>
      </w:pPr>
    </w:p>
    <w:p w:rsidR="00D478B5" w:rsidRPr="005B6F85" w:rsidRDefault="004E0B94" w:rsidP="00D478B5">
      <w:pPr>
        <w:ind w:left="851"/>
        <w:rPr>
          <w:sz w:val="24"/>
          <w:szCs w:val="24"/>
          <w:u w:val="single"/>
        </w:rPr>
      </w:pPr>
      <w:r>
        <w:rPr>
          <w:sz w:val="24"/>
          <w:szCs w:val="24"/>
          <w:u w:val="single"/>
        </w:rPr>
        <w:t>Paracetamol "Cooper"</w:t>
      </w:r>
      <w:r w:rsidR="00D478B5" w:rsidRPr="005B6F85">
        <w:rPr>
          <w:sz w:val="24"/>
          <w:szCs w:val="24"/>
          <w:u w:val="single"/>
        </w:rPr>
        <w:t xml:space="preserve"> 1.000 mg tabletter</w:t>
      </w:r>
    </w:p>
    <w:p w:rsidR="00D478B5" w:rsidRPr="005B6F85" w:rsidRDefault="004E0B94" w:rsidP="00D478B5">
      <w:pPr>
        <w:ind w:left="851"/>
        <w:rPr>
          <w:sz w:val="24"/>
          <w:szCs w:val="24"/>
        </w:rPr>
      </w:pPr>
      <w:r>
        <w:rPr>
          <w:sz w:val="24"/>
          <w:szCs w:val="24"/>
        </w:rPr>
        <w:t>Paracetamol "Cooper"</w:t>
      </w:r>
      <w:r w:rsidR="00D478B5" w:rsidRPr="005B6F85">
        <w:rPr>
          <w:sz w:val="24"/>
          <w:szCs w:val="24"/>
        </w:rPr>
        <w:t xml:space="preserve"> bør ikke anvendes til unge under 16 år eller unge, der vejer under 50 kg.</w:t>
      </w:r>
    </w:p>
    <w:p w:rsidR="00D478B5" w:rsidRPr="005B6F85" w:rsidRDefault="00D478B5" w:rsidP="00D478B5">
      <w:pPr>
        <w:ind w:left="851"/>
        <w:rPr>
          <w:sz w:val="24"/>
          <w:szCs w:val="24"/>
        </w:rPr>
      </w:pPr>
    </w:p>
    <w:p w:rsidR="00D478B5" w:rsidRPr="004E0B94" w:rsidRDefault="00D478B5" w:rsidP="00D478B5">
      <w:pPr>
        <w:autoSpaceDE w:val="0"/>
        <w:autoSpaceDN w:val="0"/>
        <w:adjustRightInd w:val="0"/>
        <w:ind w:left="851"/>
        <w:jc w:val="both"/>
        <w:rPr>
          <w:i/>
          <w:sz w:val="24"/>
          <w:szCs w:val="24"/>
          <w:u w:val="single"/>
        </w:rPr>
      </w:pPr>
      <w:r w:rsidRPr="004E0B94">
        <w:rPr>
          <w:i/>
          <w:sz w:val="24"/>
          <w:szCs w:val="24"/>
          <w:u w:val="single"/>
        </w:rPr>
        <w:t>Særlige populationer</w:t>
      </w:r>
    </w:p>
    <w:p w:rsidR="00D478B5" w:rsidRPr="005B6F85" w:rsidRDefault="00D478B5" w:rsidP="00D478B5">
      <w:pPr>
        <w:autoSpaceDE w:val="0"/>
        <w:autoSpaceDN w:val="0"/>
        <w:adjustRightInd w:val="0"/>
        <w:ind w:left="851"/>
        <w:jc w:val="both"/>
        <w:rPr>
          <w:i/>
          <w:sz w:val="24"/>
          <w:szCs w:val="24"/>
        </w:rPr>
      </w:pPr>
    </w:p>
    <w:p w:rsidR="00D478B5" w:rsidRPr="004E0B94" w:rsidRDefault="00D478B5" w:rsidP="00D478B5">
      <w:pPr>
        <w:autoSpaceDE w:val="0"/>
        <w:autoSpaceDN w:val="0"/>
        <w:adjustRightInd w:val="0"/>
        <w:ind w:left="851"/>
        <w:jc w:val="both"/>
        <w:rPr>
          <w:i/>
          <w:sz w:val="24"/>
          <w:szCs w:val="24"/>
        </w:rPr>
      </w:pPr>
      <w:r w:rsidRPr="004E0B94">
        <w:rPr>
          <w:i/>
          <w:sz w:val="24"/>
          <w:szCs w:val="24"/>
        </w:rPr>
        <w:t>Ældre</w:t>
      </w:r>
    </w:p>
    <w:p w:rsidR="00D478B5" w:rsidRPr="005B6F85" w:rsidRDefault="00D478B5" w:rsidP="00D478B5">
      <w:pPr>
        <w:autoSpaceDE w:val="0"/>
        <w:autoSpaceDN w:val="0"/>
        <w:adjustRightInd w:val="0"/>
        <w:ind w:left="851"/>
        <w:rPr>
          <w:sz w:val="24"/>
          <w:szCs w:val="24"/>
        </w:rPr>
      </w:pPr>
      <w:r w:rsidRPr="005B6F85">
        <w:rPr>
          <w:sz w:val="24"/>
          <w:szCs w:val="24"/>
        </w:rPr>
        <w:t xml:space="preserve">Erfaringen har vist, at den normale dosering til voksne som regel er passende. Hos svagelige, immobile ældre patienter kan det dog være hensigtsmæssigt at reducere dosen eller doseringshyppigheden. </w:t>
      </w:r>
    </w:p>
    <w:p w:rsidR="00D478B5" w:rsidRPr="005B6F85" w:rsidRDefault="00D478B5" w:rsidP="00D478B5">
      <w:pPr>
        <w:autoSpaceDE w:val="0"/>
        <w:autoSpaceDN w:val="0"/>
        <w:adjustRightInd w:val="0"/>
        <w:rPr>
          <w:sz w:val="24"/>
          <w:szCs w:val="24"/>
        </w:rPr>
      </w:pPr>
    </w:p>
    <w:p w:rsidR="00D478B5" w:rsidRPr="004E0B94" w:rsidRDefault="00D478B5" w:rsidP="00D478B5">
      <w:pPr>
        <w:autoSpaceDE w:val="0"/>
        <w:autoSpaceDN w:val="0"/>
        <w:adjustRightInd w:val="0"/>
        <w:ind w:left="851"/>
        <w:rPr>
          <w:i/>
          <w:sz w:val="24"/>
          <w:szCs w:val="24"/>
        </w:rPr>
      </w:pPr>
      <w:r w:rsidRPr="004E0B94">
        <w:rPr>
          <w:i/>
          <w:sz w:val="24"/>
          <w:szCs w:val="24"/>
        </w:rPr>
        <w:t>Nyreinsufficiens</w:t>
      </w:r>
    </w:p>
    <w:p w:rsidR="00D478B5" w:rsidRPr="005B6F85" w:rsidRDefault="00D478B5" w:rsidP="00D478B5">
      <w:pPr>
        <w:numPr>
          <w:ilvl w:val="0"/>
          <w:numId w:val="6"/>
        </w:numPr>
        <w:autoSpaceDE w:val="0"/>
        <w:autoSpaceDN w:val="0"/>
        <w:adjustRightInd w:val="0"/>
        <w:ind w:left="1276" w:hanging="425"/>
        <w:rPr>
          <w:sz w:val="24"/>
          <w:szCs w:val="24"/>
        </w:rPr>
      </w:pPr>
      <w:r w:rsidRPr="005B6F85">
        <w:rPr>
          <w:sz w:val="24"/>
          <w:szCs w:val="24"/>
        </w:rPr>
        <w:t>Dosen bør reduceres i tilfælde af nyreinsufficiens (nyresvigt):</w:t>
      </w:r>
    </w:p>
    <w:p w:rsidR="00D478B5" w:rsidRDefault="00D478B5" w:rsidP="00D478B5">
      <w:pPr>
        <w:rPr>
          <w:sz w:val="24"/>
          <w:szCs w:val="24"/>
        </w:rPr>
      </w:pPr>
      <w:r>
        <w:rPr>
          <w:sz w:val="24"/>
          <w:szCs w:val="24"/>
        </w:rPr>
        <w:br w:type="page"/>
      </w:r>
    </w:p>
    <w:p w:rsidR="00D478B5" w:rsidRPr="005B6F85" w:rsidRDefault="00D478B5" w:rsidP="00D478B5">
      <w:pPr>
        <w:autoSpaceDE w:val="0"/>
        <w:autoSpaceDN w:val="0"/>
        <w:adjustRightInd w:val="0"/>
        <w:jc w:val="both"/>
        <w:rPr>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430"/>
      </w:tblGrid>
      <w:tr w:rsidR="00D478B5" w:rsidRPr="005B6F85" w:rsidTr="003B4BCE">
        <w:tc>
          <w:tcPr>
            <w:tcW w:w="2718" w:type="dxa"/>
            <w:tcBorders>
              <w:top w:val="single" w:sz="4" w:space="0" w:color="auto"/>
              <w:left w:val="single" w:sz="4" w:space="0" w:color="auto"/>
              <w:bottom w:val="single" w:sz="4" w:space="0" w:color="auto"/>
              <w:right w:val="single" w:sz="4" w:space="0" w:color="auto"/>
            </w:tcBorders>
            <w:hideMark/>
          </w:tcPr>
          <w:p w:rsidR="00D478B5" w:rsidRPr="005B6F85" w:rsidRDefault="00D478B5" w:rsidP="003B4BCE">
            <w:pPr>
              <w:autoSpaceDE w:val="0"/>
              <w:autoSpaceDN w:val="0"/>
              <w:adjustRightInd w:val="0"/>
              <w:jc w:val="both"/>
              <w:rPr>
                <w:sz w:val="24"/>
                <w:szCs w:val="24"/>
                <w:lang w:val="en-US"/>
              </w:rPr>
            </w:pPr>
            <w:proofErr w:type="spellStart"/>
            <w:r w:rsidRPr="005B6F85">
              <w:rPr>
                <w:sz w:val="24"/>
                <w:szCs w:val="24"/>
              </w:rPr>
              <w:t>Glomerulær</w:t>
            </w:r>
            <w:proofErr w:type="spellEnd"/>
            <w:r w:rsidRPr="005B6F85">
              <w:rPr>
                <w:sz w:val="24"/>
                <w:szCs w:val="24"/>
              </w:rPr>
              <w:t xml:space="preserve"> filtrationshastighed</w:t>
            </w:r>
          </w:p>
        </w:tc>
        <w:tc>
          <w:tcPr>
            <w:tcW w:w="2430" w:type="dxa"/>
            <w:tcBorders>
              <w:top w:val="single" w:sz="4" w:space="0" w:color="auto"/>
              <w:left w:val="single" w:sz="4" w:space="0" w:color="auto"/>
              <w:bottom w:val="single" w:sz="4" w:space="0" w:color="auto"/>
              <w:right w:val="single" w:sz="4" w:space="0" w:color="auto"/>
            </w:tcBorders>
            <w:hideMark/>
          </w:tcPr>
          <w:p w:rsidR="00D478B5" w:rsidRPr="005B6F85" w:rsidRDefault="00D478B5" w:rsidP="003B4BCE">
            <w:pPr>
              <w:autoSpaceDE w:val="0"/>
              <w:autoSpaceDN w:val="0"/>
              <w:adjustRightInd w:val="0"/>
              <w:jc w:val="both"/>
              <w:rPr>
                <w:sz w:val="24"/>
                <w:szCs w:val="24"/>
              </w:rPr>
            </w:pPr>
            <w:r w:rsidRPr="005B6F85">
              <w:rPr>
                <w:sz w:val="24"/>
                <w:szCs w:val="24"/>
              </w:rPr>
              <w:t>Dosis</w:t>
            </w:r>
          </w:p>
        </w:tc>
      </w:tr>
      <w:tr w:rsidR="00D478B5" w:rsidRPr="005B6F85" w:rsidTr="003B4BCE">
        <w:tc>
          <w:tcPr>
            <w:tcW w:w="2718" w:type="dxa"/>
            <w:tcBorders>
              <w:top w:val="single" w:sz="4" w:space="0" w:color="auto"/>
              <w:left w:val="single" w:sz="4" w:space="0" w:color="auto"/>
              <w:bottom w:val="single" w:sz="4" w:space="0" w:color="auto"/>
              <w:right w:val="single" w:sz="4" w:space="0" w:color="auto"/>
            </w:tcBorders>
            <w:hideMark/>
          </w:tcPr>
          <w:p w:rsidR="00D478B5" w:rsidRPr="005B6F85" w:rsidRDefault="00D478B5" w:rsidP="003B4BCE">
            <w:pPr>
              <w:autoSpaceDE w:val="0"/>
              <w:autoSpaceDN w:val="0"/>
              <w:adjustRightInd w:val="0"/>
              <w:jc w:val="both"/>
              <w:rPr>
                <w:sz w:val="24"/>
                <w:szCs w:val="24"/>
              </w:rPr>
            </w:pPr>
            <w:r w:rsidRPr="005B6F85">
              <w:rPr>
                <w:sz w:val="24"/>
                <w:szCs w:val="24"/>
              </w:rPr>
              <w:t>10–50 ml/min</w:t>
            </w:r>
          </w:p>
        </w:tc>
        <w:tc>
          <w:tcPr>
            <w:tcW w:w="2430" w:type="dxa"/>
            <w:tcBorders>
              <w:top w:val="single" w:sz="4" w:space="0" w:color="auto"/>
              <w:left w:val="single" w:sz="4" w:space="0" w:color="auto"/>
              <w:bottom w:val="single" w:sz="4" w:space="0" w:color="auto"/>
              <w:right w:val="single" w:sz="4" w:space="0" w:color="auto"/>
            </w:tcBorders>
            <w:hideMark/>
          </w:tcPr>
          <w:p w:rsidR="00D478B5" w:rsidRPr="005B6F85" w:rsidRDefault="00D478B5" w:rsidP="003B4BCE">
            <w:pPr>
              <w:autoSpaceDE w:val="0"/>
              <w:autoSpaceDN w:val="0"/>
              <w:adjustRightInd w:val="0"/>
              <w:jc w:val="both"/>
              <w:rPr>
                <w:sz w:val="24"/>
                <w:szCs w:val="24"/>
              </w:rPr>
            </w:pPr>
            <w:r w:rsidRPr="005B6F85">
              <w:rPr>
                <w:sz w:val="24"/>
                <w:szCs w:val="24"/>
              </w:rPr>
              <w:t>500 mg hver 6. time</w:t>
            </w:r>
          </w:p>
        </w:tc>
      </w:tr>
      <w:tr w:rsidR="00D478B5" w:rsidRPr="005B6F85" w:rsidTr="003B4BCE">
        <w:tc>
          <w:tcPr>
            <w:tcW w:w="2718" w:type="dxa"/>
            <w:tcBorders>
              <w:top w:val="single" w:sz="4" w:space="0" w:color="auto"/>
              <w:left w:val="single" w:sz="4" w:space="0" w:color="auto"/>
              <w:bottom w:val="single" w:sz="4" w:space="0" w:color="auto"/>
              <w:right w:val="single" w:sz="4" w:space="0" w:color="auto"/>
            </w:tcBorders>
            <w:hideMark/>
          </w:tcPr>
          <w:p w:rsidR="00D478B5" w:rsidRPr="005B6F85" w:rsidRDefault="00D478B5" w:rsidP="003B4BCE">
            <w:pPr>
              <w:autoSpaceDE w:val="0"/>
              <w:autoSpaceDN w:val="0"/>
              <w:adjustRightInd w:val="0"/>
              <w:jc w:val="both"/>
              <w:rPr>
                <w:sz w:val="24"/>
                <w:szCs w:val="24"/>
              </w:rPr>
            </w:pPr>
            <w:r w:rsidRPr="005B6F85">
              <w:rPr>
                <w:sz w:val="24"/>
                <w:szCs w:val="24"/>
              </w:rPr>
              <w:t>&lt; 10 ml/min</w:t>
            </w:r>
          </w:p>
        </w:tc>
        <w:tc>
          <w:tcPr>
            <w:tcW w:w="2430" w:type="dxa"/>
            <w:tcBorders>
              <w:top w:val="single" w:sz="4" w:space="0" w:color="auto"/>
              <w:left w:val="single" w:sz="4" w:space="0" w:color="auto"/>
              <w:bottom w:val="single" w:sz="4" w:space="0" w:color="auto"/>
              <w:right w:val="single" w:sz="4" w:space="0" w:color="auto"/>
            </w:tcBorders>
            <w:hideMark/>
          </w:tcPr>
          <w:p w:rsidR="00D478B5" w:rsidRPr="005B6F85" w:rsidRDefault="00D478B5" w:rsidP="003B4BCE">
            <w:pPr>
              <w:autoSpaceDE w:val="0"/>
              <w:autoSpaceDN w:val="0"/>
              <w:adjustRightInd w:val="0"/>
              <w:jc w:val="both"/>
              <w:rPr>
                <w:sz w:val="24"/>
                <w:szCs w:val="24"/>
              </w:rPr>
            </w:pPr>
            <w:r w:rsidRPr="005B6F85">
              <w:rPr>
                <w:sz w:val="24"/>
                <w:szCs w:val="24"/>
              </w:rPr>
              <w:t>500 mg hver 8. time</w:t>
            </w:r>
          </w:p>
        </w:tc>
      </w:tr>
    </w:tbl>
    <w:p w:rsidR="00D478B5" w:rsidRPr="005B6F85" w:rsidRDefault="00D478B5" w:rsidP="00D478B5">
      <w:pPr>
        <w:autoSpaceDE w:val="0"/>
        <w:autoSpaceDN w:val="0"/>
        <w:adjustRightInd w:val="0"/>
        <w:jc w:val="both"/>
        <w:rPr>
          <w:sz w:val="24"/>
          <w:szCs w:val="24"/>
          <w:lang w:val="en-US"/>
        </w:rPr>
      </w:pPr>
    </w:p>
    <w:p w:rsidR="00D478B5" w:rsidRPr="004E0B94" w:rsidRDefault="00D478B5" w:rsidP="00D478B5">
      <w:pPr>
        <w:autoSpaceDE w:val="0"/>
        <w:autoSpaceDN w:val="0"/>
        <w:adjustRightInd w:val="0"/>
        <w:ind w:left="851"/>
        <w:rPr>
          <w:i/>
          <w:sz w:val="24"/>
          <w:szCs w:val="24"/>
        </w:rPr>
      </w:pPr>
      <w:r w:rsidRPr="004E0B94">
        <w:rPr>
          <w:i/>
          <w:sz w:val="24"/>
          <w:szCs w:val="24"/>
        </w:rPr>
        <w:t>Leverinsufficiens</w:t>
      </w:r>
    </w:p>
    <w:p w:rsidR="00D478B5" w:rsidRPr="005B6F85" w:rsidRDefault="00D478B5" w:rsidP="00D478B5">
      <w:pPr>
        <w:numPr>
          <w:ilvl w:val="0"/>
          <w:numId w:val="6"/>
        </w:numPr>
        <w:autoSpaceDE w:val="0"/>
        <w:autoSpaceDN w:val="0"/>
        <w:adjustRightInd w:val="0"/>
        <w:ind w:left="1276" w:hanging="425"/>
        <w:rPr>
          <w:sz w:val="24"/>
          <w:szCs w:val="24"/>
        </w:rPr>
      </w:pPr>
      <w:r w:rsidRPr="005B6F85">
        <w:rPr>
          <w:sz w:val="24"/>
          <w:szCs w:val="24"/>
        </w:rPr>
        <w:t>Hos patienter med leverinsufficiens eller Gilberts syndrom skal dosen reduceres eller dosisintervallet forlænges.</w:t>
      </w:r>
    </w:p>
    <w:p w:rsidR="00D478B5" w:rsidRPr="005B6F85" w:rsidRDefault="00D478B5" w:rsidP="00D478B5">
      <w:pPr>
        <w:autoSpaceDE w:val="0"/>
        <w:autoSpaceDN w:val="0"/>
        <w:adjustRightInd w:val="0"/>
        <w:rPr>
          <w:sz w:val="24"/>
          <w:szCs w:val="24"/>
          <w:lang w:val="sv-SE"/>
        </w:rPr>
      </w:pPr>
    </w:p>
    <w:p w:rsidR="00D478B5" w:rsidRPr="005B6F85" w:rsidRDefault="00D478B5" w:rsidP="00D478B5">
      <w:pPr>
        <w:autoSpaceDE w:val="0"/>
        <w:autoSpaceDN w:val="0"/>
        <w:adjustRightInd w:val="0"/>
        <w:ind w:left="851"/>
        <w:rPr>
          <w:sz w:val="24"/>
          <w:szCs w:val="24"/>
        </w:rPr>
      </w:pPr>
      <w:r w:rsidRPr="005B6F85">
        <w:rPr>
          <w:sz w:val="24"/>
          <w:szCs w:val="24"/>
        </w:rPr>
        <w:t>Den daglige effektive dosis bør ikke overstige 60 mg/kg/dag (dog højst 2 g/dag) i følgende situationer:</w:t>
      </w:r>
    </w:p>
    <w:p w:rsidR="00D478B5" w:rsidRPr="005B6F85" w:rsidRDefault="00D478B5" w:rsidP="00D478B5">
      <w:pPr>
        <w:numPr>
          <w:ilvl w:val="0"/>
          <w:numId w:val="6"/>
        </w:numPr>
        <w:autoSpaceDE w:val="0"/>
        <w:autoSpaceDN w:val="0"/>
        <w:adjustRightInd w:val="0"/>
        <w:ind w:left="1276" w:hanging="425"/>
        <w:rPr>
          <w:sz w:val="24"/>
          <w:szCs w:val="24"/>
        </w:rPr>
      </w:pPr>
      <w:r w:rsidRPr="005B6F85">
        <w:rPr>
          <w:sz w:val="24"/>
          <w:szCs w:val="24"/>
        </w:rPr>
        <w:t>Voksne, der vejer under 50 kg</w:t>
      </w:r>
    </w:p>
    <w:p w:rsidR="00D478B5" w:rsidRPr="005B6F85" w:rsidRDefault="00D478B5" w:rsidP="00D478B5">
      <w:pPr>
        <w:numPr>
          <w:ilvl w:val="0"/>
          <w:numId w:val="6"/>
        </w:numPr>
        <w:autoSpaceDE w:val="0"/>
        <w:autoSpaceDN w:val="0"/>
        <w:adjustRightInd w:val="0"/>
        <w:ind w:left="1276" w:hanging="425"/>
        <w:rPr>
          <w:sz w:val="24"/>
          <w:szCs w:val="24"/>
        </w:rPr>
      </w:pPr>
      <w:r w:rsidRPr="005B6F85">
        <w:rPr>
          <w:sz w:val="24"/>
          <w:szCs w:val="24"/>
        </w:rPr>
        <w:t>Mild til moderat leverinsufficiens, Gilberts syndrom (arvelig, ikke-</w:t>
      </w:r>
      <w:proofErr w:type="spellStart"/>
      <w:r w:rsidRPr="005B6F85">
        <w:rPr>
          <w:sz w:val="24"/>
          <w:szCs w:val="24"/>
        </w:rPr>
        <w:t>hæmolytisk</w:t>
      </w:r>
      <w:proofErr w:type="spellEnd"/>
      <w:r w:rsidRPr="005B6F85">
        <w:rPr>
          <w:sz w:val="24"/>
          <w:szCs w:val="24"/>
        </w:rPr>
        <w:t xml:space="preserve"> </w:t>
      </w:r>
      <w:proofErr w:type="spellStart"/>
      <w:r w:rsidRPr="005B6F85">
        <w:rPr>
          <w:sz w:val="24"/>
          <w:szCs w:val="24"/>
        </w:rPr>
        <w:t>ikterus</w:t>
      </w:r>
      <w:proofErr w:type="spellEnd"/>
      <w:r w:rsidRPr="005B6F85">
        <w:rPr>
          <w:sz w:val="24"/>
          <w:szCs w:val="24"/>
        </w:rPr>
        <w:t>)</w:t>
      </w:r>
    </w:p>
    <w:p w:rsidR="00D478B5" w:rsidRPr="005B6F85" w:rsidRDefault="00D478B5" w:rsidP="00D478B5">
      <w:pPr>
        <w:numPr>
          <w:ilvl w:val="0"/>
          <w:numId w:val="6"/>
        </w:numPr>
        <w:autoSpaceDE w:val="0"/>
        <w:autoSpaceDN w:val="0"/>
        <w:adjustRightInd w:val="0"/>
        <w:ind w:left="1276" w:hanging="425"/>
        <w:rPr>
          <w:sz w:val="24"/>
          <w:szCs w:val="24"/>
        </w:rPr>
      </w:pPr>
      <w:r w:rsidRPr="005B6F85">
        <w:rPr>
          <w:sz w:val="24"/>
          <w:szCs w:val="24"/>
        </w:rPr>
        <w:t>Dehydrering</w:t>
      </w:r>
    </w:p>
    <w:p w:rsidR="00D478B5" w:rsidRPr="005B6F85" w:rsidRDefault="00D478B5" w:rsidP="00D478B5">
      <w:pPr>
        <w:numPr>
          <w:ilvl w:val="0"/>
          <w:numId w:val="6"/>
        </w:numPr>
        <w:autoSpaceDE w:val="0"/>
        <w:autoSpaceDN w:val="0"/>
        <w:adjustRightInd w:val="0"/>
        <w:ind w:left="1276" w:hanging="425"/>
        <w:rPr>
          <w:sz w:val="24"/>
          <w:szCs w:val="24"/>
        </w:rPr>
      </w:pPr>
      <w:r w:rsidRPr="005B6F85">
        <w:rPr>
          <w:sz w:val="24"/>
          <w:szCs w:val="24"/>
        </w:rPr>
        <w:t>Kronisk fejlernæring</w:t>
      </w:r>
    </w:p>
    <w:p w:rsidR="00D478B5" w:rsidRPr="005B6F85" w:rsidRDefault="00D478B5" w:rsidP="00D478B5">
      <w:pPr>
        <w:tabs>
          <w:tab w:val="left" w:pos="1304"/>
        </w:tabs>
        <w:autoSpaceDE w:val="0"/>
        <w:autoSpaceDN w:val="0"/>
        <w:adjustRightInd w:val="0"/>
        <w:rPr>
          <w:sz w:val="24"/>
          <w:szCs w:val="24"/>
        </w:rPr>
      </w:pPr>
    </w:p>
    <w:p w:rsidR="00D478B5" w:rsidRPr="004E0B94" w:rsidRDefault="00D478B5" w:rsidP="00D478B5">
      <w:pPr>
        <w:ind w:left="851"/>
        <w:rPr>
          <w:b/>
          <w:sz w:val="24"/>
          <w:szCs w:val="24"/>
        </w:rPr>
      </w:pPr>
      <w:r w:rsidRPr="004E0B94">
        <w:rPr>
          <w:b/>
          <w:sz w:val="24"/>
          <w:szCs w:val="24"/>
        </w:rPr>
        <w:t>Administration</w:t>
      </w:r>
    </w:p>
    <w:p w:rsidR="00D478B5" w:rsidRPr="005B6F85" w:rsidRDefault="00D478B5" w:rsidP="00D478B5">
      <w:pPr>
        <w:autoSpaceDE w:val="0"/>
        <w:autoSpaceDN w:val="0"/>
        <w:adjustRightInd w:val="0"/>
        <w:ind w:left="851"/>
        <w:rPr>
          <w:sz w:val="24"/>
          <w:szCs w:val="24"/>
        </w:rPr>
      </w:pPr>
      <w:r w:rsidRPr="005B6F85">
        <w:rPr>
          <w:sz w:val="24"/>
          <w:szCs w:val="24"/>
        </w:rPr>
        <w:t>Til oral anvendelse.</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4.3</w:t>
      </w:r>
      <w:r w:rsidRPr="005B6F85">
        <w:rPr>
          <w:b/>
          <w:sz w:val="24"/>
          <w:szCs w:val="24"/>
        </w:rPr>
        <w:tab/>
        <w:t>Kontraindikationer</w:t>
      </w:r>
    </w:p>
    <w:p w:rsidR="00D478B5" w:rsidRPr="005B6F85" w:rsidRDefault="00D478B5" w:rsidP="00D478B5">
      <w:pPr>
        <w:ind w:left="851"/>
        <w:rPr>
          <w:sz w:val="24"/>
          <w:szCs w:val="24"/>
        </w:rPr>
      </w:pPr>
      <w:r w:rsidRPr="005B6F85">
        <w:rPr>
          <w:sz w:val="24"/>
          <w:szCs w:val="24"/>
        </w:rPr>
        <w:t>Overfølsomhed over for det aktive stof eller over for et eller flere af hjælpestofferne anført i pkt. 6.1.</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4.4</w:t>
      </w:r>
      <w:r w:rsidRPr="005B6F85">
        <w:rPr>
          <w:b/>
          <w:sz w:val="24"/>
          <w:szCs w:val="24"/>
        </w:rPr>
        <w:tab/>
        <w:t>Særlige advarsler og forsigtighedsregler vedrørende brugen</w:t>
      </w:r>
    </w:p>
    <w:p w:rsidR="00D478B5" w:rsidRDefault="00D478B5" w:rsidP="00D478B5">
      <w:pPr>
        <w:autoSpaceDE w:val="0"/>
        <w:autoSpaceDN w:val="0"/>
        <w:adjustRightInd w:val="0"/>
        <w:ind w:left="851"/>
        <w:rPr>
          <w:sz w:val="24"/>
          <w:szCs w:val="24"/>
        </w:rPr>
      </w:pPr>
      <w:bookmarkStart w:id="3" w:name="_Hlk529471522"/>
      <w:r w:rsidRPr="005B6F85">
        <w:rPr>
          <w:sz w:val="24"/>
          <w:szCs w:val="24"/>
        </w:rPr>
        <w:t xml:space="preserve">Langvarig eller hyppig brug frarådes, medmindre det er anvist af en læge. Patienter bør informeres om, at de ikke må overstige den anbefalede dosis, og at de ikke samtidigt må tage andre lægemidler, der indeholder paracetamol (herunder kombinationslægemidler). Flerdobbelt indtag af den maksimale daglige dosis eller overdosering kan forårsage svær leverskade. I sådanne tilfælde bør der omgående søges lægehjælp, også selvom patienten har det godt, eftersom der er risiko for irreversible leverskader (se pkt. 4.9). Hos yngre patienter, der får behandling med paracetamol 60 mg/kg dagligt, er kombination med et andet </w:t>
      </w:r>
      <w:proofErr w:type="spellStart"/>
      <w:r w:rsidRPr="005B6F85">
        <w:rPr>
          <w:sz w:val="24"/>
          <w:szCs w:val="24"/>
        </w:rPr>
        <w:t>antipyretikum</w:t>
      </w:r>
      <w:proofErr w:type="spellEnd"/>
      <w:r w:rsidRPr="005B6F85">
        <w:rPr>
          <w:sz w:val="24"/>
          <w:szCs w:val="24"/>
        </w:rPr>
        <w:t xml:space="preserve"> kun berettiget i tilfælde af manglende virkning.</w:t>
      </w:r>
    </w:p>
    <w:p w:rsidR="004E12F2" w:rsidRPr="005B6F85" w:rsidRDefault="004E12F2" w:rsidP="00D478B5">
      <w:pPr>
        <w:autoSpaceDE w:val="0"/>
        <w:autoSpaceDN w:val="0"/>
        <w:adjustRightInd w:val="0"/>
        <w:ind w:left="851"/>
        <w:rPr>
          <w:sz w:val="24"/>
          <w:szCs w:val="24"/>
        </w:rPr>
      </w:pPr>
    </w:p>
    <w:p w:rsidR="004E12F2" w:rsidRDefault="004E12F2" w:rsidP="004E12F2">
      <w:pPr>
        <w:autoSpaceDE w:val="0"/>
        <w:autoSpaceDN w:val="0"/>
        <w:adjustRightInd w:val="0"/>
        <w:ind w:left="851"/>
        <w:rPr>
          <w:sz w:val="24"/>
          <w:szCs w:val="24"/>
        </w:rPr>
      </w:pPr>
      <w:r>
        <w:rPr>
          <w:sz w:val="24"/>
          <w:szCs w:val="24"/>
        </w:rPr>
        <w:t xml:space="preserve">Der er rapporteret om tilfælde af metabolisk </w:t>
      </w:r>
      <w:proofErr w:type="spellStart"/>
      <w:r>
        <w:rPr>
          <w:sz w:val="24"/>
          <w:szCs w:val="24"/>
        </w:rPr>
        <w:t>acidose</w:t>
      </w:r>
      <w:proofErr w:type="spellEnd"/>
      <w:r>
        <w:rPr>
          <w:sz w:val="24"/>
          <w:szCs w:val="24"/>
        </w:rPr>
        <w:t xml:space="preserve"> med højt anion-</w:t>
      </w:r>
      <w:proofErr w:type="spellStart"/>
      <w:r>
        <w:rPr>
          <w:sz w:val="24"/>
          <w:szCs w:val="24"/>
        </w:rPr>
        <w:t>gap</w:t>
      </w:r>
      <w:proofErr w:type="spellEnd"/>
      <w:r>
        <w:rPr>
          <w:sz w:val="24"/>
          <w:szCs w:val="24"/>
        </w:rPr>
        <w:t xml:space="preserve"> (HAGMA) som følge af </w:t>
      </w:r>
      <w:proofErr w:type="spellStart"/>
      <w:r>
        <w:rPr>
          <w:sz w:val="24"/>
          <w:szCs w:val="24"/>
        </w:rPr>
        <w:t>pyroglutaminacidose</w:t>
      </w:r>
      <w:proofErr w:type="spellEnd"/>
      <w:r>
        <w:rPr>
          <w:sz w:val="24"/>
          <w:szCs w:val="24"/>
        </w:rPr>
        <w:t xml:space="preserve"> hos patienter med svær sygdom såsom svær nyreinsufficiens og sepsis, eller hos patienter med fejlernæring eller andre kilder til </w:t>
      </w:r>
      <w:proofErr w:type="spellStart"/>
      <w:r>
        <w:rPr>
          <w:sz w:val="24"/>
          <w:szCs w:val="24"/>
        </w:rPr>
        <w:t>glutathionmangel</w:t>
      </w:r>
      <w:proofErr w:type="spellEnd"/>
      <w:r>
        <w:rPr>
          <w:sz w:val="24"/>
          <w:szCs w:val="24"/>
        </w:rPr>
        <w:t xml:space="preserve"> (f.eks. kronisk alkoholisme), som blev behandlet med paracetamol i terapeutiske doser i en længere periode eller en kombination af paracetamol og </w:t>
      </w:r>
      <w:proofErr w:type="spellStart"/>
      <w:r>
        <w:rPr>
          <w:sz w:val="24"/>
          <w:szCs w:val="24"/>
        </w:rPr>
        <w:t>flucloxacillin</w:t>
      </w:r>
      <w:proofErr w:type="spellEnd"/>
      <w:r>
        <w:rPr>
          <w:sz w:val="24"/>
          <w:szCs w:val="24"/>
        </w:rPr>
        <w:t xml:space="preserve">. Hvis der er mistanke om HAGMA på grund af </w:t>
      </w:r>
      <w:proofErr w:type="spellStart"/>
      <w:r>
        <w:rPr>
          <w:sz w:val="24"/>
          <w:szCs w:val="24"/>
        </w:rPr>
        <w:t>pyroglutaminacidose</w:t>
      </w:r>
      <w:proofErr w:type="spellEnd"/>
      <w:r>
        <w:rPr>
          <w:sz w:val="24"/>
          <w:szCs w:val="24"/>
        </w:rPr>
        <w:t xml:space="preserve">, anbefales øjeblikkelig </w:t>
      </w:r>
      <w:proofErr w:type="spellStart"/>
      <w:r>
        <w:rPr>
          <w:sz w:val="24"/>
          <w:szCs w:val="24"/>
        </w:rPr>
        <w:t>seponering</w:t>
      </w:r>
      <w:proofErr w:type="spellEnd"/>
      <w:r>
        <w:rPr>
          <w:sz w:val="24"/>
          <w:szCs w:val="24"/>
        </w:rPr>
        <w:t xml:space="preserve"> af paracetamol og tæt overvågning. Målingen af 5-oxoprolin i urinen kan være nyttig til at identificere </w:t>
      </w:r>
      <w:proofErr w:type="spellStart"/>
      <w:r>
        <w:rPr>
          <w:sz w:val="24"/>
          <w:szCs w:val="24"/>
        </w:rPr>
        <w:t>pyroglutaminacidose</w:t>
      </w:r>
      <w:proofErr w:type="spellEnd"/>
      <w:r>
        <w:rPr>
          <w:sz w:val="24"/>
          <w:szCs w:val="24"/>
        </w:rPr>
        <w:t xml:space="preserve"> som underliggende årsag til HAGMA hos patienter med flere risikofaktorer.</w:t>
      </w:r>
    </w:p>
    <w:p w:rsidR="00D478B5" w:rsidRPr="005B6F85" w:rsidRDefault="00D478B5" w:rsidP="00D478B5">
      <w:pPr>
        <w:ind w:left="851"/>
        <w:rPr>
          <w:sz w:val="24"/>
          <w:szCs w:val="24"/>
        </w:rPr>
      </w:pPr>
    </w:p>
    <w:p w:rsidR="00D478B5" w:rsidRPr="005B6F85" w:rsidRDefault="00D478B5" w:rsidP="00D478B5">
      <w:pPr>
        <w:autoSpaceDE w:val="0"/>
        <w:autoSpaceDN w:val="0"/>
        <w:adjustRightInd w:val="0"/>
        <w:ind w:left="851"/>
        <w:rPr>
          <w:sz w:val="24"/>
          <w:szCs w:val="24"/>
        </w:rPr>
      </w:pPr>
      <w:r w:rsidRPr="005B6F85">
        <w:rPr>
          <w:sz w:val="24"/>
          <w:szCs w:val="24"/>
        </w:rPr>
        <w:t>Der bør udvises forsigtighed ved administration af paracetamol hos patienter med moderat til svær nyreinsufficiens, mild til moderat leverinsufficiens (inklusive Gilbert syndrom), svær leverinsufficiens (Child-</w:t>
      </w:r>
      <w:proofErr w:type="spellStart"/>
      <w:r w:rsidRPr="005B6F85">
        <w:rPr>
          <w:sz w:val="24"/>
          <w:szCs w:val="24"/>
        </w:rPr>
        <w:t>Pugh</w:t>
      </w:r>
      <w:proofErr w:type="spellEnd"/>
      <w:r w:rsidRPr="005B6F85">
        <w:rPr>
          <w:sz w:val="24"/>
          <w:szCs w:val="24"/>
        </w:rPr>
        <w:t xml:space="preserve"> &gt; 9), akut hepatitis, samtidig behandling med lægemidler, der påvirker leverfunktionen, glucose-6-phosphatdehydrogenasemangel, </w:t>
      </w:r>
      <w:proofErr w:type="spellStart"/>
      <w:r w:rsidRPr="005B6F85">
        <w:rPr>
          <w:sz w:val="24"/>
          <w:szCs w:val="24"/>
        </w:rPr>
        <w:t>hæmolytisk</w:t>
      </w:r>
      <w:proofErr w:type="spellEnd"/>
      <w:r w:rsidRPr="005B6F85">
        <w:rPr>
          <w:sz w:val="24"/>
          <w:szCs w:val="24"/>
        </w:rPr>
        <w:t xml:space="preserve"> anæmi, alkoholmisbrug, dehydrering og kronisk fejlernæring.</w:t>
      </w:r>
    </w:p>
    <w:p w:rsidR="008D2841" w:rsidRPr="005B6F85" w:rsidRDefault="008D2841" w:rsidP="00D478B5">
      <w:pPr>
        <w:autoSpaceDE w:val="0"/>
        <w:autoSpaceDN w:val="0"/>
        <w:adjustRightInd w:val="0"/>
        <w:ind w:left="851"/>
        <w:rPr>
          <w:sz w:val="24"/>
          <w:szCs w:val="24"/>
        </w:rPr>
      </w:pPr>
    </w:p>
    <w:p w:rsidR="00D478B5" w:rsidRPr="005B6F85" w:rsidRDefault="00D478B5" w:rsidP="00D478B5">
      <w:pPr>
        <w:autoSpaceDE w:val="0"/>
        <w:autoSpaceDN w:val="0"/>
        <w:adjustRightInd w:val="0"/>
        <w:ind w:left="851"/>
        <w:rPr>
          <w:sz w:val="24"/>
          <w:szCs w:val="24"/>
        </w:rPr>
      </w:pPr>
      <w:r w:rsidRPr="005B6F85">
        <w:rPr>
          <w:sz w:val="24"/>
          <w:szCs w:val="24"/>
        </w:rPr>
        <w:lastRenderedPageBreak/>
        <w:t>Faren i forbindelse med overdosering er større hos patienter med ikke-</w:t>
      </w:r>
      <w:proofErr w:type="spellStart"/>
      <w:r w:rsidRPr="005B6F85">
        <w:rPr>
          <w:sz w:val="24"/>
          <w:szCs w:val="24"/>
        </w:rPr>
        <w:t>cirrotisk</w:t>
      </w:r>
      <w:proofErr w:type="spellEnd"/>
      <w:r w:rsidRPr="005B6F85">
        <w:rPr>
          <w:sz w:val="24"/>
          <w:szCs w:val="24"/>
        </w:rPr>
        <w:t xml:space="preserve"> alkoholisk leversygdom. Der bør udvises forsigtighed i tilfælde af kronisk alkoholisme. Der må ikke indtages alkohol i behandlingsperioden. Den daglige dosis bør ikke overstige 2 gram i sådanne tilfælde.</w:t>
      </w:r>
    </w:p>
    <w:p w:rsidR="00D478B5" w:rsidRPr="005B6F85" w:rsidRDefault="00D478B5" w:rsidP="00D478B5">
      <w:pPr>
        <w:autoSpaceDE w:val="0"/>
        <w:autoSpaceDN w:val="0"/>
        <w:adjustRightInd w:val="0"/>
        <w:ind w:left="851"/>
        <w:rPr>
          <w:sz w:val="24"/>
          <w:szCs w:val="24"/>
        </w:rPr>
      </w:pPr>
    </w:p>
    <w:p w:rsidR="00D478B5" w:rsidRPr="005B6F85" w:rsidRDefault="00D478B5" w:rsidP="00D478B5">
      <w:pPr>
        <w:autoSpaceDE w:val="0"/>
        <w:autoSpaceDN w:val="0"/>
        <w:adjustRightInd w:val="0"/>
        <w:ind w:left="851"/>
        <w:rPr>
          <w:sz w:val="24"/>
          <w:szCs w:val="24"/>
        </w:rPr>
      </w:pPr>
      <w:r w:rsidRPr="005B6F85">
        <w:rPr>
          <w:sz w:val="24"/>
          <w:szCs w:val="24"/>
        </w:rPr>
        <w:t>I tilfælde af høj feber, tegn på en sekundær infektion eller vedvarende symptomer i mere end tre dage bør der søges læge.</w:t>
      </w:r>
    </w:p>
    <w:p w:rsidR="00D478B5" w:rsidRPr="005B6F85" w:rsidRDefault="00D478B5" w:rsidP="00D478B5">
      <w:pPr>
        <w:autoSpaceDE w:val="0"/>
        <w:autoSpaceDN w:val="0"/>
        <w:adjustRightInd w:val="0"/>
        <w:ind w:left="851"/>
        <w:rPr>
          <w:sz w:val="24"/>
          <w:szCs w:val="24"/>
        </w:rPr>
      </w:pPr>
    </w:p>
    <w:p w:rsidR="00D478B5" w:rsidRPr="005B6F85" w:rsidRDefault="00D478B5" w:rsidP="00D478B5">
      <w:pPr>
        <w:autoSpaceDE w:val="0"/>
        <w:autoSpaceDN w:val="0"/>
        <w:adjustRightInd w:val="0"/>
        <w:ind w:left="851"/>
        <w:rPr>
          <w:sz w:val="24"/>
          <w:szCs w:val="24"/>
        </w:rPr>
      </w:pPr>
      <w:r w:rsidRPr="005B6F85">
        <w:rPr>
          <w:sz w:val="24"/>
          <w:szCs w:val="24"/>
        </w:rPr>
        <w:t xml:space="preserve">Efter indtagelse af </w:t>
      </w:r>
      <w:proofErr w:type="spellStart"/>
      <w:r w:rsidRPr="005B6F85">
        <w:rPr>
          <w:sz w:val="24"/>
          <w:szCs w:val="24"/>
        </w:rPr>
        <w:t>analgetika</w:t>
      </w:r>
      <w:proofErr w:type="spellEnd"/>
      <w:r w:rsidRPr="005B6F85">
        <w:rPr>
          <w:sz w:val="24"/>
          <w:szCs w:val="24"/>
        </w:rPr>
        <w:t xml:space="preserve"> i længere tid (&gt; 3 måneder) hver dag eller oftere, kan hovedpine indtræde eller blive værre. Hovedpine som følge af overforbrug af </w:t>
      </w:r>
      <w:proofErr w:type="spellStart"/>
      <w:r w:rsidRPr="005B6F85">
        <w:rPr>
          <w:sz w:val="24"/>
          <w:szCs w:val="24"/>
        </w:rPr>
        <w:t>analgetika</w:t>
      </w:r>
      <w:proofErr w:type="spellEnd"/>
      <w:r w:rsidRPr="005B6F85">
        <w:rPr>
          <w:sz w:val="24"/>
          <w:szCs w:val="24"/>
        </w:rPr>
        <w:t xml:space="preserve"> bør ikke håndteres ved at øge dosen. I sådanne tilfælde bør brug af </w:t>
      </w:r>
      <w:proofErr w:type="spellStart"/>
      <w:r w:rsidRPr="005B6F85">
        <w:rPr>
          <w:sz w:val="24"/>
          <w:szCs w:val="24"/>
        </w:rPr>
        <w:t>analgetika</w:t>
      </w:r>
      <w:proofErr w:type="spellEnd"/>
      <w:r w:rsidRPr="005B6F85">
        <w:rPr>
          <w:sz w:val="24"/>
          <w:szCs w:val="24"/>
        </w:rPr>
        <w:t xml:space="preserve"> ske efter aftale med lægen. Der bør udvises forsigtighed hos astmapatienter, der er følsomme over for acetylsalicylsyre, eftersom der er rapporteret om </w:t>
      </w:r>
      <w:proofErr w:type="spellStart"/>
      <w:r w:rsidRPr="005B6F85">
        <w:rPr>
          <w:sz w:val="24"/>
          <w:szCs w:val="24"/>
        </w:rPr>
        <w:t>bronkospasmer</w:t>
      </w:r>
      <w:proofErr w:type="spellEnd"/>
      <w:r w:rsidRPr="005B6F85">
        <w:rPr>
          <w:sz w:val="24"/>
          <w:szCs w:val="24"/>
        </w:rPr>
        <w:t xml:space="preserve"> med paracetamol (krydsreaktion).</w:t>
      </w:r>
    </w:p>
    <w:p w:rsidR="00D478B5" w:rsidRPr="005B6F85" w:rsidRDefault="00D478B5" w:rsidP="00D478B5">
      <w:pPr>
        <w:autoSpaceDE w:val="0"/>
        <w:autoSpaceDN w:val="0"/>
        <w:adjustRightInd w:val="0"/>
        <w:ind w:left="851"/>
        <w:rPr>
          <w:sz w:val="24"/>
          <w:szCs w:val="24"/>
        </w:rPr>
      </w:pPr>
    </w:p>
    <w:p w:rsidR="00D478B5" w:rsidRPr="005B6F85" w:rsidRDefault="00D478B5" w:rsidP="00D478B5">
      <w:pPr>
        <w:autoSpaceDE w:val="0"/>
        <w:autoSpaceDN w:val="0"/>
        <w:adjustRightInd w:val="0"/>
        <w:ind w:left="851"/>
        <w:rPr>
          <w:sz w:val="24"/>
          <w:szCs w:val="24"/>
        </w:rPr>
      </w:pPr>
      <w:r w:rsidRPr="005B6F85">
        <w:rPr>
          <w:sz w:val="24"/>
          <w:szCs w:val="24"/>
        </w:rPr>
        <w:t xml:space="preserve">Selvmedicinering med paracetamol bør begrænses i forbindelse med brug af </w:t>
      </w:r>
      <w:proofErr w:type="spellStart"/>
      <w:r w:rsidRPr="005B6F85">
        <w:rPr>
          <w:sz w:val="24"/>
          <w:szCs w:val="24"/>
        </w:rPr>
        <w:t>antikonvulsiva</w:t>
      </w:r>
      <w:proofErr w:type="spellEnd"/>
      <w:r w:rsidRPr="005B6F85">
        <w:rPr>
          <w:sz w:val="24"/>
          <w:szCs w:val="24"/>
        </w:rPr>
        <w:t>, eftersom samtidig brug forstærker levertoksiciteten og reducerer biotilgængeligheden af paracetamol, især ved brug af høje doser paracetamol (se pkt. 4.5).</w:t>
      </w:r>
    </w:p>
    <w:p w:rsidR="00D478B5" w:rsidRPr="005B6F85" w:rsidRDefault="00D478B5" w:rsidP="00D478B5">
      <w:pPr>
        <w:autoSpaceDE w:val="0"/>
        <w:autoSpaceDN w:val="0"/>
        <w:adjustRightInd w:val="0"/>
        <w:ind w:left="851"/>
        <w:rPr>
          <w:sz w:val="24"/>
          <w:szCs w:val="24"/>
        </w:rPr>
      </w:pPr>
    </w:p>
    <w:p w:rsidR="00D478B5" w:rsidRPr="005B6F85" w:rsidRDefault="00D478B5" w:rsidP="00D478B5">
      <w:pPr>
        <w:ind w:left="851"/>
        <w:rPr>
          <w:sz w:val="24"/>
          <w:szCs w:val="24"/>
        </w:rPr>
      </w:pPr>
      <w:r w:rsidRPr="005B6F85">
        <w:rPr>
          <w:sz w:val="24"/>
          <w:szCs w:val="24"/>
        </w:rPr>
        <w:t xml:space="preserve">Der bør udvises forsigtighed hos patienter med tilstande, der er forbundet med </w:t>
      </w:r>
      <w:proofErr w:type="spellStart"/>
      <w:r w:rsidRPr="005B6F85">
        <w:rPr>
          <w:sz w:val="24"/>
          <w:szCs w:val="24"/>
        </w:rPr>
        <w:t>glutathiondepletering</w:t>
      </w:r>
      <w:proofErr w:type="spellEnd"/>
      <w:r w:rsidRPr="005B6F85">
        <w:rPr>
          <w:sz w:val="24"/>
          <w:szCs w:val="24"/>
        </w:rPr>
        <w:t xml:space="preserve">, såsom sepsis; brug af paracetamol kan øge risikoen for metabolisk </w:t>
      </w:r>
      <w:proofErr w:type="spellStart"/>
      <w:r w:rsidRPr="005B6F85">
        <w:rPr>
          <w:sz w:val="24"/>
          <w:szCs w:val="24"/>
        </w:rPr>
        <w:t>acidose</w:t>
      </w:r>
      <w:proofErr w:type="spellEnd"/>
      <w:r w:rsidRPr="005B6F85">
        <w:rPr>
          <w:sz w:val="24"/>
          <w:szCs w:val="24"/>
        </w:rPr>
        <w:t>.</w:t>
      </w:r>
    </w:p>
    <w:p w:rsidR="00D478B5" w:rsidRPr="005B6F85" w:rsidRDefault="00D478B5" w:rsidP="00D478B5">
      <w:pPr>
        <w:autoSpaceDE w:val="0"/>
        <w:autoSpaceDN w:val="0"/>
        <w:adjustRightInd w:val="0"/>
        <w:ind w:left="851"/>
        <w:rPr>
          <w:sz w:val="24"/>
          <w:szCs w:val="24"/>
        </w:rPr>
      </w:pPr>
    </w:p>
    <w:bookmarkEnd w:id="3"/>
    <w:p w:rsidR="00D478B5" w:rsidRPr="005B6F85" w:rsidRDefault="00D478B5" w:rsidP="00D478B5">
      <w:pPr>
        <w:ind w:left="851"/>
        <w:rPr>
          <w:sz w:val="24"/>
          <w:szCs w:val="24"/>
        </w:rPr>
      </w:pPr>
      <w:r w:rsidRPr="005B6F85">
        <w:rPr>
          <w:sz w:val="24"/>
          <w:szCs w:val="24"/>
        </w:rPr>
        <w:t>Dette lægemiddel indeholder mindre end 1 mmol (23 mg) natrium pr. tablet, dvs. det er i det væsentlige natrium-frit.</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4.5</w:t>
      </w:r>
      <w:r w:rsidRPr="005B6F85">
        <w:rPr>
          <w:b/>
          <w:sz w:val="24"/>
          <w:szCs w:val="24"/>
        </w:rPr>
        <w:tab/>
        <w:t>Interaktion med andre lægemidler og andre former for interaktion</w:t>
      </w:r>
    </w:p>
    <w:p w:rsidR="00D478B5" w:rsidRDefault="00D478B5" w:rsidP="00D478B5">
      <w:pPr>
        <w:ind w:left="851"/>
        <w:rPr>
          <w:sz w:val="24"/>
          <w:szCs w:val="24"/>
        </w:rPr>
      </w:pPr>
      <w:bookmarkStart w:id="4" w:name="_Hlk529474126"/>
      <w:r w:rsidRPr="005B6F85">
        <w:rPr>
          <w:sz w:val="24"/>
          <w:szCs w:val="24"/>
        </w:rPr>
        <w:t xml:space="preserve">Samtidig brug af paracetamol og </w:t>
      </w:r>
      <w:proofErr w:type="spellStart"/>
      <w:r w:rsidRPr="005B6F85">
        <w:rPr>
          <w:sz w:val="24"/>
          <w:szCs w:val="24"/>
        </w:rPr>
        <w:t>chloramphenicol</w:t>
      </w:r>
      <w:proofErr w:type="spellEnd"/>
      <w:r w:rsidRPr="005B6F85">
        <w:rPr>
          <w:sz w:val="24"/>
          <w:szCs w:val="24"/>
        </w:rPr>
        <w:t xml:space="preserve"> kan forsinke udskillelsen af </w:t>
      </w:r>
      <w:proofErr w:type="spellStart"/>
      <w:r w:rsidRPr="005B6F85">
        <w:rPr>
          <w:sz w:val="24"/>
          <w:szCs w:val="24"/>
        </w:rPr>
        <w:t>chloramphenicol</w:t>
      </w:r>
      <w:proofErr w:type="spellEnd"/>
      <w:r w:rsidRPr="005B6F85">
        <w:rPr>
          <w:sz w:val="24"/>
          <w:szCs w:val="24"/>
        </w:rPr>
        <w:t xml:space="preserve"> og dermed øge plasmakoncentrationen og risikoen for toksicitet. </w:t>
      </w:r>
    </w:p>
    <w:p w:rsidR="004E12F2" w:rsidRPr="005B6F85" w:rsidRDefault="004E12F2" w:rsidP="00D478B5">
      <w:pPr>
        <w:ind w:left="851"/>
        <w:rPr>
          <w:sz w:val="24"/>
          <w:szCs w:val="24"/>
        </w:rPr>
      </w:pPr>
    </w:p>
    <w:p w:rsidR="004E12F2" w:rsidRDefault="004E12F2" w:rsidP="004E12F2">
      <w:pPr>
        <w:ind w:left="851"/>
        <w:rPr>
          <w:sz w:val="24"/>
          <w:szCs w:val="24"/>
        </w:rPr>
      </w:pPr>
      <w:r>
        <w:rPr>
          <w:sz w:val="24"/>
          <w:szCs w:val="24"/>
        </w:rPr>
        <w:t xml:space="preserve">Der skal udvises forsigtighed, når paracetamol anvendes sammen med </w:t>
      </w:r>
      <w:proofErr w:type="spellStart"/>
      <w:r>
        <w:rPr>
          <w:sz w:val="24"/>
          <w:szCs w:val="24"/>
        </w:rPr>
        <w:t>flucloxacillin</w:t>
      </w:r>
      <w:proofErr w:type="spellEnd"/>
      <w:r>
        <w:rPr>
          <w:sz w:val="24"/>
          <w:szCs w:val="24"/>
        </w:rPr>
        <w:t xml:space="preserve">, da samtidig indtagelse har været forbundet med metabolisk </w:t>
      </w:r>
      <w:proofErr w:type="spellStart"/>
      <w:r>
        <w:rPr>
          <w:sz w:val="24"/>
          <w:szCs w:val="24"/>
        </w:rPr>
        <w:t>acidose</w:t>
      </w:r>
      <w:proofErr w:type="spellEnd"/>
      <w:r>
        <w:rPr>
          <w:sz w:val="24"/>
          <w:szCs w:val="24"/>
        </w:rPr>
        <w:t xml:space="preserve"> med højt anion-</w:t>
      </w:r>
      <w:proofErr w:type="spellStart"/>
      <w:r>
        <w:rPr>
          <w:sz w:val="24"/>
          <w:szCs w:val="24"/>
        </w:rPr>
        <w:t>gap</w:t>
      </w:r>
      <w:proofErr w:type="spellEnd"/>
      <w:r>
        <w:rPr>
          <w:sz w:val="24"/>
          <w:szCs w:val="24"/>
        </w:rPr>
        <w:t xml:space="preserve"> på grund af </w:t>
      </w:r>
      <w:proofErr w:type="spellStart"/>
      <w:r>
        <w:rPr>
          <w:sz w:val="24"/>
          <w:szCs w:val="24"/>
        </w:rPr>
        <w:t>pyroglutaminacidose</w:t>
      </w:r>
      <w:proofErr w:type="spellEnd"/>
      <w:r>
        <w:rPr>
          <w:sz w:val="24"/>
          <w:szCs w:val="24"/>
        </w:rPr>
        <w:t>, navnlig hos patienter med risikofaktorer (se pkt. 4.4).</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Selvom den antikoagulerende virkning af </w:t>
      </w:r>
      <w:proofErr w:type="spellStart"/>
      <w:r w:rsidRPr="005B6F85">
        <w:rPr>
          <w:sz w:val="24"/>
          <w:szCs w:val="24"/>
        </w:rPr>
        <w:t>warfarin</w:t>
      </w:r>
      <w:proofErr w:type="spellEnd"/>
      <w:r w:rsidRPr="005B6F85">
        <w:rPr>
          <w:sz w:val="24"/>
          <w:szCs w:val="24"/>
        </w:rPr>
        <w:t xml:space="preserve"> og andre </w:t>
      </w:r>
      <w:proofErr w:type="spellStart"/>
      <w:r w:rsidRPr="005B6F85">
        <w:rPr>
          <w:sz w:val="24"/>
          <w:szCs w:val="24"/>
        </w:rPr>
        <w:t>coumariner</w:t>
      </w:r>
      <w:proofErr w:type="spellEnd"/>
      <w:r w:rsidRPr="005B6F85">
        <w:rPr>
          <w:sz w:val="24"/>
          <w:szCs w:val="24"/>
        </w:rPr>
        <w:t xml:space="preserve"> kan være forstærket ved langvarig, regelmæssig daglig brug af paracetamol, har lejlighedsvise doser ingen signifikant indvirkning herpå. Paracetamol er det foretrukne </w:t>
      </w:r>
      <w:proofErr w:type="spellStart"/>
      <w:r w:rsidRPr="005B6F85">
        <w:rPr>
          <w:sz w:val="24"/>
          <w:szCs w:val="24"/>
        </w:rPr>
        <w:t>analgetikum</w:t>
      </w:r>
      <w:proofErr w:type="spellEnd"/>
      <w:r w:rsidRPr="005B6F85">
        <w:rPr>
          <w:sz w:val="24"/>
          <w:szCs w:val="24"/>
        </w:rPr>
        <w:t xml:space="preserve"> hos patienter, der tager </w:t>
      </w:r>
      <w:proofErr w:type="spellStart"/>
      <w:r w:rsidRPr="005B6F85">
        <w:rPr>
          <w:sz w:val="24"/>
          <w:szCs w:val="24"/>
        </w:rPr>
        <w:t>antikoagulantia</w:t>
      </w:r>
      <w:proofErr w:type="spellEnd"/>
      <w:r w:rsidRPr="005B6F85">
        <w:rPr>
          <w:sz w:val="24"/>
          <w:szCs w:val="24"/>
        </w:rPr>
        <w:t>.</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Det er endnu ikke muligt at vurdere den kliniske signifikans af interaktioner mellem paracetamol og </w:t>
      </w:r>
      <w:proofErr w:type="spellStart"/>
      <w:r w:rsidRPr="005B6F85">
        <w:rPr>
          <w:sz w:val="24"/>
          <w:szCs w:val="24"/>
        </w:rPr>
        <w:t>coumarinderivater</w:t>
      </w:r>
      <w:proofErr w:type="spellEnd"/>
      <w:r w:rsidRPr="005B6F85">
        <w:rPr>
          <w:sz w:val="24"/>
          <w:szCs w:val="24"/>
        </w:rPr>
        <w:t xml:space="preserve">. Langvarig brug af dette lægemiddel hos patienter, der får orale </w:t>
      </w:r>
      <w:proofErr w:type="spellStart"/>
      <w:r w:rsidRPr="005B6F85">
        <w:rPr>
          <w:sz w:val="24"/>
          <w:szCs w:val="24"/>
        </w:rPr>
        <w:t>antikoagulantia</w:t>
      </w:r>
      <w:proofErr w:type="spellEnd"/>
      <w:r w:rsidRPr="005B6F85">
        <w:rPr>
          <w:sz w:val="24"/>
          <w:szCs w:val="24"/>
        </w:rPr>
        <w:t xml:space="preserve">, bør kun ske under lægelig overvågning. Der er set forstærket virkning af </w:t>
      </w:r>
      <w:proofErr w:type="spellStart"/>
      <w:r w:rsidRPr="005B6F85">
        <w:rPr>
          <w:sz w:val="24"/>
          <w:szCs w:val="24"/>
        </w:rPr>
        <w:t>warfarin</w:t>
      </w:r>
      <w:proofErr w:type="spellEnd"/>
      <w:r w:rsidRPr="005B6F85">
        <w:rPr>
          <w:sz w:val="24"/>
          <w:szCs w:val="24"/>
        </w:rPr>
        <w:t xml:space="preserve"> ved kontinuerlige høje doser af paracetamol.</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Samtidig brug af paracetamol og </w:t>
      </w:r>
      <w:proofErr w:type="spellStart"/>
      <w:r w:rsidRPr="005B6F85">
        <w:rPr>
          <w:sz w:val="24"/>
          <w:szCs w:val="24"/>
        </w:rPr>
        <w:t>zidovudin</w:t>
      </w:r>
      <w:proofErr w:type="spellEnd"/>
      <w:r w:rsidRPr="005B6F85">
        <w:rPr>
          <w:sz w:val="24"/>
          <w:szCs w:val="24"/>
        </w:rPr>
        <w:t xml:space="preserve"> (AZT) kan øge forekomsten eller sværhedsgraden af </w:t>
      </w:r>
      <w:proofErr w:type="spellStart"/>
      <w:r w:rsidRPr="005B6F85">
        <w:rPr>
          <w:sz w:val="24"/>
          <w:szCs w:val="24"/>
        </w:rPr>
        <w:t>neutropeni</w:t>
      </w:r>
      <w:proofErr w:type="spellEnd"/>
      <w:r w:rsidRPr="005B6F85">
        <w:rPr>
          <w:sz w:val="24"/>
          <w:szCs w:val="24"/>
        </w:rPr>
        <w:t>. Paracetamol bør kun tages sammen med AZT, hvis det er anvist af lægen.</w:t>
      </w:r>
    </w:p>
    <w:p w:rsidR="008D2841" w:rsidRPr="005B6F85" w:rsidRDefault="008D2841"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Hvis paracetamol tages sammen med lægemidler, der kan forsinke ventrikeltømningen, såsom </w:t>
      </w:r>
      <w:proofErr w:type="spellStart"/>
      <w:r w:rsidRPr="005B6F85">
        <w:rPr>
          <w:sz w:val="24"/>
          <w:szCs w:val="24"/>
        </w:rPr>
        <w:t>propanthelin</w:t>
      </w:r>
      <w:proofErr w:type="spellEnd"/>
      <w:r w:rsidRPr="005B6F85">
        <w:rPr>
          <w:sz w:val="24"/>
          <w:szCs w:val="24"/>
        </w:rPr>
        <w:t>, kan det vare længere tid, før paracetamol bliver absorberet og begynder at virke.</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Samtidig indtagelse af lægemidler, der fremmer ventrikeltømningen, såsom </w:t>
      </w:r>
      <w:proofErr w:type="spellStart"/>
      <w:r w:rsidRPr="005B6F85">
        <w:rPr>
          <w:sz w:val="24"/>
          <w:szCs w:val="24"/>
        </w:rPr>
        <w:t>metoclopramid</w:t>
      </w:r>
      <w:proofErr w:type="spellEnd"/>
      <w:r w:rsidRPr="005B6F85">
        <w:rPr>
          <w:sz w:val="24"/>
          <w:szCs w:val="24"/>
        </w:rPr>
        <w:t xml:space="preserve"> og </w:t>
      </w:r>
      <w:proofErr w:type="spellStart"/>
      <w:r w:rsidRPr="005B6F85">
        <w:rPr>
          <w:sz w:val="24"/>
          <w:szCs w:val="24"/>
        </w:rPr>
        <w:t>domperidon</w:t>
      </w:r>
      <w:proofErr w:type="spellEnd"/>
      <w:r w:rsidRPr="005B6F85">
        <w:rPr>
          <w:sz w:val="24"/>
          <w:szCs w:val="24"/>
        </w:rPr>
        <w:t xml:space="preserve">, øger absorptionen af paracetamol og fremskynder dets virkning. </w:t>
      </w:r>
    </w:p>
    <w:p w:rsidR="00D478B5" w:rsidRPr="005B6F85" w:rsidRDefault="00D478B5" w:rsidP="00D478B5">
      <w:pPr>
        <w:ind w:left="851"/>
        <w:rPr>
          <w:sz w:val="24"/>
          <w:szCs w:val="24"/>
        </w:rPr>
      </w:pPr>
    </w:p>
    <w:p w:rsidR="00D478B5" w:rsidRPr="005B6F85" w:rsidRDefault="00D478B5" w:rsidP="00D478B5">
      <w:pPr>
        <w:ind w:left="851"/>
        <w:rPr>
          <w:sz w:val="24"/>
          <w:szCs w:val="24"/>
        </w:rPr>
      </w:pPr>
      <w:proofErr w:type="spellStart"/>
      <w:r w:rsidRPr="005B6F85">
        <w:rPr>
          <w:sz w:val="24"/>
          <w:szCs w:val="24"/>
        </w:rPr>
        <w:t>Colestyramin</w:t>
      </w:r>
      <w:proofErr w:type="spellEnd"/>
      <w:r w:rsidRPr="005B6F85">
        <w:rPr>
          <w:sz w:val="24"/>
          <w:szCs w:val="24"/>
        </w:rPr>
        <w:t xml:space="preserve"> kan reducere paracetamols absorptionshastighed. Derfor bør paracetamol tages én time før eller 4 timer efter dette lægemiddel.</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Samtidig brug af paracetamol og enzyminducerende lægemidler, såsom visse </w:t>
      </w:r>
      <w:proofErr w:type="spellStart"/>
      <w:r w:rsidRPr="005B6F85">
        <w:rPr>
          <w:sz w:val="24"/>
          <w:szCs w:val="24"/>
        </w:rPr>
        <w:t>antiepileptika</w:t>
      </w:r>
      <w:proofErr w:type="spellEnd"/>
      <w:r w:rsidRPr="005B6F85">
        <w:rPr>
          <w:sz w:val="24"/>
          <w:szCs w:val="24"/>
        </w:rPr>
        <w:t xml:space="preserve"> (</w:t>
      </w:r>
      <w:proofErr w:type="spellStart"/>
      <w:r w:rsidRPr="005B6F85">
        <w:rPr>
          <w:sz w:val="24"/>
          <w:szCs w:val="24"/>
        </w:rPr>
        <w:t>phenytoin</w:t>
      </w:r>
      <w:proofErr w:type="spellEnd"/>
      <w:r w:rsidRPr="005B6F85">
        <w:rPr>
          <w:sz w:val="24"/>
          <w:szCs w:val="24"/>
        </w:rPr>
        <w:t xml:space="preserve">, barbiturater, </w:t>
      </w:r>
      <w:proofErr w:type="spellStart"/>
      <w:r w:rsidRPr="005B6F85">
        <w:rPr>
          <w:sz w:val="24"/>
          <w:szCs w:val="24"/>
        </w:rPr>
        <w:t>carbamazepin</w:t>
      </w:r>
      <w:proofErr w:type="spellEnd"/>
      <w:r w:rsidRPr="005B6F85">
        <w:rPr>
          <w:sz w:val="24"/>
          <w:szCs w:val="24"/>
        </w:rPr>
        <w:t xml:space="preserve">) og </w:t>
      </w:r>
      <w:proofErr w:type="spellStart"/>
      <w:r w:rsidRPr="005B6F85">
        <w:rPr>
          <w:sz w:val="24"/>
          <w:szCs w:val="24"/>
        </w:rPr>
        <w:t>rifampicin</w:t>
      </w:r>
      <w:proofErr w:type="spellEnd"/>
      <w:r w:rsidRPr="005B6F85">
        <w:rPr>
          <w:sz w:val="24"/>
          <w:szCs w:val="24"/>
        </w:rPr>
        <w:t xml:space="preserve"> kan forstærke paracetamols toksicitet, eftersom det aktive stof bliver omdannet til </w:t>
      </w:r>
      <w:proofErr w:type="spellStart"/>
      <w:r w:rsidRPr="005B6F85">
        <w:rPr>
          <w:sz w:val="24"/>
          <w:szCs w:val="24"/>
        </w:rPr>
        <w:t>hepatotoksiske</w:t>
      </w:r>
      <w:proofErr w:type="spellEnd"/>
      <w:r w:rsidRPr="005B6F85">
        <w:rPr>
          <w:sz w:val="24"/>
          <w:szCs w:val="24"/>
        </w:rPr>
        <w:t xml:space="preserve"> metabolitter, som kan øge risikoen for eller forværre leverskade. Generelt er det ikke nødvendigt at reducere dosis hos patienter i samtidig behandling med terapeutiske doser af paracetamol og </w:t>
      </w:r>
      <w:proofErr w:type="spellStart"/>
      <w:r w:rsidRPr="005B6F85">
        <w:rPr>
          <w:sz w:val="24"/>
          <w:szCs w:val="24"/>
        </w:rPr>
        <w:t>antiepileptika</w:t>
      </w:r>
      <w:proofErr w:type="spellEnd"/>
      <w:r w:rsidRPr="005B6F85">
        <w:rPr>
          <w:sz w:val="24"/>
          <w:szCs w:val="24"/>
        </w:rPr>
        <w:t xml:space="preserve">. Patienter i behandling med </w:t>
      </w:r>
      <w:proofErr w:type="spellStart"/>
      <w:r w:rsidRPr="005B6F85">
        <w:rPr>
          <w:sz w:val="24"/>
          <w:szCs w:val="24"/>
        </w:rPr>
        <w:t>antiepileptika</w:t>
      </w:r>
      <w:proofErr w:type="spellEnd"/>
      <w:r w:rsidRPr="005B6F85">
        <w:rPr>
          <w:sz w:val="24"/>
          <w:szCs w:val="24"/>
        </w:rPr>
        <w:t xml:space="preserve"> bør dog begrænse selvmedicinering med paracetamol. Dette gælder også brug af paracetamol i tilfælde af kronisk alkoholisme. </w:t>
      </w:r>
    </w:p>
    <w:p w:rsidR="00D478B5" w:rsidRPr="005B6F85" w:rsidRDefault="00D478B5" w:rsidP="00D478B5">
      <w:pPr>
        <w:ind w:left="851"/>
        <w:rPr>
          <w:sz w:val="24"/>
          <w:szCs w:val="24"/>
        </w:rPr>
      </w:pPr>
    </w:p>
    <w:p w:rsidR="00D478B5" w:rsidRPr="005B6F85" w:rsidRDefault="00D478B5" w:rsidP="00D478B5">
      <w:pPr>
        <w:ind w:left="851"/>
        <w:rPr>
          <w:sz w:val="24"/>
          <w:szCs w:val="24"/>
        </w:rPr>
      </w:pPr>
      <w:proofErr w:type="spellStart"/>
      <w:r w:rsidRPr="005B6F85">
        <w:rPr>
          <w:sz w:val="24"/>
          <w:szCs w:val="24"/>
        </w:rPr>
        <w:t>Probenecid</w:t>
      </w:r>
      <w:proofErr w:type="spellEnd"/>
      <w:r w:rsidRPr="005B6F85">
        <w:rPr>
          <w:sz w:val="24"/>
          <w:szCs w:val="24"/>
        </w:rPr>
        <w:t xml:space="preserve"> halverer omgående paracetamols </w:t>
      </w:r>
      <w:proofErr w:type="spellStart"/>
      <w:r w:rsidRPr="005B6F85">
        <w:rPr>
          <w:sz w:val="24"/>
          <w:szCs w:val="24"/>
        </w:rPr>
        <w:t>clearance</w:t>
      </w:r>
      <w:proofErr w:type="spellEnd"/>
      <w:r w:rsidRPr="005B6F85">
        <w:rPr>
          <w:sz w:val="24"/>
          <w:szCs w:val="24"/>
        </w:rPr>
        <w:t xml:space="preserve">, idet det hæmmer konjugationen med </w:t>
      </w:r>
      <w:proofErr w:type="spellStart"/>
      <w:r w:rsidRPr="005B6F85">
        <w:rPr>
          <w:sz w:val="24"/>
          <w:szCs w:val="24"/>
        </w:rPr>
        <w:t>glucuronsyre</w:t>
      </w:r>
      <w:proofErr w:type="spellEnd"/>
      <w:r w:rsidRPr="005B6F85">
        <w:rPr>
          <w:sz w:val="24"/>
          <w:szCs w:val="24"/>
        </w:rPr>
        <w:t xml:space="preserve">. Det bør betyde, at paracetamoldosen bør reduceres ved samtidig behandling med </w:t>
      </w:r>
      <w:proofErr w:type="spellStart"/>
      <w:r w:rsidRPr="005B6F85">
        <w:rPr>
          <w:sz w:val="24"/>
          <w:szCs w:val="24"/>
        </w:rPr>
        <w:t>probenecid</w:t>
      </w:r>
      <w:proofErr w:type="spellEnd"/>
      <w:r w:rsidRPr="005B6F85">
        <w:rPr>
          <w:sz w:val="24"/>
          <w:szCs w:val="24"/>
        </w:rPr>
        <w:t>.</w:t>
      </w:r>
    </w:p>
    <w:bookmarkEnd w:id="4"/>
    <w:p w:rsidR="00D478B5" w:rsidRPr="005B6F85" w:rsidRDefault="00D478B5" w:rsidP="00D478B5">
      <w:pPr>
        <w:ind w:left="851"/>
        <w:rPr>
          <w:sz w:val="24"/>
          <w:szCs w:val="24"/>
        </w:rPr>
      </w:pPr>
    </w:p>
    <w:p w:rsidR="00D478B5" w:rsidRPr="005B6F85" w:rsidRDefault="00D478B5" w:rsidP="00D478B5">
      <w:pPr>
        <w:tabs>
          <w:tab w:val="left" w:pos="720"/>
        </w:tabs>
        <w:autoSpaceDE w:val="0"/>
        <w:autoSpaceDN w:val="0"/>
        <w:adjustRightInd w:val="0"/>
        <w:ind w:left="851"/>
        <w:rPr>
          <w:sz w:val="24"/>
          <w:szCs w:val="24"/>
          <w:u w:val="single"/>
        </w:rPr>
      </w:pPr>
      <w:r w:rsidRPr="005B6F85">
        <w:rPr>
          <w:sz w:val="24"/>
          <w:szCs w:val="24"/>
          <w:u w:val="single"/>
        </w:rPr>
        <w:t>Indvirkning på laboratorieprøver</w:t>
      </w:r>
    </w:p>
    <w:p w:rsidR="00D478B5" w:rsidRPr="005B6F85" w:rsidRDefault="00D478B5" w:rsidP="00D478B5">
      <w:pPr>
        <w:tabs>
          <w:tab w:val="left" w:pos="720"/>
        </w:tabs>
        <w:autoSpaceDE w:val="0"/>
        <w:autoSpaceDN w:val="0"/>
        <w:adjustRightInd w:val="0"/>
        <w:ind w:left="851"/>
        <w:rPr>
          <w:sz w:val="24"/>
          <w:szCs w:val="24"/>
        </w:rPr>
      </w:pPr>
      <w:r w:rsidRPr="005B6F85">
        <w:rPr>
          <w:sz w:val="24"/>
          <w:szCs w:val="24"/>
        </w:rPr>
        <w:t xml:space="preserve">Paracetamol kan påvirke urinsyretest med wolframit-fosforsyre og blodsukkertest med </w:t>
      </w:r>
      <w:proofErr w:type="spellStart"/>
      <w:r w:rsidRPr="005B6F85">
        <w:rPr>
          <w:sz w:val="24"/>
          <w:szCs w:val="24"/>
        </w:rPr>
        <w:t>glucose</w:t>
      </w:r>
      <w:proofErr w:type="spellEnd"/>
      <w:r w:rsidRPr="005B6F85">
        <w:rPr>
          <w:sz w:val="24"/>
          <w:szCs w:val="24"/>
        </w:rPr>
        <w:t>-oxidase-</w:t>
      </w:r>
      <w:proofErr w:type="spellStart"/>
      <w:r w:rsidRPr="005B6F85">
        <w:rPr>
          <w:sz w:val="24"/>
          <w:szCs w:val="24"/>
        </w:rPr>
        <w:t>peroxidase</w:t>
      </w:r>
      <w:proofErr w:type="spellEnd"/>
      <w:r w:rsidRPr="005B6F85">
        <w:rPr>
          <w:sz w:val="24"/>
          <w:szCs w:val="24"/>
        </w:rPr>
        <w:t>.</w:t>
      </w:r>
    </w:p>
    <w:p w:rsidR="00D478B5" w:rsidRPr="005B6F85" w:rsidRDefault="00D478B5" w:rsidP="00D478B5">
      <w:pPr>
        <w:tabs>
          <w:tab w:val="left" w:pos="851"/>
        </w:tabs>
        <w:ind w:left="851"/>
        <w:rPr>
          <w:sz w:val="24"/>
          <w:szCs w:val="24"/>
        </w:rPr>
      </w:pPr>
    </w:p>
    <w:p w:rsidR="00D87833" w:rsidRPr="00C84483" w:rsidRDefault="00D87833" w:rsidP="00D87833">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D478B5" w:rsidRDefault="00D478B5" w:rsidP="00D478B5">
      <w:pPr>
        <w:ind w:left="851"/>
        <w:rPr>
          <w:sz w:val="24"/>
          <w:szCs w:val="24"/>
          <w:u w:val="single"/>
        </w:rPr>
      </w:pPr>
    </w:p>
    <w:p w:rsidR="00D478B5" w:rsidRPr="005B6F85" w:rsidRDefault="00D478B5" w:rsidP="00D478B5">
      <w:pPr>
        <w:ind w:left="851"/>
        <w:rPr>
          <w:noProof/>
          <w:sz w:val="24"/>
          <w:szCs w:val="24"/>
          <w:u w:val="single"/>
        </w:rPr>
      </w:pPr>
      <w:r w:rsidRPr="005B6F85">
        <w:rPr>
          <w:sz w:val="24"/>
          <w:szCs w:val="24"/>
          <w:u w:val="single"/>
        </w:rPr>
        <w:t>Graviditet</w:t>
      </w:r>
    </w:p>
    <w:p w:rsidR="00D478B5" w:rsidRPr="005B6F85" w:rsidRDefault="00D478B5" w:rsidP="00D478B5">
      <w:pPr>
        <w:ind w:left="851"/>
        <w:rPr>
          <w:noProof/>
          <w:sz w:val="24"/>
          <w:szCs w:val="24"/>
        </w:rPr>
      </w:pPr>
      <w:r w:rsidRPr="005B6F85">
        <w:rPr>
          <w:sz w:val="24"/>
          <w:szCs w:val="24"/>
        </w:rPr>
        <w:t xml:space="preserve">Data fra et stort antal gravide kvinder indikerer ingen misdannelser eller </w:t>
      </w:r>
      <w:proofErr w:type="spellStart"/>
      <w:r w:rsidRPr="005B6F85">
        <w:rPr>
          <w:sz w:val="24"/>
          <w:szCs w:val="24"/>
        </w:rPr>
        <w:t>føtal</w:t>
      </w:r>
      <w:proofErr w:type="spellEnd"/>
      <w:r w:rsidRPr="005B6F85">
        <w:rPr>
          <w:sz w:val="24"/>
          <w:szCs w:val="24"/>
        </w:rPr>
        <w:t xml:space="preserve">/neonatal toksicitet. Resultaterne af epidemiologiske studier af </w:t>
      </w:r>
      <w:proofErr w:type="spellStart"/>
      <w:r w:rsidRPr="005B6F85">
        <w:rPr>
          <w:sz w:val="24"/>
          <w:szCs w:val="24"/>
        </w:rPr>
        <w:t>neuroudviklingen</w:t>
      </w:r>
      <w:proofErr w:type="spellEnd"/>
      <w:r w:rsidRPr="005B6F85">
        <w:rPr>
          <w:sz w:val="24"/>
          <w:szCs w:val="24"/>
        </w:rPr>
        <w:t xml:space="preserve"> hos børn, der er blevet eksponeret for paracetamol in </w:t>
      </w:r>
      <w:proofErr w:type="spellStart"/>
      <w:r w:rsidRPr="005B6F85">
        <w:rPr>
          <w:sz w:val="24"/>
          <w:szCs w:val="24"/>
        </w:rPr>
        <w:t>utero</w:t>
      </w:r>
      <w:proofErr w:type="spellEnd"/>
      <w:r w:rsidRPr="005B6F85">
        <w:rPr>
          <w:sz w:val="24"/>
          <w:szCs w:val="24"/>
        </w:rPr>
        <w:t xml:space="preserve">, er </w:t>
      </w:r>
      <w:proofErr w:type="spellStart"/>
      <w:r w:rsidRPr="005B6F85">
        <w:rPr>
          <w:sz w:val="24"/>
          <w:szCs w:val="24"/>
        </w:rPr>
        <w:t>inkonklusive</w:t>
      </w:r>
      <w:proofErr w:type="spellEnd"/>
      <w:r w:rsidRPr="005B6F85">
        <w:rPr>
          <w:sz w:val="24"/>
          <w:szCs w:val="24"/>
        </w:rPr>
        <w:t>. Paracetamol kan anvendes i graviditeten, hvis det er klinisk nødvendigt, men det bør anvendes i den laveste effektive dosis i så kort tid som muligt og med den laveste mulige hyppighed.</w:t>
      </w:r>
    </w:p>
    <w:p w:rsidR="00D478B5" w:rsidRPr="005B6F85" w:rsidRDefault="00D478B5" w:rsidP="00D478B5">
      <w:pPr>
        <w:ind w:left="851"/>
        <w:rPr>
          <w:noProof/>
          <w:sz w:val="24"/>
          <w:szCs w:val="24"/>
          <w:u w:val="single"/>
        </w:rPr>
      </w:pPr>
    </w:p>
    <w:p w:rsidR="00D478B5" w:rsidRPr="005B6F85" w:rsidRDefault="00D478B5" w:rsidP="00D478B5">
      <w:pPr>
        <w:ind w:left="851"/>
        <w:rPr>
          <w:noProof/>
          <w:sz w:val="24"/>
          <w:szCs w:val="24"/>
          <w:u w:val="single"/>
        </w:rPr>
      </w:pPr>
      <w:r w:rsidRPr="005B6F85">
        <w:rPr>
          <w:sz w:val="24"/>
          <w:szCs w:val="24"/>
          <w:u w:val="single"/>
        </w:rPr>
        <w:t>Amning</w:t>
      </w:r>
    </w:p>
    <w:p w:rsidR="00D478B5" w:rsidRPr="005B6F85" w:rsidRDefault="00D478B5" w:rsidP="00D478B5">
      <w:pPr>
        <w:ind w:left="851"/>
        <w:rPr>
          <w:noProof/>
          <w:sz w:val="24"/>
          <w:szCs w:val="24"/>
        </w:rPr>
      </w:pPr>
      <w:r w:rsidRPr="005B6F85">
        <w:rPr>
          <w:sz w:val="24"/>
          <w:szCs w:val="24"/>
        </w:rPr>
        <w:t>Paracetamol krydser placentabarrieren og bliver udskilt i modermælken.</w:t>
      </w:r>
    </w:p>
    <w:p w:rsidR="00D478B5" w:rsidRPr="005B6F85" w:rsidRDefault="00D478B5" w:rsidP="00D478B5">
      <w:pPr>
        <w:ind w:left="851"/>
        <w:rPr>
          <w:noProof/>
          <w:sz w:val="24"/>
          <w:szCs w:val="24"/>
        </w:rPr>
      </w:pPr>
      <w:r w:rsidRPr="005B6F85">
        <w:rPr>
          <w:sz w:val="24"/>
          <w:szCs w:val="24"/>
        </w:rPr>
        <w:t>Ved brug af terapeutiske doser forventes der ingen virkninger på den nyfødte/spædbarnet.</w:t>
      </w:r>
    </w:p>
    <w:p w:rsidR="00D478B5" w:rsidRPr="005B6F85" w:rsidRDefault="00D478B5" w:rsidP="00D478B5">
      <w:pPr>
        <w:ind w:left="851"/>
        <w:rPr>
          <w:noProof/>
          <w:sz w:val="24"/>
          <w:szCs w:val="24"/>
        </w:rPr>
      </w:pPr>
      <w:r w:rsidRPr="005B6F85">
        <w:rPr>
          <w:sz w:val="24"/>
          <w:szCs w:val="24"/>
        </w:rPr>
        <w:t>Studier hos mennesker viste ingen risiko i forbindelse med amning.</w:t>
      </w:r>
    </w:p>
    <w:p w:rsidR="00D478B5" w:rsidRPr="005B6F85" w:rsidRDefault="00D478B5" w:rsidP="00D478B5">
      <w:pPr>
        <w:ind w:left="851"/>
        <w:rPr>
          <w:noProof/>
          <w:sz w:val="24"/>
          <w:szCs w:val="24"/>
        </w:rPr>
      </w:pPr>
      <w:r w:rsidRPr="005B6F85">
        <w:rPr>
          <w:sz w:val="24"/>
          <w:szCs w:val="24"/>
        </w:rPr>
        <w:t xml:space="preserve">Derfor kan paracetamol under normale omstændigheder anvendes i </w:t>
      </w:r>
      <w:proofErr w:type="spellStart"/>
      <w:r w:rsidRPr="005B6F85">
        <w:rPr>
          <w:sz w:val="24"/>
          <w:szCs w:val="24"/>
        </w:rPr>
        <w:t>ammeperioden</w:t>
      </w:r>
      <w:proofErr w:type="spellEnd"/>
      <w:r w:rsidRPr="005B6F85">
        <w:rPr>
          <w:sz w:val="24"/>
          <w:szCs w:val="24"/>
        </w:rPr>
        <w:t>.</w:t>
      </w:r>
    </w:p>
    <w:p w:rsidR="00D478B5" w:rsidRPr="005B6F85" w:rsidRDefault="00D478B5" w:rsidP="00D478B5">
      <w:pPr>
        <w:ind w:left="851"/>
        <w:rPr>
          <w:noProof/>
          <w:sz w:val="24"/>
          <w:szCs w:val="24"/>
        </w:rPr>
      </w:pPr>
    </w:p>
    <w:p w:rsidR="00D478B5" w:rsidRPr="005B6F85" w:rsidRDefault="00D478B5" w:rsidP="00D478B5">
      <w:pPr>
        <w:ind w:left="851"/>
        <w:rPr>
          <w:noProof/>
          <w:sz w:val="24"/>
          <w:szCs w:val="24"/>
          <w:u w:val="single"/>
        </w:rPr>
      </w:pPr>
      <w:r w:rsidRPr="005B6F85">
        <w:rPr>
          <w:sz w:val="24"/>
          <w:szCs w:val="24"/>
          <w:u w:val="single"/>
        </w:rPr>
        <w:t>Fertilitet</w:t>
      </w:r>
    </w:p>
    <w:p w:rsidR="00D478B5" w:rsidRPr="005B6F85" w:rsidRDefault="00D478B5" w:rsidP="00D478B5">
      <w:pPr>
        <w:ind w:left="851"/>
        <w:rPr>
          <w:noProof/>
          <w:sz w:val="24"/>
          <w:szCs w:val="24"/>
        </w:rPr>
      </w:pPr>
      <w:r w:rsidRPr="005B6F85">
        <w:rPr>
          <w:sz w:val="24"/>
          <w:szCs w:val="24"/>
        </w:rPr>
        <w:t>Paracetamol har ingen kendt indvirkning på fertiliteten under normale omstændigheder.</w:t>
      </w:r>
    </w:p>
    <w:p w:rsidR="00D478B5" w:rsidRPr="005B6F85" w:rsidRDefault="00D478B5" w:rsidP="00D478B5">
      <w:pPr>
        <w:tabs>
          <w:tab w:val="left" w:pos="851"/>
        </w:tabs>
        <w:ind w:left="851"/>
        <w:rPr>
          <w:sz w:val="24"/>
          <w:szCs w:val="24"/>
        </w:rPr>
      </w:pPr>
    </w:p>
    <w:p w:rsidR="00D87833" w:rsidRPr="00C84483" w:rsidRDefault="00D87833" w:rsidP="00D87833">
      <w:pPr>
        <w:tabs>
          <w:tab w:val="left" w:pos="851"/>
        </w:tabs>
        <w:ind w:left="851" w:hanging="851"/>
        <w:rPr>
          <w:b/>
          <w:sz w:val="24"/>
          <w:szCs w:val="24"/>
        </w:rPr>
      </w:pPr>
      <w:bookmarkStart w:id="5" w:name="_Hlk529472690"/>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D478B5" w:rsidRDefault="00D478B5" w:rsidP="00D478B5">
      <w:pPr>
        <w:ind w:left="851"/>
        <w:rPr>
          <w:sz w:val="24"/>
          <w:szCs w:val="24"/>
        </w:rPr>
      </w:pPr>
      <w:r>
        <w:rPr>
          <w:sz w:val="24"/>
          <w:szCs w:val="24"/>
        </w:rPr>
        <w:t>Ikke mærkning.</w:t>
      </w:r>
    </w:p>
    <w:p w:rsidR="00D478B5" w:rsidRPr="005B6F85" w:rsidRDefault="00D478B5" w:rsidP="00D478B5">
      <w:pPr>
        <w:ind w:left="851"/>
        <w:rPr>
          <w:sz w:val="24"/>
          <w:szCs w:val="24"/>
        </w:rPr>
      </w:pPr>
      <w:r w:rsidRPr="005B6F85">
        <w:rPr>
          <w:sz w:val="24"/>
          <w:szCs w:val="24"/>
        </w:rPr>
        <w:t xml:space="preserve">Paracetamol påvirker ikke evnen til føre motorkøretøj og betjene maskiner. Der bør imidlertid tages højde for, at der kan forekomme bivirkninger under behandlingen med paracetamol, såsom mild døsighed og </w:t>
      </w:r>
      <w:proofErr w:type="spellStart"/>
      <w:r w:rsidRPr="005B6F85">
        <w:rPr>
          <w:sz w:val="24"/>
          <w:szCs w:val="24"/>
        </w:rPr>
        <w:t>vertigo</w:t>
      </w:r>
      <w:proofErr w:type="spellEnd"/>
      <w:r w:rsidRPr="005B6F85">
        <w:rPr>
          <w:sz w:val="24"/>
          <w:szCs w:val="24"/>
        </w:rPr>
        <w:t xml:space="preserve">. </w:t>
      </w:r>
    </w:p>
    <w:bookmarkEnd w:id="5"/>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4.8</w:t>
      </w:r>
      <w:r w:rsidRPr="005B6F85">
        <w:rPr>
          <w:b/>
          <w:sz w:val="24"/>
          <w:szCs w:val="24"/>
        </w:rPr>
        <w:tab/>
        <w:t>Bivirkninger</w:t>
      </w:r>
    </w:p>
    <w:p w:rsidR="00D478B5" w:rsidRPr="005B6F85" w:rsidRDefault="00D478B5" w:rsidP="00D478B5">
      <w:pPr>
        <w:ind w:left="851"/>
        <w:rPr>
          <w:sz w:val="24"/>
          <w:szCs w:val="24"/>
        </w:rPr>
      </w:pPr>
      <w:bookmarkStart w:id="6" w:name="_Hlk496542918"/>
      <w:bookmarkStart w:id="7" w:name="_Hlk529474236"/>
      <w:r w:rsidRPr="005B6F85">
        <w:rPr>
          <w:sz w:val="24"/>
          <w:szCs w:val="24"/>
        </w:rPr>
        <w:t>Følgende bivirkninger er blevet indberettet spontant efter markedsføringen. Bivirkningerne er angivet efter systemorganklasse og hyppighed.</w:t>
      </w:r>
    </w:p>
    <w:bookmarkEnd w:id="6"/>
    <w:p w:rsidR="00D478B5" w:rsidRPr="005B6F85" w:rsidRDefault="00D478B5" w:rsidP="00D478B5">
      <w:pPr>
        <w:ind w:left="851"/>
        <w:rPr>
          <w:sz w:val="24"/>
          <w:szCs w:val="24"/>
        </w:rPr>
      </w:pPr>
    </w:p>
    <w:p w:rsidR="00D478B5" w:rsidRPr="004E0B94" w:rsidRDefault="00D478B5" w:rsidP="00D478B5">
      <w:pPr>
        <w:ind w:left="851"/>
        <w:rPr>
          <w:sz w:val="24"/>
          <w:szCs w:val="24"/>
          <w:u w:val="single"/>
        </w:rPr>
      </w:pPr>
      <w:r w:rsidRPr="004E0B94">
        <w:rPr>
          <w:sz w:val="24"/>
          <w:szCs w:val="24"/>
          <w:u w:val="single"/>
        </w:rPr>
        <w:t>Bivirkningernes hyppighed er angivet efter faldende hyppighed</w:t>
      </w:r>
    </w:p>
    <w:p w:rsidR="00D478B5" w:rsidRPr="005B6F85" w:rsidRDefault="00D478B5" w:rsidP="00D478B5">
      <w:pPr>
        <w:ind w:left="851"/>
        <w:rPr>
          <w:sz w:val="24"/>
          <w:szCs w:val="24"/>
        </w:rPr>
      </w:pPr>
      <w:r w:rsidRPr="005B6F85">
        <w:rPr>
          <w:sz w:val="24"/>
          <w:szCs w:val="24"/>
        </w:rPr>
        <w:t>Meget almindelig (≥ 1/10)</w:t>
      </w:r>
    </w:p>
    <w:p w:rsidR="00D478B5" w:rsidRPr="005B6F85" w:rsidRDefault="00D478B5" w:rsidP="00D478B5">
      <w:pPr>
        <w:ind w:left="851"/>
        <w:rPr>
          <w:sz w:val="24"/>
          <w:szCs w:val="24"/>
        </w:rPr>
      </w:pPr>
      <w:r w:rsidRPr="005B6F85">
        <w:rPr>
          <w:sz w:val="24"/>
          <w:szCs w:val="24"/>
        </w:rPr>
        <w:t>Almindelig (≥ 1/100 til &lt; 1/10)</w:t>
      </w:r>
    </w:p>
    <w:p w:rsidR="00D478B5" w:rsidRPr="005B6F85" w:rsidRDefault="00D478B5" w:rsidP="00D478B5">
      <w:pPr>
        <w:ind w:left="851"/>
        <w:rPr>
          <w:sz w:val="24"/>
          <w:szCs w:val="24"/>
        </w:rPr>
      </w:pPr>
      <w:r w:rsidRPr="005B6F85">
        <w:rPr>
          <w:sz w:val="24"/>
          <w:szCs w:val="24"/>
        </w:rPr>
        <w:t>Ikke almindelig (≥ 1/1.000 til &lt; 1/100)</w:t>
      </w:r>
    </w:p>
    <w:p w:rsidR="00D478B5" w:rsidRPr="005B6F85" w:rsidRDefault="00D478B5" w:rsidP="00D478B5">
      <w:pPr>
        <w:ind w:left="851"/>
        <w:rPr>
          <w:sz w:val="24"/>
          <w:szCs w:val="24"/>
        </w:rPr>
      </w:pPr>
      <w:r w:rsidRPr="005B6F85">
        <w:rPr>
          <w:sz w:val="24"/>
          <w:szCs w:val="24"/>
        </w:rPr>
        <w:t>Sjælden (≥ 1/10.000 til &lt; 1/1.000)</w:t>
      </w:r>
    </w:p>
    <w:p w:rsidR="00D478B5" w:rsidRPr="005B6F85" w:rsidRDefault="00D478B5" w:rsidP="00D478B5">
      <w:pPr>
        <w:ind w:left="851"/>
        <w:rPr>
          <w:sz w:val="24"/>
          <w:szCs w:val="24"/>
        </w:rPr>
      </w:pPr>
      <w:r w:rsidRPr="005B6F85">
        <w:rPr>
          <w:sz w:val="24"/>
          <w:szCs w:val="24"/>
        </w:rPr>
        <w:t>Meget sjælden (&lt; 1/10.000)</w:t>
      </w:r>
    </w:p>
    <w:p w:rsidR="00D478B5" w:rsidRPr="005B6F85" w:rsidRDefault="00D478B5" w:rsidP="00D478B5">
      <w:pPr>
        <w:ind w:left="851"/>
        <w:rPr>
          <w:sz w:val="24"/>
          <w:szCs w:val="24"/>
        </w:rPr>
      </w:pPr>
      <w:r w:rsidRPr="005B6F85">
        <w:rPr>
          <w:sz w:val="24"/>
          <w:szCs w:val="24"/>
        </w:rPr>
        <w:t>Ikke kendt (kan ikke estimeres ud fra forhåndenværende data)</w:t>
      </w:r>
    </w:p>
    <w:p w:rsidR="00D478B5" w:rsidRPr="005B6F85" w:rsidRDefault="00D478B5" w:rsidP="00D478B5">
      <w:pPr>
        <w:rPr>
          <w:sz w:val="24"/>
          <w:szCs w:val="24"/>
        </w:rPr>
      </w:pPr>
    </w:p>
    <w:p w:rsidR="00D478B5" w:rsidRPr="005B6F85" w:rsidRDefault="00D478B5" w:rsidP="00D478B5">
      <w:pPr>
        <w:ind w:left="851"/>
        <w:rPr>
          <w:sz w:val="24"/>
          <w:szCs w:val="24"/>
          <w:u w:val="single"/>
        </w:rPr>
      </w:pPr>
      <w:r w:rsidRPr="005B6F85">
        <w:rPr>
          <w:sz w:val="24"/>
          <w:szCs w:val="24"/>
          <w:u w:val="single"/>
        </w:rPr>
        <w:t>Blod og lymfesystem</w:t>
      </w:r>
    </w:p>
    <w:p w:rsidR="00D478B5" w:rsidRDefault="00D478B5" w:rsidP="008D2841">
      <w:pPr>
        <w:ind w:left="851"/>
        <w:rPr>
          <w:sz w:val="24"/>
          <w:szCs w:val="24"/>
        </w:rPr>
      </w:pPr>
      <w:r w:rsidRPr="005B6F85">
        <w:rPr>
          <w:i/>
          <w:sz w:val="24"/>
          <w:szCs w:val="24"/>
        </w:rPr>
        <w:t>Meget sjælden</w:t>
      </w:r>
      <w:r w:rsidRPr="005B6F85">
        <w:rPr>
          <w:sz w:val="24"/>
          <w:szCs w:val="24"/>
        </w:rPr>
        <w:t xml:space="preserve">: </w:t>
      </w:r>
      <w:proofErr w:type="spellStart"/>
      <w:r w:rsidRPr="005B6F85">
        <w:rPr>
          <w:sz w:val="24"/>
          <w:szCs w:val="24"/>
        </w:rPr>
        <w:t>hæmatopoietiske</w:t>
      </w:r>
      <w:proofErr w:type="spellEnd"/>
      <w:r w:rsidRPr="005B6F85">
        <w:rPr>
          <w:sz w:val="24"/>
          <w:szCs w:val="24"/>
        </w:rPr>
        <w:t xml:space="preserve"> forstyrrelser (</w:t>
      </w:r>
      <w:proofErr w:type="spellStart"/>
      <w:r w:rsidRPr="005B6F85">
        <w:rPr>
          <w:sz w:val="24"/>
          <w:szCs w:val="24"/>
        </w:rPr>
        <w:t>trombocytopeni</w:t>
      </w:r>
      <w:proofErr w:type="spellEnd"/>
      <w:r w:rsidRPr="005B6F85">
        <w:rPr>
          <w:sz w:val="24"/>
          <w:szCs w:val="24"/>
        </w:rPr>
        <w:t xml:space="preserve">, </w:t>
      </w:r>
      <w:proofErr w:type="spellStart"/>
      <w:r w:rsidRPr="005B6F85">
        <w:rPr>
          <w:sz w:val="24"/>
          <w:szCs w:val="24"/>
        </w:rPr>
        <w:t>leukopeni</w:t>
      </w:r>
      <w:proofErr w:type="spellEnd"/>
      <w:r w:rsidRPr="005B6F85">
        <w:rPr>
          <w:sz w:val="24"/>
          <w:szCs w:val="24"/>
        </w:rPr>
        <w:t xml:space="preserve">, enkeltstående tilfælde af </w:t>
      </w:r>
      <w:proofErr w:type="spellStart"/>
      <w:r w:rsidRPr="005B6F85">
        <w:rPr>
          <w:sz w:val="24"/>
          <w:szCs w:val="24"/>
        </w:rPr>
        <w:t>agranulocytose</w:t>
      </w:r>
      <w:proofErr w:type="spellEnd"/>
      <w:r w:rsidRPr="005B6F85">
        <w:rPr>
          <w:sz w:val="24"/>
          <w:szCs w:val="24"/>
        </w:rPr>
        <w:t xml:space="preserve">, </w:t>
      </w:r>
      <w:proofErr w:type="spellStart"/>
      <w:r w:rsidRPr="005B6F85">
        <w:rPr>
          <w:sz w:val="24"/>
          <w:szCs w:val="24"/>
        </w:rPr>
        <w:t>pancytopeni</w:t>
      </w:r>
      <w:proofErr w:type="spellEnd"/>
      <w:r w:rsidRPr="005B6F85">
        <w:rPr>
          <w:sz w:val="24"/>
          <w:szCs w:val="24"/>
        </w:rPr>
        <w:t>)</w:t>
      </w:r>
    </w:p>
    <w:p w:rsidR="00D478B5" w:rsidRDefault="00D478B5" w:rsidP="00D478B5">
      <w:pPr>
        <w:ind w:left="851"/>
        <w:rPr>
          <w:sz w:val="24"/>
          <w:szCs w:val="24"/>
        </w:rPr>
      </w:pPr>
    </w:p>
    <w:p w:rsidR="004E12F2" w:rsidRDefault="004E12F2" w:rsidP="004E12F2">
      <w:pPr>
        <w:ind w:left="851"/>
        <w:rPr>
          <w:sz w:val="24"/>
          <w:szCs w:val="24"/>
          <w:u w:val="single"/>
        </w:rPr>
      </w:pPr>
      <w:r>
        <w:rPr>
          <w:sz w:val="24"/>
          <w:szCs w:val="24"/>
          <w:u w:val="single"/>
        </w:rPr>
        <w:t>Metabolisme og ernæring</w:t>
      </w:r>
    </w:p>
    <w:p w:rsidR="004E12F2" w:rsidRDefault="004E12F2" w:rsidP="004E12F2">
      <w:pPr>
        <w:ind w:left="851"/>
        <w:rPr>
          <w:sz w:val="24"/>
          <w:szCs w:val="24"/>
        </w:rPr>
      </w:pPr>
      <w:r>
        <w:rPr>
          <w:i/>
          <w:iCs/>
          <w:sz w:val="24"/>
          <w:szCs w:val="24"/>
        </w:rPr>
        <w:t xml:space="preserve">Ikke kendt: </w:t>
      </w:r>
      <w:r>
        <w:rPr>
          <w:sz w:val="24"/>
          <w:szCs w:val="24"/>
        </w:rPr>
        <w:t xml:space="preserve">Metabolisk </w:t>
      </w:r>
      <w:proofErr w:type="spellStart"/>
      <w:r>
        <w:rPr>
          <w:sz w:val="24"/>
          <w:szCs w:val="24"/>
        </w:rPr>
        <w:t>acidose</w:t>
      </w:r>
      <w:proofErr w:type="spellEnd"/>
      <w:r>
        <w:rPr>
          <w:sz w:val="24"/>
          <w:szCs w:val="24"/>
        </w:rPr>
        <w:t xml:space="preserve"> med højt anion-</w:t>
      </w:r>
      <w:proofErr w:type="spellStart"/>
      <w:r>
        <w:rPr>
          <w:sz w:val="24"/>
          <w:szCs w:val="24"/>
        </w:rPr>
        <w:t>gap</w:t>
      </w:r>
      <w:proofErr w:type="spellEnd"/>
    </w:p>
    <w:p w:rsidR="004E12F2" w:rsidRPr="005B6F85" w:rsidRDefault="004E12F2" w:rsidP="00D478B5">
      <w:pPr>
        <w:ind w:left="851"/>
        <w:rPr>
          <w:sz w:val="24"/>
          <w:szCs w:val="24"/>
        </w:rPr>
      </w:pPr>
    </w:p>
    <w:p w:rsidR="00D478B5" w:rsidRPr="005B6F85" w:rsidRDefault="00D478B5" w:rsidP="00D478B5">
      <w:pPr>
        <w:ind w:left="851"/>
        <w:rPr>
          <w:i/>
          <w:iCs/>
          <w:sz w:val="24"/>
          <w:szCs w:val="24"/>
        </w:rPr>
      </w:pPr>
      <w:r w:rsidRPr="005B6F85">
        <w:rPr>
          <w:sz w:val="24"/>
          <w:szCs w:val="24"/>
          <w:u w:val="single"/>
        </w:rPr>
        <w:t>Nervesystemet</w:t>
      </w:r>
      <w:r w:rsidRPr="005B6F85">
        <w:rPr>
          <w:i/>
          <w:iCs/>
          <w:sz w:val="24"/>
          <w:szCs w:val="24"/>
        </w:rPr>
        <w:t xml:space="preserve"> </w:t>
      </w:r>
    </w:p>
    <w:p w:rsidR="00D478B5" w:rsidRPr="005B6F85" w:rsidRDefault="00D478B5" w:rsidP="00D478B5">
      <w:pPr>
        <w:ind w:left="851"/>
        <w:rPr>
          <w:sz w:val="24"/>
          <w:szCs w:val="24"/>
        </w:rPr>
      </w:pPr>
      <w:r w:rsidRPr="005B6F85">
        <w:rPr>
          <w:i/>
          <w:sz w:val="24"/>
          <w:szCs w:val="24"/>
        </w:rPr>
        <w:t>Almindelig</w:t>
      </w:r>
      <w:r w:rsidRPr="005B6F85">
        <w:rPr>
          <w:sz w:val="24"/>
          <w:szCs w:val="24"/>
        </w:rPr>
        <w:t xml:space="preserve">: mild døsighed </w:t>
      </w:r>
    </w:p>
    <w:p w:rsidR="00D478B5" w:rsidRPr="005B6F85" w:rsidRDefault="00D478B5" w:rsidP="00D478B5">
      <w:pPr>
        <w:ind w:left="851"/>
        <w:rPr>
          <w:sz w:val="24"/>
          <w:szCs w:val="24"/>
        </w:rPr>
      </w:pPr>
      <w:r w:rsidRPr="005B6F85">
        <w:rPr>
          <w:i/>
          <w:sz w:val="24"/>
          <w:szCs w:val="24"/>
        </w:rPr>
        <w:t>Ikke almindelig:</w:t>
      </w:r>
      <w:r w:rsidRPr="005B6F85">
        <w:rPr>
          <w:sz w:val="24"/>
          <w:szCs w:val="24"/>
        </w:rPr>
        <w:t xml:space="preserve"> </w:t>
      </w:r>
      <w:proofErr w:type="spellStart"/>
      <w:r w:rsidRPr="005B6F85">
        <w:rPr>
          <w:sz w:val="24"/>
          <w:szCs w:val="24"/>
        </w:rPr>
        <w:t>vertigo</w:t>
      </w:r>
      <w:proofErr w:type="spellEnd"/>
      <w:r w:rsidRPr="005B6F85">
        <w:rPr>
          <w:sz w:val="24"/>
          <w:szCs w:val="24"/>
        </w:rPr>
        <w:t>, døsighed, nervøsitet</w:t>
      </w:r>
    </w:p>
    <w:p w:rsidR="00D478B5" w:rsidRPr="005B6F85" w:rsidRDefault="00D478B5" w:rsidP="00D478B5">
      <w:pPr>
        <w:ind w:left="851"/>
        <w:rPr>
          <w:sz w:val="24"/>
          <w:szCs w:val="24"/>
        </w:rPr>
      </w:pPr>
    </w:p>
    <w:p w:rsidR="00D478B5" w:rsidRPr="005B6F85" w:rsidRDefault="00D478B5" w:rsidP="00D478B5">
      <w:pPr>
        <w:ind w:left="851"/>
        <w:rPr>
          <w:sz w:val="24"/>
          <w:szCs w:val="24"/>
          <w:u w:val="single"/>
        </w:rPr>
      </w:pPr>
      <w:r w:rsidRPr="005B6F85">
        <w:rPr>
          <w:sz w:val="24"/>
          <w:szCs w:val="24"/>
          <w:u w:val="single"/>
        </w:rPr>
        <w:t>Immunsystemet</w:t>
      </w:r>
    </w:p>
    <w:p w:rsidR="00D478B5" w:rsidRPr="005B6F85" w:rsidRDefault="00D478B5" w:rsidP="00D478B5">
      <w:pPr>
        <w:ind w:left="851"/>
        <w:rPr>
          <w:sz w:val="24"/>
          <w:szCs w:val="24"/>
        </w:rPr>
      </w:pPr>
      <w:r w:rsidRPr="005B6F85">
        <w:rPr>
          <w:i/>
          <w:sz w:val="24"/>
          <w:szCs w:val="24"/>
        </w:rPr>
        <w:t>Sjælden:</w:t>
      </w:r>
      <w:r w:rsidRPr="005B6F85">
        <w:rPr>
          <w:sz w:val="24"/>
          <w:szCs w:val="24"/>
        </w:rPr>
        <w:t xml:space="preserve"> halsbrand</w:t>
      </w:r>
    </w:p>
    <w:p w:rsidR="00D478B5" w:rsidRPr="005B6F85" w:rsidRDefault="00D478B5" w:rsidP="00D478B5">
      <w:pPr>
        <w:ind w:left="851"/>
        <w:rPr>
          <w:sz w:val="24"/>
          <w:szCs w:val="24"/>
        </w:rPr>
      </w:pPr>
      <w:r w:rsidRPr="005B6F85">
        <w:rPr>
          <w:i/>
          <w:sz w:val="24"/>
          <w:szCs w:val="24"/>
        </w:rPr>
        <w:t xml:space="preserve">Meget sjælden: </w:t>
      </w:r>
      <w:r w:rsidRPr="005B6F85">
        <w:rPr>
          <w:sz w:val="24"/>
          <w:szCs w:val="24"/>
        </w:rPr>
        <w:t xml:space="preserve">anafylaksi, </w:t>
      </w:r>
      <w:proofErr w:type="spellStart"/>
      <w:r w:rsidRPr="005B6F85">
        <w:rPr>
          <w:sz w:val="24"/>
          <w:szCs w:val="24"/>
        </w:rPr>
        <w:t>kutane</w:t>
      </w:r>
      <w:proofErr w:type="spellEnd"/>
      <w:r w:rsidRPr="005B6F85">
        <w:rPr>
          <w:sz w:val="24"/>
          <w:szCs w:val="24"/>
        </w:rPr>
        <w:t xml:space="preserve"> overfølsomhedsreaktioner, herunder hududslæt, </w:t>
      </w:r>
      <w:proofErr w:type="spellStart"/>
      <w:r w:rsidRPr="005B6F85">
        <w:rPr>
          <w:sz w:val="24"/>
          <w:szCs w:val="24"/>
        </w:rPr>
        <w:t>angioødem</w:t>
      </w:r>
      <w:proofErr w:type="spellEnd"/>
      <w:r w:rsidRPr="005B6F85">
        <w:rPr>
          <w:sz w:val="24"/>
          <w:szCs w:val="24"/>
        </w:rPr>
        <w:t xml:space="preserve"> og Stevens-Johnsons syndrom</w:t>
      </w:r>
    </w:p>
    <w:p w:rsidR="00D478B5" w:rsidRPr="005B6F85" w:rsidRDefault="00D478B5" w:rsidP="00D478B5">
      <w:pPr>
        <w:ind w:left="851"/>
        <w:rPr>
          <w:sz w:val="24"/>
          <w:szCs w:val="24"/>
        </w:rPr>
      </w:pPr>
    </w:p>
    <w:p w:rsidR="00D478B5" w:rsidRPr="005B6F85" w:rsidRDefault="00D478B5" w:rsidP="00D478B5">
      <w:pPr>
        <w:ind w:left="851"/>
        <w:rPr>
          <w:sz w:val="24"/>
          <w:szCs w:val="24"/>
          <w:u w:val="single"/>
        </w:rPr>
      </w:pPr>
      <w:r w:rsidRPr="005B6F85">
        <w:rPr>
          <w:sz w:val="24"/>
          <w:szCs w:val="24"/>
          <w:u w:val="single"/>
        </w:rPr>
        <w:t xml:space="preserve">Luftveje, thorax og </w:t>
      </w:r>
      <w:proofErr w:type="spellStart"/>
      <w:r w:rsidRPr="005B6F85">
        <w:rPr>
          <w:sz w:val="24"/>
          <w:szCs w:val="24"/>
          <w:u w:val="single"/>
        </w:rPr>
        <w:t>mediastinum</w:t>
      </w:r>
      <w:proofErr w:type="spellEnd"/>
    </w:p>
    <w:p w:rsidR="00D478B5" w:rsidRPr="005B6F85" w:rsidRDefault="00D478B5" w:rsidP="00D478B5">
      <w:pPr>
        <w:ind w:left="851"/>
        <w:rPr>
          <w:sz w:val="24"/>
          <w:szCs w:val="24"/>
        </w:rPr>
      </w:pPr>
      <w:r w:rsidRPr="005B6F85">
        <w:rPr>
          <w:i/>
          <w:sz w:val="24"/>
          <w:szCs w:val="24"/>
        </w:rPr>
        <w:t xml:space="preserve">Meget sjælden: </w:t>
      </w:r>
      <w:proofErr w:type="spellStart"/>
      <w:r w:rsidRPr="005B6F85">
        <w:rPr>
          <w:sz w:val="24"/>
          <w:szCs w:val="24"/>
        </w:rPr>
        <w:t>bronkospasmer</w:t>
      </w:r>
      <w:proofErr w:type="spellEnd"/>
      <w:r w:rsidRPr="005B6F85">
        <w:rPr>
          <w:sz w:val="24"/>
          <w:szCs w:val="24"/>
        </w:rPr>
        <w:t xml:space="preserve"> hos patienter, der er følsomme over for acetylsalicylsyre (analgetisk astma)</w:t>
      </w:r>
    </w:p>
    <w:p w:rsidR="00D478B5" w:rsidRPr="005B6F85" w:rsidRDefault="00D478B5" w:rsidP="00D478B5">
      <w:pPr>
        <w:ind w:left="851"/>
        <w:rPr>
          <w:sz w:val="24"/>
          <w:szCs w:val="24"/>
        </w:rPr>
      </w:pPr>
    </w:p>
    <w:p w:rsidR="00D478B5" w:rsidRPr="005B6F85" w:rsidRDefault="00D478B5" w:rsidP="00D478B5">
      <w:pPr>
        <w:ind w:left="851"/>
        <w:rPr>
          <w:sz w:val="24"/>
          <w:szCs w:val="24"/>
          <w:u w:val="single"/>
        </w:rPr>
      </w:pPr>
      <w:r w:rsidRPr="005B6F85">
        <w:rPr>
          <w:sz w:val="24"/>
          <w:szCs w:val="24"/>
          <w:u w:val="single"/>
        </w:rPr>
        <w:t>Mave-tarm-kanalen</w:t>
      </w:r>
    </w:p>
    <w:p w:rsidR="00D478B5" w:rsidRPr="005B6F85" w:rsidRDefault="00D478B5" w:rsidP="00D478B5">
      <w:pPr>
        <w:ind w:left="851"/>
        <w:rPr>
          <w:sz w:val="24"/>
          <w:szCs w:val="24"/>
        </w:rPr>
      </w:pPr>
      <w:r w:rsidRPr="005B6F85">
        <w:rPr>
          <w:i/>
          <w:sz w:val="24"/>
          <w:szCs w:val="24"/>
        </w:rPr>
        <w:t xml:space="preserve">Almindelig: </w:t>
      </w:r>
      <w:r w:rsidRPr="005B6F85">
        <w:rPr>
          <w:sz w:val="24"/>
          <w:szCs w:val="24"/>
        </w:rPr>
        <w:t>kvalme, opkastning</w:t>
      </w:r>
    </w:p>
    <w:p w:rsidR="00D478B5" w:rsidRPr="005B6F85" w:rsidRDefault="00D478B5" w:rsidP="00D478B5">
      <w:pPr>
        <w:ind w:left="851"/>
        <w:rPr>
          <w:sz w:val="24"/>
          <w:szCs w:val="24"/>
        </w:rPr>
      </w:pPr>
      <w:r w:rsidRPr="005B6F85">
        <w:rPr>
          <w:i/>
          <w:sz w:val="24"/>
          <w:szCs w:val="24"/>
        </w:rPr>
        <w:t>Sjælden:</w:t>
      </w:r>
      <w:r w:rsidRPr="005B6F85">
        <w:rPr>
          <w:sz w:val="24"/>
          <w:szCs w:val="24"/>
        </w:rPr>
        <w:t xml:space="preserve"> diarré, mavesmerter (inklusive kramper og brændende fornemmelse), obstipation </w:t>
      </w:r>
    </w:p>
    <w:p w:rsidR="00D478B5" w:rsidRPr="005B6F85" w:rsidRDefault="00D478B5" w:rsidP="00D478B5">
      <w:pPr>
        <w:ind w:left="851"/>
        <w:rPr>
          <w:sz w:val="24"/>
          <w:szCs w:val="24"/>
        </w:rPr>
      </w:pPr>
    </w:p>
    <w:p w:rsidR="00D478B5" w:rsidRPr="005B6F85" w:rsidRDefault="00D478B5" w:rsidP="00D478B5">
      <w:pPr>
        <w:ind w:left="851"/>
        <w:rPr>
          <w:sz w:val="24"/>
          <w:szCs w:val="24"/>
          <w:u w:val="single"/>
        </w:rPr>
      </w:pPr>
      <w:r w:rsidRPr="005B6F85">
        <w:rPr>
          <w:sz w:val="24"/>
          <w:szCs w:val="24"/>
          <w:u w:val="single"/>
        </w:rPr>
        <w:t>Lever og galdeveje</w:t>
      </w:r>
    </w:p>
    <w:p w:rsidR="00D478B5" w:rsidRPr="005B6F85" w:rsidRDefault="00D478B5" w:rsidP="00D478B5">
      <w:pPr>
        <w:ind w:left="851"/>
        <w:rPr>
          <w:sz w:val="24"/>
          <w:szCs w:val="24"/>
        </w:rPr>
      </w:pPr>
      <w:r w:rsidRPr="005B6F85">
        <w:rPr>
          <w:i/>
          <w:sz w:val="24"/>
          <w:szCs w:val="24"/>
        </w:rPr>
        <w:t xml:space="preserve">Meget sjælden: </w:t>
      </w:r>
      <w:proofErr w:type="spellStart"/>
      <w:r w:rsidRPr="005B6F85">
        <w:rPr>
          <w:sz w:val="24"/>
          <w:szCs w:val="24"/>
        </w:rPr>
        <w:t>hepatisk</w:t>
      </w:r>
      <w:proofErr w:type="spellEnd"/>
      <w:r w:rsidRPr="005B6F85">
        <w:rPr>
          <w:sz w:val="24"/>
          <w:szCs w:val="24"/>
        </w:rPr>
        <w:t xml:space="preserve"> dysfunktion</w:t>
      </w:r>
    </w:p>
    <w:p w:rsidR="00D478B5" w:rsidRPr="005B6F85" w:rsidRDefault="00D478B5" w:rsidP="00D478B5">
      <w:pPr>
        <w:ind w:left="851"/>
        <w:rPr>
          <w:sz w:val="24"/>
          <w:szCs w:val="24"/>
        </w:rPr>
      </w:pPr>
    </w:p>
    <w:p w:rsidR="00D478B5" w:rsidRPr="005B6F85" w:rsidRDefault="00D478B5" w:rsidP="00D478B5">
      <w:pPr>
        <w:ind w:left="851"/>
        <w:rPr>
          <w:i/>
          <w:iCs/>
          <w:sz w:val="24"/>
          <w:szCs w:val="24"/>
        </w:rPr>
      </w:pPr>
      <w:r w:rsidRPr="005B6F85">
        <w:rPr>
          <w:sz w:val="24"/>
          <w:szCs w:val="24"/>
          <w:u w:val="single"/>
        </w:rPr>
        <w:t>Hud og subkutane væv</w:t>
      </w:r>
    </w:p>
    <w:p w:rsidR="00D478B5" w:rsidRPr="005B6F85" w:rsidRDefault="00D478B5" w:rsidP="00D478B5">
      <w:pPr>
        <w:ind w:left="851"/>
        <w:rPr>
          <w:sz w:val="24"/>
          <w:szCs w:val="24"/>
        </w:rPr>
      </w:pPr>
      <w:r w:rsidRPr="005B6F85">
        <w:rPr>
          <w:i/>
          <w:sz w:val="24"/>
          <w:szCs w:val="24"/>
        </w:rPr>
        <w:t>Sjælden</w:t>
      </w:r>
      <w:r w:rsidRPr="005B6F85">
        <w:rPr>
          <w:sz w:val="24"/>
          <w:szCs w:val="24"/>
        </w:rPr>
        <w:t xml:space="preserve">: </w:t>
      </w:r>
      <w:proofErr w:type="spellStart"/>
      <w:r w:rsidRPr="005B6F85">
        <w:rPr>
          <w:sz w:val="24"/>
          <w:szCs w:val="24"/>
        </w:rPr>
        <w:t>erythema</w:t>
      </w:r>
      <w:proofErr w:type="spellEnd"/>
    </w:p>
    <w:p w:rsidR="00D478B5" w:rsidRPr="005B6F85" w:rsidRDefault="00D478B5" w:rsidP="00D478B5">
      <w:pPr>
        <w:ind w:left="851"/>
        <w:rPr>
          <w:sz w:val="24"/>
          <w:szCs w:val="24"/>
          <w:u w:val="single"/>
        </w:rPr>
      </w:pPr>
    </w:p>
    <w:p w:rsidR="00D478B5" w:rsidRPr="005B6F85" w:rsidRDefault="00D478B5" w:rsidP="00D478B5">
      <w:pPr>
        <w:ind w:left="851"/>
        <w:rPr>
          <w:sz w:val="24"/>
          <w:szCs w:val="24"/>
          <w:u w:val="single"/>
        </w:rPr>
      </w:pPr>
      <w:r w:rsidRPr="005B6F85">
        <w:rPr>
          <w:sz w:val="24"/>
          <w:szCs w:val="24"/>
          <w:u w:val="single"/>
        </w:rPr>
        <w:t>Almene symptomer og reaktioner på administrationsstedet</w:t>
      </w:r>
    </w:p>
    <w:p w:rsidR="00D478B5" w:rsidRDefault="00D478B5" w:rsidP="00D478B5">
      <w:pPr>
        <w:ind w:left="851"/>
        <w:rPr>
          <w:sz w:val="24"/>
          <w:szCs w:val="24"/>
        </w:rPr>
      </w:pPr>
      <w:r w:rsidRPr="005B6F85">
        <w:rPr>
          <w:i/>
          <w:sz w:val="24"/>
          <w:szCs w:val="24"/>
        </w:rPr>
        <w:t xml:space="preserve">Meget sjælden: </w:t>
      </w:r>
      <w:r w:rsidRPr="005B6F85">
        <w:rPr>
          <w:sz w:val="24"/>
          <w:szCs w:val="24"/>
        </w:rPr>
        <w:t>allergiske reaktioner, svære overfølsomhedsreaktioner (</w:t>
      </w:r>
      <w:proofErr w:type="spellStart"/>
      <w:r w:rsidRPr="005B6F85">
        <w:rPr>
          <w:sz w:val="24"/>
          <w:szCs w:val="24"/>
        </w:rPr>
        <w:t>Quinkes</w:t>
      </w:r>
      <w:proofErr w:type="spellEnd"/>
      <w:r w:rsidRPr="005B6F85">
        <w:rPr>
          <w:sz w:val="24"/>
          <w:szCs w:val="24"/>
        </w:rPr>
        <w:t xml:space="preserve"> ødem, øget svedtendens, kvalme, blodtryksfald inklusive </w:t>
      </w:r>
      <w:proofErr w:type="spellStart"/>
      <w:r w:rsidRPr="005B6F85">
        <w:rPr>
          <w:sz w:val="24"/>
          <w:szCs w:val="24"/>
        </w:rPr>
        <w:t>shock</w:t>
      </w:r>
      <w:proofErr w:type="spellEnd"/>
      <w:r w:rsidRPr="005B6F85">
        <w:rPr>
          <w:sz w:val="24"/>
          <w:szCs w:val="24"/>
        </w:rPr>
        <w:t>)</w:t>
      </w:r>
    </w:p>
    <w:p w:rsidR="004E12F2" w:rsidRPr="005B6F85" w:rsidRDefault="004E12F2" w:rsidP="00D478B5">
      <w:pPr>
        <w:ind w:left="851"/>
        <w:rPr>
          <w:sz w:val="24"/>
          <w:szCs w:val="24"/>
        </w:rPr>
      </w:pPr>
    </w:p>
    <w:p w:rsidR="004E12F2" w:rsidRDefault="004E12F2" w:rsidP="004E12F2">
      <w:pPr>
        <w:ind w:left="851"/>
        <w:rPr>
          <w:sz w:val="24"/>
          <w:szCs w:val="24"/>
          <w:u w:val="single"/>
        </w:rPr>
      </w:pPr>
      <w:r>
        <w:rPr>
          <w:sz w:val="24"/>
          <w:szCs w:val="24"/>
          <w:u w:val="single"/>
        </w:rPr>
        <w:t xml:space="preserve">Beskrivelse af udvalgte bivirkninger </w:t>
      </w:r>
    </w:p>
    <w:p w:rsidR="004E12F2" w:rsidRDefault="004E12F2" w:rsidP="004E12F2">
      <w:pPr>
        <w:ind w:left="851"/>
        <w:rPr>
          <w:sz w:val="24"/>
          <w:szCs w:val="24"/>
        </w:rPr>
      </w:pPr>
      <w:r>
        <w:rPr>
          <w:sz w:val="24"/>
          <w:szCs w:val="24"/>
        </w:rPr>
        <w:t xml:space="preserve">Metabolisk </w:t>
      </w:r>
      <w:proofErr w:type="spellStart"/>
      <w:r>
        <w:rPr>
          <w:sz w:val="24"/>
          <w:szCs w:val="24"/>
        </w:rPr>
        <w:t>acidose</w:t>
      </w:r>
      <w:proofErr w:type="spellEnd"/>
      <w:r>
        <w:rPr>
          <w:sz w:val="24"/>
          <w:szCs w:val="24"/>
        </w:rPr>
        <w:t xml:space="preserve"> med højt anion-</w:t>
      </w:r>
      <w:proofErr w:type="spellStart"/>
      <w:r>
        <w:rPr>
          <w:sz w:val="24"/>
          <w:szCs w:val="24"/>
        </w:rPr>
        <w:t>gap</w:t>
      </w:r>
      <w:proofErr w:type="spellEnd"/>
      <w:r>
        <w:rPr>
          <w:sz w:val="24"/>
          <w:szCs w:val="24"/>
        </w:rPr>
        <w:t xml:space="preserve">: </w:t>
      </w:r>
    </w:p>
    <w:p w:rsidR="004E12F2" w:rsidRDefault="004E12F2" w:rsidP="004E12F2">
      <w:pPr>
        <w:ind w:left="851"/>
        <w:rPr>
          <w:sz w:val="24"/>
          <w:szCs w:val="24"/>
        </w:rPr>
      </w:pPr>
      <w:r>
        <w:rPr>
          <w:sz w:val="24"/>
          <w:szCs w:val="24"/>
        </w:rPr>
        <w:t xml:space="preserve">Hos patienter med risikofaktorer, der anvender paracetamol, er der observeret tilfælde af metabolisk </w:t>
      </w:r>
      <w:proofErr w:type="spellStart"/>
      <w:r>
        <w:rPr>
          <w:sz w:val="24"/>
          <w:szCs w:val="24"/>
        </w:rPr>
        <w:t>acidose</w:t>
      </w:r>
      <w:proofErr w:type="spellEnd"/>
      <w:r>
        <w:rPr>
          <w:sz w:val="24"/>
          <w:szCs w:val="24"/>
        </w:rPr>
        <w:t xml:space="preserve"> med højt anion-</w:t>
      </w:r>
      <w:proofErr w:type="spellStart"/>
      <w:r>
        <w:rPr>
          <w:sz w:val="24"/>
          <w:szCs w:val="24"/>
        </w:rPr>
        <w:t>gap</w:t>
      </w:r>
      <w:proofErr w:type="spellEnd"/>
      <w:r>
        <w:rPr>
          <w:sz w:val="24"/>
          <w:szCs w:val="24"/>
        </w:rPr>
        <w:t xml:space="preserve"> som følge af </w:t>
      </w:r>
      <w:proofErr w:type="spellStart"/>
      <w:r>
        <w:rPr>
          <w:sz w:val="24"/>
          <w:szCs w:val="24"/>
        </w:rPr>
        <w:t>pyroglutaminacidose</w:t>
      </w:r>
      <w:proofErr w:type="spellEnd"/>
      <w:r>
        <w:rPr>
          <w:sz w:val="24"/>
          <w:szCs w:val="24"/>
        </w:rPr>
        <w:t xml:space="preserve"> (se pkt. 4.4). </w:t>
      </w:r>
      <w:proofErr w:type="spellStart"/>
      <w:r>
        <w:rPr>
          <w:sz w:val="24"/>
          <w:szCs w:val="24"/>
        </w:rPr>
        <w:t>Pyroglutaminacidose</w:t>
      </w:r>
      <w:proofErr w:type="spellEnd"/>
      <w:r>
        <w:rPr>
          <w:sz w:val="24"/>
          <w:szCs w:val="24"/>
        </w:rPr>
        <w:t xml:space="preserve"> kan forekomme som følge af lave </w:t>
      </w:r>
      <w:proofErr w:type="spellStart"/>
      <w:r>
        <w:rPr>
          <w:sz w:val="24"/>
          <w:szCs w:val="24"/>
        </w:rPr>
        <w:t>glutathionniveauer</w:t>
      </w:r>
      <w:proofErr w:type="spellEnd"/>
      <w:r>
        <w:rPr>
          <w:sz w:val="24"/>
          <w:szCs w:val="24"/>
        </w:rPr>
        <w:t xml:space="preserve"> hos disse patienter.</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lastRenderedPageBreak/>
        <w:t xml:space="preserve">Til trods for metodologiske fejl synes kliniske/epidemiologiske data at tyde på, at langvarig administration af </w:t>
      </w:r>
      <w:proofErr w:type="spellStart"/>
      <w:r w:rsidRPr="005B6F85">
        <w:rPr>
          <w:sz w:val="24"/>
          <w:szCs w:val="24"/>
        </w:rPr>
        <w:t>analgetika</w:t>
      </w:r>
      <w:proofErr w:type="spellEnd"/>
      <w:r w:rsidRPr="005B6F85">
        <w:rPr>
          <w:sz w:val="24"/>
          <w:szCs w:val="24"/>
        </w:rPr>
        <w:t xml:space="preserve"> kan forårsage </w:t>
      </w:r>
      <w:proofErr w:type="spellStart"/>
      <w:r w:rsidRPr="005B6F85">
        <w:rPr>
          <w:sz w:val="24"/>
          <w:szCs w:val="24"/>
        </w:rPr>
        <w:t>nefropati</w:t>
      </w:r>
      <w:proofErr w:type="spellEnd"/>
      <w:r w:rsidRPr="005B6F85">
        <w:rPr>
          <w:sz w:val="24"/>
          <w:szCs w:val="24"/>
        </w:rPr>
        <w:t>, herunder papilnekrose.</w:t>
      </w:r>
    </w:p>
    <w:bookmarkEnd w:id="7"/>
    <w:p w:rsidR="00D478B5" w:rsidRPr="005B6F85" w:rsidRDefault="00D478B5" w:rsidP="00D478B5">
      <w:pPr>
        <w:ind w:left="851"/>
        <w:rPr>
          <w:sz w:val="24"/>
          <w:szCs w:val="24"/>
          <w:u w:val="single"/>
        </w:rPr>
      </w:pPr>
    </w:p>
    <w:p w:rsidR="00D478B5" w:rsidRPr="005B6F85" w:rsidRDefault="00D478B5" w:rsidP="00D478B5">
      <w:pPr>
        <w:autoSpaceDE w:val="0"/>
        <w:autoSpaceDN w:val="0"/>
        <w:adjustRightInd w:val="0"/>
        <w:ind w:left="851"/>
        <w:rPr>
          <w:sz w:val="24"/>
          <w:szCs w:val="24"/>
          <w:u w:val="single"/>
        </w:rPr>
      </w:pPr>
      <w:r w:rsidRPr="005B6F85">
        <w:rPr>
          <w:sz w:val="24"/>
          <w:szCs w:val="24"/>
          <w:u w:val="single"/>
        </w:rPr>
        <w:t>Indberetning af formodede bivirkninger</w:t>
      </w:r>
    </w:p>
    <w:p w:rsidR="00D478B5" w:rsidRPr="005B6F85" w:rsidRDefault="00D478B5" w:rsidP="00D478B5">
      <w:pPr>
        <w:autoSpaceDE w:val="0"/>
        <w:autoSpaceDN w:val="0"/>
        <w:adjustRightInd w:val="0"/>
        <w:ind w:left="851"/>
        <w:rPr>
          <w:sz w:val="24"/>
          <w:szCs w:val="24"/>
        </w:rPr>
      </w:pPr>
      <w:r w:rsidRPr="005B6F85">
        <w:rPr>
          <w:sz w:val="24"/>
          <w:szCs w:val="24"/>
        </w:rPr>
        <w:t>Når lægemidlet er godkendt, er indberetning af formodede bivirkninger vigtig. Det muliggør løbende overvågning af benefit/</w:t>
      </w:r>
      <w:proofErr w:type="spellStart"/>
      <w:r w:rsidRPr="005B6F85">
        <w:rPr>
          <w:sz w:val="24"/>
          <w:szCs w:val="24"/>
        </w:rPr>
        <w:t>risk</w:t>
      </w:r>
      <w:proofErr w:type="spellEnd"/>
      <w:r w:rsidRPr="005B6F85">
        <w:rPr>
          <w:sz w:val="24"/>
          <w:szCs w:val="24"/>
        </w:rPr>
        <w:t xml:space="preserve">-forholdet for lægemidlet. </w:t>
      </w:r>
      <w:r w:rsidR="003D2F91">
        <w:rPr>
          <w:sz w:val="24"/>
          <w:szCs w:val="24"/>
        </w:rPr>
        <w:t>S</w:t>
      </w:r>
      <w:r w:rsidRPr="005B6F85">
        <w:rPr>
          <w:sz w:val="24"/>
          <w:szCs w:val="24"/>
        </w:rPr>
        <w:t>undhedsperson</w:t>
      </w:r>
      <w:r w:rsidR="003D2F91">
        <w:rPr>
          <w:sz w:val="24"/>
          <w:szCs w:val="24"/>
        </w:rPr>
        <w:t>er</w:t>
      </w:r>
      <w:r w:rsidRPr="005B6F85">
        <w:rPr>
          <w:sz w:val="24"/>
          <w:szCs w:val="24"/>
        </w:rPr>
        <w:t xml:space="preserve"> anmodes om at indberette alle formodede bivirkninger via:</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Lægemiddelstyrelsen</w:t>
      </w:r>
    </w:p>
    <w:p w:rsidR="00D478B5" w:rsidRPr="005B6F85" w:rsidRDefault="00D478B5" w:rsidP="00D478B5">
      <w:pPr>
        <w:ind w:left="851"/>
        <w:rPr>
          <w:sz w:val="24"/>
          <w:szCs w:val="24"/>
        </w:rPr>
      </w:pPr>
      <w:r w:rsidRPr="005B6F85">
        <w:rPr>
          <w:sz w:val="24"/>
          <w:szCs w:val="24"/>
        </w:rPr>
        <w:t>Axel Heides Gade 1</w:t>
      </w:r>
    </w:p>
    <w:p w:rsidR="00D478B5" w:rsidRPr="005B6F85" w:rsidRDefault="00D478B5" w:rsidP="00D478B5">
      <w:pPr>
        <w:ind w:left="851"/>
        <w:rPr>
          <w:sz w:val="24"/>
          <w:szCs w:val="24"/>
        </w:rPr>
      </w:pPr>
      <w:r w:rsidRPr="005B6F85">
        <w:rPr>
          <w:sz w:val="24"/>
          <w:szCs w:val="24"/>
        </w:rPr>
        <w:t>DK-2300 København S</w:t>
      </w:r>
    </w:p>
    <w:p w:rsidR="00D478B5" w:rsidRPr="009C3F52" w:rsidRDefault="00D478B5" w:rsidP="00D478B5">
      <w:pPr>
        <w:ind w:left="851"/>
        <w:rPr>
          <w:sz w:val="24"/>
          <w:szCs w:val="24"/>
        </w:rPr>
      </w:pPr>
      <w:r w:rsidRPr="009C3F52">
        <w:rPr>
          <w:sz w:val="24"/>
          <w:szCs w:val="24"/>
        </w:rPr>
        <w:t xml:space="preserve">Websted: </w:t>
      </w:r>
      <w:r w:rsidR="003D2F91" w:rsidRPr="004E0B94">
        <w:rPr>
          <w:sz w:val="24"/>
          <w:szCs w:val="24"/>
        </w:rPr>
        <w:t>www.meldenbivirkning.dk</w:t>
      </w:r>
      <w:r w:rsidR="003D2F91">
        <w:rPr>
          <w:sz w:val="24"/>
          <w:szCs w:val="24"/>
        </w:rPr>
        <w:t xml:space="preserve"> </w:t>
      </w:r>
    </w:p>
    <w:p w:rsidR="00D478B5" w:rsidRPr="009C3F52" w:rsidRDefault="00D478B5" w:rsidP="00D478B5">
      <w:pPr>
        <w:pStyle w:val="Sidehoved"/>
        <w:tabs>
          <w:tab w:val="left" w:pos="851"/>
        </w:tabs>
        <w:ind w:left="851"/>
        <w:rPr>
          <w:szCs w:val="24"/>
        </w:rPr>
      </w:pPr>
    </w:p>
    <w:p w:rsidR="00D478B5" w:rsidRPr="005B6F85" w:rsidRDefault="00D478B5" w:rsidP="008D2841">
      <w:pPr>
        <w:keepNext/>
        <w:tabs>
          <w:tab w:val="left" w:pos="851"/>
        </w:tabs>
        <w:ind w:left="851" w:hanging="851"/>
        <w:rPr>
          <w:b/>
          <w:sz w:val="24"/>
          <w:szCs w:val="24"/>
        </w:rPr>
      </w:pPr>
      <w:r w:rsidRPr="005B6F85">
        <w:rPr>
          <w:b/>
          <w:sz w:val="24"/>
          <w:szCs w:val="24"/>
        </w:rPr>
        <w:t>4.9</w:t>
      </w:r>
      <w:r w:rsidRPr="005B6F85">
        <w:rPr>
          <w:b/>
          <w:sz w:val="24"/>
          <w:szCs w:val="24"/>
        </w:rPr>
        <w:tab/>
        <w:t>Overdosering</w:t>
      </w:r>
    </w:p>
    <w:p w:rsidR="00D478B5" w:rsidRPr="005B6F85" w:rsidRDefault="00D478B5" w:rsidP="00D478B5">
      <w:pPr>
        <w:ind w:left="851"/>
        <w:rPr>
          <w:sz w:val="24"/>
          <w:szCs w:val="24"/>
        </w:rPr>
      </w:pPr>
      <w:r w:rsidRPr="005B6F85">
        <w:rPr>
          <w:sz w:val="24"/>
          <w:szCs w:val="24"/>
        </w:rPr>
        <w:t xml:space="preserve">Indtagelse af høje doser paracetamol kan medføre tegn på forgiftning, som først indtræder efter 24 til 48 timer. Patienterne kan udvikle leverinsufficiens, </w:t>
      </w:r>
      <w:proofErr w:type="spellStart"/>
      <w:r w:rsidRPr="005B6F85">
        <w:rPr>
          <w:sz w:val="24"/>
          <w:szCs w:val="24"/>
        </w:rPr>
        <w:t>hepatocellulær</w:t>
      </w:r>
      <w:proofErr w:type="spellEnd"/>
      <w:r w:rsidRPr="005B6F85">
        <w:rPr>
          <w:sz w:val="24"/>
          <w:szCs w:val="24"/>
        </w:rPr>
        <w:t xml:space="preserve"> nekrose og </w:t>
      </w:r>
      <w:proofErr w:type="spellStart"/>
      <w:r w:rsidRPr="005B6F85">
        <w:rPr>
          <w:sz w:val="24"/>
          <w:szCs w:val="24"/>
        </w:rPr>
        <w:t>hepatisk</w:t>
      </w:r>
      <w:proofErr w:type="spellEnd"/>
      <w:r w:rsidRPr="005B6F85">
        <w:rPr>
          <w:sz w:val="24"/>
          <w:szCs w:val="24"/>
        </w:rPr>
        <w:t xml:space="preserve"> koma (som kan være fatalt). Akut nyresvigt kan forekomme som følge af leverinsufficiens og i sjældne tilfælde hos patienter uden leverinsufficiens.</w:t>
      </w:r>
    </w:p>
    <w:p w:rsidR="00D478B5" w:rsidRPr="005B6F85" w:rsidRDefault="00D478B5" w:rsidP="00D478B5">
      <w:pPr>
        <w:ind w:left="851"/>
        <w:rPr>
          <w:sz w:val="24"/>
          <w:szCs w:val="24"/>
        </w:rPr>
      </w:pPr>
    </w:p>
    <w:p w:rsidR="00D478B5" w:rsidRPr="005B6F85" w:rsidRDefault="00D478B5" w:rsidP="00D478B5">
      <w:pPr>
        <w:tabs>
          <w:tab w:val="left" w:pos="1304"/>
        </w:tabs>
        <w:ind w:left="851"/>
        <w:rPr>
          <w:noProof/>
          <w:sz w:val="24"/>
          <w:szCs w:val="24"/>
          <w:u w:val="single"/>
        </w:rPr>
      </w:pPr>
      <w:r w:rsidRPr="005B6F85">
        <w:rPr>
          <w:bCs/>
          <w:sz w:val="24"/>
          <w:szCs w:val="24"/>
          <w:u w:val="single"/>
        </w:rPr>
        <w:t>Symptomer</w:t>
      </w:r>
    </w:p>
    <w:p w:rsidR="00D478B5" w:rsidRPr="005B6F85" w:rsidRDefault="00D478B5" w:rsidP="00D478B5">
      <w:pPr>
        <w:tabs>
          <w:tab w:val="left" w:pos="1304"/>
        </w:tabs>
        <w:ind w:left="851"/>
        <w:rPr>
          <w:sz w:val="24"/>
          <w:szCs w:val="24"/>
        </w:rPr>
      </w:pPr>
      <w:r w:rsidRPr="005B6F85">
        <w:rPr>
          <w:sz w:val="24"/>
          <w:szCs w:val="24"/>
        </w:rPr>
        <w:t>Følgende symptomer kan forekomme i tilfælde af overdosering af paracetamol:</w:t>
      </w:r>
    </w:p>
    <w:p w:rsidR="00D478B5" w:rsidRPr="005B6F85" w:rsidRDefault="00D478B5" w:rsidP="004E0B94">
      <w:pPr>
        <w:numPr>
          <w:ilvl w:val="0"/>
          <w:numId w:val="7"/>
        </w:numPr>
        <w:ind w:left="1134" w:hanging="283"/>
        <w:rPr>
          <w:sz w:val="24"/>
          <w:szCs w:val="24"/>
        </w:rPr>
      </w:pPr>
      <w:r w:rsidRPr="005B6F85">
        <w:rPr>
          <w:sz w:val="24"/>
          <w:szCs w:val="24"/>
        </w:rPr>
        <w:t xml:space="preserve">I fase I, som varer 12 til 24 timer efter overdoseringen, kan patienterne opleve kvalme, opkastning, øget svedtendens, døsighed og utilpashed. </w:t>
      </w:r>
    </w:p>
    <w:p w:rsidR="00D478B5" w:rsidRPr="005B6F85" w:rsidRDefault="00D478B5" w:rsidP="004E0B94">
      <w:pPr>
        <w:numPr>
          <w:ilvl w:val="0"/>
          <w:numId w:val="7"/>
        </w:numPr>
        <w:ind w:left="1134" w:hanging="283"/>
        <w:rPr>
          <w:sz w:val="24"/>
          <w:szCs w:val="24"/>
        </w:rPr>
      </w:pPr>
      <w:r w:rsidRPr="005B6F85">
        <w:rPr>
          <w:sz w:val="24"/>
          <w:szCs w:val="24"/>
        </w:rPr>
        <w:t xml:space="preserve">I fase II efter 24 til 48 timer er der en symptomforbedring, men de første tegn på leverskade kan vise sig: milde mavesmerter, </w:t>
      </w:r>
      <w:proofErr w:type="spellStart"/>
      <w:r w:rsidRPr="005B6F85">
        <w:rPr>
          <w:sz w:val="24"/>
          <w:szCs w:val="24"/>
        </w:rPr>
        <w:t>hepatomegali</w:t>
      </w:r>
      <w:proofErr w:type="spellEnd"/>
      <w:r w:rsidRPr="005B6F85">
        <w:rPr>
          <w:sz w:val="24"/>
          <w:szCs w:val="24"/>
        </w:rPr>
        <w:t xml:space="preserve">, øget niveau af </w:t>
      </w:r>
      <w:proofErr w:type="spellStart"/>
      <w:r w:rsidRPr="005B6F85">
        <w:rPr>
          <w:sz w:val="24"/>
          <w:szCs w:val="24"/>
        </w:rPr>
        <w:t>transaminaser</w:t>
      </w:r>
      <w:proofErr w:type="spellEnd"/>
      <w:r w:rsidRPr="005B6F85">
        <w:rPr>
          <w:sz w:val="24"/>
          <w:szCs w:val="24"/>
        </w:rPr>
        <w:t xml:space="preserve"> og bilirubin, forlænget </w:t>
      </w:r>
      <w:proofErr w:type="spellStart"/>
      <w:r w:rsidRPr="005B6F85">
        <w:rPr>
          <w:sz w:val="24"/>
          <w:szCs w:val="24"/>
        </w:rPr>
        <w:t>protrombintid</w:t>
      </w:r>
      <w:proofErr w:type="spellEnd"/>
      <w:r w:rsidRPr="005B6F85">
        <w:rPr>
          <w:sz w:val="24"/>
          <w:szCs w:val="24"/>
        </w:rPr>
        <w:t xml:space="preserve"> og </w:t>
      </w:r>
      <w:proofErr w:type="spellStart"/>
      <w:r w:rsidRPr="005B6F85">
        <w:rPr>
          <w:sz w:val="24"/>
          <w:szCs w:val="24"/>
        </w:rPr>
        <w:t>oliguri</w:t>
      </w:r>
      <w:proofErr w:type="spellEnd"/>
      <w:r w:rsidRPr="005B6F85">
        <w:rPr>
          <w:sz w:val="24"/>
          <w:szCs w:val="24"/>
        </w:rPr>
        <w:t>.</w:t>
      </w:r>
    </w:p>
    <w:p w:rsidR="00D478B5" w:rsidRPr="005B6F85" w:rsidRDefault="00D478B5" w:rsidP="004E0B94">
      <w:pPr>
        <w:numPr>
          <w:ilvl w:val="0"/>
          <w:numId w:val="7"/>
        </w:numPr>
        <w:ind w:left="1134" w:hanging="283"/>
        <w:rPr>
          <w:sz w:val="24"/>
          <w:szCs w:val="24"/>
        </w:rPr>
      </w:pPr>
      <w:r w:rsidRPr="005B6F85">
        <w:rPr>
          <w:sz w:val="24"/>
          <w:szCs w:val="24"/>
        </w:rPr>
        <w:t xml:space="preserve">I fase III efter 48 timer når </w:t>
      </w:r>
      <w:proofErr w:type="spellStart"/>
      <w:r w:rsidRPr="005B6F85">
        <w:rPr>
          <w:sz w:val="24"/>
          <w:szCs w:val="24"/>
        </w:rPr>
        <w:t>transaminaseniveauet</w:t>
      </w:r>
      <w:proofErr w:type="spellEnd"/>
      <w:r w:rsidRPr="005B6F85">
        <w:rPr>
          <w:sz w:val="24"/>
          <w:szCs w:val="24"/>
        </w:rPr>
        <w:t xml:space="preserve"> sit maksimum, </w:t>
      </w:r>
      <w:proofErr w:type="spellStart"/>
      <w:r w:rsidRPr="005B6F85">
        <w:rPr>
          <w:sz w:val="24"/>
          <w:szCs w:val="24"/>
        </w:rPr>
        <w:t>ikterus</w:t>
      </w:r>
      <w:proofErr w:type="spellEnd"/>
      <w:r w:rsidRPr="005B6F85">
        <w:rPr>
          <w:sz w:val="24"/>
          <w:szCs w:val="24"/>
        </w:rPr>
        <w:t xml:space="preserve">, </w:t>
      </w:r>
      <w:proofErr w:type="spellStart"/>
      <w:r w:rsidRPr="005B6F85">
        <w:rPr>
          <w:sz w:val="24"/>
          <w:szCs w:val="24"/>
        </w:rPr>
        <w:t>koagulopati</w:t>
      </w:r>
      <w:proofErr w:type="spellEnd"/>
      <w:r w:rsidRPr="005B6F85">
        <w:rPr>
          <w:sz w:val="24"/>
          <w:szCs w:val="24"/>
        </w:rPr>
        <w:t xml:space="preserve">, hypoglykæmi, progression til </w:t>
      </w:r>
      <w:proofErr w:type="spellStart"/>
      <w:r w:rsidRPr="005B6F85">
        <w:rPr>
          <w:sz w:val="24"/>
          <w:szCs w:val="24"/>
        </w:rPr>
        <w:t>hepatisk</w:t>
      </w:r>
      <w:proofErr w:type="spellEnd"/>
      <w:r w:rsidRPr="005B6F85">
        <w:rPr>
          <w:sz w:val="24"/>
          <w:szCs w:val="24"/>
        </w:rPr>
        <w:t xml:space="preserve"> koma.</w:t>
      </w:r>
    </w:p>
    <w:p w:rsidR="00D478B5" w:rsidRPr="005B6F85" w:rsidRDefault="00D478B5" w:rsidP="00D478B5">
      <w:pPr>
        <w:tabs>
          <w:tab w:val="left" w:pos="1304"/>
        </w:tabs>
        <w:rPr>
          <w:sz w:val="24"/>
          <w:szCs w:val="24"/>
        </w:rPr>
      </w:pPr>
    </w:p>
    <w:p w:rsidR="00D478B5" w:rsidRPr="005B6F85" w:rsidRDefault="00D478B5" w:rsidP="00D478B5">
      <w:pPr>
        <w:ind w:left="851"/>
        <w:rPr>
          <w:sz w:val="24"/>
          <w:szCs w:val="24"/>
        </w:rPr>
      </w:pPr>
      <w:r w:rsidRPr="005B6F85">
        <w:rPr>
          <w:sz w:val="24"/>
          <w:szCs w:val="24"/>
        </w:rPr>
        <w:t xml:space="preserve">Der er rapporteret om </w:t>
      </w:r>
      <w:proofErr w:type="spellStart"/>
      <w:r w:rsidRPr="005B6F85">
        <w:rPr>
          <w:sz w:val="24"/>
          <w:szCs w:val="24"/>
        </w:rPr>
        <w:t>hjertearytmi</w:t>
      </w:r>
      <w:proofErr w:type="spellEnd"/>
      <w:r w:rsidRPr="005B6F85">
        <w:rPr>
          <w:sz w:val="24"/>
          <w:szCs w:val="24"/>
        </w:rPr>
        <w:t xml:space="preserve">. </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Leverskade kan forekomme hos voksne, som har taget 10-15 g paracetamol (150-205 mg/kg) eller mere; 20-25 g eller derover kan være fatalt.</w:t>
      </w:r>
    </w:p>
    <w:p w:rsidR="00D478B5" w:rsidRPr="005B6F85" w:rsidRDefault="00D478B5" w:rsidP="00D478B5">
      <w:pPr>
        <w:ind w:left="851"/>
        <w:rPr>
          <w:noProof/>
          <w:sz w:val="24"/>
          <w:szCs w:val="24"/>
        </w:rPr>
      </w:pPr>
    </w:p>
    <w:p w:rsidR="00D478B5" w:rsidRPr="005B6F85" w:rsidRDefault="00D478B5" w:rsidP="00D478B5">
      <w:pPr>
        <w:ind w:left="851"/>
        <w:rPr>
          <w:noProof/>
          <w:sz w:val="24"/>
          <w:szCs w:val="24"/>
          <w:u w:val="single"/>
        </w:rPr>
      </w:pPr>
      <w:r w:rsidRPr="005B6F85">
        <w:rPr>
          <w:bCs/>
          <w:sz w:val="24"/>
          <w:szCs w:val="24"/>
          <w:u w:val="single"/>
        </w:rPr>
        <w:t>Håndtering</w:t>
      </w:r>
    </w:p>
    <w:p w:rsidR="00D478B5" w:rsidRPr="005B6F85" w:rsidRDefault="00D478B5" w:rsidP="00D478B5">
      <w:pPr>
        <w:ind w:left="851"/>
        <w:rPr>
          <w:sz w:val="24"/>
          <w:szCs w:val="24"/>
        </w:rPr>
      </w:pPr>
      <w:r w:rsidRPr="005B6F85">
        <w:rPr>
          <w:sz w:val="24"/>
          <w:szCs w:val="24"/>
        </w:rPr>
        <w:t>Øjeblikkelig behandling er altafgørende ved håndtering af overdosering af paracetamol. Selvom der indledningsvist ikke er betydelige symptomer, bør patienten henvises til akut lægehjælp på hospitalet. </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Akut behandling i tilfælde af overdosering af paracetamol består af ventrikeltømning ved hjælp af aspiration eller ventrikelskylning og administration af aktivt kul (kun vis </w:t>
      </w:r>
      <w:proofErr w:type="spellStart"/>
      <w:r w:rsidRPr="005B6F85">
        <w:rPr>
          <w:sz w:val="24"/>
          <w:szCs w:val="24"/>
        </w:rPr>
        <w:t>antidoten</w:t>
      </w:r>
      <w:proofErr w:type="spellEnd"/>
      <w:r w:rsidRPr="005B6F85">
        <w:rPr>
          <w:sz w:val="24"/>
          <w:szCs w:val="24"/>
        </w:rPr>
        <w:t xml:space="preserve"> administreres intravenøst, eftersom oralt administreret kul forhindrer absorption af </w:t>
      </w:r>
      <w:proofErr w:type="spellStart"/>
      <w:r w:rsidRPr="005B6F85">
        <w:rPr>
          <w:sz w:val="24"/>
          <w:szCs w:val="24"/>
        </w:rPr>
        <w:t>antidoten</w:t>
      </w:r>
      <w:proofErr w:type="spellEnd"/>
      <w:r w:rsidRPr="005B6F85">
        <w:rPr>
          <w:sz w:val="24"/>
          <w:szCs w:val="24"/>
        </w:rPr>
        <w:t xml:space="preserve">), hvis forgiftningen er sket for mindre end 4 timer siden og med en dosis på 10 g eller derover. </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Eftersom der generelt er usikkerhed om mængden af indtaget paracetamol, kan den terapeutiske tilgang ikke baseres derpå. Derfor bør plasmakoncentrationen af paracetamol bestemmes så hurtigt som muligt, dog tidligst 4 timer efter indtagelsen (for at sikre, at den maksimale koncentration er nået). Den specifikke behandling med </w:t>
      </w:r>
      <w:proofErr w:type="spellStart"/>
      <w:r w:rsidRPr="005B6F85">
        <w:rPr>
          <w:sz w:val="24"/>
          <w:szCs w:val="24"/>
        </w:rPr>
        <w:t>antidoten</w:t>
      </w:r>
      <w:proofErr w:type="spellEnd"/>
      <w:r w:rsidRPr="005B6F85">
        <w:rPr>
          <w:sz w:val="24"/>
          <w:szCs w:val="24"/>
        </w:rPr>
        <w:t xml:space="preserve">, </w:t>
      </w:r>
      <w:proofErr w:type="spellStart"/>
      <w:r w:rsidRPr="005B6F85">
        <w:rPr>
          <w:sz w:val="24"/>
          <w:szCs w:val="24"/>
        </w:rPr>
        <w:t>acetylcystein</w:t>
      </w:r>
      <w:proofErr w:type="spellEnd"/>
      <w:r w:rsidRPr="005B6F85">
        <w:rPr>
          <w:sz w:val="24"/>
          <w:szCs w:val="24"/>
        </w:rPr>
        <w:t xml:space="preserve">, bør gives med det samme (vent ikke på laboratorieresultater, inden der iværksættes behandling), hvis indtagelsen er sket for mindre end 24 timer siden. Resultaterne vil være </w:t>
      </w:r>
      <w:r w:rsidRPr="005B6F85">
        <w:rPr>
          <w:sz w:val="24"/>
          <w:szCs w:val="24"/>
        </w:rPr>
        <w:lastRenderedPageBreak/>
        <w:t xml:space="preserve">optimale, hvis </w:t>
      </w:r>
      <w:proofErr w:type="spellStart"/>
      <w:r w:rsidRPr="005B6F85">
        <w:rPr>
          <w:sz w:val="24"/>
          <w:szCs w:val="24"/>
        </w:rPr>
        <w:t>acetylcystein</w:t>
      </w:r>
      <w:proofErr w:type="spellEnd"/>
      <w:r w:rsidRPr="005B6F85">
        <w:rPr>
          <w:sz w:val="24"/>
          <w:szCs w:val="24"/>
        </w:rPr>
        <w:t xml:space="preserve"> bliver administreret i løbet af de første 16 timer, og i særdeleshed i de første 8 timer. Der er imidlertid også rapporteret om behandlingssucces ved iværksættelse af behandling med </w:t>
      </w:r>
      <w:proofErr w:type="spellStart"/>
      <w:r w:rsidRPr="005B6F85">
        <w:rPr>
          <w:sz w:val="24"/>
          <w:szCs w:val="24"/>
        </w:rPr>
        <w:t>acetylcystein</w:t>
      </w:r>
      <w:proofErr w:type="spellEnd"/>
      <w:r w:rsidRPr="005B6F85">
        <w:rPr>
          <w:sz w:val="24"/>
          <w:szCs w:val="24"/>
        </w:rPr>
        <w:t xml:space="preserve"> 36 timer efter indtagelse af paracetamol.</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Der administreres en støddosis oral </w:t>
      </w:r>
      <w:proofErr w:type="spellStart"/>
      <w:r w:rsidRPr="005B6F85">
        <w:rPr>
          <w:sz w:val="24"/>
          <w:szCs w:val="24"/>
        </w:rPr>
        <w:t>acetylcystein</w:t>
      </w:r>
      <w:proofErr w:type="spellEnd"/>
      <w:r w:rsidRPr="005B6F85">
        <w:rPr>
          <w:sz w:val="24"/>
          <w:szCs w:val="24"/>
        </w:rPr>
        <w:t xml:space="preserve"> på 140 mg/kg efterfulgt af en oral vedligeholdelsesdosis på 70 mg/kg hver 4. time, indtil der er givet 17 doser. Hvis patienten ikke kan tilbageholde </w:t>
      </w:r>
      <w:proofErr w:type="spellStart"/>
      <w:r w:rsidRPr="005B6F85">
        <w:rPr>
          <w:sz w:val="24"/>
          <w:szCs w:val="24"/>
        </w:rPr>
        <w:t>acetylcystein</w:t>
      </w:r>
      <w:proofErr w:type="spellEnd"/>
      <w:r w:rsidRPr="005B6F85">
        <w:rPr>
          <w:sz w:val="24"/>
          <w:szCs w:val="24"/>
        </w:rPr>
        <w:t xml:space="preserve"> på grund af opkastning, kan </w:t>
      </w:r>
      <w:proofErr w:type="spellStart"/>
      <w:r w:rsidRPr="005B6F85">
        <w:rPr>
          <w:sz w:val="24"/>
          <w:szCs w:val="24"/>
        </w:rPr>
        <w:t>acetylcystein</w:t>
      </w:r>
      <w:proofErr w:type="spellEnd"/>
      <w:r w:rsidRPr="005B6F85">
        <w:rPr>
          <w:sz w:val="24"/>
          <w:szCs w:val="24"/>
        </w:rPr>
        <w:t xml:space="preserve"> indgives via et kateter. Ved intravenøs administration er startdosen 150 mg/kg legemsvægt i 15 minutter efterfulgt af 50 mg/kg i 4 dage og derefter 100 mg/kg i de næste 16 timer. Alternativt kan der administreres 2,5 g </w:t>
      </w:r>
      <w:proofErr w:type="spellStart"/>
      <w:r w:rsidRPr="005B6F85">
        <w:rPr>
          <w:sz w:val="24"/>
          <w:szCs w:val="24"/>
        </w:rPr>
        <w:t>methionin</w:t>
      </w:r>
      <w:proofErr w:type="spellEnd"/>
      <w:r w:rsidRPr="005B6F85">
        <w:rPr>
          <w:sz w:val="24"/>
          <w:szCs w:val="24"/>
        </w:rPr>
        <w:t xml:space="preserve"> oralt hver 4. time (4 doser i alt), hvis patienten ikke kaster op og er ved bevidsthed. </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 xml:space="preserve">Hos patienter med leversygdom bør der indgives en intravenøs </w:t>
      </w:r>
      <w:proofErr w:type="spellStart"/>
      <w:r w:rsidRPr="005B6F85">
        <w:rPr>
          <w:sz w:val="24"/>
          <w:szCs w:val="24"/>
        </w:rPr>
        <w:t>glucoseopløsning</w:t>
      </w:r>
      <w:proofErr w:type="spellEnd"/>
      <w:r w:rsidRPr="005B6F85">
        <w:rPr>
          <w:sz w:val="24"/>
          <w:szCs w:val="24"/>
        </w:rPr>
        <w:t xml:space="preserve"> for at forebygge hypoglykæmi.</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4.10</w:t>
      </w:r>
      <w:r w:rsidRPr="005B6F85">
        <w:rPr>
          <w:b/>
          <w:sz w:val="24"/>
          <w:szCs w:val="24"/>
        </w:rPr>
        <w:tab/>
        <w:t>Udlevering</w:t>
      </w:r>
    </w:p>
    <w:p w:rsidR="00D478B5" w:rsidRDefault="00D478B5" w:rsidP="00D478B5">
      <w:pPr>
        <w:ind w:left="851"/>
        <w:rPr>
          <w:sz w:val="24"/>
          <w:szCs w:val="24"/>
          <w:u w:val="single"/>
        </w:rPr>
      </w:pPr>
    </w:p>
    <w:p w:rsidR="00D478B5" w:rsidRPr="005B6F85" w:rsidRDefault="00D478B5" w:rsidP="00D478B5">
      <w:pPr>
        <w:ind w:left="851"/>
        <w:rPr>
          <w:sz w:val="24"/>
          <w:szCs w:val="24"/>
          <w:u w:val="single"/>
          <w:lang w:eastAsia="da-DK"/>
        </w:rPr>
      </w:pPr>
      <w:r w:rsidRPr="005B6F85">
        <w:rPr>
          <w:sz w:val="24"/>
          <w:szCs w:val="24"/>
          <w:u w:val="single"/>
        </w:rPr>
        <w:t>500 mg</w:t>
      </w:r>
    </w:p>
    <w:p w:rsidR="00D478B5" w:rsidRPr="005B6F85" w:rsidRDefault="00D478B5" w:rsidP="00D478B5">
      <w:pPr>
        <w:ind w:left="851"/>
        <w:rPr>
          <w:sz w:val="24"/>
          <w:szCs w:val="24"/>
        </w:rPr>
      </w:pPr>
      <w:r w:rsidRPr="005B6F85">
        <w:rPr>
          <w:sz w:val="24"/>
          <w:szCs w:val="24"/>
        </w:rPr>
        <w:t>Til og med 20 stk.: HA18</w:t>
      </w:r>
      <w:r w:rsidR="004E0B94">
        <w:rPr>
          <w:sz w:val="24"/>
          <w:szCs w:val="24"/>
        </w:rPr>
        <w:t>.</w:t>
      </w:r>
    </w:p>
    <w:p w:rsidR="00145FCC" w:rsidRDefault="00D478B5" w:rsidP="008D2841">
      <w:pPr>
        <w:ind w:left="851"/>
        <w:rPr>
          <w:sz w:val="24"/>
          <w:szCs w:val="24"/>
        </w:rPr>
      </w:pPr>
      <w:r w:rsidRPr="005B6F85">
        <w:rPr>
          <w:sz w:val="24"/>
          <w:szCs w:val="24"/>
        </w:rPr>
        <w:t>Ingen øvre grænse: B</w:t>
      </w:r>
      <w:r w:rsidR="004E0B94">
        <w:rPr>
          <w:sz w:val="24"/>
          <w:szCs w:val="24"/>
        </w:rPr>
        <w:t>.</w:t>
      </w:r>
    </w:p>
    <w:p w:rsidR="00D478B5" w:rsidRPr="005B6F85" w:rsidRDefault="00D478B5" w:rsidP="00D478B5">
      <w:pPr>
        <w:ind w:left="851"/>
        <w:rPr>
          <w:sz w:val="24"/>
          <w:szCs w:val="24"/>
        </w:rPr>
      </w:pPr>
    </w:p>
    <w:p w:rsidR="00D478B5" w:rsidRPr="005B6F85" w:rsidRDefault="00D478B5" w:rsidP="00D478B5">
      <w:pPr>
        <w:ind w:left="851"/>
        <w:rPr>
          <w:sz w:val="24"/>
          <w:szCs w:val="24"/>
          <w:u w:val="single"/>
        </w:rPr>
      </w:pPr>
      <w:r w:rsidRPr="005B6F85">
        <w:rPr>
          <w:sz w:val="24"/>
          <w:szCs w:val="24"/>
          <w:u w:val="single"/>
        </w:rPr>
        <w:t>1000 mg</w:t>
      </w:r>
    </w:p>
    <w:p w:rsidR="00D478B5" w:rsidRPr="005B6F85" w:rsidRDefault="00D478B5" w:rsidP="00D478B5">
      <w:pPr>
        <w:ind w:left="851"/>
        <w:rPr>
          <w:sz w:val="24"/>
          <w:szCs w:val="24"/>
        </w:rPr>
      </w:pPr>
      <w:r w:rsidRPr="005B6F85">
        <w:rPr>
          <w:sz w:val="24"/>
          <w:szCs w:val="24"/>
        </w:rPr>
        <w:t>B</w:t>
      </w:r>
    </w:p>
    <w:p w:rsidR="00D478B5" w:rsidRDefault="00D478B5" w:rsidP="00D478B5">
      <w:pPr>
        <w:tabs>
          <w:tab w:val="left" w:pos="851"/>
        </w:tabs>
        <w:ind w:left="851"/>
        <w:rPr>
          <w:sz w:val="24"/>
          <w:szCs w:val="24"/>
        </w:rPr>
      </w:pPr>
    </w:p>
    <w:p w:rsidR="00D478B5" w:rsidRPr="005B6F85" w:rsidRDefault="00D478B5" w:rsidP="00D478B5">
      <w:pPr>
        <w:tabs>
          <w:tab w:val="left" w:pos="851"/>
        </w:tabs>
        <w:ind w:left="851"/>
        <w:rPr>
          <w:sz w:val="24"/>
          <w:szCs w:val="24"/>
        </w:rPr>
      </w:pPr>
    </w:p>
    <w:p w:rsidR="00D87833" w:rsidRPr="00C84483" w:rsidRDefault="00D87833" w:rsidP="00D87833">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D87833" w:rsidRPr="00C84483" w:rsidRDefault="00D87833" w:rsidP="00D87833">
      <w:pPr>
        <w:tabs>
          <w:tab w:val="left" w:pos="851"/>
        </w:tabs>
        <w:ind w:left="851"/>
        <w:rPr>
          <w:sz w:val="24"/>
          <w:szCs w:val="24"/>
        </w:rPr>
      </w:pPr>
    </w:p>
    <w:p w:rsidR="00D87833" w:rsidRPr="00C84483" w:rsidRDefault="00D87833" w:rsidP="00D87833">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D87833" w:rsidRPr="005B6F85" w:rsidRDefault="00D87833" w:rsidP="00D87833">
      <w:pPr>
        <w:ind w:left="851"/>
        <w:rPr>
          <w:sz w:val="24"/>
          <w:szCs w:val="24"/>
        </w:rPr>
      </w:pPr>
      <w:proofErr w:type="spellStart"/>
      <w:r>
        <w:rPr>
          <w:sz w:val="24"/>
          <w:szCs w:val="24"/>
        </w:rPr>
        <w:t>Farmakoterapeutisk</w:t>
      </w:r>
      <w:proofErr w:type="spellEnd"/>
      <w:r>
        <w:rPr>
          <w:sz w:val="24"/>
          <w:szCs w:val="24"/>
        </w:rPr>
        <w:t xml:space="preserve"> klassifikation: </w:t>
      </w:r>
      <w:r w:rsidRPr="005B6F85">
        <w:rPr>
          <w:sz w:val="24"/>
          <w:szCs w:val="24"/>
        </w:rPr>
        <w:t xml:space="preserve">Andre </w:t>
      </w:r>
      <w:proofErr w:type="spellStart"/>
      <w:r w:rsidRPr="005B6F85">
        <w:rPr>
          <w:sz w:val="24"/>
          <w:szCs w:val="24"/>
        </w:rPr>
        <w:t>analgetika</w:t>
      </w:r>
      <w:proofErr w:type="spellEnd"/>
      <w:r w:rsidRPr="005B6F85">
        <w:rPr>
          <w:sz w:val="24"/>
          <w:szCs w:val="24"/>
        </w:rPr>
        <w:t xml:space="preserve"> og </w:t>
      </w:r>
      <w:proofErr w:type="spellStart"/>
      <w:r w:rsidRPr="005B6F85">
        <w:rPr>
          <w:sz w:val="24"/>
          <w:szCs w:val="24"/>
        </w:rPr>
        <w:t>antipyretika</w:t>
      </w:r>
      <w:proofErr w:type="spellEnd"/>
      <w:r w:rsidRPr="005B6F85">
        <w:rPr>
          <w:sz w:val="24"/>
          <w:szCs w:val="24"/>
        </w:rPr>
        <w:t>, anilider</w:t>
      </w:r>
      <w:r>
        <w:rPr>
          <w:sz w:val="24"/>
          <w:szCs w:val="24"/>
        </w:rPr>
        <w:t xml:space="preserve">, </w:t>
      </w:r>
      <w:r w:rsidRPr="005B6F85">
        <w:rPr>
          <w:sz w:val="24"/>
          <w:szCs w:val="24"/>
        </w:rPr>
        <w:t>ATC-kode: N02BE01.</w:t>
      </w:r>
    </w:p>
    <w:p w:rsidR="00D87833" w:rsidRDefault="00D87833" w:rsidP="00D478B5">
      <w:pPr>
        <w:ind w:left="851"/>
        <w:rPr>
          <w:sz w:val="24"/>
          <w:szCs w:val="24"/>
        </w:rPr>
      </w:pPr>
    </w:p>
    <w:p w:rsidR="00D478B5" w:rsidRPr="005B6F85" w:rsidRDefault="00D478B5" w:rsidP="00D478B5">
      <w:pPr>
        <w:ind w:left="851"/>
        <w:rPr>
          <w:bCs/>
          <w:iCs/>
          <w:sz w:val="24"/>
          <w:szCs w:val="24"/>
          <w:u w:val="single"/>
        </w:rPr>
      </w:pPr>
      <w:r w:rsidRPr="005B6F85">
        <w:rPr>
          <w:sz w:val="24"/>
          <w:szCs w:val="24"/>
        </w:rPr>
        <w:t xml:space="preserve">Paracetamol er et </w:t>
      </w:r>
      <w:proofErr w:type="spellStart"/>
      <w:r w:rsidRPr="005B6F85">
        <w:rPr>
          <w:sz w:val="24"/>
          <w:szCs w:val="24"/>
        </w:rPr>
        <w:t>analgetikum</w:t>
      </w:r>
      <w:proofErr w:type="spellEnd"/>
      <w:r w:rsidRPr="005B6F85">
        <w:rPr>
          <w:sz w:val="24"/>
          <w:szCs w:val="24"/>
        </w:rPr>
        <w:t xml:space="preserve"> med perifer virkning, sandsynligvis blokering via hæmning af genereringen af smerteimpulser i </w:t>
      </w:r>
      <w:proofErr w:type="spellStart"/>
      <w:r w:rsidRPr="005B6F85">
        <w:rPr>
          <w:sz w:val="24"/>
          <w:szCs w:val="24"/>
        </w:rPr>
        <w:t>bradykininfølsomme</w:t>
      </w:r>
      <w:proofErr w:type="spellEnd"/>
      <w:r w:rsidRPr="005B6F85">
        <w:rPr>
          <w:sz w:val="24"/>
          <w:szCs w:val="24"/>
        </w:rPr>
        <w:t xml:space="preserve"> receptorer, som forårsager smerter. Paracetamol virker måske primært ved at hæmme </w:t>
      </w:r>
      <w:proofErr w:type="spellStart"/>
      <w:r w:rsidRPr="005B6F85">
        <w:rPr>
          <w:sz w:val="24"/>
          <w:szCs w:val="24"/>
        </w:rPr>
        <w:t>prostaglandinsyntesen</w:t>
      </w:r>
      <w:proofErr w:type="spellEnd"/>
      <w:r w:rsidRPr="005B6F85">
        <w:rPr>
          <w:sz w:val="24"/>
          <w:szCs w:val="24"/>
        </w:rPr>
        <w:t xml:space="preserve"> i centralnervesystemet (CNS) og i mindre grad via en perifer virkning. Dette kan være årsagen til, at paracetamol ikke har antiinflammatorisk virkning.</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5.2</w:t>
      </w:r>
      <w:r w:rsidRPr="005B6F85">
        <w:rPr>
          <w:b/>
          <w:sz w:val="24"/>
          <w:szCs w:val="24"/>
        </w:rPr>
        <w:tab/>
      </w:r>
      <w:proofErr w:type="spellStart"/>
      <w:r w:rsidRPr="005B6F85">
        <w:rPr>
          <w:b/>
          <w:sz w:val="24"/>
          <w:szCs w:val="24"/>
        </w:rPr>
        <w:t>Farmakokinetiske</w:t>
      </w:r>
      <w:proofErr w:type="spellEnd"/>
      <w:r w:rsidRPr="005B6F85">
        <w:rPr>
          <w:b/>
          <w:sz w:val="24"/>
          <w:szCs w:val="24"/>
        </w:rPr>
        <w:t xml:space="preserve"> egenskaber</w:t>
      </w:r>
    </w:p>
    <w:p w:rsidR="00D478B5" w:rsidRDefault="00D478B5" w:rsidP="00D478B5">
      <w:pPr>
        <w:numPr>
          <w:ilvl w:val="12"/>
          <w:numId w:val="0"/>
        </w:numPr>
        <w:ind w:left="851" w:right="-2"/>
        <w:rPr>
          <w:iCs/>
          <w:sz w:val="24"/>
          <w:szCs w:val="24"/>
          <w:u w:val="single"/>
        </w:rPr>
      </w:pPr>
    </w:p>
    <w:p w:rsidR="00D478B5" w:rsidRPr="005B6F85" w:rsidRDefault="00D478B5" w:rsidP="00D478B5">
      <w:pPr>
        <w:numPr>
          <w:ilvl w:val="12"/>
          <w:numId w:val="0"/>
        </w:numPr>
        <w:ind w:left="851" w:right="-2"/>
        <w:rPr>
          <w:iCs/>
          <w:noProof/>
          <w:sz w:val="24"/>
          <w:szCs w:val="24"/>
          <w:u w:val="single"/>
        </w:rPr>
      </w:pPr>
      <w:r w:rsidRPr="005B6F85">
        <w:rPr>
          <w:iCs/>
          <w:sz w:val="24"/>
          <w:szCs w:val="24"/>
          <w:u w:val="single"/>
        </w:rPr>
        <w:t>Absorption</w:t>
      </w:r>
    </w:p>
    <w:p w:rsidR="00D478B5" w:rsidRPr="005B6F85" w:rsidRDefault="00D478B5" w:rsidP="00D478B5">
      <w:pPr>
        <w:numPr>
          <w:ilvl w:val="12"/>
          <w:numId w:val="0"/>
        </w:numPr>
        <w:ind w:left="851" w:right="-2"/>
        <w:rPr>
          <w:iCs/>
          <w:noProof/>
          <w:sz w:val="24"/>
          <w:szCs w:val="24"/>
        </w:rPr>
      </w:pPr>
      <w:r w:rsidRPr="005B6F85">
        <w:rPr>
          <w:sz w:val="24"/>
          <w:szCs w:val="24"/>
        </w:rPr>
        <w:t>Paracetamol absorberes hurtigt og næsten fuldstændigt fra mave-tarm-kanalen.</w:t>
      </w:r>
    </w:p>
    <w:p w:rsidR="00D478B5" w:rsidRPr="005B6F85" w:rsidRDefault="00D478B5" w:rsidP="00D478B5">
      <w:pPr>
        <w:numPr>
          <w:ilvl w:val="12"/>
          <w:numId w:val="0"/>
        </w:numPr>
        <w:ind w:left="851" w:right="-2"/>
        <w:rPr>
          <w:iCs/>
          <w:noProof/>
          <w:sz w:val="24"/>
          <w:szCs w:val="24"/>
        </w:rPr>
      </w:pPr>
    </w:p>
    <w:p w:rsidR="00D478B5" w:rsidRPr="005B6F85" w:rsidRDefault="00D478B5" w:rsidP="00D478B5">
      <w:pPr>
        <w:numPr>
          <w:ilvl w:val="12"/>
          <w:numId w:val="0"/>
        </w:numPr>
        <w:ind w:left="851" w:right="-2"/>
        <w:rPr>
          <w:iCs/>
          <w:noProof/>
          <w:sz w:val="24"/>
          <w:szCs w:val="24"/>
          <w:u w:val="single"/>
        </w:rPr>
      </w:pPr>
      <w:r w:rsidRPr="005B6F85">
        <w:rPr>
          <w:iCs/>
          <w:sz w:val="24"/>
          <w:szCs w:val="24"/>
          <w:u w:val="single"/>
        </w:rPr>
        <w:t>Fordeling</w:t>
      </w:r>
    </w:p>
    <w:p w:rsidR="00D478B5" w:rsidRPr="005B6F85" w:rsidRDefault="00D478B5" w:rsidP="00D478B5">
      <w:pPr>
        <w:numPr>
          <w:ilvl w:val="12"/>
          <w:numId w:val="0"/>
        </w:numPr>
        <w:ind w:left="851" w:right="-2"/>
        <w:rPr>
          <w:iCs/>
          <w:noProof/>
          <w:sz w:val="24"/>
          <w:szCs w:val="24"/>
        </w:rPr>
      </w:pPr>
      <w:r w:rsidRPr="005B6F85">
        <w:rPr>
          <w:sz w:val="24"/>
          <w:szCs w:val="24"/>
        </w:rPr>
        <w:t>Paracetamol fordeles hurtigt i de fleste kropsvæsker.</w:t>
      </w:r>
    </w:p>
    <w:p w:rsidR="00D478B5" w:rsidRPr="005B6F85" w:rsidRDefault="00D478B5" w:rsidP="00D478B5">
      <w:pPr>
        <w:numPr>
          <w:ilvl w:val="12"/>
          <w:numId w:val="0"/>
        </w:numPr>
        <w:ind w:left="851" w:right="-2"/>
        <w:rPr>
          <w:iCs/>
          <w:noProof/>
          <w:sz w:val="24"/>
          <w:szCs w:val="24"/>
        </w:rPr>
      </w:pPr>
      <w:r w:rsidRPr="005B6F85">
        <w:rPr>
          <w:sz w:val="24"/>
          <w:szCs w:val="24"/>
        </w:rPr>
        <w:t>Plasmaproteinbindingen er minimal ved de sædvanlige terapeutiske koncentrationer.</w:t>
      </w:r>
    </w:p>
    <w:p w:rsidR="00D478B5" w:rsidRPr="005B6F85" w:rsidRDefault="00D478B5" w:rsidP="00D478B5">
      <w:pPr>
        <w:numPr>
          <w:ilvl w:val="12"/>
          <w:numId w:val="0"/>
        </w:numPr>
        <w:ind w:left="851" w:right="-2"/>
        <w:rPr>
          <w:iCs/>
          <w:noProof/>
          <w:sz w:val="24"/>
          <w:szCs w:val="24"/>
        </w:rPr>
      </w:pPr>
      <w:r w:rsidRPr="005B6F85">
        <w:rPr>
          <w:sz w:val="24"/>
          <w:szCs w:val="24"/>
        </w:rPr>
        <w:t>Den maksimale plasmakoncentration nås i løbet af 30 til 60 minutter.</w:t>
      </w:r>
    </w:p>
    <w:p w:rsidR="00D478B5" w:rsidRPr="005B6F85" w:rsidRDefault="00D478B5" w:rsidP="00D478B5">
      <w:pPr>
        <w:numPr>
          <w:ilvl w:val="12"/>
          <w:numId w:val="0"/>
        </w:numPr>
        <w:ind w:left="851" w:right="-2"/>
        <w:rPr>
          <w:iCs/>
          <w:noProof/>
          <w:sz w:val="24"/>
          <w:szCs w:val="24"/>
        </w:rPr>
      </w:pPr>
    </w:p>
    <w:p w:rsidR="00D478B5" w:rsidRPr="005B6F85" w:rsidRDefault="00D478B5" w:rsidP="00D478B5">
      <w:pPr>
        <w:numPr>
          <w:ilvl w:val="12"/>
          <w:numId w:val="0"/>
        </w:numPr>
        <w:ind w:left="851" w:right="-2"/>
        <w:rPr>
          <w:iCs/>
          <w:noProof/>
          <w:sz w:val="24"/>
          <w:szCs w:val="24"/>
          <w:u w:val="single"/>
        </w:rPr>
      </w:pPr>
      <w:r w:rsidRPr="005B6F85">
        <w:rPr>
          <w:iCs/>
          <w:sz w:val="24"/>
          <w:szCs w:val="24"/>
          <w:u w:val="single"/>
        </w:rPr>
        <w:t>Biotransformation</w:t>
      </w:r>
    </w:p>
    <w:p w:rsidR="00D478B5" w:rsidRPr="005B6F85" w:rsidRDefault="00D478B5" w:rsidP="00D478B5">
      <w:pPr>
        <w:numPr>
          <w:ilvl w:val="12"/>
          <w:numId w:val="0"/>
        </w:numPr>
        <w:ind w:left="851" w:right="-2"/>
        <w:rPr>
          <w:iCs/>
          <w:noProof/>
          <w:sz w:val="24"/>
          <w:szCs w:val="24"/>
        </w:rPr>
      </w:pPr>
      <w:proofErr w:type="spellStart"/>
      <w:r w:rsidRPr="005B6F85">
        <w:rPr>
          <w:sz w:val="24"/>
          <w:szCs w:val="24"/>
        </w:rPr>
        <w:t>Hepatisk</w:t>
      </w:r>
      <w:proofErr w:type="spellEnd"/>
      <w:r w:rsidRPr="005B6F85">
        <w:rPr>
          <w:sz w:val="24"/>
          <w:szCs w:val="24"/>
        </w:rPr>
        <w:t xml:space="preserve"> metabolisme: paracetamol </w:t>
      </w:r>
      <w:proofErr w:type="spellStart"/>
      <w:r w:rsidRPr="005B6F85">
        <w:rPr>
          <w:sz w:val="24"/>
          <w:szCs w:val="24"/>
        </w:rPr>
        <w:t>metaboliseres</w:t>
      </w:r>
      <w:proofErr w:type="spellEnd"/>
      <w:r w:rsidRPr="005B6F85">
        <w:rPr>
          <w:sz w:val="24"/>
          <w:szCs w:val="24"/>
        </w:rPr>
        <w:t xml:space="preserve"> i leveren og udskilles i urinen i form af </w:t>
      </w:r>
      <w:proofErr w:type="spellStart"/>
      <w:r w:rsidRPr="005B6F85">
        <w:rPr>
          <w:sz w:val="24"/>
          <w:szCs w:val="24"/>
        </w:rPr>
        <w:t>glucuronid</w:t>
      </w:r>
      <w:proofErr w:type="spellEnd"/>
      <w:r w:rsidRPr="005B6F85">
        <w:rPr>
          <w:sz w:val="24"/>
          <w:szCs w:val="24"/>
        </w:rPr>
        <w:t xml:space="preserve">- og </w:t>
      </w:r>
      <w:proofErr w:type="spellStart"/>
      <w:r w:rsidRPr="005B6F85">
        <w:rPr>
          <w:sz w:val="24"/>
          <w:szCs w:val="24"/>
        </w:rPr>
        <w:t>sulfatkonjugater</w:t>
      </w:r>
      <w:proofErr w:type="spellEnd"/>
      <w:r w:rsidRPr="005B6F85">
        <w:rPr>
          <w:sz w:val="24"/>
          <w:szCs w:val="24"/>
        </w:rPr>
        <w:t xml:space="preserve">; mindre end 5 % udskilles </w:t>
      </w:r>
      <w:proofErr w:type="spellStart"/>
      <w:r w:rsidRPr="005B6F85">
        <w:rPr>
          <w:sz w:val="24"/>
          <w:szCs w:val="24"/>
        </w:rPr>
        <w:t>uomdannet</w:t>
      </w:r>
      <w:proofErr w:type="spellEnd"/>
      <w:r w:rsidRPr="005B6F85">
        <w:rPr>
          <w:sz w:val="24"/>
          <w:szCs w:val="24"/>
        </w:rPr>
        <w:t>.</w:t>
      </w:r>
    </w:p>
    <w:p w:rsidR="00D478B5" w:rsidRPr="005B6F85" w:rsidRDefault="00D478B5" w:rsidP="00D478B5">
      <w:pPr>
        <w:numPr>
          <w:ilvl w:val="12"/>
          <w:numId w:val="0"/>
        </w:numPr>
        <w:ind w:left="851" w:right="-2"/>
        <w:rPr>
          <w:sz w:val="24"/>
          <w:szCs w:val="24"/>
        </w:rPr>
      </w:pPr>
      <w:r w:rsidRPr="005B6F85">
        <w:rPr>
          <w:sz w:val="24"/>
          <w:szCs w:val="24"/>
        </w:rPr>
        <w:lastRenderedPageBreak/>
        <w:t xml:space="preserve">En lille mængde (under 4 %) </w:t>
      </w:r>
      <w:proofErr w:type="spellStart"/>
      <w:r w:rsidRPr="005B6F85">
        <w:rPr>
          <w:sz w:val="24"/>
          <w:szCs w:val="24"/>
        </w:rPr>
        <w:t>metaboliseres</w:t>
      </w:r>
      <w:proofErr w:type="spellEnd"/>
      <w:r w:rsidRPr="005B6F85">
        <w:rPr>
          <w:sz w:val="24"/>
          <w:szCs w:val="24"/>
        </w:rPr>
        <w:t xml:space="preserve"> via </w:t>
      </w:r>
      <w:proofErr w:type="spellStart"/>
      <w:r w:rsidRPr="005B6F85">
        <w:rPr>
          <w:sz w:val="24"/>
          <w:szCs w:val="24"/>
        </w:rPr>
        <w:t>cytochrom</w:t>
      </w:r>
      <w:proofErr w:type="spellEnd"/>
      <w:r w:rsidRPr="005B6F85">
        <w:rPr>
          <w:sz w:val="24"/>
          <w:szCs w:val="24"/>
        </w:rPr>
        <w:t xml:space="preserve"> P450, og den reaktive </w:t>
      </w:r>
      <w:proofErr w:type="spellStart"/>
      <w:r w:rsidRPr="005B6F85">
        <w:rPr>
          <w:sz w:val="24"/>
          <w:szCs w:val="24"/>
        </w:rPr>
        <w:t>intermediære</w:t>
      </w:r>
      <w:proofErr w:type="spellEnd"/>
      <w:r w:rsidRPr="005B6F85">
        <w:rPr>
          <w:sz w:val="24"/>
          <w:szCs w:val="24"/>
        </w:rPr>
        <w:t xml:space="preserve"> metabolit, som dannes derved, binder præferentielt til </w:t>
      </w:r>
      <w:proofErr w:type="spellStart"/>
      <w:r w:rsidRPr="005B6F85">
        <w:rPr>
          <w:sz w:val="24"/>
          <w:szCs w:val="24"/>
        </w:rPr>
        <w:t>hepatisk</w:t>
      </w:r>
      <w:proofErr w:type="spellEnd"/>
      <w:r w:rsidRPr="005B6F85">
        <w:rPr>
          <w:sz w:val="24"/>
          <w:szCs w:val="24"/>
        </w:rPr>
        <w:t xml:space="preserve"> </w:t>
      </w:r>
      <w:proofErr w:type="spellStart"/>
      <w:r w:rsidRPr="005B6F85">
        <w:rPr>
          <w:sz w:val="24"/>
          <w:szCs w:val="24"/>
        </w:rPr>
        <w:t>glutathion</w:t>
      </w:r>
      <w:proofErr w:type="spellEnd"/>
      <w:r w:rsidRPr="005B6F85">
        <w:rPr>
          <w:sz w:val="24"/>
          <w:szCs w:val="24"/>
        </w:rPr>
        <w:t xml:space="preserve">. </w:t>
      </w:r>
    </w:p>
    <w:p w:rsidR="00D478B5" w:rsidRPr="005B6F85" w:rsidRDefault="00D478B5" w:rsidP="00D478B5">
      <w:pPr>
        <w:numPr>
          <w:ilvl w:val="12"/>
          <w:numId w:val="0"/>
        </w:numPr>
        <w:ind w:left="851" w:right="-2"/>
        <w:rPr>
          <w:iCs/>
          <w:noProof/>
          <w:sz w:val="24"/>
          <w:szCs w:val="24"/>
        </w:rPr>
      </w:pPr>
    </w:p>
    <w:p w:rsidR="00D478B5" w:rsidRPr="005B6F85" w:rsidRDefault="004E0B94" w:rsidP="00D478B5">
      <w:pPr>
        <w:ind w:left="851"/>
        <w:rPr>
          <w:i/>
          <w:noProof/>
          <w:sz w:val="24"/>
          <w:szCs w:val="24"/>
        </w:rPr>
      </w:pPr>
      <w:r>
        <w:rPr>
          <w:i/>
          <w:sz w:val="24"/>
          <w:szCs w:val="24"/>
        </w:rPr>
        <w:t>Paracetamol "Cooper"</w:t>
      </w:r>
      <w:r w:rsidR="00D478B5" w:rsidRPr="005B6F85">
        <w:rPr>
          <w:i/>
          <w:sz w:val="24"/>
          <w:szCs w:val="24"/>
        </w:rPr>
        <w:t xml:space="preserve"> 500 mg tabletter</w:t>
      </w:r>
    </w:p>
    <w:p w:rsidR="00D478B5" w:rsidRPr="005B6F85" w:rsidRDefault="00D478B5" w:rsidP="00D478B5">
      <w:pPr>
        <w:numPr>
          <w:ilvl w:val="12"/>
          <w:numId w:val="0"/>
        </w:numPr>
        <w:ind w:left="851" w:right="-2"/>
        <w:rPr>
          <w:iCs/>
          <w:noProof/>
          <w:sz w:val="24"/>
          <w:szCs w:val="24"/>
        </w:rPr>
      </w:pPr>
      <w:r w:rsidRPr="005B6F85">
        <w:rPr>
          <w:iCs/>
          <w:noProof/>
          <w:sz w:val="24"/>
          <w:szCs w:val="24"/>
        </w:rPr>
        <w:t>I tilfælde af intoksikation er mængden af denne metabolit høj.</w:t>
      </w:r>
    </w:p>
    <w:p w:rsidR="00D478B5" w:rsidRPr="005B6F85" w:rsidRDefault="00D478B5" w:rsidP="00D478B5">
      <w:pPr>
        <w:numPr>
          <w:ilvl w:val="12"/>
          <w:numId w:val="0"/>
        </w:numPr>
        <w:ind w:left="851" w:right="-2"/>
        <w:rPr>
          <w:iCs/>
          <w:noProof/>
          <w:sz w:val="24"/>
          <w:szCs w:val="24"/>
        </w:rPr>
      </w:pPr>
    </w:p>
    <w:p w:rsidR="00D478B5" w:rsidRPr="005B6F85" w:rsidRDefault="00D478B5" w:rsidP="00D478B5">
      <w:pPr>
        <w:numPr>
          <w:ilvl w:val="12"/>
          <w:numId w:val="0"/>
        </w:numPr>
        <w:ind w:left="851" w:right="-2"/>
        <w:rPr>
          <w:bCs/>
          <w:iCs/>
          <w:noProof/>
          <w:sz w:val="24"/>
          <w:szCs w:val="24"/>
        </w:rPr>
      </w:pPr>
      <w:r w:rsidRPr="005B6F85">
        <w:rPr>
          <w:sz w:val="24"/>
          <w:szCs w:val="24"/>
        </w:rPr>
        <w:t>Konjugationen er uforandret hos ældre patienter.</w:t>
      </w:r>
    </w:p>
    <w:p w:rsidR="00D478B5" w:rsidRPr="005B6F85" w:rsidRDefault="00D478B5" w:rsidP="00D478B5">
      <w:pPr>
        <w:numPr>
          <w:ilvl w:val="12"/>
          <w:numId w:val="0"/>
        </w:numPr>
        <w:ind w:left="851" w:right="-2"/>
        <w:rPr>
          <w:color w:val="000000"/>
          <w:sz w:val="24"/>
          <w:szCs w:val="24"/>
          <w:shd w:val="clear" w:color="auto" w:fill="FFFFFF"/>
        </w:rPr>
      </w:pPr>
    </w:p>
    <w:p w:rsidR="00D478B5" w:rsidRPr="005B6F85" w:rsidRDefault="00D478B5" w:rsidP="00D478B5">
      <w:pPr>
        <w:numPr>
          <w:ilvl w:val="12"/>
          <w:numId w:val="0"/>
        </w:numPr>
        <w:ind w:left="851" w:right="-2"/>
        <w:rPr>
          <w:iCs/>
          <w:noProof/>
          <w:sz w:val="24"/>
          <w:szCs w:val="24"/>
          <w:u w:val="single"/>
        </w:rPr>
      </w:pPr>
      <w:r w:rsidRPr="005B6F85">
        <w:rPr>
          <w:iCs/>
          <w:sz w:val="24"/>
          <w:szCs w:val="24"/>
          <w:u w:val="single"/>
        </w:rPr>
        <w:t>Elimination</w:t>
      </w:r>
    </w:p>
    <w:p w:rsidR="00D478B5" w:rsidRPr="005B6F85" w:rsidRDefault="00D478B5" w:rsidP="00D478B5">
      <w:pPr>
        <w:ind w:left="851"/>
        <w:jc w:val="both"/>
        <w:rPr>
          <w:iCs/>
          <w:noProof/>
          <w:sz w:val="24"/>
          <w:szCs w:val="24"/>
        </w:rPr>
      </w:pPr>
      <w:r w:rsidRPr="005B6F85">
        <w:rPr>
          <w:sz w:val="24"/>
          <w:szCs w:val="24"/>
        </w:rPr>
        <w:t>Plasmahalveringstiden er cirka 2 timer.</w:t>
      </w:r>
    </w:p>
    <w:p w:rsidR="00D478B5" w:rsidRPr="005B6F85" w:rsidRDefault="00D478B5" w:rsidP="00D478B5">
      <w:pPr>
        <w:tabs>
          <w:tab w:val="left" w:pos="851"/>
        </w:tabs>
        <w:ind w:left="851"/>
        <w:rPr>
          <w:sz w:val="24"/>
          <w:szCs w:val="24"/>
        </w:rPr>
      </w:pPr>
    </w:p>
    <w:p w:rsidR="00D87833" w:rsidRPr="00C84483" w:rsidRDefault="00D87833" w:rsidP="008D2841">
      <w:pPr>
        <w:keepNext/>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D478B5" w:rsidRPr="005B6F85" w:rsidRDefault="00D478B5" w:rsidP="00D478B5">
      <w:pPr>
        <w:ind w:left="851"/>
        <w:rPr>
          <w:noProof/>
          <w:sz w:val="24"/>
          <w:szCs w:val="24"/>
          <w:u w:val="single"/>
        </w:rPr>
      </w:pPr>
      <w:r w:rsidRPr="005B6F85">
        <w:rPr>
          <w:sz w:val="24"/>
          <w:szCs w:val="24"/>
        </w:rPr>
        <w:t>Der foreligger ingen konventionelle studier med brug af de aktuelt accepterede standarder til evaluering af reproduktions- og udviklingstoksicitet.</w:t>
      </w:r>
    </w:p>
    <w:p w:rsidR="00145FCC" w:rsidRDefault="00145FCC">
      <w:pPr>
        <w:rPr>
          <w:sz w:val="24"/>
          <w:szCs w:val="24"/>
        </w:rPr>
      </w:pP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6.</w:t>
      </w:r>
      <w:r w:rsidRPr="005B6F85">
        <w:rPr>
          <w:b/>
          <w:sz w:val="24"/>
          <w:szCs w:val="24"/>
        </w:rPr>
        <w:tab/>
        <w:t>FARMACEUTISKE OPLYSNINGER</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6.1</w:t>
      </w:r>
      <w:r w:rsidRPr="005B6F85">
        <w:rPr>
          <w:b/>
          <w:sz w:val="24"/>
          <w:szCs w:val="24"/>
        </w:rPr>
        <w:tab/>
        <w:t>Hjælpestoffer</w:t>
      </w:r>
    </w:p>
    <w:p w:rsidR="00D478B5" w:rsidRDefault="00D478B5" w:rsidP="00D478B5">
      <w:pPr>
        <w:ind w:left="851"/>
        <w:rPr>
          <w:sz w:val="24"/>
          <w:szCs w:val="24"/>
        </w:rPr>
      </w:pPr>
      <w:proofErr w:type="spellStart"/>
      <w:r w:rsidRPr="005B6F85">
        <w:rPr>
          <w:sz w:val="24"/>
          <w:szCs w:val="24"/>
        </w:rPr>
        <w:t>Natriumstivelsesglycolat</w:t>
      </w:r>
      <w:proofErr w:type="spellEnd"/>
      <w:r w:rsidRPr="005B6F85">
        <w:rPr>
          <w:sz w:val="24"/>
          <w:szCs w:val="24"/>
        </w:rPr>
        <w:t xml:space="preserve"> (type A)</w:t>
      </w:r>
    </w:p>
    <w:p w:rsidR="00D478B5" w:rsidRDefault="00D478B5" w:rsidP="00D478B5">
      <w:pPr>
        <w:ind w:left="851"/>
        <w:rPr>
          <w:sz w:val="24"/>
          <w:szCs w:val="24"/>
        </w:rPr>
      </w:pPr>
      <w:proofErr w:type="spellStart"/>
      <w:r>
        <w:rPr>
          <w:sz w:val="24"/>
          <w:szCs w:val="24"/>
        </w:rPr>
        <w:t>P</w:t>
      </w:r>
      <w:r w:rsidRPr="005B6F85">
        <w:rPr>
          <w:sz w:val="24"/>
          <w:szCs w:val="24"/>
        </w:rPr>
        <w:t>ovidon</w:t>
      </w:r>
      <w:proofErr w:type="spellEnd"/>
      <w:r w:rsidRPr="005B6F85">
        <w:rPr>
          <w:sz w:val="24"/>
          <w:szCs w:val="24"/>
        </w:rPr>
        <w:t xml:space="preserve"> K30</w:t>
      </w:r>
    </w:p>
    <w:p w:rsidR="00D478B5" w:rsidRDefault="00D478B5" w:rsidP="00D478B5">
      <w:pPr>
        <w:ind w:left="851"/>
        <w:rPr>
          <w:sz w:val="24"/>
          <w:szCs w:val="24"/>
        </w:rPr>
      </w:pPr>
      <w:proofErr w:type="spellStart"/>
      <w:r>
        <w:rPr>
          <w:sz w:val="24"/>
          <w:szCs w:val="24"/>
        </w:rPr>
        <w:t>P</w:t>
      </w:r>
      <w:r w:rsidRPr="005B6F85">
        <w:rPr>
          <w:sz w:val="24"/>
          <w:szCs w:val="24"/>
        </w:rPr>
        <w:t>regelatineret</w:t>
      </w:r>
      <w:proofErr w:type="spellEnd"/>
      <w:r w:rsidRPr="005B6F85">
        <w:rPr>
          <w:sz w:val="24"/>
          <w:szCs w:val="24"/>
        </w:rPr>
        <w:t xml:space="preserve"> majsstivelse</w:t>
      </w:r>
    </w:p>
    <w:p w:rsidR="00D478B5" w:rsidRPr="005B6F85" w:rsidRDefault="00D478B5" w:rsidP="00D478B5">
      <w:pPr>
        <w:ind w:left="851"/>
        <w:rPr>
          <w:noProof/>
          <w:sz w:val="24"/>
          <w:szCs w:val="24"/>
        </w:rPr>
      </w:pPr>
      <w:r>
        <w:rPr>
          <w:sz w:val="24"/>
          <w:szCs w:val="24"/>
        </w:rPr>
        <w:t>S</w:t>
      </w:r>
      <w:r w:rsidRPr="005B6F85">
        <w:rPr>
          <w:sz w:val="24"/>
          <w:szCs w:val="24"/>
        </w:rPr>
        <w:t>tearinsyre</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6.2</w:t>
      </w:r>
      <w:r w:rsidRPr="005B6F85">
        <w:rPr>
          <w:b/>
          <w:sz w:val="24"/>
          <w:szCs w:val="24"/>
        </w:rPr>
        <w:tab/>
        <w:t>Uforligeligheder</w:t>
      </w:r>
    </w:p>
    <w:p w:rsidR="00D478B5" w:rsidRPr="005B6F85" w:rsidRDefault="00D478B5" w:rsidP="00D478B5">
      <w:pPr>
        <w:ind w:left="851"/>
        <w:rPr>
          <w:sz w:val="24"/>
          <w:szCs w:val="24"/>
        </w:rPr>
      </w:pPr>
      <w:r w:rsidRPr="005B6F85">
        <w:rPr>
          <w:sz w:val="24"/>
          <w:szCs w:val="24"/>
        </w:rPr>
        <w:t>Ikke relevant.</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6.3</w:t>
      </w:r>
      <w:r w:rsidRPr="005B6F85">
        <w:rPr>
          <w:b/>
          <w:sz w:val="24"/>
          <w:szCs w:val="24"/>
        </w:rPr>
        <w:tab/>
        <w:t>Opbevaringstid</w:t>
      </w:r>
    </w:p>
    <w:p w:rsidR="00D478B5" w:rsidRPr="005B6F85" w:rsidRDefault="00D478B5" w:rsidP="00D478B5">
      <w:pPr>
        <w:ind w:left="851"/>
        <w:rPr>
          <w:sz w:val="24"/>
          <w:szCs w:val="24"/>
        </w:rPr>
      </w:pPr>
      <w:r w:rsidRPr="005B6F85">
        <w:rPr>
          <w:sz w:val="24"/>
          <w:szCs w:val="24"/>
        </w:rPr>
        <w:t>3 år.</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6.4</w:t>
      </w:r>
      <w:r w:rsidRPr="005B6F85">
        <w:rPr>
          <w:b/>
          <w:sz w:val="24"/>
          <w:szCs w:val="24"/>
        </w:rPr>
        <w:tab/>
        <w:t>Særlige opbevaringsforhold</w:t>
      </w:r>
    </w:p>
    <w:p w:rsidR="00D478B5" w:rsidRPr="005B6F85" w:rsidRDefault="00D478B5" w:rsidP="00D478B5">
      <w:pPr>
        <w:ind w:left="851"/>
        <w:rPr>
          <w:i/>
          <w:iCs/>
          <w:color w:val="FF0000"/>
          <w:sz w:val="24"/>
          <w:szCs w:val="24"/>
        </w:rPr>
      </w:pPr>
      <w:r w:rsidRPr="005B6F85">
        <w:rPr>
          <w:sz w:val="24"/>
          <w:szCs w:val="24"/>
        </w:rPr>
        <w:t>Dette lægemiddel kræver ingen særlige forholdsregler vedrørende opbevaringen.</w:t>
      </w:r>
    </w:p>
    <w:p w:rsidR="00D478B5" w:rsidRPr="005B6F85" w:rsidRDefault="00D478B5" w:rsidP="00D478B5">
      <w:pPr>
        <w:tabs>
          <w:tab w:val="left" w:pos="851"/>
        </w:tabs>
        <w:ind w:left="851"/>
        <w:rPr>
          <w:sz w:val="24"/>
          <w:szCs w:val="24"/>
        </w:rPr>
      </w:pPr>
    </w:p>
    <w:p w:rsidR="00D87833" w:rsidRPr="00C84483" w:rsidRDefault="00D87833" w:rsidP="00D87833">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D478B5" w:rsidRDefault="00D478B5" w:rsidP="00D478B5">
      <w:pPr>
        <w:ind w:left="851"/>
        <w:rPr>
          <w:sz w:val="24"/>
          <w:szCs w:val="24"/>
          <w:u w:val="single"/>
        </w:rPr>
      </w:pPr>
    </w:p>
    <w:p w:rsidR="00D478B5" w:rsidRPr="004E0B94" w:rsidRDefault="00D478B5" w:rsidP="00D478B5">
      <w:pPr>
        <w:ind w:left="851"/>
        <w:rPr>
          <w:b/>
          <w:sz w:val="24"/>
          <w:szCs w:val="24"/>
        </w:rPr>
      </w:pPr>
      <w:r w:rsidRPr="004E0B94">
        <w:rPr>
          <w:b/>
          <w:sz w:val="24"/>
          <w:szCs w:val="24"/>
        </w:rPr>
        <w:t>Lægemid</w:t>
      </w:r>
      <w:r w:rsidR="004E0B94">
        <w:rPr>
          <w:b/>
          <w:sz w:val="24"/>
          <w:szCs w:val="24"/>
        </w:rPr>
        <w:t>ler</w:t>
      </w:r>
      <w:r w:rsidRPr="004E0B94">
        <w:rPr>
          <w:b/>
          <w:sz w:val="24"/>
          <w:szCs w:val="24"/>
        </w:rPr>
        <w:t>, der kan fås med eller uden recept</w:t>
      </w:r>
    </w:p>
    <w:p w:rsidR="00D478B5" w:rsidRPr="005B6F85" w:rsidRDefault="00D478B5" w:rsidP="00D478B5">
      <w:pPr>
        <w:ind w:left="851"/>
        <w:rPr>
          <w:sz w:val="24"/>
          <w:szCs w:val="24"/>
        </w:rPr>
      </w:pPr>
    </w:p>
    <w:p w:rsidR="00D478B5" w:rsidRPr="004E0B94" w:rsidRDefault="004E0B94" w:rsidP="00D478B5">
      <w:pPr>
        <w:ind w:left="851"/>
        <w:rPr>
          <w:noProof/>
          <w:sz w:val="24"/>
          <w:szCs w:val="24"/>
          <w:u w:val="single"/>
        </w:rPr>
      </w:pPr>
      <w:r w:rsidRPr="004E0B94">
        <w:rPr>
          <w:sz w:val="24"/>
          <w:szCs w:val="24"/>
          <w:u w:val="single"/>
        </w:rPr>
        <w:t>Paracetamol "Cooper"</w:t>
      </w:r>
      <w:r w:rsidR="00D478B5" w:rsidRPr="004E0B94">
        <w:rPr>
          <w:sz w:val="24"/>
          <w:szCs w:val="24"/>
          <w:u w:val="single"/>
        </w:rPr>
        <w:t xml:space="preserve"> 500 mg tabletter</w:t>
      </w:r>
    </w:p>
    <w:p w:rsidR="00D478B5" w:rsidRPr="004E0B94" w:rsidRDefault="00D478B5" w:rsidP="00D478B5">
      <w:pPr>
        <w:ind w:left="851"/>
        <w:rPr>
          <w:i/>
          <w:sz w:val="24"/>
          <w:szCs w:val="24"/>
        </w:rPr>
      </w:pPr>
      <w:r w:rsidRPr="004E0B94">
        <w:rPr>
          <w:i/>
          <w:sz w:val="24"/>
          <w:szCs w:val="24"/>
        </w:rPr>
        <w:t>Blisterpakning af PVC/aluminium</w:t>
      </w:r>
    </w:p>
    <w:p w:rsidR="00D478B5" w:rsidRPr="005B6F85" w:rsidRDefault="00D478B5" w:rsidP="00D478B5">
      <w:pPr>
        <w:ind w:left="851"/>
        <w:rPr>
          <w:sz w:val="24"/>
          <w:szCs w:val="24"/>
        </w:rPr>
      </w:pPr>
      <w:r>
        <w:rPr>
          <w:sz w:val="24"/>
          <w:szCs w:val="24"/>
        </w:rPr>
        <w:t xml:space="preserve">Pakningsstørrelser: </w:t>
      </w:r>
      <w:r w:rsidRPr="005B6F85">
        <w:rPr>
          <w:sz w:val="24"/>
          <w:szCs w:val="24"/>
        </w:rPr>
        <w:t>10, 16</w:t>
      </w:r>
      <w:r>
        <w:rPr>
          <w:sz w:val="24"/>
          <w:szCs w:val="24"/>
        </w:rPr>
        <w:t xml:space="preserve"> og</w:t>
      </w:r>
      <w:r w:rsidRPr="005B6F85">
        <w:rPr>
          <w:sz w:val="24"/>
          <w:szCs w:val="24"/>
        </w:rPr>
        <w:t xml:space="preserve"> 20 tabletter.</w:t>
      </w:r>
    </w:p>
    <w:p w:rsidR="00D478B5" w:rsidRPr="005B6F85" w:rsidRDefault="00D478B5" w:rsidP="00D478B5">
      <w:pPr>
        <w:ind w:left="851"/>
        <w:rPr>
          <w:sz w:val="24"/>
          <w:szCs w:val="24"/>
        </w:rPr>
      </w:pPr>
    </w:p>
    <w:p w:rsidR="00D478B5" w:rsidRPr="004E0B94" w:rsidRDefault="00D478B5" w:rsidP="00D478B5">
      <w:pPr>
        <w:ind w:left="851"/>
        <w:rPr>
          <w:b/>
          <w:sz w:val="24"/>
          <w:szCs w:val="24"/>
        </w:rPr>
      </w:pPr>
      <w:r w:rsidRPr="004E0B94">
        <w:rPr>
          <w:b/>
          <w:sz w:val="24"/>
          <w:szCs w:val="24"/>
        </w:rPr>
        <w:t>Lægemid</w:t>
      </w:r>
      <w:r w:rsidR="004E0B94">
        <w:rPr>
          <w:b/>
          <w:sz w:val="24"/>
          <w:szCs w:val="24"/>
        </w:rPr>
        <w:t>ler</w:t>
      </w:r>
      <w:r w:rsidRPr="004E0B94">
        <w:rPr>
          <w:b/>
          <w:sz w:val="24"/>
          <w:szCs w:val="24"/>
        </w:rPr>
        <w:t>, der KUN kan fås på recept eller til dosisdispensering/hospitalsbrug</w:t>
      </w:r>
    </w:p>
    <w:p w:rsidR="00D478B5" w:rsidRPr="005B6F85" w:rsidRDefault="00D478B5" w:rsidP="00D478B5">
      <w:pPr>
        <w:ind w:left="851"/>
        <w:rPr>
          <w:i/>
          <w:sz w:val="24"/>
          <w:szCs w:val="24"/>
        </w:rPr>
      </w:pPr>
    </w:p>
    <w:p w:rsidR="00D478B5" w:rsidRPr="004E0B94" w:rsidRDefault="004E0B94" w:rsidP="00D478B5">
      <w:pPr>
        <w:ind w:left="851"/>
        <w:rPr>
          <w:noProof/>
          <w:sz w:val="24"/>
          <w:szCs w:val="24"/>
          <w:u w:val="single"/>
        </w:rPr>
      </w:pPr>
      <w:r w:rsidRPr="004E0B94">
        <w:rPr>
          <w:sz w:val="24"/>
          <w:szCs w:val="24"/>
          <w:u w:val="single"/>
        </w:rPr>
        <w:t>Paracetamol "Cooper"</w:t>
      </w:r>
      <w:r w:rsidR="00D478B5" w:rsidRPr="004E0B94">
        <w:rPr>
          <w:sz w:val="24"/>
          <w:szCs w:val="24"/>
          <w:u w:val="single"/>
        </w:rPr>
        <w:t xml:space="preserve"> 500 mg tabletter</w:t>
      </w:r>
    </w:p>
    <w:p w:rsidR="00D478B5" w:rsidRPr="004E0B94" w:rsidRDefault="00D478B5" w:rsidP="00D478B5">
      <w:pPr>
        <w:tabs>
          <w:tab w:val="left" w:pos="720"/>
        </w:tabs>
        <w:ind w:left="851"/>
        <w:rPr>
          <w:i/>
          <w:sz w:val="24"/>
          <w:szCs w:val="24"/>
        </w:rPr>
      </w:pPr>
      <w:r w:rsidRPr="004E0B94">
        <w:rPr>
          <w:i/>
          <w:sz w:val="24"/>
          <w:szCs w:val="24"/>
        </w:rPr>
        <w:t>Blisterpakning af PVC/aluminium</w:t>
      </w:r>
    </w:p>
    <w:p w:rsidR="00D478B5" w:rsidRDefault="00D478B5" w:rsidP="00D478B5">
      <w:pPr>
        <w:tabs>
          <w:tab w:val="left" w:pos="720"/>
        </w:tabs>
        <w:ind w:left="851"/>
        <w:rPr>
          <w:sz w:val="24"/>
          <w:szCs w:val="24"/>
        </w:rPr>
      </w:pPr>
      <w:r>
        <w:rPr>
          <w:sz w:val="24"/>
          <w:szCs w:val="24"/>
        </w:rPr>
        <w:t>Pakningsstørrelser: 30 og</w:t>
      </w:r>
      <w:r w:rsidRPr="005B6F85">
        <w:rPr>
          <w:sz w:val="24"/>
          <w:szCs w:val="24"/>
        </w:rPr>
        <w:t xml:space="preserve"> </w:t>
      </w:r>
      <w:r>
        <w:rPr>
          <w:sz w:val="24"/>
          <w:szCs w:val="24"/>
        </w:rPr>
        <w:t>100</w:t>
      </w:r>
      <w:r w:rsidRPr="005B6F85">
        <w:rPr>
          <w:sz w:val="24"/>
          <w:szCs w:val="24"/>
        </w:rPr>
        <w:t xml:space="preserve"> tabletter.</w:t>
      </w:r>
    </w:p>
    <w:p w:rsidR="00D478B5" w:rsidRPr="005B6F85" w:rsidRDefault="00D478B5" w:rsidP="00D478B5">
      <w:pPr>
        <w:tabs>
          <w:tab w:val="left" w:pos="720"/>
        </w:tabs>
        <w:ind w:left="851"/>
        <w:rPr>
          <w:sz w:val="24"/>
          <w:szCs w:val="24"/>
        </w:rPr>
      </w:pPr>
    </w:p>
    <w:p w:rsidR="00D478B5" w:rsidRPr="004E0B94" w:rsidRDefault="00D478B5" w:rsidP="00D478B5">
      <w:pPr>
        <w:ind w:left="851"/>
        <w:rPr>
          <w:i/>
          <w:sz w:val="24"/>
          <w:szCs w:val="24"/>
        </w:rPr>
      </w:pPr>
      <w:r w:rsidRPr="004E0B94">
        <w:rPr>
          <w:i/>
          <w:sz w:val="24"/>
          <w:szCs w:val="24"/>
        </w:rPr>
        <w:t>Hvid, uigennemsigtig HDPE-beholder og låg, der er forseglet med et hvidt eller råhvidt indlæg</w:t>
      </w:r>
    </w:p>
    <w:p w:rsidR="00D478B5" w:rsidRPr="005B6F85" w:rsidRDefault="00D478B5" w:rsidP="00D478B5">
      <w:pPr>
        <w:ind w:left="851"/>
        <w:rPr>
          <w:sz w:val="24"/>
          <w:szCs w:val="24"/>
        </w:rPr>
      </w:pPr>
      <w:r>
        <w:rPr>
          <w:sz w:val="24"/>
          <w:szCs w:val="24"/>
        </w:rPr>
        <w:t xml:space="preserve">Pakningsstørrelser: </w:t>
      </w:r>
      <w:r w:rsidRPr="005B6F85">
        <w:rPr>
          <w:sz w:val="24"/>
          <w:szCs w:val="24"/>
        </w:rPr>
        <w:t>10</w:t>
      </w:r>
      <w:r>
        <w:rPr>
          <w:sz w:val="24"/>
          <w:szCs w:val="24"/>
        </w:rPr>
        <w:t>0</w:t>
      </w:r>
      <w:r w:rsidRPr="005B6F85">
        <w:rPr>
          <w:sz w:val="24"/>
          <w:szCs w:val="24"/>
        </w:rPr>
        <w:t xml:space="preserve"> tabletter. </w:t>
      </w:r>
    </w:p>
    <w:p w:rsidR="00D478B5" w:rsidRPr="005B6F85" w:rsidRDefault="00D478B5" w:rsidP="00D478B5">
      <w:pPr>
        <w:ind w:left="851"/>
        <w:rPr>
          <w:sz w:val="24"/>
          <w:szCs w:val="24"/>
        </w:rPr>
      </w:pPr>
    </w:p>
    <w:p w:rsidR="00D478B5" w:rsidRPr="004E0B94" w:rsidRDefault="004E0B94" w:rsidP="00D478B5">
      <w:pPr>
        <w:ind w:left="851"/>
        <w:rPr>
          <w:sz w:val="24"/>
          <w:szCs w:val="24"/>
          <w:u w:val="single"/>
        </w:rPr>
      </w:pPr>
      <w:r w:rsidRPr="004E0B94">
        <w:rPr>
          <w:sz w:val="24"/>
          <w:szCs w:val="24"/>
          <w:u w:val="single"/>
        </w:rPr>
        <w:lastRenderedPageBreak/>
        <w:t>Paracetamol "Cooper"</w:t>
      </w:r>
      <w:r w:rsidR="00D478B5" w:rsidRPr="004E0B94">
        <w:rPr>
          <w:sz w:val="24"/>
          <w:szCs w:val="24"/>
          <w:u w:val="single"/>
        </w:rPr>
        <w:t xml:space="preserve"> 1.000 mg tabletter</w:t>
      </w:r>
    </w:p>
    <w:p w:rsidR="00D478B5" w:rsidRPr="004E0B94" w:rsidRDefault="00D478B5" w:rsidP="00D478B5">
      <w:pPr>
        <w:ind w:left="851"/>
        <w:rPr>
          <w:i/>
          <w:sz w:val="24"/>
          <w:szCs w:val="24"/>
        </w:rPr>
      </w:pPr>
      <w:r w:rsidRPr="004E0B94">
        <w:rPr>
          <w:i/>
          <w:sz w:val="24"/>
          <w:szCs w:val="24"/>
        </w:rPr>
        <w:t>Blisterpakning af PVC/aluminium</w:t>
      </w:r>
    </w:p>
    <w:p w:rsidR="00D478B5" w:rsidRDefault="00D478B5" w:rsidP="00D478B5">
      <w:pPr>
        <w:ind w:left="851"/>
        <w:rPr>
          <w:sz w:val="24"/>
          <w:szCs w:val="24"/>
        </w:rPr>
      </w:pPr>
      <w:r>
        <w:rPr>
          <w:sz w:val="24"/>
          <w:szCs w:val="24"/>
        </w:rPr>
        <w:t xml:space="preserve">Pakningsstørrelser: 8, </w:t>
      </w:r>
      <w:r w:rsidRPr="005B6F85">
        <w:rPr>
          <w:sz w:val="24"/>
          <w:szCs w:val="24"/>
        </w:rPr>
        <w:t>10, 16</w:t>
      </w:r>
      <w:r>
        <w:rPr>
          <w:sz w:val="24"/>
          <w:szCs w:val="24"/>
        </w:rPr>
        <w:t>, 20, 30 og 4</w:t>
      </w:r>
      <w:r w:rsidRPr="005B6F85">
        <w:rPr>
          <w:sz w:val="24"/>
          <w:szCs w:val="24"/>
        </w:rPr>
        <w:t>0 tabletter.</w:t>
      </w:r>
    </w:p>
    <w:p w:rsidR="00D478B5" w:rsidRDefault="00D478B5" w:rsidP="00D478B5">
      <w:pPr>
        <w:ind w:left="851"/>
        <w:rPr>
          <w:sz w:val="24"/>
          <w:szCs w:val="24"/>
        </w:rPr>
      </w:pPr>
    </w:p>
    <w:p w:rsidR="00D478B5" w:rsidRPr="004E0B94" w:rsidRDefault="00D478B5" w:rsidP="00D478B5">
      <w:pPr>
        <w:ind w:left="851"/>
        <w:rPr>
          <w:i/>
          <w:sz w:val="24"/>
          <w:szCs w:val="24"/>
        </w:rPr>
      </w:pPr>
      <w:r w:rsidRPr="004E0B94">
        <w:rPr>
          <w:i/>
          <w:sz w:val="24"/>
          <w:szCs w:val="24"/>
        </w:rPr>
        <w:t>Hvid, uigennemsigtig HDPE-beholder og låg, der er forseglet med et hvidt eller råhvidt indlæg</w:t>
      </w:r>
    </w:p>
    <w:p w:rsidR="00D478B5" w:rsidRDefault="00D478B5" w:rsidP="00D478B5">
      <w:pPr>
        <w:ind w:left="851"/>
        <w:rPr>
          <w:sz w:val="24"/>
          <w:szCs w:val="24"/>
        </w:rPr>
      </w:pPr>
      <w:r>
        <w:rPr>
          <w:sz w:val="24"/>
          <w:szCs w:val="24"/>
        </w:rPr>
        <w:t xml:space="preserve">Pakningsstørrelser: </w:t>
      </w:r>
      <w:r w:rsidRPr="005B6F85">
        <w:rPr>
          <w:sz w:val="24"/>
          <w:szCs w:val="24"/>
        </w:rPr>
        <w:t>10</w:t>
      </w:r>
      <w:r>
        <w:rPr>
          <w:sz w:val="24"/>
          <w:szCs w:val="24"/>
        </w:rPr>
        <w:t>0</w:t>
      </w:r>
      <w:r w:rsidRPr="005B6F85">
        <w:rPr>
          <w:sz w:val="24"/>
          <w:szCs w:val="24"/>
        </w:rPr>
        <w:t xml:space="preserve"> tabletter.</w:t>
      </w:r>
    </w:p>
    <w:p w:rsidR="00D478B5" w:rsidRPr="005B6F85" w:rsidRDefault="00D478B5" w:rsidP="00D478B5">
      <w:pPr>
        <w:ind w:left="851"/>
        <w:rPr>
          <w:sz w:val="24"/>
          <w:szCs w:val="24"/>
        </w:rPr>
      </w:pPr>
    </w:p>
    <w:p w:rsidR="00D478B5" w:rsidRPr="005B6F85" w:rsidRDefault="00D478B5" w:rsidP="00D478B5">
      <w:pPr>
        <w:ind w:left="851"/>
        <w:rPr>
          <w:sz w:val="24"/>
          <w:szCs w:val="24"/>
        </w:rPr>
      </w:pPr>
      <w:r w:rsidRPr="005B6F85">
        <w:rPr>
          <w:sz w:val="24"/>
          <w:szCs w:val="24"/>
        </w:rPr>
        <w:t>Ikke alle pakningsstørrelser er nødvendigvis markedsført.</w:t>
      </w:r>
    </w:p>
    <w:p w:rsidR="00D478B5" w:rsidRPr="005B6F85" w:rsidRDefault="00D478B5" w:rsidP="00D478B5">
      <w:pPr>
        <w:tabs>
          <w:tab w:val="left" w:pos="851"/>
        </w:tabs>
        <w:ind w:left="851"/>
        <w:rPr>
          <w:sz w:val="24"/>
          <w:szCs w:val="24"/>
        </w:rPr>
      </w:pPr>
    </w:p>
    <w:p w:rsidR="00D87833" w:rsidRPr="00C84483" w:rsidRDefault="00D87833" w:rsidP="008D2841">
      <w:pPr>
        <w:keepNext/>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145FCC" w:rsidRDefault="00D478B5" w:rsidP="008D2841">
      <w:pPr>
        <w:ind w:left="851"/>
        <w:rPr>
          <w:sz w:val="24"/>
          <w:szCs w:val="24"/>
        </w:rPr>
      </w:pPr>
      <w:r w:rsidRPr="005B6F85">
        <w:rPr>
          <w:sz w:val="24"/>
          <w:szCs w:val="24"/>
        </w:rPr>
        <w:t>Ikke anvendt lægemiddel samt affald heraf skal bortskaffes i henhold til lokale retningslinjer.</w:t>
      </w:r>
    </w:p>
    <w:p w:rsidR="008D2841" w:rsidRDefault="008D2841" w:rsidP="008D2841">
      <w:pPr>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7.</w:t>
      </w:r>
      <w:r w:rsidRPr="005B6F85">
        <w:rPr>
          <w:b/>
          <w:sz w:val="24"/>
          <w:szCs w:val="24"/>
        </w:rPr>
        <w:tab/>
        <w:t>INDEHAVER AF MARKEDSFØRINGSTILLADELSEN</w:t>
      </w:r>
    </w:p>
    <w:p w:rsidR="004E0B94" w:rsidRPr="003B7174" w:rsidRDefault="004E0B94" w:rsidP="004E0B94">
      <w:pPr>
        <w:ind w:left="851"/>
        <w:rPr>
          <w:spacing w:val="-3"/>
          <w:sz w:val="24"/>
          <w:szCs w:val="24"/>
        </w:rPr>
      </w:pPr>
      <w:r w:rsidRPr="003B7174">
        <w:rPr>
          <w:spacing w:val="-3"/>
          <w:sz w:val="24"/>
          <w:szCs w:val="24"/>
        </w:rPr>
        <w:t>Cooper Consumer Health B.V.</w:t>
      </w:r>
    </w:p>
    <w:p w:rsidR="004E0B94" w:rsidRDefault="004E0B94" w:rsidP="004E0B94">
      <w:pPr>
        <w:ind w:left="851"/>
        <w:rPr>
          <w:spacing w:val="-3"/>
          <w:sz w:val="24"/>
          <w:szCs w:val="24"/>
        </w:rPr>
      </w:pPr>
      <w:proofErr w:type="spellStart"/>
      <w:r>
        <w:rPr>
          <w:spacing w:val="-3"/>
          <w:sz w:val="24"/>
          <w:szCs w:val="24"/>
        </w:rPr>
        <w:t>Verrijn</w:t>
      </w:r>
      <w:proofErr w:type="spellEnd"/>
      <w:r>
        <w:rPr>
          <w:spacing w:val="-3"/>
          <w:sz w:val="24"/>
          <w:szCs w:val="24"/>
        </w:rPr>
        <w:t xml:space="preserve"> </w:t>
      </w:r>
      <w:proofErr w:type="spellStart"/>
      <w:r>
        <w:rPr>
          <w:spacing w:val="-3"/>
          <w:sz w:val="24"/>
          <w:szCs w:val="24"/>
        </w:rPr>
        <w:t>Stuartweg</w:t>
      </w:r>
      <w:proofErr w:type="spellEnd"/>
      <w:r>
        <w:rPr>
          <w:spacing w:val="-3"/>
          <w:sz w:val="24"/>
          <w:szCs w:val="24"/>
        </w:rPr>
        <w:t xml:space="preserve"> 60</w:t>
      </w:r>
    </w:p>
    <w:p w:rsidR="004E0B94" w:rsidRDefault="004E0B94" w:rsidP="004E0B94">
      <w:pPr>
        <w:ind w:left="851"/>
        <w:rPr>
          <w:spacing w:val="-3"/>
          <w:sz w:val="24"/>
          <w:szCs w:val="24"/>
        </w:rPr>
      </w:pPr>
      <w:r>
        <w:rPr>
          <w:spacing w:val="-3"/>
          <w:sz w:val="24"/>
          <w:szCs w:val="24"/>
        </w:rPr>
        <w:t xml:space="preserve">1112AX </w:t>
      </w:r>
      <w:proofErr w:type="spellStart"/>
      <w:r>
        <w:rPr>
          <w:spacing w:val="-3"/>
          <w:sz w:val="24"/>
          <w:szCs w:val="24"/>
        </w:rPr>
        <w:t>Diemen</w:t>
      </w:r>
      <w:proofErr w:type="spellEnd"/>
      <w:r>
        <w:rPr>
          <w:spacing w:val="-3"/>
          <w:sz w:val="24"/>
          <w:szCs w:val="24"/>
        </w:rPr>
        <w:t xml:space="preserve"> </w:t>
      </w:r>
    </w:p>
    <w:p w:rsidR="003D2F91" w:rsidRDefault="004E0B94" w:rsidP="004E0B94">
      <w:pPr>
        <w:ind w:left="851"/>
        <w:rPr>
          <w:sz w:val="24"/>
          <w:szCs w:val="24"/>
        </w:rPr>
      </w:pPr>
      <w:r>
        <w:rPr>
          <w:sz w:val="24"/>
          <w:szCs w:val="24"/>
        </w:rPr>
        <w:t>Holland</w:t>
      </w:r>
    </w:p>
    <w:p w:rsidR="00D478B5" w:rsidRPr="005B6F85" w:rsidRDefault="00D478B5" w:rsidP="00D478B5">
      <w:pPr>
        <w:tabs>
          <w:tab w:val="left" w:pos="851"/>
        </w:tabs>
        <w:ind w:left="851"/>
        <w:rPr>
          <w:sz w:val="24"/>
          <w:szCs w:val="24"/>
        </w:rPr>
      </w:pPr>
    </w:p>
    <w:p w:rsidR="00D87833" w:rsidRPr="00C84483" w:rsidRDefault="00D87833" w:rsidP="00D87833">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D478B5" w:rsidRPr="005B6F85" w:rsidRDefault="00D478B5" w:rsidP="00D478B5">
      <w:pPr>
        <w:tabs>
          <w:tab w:val="left" w:pos="851"/>
          <w:tab w:val="left" w:pos="1985"/>
        </w:tabs>
        <w:ind w:left="851"/>
        <w:rPr>
          <w:sz w:val="24"/>
          <w:szCs w:val="24"/>
        </w:rPr>
      </w:pPr>
      <w:r w:rsidRPr="005B6F85">
        <w:rPr>
          <w:sz w:val="24"/>
          <w:szCs w:val="24"/>
        </w:rPr>
        <w:t xml:space="preserve">500 mg: </w:t>
      </w:r>
      <w:r>
        <w:rPr>
          <w:sz w:val="24"/>
          <w:szCs w:val="24"/>
        </w:rPr>
        <w:tab/>
      </w:r>
      <w:r w:rsidRPr="005B6F85">
        <w:rPr>
          <w:sz w:val="24"/>
          <w:szCs w:val="24"/>
        </w:rPr>
        <w:t>60718</w:t>
      </w:r>
    </w:p>
    <w:p w:rsidR="00D478B5" w:rsidRPr="005B6F85" w:rsidRDefault="00D478B5" w:rsidP="00D478B5">
      <w:pPr>
        <w:tabs>
          <w:tab w:val="left" w:pos="851"/>
          <w:tab w:val="left" w:pos="1985"/>
        </w:tabs>
        <w:ind w:left="851"/>
        <w:rPr>
          <w:sz w:val="24"/>
          <w:szCs w:val="24"/>
        </w:rPr>
      </w:pPr>
      <w:r w:rsidRPr="005B6F85">
        <w:rPr>
          <w:sz w:val="24"/>
          <w:szCs w:val="24"/>
        </w:rPr>
        <w:t>1000 mg:</w:t>
      </w:r>
      <w:r>
        <w:rPr>
          <w:sz w:val="24"/>
          <w:szCs w:val="24"/>
        </w:rPr>
        <w:tab/>
      </w:r>
      <w:r w:rsidRPr="005B6F85">
        <w:rPr>
          <w:sz w:val="24"/>
          <w:szCs w:val="24"/>
        </w:rPr>
        <w:t>60719</w:t>
      </w:r>
    </w:p>
    <w:p w:rsidR="00D478B5" w:rsidRPr="005B6F85" w:rsidRDefault="00D478B5" w:rsidP="00D478B5">
      <w:pPr>
        <w:tabs>
          <w:tab w:val="left" w:pos="851"/>
        </w:tabs>
        <w:ind w:left="851"/>
        <w:jc w:val="both"/>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9.</w:t>
      </w:r>
      <w:r w:rsidRPr="005B6F85">
        <w:rPr>
          <w:b/>
          <w:sz w:val="24"/>
          <w:szCs w:val="24"/>
        </w:rPr>
        <w:tab/>
        <w:t>DATO FOR FØRSTE MARKEDSFØRINGSTILLADELSE</w:t>
      </w:r>
    </w:p>
    <w:p w:rsidR="00D478B5" w:rsidRPr="005B6F85" w:rsidRDefault="00D478B5" w:rsidP="00D478B5">
      <w:pPr>
        <w:tabs>
          <w:tab w:val="left" w:pos="851"/>
        </w:tabs>
        <w:ind w:left="851"/>
        <w:rPr>
          <w:sz w:val="24"/>
          <w:szCs w:val="24"/>
        </w:rPr>
      </w:pPr>
      <w:r>
        <w:rPr>
          <w:sz w:val="24"/>
          <w:szCs w:val="24"/>
        </w:rPr>
        <w:t>30. august 2019</w:t>
      </w:r>
    </w:p>
    <w:p w:rsidR="00D478B5" w:rsidRPr="005B6F85" w:rsidRDefault="00D478B5" w:rsidP="00D478B5">
      <w:pPr>
        <w:tabs>
          <w:tab w:val="left" w:pos="851"/>
        </w:tabs>
        <w:ind w:left="851"/>
        <w:rPr>
          <w:sz w:val="24"/>
          <w:szCs w:val="24"/>
        </w:rPr>
      </w:pPr>
    </w:p>
    <w:p w:rsidR="00D478B5" w:rsidRPr="005B6F85" w:rsidRDefault="00D478B5" w:rsidP="00D478B5">
      <w:pPr>
        <w:tabs>
          <w:tab w:val="left" w:pos="851"/>
        </w:tabs>
        <w:ind w:left="851" w:hanging="851"/>
        <w:rPr>
          <w:b/>
          <w:sz w:val="24"/>
          <w:szCs w:val="24"/>
        </w:rPr>
      </w:pPr>
      <w:r w:rsidRPr="005B6F85">
        <w:rPr>
          <w:b/>
          <w:sz w:val="24"/>
          <w:szCs w:val="24"/>
        </w:rPr>
        <w:t>10.</w:t>
      </w:r>
      <w:r w:rsidRPr="005B6F85">
        <w:rPr>
          <w:b/>
          <w:sz w:val="24"/>
          <w:szCs w:val="24"/>
        </w:rPr>
        <w:tab/>
        <w:t>DATO FOR ÆNDRING AF TEKSTEN</w:t>
      </w:r>
    </w:p>
    <w:p w:rsidR="009260DE" w:rsidRPr="00D478B5" w:rsidRDefault="00634F49" w:rsidP="00EB53F3">
      <w:pPr>
        <w:ind w:left="851"/>
      </w:pPr>
      <w:r>
        <w:rPr>
          <w:sz w:val="24"/>
          <w:szCs w:val="24"/>
        </w:rPr>
        <w:t>2. december</w:t>
      </w:r>
      <w:r w:rsidR="004E0B94">
        <w:rPr>
          <w:sz w:val="24"/>
          <w:szCs w:val="24"/>
        </w:rPr>
        <w:t xml:space="preserve"> </w:t>
      </w:r>
      <w:r w:rsidR="008D2841">
        <w:rPr>
          <w:sz w:val="24"/>
          <w:szCs w:val="24"/>
        </w:rPr>
        <w:t>2025</w:t>
      </w:r>
    </w:p>
    <w:sectPr w:rsidR="009260DE" w:rsidRPr="00D478B5"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8B5" w:rsidRDefault="00D478B5">
      <w:r>
        <w:separator/>
      </w:r>
    </w:p>
  </w:endnote>
  <w:endnote w:type="continuationSeparator" w:id="0">
    <w:p w:rsidR="00D478B5" w:rsidRDefault="00D4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3D2F91" w:rsidP="00C42586">
    <w:pPr>
      <w:pStyle w:val="Sidefod"/>
      <w:tabs>
        <w:tab w:val="clear" w:pos="4819"/>
        <w:tab w:val="left" w:pos="8505"/>
      </w:tabs>
      <w:rPr>
        <w:i/>
        <w:sz w:val="18"/>
        <w:szCs w:val="18"/>
      </w:rPr>
    </w:pPr>
    <w:r w:rsidRPr="003D2F91">
      <w:rPr>
        <w:i/>
        <w:sz w:val="18"/>
        <w:szCs w:val="18"/>
      </w:rPr>
      <w:t xml:space="preserve">Paracetamol </w:t>
    </w:r>
    <w:proofErr w:type="spellStart"/>
    <w:r w:rsidR="00F71B6D">
      <w:rPr>
        <w:i/>
        <w:sz w:val="18"/>
        <w:szCs w:val="18"/>
      </w:rPr>
      <w:t>Viatris</w:t>
    </w:r>
    <w:proofErr w:type="spellEnd"/>
    <w:r w:rsidRPr="003D2F91">
      <w:rPr>
        <w:i/>
        <w:sz w:val="18"/>
        <w:szCs w:val="18"/>
      </w:rPr>
      <w:t>, tabletter 500 mg og 1000 mg</w:t>
    </w:r>
    <w:r w:rsidR="000259B9" w:rsidRPr="00B373D7">
      <w:rPr>
        <w:i/>
        <w:sz w:val="18"/>
        <w:szCs w:val="18"/>
      </w:rPr>
      <w:tab/>
      <w:t xml:space="preserve">Side </w:t>
    </w:r>
    <w:r w:rsidR="00782AF4" w:rsidRPr="00B373D7">
      <w:rPr>
        <w:rStyle w:val="Sidetal"/>
        <w:i/>
        <w:sz w:val="18"/>
        <w:szCs w:val="18"/>
      </w:rPr>
      <w:fldChar w:fldCharType="begin"/>
    </w:r>
    <w:r w:rsidR="000259B9" w:rsidRPr="00B373D7">
      <w:rPr>
        <w:rStyle w:val="Sidetal"/>
        <w:i/>
        <w:sz w:val="18"/>
        <w:szCs w:val="18"/>
      </w:rPr>
      <w:instrText xml:space="preserve"> PAGE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r w:rsidR="000259B9" w:rsidRPr="00B373D7">
      <w:rPr>
        <w:rStyle w:val="Sidetal"/>
        <w:i/>
        <w:sz w:val="18"/>
        <w:szCs w:val="18"/>
      </w:rPr>
      <w:t xml:space="preserve"> af </w:t>
    </w:r>
    <w:r w:rsidR="00782AF4" w:rsidRPr="00B373D7">
      <w:rPr>
        <w:rStyle w:val="Sidetal"/>
        <w:i/>
        <w:sz w:val="18"/>
        <w:szCs w:val="18"/>
      </w:rPr>
      <w:fldChar w:fldCharType="begin"/>
    </w:r>
    <w:r w:rsidR="000259B9" w:rsidRPr="00B373D7">
      <w:rPr>
        <w:rStyle w:val="Sidetal"/>
        <w:i/>
        <w:sz w:val="18"/>
        <w:szCs w:val="18"/>
      </w:rPr>
      <w:instrText xml:space="preserve"> NUMPAGES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8B5" w:rsidRDefault="00D478B5">
      <w:r>
        <w:separator/>
      </w:r>
    </w:p>
  </w:footnote>
  <w:footnote w:type="continuationSeparator" w:id="0">
    <w:p w:rsidR="00D478B5" w:rsidRDefault="00D47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CA469CA"/>
    <w:multiLevelType w:val="hybridMultilevel"/>
    <w:tmpl w:val="A68E35EE"/>
    <w:lvl w:ilvl="0" w:tplc="9DC661D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02B135B"/>
    <w:multiLevelType w:val="hybridMultilevel"/>
    <w:tmpl w:val="7BFCF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B5"/>
    <w:rsid w:val="000259B9"/>
    <w:rsid w:val="00041491"/>
    <w:rsid w:val="00050D16"/>
    <w:rsid w:val="00073A10"/>
    <w:rsid w:val="00074F2A"/>
    <w:rsid w:val="0009731B"/>
    <w:rsid w:val="000A1CA8"/>
    <w:rsid w:val="000A466B"/>
    <w:rsid w:val="000B058C"/>
    <w:rsid w:val="000E4EE6"/>
    <w:rsid w:val="001454E2"/>
    <w:rsid w:val="00145FCC"/>
    <w:rsid w:val="001D131A"/>
    <w:rsid w:val="001E2C91"/>
    <w:rsid w:val="00206CE8"/>
    <w:rsid w:val="0021526C"/>
    <w:rsid w:val="002761F8"/>
    <w:rsid w:val="00283A2B"/>
    <w:rsid w:val="002B30AD"/>
    <w:rsid w:val="002C2C01"/>
    <w:rsid w:val="003A290A"/>
    <w:rsid w:val="003A29AE"/>
    <w:rsid w:val="003A32D7"/>
    <w:rsid w:val="003B4074"/>
    <w:rsid w:val="003B7174"/>
    <w:rsid w:val="003C769A"/>
    <w:rsid w:val="003D2F91"/>
    <w:rsid w:val="003F1838"/>
    <w:rsid w:val="0041719F"/>
    <w:rsid w:val="0045746C"/>
    <w:rsid w:val="0049104B"/>
    <w:rsid w:val="004E0B94"/>
    <w:rsid w:val="004E12F2"/>
    <w:rsid w:val="004E3B12"/>
    <w:rsid w:val="00532310"/>
    <w:rsid w:val="00560ECC"/>
    <w:rsid w:val="00565F0F"/>
    <w:rsid w:val="00594A86"/>
    <w:rsid w:val="00596D86"/>
    <w:rsid w:val="00634F49"/>
    <w:rsid w:val="00637F5A"/>
    <w:rsid w:val="006560B1"/>
    <w:rsid w:val="006756DD"/>
    <w:rsid w:val="00737275"/>
    <w:rsid w:val="00740EEC"/>
    <w:rsid w:val="0078011A"/>
    <w:rsid w:val="00782AF4"/>
    <w:rsid w:val="00790EE7"/>
    <w:rsid w:val="007B6649"/>
    <w:rsid w:val="0081546F"/>
    <w:rsid w:val="0082576E"/>
    <w:rsid w:val="0086753B"/>
    <w:rsid w:val="008D2841"/>
    <w:rsid w:val="00907F75"/>
    <w:rsid w:val="009260DE"/>
    <w:rsid w:val="0093258A"/>
    <w:rsid w:val="009C7BA3"/>
    <w:rsid w:val="009D1F5A"/>
    <w:rsid w:val="009E097A"/>
    <w:rsid w:val="00B003BF"/>
    <w:rsid w:val="00B373D7"/>
    <w:rsid w:val="00BA1C3B"/>
    <w:rsid w:val="00C36276"/>
    <w:rsid w:val="00C42586"/>
    <w:rsid w:val="00C47DA1"/>
    <w:rsid w:val="00C60CCD"/>
    <w:rsid w:val="00C84483"/>
    <w:rsid w:val="00C95551"/>
    <w:rsid w:val="00CB20D7"/>
    <w:rsid w:val="00D020B0"/>
    <w:rsid w:val="00D11748"/>
    <w:rsid w:val="00D366CF"/>
    <w:rsid w:val="00D478B5"/>
    <w:rsid w:val="00D87833"/>
    <w:rsid w:val="00E108AA"/>
    <w:rsid w:val="00E31812"/>
    <w:rsid w:val="00E3749A"/>
    <w:rsid w:val="00E7437F"/>
    <w:rsid w:val="00E865B8"/>
    <w:rsid w:val="00EB53F3"/>
    <w:rsid w:val="00EC0B9B"/>
    <w:rsid w:val="00ED5E9F"/>
    <w:rsid w:val="00F37C6B"/>
    <w:rsid w:val="00F66D4F"/>
    <w:rsid w:val="00F71B6D"/>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1B163"/>
  <w15:chartTrackingRefBased/>
  <w15:docId w15:val="{BB97A1CD-109D-4756-B348-D5B1869B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D478B5"/>
    <w:pPr>
      <w:spacing w:before="120" w:after="120"/>
      <w:jc w:val="both"/>
    </w:pPr>
    <w:rPr>
      <w:sz w:val="22"/>
    </w:rPr>
  </w:style>
  <w:style w:type="paragraph" w:customStyle="1" w:styleId="Default">
    <w:name w:val="Default"/>
    <w:rsid w:val="00D478B5"/>
    <w:pPr>
      <w:autoSpaceDE w:val="0"/>
      <w:autoSpaceDN w:val="0"/>
      <w:adjustRightInd w:val="0"/>
    </w:pPr>
    <w:rPr>
      <w:lang w:eastAsia="en-US"/>
    </w:rPr>
  </w:style>
  <w:style w:type="character" w:styleId="Hyperlink">
    <w:name w:val="Hyperlink"/>
    <w:basedOn w:val="Standardskrifttypeiafsnit"/>
    <w:uiPriority w:val="99"/>
    <w:unhideWhenUsed/>
    <w:rsid w:val="003D2F91"/>
    <w:rPr>
      <w:color w:val="0563C1" w:themeColor="hyperlink"/>
      <w:u w:val="single"/>
    </w:rPr>
  </w:style>
  <w:style w:type="character" w:styleId="Ulstomtale">
    <w:name w:val="Unresolved Mention"/>
    <w:basedOn w:val="Standardskrifttypeiafsnit"/>
    <w:uiPriority w:val="99"/>
    <w:semiHidden/>
    <w:unhideWhenUsed/>
    <w:rsid w:val="003D2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5394">
      <w:bodyDiv w:val="1"/>
      <w:marLeft w:val="0"/>
      <w:marRight w:val="0"/>
      <w:marTop w:val="0"/>
      <w:marBottom w:val="0"/>
      <w:divBdr>
        <w:top w:val="none" w:sz="0" w:space="0" w:color="auto"/>
        <w:left w:val="none" w:sz="0" w:space="0" w:color="auto"/>
        <w:bottom w:val="none" w:sz="0" w:space="0" w:color="auto"/>
        <w:right w:val="none" w:sz="0" w:space="0" w:color="auto"/>
      </w:divBdr>
    </w:div>
    <w:div w:id="3358262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56394963">
      <w:bodyDiv w:val="1"/>
      <w:marLeft w:val="0"/>
      <w:marRight w:val="0"/>
      <w:marTop w:val="0"/>
      <w:marBottom w:val="0"/>
      <w:divBdr>
        <w:top w:val="none" w:sz="0" w:space="0" w:color="auto"/>
        <w:left w:val="none" w:sz="0" w:space="0" w:color="auto"/>
        <w:bottom w:val="none" w:sz="0" w:space="0" w:color="auto"/>
        <w:right w:val="none" w:sz="0" w:space="0" w:color="auto"/>
      </w:divBdr>
    </w:div>
    <w:div w:id="1144469590">
      <w:bodyDiv w:val="1"/>
      <w:marLeft w:val="0"/>
      <w:marRight w:val="0"/>
      <w:marTop w:val="0"/>
      <w:marBottom w:val="0"/>
      <w:divBdr>
        <w:top w:val="none" w:sz="0" w:space="0" w:color="auto"/>
        <w:left w:val="none" w:sz="0" w:space="0" w:color="auto"/>
        <w:bottom w:val="none" w:sz="0" w:space="0" w:color="auto"/>
        <w:right w:val="none" w:sz="0" w:space="0" w:color="auto"/>
      </w:divBdr>
    </w:div>
    <w:div w:id="1886863961">
      <w:bodyDiv w:val="1"/>
      <w:marLeft w:val="0"/>
      <w:marRight w:val="0"/>
      <w:marTop w:val="0"/>
      <w:marBottom w:val="0"/>
      <w:divBdr>
        <w:top w:val="none" w:sz="0" w:space="0" w:color="auto"/>
        <w:left w:val="none" w:sz="0" w:space="0" w:color="auto"/>
        <w:bottom w:val="none" w:sz="0" w:space="0" w:color="auto"/>
        <w:right w:val="none" w:sz="0" w:space="0" w:color="auto"/>
      </w:divBdr>
    </w:div>
    <w:div w:id="20476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2628</Words>
  <Characters>16780</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MMarianne Ott Jensen</dc:creator>
  <cp:keywords/>
  <dc:description>2025110244_x000d_
Sletning af repræsentanten Viatris ApS</dc:description>
  <cp:lastModifiedBy>Marianne Ott Jensen</cp:lastModifiedBy>
  <cp:revision>4</cp:revision>
  <cp:lastPrinted>2012-08-22T08:53:00Z</cp:lastPrinted>
  <dcterms:created xsi:type="dcterms:W3CDTF">2025-12-02T13:35:00Z</dcterms:created>
  <dcterms:modified xsi:type="dcterms:W3CDTF">2025-12-02T13:37:00Z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