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0085" w14:textId="30247EA6" w:rsidR="009260DE" w:rsidRPr="00951E6D" w:rsidRDefault="0021526C" w:rsidP="00635BAC">
      <w:pPr>
        <w:rPr>
          <w:bCs/>
          <w:sz w:val="24"/>
          <w:szCs w:val="24"/>
        </w:rPr>
      </w:pPr>
      <w:r w:rsidRPr="00054795">
        <w:rPr>
          <w:noProof/>
          <w:sz w:val="24"/>
          <w:szCs w:val="24"/>
          <w:lang w:eastAsia="da-DK"/>
        </w:rPr>
        <w:drawing>
          <wp:anchor distT="0" distB="0" distL="114300" distR="114300" simplePos="0" relativeHeight="251658240" behindDoc="0" locked="0" layoutInCell="1" allowOverlap="1" wp14:anchorId="6C2C7AB9" wp14:editId="016D086B">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054795">
        <w:rPr>
          <w:sz w:val="24"/>
          <w:szCs w:val="24"/>
        </w:rPr>
        <w:br w:type="textWrapping" w:clear="all"/>
      </w:r>
    </w:p>
    <w:p w14:paraId="73C2C561" w14:textId="0D30162B" w:rsidR="009260DE" w:rsidRPr="00054795" w:rsidRDefault="009260DE" w:rsidP="009260DE">
      <w:pPr>
        <w:pStyle w:val="Titel"/>
        <w:tabs>
          <w:tab w:val="right" w:pos="9356"/>
        </w:tabs>
        <w:jc w:val="left"/>
        <w:rPr>
          <w:b w:val="0"/>
          <w:szCs w:val="24"/>
          <w:lang w:eastAsia="en-US"/>
        </w:rPr>
      </w:pPr>
      <w:r w:rsidRPr="00054795">
        <w:rPr>
          <w:b w:val="0"/>
          <w:szCs w:val="24"/>
          <w:lang w:eastAsia="en-US"/>
        </w:rPr>
        <w:tab/>
      </w:r>
      <w:r w:rsidR="00FA19FB">
        <w:rPr>
          <w:szCs w:val="24"/>
        </w:rPr>
        <w:t>14. april 2026</w:t>
      </w:r>
    </w:p>
    <w:p w14:paraId="121B1CFE" w14:textId="77777777" w:rsidR="009260DE" w:rsidRPr="00054795" w:rsidRDefault="009260DE" w:rsidP="009260DE">
      <w:pPr>
        <w:pStyle w:val="Titel"/>
        <w:tabs>
          <w:tab w:val="left" w:pos="8222"/>
        </w:tabs>
        <w:jc w:val="left"/>
        <w:rPr>
          <w:b w:val="0"/>
          <w:szCs w:val="24"/>
        </w:rPr>
      </w:pPr>
    </w:p>
    <w:p w14:paraId="3533EE67" w14:textId="77777777" w:rsidR="009260DE" w:rsidRPr="00054795" w:rsidRDefault="009260DE" w:rsidP="009260DE">
      <w:pPr>
        <w:pStyle w:val="Titel"/>
        <w:jc w:val="left"/>
        <w:rPr>
          <w:b w:val="0"/>
          <w:szCs w:val="24"/>
        </w:rPr>
      </w:pPr>
    </w:p>
    <w:p w14:paraId="244DACC0" w14:textId="77777777" w:rsidR="009260DE" w:rsidRPr="00054795" w:rsidRDefault="009260DE" w:rsidP="009260DE">
      <w:pPr>
        <w:pStyle w:val="Titel"/>
        <w:jc w:val="left"/>
        <w:rPr>
          <w:b w:val="0"/>
          <w:szCs w:val="24"/>
        </w:rPr>
      </w:pPr>
    </w:p>
    <w:p w14:paraId="52E91897" w14:textId="77777777" w:rsidR="009260DE" w:rsidRPr="00054795" w:rsidRDefault="009260DE" w:rsidP="009260DE">
      <w:pPr>
        <w:jc w:val="center"/>
        <w:rPr>
          <w:b/>
          <w:sz w:val="24"/>
          <w:szCs w:val="24"/>
        </w:rPr>
      </w:pPr>
      <w:r w:rsidRPr="00054795">
        <w:rPr>
          <w:b/>
          <w:sz w:val="24"/>
          <w:szCs w:val="24"/>
        </w:rPr>
        <w:t>PRODUKTRESUMÉ</w:t>
      </w:r>
    </w:p>
    <w:p w14:paraId="536146B3" w14:textId="77777777" w:rsidR="009260DE" w:rsidRPr="00054795" w:rsidRDefault="009260DE" w:rsidP="009260DE">
      <w:pPr>
        <w:jc w:val="center"/>
        <w:rPr>
          <w:b/>
          <w:sz w:val="24"/>
          <w:szCs w:val="24"/>
        </w:rPr>
      </w:pPr>
    </w:p>
    <w:p w14:paraId="55E225CE" w14:textId="77777777" w:rsidR="009260DE" w:rsidRPr="00054795" w:rsidRDefault="009260DE" w:rsidP="009260DE">
      <w:pPr>
        <w:jc w:val="center"/>
        <w:rPr>
          <w:b/>
          <w:sz w:val="24"/>
          <w:szCs w:val="24"/>
        </w:rPr>
      </w:pPr>
      <w:r w:rsidRPr="00054795">
        <w:rPr>
          <w:b/>
          <w:sz w:val="24"/>
          <w:szCs w:val="24"/>
        </w:rPr>
        <w:t>for</w:t>
      </w:r>
    </w:p>
    <w:p w14:paraId="5FD13570" w14:textId="77777777" w:rsidR="000B058C" w:rsidRPr="00054795" w:rsidRDefault="000B058C" w:rsidP="009260DE">
      <w:pPr>
        <w:jc w:val="center"/>
        <w:rPr>
          <w:b/>
          <w:sz w:val="24"/>
          <w:szCs w:val="24"/>
        </w:rPr>
      </w:pPr>
    </w:p>
    <w:p w14:paraId="77FBEF36" w14:textId="040F9175" w:rsidR="009260DE" w:rsidRPr="00054795" w:rsidRDefault="0016390F" w:rsidP="009260DE">
      <w:pPr>
        <w:jc w:val="center"/>
        <w:rPr>
          <w:b/>
          <w:sz w:val="24"/>
          <w:szCs w:val="24"/>
        </w:rPr>
      </w:pPr>
      <w:r w:rsidRPr="00054795">
        <w:rPr>
          <w:b/>
          <w:sz w:val="24"/>
          <w:szCs w:val="24"/>
        </w:rPr>
        <w:t>Paracetamol "</w:t>
      </w:r>
      <w:proofErr w:type="spellStart"/>
      <w:r w:rsidRPr="00054795">
        <w:rPr>
          <w:b/>
          <w:sz w:val="24"/>
          <w:szCs w:val="24"/>
        </w:rPr>
        <w:t>Kabi</w:t>
      </w:r>
      <w:proofErr w:type="spellEnd"/>
      <w:r w:rsidRPr="00054795">
        <w:rPr>
          <w:b/>
          <w:sz w:val="24"/>
          <w:szCs w:val="24"/>
        </w:rPr>
        <w:t>", infusionsvæske, opløsning</w:t>
      </w:r>
    </w:p>
    <w:p w14:paraId="1714EF8B" w14:textId="77777777" w:rsidR="009260DE" w:rsidRPr="00054795" w:rsidRDefault="009260DE" w:rsidP="009260DE">
      <w:pPr>
        <w:jc w:val="both"/>
        <w:rPr>
          <w:sz w:val="24"/>
          <w:szCs w:val="24"/>
        </w:rPr>
      </w:pPr>
    </w:p>
    <w:p w14:paraId="193663F7" w14:textId="77777777" w:rsidR="009260DE" w:rsidRPr="00054795" w:rsidRDefault="009260DE" w:rsidP="009260DE">
      <w:pPr>
        <w:jc w:val="both"/>
        <w:rPr>
          <w:sz w:val="24"/>
          <w:szCs w:val="24"/>
        </w:rPr>
      </w:pPr>
    </w:p>
    <w:p w14:paraId="56A5C49C" w14:textId="77777777" w:rsidR="009260DE" w:rsidRPr="00054795" w:rsidRDefault="009260DE" w:rsidP="009260DE">
      <w:pPr>
        <w:tabs>
          <w:tab w:val="left" w:pos="851"/>
        </w:tabs>
        <w:ind w:left="851" w:hanging="851"/>
        <w:rPr>
          <w:b/>
          <w:sz w:val="24"/>
          <w:szCs w:val="24"/>
        </w:rPr>
      </w:pPr>
      <w:r w:rsidRPr="00054795">
        <w:rPr>
          <w:b/>
          <w:sz w:val="24"/>
          <w:szCs w:val="24"/>
        </w:rPr>
        <w:t>0.</w:t>
      </w:r>
      <w:r w:rsidRPr="00054795">
        <w:rPr>
          <w:b/>
          <w:sz w:val="24"/>
          <w:szCs w:val="24"/>
        </w:rPr>
        <w:tab/>
        <w:t>D.SP.NR.</w:t>
      </w:r>
    </w:p>
    <w:p w14:paraId="30747242" w14:textId="441C9DB3" w:rsidR="009260DE" w:rsidRPr="00054795" w:rsidRDefault="0016390F" w:rsidP="009260DE">
      <w:pPr>
        <w:tabs>
          <w:tab w:val="left" w:pos="851"/>
        </w:tabs>
        <w:ind w:left="851"/>
        <w:rPr>
          <w:sz w:val="24"/>
          <w:szCs w:val="24"/>
        </w:rPr>
      </w:pPr>
      <w:r w:rsidRPr="00054795">
        <w:rPr>
          <w:sz w:val="24"/>
          <w:szCs w:val="24"/>
        </w:rPr>
        <w:t>34553</w:t>
      </w:r>
    </w:p>
    <w:p w14:paraId="7E5022CB" w14:textId="77777777" w:rsidR="009260DE" w:rsidRPr="00054795" w:rsidRDefault="009260DE" w:rsidP="009260DE">
      <w:pPr>
        <w:tabs>
          <w:tab w:val="left" w:pos="851"/>
        </w:tabs>
        <w:ind w:left="851"/>
        <w:rPr>
          <w:sz w:val="24"/>
          <w:szCs w:val="24"/>
        </w:rPr>
      </w:pPr>
    </w:p>
    <w:p w14:paraId="6353B743" w14:textId="77777777" w:rsidR="009260DE" w:rsidRPr="00054795" w:rsidRDefault="009260DE" w:rsidP="009260DE">
      <w:pPr>
        <w:tabs>
          <w:tab w:val="left" w:pos="851"/>
        </w:tabs>
        <w:ind w:left="851" w:hanging="851"/>
        <w:rPr>
          <w:b/>
          <w:sz w:val="24"/>
          <w:szCs w:val="24"/>
        </w:rPr>
      </w:pPr>
      <w:r w:rsidRPr="00054795">
        <w:rPr>
          <w:b/>
          <w:sz w:val="24"/>
          <w:szCs w:val="24"/>
        </w:rPr>
        <w:t>1.</w:t>
      </w:r>
      <w:r w:rsidRPr="00054795">
        <w:rPr>
          <w:b/>
          <w:sz w:val="24"/>
          <w:szCs w:val="24"/>
        </w:rPr>
        <w:tab/>
        <w:t>LÆGEMIDLETS NAVN</w:t>
      </w:r>
    </w:p>
    <w:p w14:paraId="1DAA6660" w14:textId="341B9B90" w:rsidR="009260DE" w:rsidRPr="00054795" w:rsidRDefault="0016390F" w:rsidP="009260DE">
      <w:pPr>
        <w:tabs>
          <w:tab w:val="left" w:pos="851"/>
        </w:tabs>
        <w:ind w:left="851"/>
        <w:rPr>
          <w:sz w:val="24"/>
          <w:szCs w:val="24"/>
        </w:rPr>
      </w:pPr>
      <w:r w:rsidRPr="00054795">
        <w:rPr>
          <w:sz w:val="24"/>
          <w:szCs w:val="24"/>
        </w:rPr>
        <w:t>Paracetamol "</w:t>
      </w:r>
      <w:proofErr w:type="spellStart"/>
      <w:r w:rsidRPr="00054795">
        <w:rPr>
          <w:sz w:val="24"/>
          <w:szCs w:val="24"/>
        </w:rPr>
        <w:t>Kabi</w:t>
      </w:r>
      <w:proofErr w:type="spellEnd"/>
      <w:r w:rsidRPr="00054795">
        <w:rPr>
          <w:sz w:val="24"/>
          <w:szCs w:val="24"/>
        </w:rPr>
        <w:t>"</w:t>
      </w:r>
    </w:p>
    <w:p w14:paraId="2D262CF8" w14:textId="77777777" w:rsidR="009260DE" w:rsidRPr="00054795" w:rsidRDefault="009260DE" w:rsidP="009260DE">
      <w:pPr>
        <w:tabs>
          <w:tab w:val="left" w:pos="851"/>
        </w:tabs>
        <w:ind w:left="851"/>
        <w:rPr>
          <w:sz w:val="24"/>
          <w:szCs w:val="24"/>
        </w:rPr>
      </w:pPr>
    </w:p>
    <w:p w14:paraId="2C97F37F" w14:textId="77777777" w:rsidR="009260DE" w:rsidRPr="00054795" w:rsidRDefault="009260DE" w:rsidP="009260DE">
      <w:pPr>
        <w:tabs>
          <w:tab w:val="left" w:pos="851"/>
        </w:tabs>
        <w:ind w:left="851" w:hanging="851"/>
        <w:rPr>
          <w:b/>
          <w:sz w:val="24"/>
          <w:szCs w:val="24"/>
        </w:rPr>
      </w:pPr>
      <w:r w:rsidRPr="00054795">
        <w:rPr>
          <w:b/>
          <w:sz w:val="24"/>
          <w:szCs w:val="24"/>
        </w:rPr>
        <w:t>2.</w:t>
      </w:r>
      <w:r w:rsidRPr="00054795">
        <w:rPr>
          <w:b/>
          <w:sz w:val="24"/>
          <w:szCs w:val="24"/>
        </w:rPr>
        <w:tab/>
        <w:t>KVALITATIV OG KVANTITATIV SAMMENSÆTNING</w:t>
      </w:r>
    </w:p>
    <w:p w14:paraId="17E2BC00" w14:textId="79839276" w:rsidR="001134EA" w:rsidRPr="001134EA" w:rsidRDefault="001134EA" w:rsidP="00635BAC">
      <w:pPr>
        <w:ind w:left="851"/>
        <w:rPr>
          <w:sz w:val="24"/>
          <w:szCs w:val="24"/>
        </w:rPr>
      </w:pPr>
      <w:r w:rsidRPr="001134EA">
        <w:rPr>
          <w:sz w:val="24"/>
          <w:szCs w:val="24"/>
        </w:rPr>
        <w:t>Hver ml opløsning indeholder 10 mg paracetamol</w:t>
      </w:r>
      <w:r w:rsidR="00054795">
        <w:rPr>
          <w:sz w:val="24"/>
          <w:szCs w:val="24"/>
        </w:rPr>
        <w:t>.</w:t>
      </w:r>
    </w:p>
    <w:p w14:paraId="7053149A" w14:textId="77777777" w:rsidR="001134EA" w:rsidRPr="001134EA" w:rsidRDefault="001134EA" w:rsidP="00635BAC">
      <w:pPr>
        <w:ind w:left="851"/>
        <w:rPr>
          <w:sz w:val="24"/>
          <w:szCs w:val="24"/>
        </w:rPr>
      </w:pPr>
      <w:r w:rsidRPr="001134EA">
        <w:rPr>
          <w:sz w:val="24"/>
          <w:szCs w:val="24"/>
        </w:rPr>
        <w:t xml:space="preserve">Hver 100 ml flaske indeholder 1000 mg paracetamol. </w:t>
      </w:r>
    </w:p>
    <w:p w14:paraId="3E4A5886" w14:textId="77777777" w:rsidR="001134EA" w:rsidRPr="001134EA" w:rsidRDefault="001134EA" w:rsidP="00635BAC">
      <w:pPr>
        <w:ind w:left="851"/>
        <w:rPr>
          <w:sz w:val="24"/>
          <w:szCs w:val="24"/>
        </w:rPr>
      </w:pPr>
    </w:p>
    <w:p w14:paraId="4532DAD4" w14:textId="0E006B3C" w:rsidR="001134EA" w:rsidRPr="001134EA" w:rsidRDefault="001134EA" w:rsidP="00635BAC">
      <w:pPr>
        <w:ind w:left="851"/>
        <w:rPr>
          <w:sz w:val="24"/>
          <w:szCs w:val="24"/>
        </w:rPr>
      </w:pPr>
      <w:r w:rsidRPr="001134EA">
        <w:rPr>
          <w:sz w:val="24"/>
          <w:szCs w:val="24"/>
        </w:rPr>
        <w:t xml:space="preserve">Alle hjælpestoffer er anført under </w:t>
      </w:r>
      <w:r w:rsidR="00951E6D">
        <w:rPr>
          <w:sz w:val="24"/>
          <w:szCs w:val="24"/>
        </w:rPr>
        <w:t>pkt.</w:t>
      </w:r>
      <w:r w:rsidRPr="001134EA">
        <w:rPr>
          <w:sz w:val="24"/>
          <w:szCs w:val="24"/>
        </w:rPr>
        <w:t xml:space="preserve"> 6.1.</w:t>
      </w:r>
    </w:p>
    <w:p w14:paraId="2DC848AD" w14:textId="77777777" w:rsidR="009260DE" w:rsidRPr="00054795" w:rsidRDefault="009260DE" w:rsidP="009260DE">
      <w:pPr>
        <w:tabs>
          <w:tab w:val="left" w:pos="851"/>
        </w:tabs>
        <w:ind w:left="851"/>
        <w:rPr>
          <w:sz w:val="24"/>
          <w:szCs w:val="24"/>
        </w:rPr>
      </w:pPr>
    </w:p>
    <w:p w14:paraId="7798F19B" w14:textId="77777777" w:rsidR="009260DE" w:rsidRPr="00054795" w:rsidRDefault="009260DE" w:rsidP="009260DE">
      <w:pPr>
        <w:tabs>
          <w:tab w:val="left" w:pos="851"/>
        </w:tabs>
        <w:ind w:left="851" w:hanging="851"/>
        <w:rPr>
          <w:b/>
          <w:sz w:val="24"/>
          <w:szCs w:val="24"/>
        </w:rPr>
      </w:pPr>
      <w:r w:rsidRPr="00054795">
        <w:rPr>
          <w:b/>
          <w:sz w:val="24"/>
          <w:szCs w:val="24"/>
        </w:rPr>
        <w:t>3.</w:t>
      </w:r>
      <w:r w:rsidRPr="00054795">
        <w:rPr>
          <w:b/>
          <w:sz w:val="24"/>
          <w:szCs w:val="24"/>
        </w:rPr>
        <w:tab/>
        <w:t>LÆGEMIDDELFORM</w:t>
      </w:r>
    </w:p>
    <w:p w14:paraId="5D5A1359" w14:textId="52D9684F" w:rsidR="001134EA" w:rsidRPr="001134EA" w:rsidRDefault="001134EA" w:rsidP="00635BAC">
      <w:pPr>
        <w:ind w:left="851"/>
        <w:rPr>
          <w:sz w:val="24"/>
          <w:szCs w:val="24"/>
        </w:rPr>
      </w:pPr>
      <w:r w:rsidRPr="001134EA">
        <w:rPr>
          <w:sz w:val="24"/>
          <w:szCs w:val="24"/>
        </w:rPr>
        <w:t>Infusionsvæske, opløsning</w:t>
      </w:r>
    </w:p>
    <w:p w14:paraId="63A52CE6" w14:textId="77777777" w:rsidR="001134EA" w:rsidRPr="001134EA" w:rsidRDefault="001134EA" w:rsidP="00635BAC">
      <w:pPr>
        <w:ind w:left="851"/>
        <w:rPr>
          <w:sz w:val="24"/>
          <w:szCs w:val="24"/>
        </w:rPr>
      </w:pPr>
      <w:r w:rsidRPr="001134EA">
        <w:rPr>
          <w:sz w:val="24"/>
          <w:szCs w:val="24"/>
        </w:rPr>
        <w:t xml:space="preserve">Opløsningen er klar, farveløs og fri for synlige partikler. </w:t>
      </w:r>
    </w:p>
    <w:p w14:paraId="52B85F27" w14:textId="77777777" w:rsidR="001134EA" w:rsidRPr="001134EA" w:rsidRDefault="001134EA" w:rsidP="00635BAC">
      <w:pPr>
        <w:ind w:left="851"/>
        <w:rPr>
          <w:sz w:val="24"/>
          <w:szCs w:val="24"/>
        </w:rPr>
      </w:pPr>
      <w:r w:rsidRPr="001134EA">
        <w:rPr>
          <w:sz w:val="24"/>
          <w:szCs w:val="24"/>
        </w:rPr>
        <w:t xml:space="preserve">pH er mellem 5,2 og 6,0. </w:t>
      </w:r>
    </w:p>
    <w:p w14:paraId="06272EB8" w14:textId="5EAFE3DB" w:rsidR="001134EA" w:rsidRPr="001134EA" w:rsidRDefault="001134EA" w:rsidP="00635BAC">
      <w:pPr>
        <w:ind w:left="851"/>
        <w:rPr>
          <w:sz w:val="24"/>
          <w:szCs w:val="24"/>
        </w:rPr>
      </w:pPr>
      <w:proofErr w:type="spellStart"/>
      <w:r w:rsidRPr="001134EA">
        <w:rPr>
          <w:sz w:val="24"/>
          <w:szCs w:val="24"/>
        </w:rPr>
        <w:t>Osmolaliteten</w:t>
      </w:r>
      <w:proofErr w:type="spellEnd"/>
      <w:r w:rsidRPr="001134EA">
        <w:rPr>
          <w:sz w:val="24"/>
          <w:szCs w:val="24"/>
        </w:rPr>
        <w:t xml:space="preserve"> er 250 til 330 </w:t>
      </w:r>
      <w:proofErr w:type="spellStart"/>
      <w:r w:rsidRPr="001134EA">
        <w:rPr>
          <w:sz w:val="24"/>
          <w:szCs w:val="24"/>
        </w:rPr>
        <w:t>mOsm</w:t>
      </w:r>
      <w:proofErr w:type="spellEnd"/>
      <w:r w:rsidRPr="001134EA">
        <w:rPr>
          <w:sz w:val="24"/>
          <w:szCs w:val="24"/>
        </w:rPr>
        <w:t>/kg</w:t>
      </w:r>
    </w:p>
    <w:p w14:paraId="772A06DE" w14:textId="77777777" w:rsidR="009260DE" w:rsidRPr="00054795" w:rsidRDefault="009260DE" w:rsidP="009260DE">
      <w:pPr>
        <w:tabs>
          <w:tab w:val="left" w:pos="851"/>
        </w:tabs>
        <w:ind w:left="851"/>
        <w:rPr>
          <w:sz w:val="24"/>
          <w:szCs w:val="24"/>
        </w:rPr>
      </w:pPr>
    </w:p>
    <w:p w14:paraId="22567CD1" w14:textId="77777777" w:rsidR="009260DE" w:rsidRPr="00054795" w:rsidRDefault="009260DE" w:rsidP="009260DE">
      <w:pPr>
        <w:tabs>
          <w:tab w:val="left" w:pos="851"/>
        </w:tabs>
        <w:ind w:left="851"/>
        <w:rPr>
          <w:sz w:val="24"/>
          <w:szCs w:val="24"/>
        </w:rPr>
      </w:pPr>
    </w:p>
    <w:p w14:paraId="6AFF35AA" w14:textId="77777777" w:rsidR="009260DE" w:rsidRPr="00054795" w:rsidRDefault="009260DE" w:rsidP="009260DE">
      <w:pPr>
        <w:tabs>
          <w:tab w:val="left" w:pos="851"/>
        </w:tabs>
        <w:ind w:left="851" w:hanging="851"/>
        <w:rPr>
          <w:b/>
          <w:sz w:val="24"/>
          <w:szCs w:val="24"/>
        </w:rPr>
      </w:pPr>
      <w:r w:rsidRPr="00054795">
        <w:rPr>
          <w:b/>
          <w:sz w:val="24"/>
          <w:szCs w:val="24"/>
        </w:rPr>
        <w:t>4.</w:t>
      </w:r>
      <w:r w:rsidRPr="00054795">
        <w:rPr>
          <w:b/>
          <w:sz w:val="24"/>
          <w:szCs w:val="24"/>
        </w:rPr>
        <w:tab/>
        <w:t>KLINISKE OPLYSNINGER</w:t>
      </w:r>
    </w:p>
    <w:p w14:paraId="5BBAAF7F" w14:textId="77777777" w:rsidR="009260DE" w:rsidRPr="00054795" w:rsidRDefault="009260DE" w:rsidP="009260DE">
      <w:pPr>
        <w:tabs>
          <w:tab w:val="left" w:pos="851"/>
        </w:tabs>
        <w:ind w:left="851"/>
        <w:rPr>
          <w:b/>
          <w:sz w:val="24"/>
          <w:szCs w:val="24"/>
        </w:rPr>
      </w:pPr>
    </w:p>
    <w:p w14:paraId="23EB74FA" w14:textId="77777777" w:rsidR="009260DE" w:rsidRPr="00054795" w:rsidRDefault="009260DE" w:rsidP="009260DE">
      <w:pPr>
        <w:tabs>
          <w:tab w:val="left" w:pos="851"/>
        </w:tabs>
        <w:ind w:left="851" w:hanging="851"/>
        <w:rPr>
          <w:b/>
          <w:sz w:val="24"/>
          <w:szCs w:val="24"/>
          <w:u w:val="single"/>
        </w:rPr>
      </w:pPr>
      <w:r w:rsidRPr="00054795">
        <w:rPr>
          <w:b/>
          <w:sz w:val="24"/>
          <w:szCs w:val="24"/>
        </w:rPr>
        <w:t>4.1</w:t>
      </w:r>
      <w:r w:rsidRPr="00054795">
        <w:rPr>
          <w:b/>
          <w:sz w:val="24"/>
          <w:szCs w:val="24"/>
        </w:rPr>
        <w:tab/>
        <w:t>Terapeutiske indikationer</w:t>
      </w:r>
    </w:p>
    <w:p w14:paraId="00D46217" w14:textId="0FD80A78" w:rsidR="001134EA" w:rsidRPr="001134EA" w:rsidRDefault="001134EA" w:rsidP="00635BAC">
      <w:pPr>
        <w:ind w:left="851"/>
        <w:rPr>
          <w:sz w:val="24"/>
          <w:szCs w:val="24"/>
        </w:rPr>
      </w:pPr>
      <w:r w:rsidRPr="001134EA">
        <w:rPr>
          <w:sz w:val="24"/>
          <w:szCs w:val="24"/>
        </w:rPr>
        <w:t xml:space="preserve">Paracetamol </w:t>
      </w:r>
      <w:r w:rsidR="00E43CB9">
        <w:rPr>
          <w:sz w:val="24"/>
          <w:szCs w:val="24"/>
        </w:rPr>
        <w:t>"</w:t>
      </w:r>
      <w:proofErr w:type="spellStart"/>
      <w:r w:rsidR="00E43CB9">
        <w:rPr>
          <w:sz w:val="24"/>
          <w:szCs w:val="24"/>
        </w:rPr>
        <w:t>Kabi</w:t>
      </w:r>
      <w:proofErr w:type="spellEnd"/>
      <w:r w:rsidR="00E43CB9">
        <w:rPr>
          <w:sz w:val="24"/>
          <w:szCs w:val="24"/>
        </w:rPr>
        <w:t>"</w:t>
      </w:r>
      <w:r w:rsidRPr="001134EA">
        <w:rPr>
          <w:sz w:val="24"/>
          <w:szCs w:val="24"/>
        </w:rPr>
        <w:t xml:space="preserve"> er indiceret til kortvarig behandling af moderate smerter, specielt efter kirurgi og til kortvarig behandling af feber, når intravenøs indgivelse er klinisk indiceret ved et akut behov for at behandle smerter eller temperaturforhøjelse, og/eller når anden indgivelsesform ikke er mulig.</w:t>
      </w:r>
    </w:p>
    <w:p w14:paraId="6EC3BBEF" w14:textId="77777777" w:rsidR="001134EA" w:rsidRPr="001134EA" w:rsidRDefault="001134EA" w:rsidP="00635BAC">
      <w:pPr>
        <w:ind w:left="851"/>
        <w:rPr>
          <w:sz w:val="24"/>
          <w:szCs w:val="24"/>
        </w:rPr>
      </w:pPr>
    </w:p>
    <w:p w14:paraId="660DA6C6" w14:textId="501C9C8B" w:rsidR="001134EA" w:rsidRPr="001134EA" w:rsidRDefault="001134EA" w:rsidP="00635BAC">
      <w:pPr>
        <w:ind w:left="851"/>
        <w:rPr>
          <w:sz w:val="24"/>
          <w:szCs w:val="24"/>
        </w:rPr>
      </w:pPr>
      <w:r w:rsidRPr="001134EA">
        <w:rPr>
          <w:sz w:val="24"/>
          <w:szCs w:val="24"/>
        </w:rPr>
        <w:t xml:space="preserve">Dette lægemiddel er indiceret til voksne, unge og børn, der vejer mere end 33 kg. </w:t>
      </w:r>
    </w:p>
    <w:p w14:paraId="0795F72B" w14:textId="77777777" w:rsidR="009260DE" w:rsidRPr="00054795" w:rsidRDefault="009260DE" w:rsidP="009260DE">
      <w:pPr>
        <w:tabs>
          <w:tab w:val="left" w:pos="851"/>
        </w:tabs>
        <w:ind w:left="851"/>
        <w:rPr>
          <w:sz w:val="24"/>
          <w:szCs w:val="24"/>
        </w:rPr>
      </w:pPr>
    </w:p>
    <w:p w14:paraId="1F37D47C" w14:textId="77777777" w:rsidR="009260DE" w:rsidRPr="00054795" w:rsidRDefault="009260DE" w:rsidP="009260DE">
      <w:pPr>
        <w:tabs>
          <w:tab w:val="left" w:pos="851"/>
        </w:tabs>
        <w:ind w:left="851" w:hanging="851"/>
        <w:rPr>
          <w:b/>
          <w:sz w:val="24"/>
          <w:szCs w:val="24"/>
        </w:rPr>
      </w:pPr>
      <w:r w:rsidRPr="00054795">
        <w:rPr>
          <w:b/>
          <w:sz w:val="24"/>
          <w:szCs w:val="24"/>
        </w:rPr>
        <w:t>4.2</w:t>
      </w:r>
      <w:r w:rsidRPr="00054795">
        <w:rPr>
          <w:b/>
          <w:sz w:val="24"/>
          <w:szCs w:val="24"/>
        </w:rPr>
        <w:tab/>
        <w:t xml:space="preserve">Dosering og </w:t>
      </w:r>
      <w:r w:rsidR="002C1EC0" w:rsidRPr="00054795">
        <w:rPr>
          <w:b/>
          <w:sz w:val="24"/>
          <w:szCs w:val="24"/>
        </w:rPr>
        <w:t>administration</w:t>
      </w:r>
    </w:p>
    <w:p w14:paraId="077A3FE6" w14:textId="74AE547D" w:rsidR="001134EA" w:rsidRPr="001134EA" w:rsidRDefault="001134EA" w:rsidP="00635BAC">
      <w:pPr>
        <w:ind w:left="851"/>
        <w:rPr>
          <w:sz w:val="24"/>
          <w:szCs w:val="24"/>
        </w:rPr>
      </w:pPr>
      <w:r w:rsidRPr="001134EA">
        <w:rPr>
          <w:sz w:val="24"/>
          <w:szCs w:val="24"/>
        </w:rPr>
        <w:t>Intravenøs anvendelse.</w:t>
      </w:r>
    </w:p>
    <w:p w14:paraId="77F1FD9E" w14:textId="69A3EC09" w:rsidR="001134EA" w:rsidRPr="001134EA" w:rsidRDefault="001134EA" w:rsidP="00635BAC">
      <w:pPr>
        <w:ind w:left="851"/>
        <w:rPr>
          <w:sz w:val="24"/>
          <w:szCs w:val="24"/>
        </w:rPr>
      </w:pPr>
      <w:r w:rsidRPr="001134EA">
        <w:rPr>
          <w:sz w:val="24"/>
          <w:szCs w:val="24"/>
        </w:rPr>
        <w:t>Dette lægemiddel er udelukkende beregnet til voksne, unge og børn, der vejer mere end 33</w:t>
      </w:r>
      <w:r w:rsidR="00E43CB9">
        <w:rPr>
          <w:sz w:val="24"/>
          <w:szCs w:val="24"/>
        </w:rPr>
        <w:t> </w:t>
      </w:r>
      <w:r w:rsidRPr="001134EA">
        <w:rPr>
          <w:sz w:val="24"/>
          <w:szCs w:val="24"/>
        </w:rPr>
        <w:t>kg.</w:t>
      </w:r>
    </w:p>
    <w:p w14:paraId="199B96E7" w14:textId="38382280" w:rsidR="0016268D" w:rsidRDefault="0016268D">
      <w:pPr>
        <w:rPr>
          <w:sz w:val="24"/>
          <w:szCs w:val="24"/>
        </w:rPr>
      </w:pPr>
      <w:r>
        <w:rPr>
          <w:sz w:val="24"/>
          <w:szCs w:val="24"/>
        </w:rPr>
        <w:br w:type="page"/>
      </w:r>
    </w:p>
    <w:p w14:paraId="5C905932" w14:textId="77777777" w:rsidR="001134EA" w:rsidRPr="001134EA" w:rsidRDefault="001134EA" w:rsidP="00635BAC">
      <w:pPr>
        <w:ind w:left="851"/>
        <w:rPr>
          <w:sz w:val="24"/>
          <w:szCs w:val="24"/>
        </w:rPr>
      </w:pPr>
    </w:p>
    <w:p w14:paraId="00F8E32E" w14:textId="684373E4" w:rsidR="001134EA" w:rsidRPr="001134EA" w:rsidRDefault="001134EA" w:rsidP="00635BAC">
      <w:pPr>
        <w:ind w:left="851"/>
        <w:rPr>
          <w:bCs/>
          <w:sz w:val="24"/>
          <w:szCs w:val="24"/>
        </w:rPr>
      </w:pPr>
      <w:r w:rsidRPr="001134EA">
        <w:rPr>
          <w:bCs/>
          <w:sz w:val="24"/>
          <w:szCs w:val="24"/>
          <w:u w:val="single"/>
        </w:rPr>
        <w:t>Dosering</w:t>
      </w:r>
      <w:r w:rsidRPr="001134EA">
        <w:rPr>
          <w:bCs/>
          <w:sz w:val="24"/>
          <w:szCs w:val="24"/>
        </w:rPr>
        <w:t xml:space="preserve"> </w:t>
      </w:r>
    </w:p>
    <w:p w14:paraId="67300538" w14:textId="77777777" w:rsidR="001134EA" w:rsidRPr="001134EA" w:rsidRDefault="001134EA" w:rsidP="00635BAC">
      <w:pPr>
        <w:ind w:left="851"/>
        <w:rPr>
          <w:sz w:val="24"/>
          <w:szCs w:val="24"/>
        </w:rPr>
      </w:pPr>
      <w:r w:rsidRPr="001134EA">
        <w:rPr>
          <w:sz w:val="24"/>
          <w:szCs w:val="24"/>
        </w:rPr>
        <w:t>Dosering er baseret på patientens vægt (jævnfør nedenstående doseringstabel):</w:t>
      </w:r>
    </w:p>
    <w:p w14:paraId="0AC8DB93" w14:textId="77777777" w:rsidR="001134EA" w:rsidRPr="001134EA" w:rsidRDefault="001134EA" w:rsidP="001134EA">
      <w:pPr>
        <w:tabs>
          <w:tab w:val="left" w:pos="851"/>
        </w:tabs>
        <w:ind w:left="851"/>
        <w:rPr>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36"/>
        <w:gridCol w:w="1935"/>
        <w:gridCol w:w="1951"/>
        <w:gridCol w:w="1851"/>
      </w:tblGrid>
      <w:tr w:rsidR="001134EA" w:rsidRPr="001134EA" w14:paraId="7E81F5B1" w14:textId="77777777" w:rsidTr="00635BAC">
        <w:tc>
          <w:tcPr>
            <w:tcW w:w="1015" w:type="pct"/>
            <w:tcBorders>
              <w:top w:val="single" w:sz="4" w:space="0" w:color="auto"/>
              <w:left w:val="single" w:sz="4" w:space="0" w:color="auto"/>
              <w:bottom w:val="single" w:sz="4" w:space="0" w:color="auto"/>
              <w:right w:val="single" w:sz="4" w:space="0" w:color="auto"/>
            </w:tcBorders>
            <w:shd w:val="clear" w:color="auto" w:fill="E0E0E0"/>
            <w:hideMark/>
          </w:tcPr>
          <w:p w14:paraId="569C5B2F" w14:textId="77777777" w:rsidR="001134EA" w:rsidRPr="001134EA" w:rsidRDefault="001134EA" w:rsidP="00635BAC">
            <w:pPr>
              <w:ind w:left="32"/>
              <w:rPr>
                <w:b/>
                <w:sz w:val="22"/>
                <w:szCs w:val="22"/>
              </w:rPr>
            </w:pPr>
            <w:r w:rsidRPr="001134EA">
              <w:rPr>
                <w:b/>
                <w:sz w:val="22"/>
                <w:szCs w:val="22"/>
              </w:rPr>
              <w:t>Patientens vægt</w:t>
            </w:r>
          </w:p>
        </w:tc>
        <w:tc>
          <w:tcPr>
            <w:tcW w:w="1005" w:type="pct"/>
            <w:tcBorders>
              <w:top w:val="single" w:sz="4" w:space="0" w:color="auto"/>
              <w:left w:val="single" w:sz="4" w:space="0" w:color="auto"/>
              <w:bottom w:val="single" w:sz="4" w:space="0" w:color="auto"/>
              <w:right w:val="single" w:sz="4" w:space="0" w:color="auto"/>
            </w:tcBorders>
            <w:shd w:val="clear" w:color="auto" w:fill="E0E0E0"/>
            <w:hideMark/>
          </w:tcPr>
          <w:p w14:paraId="47631089" w14:textId="77777777" w:rsidR="001134EA" w:rsidRPr="001134EA" w:rsidRDefault="001134EA" w:rsidP="00635BAC">
            <w:pPr>
              <w:ind w:left="32"/>
              <w:rPr>
                <w:b/>
                <w:sz w:val="22"/>
                <w:szCs w:val="22"/>
              </w:rPr>
            </w:pPr>
            <w:r w:rsidRPr="001134EA">
              <w:rPr>
                <w:b/>
                <w:sz w:val="22"/>
                <w:szCs w:val="22"/>
              </w:rPr>
              <w:t>Dosis pr. administration</w:t>
            </w:r>
          </w:p>
        </w:tc>
        <w:tc>
          <w:tcPr>
            <w:tcW w:w="1005" w:type="pct"/>
            <w:tcBorders>
              <w:top w:val="single" w:sz="4" w:space="0" w:color="auto"/>
              <w:left w:val="single" w:sz="4" w:space="0" w:color="auto"/>
              <w:bottom w:val="single" w:sz="4" w:space="0" w:color="auto"/>
              <w:right w:val="single" w:sz="4" w:space="0" w:color="auto"/>
            </w:tcBorders>
            <w:shd w:val="clear" w:color="auto" w:fill="E0E0E0"/>
            <w:hideMark/>
          </w:tcPr>
          <w:p w14:paraId="3E7E3847" w14:textId="77777777" w:rsidR="001134EA" w:rsidRPr="001134EA" w:rsidRDefault="001134EA" w:rsidP="00635BAC">
            <w:pPr>
              <w:ind w:left="32"/>
              <w:rPr>
                <w:b/>
                <w:sz w:val="22"/>
                <w:szCs w:val="22"/>
              </w:rPr>
            </w:pPr>
            <w:r w:rsidRPr="001134EA">
              <w:rPr>
                <w:b/>
                <w:sz w:val="22"/>
                <w:szCs w:val="22"/>
              </w:rPr>
              <w:t>Volumen pr. administration</w:t>
            </w:r>
          </w:p>
        </w:tc>
        <w:tc>
          <w:tcPr>
            <w:tcW w:w="1013" w:type="pct"/>
            <w:tcBorders>
              <w:top w:val="single" w:sz="4" w:space="0" w:color="auto"/>
              <w:left w:val="single" w:sz="4" w:space="0" w:color="auto"/>
              <w:bottom w:val="single" w:sz="4" w:space="0" w:color="auto"/>
              <w:right w:val="single" w:sz="4" w:space="0" w:color="auto"/>
            </w:tcBorders>
            <w:shd w:val="clear" w:color="auto" w:fill="E0E0E0"/>
            <w:hideMark/>
          </w:tcPr>
          <w:p w14:paraId="0B41D3D6" w14:textId="70C7A2C4" w:rsidR="001134EA" w:rsidRPr="001134EA" w:rsidRDefault="001134EA" w:rsidP="00635BAC">
            <w:pPr>
              <w:ind w:left="32"/>
              <w:rPr>
                <w:b/>
                <w:sz w:val="22"/>
                <w:szCs w:val="22"/>
              </w:rPr>
            </w:pPr>
            <w:r w:rsidRPr="001134EA">
              <w:rPr>
                <w:b/>
                <w:sz w:val="22"/>
                <w:szCs w:val="22"/>
              </w:rPr>
              <w:t xml:space="preserve">Maksimum volumen af Paracetamol </w:t>
            </w:r>
            <w:r w:rsidR="00E43CB9" w:rsidRPr="00E43CB9">
              <w:rPr>
                <w:b/>
                <w:sz w:val="22"/>
                <w:szCs w:val="22"/>
              </w:rPr>
              <w:t>"</w:t>
            </w:r>
            <w:proofErr w:type="spellStart"/>
            <w:r w:rsidR="00E43CB9" w:rsidRPr="00E43CB9">
              <w:rPr>
                <w:b/>
                <w:sz w:val="22"/>
                <w:szCs w:val="22"/>
              </w:rPr>
              <w:t>Kabi</w:t>
            </w:r>
            <w:proofErr w:type="spellEnd"/>
            <w:r w:rsidR="00E43CB9" w:rsidRPr="00E43CB9">
              <w:rPr>
                <w:b/>
                <w:sz w:val="22"/>
                <w:szCs w:val="22"/>
              </w:rPr>
              <w:t>"</w:t>
            </w:r>
            <w:r w:rsidRPr="001134EA">
              <w:rPr>
                <w:b/>
                <w:sz w:val="22"/>
                <w:szCs w:val="22"/>
              </w:rPr>
              <w:t xml:space="preserve"> 10 mg/ml infusionsvæske, opløsning pr. administration baseret på de øvre vægtgrænser i denne gruppe (ml)**</w:t>
            </w:r>
          </w:p>
        </w:tc>
        <w:tc>
          <w:tcPr>
            <w:tcW w:w="961" w:type="pct"/>
            <w:tcBorders>
              <w:top w:val="single" w:sz="4" w:space="0" w:color="auto"/>
              <w:left w:val="single" w:sz="4" w:space="0" w:color="auto"/>
              <w:bottom w:val="single" w:sz="4" w:space="0" w:color="auto"/>
              <w:right w:val="single" w:sz="4" w:space="0" w:color="auto"/>
            </w:tcBorders>
            <w:shd w:val="clear" w:color="auto" w:fill="E0E0E0"/>
            <w:hideMark/>
          </w:tcPr>
          <w:p w14:paraId="77687CA0" w14:textId="77777777" w:rsidR="001134EA" w:rsidRPr="001134EA" w:rsidRDefault="001134EA" w:rsidP="00635BAC">
            <w:pPr>
              <w:ind w:left="32"/>
              <w:rPr>
                <w:b/>
                <w:sz w:val="22"/>
                <w:szCs w:val="22"/>
              </w:rPr>
            </w:pPr>
            <w:r w:rsidRPr="001134EA">
              <w:rPr>
                <w:b/>
                <w:sz w:val="22"/>
                <w:szCs w:val="22"/>
              </w:rPr>
              <w:t>Maksimal daglig dosis*</w:t>
            </w:r>
          </w:p>
        </w:tc>
      </w:tr>
      <w:tr w:rsidR="001134EA" w:rsidRPr="001134EA" w14:paraId="78565E6E" w14:textId="77777777" w:rsidTr="00635BAC">
        <w:tc>
          <w:tcPr>
            <w:tcW w:w="1015" w:type="pct"/>
            <w:tcBorders>
              <w:top w:val="single" w:sz="4" w:space="0" w:color="auto"/>
              <w:left w:val="single" w:sz="4" w:space="0" w:color="auto"/>
              <w:bottom w:val="single" w:sz="4" w:space="0" w:color="auto"/>
              <w:right w:val="single" w:sz="4" w:space="0" w:color="auto"/>
            </w:tcBorders>
            <w:hideMark/>
          </w:tcPr>
          <w:p w14:paraId="5ABB72F9" w14:textId="77777777" w:rsidR="001134EA" w:rsidRPr="001134EA" w:rsidRDefault="001134EA" w:rsidP="00635BAC">
            <w:pPr>
              <w:ind w:left="32"/>
              <w:rPr>
                <w:b/>
                <w:sz w:val="22"/>
                <w:szCs w:val="22"/>
              </w:rPr>
            </w:pPr>
            <w:r w:rsidRPr="001134EA">
              <w:rPr>
                <w:b/>
                <w:sz w:val="22"/>
                <w:szCs w:val="22"/>
              </w:rPr>
              <w:t>&gt; 33 kg til ≤ 50 kg</w:t>
            </w:r>
          </w:p>
        </w:tc>
        <w:tc>
          <w:tcPr>
            <w:tcW w:w="1005" w:type="pct"/>
            <w:tcBorders>
              <w:top w:val="single" w:sz="4" w:space="0" w:color="auto"/>
              <w:left w:val="single" w:sz="4" w:space="0" w:color="auto"/>
              <w:bottom w:val="single" w:sz="4" w:space="0" w:color="auto"/>
              <w:right w:val="single" w:sz="4" w:space="0" w:color="auto"/>
            </w:tcBorders>
            <w:hideMark/>
          </w:tcPr>
          <w:p w14:paraId="6436950B" w14:textId="77777777" w:rsidR="001134EA" w:rsidRPr="001134EA" w:rsidRDefault="001134EA" w:rsidP="00635BAC">
            <w:pPr>
              <w:ind w:left="32"/>
              <w:rPr>
                <w:sz w:val="22"/>
                <w:szCs w:val="22"/>
              </w:rPr>
            </w:pPr>
            <w:r w:rsidRPr="001134EA">
              <w:rPr>
                <w:sz w:val="22"/>
                <w:szCs w:val="22"/>
              </w:rPr>
              <w:t>15 mg/kg</w:t>
            </w:r>
          </w:p>
        </w:tc>
        <w:tc>
          <w:tcPr>
            <w:tcW w:w="1005" w:type="pct"/>
            <w:tcBorders>
              <w:top w:val="single" w:sz="4" w:space="0" w:color="auto"/>
              <w:left w:val="single" w:sz="4" w:space="0" w:color="auto"/>
              <w:bottom w:val="single" w:sz="4" w:space="0" w:color="auto"/>
              <w:right w:val="single" w:sz="4" w:space="0" w:color="auto"/>
            </w:tcBorders>
            <w:hideMark/>
          </w:tcPr>
          <w:p w14:paraId="1D00B7FE" w14:textId="77777777" w:rsidR="001134EA" w:rsidRPr="001134EA" w:rsidRDefault="001134EA" w:rsidP="00635BAC">
            <w:pPr>
              <w:ind w:left="32"/>
              <w:rPr>
                <w:sz w:val="22"/>
                <w:szCs w:val="22"/>
              </w:rPr>
            </w:pPr>
            <w:r w:rsidRPr="001134EA">
              <w:rPr>
                <w:sz w:val="22"/>
                <w:szCs w:val="22"/>
              </w:rPr>
              <w:t>1,5 ml/kg</w:t>
            </w:r>
          </w:p>
        </w:tc>
        <w:tc>
          <w:tcPr>
            <w:tcW w:w="1013" w:type="pct"/>
            <w:tcBorders>
              <w:top w:val="single" w:sz="4" w:space="0" w:color="auto"/>
              <w:left w:val="single" w:sz="4" w:space="0" w:color="auto"/>
              <w:bottom w:val="single" w:sz="4" w:space="0" w:color="auto"/>
              <w:right w:val="single" w:sz="4" w:space="0" w:color="auto"/>
            </w:tcBorders>
            <w:hideMark/>
          </w:tcPr>
          <w:p w14:paraId="3F9F3B74" w14:textId="77777777" w:rsidR="001134EA" w:rsidRPr="001134EA" w:rsidRDefault="001134EA" w:rsidP="00635BAC">
            <w:pPr>
              <w:ind w:left="32"/>
              <w:rPr>
                <w:sz w:val="22"/>
                <w:szCs w:val="22"/>
              </w:rPr>
            </w:pPr>
            <w:r w:rsidRPr="001134EA">
              <w:rPr>
                <w:sz w:val="22"/>
                <w:szCs w:val="22"/>
              </w:rPr>
              <w:t>75 ml</w:t>
            </w:r>
          </w:p>
        </w:tc>
        <w:tc>
          <w:tcPr>
            <w:tcW w:w="961" w:type="pct"/>
            <w:tcBorders>
              <w:top w:val="single" w:sz="4" w:space="0" w:color="auto"/>
              <w:left w:val="single" w:sz="4" w:space="0" w:color="auto"/>
              <w:bottom w:val="single" w:sz="4" w:space="0" w:color="auto"/>
              <w:right w:val="single" w:sz="4" w:space="0" w:color="auto"/>
            </w:tcBorders>
            <w:hideMark/>
          </w:tcPr>
          <w:p w14:paraId="5AB8A31C" w14:textId="0A60574C" w:rsidR="001134EA" w:rsidRPr="001134EA" w:rsidRDefault="001134EA" w:rsidP="00635BAC">
            <w:pPr>
              <w:ind w:left="32"/>
              <w:rPr>
                <w:sz w:val="22"/>
                <w:szCs w:val="22"/>
              </w:rPr>
            </w:pPr>
            <w:r w:rsidRPr="001134EA">
              <w:rPr>
                <w:sz w:val="22"/>
                <w:szCs w:val="22"/>
              </w:rPr>
              <w:t>60 mg/kg, må ikke overskride 3</w:t>
            </w:r>
            <w:r w:rsidR="00E43CB9">
              <w:rPr>
                <w:sz w:val="22"/>
                <w:szCs w:val="22"/>
              </w:rPr>
              <w:t> </w:t>
            </w:r>
            <w:r w:rsidRPr="001134EA">
              <w:rPr>
                <w:sz w:val="22"/>
                <w:szCs w:val="22"/>
              </w:rPr>
              <w:t>g.</w:t>
            </w:r>
          </w:p>
        </w:tc>
      </w:tr>
      <w:tr w:rsidR="001134EA" w:rsidRPr="001134EA" w14:paraId="2EEBBC12" w14:textId="77777777" w:rsidTr="00635BAC">
        <w:tc>
          <w:tcPr>
            <w:tcW w:w="1015" w:type="pct"/>
            <w:tcBorders>
              <w:top w:val="single" w:sz="4" w:space="0" w:color="auto"/>
              <w:left w:val="single" w:sz="4" w:space="0" w:color="auto"/>
              <w:bottom w:val="single" w:sz="4" w:space="0" w:color="auto"/>
              <w:right w:val="single" w:sz="4" w:space="0" w:color="auto"/>
            </w:tcBorders>
            <w:hideMark/>
          </w:tcPr>
          <w:p w14:paraId="2471AC6E" w14:textId="77777777" w:rsidR="001134EA" w:rsidRPr="001134EA" w:rsidRDefault="001134EA" w:rsidP="00635BAC">
            <w:pPr>
              <w:ind w:left="32"/>
              <w:rPr>
                <w:b/>
                <w:sz w:val="22"/>
                <w:szCs w:val="22"/>
              </w:rPr>
            </w:pPr>
            <w:r w:rsidRPr="001134EA">
              <w:rPr>
                <w:b/>
                <w:sz w:val="22"/>
                <w:szCs w:val="22"/>
              </w:rPr>
              <w:t xml:space="preserve">&gt; 50 kg og med yderligere risikofaktorer for </w:t>
            </w:r>
            <w:proofErr w:type="spellStart"/>
            <w:r w:rsidRPr="001134EA">
              <w:rPr>
                <w:b/>
                <w:sz w:val="22"/>
                <w:szCs w:val="22"/>
              </w:rPr>
              <w:t>hepatotoksicitet</w:t>
            </w:r>
            <w:proofErr w:type="spellEnd"/>
          </w:p>
        </w:tc>
        <w:tc>
          <w:tcPr>
            <w:tcW w:w="1005" w:type="pct"/>
            <w:tcBorders>
              <w:top w:val="single" w:sz="4" w:space="0" w:color="auto"/>
              <w:left w:val="single" w:sz="4" w:space="0" w:color="auto"/>
              <w:bottom w:val="single" w:sz="4" w:space="0" w:color="auto"/>
              <w:right w:val="single" w:sz="4" w:space="0" w:color="auto"/>
            </w:tcBorders>
            <w:hideMark/>
          </w:tcPr>
          <w:p w14:paraId="37F0C536" w14:textId="77777777" w:rsidR="001134EA" w:rsidRPr="001134EA" w:rsidRDefault="001134EA" w:rsidP="00635BAC">
            <w:pPr>
              <w:ind w:left="32"/>
              <w:rPr>
                <w:sz w:val="22"/>
                <w:szCs w:val="22"/>
              </w:rPr>
            </w:pPr>
            <w:r w:rsidRPr="001134EA">
              <w:rPr>
                <w:sz w:val="22"/>
                <w:szCs w:val="22"/>
              </w:rPr>
              <w:t>1 g</w:t>
            </w:r>
          </w:p>
        </w:tc>
        <w:tc>
          <w:tcPr>
            <w:tcW w:w="1005" w:type="pct"/>
            <w:tcBorders>
              <w:top w:val="single" w:sz="4" w:space="0" w:color="auto"/>
              <w:left w:val="single" w:sz="4" w:space="0" w:color="auto"/>
              <w:bottom w:val="single" w:sz="4" w:space="0" w:color="auto"/>
              <w:right w:val="single" w:sz="4" w:space="0" w:color="auto"/>
            </w:tcBorders>
            <w:hideMark/>
          </w:tcPr>
          <w:p w14:paraId="2ACA8CDF" w14:textId="77777777" w:rsidR="001134EA" w:rsidRPr="001134EA" w:rsidRDefault="001134EA" w:rsidP="00635BAC">
            <w:pPr>
              <w:ind w:left="32"/>
              <w:rPr>
                <w:sz w:val="22"/>
                <w:szCs w:val="22"/>
              </w:rPr>
            </w:pPr>
            <w:r w:rsidRPr="001134EA">
              <w:rPr>
                <w:sz w:val="22"/>
                <w:szCs w:val="22"/>
              </w:rPr>
              <w:t>100 ml</w:t>
            </w:r>
          </w:p>
        </w:tc>
        <w:tc>
          <w:tcPr>
            <w:tcW w:w="1013" w:type="pct"/>
            <w:tcBorders>
              <w:top w:val="single" w:sz="4" w:space="0" w:color="auto"/>
              <w:left w:val="single" w:sz="4" w:space="0" w:color="auto"/>
              <w:bottom w:val="single" w:sz="4" w:space="0" w:color="auto"/>
              <w:right w:val="single" w:sz="4" w:space="0" w:color="auto"/>
            </w:tcBorders>
            <w:hideMark/>
          </w:tcPr>
          <w:p w14:paraId="378B2233" w14:textId="77777777" w:rsidR="001134EA" w:rsidRPr="001134EA" w:rsidRDefault="001134EA" w:rsidP="00635BAC">
            <w:pPr>
              <w:ind w:left="32"/>
              <w:rPr>
                <w:sz w:val="22"/>
                <w:szCs w:val="22"/>
              </w:rPr>
            </w:pPr>
            <w:r w:rsidRPr="001134EA">
              <w:rPr>
                <w:sz w:val="22"/>
                <w:szCs w:val="22"/>
              </w:rPr>
              <w:t>100 ml</w:t>
            </w:r>
          </w:p>
        </w:tc>
        <w:tc>
          <w:tcPr>
            <w:tcW w:w="961" w:type="pct"/>
            <w:tcBorders>
              <w:top w:val="single" w:sz="4" w:space="0" w:color="auto"/>
              <w:left w:val="single" w:sz="4" w:space="0" w:color="auto"/>
              <w:bottom w:val="single" w:sz="4" w:space="0" w:color="auto"/>
              <w:right w:val="single" w:sz="4" w:space="0" w:color="auto"/>
            </w:tcBorders>
            <w:hideMark/>
          </w:tcPr>
          <w:p w14:paraId="6FABDA89" w14:textId="77777777" w:rsidR="001134EA" w:rsidRPr="001134EA" w:rsidRDefault="001134EA" w:rsidP="00635BAC">
            <w:pPr>
              <w:ind w:left="32"/>
              <w:rPr>
                <w:sz w:val="22"/>
                <w:szCs w:val="22"/>
              </w:rPr>
            </w:pPr>
            <w:r w:rsidRPr="001134EA">
              <w:rPr>
                <w:sz w:val="22"/>
                <w:szCs w:val="22"/>
              </w:rPr>
              <w:t>3 g</w:t>
            </w:r>
          </w:p>
        </w:tc>
      </w:tr>
      <w:tr w:rsidR="001134EA" w:rsidRPr="001134EA" w14:paraId="10FAC8CC" w14:textId="77777777" w:rsidTr="00635BAC">
        <w:tc>
          <w:tcPr>
            <w:tcW w:w="1015" w:type="pct"/>
            <w:tcBorders>
              <w:top w:val="single" w:sz="4" w:space="0" w:color="auto"/>
              <w:left w:val="single" w:sz="4" w:space="0" w:color="auto"/>
              <w:bottom w:val="single" w:sz="4" w:space="0" w:color="auto"/>
              <w:right w:val="single" w:sz="4" w:space="0" w:color="auto"/>
            </w:tcBorders>
            <w:hideMark/>
          </w:tcPr>
          <w:p w14:paraId="249AD396" w14:textId="77777777" w:rsidR="001134EA" w:rsidRPr="001134EA" w:rsidRDefault="001134EA" w:rsidP="00635BAC">
            <w:pPr>
              <w:ind w:left="32"/>
              <w:rPr>
                <w:b/>
                <w:sz w:val="22"/>
                <w:szCs w:val="22"/>
              </w:rPr>
            </w:pPr>
            <w:r w:rsidRPr="001134EA">
              <w:rPr>
                <w:b/>
                <w:sz w:val="22"/>
                <w:szCs w:val="22"/>
              </w:rPr>
              <w:t xml:space="preserve">&gt; 50 kg og ingen yderligere risikofaktorer for </w:t>
            </w:r>
            <w:proofErr w:type="spellStart"/>
            <w:r w:rsidRPr="001134EA">
              <w:rPr>
                <w:b/>
                <w:sz w:val="22"/>
                <w:szCs w:val="22"/>
              </w:rPr>
              <w:t>hepatotoksicitet</w:t>
            </w:r>
            <w:proofErr w:type="spellEnd"/>
          </w:p>
        </w:tc>
        <w:tc>
          <w:tcPr>
            <w:tcW w:w="1005" w:type="pct"/>
            <w:tcBorders>
              <w:top w:val="single" w:sz="4" w:space="0" w:color="auto"/>
              <w:left w:val="single" w:sz="4" w:space="0" w:color="auto"/>
              <w:bottom w:val="single" w:sz="4" w:space="0" w:color="auto"/>
              <w:right w:val="single" w:sz="4" w:space="0" w:color="auto"/>
            </w:tcBorders>
            <w:hideMark/>
          </w:tcPr>
          <w:p w14:paraId="62B3DB2F" w14:textId="77777777" w:rsidR="001134EA" w:rsidRPr="001134EA" w:rsidRDefault="001134EA" w:rsidP="00635BAC">
            <w:pPr>
              <w:ind w:left="32"/>
              <w:rPr>
                <w:sz w:val="22"/>
                <w:szCs w:val="22"/>
              </w:rPr>
            </w:pPr>
            <w:r w:rsidRPr="001134EA">
              <w:rPr>
                <w:sz w:val="22"/>
                <w:szCs w:val="22"/>
              </w:rPr>
              <w:t>1 g</w:t>
            </w:r>
          </w:p>
        </w:tc>
        <w:tc>
          <w:tcPr>
            <w:tcW w:w="1005" w:type="pct"/>
            <w:tcBorders>
              <w:top w:val="single" w:sz="4" w:space="0" w:color="auto"/>
              <w:left w:val="single" w:sz="4" w:space="0" w:color="auto"/>
              <w:bottom w:val="single" w:sz="4" w:space="0" w:color="auto"/>
              <w:right w:val="single" w:sz="4" w:space="0" w:color="auto"/>
            </w:tcBorders>
            <w:hideMark/>
          </w:tcPr>
          <w:p w14:paraId="28EC9509" w14:textId="77777777" w:rsidR="001134EA" w:rsidRPr="001134EA" w:rsidRDefault="001134EA" w:rsidP="00635BAC">
            <w:pPr>
              <w:ind w:left="32"/>
              <w:rPr>
                <w:sz w:val="22"/>
                <w:szCs w:val="22"/>
              </w:rPr>
            </w:pPr>
            <w:r w:rsidRPr="001134EA">
              <w:rPr>
                <w:sz w:val="22"/>
                <w:szCs w:val="22"/>
              </w:rPr>
              <w:t>100 ml</w:t>
            </w:r>
          </w:p>
        </w:tc>
        <w:tc>
          <w:tcPr>
            <w:tcW w:w="1013" w:type="pct"/>
            <w:tcBorders>
              <w:top w:val="single" w:sz="4" w:space="0" w:color="auto"/>
              <w:left w:val="single" w:sz="4" w:space="0" w:color="auto"/>
              <w:bottom w:val="single" w:sz="4" w:space="0" w:color="auto"/>
              <w:right w:val="single" w:sz="4" w:space="0" w:color="auto"/>
            </w:tcBorders>
            <w:hideMark/>
          </w:tcPr>
          <w:p w14:paraId="171E3085" w14:textId="77777777" w:rsidR="001134EA" w:rsidRPr="001134EA" w:rsidRDefault="001134EA" w:rsidP="00635BAC">
            <w:pPr>
              <w:ind w:left="32"/>
              <w:rPr>
                <w:sz w:val="22"/>
                <w:szCs w:val="22"/>
              </w:rPr>
            </w:pPr>
            <w:r w:rsidRPr="001134EA">
              <w:rPr>
                <w:sz w:val="22"/>
                <w:szCs w:val="22"/>
              </w:rPr>
              <w:t>100 ml</w:t>
            </w:r>
          </w:p>
        </w:tc>
        <w:tc>
          <w:tcPr>
            <w:tcW w:w="961" w:type="pct"/>
            <w:tcBorders>
              <w:top w:val="single" w:sz="4" w:space="0" w:color="auto"/>
              <w:left w:val="single" w:sz="4" w:space="0" w:color="auto"/>
              <w:bottom w:val="single" w:sz="4" w:space="0" w:color="auto"/>
              <w:right w:val="single" w:sz="4" w:space="0" w:color="auto"/>
            </w:tcBorders>
            <w:hideMark/>
          </w:tcPr>
          <w:p w14:paraId="7C382545" w14:textId="77777777" w:rsidR="001134EA" w:rsidRPr="001134EA" w:rsidRDefault="001134EA" w:rsidP="00635BAC">
            <w:pPr>
              <w:ind w:left="32"/>
              <w:rPr>
                <w:sz w:val="22"/>
                <w:szCs w:val="22"/>
              </w:rPr>
            </w:pPr>
            <w:r w:rsidRPr="001134EA">
              <w:rPr>
                <w:sz w:val="22"/>
                <w:szCs w:val="22"/>
              </w:rPr>
              <w:t>4 g</w:t>
            </w:r>
          </w:p>
        </w:tc>
      </w:tr>
    </w:tbl>
    <w:p w14:paraId="7FF5EFFB" w14:textId="77777777" w:rsidR="001134EA" w:rsidRPr="001134EA" w:rsidRDefault="001134EA" w:rsidP="00635BAC">
      <w:pPr>
        <w:ind w:left="851"/>
        <w:rPr>
          <w:sz w:val="24"/>
          <w:szCs w:val="24"/>
          <w:u w:val="single"/>
        </w:rPr>
      </w:pPr>
    </w:p>
    <w:p w14:paraId="19046107" w14:textId="77777777" w:rsidR="001134EA" w:rsidRPr="001134EA" w:rsidRDefault="001134EA" w:rsidP="00635BAC">
      <w:pPr>
        <w:ind w:left="851"/>
        <w:rPr>
          <w:sz w:val="24"/>
          <w:szCs w:val="24"/>
        </w:rPr>
      </w:pPr>
      <w:r w:rsidRPr="001134EA">
        <w:rPr>
          <w:b/>
          <w:sz w:val="24"/>
          <w:szCs w:val="24"/>
        </w:rPr>
        <w:t xml:space="preserve">* Maksimal daglig dosis: </w:t>
      </w:r>
      <w:r w:rsidRPr="001134EA">
        <w:rPr>
          <w:sz w:val="24"/>
          <w:szCs w:val="24"/>
        </w:rPr>
        <w:t>Den maksimale daglige dosis, som anført i ovenstående tabel, er til patienter, som ikke får andre produkter indeholdende paracetamol og skal justeres tilsvarende ved at tage sådanne produkter i betragtning.</w:t>
      </w:r>
    </w:p>
    <w:p w14:paraId="580B124C" w14:textId="77777777" w:rsidR="001134EA" w:rsidRPr="001134EA" w:rsidRDefault="001134EA" w:rsidP="00635BAC">
      <w:pPr>
        <w:ind w:left="851"/>
        <w:rPr>
          <w:sz w:val="24"/>
          <w:szCs w:val="24"/>
        </w:rPr>
      </w:pPr>
      <w:r w:rsidRPr="001134EA">
        <w:rPr>
          <w:b/>
          <w:sz w:val="24"/>
          <w:szCs w:val="24"/>
        </w:rPr>
        <w:t>** Patienter, som vejer mindre, vil kræve mindre volumen.</w:t>
      </w:r>
    </w:p>
    <w:p w14:paraId="3BC9D5C3" w14:textId="77777777" w:rsidR="001134EA" w:rsidRPr="001134EA" w:rsidRDefault="001134EA" w:rsidP="00635BAC">
      <w:pPr>
        <w:numPr>
          <w:ilvl w:val="0"/>
          <w:numId w:val="6"/>
        </w:numPr>
        <w:rPr>
          <w:sz w:val="24"/>
          <w:szCs w:val="24"/>
          <w:u w:val="single"/>
        </w:rPr>
      </w:pPr>
      <w:r w:rsidRPr="001134EA">
        <w:rPr>
          <w:b/>
          <w:sz w:val="24"/>
          <w:szCs w:val="24"/>
        </w:rPr>
        <w:t xml:space="preserve">Minimumsintervallet mellem hver administration skal være mindst 4 timer </w:t>
      </w:r>
    </w:p>
    <w:p w14:paraId="491A5FBF" w14:textId="77777777" w:rsidR="001134EA" w:rsidRPr="001134EA" w:rsidRDefault="001134EA" w:rsidP="00635BAC">
      <w:pPr>
        <w:numPr>
          <w:ilvl w:val="0"/>
          <w:numId w:val="6"/>
        </w:numPr>
        <w:rPr>
          <w:sz w:val="24"/>
          <w:szCs w:val="24"/>
          <w:u w:val="single"/>
        </w:rPr>
      </w:pPr>
      <w:r w:rsidRPr="001134EA">
        <w:rPr>
          <w:b/>
          <w:sz w:val="24"/>
          <w:szCs w:val="24"/>
        </w:rPr>
        <w:t>Ikke mere end 4 doser må gives på 24 timer.</w:t>
      </w:r>
    </w:p>
    <w:p w14:paraId="13D80E49" w14:textId="77777777" w:rsidR="001134EA" w:rsidRPr="001134EA" w:rsidRDefault="001134EA" w:rsidP="00635BAC">
      <w:pPr>
        <w:ind w:left="851"/>
        <w:rPr>
          <w:sz w:val="24"/>
          <w:szCs w:val="24"/>
          <w:u w:val="single"/>
        </w:rPr>
      </w:pPr>
    </w:p>
    <w:p w14:paraId="62A8CF93" w14:textId="77777777" w:rsidR="001134EA" w:rsidRPr="001134EA" w:rsidRDefault="001134EA" w:rsidP="00635BAC">
      <w:pPr>
        <w:ind w:left="851"/>
        <w:rPr>
          <w:i/>
          <w:iCs/>
          <w:sz w:val="24"/>
          <w:szCs w:val="24"/>
          <w:u w:val="single"/>
        </w:rPr>
      </w:pPr>
      <w:r w:rsidRPr="001134EA">
        <w:rPr>
          <w:i/>
          <w:iCs/>
          <w:sz w:val="24"/>
          <w:szCs w:val="24"/>
          <w:u w:val="single"/>
        </w:rPr>
        <w:t>Nedsat nyrefunktion</w:t>
      </w:r>
    </w:p>
    <w:p w14:paraId="01301811" w14:textId="77777777" w:rsidR="001134EA" w:rsidRPr="001134EA" w:rsidRDefault="001134EA" w:rsidP="00635BAC">
      <w:pPr>
        <w:ind w:left="851"/>
        <w:rPr>
          <w:sz w:val="24"/>
          <w:szCs w:val="24"/>
        </w:rPr>
      </w:pPr>
      <w:r w:rsidRPr="001134EA">
        <w:rPr>
          <w:sz w:val="24"/>
          <w:szCs w:val="24"/>
        </w:rPr>
        <w:t xml:space="preserve">Hos patienter med nyreinsufficiens skal minimumsintervallet mellem hver administration justeres i henhold til følgende skema: </w:t>
      </w:r>
    </w:p>
    <w:p w14:paraId="2D17F99A" w14:textId="77777777" w:rsidR="001134EA" w:rsidRPr="001134EA" w:rsidRDefault="001134EA" w:rsidP="00635BAC">
      <w:pPr>
        <w:ind w:left="851"/>
        <w:rPr>
          <w:bCs/>
          <w:sz w:val="24"/>
          <w:szCs w:val="24"/>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6"/>
        <w:gridCol w:w="3068"/>
      </w:tblGrid>
      <w:tr w:rsidR="001134EA" w:rsidRPr="001134EA" w14:paraId="3B3DEB48" w14:textId="77777777" w:rsidTr="001134EA">
        <w:trPr>
          <w:trHeight w:val="371"/>
        </w:trPr>
        <w:tc>
          <w:tcPr>
            <w:tcW w:w="2886" w:type="dxa"/>
            <w:tcBorders>
              <w:top w:val="single" w:sz="4" w:space="0" w:color="000000"/>
              <w:left w:val="single" w:sz="4" w:space="0" w:color="000000"/>
              <w:bottom w:val="single" w:sz="4" w:space="0" w:color="000000"/>
              <w:right w:val="single" w:sz="4" w:space="0" w:color="000000"/>
            </w:tcBorders>
            <w:hideMark/>
          </w:tcPr>
          <w:p w14:paraId="0BCF4FFB" w14:textId="77777777" w:rsidR="001134EA" w:rsidRPr="001134EA" w:rsidRDefault="001134EA" w:rsidP="00E43CB9">
            <w:pPr>
              <w:ind w:left="67"/>
              <w:rPr>
                <w:sz w:val="24"/>
                <w:szCs w:val="24"/>
                <w:lang w:val="en-US"/>
              </w:rPr>
            </w:pPr>
            <w:proofErr w:type="spellStart"/>
            <w:r w:rsidRPr="001134EA">
              <w:rPr>
                <w:sz w:val="24"/>
                <w:szCs w:val="24"/>
                <w:lang w:val="en-US"/>
              </w:rPr>
              <w:t>Kreatininclearance</w:t>
            </w:r>
            <w:proofErr w:type="spellEnd"/>
          </w:p>
        </w:tc>
        <w:tc>
          <w:tcPr>
            <w:tcW w:w="3068" w:type="dxa"/>
            <w:tcBorders>
              <w:top w:val="single" w:sz="4" w:space="0" w:color="000000"/>
              <w:left w:val="single" w:sz="4" w:space="0" w:color="000000"/>
              <w:bottom w:val="single" w:sz="4" w:space="0" w:color="000000"/>
              <w:right w:val="single" w:sz="4" w:space="0" w:color="000000"/>
            </w:tcBorders>
            <w:hideMark/>
          </w:tcPr>
          <w:p w14:paraId="2B3C16A8" w14:textId="20268786" w:rsidR="001134EA" w:rsidRPr="001134EA" w:rsidRDefault="001134EA" w:rsidP="00E43CB9">
            <w:pPr>
              <w:ind w:left="67"/>
              <w:rPr>
                <w:sz w:val="24"/>
                <w:szCs w:val="24"/>
                <w:lang w:val="en-US"/>
              </w:rPr>
            </w:pPr>
            <w:proofErr w:type="spellStart"/>
            <w:r w:rsidRPr="001134EA">
              <w:rPr>
                <w:sz w:val="24"/>
                <w:szCs w:val="24"/>
                <w:lang w:val="en-US"/>
              </w:rPr>
              <w:t>Administrationsinterval</w:t>
            </w:r>
            <w:proofErr w:type="spellEnd"/>
          </w:p>
        </w:tc>
      </w:tr>
      <w:tr w:rsidR="001134EA" w:rsidRPr="001134EA" w14:paraId="43B2FEA5" w14:textId="77777777" w:rsidTr="001134EA">
        <w:trPr>
          <w:trHeight w:val="373"/>
        </w:trPr>
        <w:tc>
          <w:tcPr>
            <w:tcW w:w="2886" w:type="dxa"/>
            <w:tcBorders>
              <w:top w:val="single" w:sz="4" w:space="0" w:color="000000"/>
              <w:left w:val="single" w:sz="4" w:space="0" w:color="000000"/>
              <w:bottom w:val="single" w:sz="4" w:space="0" w:color="000000"/>
              <w:right w:val="single" w:sz="4" w:space="0" w:color="000000"/>
            </w:tcBorders>
            <w:hideMark/>
          </w:tcPr>
          <w:p w14:paraId="51780CD9" w14:textId="77777777" w:rsidR="001134EA" w:rsidRPr="001134EA" w:rsidRDefault="001134EA" w:rsidP="00E43CB9">
            <w:pPr>
              <w:ind w:left="67"/>
              <w:rPr>
                <w:sz w:val="24"/>
                <w:szCs w:val="24"/>
                <w:lang w:val="en-US"/>
              </w:rPr>
            </w:pPr>
            <w:proofErr w:type="spellStart"/>
            <w:r w:rsidRPr="001134EA">
              <w:rPr>
                <w:sz w:val="24"/>
                <w:szCs w:val="24"/>
                <w:lang w:val="en-US"/>
              </w:rPr>
              <w:t>CrCl</w:t>
            </w:r>
            <w:proofErr w:type="spellEnd"/>
            <w:r w:rsidRPr="001134EA">
              <w:rPr>
                <w:sz w:val="24"/>
                <w:szCs w:val="24"/>
                <w:lang w:val="en-US"/>
              </w:rPr>
              <w:t xml:space="preserve"> ≥ 50 ml/min</w:t>
            </w:r>
          </w:p>
        </w:tc>
        <w:tc>
          <w:tcPr>
            <w:tcW w:w="3068" w:type="dxa"/>
            <w:tcBorders>
              <w:top w:val="single" w:sz="4" w:space="0" w:color="000000"/>
              <w:left w:val="single" w:sz="4" w:space="0" w:color="000000"/>
              <w:bottom w:val="single" w:sz="4" w:space="0" w:color="000000"/>
              <w:right w:val="single" w:sz="4" w:space="0" w:color="000000"/>
            </w:tcBorders>
            <w:hideMark/>
          </w:tcPr>
          <w:p w14:paraId="0591C158" w14:textId="77777777" w:rsidR="001134EA" w:rsidRPr="001134EA" w:rsidRDefault="001134EA" w:rsidP="00E43CB9">
            <w:pPr>
              <w:ind w:left="67"/>
              <w:rPr>
                <w:sz w:val="24"/>
                <w:szCs w:val="24"/>
                <w:lang w:val="en-US"/>
              </w:rPr>
            </w:pPr>
            <w:r w:rsidRPr="001134EA">
              <w:rPr>
                <w:sz w:val="24"/>
                <w:szCs w:val="24"/>
                <w:lang w:val="en-US"/>
              </w:rPr>
              <w:t xml:space="preserve">4 </w:t>
            </w:r>
            <w:proofErr w:type="gramStart"/>
            <w:r w:rsidRPr="001134EA">
              <w:rPr>
                <w:sz w:val="24"/>
                <w:szCs w:val="24"/>
                <w:lang w:val="en-US"/>
              </w:rPr>
              <w:t>timer</w:t>
            </w:r>
            <w:proofErr w:type="gramEnd"/>
          </w:p>
        </w:tc>
      </w:tr>
      <w:tr w:rsidR="001134EA" w:rsidRPr="001134EA" w14:paraId="67D3C8F5" w14:textId="77777777" w:rsidTr="001134EA">
        <w:trPr>
          <w:trHeight w:val="371"/>
        </w:trPr>
        <w:tc>
          <w:tcPr>
            <w:tcW w:w="2886" w:type="dxa"/>
            <w:tcBorders>
              <w:top w:val="single" w:sz="4" w:space="0" w:color="000000"/>
              <w:left w:val="single" w:sz="4" w:space="0" w:color="000000"/>
              <w:bottom w:val="single" w:sz="4" w:space="0" w:color="000000"/>
              <w:right w:val="single" w:sz="4" w:space="0" w:color="000000"/>
            </w:tcBorders>
            <w:hideMark/>
          </w:tcPr>
          <w:p w14:paraId="44DFEA31" w14:textId="77777777" w:rsidR="001134EA" w:rsidRPr="001134EA" w:rsidRDefault="001134EA" w:rsidP="00E43CB9">
            <w:pPr>
              <w:ind w:left="67"/>
              <w:rPr>
                <w:sz w:val="24"/>
                <w:szCs w:val="24"/>
                <w:lang w:val="en-US"/>
              </w:rPr>
            </w:pPr>
            <w:proofErr w:type="spellStart"/>
            <w:r w:rsidRPr="001134EA">
              <w:rPr>
                <w:sz w:val="24"/>
                <w:szCs w:val="24"/>
                <w:lang w:val="en-US"/>
              </w:rPr>
              <w:t>CrCl</w:t>
            </w:r>
            <w:proofErr w:type="spellEnd"/>
            <w:r w:rsidRPr="001134EA">
              <w:rPr>
                <w:sz w:val="24"/>
                <w:szCs w:val="24"/>
                <w:lang w:val="en-US"/>
              </w:rPr>
              <w:t xml:space="preserve"> 10-50 ml/min</w:t>
            </w:r>
          </w:p>
        </w:tc>
        <w:tc>
          <w:tcPr>
            <w:tcW w:w="3068" w:type="dxa"/>
            <w:tcBorders>
              <w:top w:val="single" w:sz="4" w:space="0" w:color="000000"/>
              <w:left w:val="single" w:sz="4" w:space="0" w:color="000000"/>
              <w:bottom w:val="single" w:sz="4" w:space="0" w:color="000000"/>
              <w:right w:val="single" w:sz="4" w:space="0" w:color="000000"/>
            </w:tcBorders>
            <w:hideMark/>
          </w:tcPr>
          <w:p w14:paraId="5D282301" w14:textId="77777777" w:rsidR="001134EA" w:rsidRPr="001134EA" w:rsidRDefault="001134EA" w:rsidP="00E43CB9">
            <w:pPr>
              <w:ind w:left="67"/>
              <w:rPr>
                <w:sz w:val="24"/>
                <w:szCs w:val="24"/>
                <w:lang w:val="en-US"/>
              </w:rPr>
            </w:pPr>
            <w:r w:rsidRPr="001134EA">
              <w:rPr>
                <w:sz w:val="24"/>
                <w:szCs w:val="24"/>
                <w:lang w:val="en-US"/>
              </w:rPr>
              <w:t xml:space="preserve">6 </w:t>
            </w:r>
            <w:proofErr w:type="gramStart"/>
            <w:r w:rsidRPr="001134EA">
              <w:rPr>
                <w:sz w:val="24"/>
                <w:szCs w:val="24"/>
                <w:lang w:val="en-US"/>
              </w:rPr>
              <w:t>timer</w:t>
            </w:r>
            <w:proofErr w:type="gramEnd"/>
          </w:p>
        </w:tc>
      </w:tr>
      <w:tr w:rsidR="001134EA" w:rsidRPr="001134EA" w14:paraId="41F2AFAC" w14:textId="77777777" w:rsidTr="001134EA">
        <w:trPr>
          <w:trHeight w:val="373"/>
        </w:trPr>
        <w:tc>
          <w:tcPr>
            <w:tcW w:w="2886" w:type="dxa"/>
            <w:tcBorders>
              <w:top w:val="single" w:sz="4" w:space="0" w:color="000000"/>
              <w:left w:val="single" w:sz="4" w:space="0" w:color="000000"/>
              <w:bottom w:val="single" w:sz="4" w:space="0" w:color="000000"/>
              <w:right w:val="single" w:sz="4" w:space="0" w:color="000000"/>
            </w:tcBorders>
            <w:hideMark/>
          </w:tcPr>
          <w:p w14:paraId="42D158EA" w14:textId="77777777" w:rsidR="001134EA" w:rsidRPr="001134EA" w:rsidRDefault="001134EA" w:rsidP="00E43CB9">
            <w:pPr>
              <w:ind w:left="67"/>
              <w:rPr>
                <w:sz w:val="24"/>
                <w:szCs w:val="24"/>
                <w:lang w:val="en-US"/>
              </w:rPr>
            </w:pPr>
            <w:proofErr w:type="spellStart"/>
            <w:r w:rsidRPr="001134EA">
              <w:rPr>
                <w:sz w:val="24"/>
                <w:szCs w:val="24"/>
                <w:lang w:val="en-US"/>
              </w:rPr>
              <w:t>CrCl</w:t>
            </w:r>
            <w:proofErr w:type="spellEnd"/>
            <w:r w:rsidRPr="001134EA">
              <w:rPr>
                <w:sz w:val="24"/>
                <w:szCs w:val="24"/>
                <w:lang w:val="en-US"/>
              </w:rPr>
              <w:t xml:space="preserve"> &lt; 10 ml/min</w:t>
            </w:r>
          </w:p>
        </w:tc>
        <w:tc>
          <w:tcPr>
            <w:tcW w:w="3068" w:type="dxa"/>
            <w:tcBorders>
              <w:top w:val="single" w:sz="4" w:space="0" w:color="000000"/>
              <w:left w:val="single" w:sz="4" w:space="0" w:color="000000"/>
              <w:bottom w:val="single" w:sz="4" w:space="0" w:color="000000"/>
              <w:right w:val="single" w:sz="4" w:space="0" w:color="000000"/>
            </w:tcBorders>
            <w:hideMark/>
          </w:tcPr>
          <w:p w14:paraId="744CD0C9" w14:textId="77777777" w:rsidR="001134EA" w:rsidRPr="001134EA" w:rsidRDefault="001134EA" w:rsidP="00E43CB9">
            <w:pPr>
              <w:ind w:left="67"/>
              <w:rPr>
                <w:sz w:val="24"/>
                <w:szCs w:val="24"/>
                <w:lang w:val="en-US"/>
              </w:rPr>
            </w:pPr>
            <w:r w:rsidRPr="001134EA">
              <w:rPr>
                <w:sz w:val="24"/>
                <w:szCs w:val="24"/>
                <w:lang w:val="en-US"/>
              </w:rPr>
              <w:t xml:space="preserve">8 </w:t>
            </w:r>
            <w:proofErr w:type="gramStart"/>
            <w:r w:rsidRPr="001134EA">
              <w:rPr>
                <w:sz w:val="24"/>
                <w:szCs w:val="24"/>
                <w:lang w:val="en-US"/>
              </w:rPr>
              <w:t>timer</w:t>
            </w:r>
            <w:proofErr w:type="gramEnd"/>
          </w:p>
        </w:tc>
      </w:tr>
    </w:tbl>
    <w:p w14:paraId="36ED90D8" w14:textId="77777777" w:rsidR="001134EA" w:rsidRPr="001134EA" w:rsidRDefault="001134EA" w:rsidP="00635BAC">
      <w:pPr>
        <w:ind w:left="851"/>
        <w:rPr>
          <w:sz w:val="24"/>
          <w:szCs w:val="24"/>
          <w:u w:val="single"/>
        </w:rPr>
      </w:pPr>
    </w:p>
    <w:p w14:paraId="52DA7AD2" w14:textId="77777777" w:rsidR="001134EA" w:rsidRPr="001134EA" w:rsidRDefault="001134EA" w:rsidP="00635BAC">
      <w:pPr>
        <w:ind w:left="851"/>
        <w:rPr>
          <w:i/>
          <w:iCs/>
          <w:sz w:val="24"/>
          <w:szCs w:val="24"/>
          <w:u w:val="single"/>
        </w:rPr>
      </w:pPr>
      <w:r w:rsidRPr="001134EA">
        <w:rPr>
          <w:i/>
          <w:iCs/>
          <w:sz w:val="24"/>
          <w:szCs w:val="24"/>
          <w:u w:val="single"/>
        </w:rPr>
        <w:t>Nedsat leverfunktion</w:t>
      </w:r>
    </w:p>
    <w:p w14:paraId="22A6A7A7" w14:textId="4B892B00" w:rsidR="001134EA" w:rsidRPr="001134EA" w:rsidRDefault="001134EA" w:rsidP="00635BAC">
      <w:pPr>
        <w:ind w:left="851"/>
        <w:rPr>
          <w:sz w:val="24"/>
          <w:szCs w:val="24"/>
        </w:rPr>
      </w:pPr>
      <w:r w:rsidRPr="001134EA">
        <w:rPr>
          <w:sz w:val="24"/>
          <w:szCs w:val="24"/>
        </w:rPr>
        <w:t xml:space="preserve">Hos voksne patienter med kronisk leversvigt eller kompenseret aktiv leversygdom, </w:t>
      </w:r>
      <w:proofErr w:type="spellStart"/>
      <w:r w:rsidRPr="001134EA">
        <w:rPr>
          <w:sz w:val="24"/>
          <w:szCs w:val="24"/>
        </w:rPr>
        <w:t>hepatocellulær</w:t>
      </w:r>
      <w:proofErr w:type="spellEnd"/>
      <w:r w:rsidRPr="001134EA">
        <w:rPr>
          <w:sz w:val="24"/>
          <w:szCs w:val="24"/>
        </w:rPr>
        <w:t xml:space="preserve"> insufficiens, kronisk alkoholisme, kronisk underernæring (lave </w:t>
      </w:r>
      <w:proofErr w:type="spellStart"/>
      <w:r w:rsidRPr="001134EA">
        <w:rPr>
          <w:sz w:val="24"/>
          <w:szCs w:val="24"/>
        </w:rPr>
        <w:t>leverglutathionreserver</w:t>
      </w:r>
      <w:proofErr w:type="spellEnd"/>
      <w:r w:rsidRPr="001134EA">
        <w:rPr>
          <w:sz w:val="24"/>
          <w:szCs w:val="24"/>
        </w:rPr>
        <w:t xml:space="preserve">), dehydrering, Gilberts sygdom eller en vægt på mindre end 50 kg, må den maksimale daglige dosis ikke overstige 3 g (se </w:t>
      </w:r>
      <w:r w:rsidR="00951E6D">
        <w:rPr>
          <w:sz w:val="24"/>
          <w:szCs w:val="24"/>
        </w:rPr>
        <w:t>pkt.</w:t>
      </w:r>
      <w:r w:rsidRPr="001134EA">
        <w:rPr>
          <w:sz w:val="24"/>
          <w:szCs w:val="24"/>
        </w:rPr>
        <w:t xml:space="preserve"> 4.4).</w:t>
      </w:r>
    </w:p>
    <w:p w14:paraId="6E7A7194" w14:textId="0129E691" w:rsidR="0016268D" w:rsidRDefault="0016268D">
      <w:pPr>
        <w:rPr>
          <w:sz w:val="24"/>
          <w:szCs w:val="24"/>
        </w:rPr>
      </w:pPr>
      <w:r>
        <w:rPr>
          <w:sz w:val="24"/>
          <w:szCs w:val="24"/>
        </w:rPr>
        <w:br w:type="page"/>
      </w:r>
    </w:p>
    <w:p w14:paraId="3F7EF5B5" w14:textId="77777777" w:rsidR="001134EA" w:rsidRPr="001134EA" w:rsidRDefault="001134EA" w:rsidP="00635BAC">
      <w:pPr>
        <w:ind w:left="851"/>
        <w:rPr>
          <w:sz w:val="24"/>
          <w:szCs w:val="24"/>
        </w:rPr>
      </w:pPr>
    </w:p>
    <w:p w14:paraId="6A6438A5" w14:textId="77777777" w:rsidR="001134EA" w:rsidRPr="001134EA" w:rsidRDefault="001134EA" w:rsidP="00635BAC">
      <w:pPr>
        <w:ind w:left="851"/>
        <w:rPr>
          <w:i/>
          <w:iCs/>
          <w:sz w:val="24"/>
          <w:szCs w:val="24"/>
          <w:u w:val="single"/>
        </w:rPr>
      </w:pPr>
      <w:r w:rsidRPr="001134EA">
        <w:rPr>
          <w:i/>
          <w:iCs/>
          <w:sz w:val="24"/>
          <w:szCs w:val="24"/>
          <w:u w:val="single"/>
        </w:rPr>
        <w:t>Ældre patienter</w:t>
      </w:r>
    </w:p>
    <w:p w14:paraId="21DDF1C7" w14:textId="58366363" w:rsidR="001134EA" w:rsidRPr="001134EA" w:rsidRDefault="001134EA" w:rsidP="00635BAC">
      <w:pPr>
        <w:ind w:left="851"/>
        <w:rPr>
          <w:sz w:val="24"/>
          <w:szCs w:val="24"/>
        </w:rPr>
      </w:pPr>
      <w:r w:rsidRPr="001134EA">
        <w:rPr>
          <w:sz w:val="24"/>
          <w:szCs w:val="24"/>
        </w:rPr>
        <w:t xml:space="preserve">Dosisjustering er ikke nødvendig hos ældre. Det skal dog tages i betragtning, at nyre- og/eller leverinsufficiens er mere almindelig hos patienter over 65 år (se </w:t>
      </w:r>
      <w:r w:rsidR="00951E6D">
        <w:rPr>
          <w:sz w:val="24"/>
          <w:szCs w:val="24"/>
        </w:rPr>
        <w:t>pkt.</w:t>
      </w:r>
      <w:r w:rsidRPr="001134EA">
        <w:rPr>
          <w:sz w:val="24"/>
          <w:szCs w:val="24"/>
        </w:rPr>
        <w:t xml:space="preserve"> 5.2).</w:t>
      </w:r>
    </w:p>
    <w:p w14:paraId="5ADB05AD" w14:textId="77777777" w:rsidR="001134EA" w:rsidRPr="001134EA" w:rsidRDefault="001134EA" w:rsidP="00635BAC">
      <w:pPr>
        <w:ind w:left="851"/>
        <w:rPr>
          <w:sz w:val="24"/>
          <w:szCs w:val="24"/>
          <w:u w:val="single"/>
        </w:rPr>
      </w:pPr>
    </w:p>
    <w:p w14:paraId="1F759B23" w14:textId="04A500F8" w:rsidR="001134EA" w:rsidRPr="001134EA" w:rsidRDefault="001134EA" w:rsidP="00635BAC">
      <w:pPr>
        <w:ind w:left="851"/>
        <w:rPr>
          <w:sz w:val="24"/>
          <w:szCs w:val="24"/>
          <w:u w:val="single"/>
        </w:rPr>
      </w:pPr>
      <w:r w:rsidRPr="001134EA">
        <w:rPr>
          <w:sz w:val="24"/>
          <w:szCs w:val="24"/>
          <w:u w:val="single"/>
        </w:rPr>
        <w:t xml:space="preserve">Administration </w:t>
      </w:r>
    </w:p>
    <w:p w14:paraId="7DCD46A8" w14:textId="77777777" w:rsidR="001134EA" w:rsidRPr="001134EA" w:rsidRDefault="001134EA" w:rsidP="001134EA">
      <w:pPr>
        <w:tabs>
          <w:tab w:val="left" w:pos="851"/>
        </w:tabs>
        <w:ind w:left="851"/>
        <w:rPr>
          <w:bCs/>
          <w:sz w:val="24"/>
          <w:szCs w:val="24"/>
        </w:rPr>
      </w:pPr>
    </w:p>
    <w:tbl>
      <w:tblPr>
        <w:tblW w:w="91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9155"/>
      </w:tblGrid>
      <w:tr w:rsidR="001134EA" w:rsidRPr="001134EA" w14:paraId="43D6D8AD" w14:textId="77777777" w:rsidTr="00951E6D">
        <w:trPr>
          <w:cantSplit/>
          <w:trHeight w:val="1426"/>
        </w:trPr>
        <w:tc>
          <w:tcPr>
            <w:tcW w:w="9155" w:type="dxa"/>
            <w:tcBorders>
              <w:top w:val="single" w:sz="4" w:space="0" w:color="auto"/>
              <w:left w:val="single" w:sz="4" w:space="0" w:color="auto"/>
              <w:bottom w:val="single" w:sz="4" w:space="0" w:color="auto"/>
              <w:right w:val="single" w:sz="4" w:space="0" w:color="auto"/>
            </w:tcBorders>
            <w:shd w:val="clear" w:color="auto" w:fill="D9D9D9"/>
            <w:hideMark/>
          </w:tcPr>
          <w:p w14:paraId="7904AFBD" w14:textId="103B24CF" w:rsidR="001134EA" w:rsidRPr="001134EA" w:rsidRDefault="001134EA" w:rsidP="00635BAC">
            <w:pPr>
              <w:rPr>
                <w:iCs/>
                <w:sz w:val="24"/>
                <w:szCs w:val="24"/>
              </w:rPr>
            </w:pPr>
            <w:r w:rsidRPr="001134EA">
              <w:rPr>
                <w:iCs/>
                <w:sz w:val="24"/>
                <w:szCs w:val="24"/>
              </w:rPr>
              <w:t xml:space="preserve">Vær forsigtig, når Paracetamol </w:t>
            </w:r>
            <w:r w:rsidR="00E43CB9">
              <w:rPr>
                <w:iCs/>
                <w:sz w:val="24"/>
                <w:szCs w:val="24"/>
              </w:rPr>
              <w:t>"</w:t>
            </w:r>
            <w:proofErr w:type="spellStart"/>
            <w:r w:rsidR="00E43CB9">
              <w:rPr>
                <w:iCs/>
                <w:sz w:val="24"/>
                <w:szCs w:val="24"/>
              </w:rPr>
              <w:t>Kabi</w:t>
            </w:r>
            <w:proofErr w:type="spellEnd"/>
            <w:r w:rsidR="00E43CB9">
              <w:rPr>
                <w:iCs/>
                <w:sz w:val="24"/>
                <w:szCs w:val="24"/>
              </w:rPr>
              <w:t>"</w:t>
            </w:r>
            <w:r w:rsidRPr="001134EA">
              <w:rPr>
                <w:iCs/>
                <w:sz w:val="24"/>
                <w:szCs w:val="24"/>
              </w:rPr>
              <w:t xml:space="preserve"> 10 mg/ml infusionsvæske, opløsning ordineres og</w:t>
            </w:r>
            <w:r w:rsidR="00635BAC" w:rsidRPr="00054795">
              <w:rPr>
                <w:iCs/>
                <w:sz w:val="24"/>
                <w:szCs w:val="24"/>
              </w:rPr>
              <w:t xml:space="preserve"> </w:t>
            </w:r>
            <w:r w:rsidRPr="001134EA">
              <w:rPr>
                <w:iCs/>
                <w:sz w:val="24"/>
                <w:szCs w:val="24"/>
              </w:rPr>
              <w:t>indgives for at undgå doseringsfejl forårsaget af forveksling mellem milligram (mg) og milliliter</w:t>
            </w:r>
            <w:r w:rsidR="00635BAC" w:rsidRPr="00054795">
              <w:rPr>
                <w:iCs/>
                <w:sz w:val="24"/>
                <w:szCs w:val="24"/>
              </w:rPr>
              <w:t xml:space="preserve"> </w:t>
            </w:r>
            <w:r w:rsidRPr="001134EA">
              <w:rPr>
                <w:iCs/>
                <w:sz w:val="24"/>
                <w:szCs w:val="24"/>
              </w:rPr>
              <w:t>(ml), som kan resultere i utilsigtet overdosering og død. Vær sikker på, at den rigtige dosis er</w:t>
            </w:r>
            <w:r w:rsidR="00635BAC" w:rsidRPr="00054795">
              <w:rPr>
                <w:iCs/>
                <w:sz w:val="24"/>
                <w:szCs w:val="24"/>
              </w:rPr>
              <w:t xml:space="preserve"> </w:t>
            </w:r>
            <w:r w:rsidRPr="001134EA">
              <w:rPr>
                <w:iCs/>
                <w:sz w:val="24"/>
                <w:szCs w:val="24"/>
              </w:rPr>
              <w:t>kommunikeret og dispenseret. Ved ordinationen skal den totale dosis både skrives i mg og i</w:t>
            </w:r>
            <w:r w:rsidR="00635BAC" w:rsidRPr="00054795">
              <w:rPr>
                <w:iCs/>
                <w:sz w:val="24"/>
                <w:szCs w:val="24"/>
              </w:rPr>
              <w:t xml:space="preserve"> </w:t>
            </w:r>
            <w:r w:rsidRPr="001134EA">
              <w:rPr>
                <w:iCs/>
                <w:sz w:val="24"/>
                <w:szCs w:val="24"/>
              </w:rPr>
              <w:t xml:space="preserve">volumen. Vær omhyggelig med at sikre, at dosis afmåles og administreres nøjagtigt. </w:t>
            </w:r>
          </w:p>
        </w:tc>
      </w:tr>
    </w:tbl>
    <w:p w14:paraId="244337CC" w14:textId="77777777" w:rsidR="001134EA" w:rsidRPr="001134EA" w:rsidRDefault="001134EA" w:rsidP="001134EA">
      <w:pPr>
        <w:tabs>
          <w:tab w:val="left" w:pos="851"/>
        </w:tabs>
        <w:ind w:left="851"/>
        <w:rPr>
          <w:sz w:val="24"/>
          <w:szCs w:val="24"/>
        </w:rPr>
      </w:pPr>
    </w:p>
    <w:p w14:paraId="41C04382" w14:textId="77777777" w:rsidR="001134EA" w:rsidRPr="001134EA" w:rsidRDefault="001134EA" w:rsidP="00635BAC">
      <w:pPr>
        <w:ind w:left="851"/>
        <w:rPr>
          <w:sz w:val="24"/>
          <w:szCs w:val="24"/>
        </w:rPr>
      </w:pPr>
      <w:r w:rsidRPr="001134EA">
        <w:rPr>
          <w:sz w:val="24"/>
          <w:szCs w:val="24"/>
        </w:rPr>
        <w:t xml:space="preserve">Kun til engangsbrug. Ubrugt opløsning skal kasseres. </w:t>
      </w:r>
    </w:p>
    <w:p w14:paraId="07EAA720" w14:textId="77777777" w:rsidR="001134EA" w:rsidRPr="001134EA" w:rsidRDefault="001134EA" w:rsidP="00635BAC">
      <w:pPr>
        <w:ind w:left="851"/>
        <w:rPr>
          <w:sz w:val="24"/>
          <w:szCs w:val="24"/>
        </w:rPr>
      </w:pPr>
    </w:p>
    <w:p w14:paraId="501A2262" w14:textId="77777777" w:rsidR="001134EA" w:rsidRPr="001134EA" w:rsidRDefault="001134EA" w:rsidP="00635BAC">
      <w:pPr>
        <w:ind w:left="851"/>
        <w:rPr>
          <w:sz w:val="24"/>
          <w:szCs w:val="24"/>
        </w:rPr>
      </w:pPr>
      <w:r w:rsidRPr="001134EA">
        <w:rPr>
          <w:sz w:val="24"/>
          <w:szCs w:val="24"/>
        </w:rPr>
        <w:t>Før indgivelse skal produktet inspiceres visuelt for partikler og misfarvning.</w:t>
      </w:r>
    </w:p>
    <w:p w14:paraId="15A5E671" w14:textId="77777777" w:rsidR="001134EA" w:rsidRPr="001134EA" w:rsidRDefault="001134EA" w:rsidP="00635BAC">
      <w:pPr>
        <w:ind w:left="851"/>
        <w:rPr>
          <w:sz w:val="24"/>
          <w:szCs w:val="24"/>
        </w:rPr>
      </w:pPr>
    </w:p>
    <w:p w14:paraId="1886328D" w14:textId="77777777" w:rsidR="001134EA" w:rsidRPr="001134EA" w:rsidRDefault="001134EA" w:rsidP="00635BAC">
      <w:pPr>
        <w:ind w:left="851"/>
        <w:rPr>
          <w:sz w:val="24"/>
          <w:szCs w:val="24"/>
        </w:rPr>
      </w:pPr>
      <w:r w:rsidRPr="001134EA">
        <w:rPr>
          <w:sz w:val="24"/>
          <w:szCs w:val="24"/>
        </w:rPr>
        <w:t xml:space="preserve">Paracetamol-opløsningen indgives som en 15-minutters intravenøs infusion. </w:t>
      </w:r>
    </w:p>
    <w:p w14:paraId="6F4E1938" w14:textId="77777777" w:rsidR="001134EA" w:rsidRPr="001134EA" w:rsidRDefault="001134EA" w:rsidP="00635BAC">
      <w:pPr>
        <w:ind w:left="851"/>
        <w:rPr>
          <w:sz w:val="24"/>
          <w:szCs w:val="24"/>
        </w:rPr>
      </w:pPr>
    </w:p>
    <w:p w14:paraId="222A7CEC" w14:textId="5613491D" w:rsidR="001134EA" w:rsidRPr="001134EA" w:rsidRDefault="001134EA" w:rsidP="00635BAC">
      <w:pPr>
        <w:ind w:left="851"/>
        <w:rPr>
          <w:sz w:val="24"/>
          <w:szCs w:val="24"/>
        </w:rPr>
      </w:pPr>
      <w:r w:rsidRPr="001134EA">
        <w:rPr>
          <w:sz w:val="24"/>
          <w:szCs w:val="24"/>
        </w:rPr>
        <w:t xml:space="preserve">For instruktioner om fortynding af lægemidlet før administration, se </w:t>
      </w:r>
      <w:r w:rsidR="00951E6D">
        <w:rPr>
          <w:sz w:val="24"/>
          <w:szCs w:val="24"/>
        </w:rPr>
        <w:t>pkt.</w:t>
      </w:r>
      <w:r w:rsidRPr="001134EA">
        <w:rPr>
          <w:sz w:val="24"/>
          <w:szCs w:val="24"/>
        </w:rPr>
        <w:t xml:space="preserve"> 6.6.</w:t>
      </w:r>
    </w:p>
    <w:p w14:paraId="042AD874" w14:textId="77777777" w:rsidR="009260DE" w:rsidRPr="00054795" w:rsidRDefault="009260DE" w:rsidP="009260DE">
      <w:pPr>
        <w:tabs>
          <w:tab w:val="left" w:pos="851"/>
        </w:tabs>
        <w:ind w:left="851"/>
        <w:rPr>
          <w:sz w:val="24"/>
          <w:szCs w:val="24"/>
        </w:rPr>
      </w:pPr>
    </w:p>
    <w:p w14:paraId="7ABE94A8" w14:textId="77777777" w:rsidR="009260DE" w:rsidRPr="00054795" w:rsidRDefault="009260DE" w:rsidP="009260DE">
      <w:pPr>
        <w:tabs>
          <w:tab w:val="left" w:pos="851"/>
        </w:tabs>
        <w:ind w:left="851" w:hanging="851"/>
        <w:rPr>
          <w:b/>
          <w:sz w:val="24"/>
          <w:szCs w:val="24"/>
        </w:rPr>
      </w:pPr>
      <w:r w:rsidRPr="00054795">
        <w:rPr>
          <w:b/>
          <w:sz w:val="24"/>
          <w:szCs w:val="24"/>
        </w:rPr>
        <w:t>4.3</w:t>
      </w:r>
      <w:r w:rsidRPr="00054795">
        <w:rPr>
          <w:b/>
          <w:sz w:val="24"/>
          <w:szCs w:val="24"/>
        </w:rPr>
        <w:tab/>
        <w:t>Kontraindikationer</w:t>
      </w:r>
    </w:p>
    <w:p w14:paraId="4923907C" w14:textId="45A4BCFF" w:rsidR="001134EA" w:rsidRPr="001134EA" w:rsidRDefault="001134EA" w:rsidP="00635BAC">
      <w:pPr>
        <w:numPr>
          <w:ilvl w:val="0"/>
          <w:numId w:val="7"/>
        </w:numPr>
        <w:ind w:left="1276" w:hanging="425"/>
        <w:rPr>
          <w:sz w:val="24"/>
          <w:szCs w:val="24"/>
        </w:rPr>
      </w:pPr>
      <w:r w:rsidRPr="001134EA">
        <w:rPr>
          <w:sz w:val="24"/>
          <w:szCs w:val="24"/>
        </w:rPr>
        <w:t xml:space="preserve">Overfølsomhed over for det aktive stof, </w:t>
      </w:r>
      <w:proofErr w:type="spellStart"/>
      <w:r w:rsidRPr="001134EA">
        <w:rPr>
          <w:sz w:val="24"/>
          <w:szCs w:val="24"/>
        </w:rPr>
        <w:t>propacetamolhydrochlorid</w:t>
      </w:r>
      <w:proofErr w:type="spellEnd"/>
      <w:r w:rsidRPr="001134EA">
        <w:rPr>
          <w:sz w:val="24"/>
          <w:szCs w:val="24"/>
        </w:rPr>
        <w:t xml:space="preserve"> (prodrug til paracetamol) eller over for et eller flere af hjælpestofferne anført i </w:t>
      </w:r>
      <w:r w:rsidR="00951E6D">
        <w:rPr>
          <w:sz w:val="24"/>
          <w:szCs w:val="24"/>
        </w:rPr>
        <w:t>pkt.</w:t>
      </w:r>
      <w:r w:rsidRPr="001134EA">
        <w:rPr>
          <w:sz w:val="24"/>
          <w:szCs w:val="24"/>
        </w:rPr>
        <w:t xml:space="preserve"> 6.1. </w:t>
      </w:r>
    </w:p>
    <w:p w14:paraId="746AC4CD" w14:textId="08CF1636" w:rsidR="001134EA" w:rsidRPr="001134EA" w:rsidRDefault="001134EA" w:rsidP="00635BAC">
      <w:pPr>
        <w:numPr>
          <w:ilvl w:val="0"/>
          <w:numId w:val="7"/>
        </w:numPr>
        <w:ind w:left="1276" w:hanging="425"/>
        <w:rPr>
          <w:sz w:val="24"/>
          <w:szCs w:val="24"/>
        </w:rPr>
      </w:pPr>
      <w:r w:rsidRPr="001134EA">
        <w:rPr>
          <w:sz w:val="24"/>
          <w:szCs w:val="24"/>
        </w:rPr>
        <w:t xml:space="preserve">Alvorlig </w:t>
      </w:r>
      <w:proofErr w:type="spellStart"/>
      <w:r w:rsidRPr="001134EA">
        <w:rPr>
          <w:sz w:val="24"/>
          <w:szCs w:val="24"/>
        </w:rPr>
        <w:t>hepatocellulær</w:t>
      </w:r>
      <w:proofErr w:type="spellEnd"/>
      <w:r w:rsidRPr="001134EA">
        <w:rPr>
          <w:sz w:val="24"/>
          <w:szCs w:val="24"/>
        </w:rPr>
        <w:t xml:space="preserve"> insufficiens (Child-</w:t>
      </w:r>
      <w:proofErr w:type="spellStart"/>
      <w:r w:rsidRPr="001134EA">
        <w:rPr>
          <w:sz w:val="24"/>
          <w:szCs w:val="24"/>
        </w:rPr>
        <w:t>Pugh</w:t>
      </w:r>
      <w:proofErr w:type="spellEnd"/>
      <w:r w:rsidR="00FA19FB">
        <w:rPr>
          <w:sz w:val="24"/>
          <w:szCs w:val="24"/>
        </w:rPr>
        <w:t xml:space="preserve"> </w:t>
      </w:r>
      <w:r w:rsidRPr="001134EA">
        <w:rPr>
          <w:sz w:val="24"/>
          <w:szCs w:val="24"/>
        </w:rPr>
        <w:t xml:space="preserve">&gt;9) </w:t>
      </w:r>
    </w:p>
    <w:p w14:paraId="20BC45A7" w14:textId="77777777" w:rsidR="009260DE" w:rsidRPr="00054795" w:rsidRDefault="009260DE" w:rsidP="009260DE">
      <w:pPr>
        <w:tabs>
          <w:tab w:val="left" w:pos="851"/>
        </w:tabs>
        <w:ind w:left="851"/>
        <w:rPr>
          <w:sz w:val="24"/>
          <w:szCs w:val="24"/>
        </w:rPr>
      </w:pPr>
    </w:p>
    <w:p w14:paraId="71C8E2D1" w14:textId="77777777" w:rsidR="009260DE" w:rsidRPr="00054795" w:rsidRDefault="009260DE" w:rsidP="009260DE">
      <w:pPr>
        <w:tabs>
          <w:tab w:val="left" w:pos="851"/>
        </w:tabs>
        <w:ind w:left="851" w:hanging="851"/>
        <w:rPr>
          <w:b/>
          <w:sz w:val="24"/>
          <w:szCs w:val="24"/>
        </w:rPr>
      </w:pPr>
      <w:r w:rsidRPr="00054795">
        <w:rPr>
          <w:b/>
          <w:sz w:val="24"/>
          <w:szCs w:val="24"/>
        </w:rPr>
        <w:t>4.4</w:t>
      </w:r>
      <w:r w:rsidRPr="00054795">
        <w:rPr>
          <w:b/>
          <w:sz w:val="24"/>
          <w:szCs w:val="24"/>
        </w:rPr>
        <w:tab/>
        <w:t>Særlige advarsler og forsigtighedsregler vedrørende brugen</w:t>
      </w:r>
    </w:p>
    <w:p w14:paraId="0DE6ACE6" w14:textId="77777777" w:rsidR="00793067" w:rsidRPr="00054795" w:rsidRDefault="00793067" w:rsidP="00635BAC">
      <w:pPr>
        <w:ind w:left="851"/>
        <w:rPr>
          <w:bCs/>
          <w:sz w:val="24"/>
          <w:szCs w:val="24"/>
        </w:rPr>
      </w:pPr>
    </w:p>
    <w:p w14:paraId="74877C69" w14:textId="231F96BE" w:rsidR="001134EA" w:rsidRPr="001134EA" w:rsidRDefault="001134EA" w:rsidP="00635BAC">
      <w:pPr>
        <w:ind w:left="851"/>
        <w:rPr>
          <w:b/>
          <w:sz w:val="24"/>
          <w:szCs w:val="24"/>
          <w:u w:val="single"/>
        </w:rPr>
      </w:pPr>
      <w:r w:rsidRPr="001134EA">
        <w:rPr>
          <w:b/>
          <w:sz w:val="24"/>
          <w:szCs w:val="24"/>
          <w:u w:val="single"/>
        </w:rPr>
        <w:t>Advarsler</w:t>
      </w:r>
    </w:p>
    <w:p w14:paraId="0CBCCCFF" w14:textId="5D4109BE" w:rsidR="001134EA" w:rsidRPr="001134EA" w:rsidRDefault="001134EA" w:rsidP="00635BAC">
      <w:pPr>
        <w:ind w:left="851"/>
        <w:rPr>
          <w:bCs/>
          <w:sz w:val="24"/>
          <w:szCs w:val="24"/>
        </w:rPr>
      </w:pPr>
    </w:p>
    <w:tbl>
      <w:tblPr>
        <w:tblW w:w="91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9155"/>
      </w:tblGrid>
      <w:tr w:rsidR="001134EA" w:rsidRPr="001134EA" w14:paraId="28F02771" w14:textId="77777777" w:rsidTr="00951E6D">
        <w:trPr>
          <w:cantSplit/>
          <w:trHeight w:val="936"/>
        </w:trPr>
        <w:tc>
          <w:tcPr>
            <w:tcW w:w="9155" w:type="dxa"/>
            <w:tcBorders>
              <w:top w:val="single" w:sz="4" w:space="0" w:color="auto"/>
              <w:left w:val="single" w:sz="4" w:space="0" w:color="auto"/>
              <w:bottom w:val="single" w:sz="4" w:space="0" w:color="auto"/>
              <w:right w:val="single" w:sz="4" w:space="0" w:color="auto"/>
            </w:tcBorders>
            <w:shd w:val="clear" w:color="auto" w:fill="D9D9D9"/>
            <w:hideMark/>
          </w:tcPr>
          <w:p w14:paraId="42110810" w14:textId="77777777" w:rsidR="001134EA" w:rsidRPr="001134EA" w:rsidRDefault="001134EA" w:rsidP="00793067">
            <w:pPr>
              <w:rPr>
                <w:iCs/>
                <w:sz w:val="24"/>
                <w:szCs w:val="24"/>
              </w:rPr>
            </w:pPr>
            <w:r w:rsidRPr="001134EA">
              <w:rPr>
                <w:iCs/>
                <w:sz w:val="24"/>
                <w:szCs w:val="24"/>
              </w:rPr>
              <w:t>RISIKO FOR MEDICINERINGSFEJL</w:t>
            </w:r>
          </w:p>
          <w:p w14:paraId="1A7F83CE" w14:textId="215084B7" w:rsidR="001134EA" w:rsidRPr="001134EA" w:rsidRDefault="001134EA" w:rsidP="00793067">
            <w:pPr>
              <w:rPr>
                <w:iCs/>
                <w:sz w:val="24"/>
                <w:szCs w:val="24"/>
              </w:rPr>
            </w:pPr>
            <w:r w:rsidRPr="001134EA">
              <w:rPr>
                <w:iCs/>
                <w:sz w:val="24"/>
                <w:szCs w:val="24"/>
              </w:rPr>
              <w:t>Vær forsigtig for at undgå doseringsfejl forårsaget af forveksling mellem milligram (mg) og</w:t>
            </w:r>
            <w:r w:rsidR="00793067" w:rsidRPr="00054795">
              <w:rPr>
                <w:iCs/>
                <w:sz w:val="24"/>
                <w:szCs w:val="24"/>
              </w:rPr>
              <w:t xml:space="preserve"> </w:t>
            </w:r>
            <w:r w:rsidRPr="001134EA">
              <w:rPr>
                <w:iCs/>
                <w:sz w:val="24"/>
                <w:szCs w:val="24"/>
              </w:rPr>
              <w:t xml:space="preserve">milliliter (ml), som kan resultere i utilsigtet overdosering og død (se </w:t>
            </w:r>
            <w:r w:rsidR="00951E6D">
              <w:rPr>
                <w:iCs/>
                <w:sz w:val="24"/>
                <w:szCs w:val="24"/>
              </w:rPr>
              <w:t>pkt.</w:t>
            </w:r>
            <w:r w:rsidRPr="001134EA">
              <w:rPr>
                <w:iCs/>
                <w:sz w:val="24"/>
                <w:szCs w:val="24"/>
              </w:rPr>
              <w:t xml:space="preserve"> 4.2). </w:t>
            </w:r>
          </w:p>
        </w:tc>
      </w:tr>
    </w:tbl>
    <w:p w14:paraId="2025D6F8" w14:textId="77777777" w:rsidR="001134EA" w:rsidRPr="001134EA" w:rsidRDefault="001134EA" w:rsidP="001134EA">
      <w:pPr>
        <w:tabs>
          <w:tab w:val="left" w:pos="851"/>
        </w:tabs>
        <w:ind w:left="851"/>
        <w:rPr>
          <w:sz w:val="24"/>
          <w:szCs w:val="24"/>
        </w:rPr>
      </w:pPr>
    </w:p>
    <w:p w14:paraId="66B4B56B" w14:textId="51B9BAD3" w:rsidR="001134EA" w:rsidRPr="001134EA" w:rsidRDefault="001134EA" w:rsidP="00793067">
      <w:pPr>
        <w:ind w:left="851"/>
        <w:rPr>
          <w:sz w:val="24"/>
          <w:szCs w:val="24"/>
        </w:rPr>
      </w:pPr>
      <w:r w:rsidRPr="001134EA">
        <w:rPr>
          <w:sz w:val="24"/>
          <w:szCs w:val="24"/>
        </w:rPr>
        <w:t>Det anbefales at anvende en passende analgetisk oral behandling, så snart denne administrationsmåde er mulig.</w:t>
      </w:r>
    </w:p>
    <w:p w14:paraId="3DA0B518" w14:textId="77777777" w:rsidR="001134EA" w:rsidRPr="001134EA" w:rsidRDefault="001134EA" w:rsidP="00793067">
      <w:pPr>
        <w:ind w:left="851"/>
        <w:rPr>
          <w:sz w:val="24"/>
          <w:szCs w:val="24"/>
        </w:rPr>
      </w:pPr>
    </w:p>
    <w:p w14:paraId="595030C9" w14:textId="77777777" w:rsidR="001134EA" w:rsidRPr="001134EA" w:rsidRDefault="001134EA" w:rsidP="00793067">
      <w:pPr>
        <w:ind w:left="851"/>
        <w:rPr>
          <w:sz w:val="24"/>
          <w:szCs w:val="24"/>
        </w:rPr>
      </w:pPr>
      <w:r w:rsidRPr="001134EA">
        <w:rPr>
          <w:sz w:val="24"/>
          <w:szCs w:val="24"/>
        </w:rPr>
        <w:t xml:space="preserve">For at undgå risiko for overdosering, bør det kontrolleres, at der ikke gives anden medicin, der indeholder enten paracetamol eller </w:t>
      </w:r>
      <w:proofErr w:type="spellStart"/>
      <w:r w:rsidRPr="001134EA">
        <w:rPr>
          <w:sz w:val="24"/>
          <w:szCs w:val="24"/>
        </w:rPr>
        <w:t>propacetamolhydrochlorid</w:t>
      </w:r>
      <w:proofErr w:type="spellEnd"/>
      <w:r w:rsidRPr="001134EA">
        <w:rPr>
          <w:sz w:val="24"/>
          <w:szCs w:val="24"/>
        </w:rPr>
        <w:t xml:space="preserve">. </w:t>
      </w:r>
    </w:p>
    <w:p w14:paraId="746C6B67" w14:textId="77777777" w:rsidR="001134EA" w:rsidRPr="001134EA" w:rsidRDefault="001134EA" w:rsidP="00793067">
      <w:pPr>
        <w:ind w:left="851"/>
        <w:rPr>
          <w:sz w:val="24"/>
          <w:szCs w:val="24"/>
        </w:rPr>
      </w:pPr>
    </w:p>
    <w:p w14:paraId="7E614D31" w14:textId="231B3B64" w:rsidR="001134EA" w:rsidRPr="001134EA" w:rsidRDefault="001134EA" w:rsidP="00793067">
      <w:pPr>
        <w:ind w:left="851"/>
        <w:rPr>
          <w:sz w:val="24"/>
          <w:szCs w:val="24"/>
        </w:rPr>
      </w:pPr>
      <w:r w:rsidRPr="001134EA">
        <w:rPr>
          <w:sz w:val="24"/>
          <w:szCs w:val="24"/>
        </w:rPr>
        <w:t xml:space="preserve">Doser større end de anbefalede kan medføre risiko for meget alvorlige leverskader. Kliniske tegn og symptomer på leverskade (herunder fulminant hepatitis, leversvigt, </w:t>
      </w:r>
      <w:proofErr w:type="spellStart"/>
      <w:r w:rsidRPr="001134EA">
        <w:rPr>
          <w:sz w:val="24"/>
          <w:szCs w:val="24"/>
        </w:rPr>
        <w:t>kolestatisk</w:t>
      </w:r>
      <w:proofErr w:type="spellEnd"/>
      <w:r w:rsidRPr="001134EA">
        <w:rPr>
          <w:sz w:val="24"/>
          <w:szCs w:val="24"/>
        </w:rPr>
        <w:t xml:space="preserve"> hepatitis, </w:t>
      </w:r>
      <w:proofErr w:type="spellStart"/>
      <w:r w:rsidRPr="001134EA">
        <w:rPr>
          <w:sz w:val="24"/>
          <w:szCs w:val="24"/>
        </w:rPr>
        <w:t>cytolytisk</w:t>
      </w:r>
      <w:proofErr w:type="spellEnd"/>
      <w:r w:rsidRPr="001134EA">
        <w:rPr>
          <w:sz w:val="24"/>
          <w:szCs w:val="24"/>
        </w:rPr>
        <w:t xml:space="preserve"> hepatitis) ses sædvanligvis ikke før end to dage efter administration, og op til maks. 4-6 dage efter administration. Behandling med antidot skal gives hurtigst muligt (se </w:t>
      </w:r>
      <w:r w:rsidR="00951E6D">
        <w:rPr>
          <w:sz w:val="24"/>
          <w:szCs w:val="24"/>
        </w:rPr>
        <w:t>pkt.</w:t>
      </w:r>
      <w:r w:rsidRPr="001134EA">
        <w:rPr>
          <w:sz w:val="24"/>
          <w:szCs w:val="24"/>
        </w:rPr>
        <w:t xml:space="preserve"> 4.9).</w:t>
      </w:r>
    </w:p>
    <w:p w14:paraId="75DB5DE3" w14:textId="77777777" w:rsidR="001134EA" w:rsidRPr="001134EA" w:rsidRDefault="001134EA" w:rsidP="00793067">
      <w:pPr>
        <w:ind w:left="851"/>
        <w:rPr>
          <w:sz w:val="24"/>
          <w:szCs w:val="24"/>
        </w:rPr>
      </w:pPr>
    </w:p>
    <w:p w14:paraId="7BADCEDD" w14:textId="77777777" w:rsidR="001134EA" w:rsidRPr="001134EA" w:rsidRDefault="001134EA" w:rsidP="00793067">
      <w:pPr>
        <w:ind w:left="851"/>
        <w:rPr>
          <w:sz w:val="24"/>
          <w:szCs w:val="24"/>
        </w:rPr>
      </w:pPr>
      <w:r w:rsidRPr="001134EA">
        <w:rPr>
          <w:sz w:val="24"/>
          <w:szCs w:val="24"/>
        </w:rPr>
        <w:t xml:space="preserve">Paracetamol kan forårsage alvorlige hudreaktioner. Patienter bør informeres om de tidlige tegn på alvorlige hudreaktioner, og at brugen af lægemidlet bør ophøre ved første forekomst af hududslæt eller andre tegn på overfølsomhed. </w:t>
      </w:r>
    </w:p>
    <w:p w14:paraId="55E5E8CC" w14:textId="77777777" w:rsidR="001134EA" w:rsidRPr="001134EA" w:rsidRDefault="001134EA" w:rsidP="00793067">
      <w:pPr>
        <w:ind w:left="851"/>
        <w:rPr>
          <w:sz w:val="24"/>
          <w:szCs w:val="24"/>
        </w:rPr>
      </w:pPr>
    </w:p>
    <w:p w14:paraId="7020C554" w14:textId="77777777" w:rsidR="001134EA" w:rsidRPr="001134EA" w:rsidRDefault="001134EA" w:rsidP="00793067">
      <w:pPr>
        <w:ind w:left="851"/>
        <w:rPr>
          <w:sz w:val="24"/>
          <w:szCs w:val="24"/>
        </w:rPr>
      </w:pPr>
      <w:r w:rsidRPr="001134EA">
        <w:rPr>
          <w:sz w:val="24"/>
          <w:szCs w:val="24"/>
        </w:rPr>
        <w:t>Der er rapporteret om tilfælde af metabolisk acidose med højt anion-</w:t>
      </w:r>
      <w:proofErr w:type="spellStart"/>
      <w:r w:rsidRPr="001134EA">
        <w:rPr>
          <w:sz w:val="24"/>
          <w:szCs w:val="24"/>
        </w:rPr>
        <w:t>gap</w:t>
      </w:r>
      <w:proofErr w:type="spellEnd"/>
      <w:r w:rsidRPr="001134EA">
        <w:rPr>
          <w:sz w:val="24"/>
          <w:szCs w:val="24"/>
        </w:rPr>
        <w:t xml:space="preserve"> (HAGMA) som følge af </w:t>
      </w:r>
      <w:proofErr w:type="spellStart"/>
      <w:r w:rsidRPr="001134EA">
        <w:rPr>
          <w:sz w:val="24"/>
          <w:szCs w:val="24"/>
        </w:rPr>
        <w:t>pyroglutaminacidose</w:t>
      </w:r>
      <w:proofErr w:type="spellEnd"/>
      <w:r w:rsidRPr="001134EA">
        <w:rPr>
          <w:sz w:val="24"/>
          <w:szCs w:val="24"/>
        </w:rPr>
        <w:t xml:space="preserve"> hos patienter med svær sygdom såsom svær nyreinsufficiens og sepsis eller hos patienter med fejlernæring eller andre kilder til </w:t>
      </w:r>
      <w:proofErr w:type="spellStart"/>
      <w:r w:rsidRPr="001134EA">
        <w:rPr>
          <w:sz w:val="24"/>
          <w:szCs w:val="24"/>
        </w:rPr>
        <w:t>glutathionmangel</w:t>
      </w:r>
      <w:proofErr w:type="spellEnd"/>
      <w:r w:rsidRPr="001134EA">
        <w:rPr>
          <w:sz w:val="24"/>
          <w:szCs w:val="24"/>
        </w:rPr>
        <w:t xml:space="preserve"> (f.eks. kronisk alkoholisme), som blev behandlet med paracetamol i terapeutiske doser i en længere periode eller en kombination af paracetamol og </w:t>
      </w:r>
      <w:proofErr w:type="spellStart"/>
      <w:r w:rsidRPr="001134EA">
        <w:rPr>
          <w:sz w:val="24"/>
          <w:szCs w:val="24"/>
        </w:rPr>
        <w:t>flucloxacillin</w:t>
      </w:r>
      <w:proofErr w:type="spellEnd"/>
      <w:r w:rsidRPr="001134EA">
        <w:rPr>
          <w:sz w:val="24"/>
          <w:szCs w:val="24"/>
        </w:rPr>
        <w:t xml:space="preserve">. Hvis der er mistanke om HAGMA på grund af </w:t>
      </w:r>
      <w:proofErr w:type="spellStart"/>
      <w:r w:rsidRPr="001134EA">
        <w:rPr>
          <w:sz w:val="24"/>
          <w:szCs w:val="24"/>
        </w:rPr>
        <w:t>pyroglutaminacidose</w:t>
      </w:r>
      <w:proofErr w:type="spellEnd"/>
      <w:r w:rsidRPr="001134EA">
        <w:rPr>
          <w:sz w:val="24"/>
          <w:szCs w:val="24"/>
        </w:rPr>
        <w:t xml:space="preserve">, anbefales øjeblikkelig </w:t>
      </w:r>
      <w:proofErr w:type="spellStart"/>
      <w:r w:rsidRPr="001134EA">
        <w:rPr>
          <w:sz w:val="24"/>
          <w:szCs w:val="24"/>
        </w:rPr>
        <w:t>seponering</w:t>
      </w:r>
      <w:proofErr w:type="spellEnd"/>
      <w:r w:rsidRPr="001134EA">
        <w:rPr>
          <w:sz w:val="24"/>
          <w:szCs w:val="24"/>
        </w:rPr>
        <w:t xml:space="preserve"> af paracetamol og tæt overvågning. Målingen af 5-oxoprolin i urinen kan være nyttig til at identificere </w:t>
      </w:r>
      <w:proofErr w:type="spellStart"/>
      <w:r w:rsidRPr="001134EA">
        <w:rPr>
          <w:sz w:val="24"/>
          <w:szCs w:val="24"/>
        </w:rPr>
        <w:t>pyroglutaminacidose</w:t>
      </w:r>
      <w:proofErr w:type="spellEnd"/>
      <w:r w:rsidRPr="001134EA">
        <w:rPr>
          <w:sz w:val="24"/>
          <w:szCs w:val="24"/>
        </w:rPr>
        <w:t xml:space="preserve"> som underliggende årsag til HAGMA hos patienter med flere risikofaktorer.</w:t>
      </w:r>
    </w:p>
    <w:p w14:paraId="343F24F2" w14:textId="77777777" w:rsidR="001134EA" w:rsidRPr="001134EA" w:rsidRDefault="001134EA" w:rsidP="00793067">
      <w:pPr>
        <w:ind w:left="851"/>
        <w:rPr>
          <w:sz w:val="24"/>
          <w:szCs w:val="24"/>
        </w:rPr>
      </w:pPr>
    </w:p>
    <w:p w14:paraId="75793473" w14:textId="03666B8B" w:rsidR="001134EA" w:rsidRPr="001134EA" w:rsidRDefault="001134EA" w:rsidP="00793067">
      <w:pPr>
        <w:ind w:left="851"/>
        <w:rPr>
          <w:sz w:val="24"/>
          <w:szCs w:val="24"/>
        </w:rPr>
      </w:pPr>
      <w:r w:rsidRPr="001134EA">
        <w:rPr>
          <w:sz w:val="24"/>
          <w:szCs w:val="24"/>
        </w:rPr>
        <w:t xml:space="preserve">Hvis behandling med </w:t>
      </w:r>
      <w:proofErr w:type="spellStart"/>
      <w:r w:rsidRPr="001134EA">
        <w:rPr>
          <w:sz w:val="24"/>
          <w:szCs w:val="24"/>
        </w:rPr>
        <w:t>flucloxacillin</w:t>
      </w:r>
      <w:proofErr w:type="spellEnd"/>
      <w:r w:rsidRPr="001134EA">
        <w:rPr>
          <w:sz w:val="24"/>
          <w:szCs w:val="24"/>
        </w:rPr>
        <w:t xml:space="preserve"> fortsættes efter ophør med paracetamol, tilrådes det at sikre, at der ikke er tegn på HAGMA, da der er en mulighed for, at </w:t>
      </w:r>
      <w:proofErr w:type="spellStart"/>
      <w:r w:rsidRPr="001134EA">
        <w:rPr>
          <w:sz w:val="24"/>
          <w:szCs w:val="24"/>
        </w:rPr>
        <w:t>flucloxacillin</w:t>
      </w:r>
      <w:proofErr w:type="spellEnd"/>
      <w:r w:rsidRPr="001134EA">
        <w:rPr>
          <w:sz w:val="24"/>
          <w:szCs w:val="24"/>
        </w:rPr>
        <w:t xml:space="preserve"> opretholder det kliniske billede af HAGMA (se </w:t>
      </w:r>
      <w:r w:rsidR="00951E6D">
        <w:rPr>
          <w:sz w:val="24"/>
          <w:szCs w:val="24"/>
        </w:rPr>
        <w:t>pkt.</w:t>
      </w:r>
      <w:r w:rsidRPr="001134EA">
        <w:rPr>
          <w:sz w:val="24"/>
          <w:szCs w:val="24"/>
        </w:rPr>
        <w:t xml:space="preserve"> 4.5). </w:t>
      </w:r>
    </w:p>
    <w:p w14:paraId="45DE0621" w14:textId="77777777" w:rsidR="001134EA" w:rsidRPr="001134EA" w:rsidRDefault="001134EA" w:rsidP="00793067">
      <w:pPr>
        <w:ind w:left="851"/>
        <w:rPr>
          <w:sz w:val="24"/>
          <w:szCs w:val="24"/>
        </w:rPr>
      </w:pPr>
    </w:p>
    <w:p w14:paraId="719DFE9F" w14:textId="0B3E0DE1" w:rsidR="001134EA" w:rsidRPr="001134EA" w:rsidRDefault="001134EA" w:rsidP="00793067">
      <w:pPr>
        <w:ind w:left="851"/>
        <w:rPr>
          <w:sz w:val="24"/>
          <w:szCs w:val="24"/>
        </w:rPr>
      </w:pPr>
      <w:r w:rsidRPr="001134EA">
        <w:rPr>
          <w:sz w:val="24"/>
          <w:szCs w:val="24"/>
        </w:rPr>
        <w:t xml:space="preserve">Som for alle infusionsopløsninger er tæt monitorering påkrævet særligt i slutningen af infusionen for at undgå </w:t>
      </w:r>
      <w:proofErr w:type="spellStart"/>
      <w:r w:rsidRPr="001134EA">
        <w:rPr>
          <w:sz w:val="24"/>
          <w:szCs w:val="24"/>
        </w:rPr>
        <w:t>luftemboli</w:t>
      </w:r>
      <w:proofErr w:type="spellEnd"/>
      <w:r w:rsidRPr="001134EA">
        <w:rPr>
          <w:sz w:val="24"/>
          <w:szCs w:val="24"/>
        </w:rPr>
        <w:t xml:space="preserve"> (se </w:t>
      </w:r>
      <w:r w:rsidR="00951E6D">
        <w:rPr>
          <w:sz w:val="24"/>
          <w:szCs w:val="24"/>
        </w:rPr>
        <w:t>pkt.</w:t>
      </w:r>
      <w:r w:rsidRPr="001134EA">
        <w:rPr>
          <w:sz w:val="24"/>
          <w:szCs w:val="24"/>
        </w:rPr>
        <w:t xml:space="preserve"> 6.6). </w:t>
      </w:r>
    </w:p>
    <w:p w14:paraId="553E0369" w14:textId="77777777" w:rsidR="001134EA" w:rsidRPr="001134EA" w:rsidRDefault="001134EA" w:rsidP="00793067">
      <w:pPr>
        <w:ind w:left="851"/>
        <w:rPr>
          <w:sz w:val="24"/>
          <w:szCs w:val="24"/>
        </w:rPr>
      </w:pPr>
    </w:p>
    <w:p w14:paraId="4715B17B" w14:textId="77777777" w:rsidR="001134EA" w:rsidRPr="001134EA" w:rsidRDefault="001134EA" w:rsidP="00793067">
      <w:pPr>
        <w:ind w:left="851"/>
        <w:rPr>
          <w:sz w:val="24"/>
          <w:szCs w:val="24"/>
          <w:u w:val="single"/>
        </w:rPr>
      </w:pPr>
      <w:r w:rsidRPr="001134EA">
        <w:rPr>
          <w:sz w:val="24"/>
          <w:szCs w:val="24"/>
          <w:u w:val="single"/>
        </w:rPr>
        <w:t>Paracetamol skal anvendes med særlig forsigtighed i følgende tilfælde:</w:t>
      </w:r>
    </w:p>
    <w:p w14:paraId="26468976" w14:textId="56E07B23" w:rsidR="001134EA" w:rsidRPr="001134EA" w:rsidRDefault="001134EA" w:rsidP="00793067">
      <w:pPr>
        <w:numPr>
          <w:ilvl w:val="0"/>
          <w:numId w:val="8"/>
        </w:numPr>
        <w:tabs>
          <w:tab w:val="clear" w:pos="1247"/>
        </w:tabs>
        <w:ind w:left="1276" w:hanging="425"/>
        <w:rPr>
          <w:sz w:val="24"/>
          <w:szCs w:val="24"/>
        </w:rPr>
      </w:pPr>
      <w:r w:rsidRPr="001134EA">
        <w:rPr>
          <w:sz w:val="24"/>
          <w:szCs w:val="24"/>
        </w:rPr>
        <w:t xml:space="preserve">Unormal leverfunktion og </w:t>
      </w:r>
      <w:proofErr w:type="spellStart"/>
      <w:r w:rsidRPr="001134EA">
        <w:rPr>
          <w:sz w:val="24"/>
          <w:szCs w:val="24"/>
        </w:rPr>
        <w:t>hepatocellulær</w:t>
      </w:r>
      <w:proofErr w:type="spellEnd"/>
      <w:r w:rsidRPr="001134EA">
        <w:rPr>
          <w:sz w:val="24"/>
          <w:szCs w:val="24"/>
        </w:rPr>
        <w:t xml:space="preserve"> insufficiens (Child-</w:t>
      </w:r>
      <w:proofErr w:type="spellStart"/>
      <w:r w:rsidRPr="001134EA">
        <w:rPr>
          <w:sz w:val="24"/>
          <w:szCs w:val="24"/>
        </w:rPr>
        <w:t>Pugh</w:t>
      </w:r>
      <w:proofErr w:type="spellEnd"/>
      <w:r w:rsidR="0016268D">
        <w:rPr>
          <w:sz w:val="24"/>
          <w:szCs w:val="24"/>
        </w:rPr>
        <w:t xml:space="preserve"> </w:t>
      </w:r>
      <w:r w:rsidRPr="001134EA">
        <w:rPr>
          <w:sz w:val="24"/>
          <w:szCs w:val="24"/>
        </w:rPr>
        <w:t>≤</w:t>
      </w:r>
      <w:r w:rsidR="0016268D">
        <w:rPr>
          <w:sz w:val="24"/>
          <w:szCs w:val="24"/>
        </w:rPr>
        <w:t xml:space="preserve"> </w:t>
      </w:r>
      <w:r w:rsidRPr="001134EA">
        <w:rPr>
          <w:sz w:val="24"/>
          <w:szCs w:val="24"/>
        </w:rPr>
        <w:t>9)</w:t>
      </w:r>
    </w:p>
    <w:p w14:paraId="7B143C2B" w14:textId="77777777" w:rsidR="001134EA" w:rsidRPr="001134EA" w:rsidRDefault="001134EA" w:rsidP="00793067">
      <w:pPr>
        <w:numPr>
          <w:ilvl w:val="0"/>
          <w:numId w:val="8"/>
        </w:numPr>
        <w:tabs>
          <w:tab w:val="clear" w:pos="1247"/>
        </w:tabs>
        <w:ind w:left="1276" w:hanging="425"/>
        <w:rPr>
          <w:sz w:val="24"/>
          <w:szCs w:val="24"/>
        </w:rPr>
      </w:pPr>
      <w:proofErr w:type="spellStart"/>
      <w:r w:rsidRPr="001134EA">
        <w:rPr>
          <w:sz w:val="24"/>
          <w:szCs w:val="24"/>
        </w:rPr>
        <w:t>Hepatobiliære</w:t>
      </w:r>
      <w:proofErr w:type="spellEnd"/>
      <w:r w:rsidRPr="001134EA">
        <w:rPr>
          <w:sz w:val="24"/>
          <w:szCs w:val="24"/>
        </w:rPr>
        <w:t xml:space="preserve"> forstyrrelser</w:t>
      </w:r>
    </w:p>
    <w:p w14:paraId="525548B0" w14:textId="77777777" w:rsidR="001134EA" w:rsidRPr="001134EA" w:rsidRDefault="001134EA" w:rsidP="00793067">
      <w:pPr>
        <w:numPr>
          <w:ilvl w:val="0"/>
          <w:numId w:val="8"/>
        </w:numPr>
        <w:tabs>
          <w:tab w:val="clear" w:pos="1247"/>
        </w:tabs>
        <w:ind w:left="1276" w:hanging="425"/>
        <w:rPr>
          <w:sz w:val="24"/>
          <w:szCs w:val="24"/>
        </w:rPr>
      </w:pPr>
      <w:r w:rsidRPr="001134EA">
        <w:rPr>
          <w:sz w:val="24"/>
          <w:szCs w:val="24"/>
        </w:rPr>
        <w:t>Gilbert-Meulengrachts syndrom (familiær ikke-</w:t>
      </w:r>
      <w:proofErr w:type="spellStart"/>
      <w:r w:rsidRPr="001134EA">
        <w:rPr>
          <w:sz w:val="24"/>
          <w:szCs w:val="24"/>
        </w:rPr>
        <w:t>hæmolytisk</w:t>
      </w:r>
      <w:proofErr w:type="spellEnd"/>
      <w:r w:rsidRPr="001134EA">
        <w:rPr>
          <w:sz w:val="24"/>
          <w:szCs w:val="24"/>
        </w:rPr>
        <w:t xml:space="preserve"> gulsot)</w:t>
      </w:r>
    </w:p>
    <w:p w14:paraId="2CD26693" w14:textId="412D0A9C" w:rsidR="001134EA" w:rsidRPr="001134EA" w:rsidRDefault="001134EA" w:rsidP="00793067">
      <w:pPr>
        <w:numPr>
          <w:ilvl w:val="0"/>
          <w:numId w:val="8"/>
        </w:numPr>
        <w:tabs>
          <w:tab w:val="clear" w:pos="1247"/>
        </w:tabs>
        <w:ind w:left="1276" w:hanging="425"/>
        <w:rPr>
          <w:sz w:val="24"/>
          <w:szCs w:val="24"/>
        </w:rPr>
      </w:pPr>
      <w:r w:rsidRPr="001134EA">
        <w:rPr>
          <w:sz w:val="24"/>
          <w:szCs w:val="24"/>
        </w:rPr>
        <w:t>Svært nedsat nyrefunktion (</w:t>
      </w:r>
      <w:proofErr w:type="spellStart"/>
      <w:r w:rsidRPr="001134EA">
        <w:rPr>
          <w:sz w:val="24"/>
          <w:szCs w:val="24"/>
        </w:rPr>
        <w:t>kreatinin-clearance</w:t>
      </w:r>
      <w:proofErr w:type="spellEnd"/>
      <w:r w:rsidRPr="001134EA">
        <w:rPr>
          <w:sz w:val="24"/>
          <w:szCs w:val="24"/>
        </w:rPr>
        <w:t xml:space="preserve"> 10-30 ml/min) (se </w:t>
      </w:r>
      <w:r w:rsidR="00951E6D">
        <w:rPr>
          <w:sz w:val="24"/>
          <w:szCs w:val="24"/>
        </w:rPr>
        <w:t>pkt.</w:t>
      </w:r>
      <w:r w:rsidRPr="001134EA">
        <w:rPr>
          <w:sz w:val="24"/>
          <w:szCs w:val="24"/>
        </w:rPr>
        <w:t xml:space="preserve"> 4.2 og 5.2), </w:t>
      </w:r>
    </w:p>
    <w:p w14:paraId="1EB5D8B1" w14:textId="77777777" w:rsidR="001134EA" w:rsidRPr="001134EA" w:rsidRDefault="001134EA" w:rsidP="00793067">
      <w:pPr>
        <w:numPr>
          <w:ilvl w:val="0"/>
          <w:numId w:val="8"/>
        </w:numPr>
        <w:tabs>
          <w:tab w:val="clear" w:pos="1247"/>
        </w:tabs>
        <w:ind w:left="1276" w:hanging="425"/>
        <w:rPr>
          <w:sz w:val="24"/>
          <w:szCs w:val="24"/>
        </w:rPr>
      </w:pPr>
      <w:r w:rsidRPr="001134EA">
        <w:rPr>
          <w:sz w:val="24"/>
          <w:szCs w:val="24"/>
        </w:rPr>
        <w:t xml:space="preserve">Kronisk alkoholmisbrug </w:t>
      </w:r>
    </w:p>
    <w:p w14:paraId="4146B61F" w14:textId="77777777" w:rsidR="001134EA" w:rsidRPr="001134EA" w:rsidRDefault="001134EA" w:rsidP="00793067">
      <w:pPr>
        <w:numPr>
          <w:ilvl w:val="0"/>
          <w:numId w:val="8"/>
        </w:numPr>
        <w:tabs>
          <w:tab w:val="clear" w:pos="1247"/>
        </w:tabs>
        <w:ind w:left="1276" w:hanging="425"/>
        <w:rPr>
          <w:sz w:val="24"/>
          <w:szCs w:val="24"/>
        </w:rPr>
      </w:pPr>
      <w:r w:rsidRPr="001134EA">
        <w:rPr>
          <w:sz w:val="24"/>
          <w:szCs w:val="24"/>
        </w:rPr>
        <w:t xml:space="preserve">Kronisk </w:t>
      </w:r>
      <w:proofErr w:type="spellStart"/>
      <w:r w:rsidRPr="001134EA">
        <w:rPr>
          <w:sz w:val="24"/>
          <w:szCs w:val="24"/>
        </w:rPr>
        <w:t>malnutrition</w:t>
      </w:r>
      <w:proofErr w:type="spellEnd"/>
      <w:r w:rsidRPr="001134EA">
        <w:rPr>
          <w:sz w:val="24"/>
          <w:szCs w:val="24"/>
        </w:rPr>
        <w:t xml:space="preserve"> (små reserver af </w:t>
      </w:r>
      <w:proofErr w:type="spellStart"/>
      <w:r w:rsidRPr="001134EA">
        <w:rPr>
          <w:sz w:val="24"/>
          <w:szCs w:val="24"/>
        </w:rPr>
        <w:t>hepatisk</w:t>
      </w:r>
      <w:proofErr w:type="spellEnd"/>
      <w:r w:rsidRPr="001134EA">
        <w:rPr>
          <w:sz w:val="24"/>
          <w:szCs w:val="24"/>
        </w:rPr>
        <w:t xml:space="preserve"> </w:t>
      </w:r>
      <w:proofErr w:type="spellStart"/>
      <w:r w:rsidRPr="001134EA">
        <w:rPr>
          <w:sz w:val="24"/>
          <w:szCs w:val="24"/>
        </w:rPr>
        <w:t>glutathion</w:t>
      </w:r>
      <w:proofErr w:type="spellEnd"/>
      <w:r w:rsidRPr="001134EA">
        <w:rPr>
          <w:sz w:val="24"/>
          <w:szCs w:val="24"/>
        </w:rPr>
        <w:t>)</w:t>
      </w:r>
    </w:p>
    <w:p w14:paraId="50C5A977" w14:textId="77777777" w:rsidR="001134EA" w:rsidRPr="001134EA" w:rsidRDefault="001134EA" w:rsidP="00793067">
      <w:pPr>
        <w:numPr>
          <w:ilvl w:val="0"/>
          <w:numId w:val="8"/>
        </w:numPr>
        <w:tabs>
          <w:tab w:val="clear" w:pos="1247"/>
        </w:tabs>
        <w:ind w:left="1276" w:hanging="425"/>
        <w:rPr>
          <w:sz w:val="24"/>
          <w:szCs w:val="24"/>
        </w:rPr>
      </w:pPr>
      <w:r w:rsidRPr="001134EA">
        <w:rPr>
          <w:sz w:val="24"/>
          <w:szCs w:val="24"/>
        </w:rPr>
        <w:t>Brug af total parenteral ernæring (TPN)</w:t>
      </w:r>
    </w:p>
    <w:p w14:paraId="4A030AC7" w14:textId="77777777" w:rsidR="001134EA" w:rsidRPr="001134EA" w:rsidRDefault="001134EA" w:rsidP="00793067">
      <w:pPr>
        <w:numPr>
          <w:ilvl w:val="0"/>
          <w:numId w:val="8"/>
        </w:numPr>
        <w:tabs>
          <w:tab w:val="clear" w:pos="1247"/>
        </w:tabs>
        <w:ind w:left="1276" w:hanging="425"/>
        <w:rPr>
          <w:sz w:val="24"/>
          <w:szCs w:val="24"/>
        </w:rPr>
      </w:pPr>
      <w:r w:rsidRPr="001134EA">
        <w:rPr>
          <w:sz w:val="24"/>
          <w:szCs w:val="24"/>
        </w:rPr>
        <w:t>Brug af enzyminduktorer</w:t>
      </w:r>
    </w:p>
    <w:p w14:paraId="71C1583F" w14:textId="77777777" w:rsidR="001134EA" w:rsidRPr="001134EA" w:rsidRDefault="001134EA" w:rsidP="00793067">
      <w:pPr>
        <w:numPr>
          <w:ilvl w:val="0"/>
          <w:numId w:val="8"/>
        </w:numPr>
        <w:tabs>
          <w:tab w:val="clear" w:pos="1247"/>
        </w:tabs>
        <w:ind w:left="1276" w:hanging="425"/>
        <w:rPr>
          <w:sz w:val="24"/>
          <w:szCs w:val="24"/>
        </w:rPr>
      </w:pPr>
      <w:r w:rsidRPr="001134EA">
        <w:rPr>
          <w:sz w:val="24"/>
          <w:szCs w:val="24"/>
        </w:rPr>
        <w:t xml:space="preserve">Brug af </w:t>
      </w:r>
      <w:proofErr w:type="spellStart"/>
      <w:r w:rsidRPr="001134EA">
        <w:rPr>
          <w:sz w:val="24"/>
          <w:szCs w:val="24"/>
        </w:rPr>
        <w:t>hepatotoksiske</w:t>
      </w:r>
      <w:proofErr w:type="spellEnd"/>
      <w:r w:rsidRPr="001134EA">
        <w:rPr>
          <w:sz w:val="24"/>
          <w:szCs w:val="24"/>
        </w:rPr>
        <w:t xml:space="preserve"> stoffer</w:t>
      </w:r>
    </w:p>
    <w:p w14:paraId="21634E91" w14:textId="7CE0CB12" w:rsidR="001134EA" w:rsidRPr="001134EA" w:rsidRDefault="001134EA" w:rsidP="00793067">
      <w:pPr>
        <w:numPr>
          <w:ilvl w:val="0"/>
          <w:numId w:val="8"/>
        </w:numPr>
        <w:tabs>
          <w:tab w:val="clear" w:pos="1247"/>
        </w:tabs>
        <w:ind w:left="1276" w:hanging="425"/>
        <w:rPr>
          <w:sz w:val="24"/>
          <w:szCs w:val="24"/>
        </w:rPr>
      </w:pPr>
      <w:r w:rsidRPr="001134EA">
        <w:rPr>
          <w:sz w:val="24"/>
          <w:szCs w:val="24"/>
        </w:rPr>
        <w:t>Til patienter lidende af en genetisk forårsaget mangel på glucose-6-phosphat</w:t>
      </w:r>
      <w:r w:rsidR="0016268D">
        <w:rPr>
          <w:sz w:val="24"/>
          <w:szCs w:val="24"/>
        </w:rPr>
        <w:softHyphen/>
      </w:r>
      <w:r w:rsidRPr="001134EA">
        <w:rPr>
          <w:sz w:val="24"/>
          <w:szCs w:val="24"/>
        </w:rPr>
        <w:t>dehydrogenase (</w:t>
      </w:r>
      <w:proofErr w:type="spellStart"/>
      <w:r w:rsidRPr="001134EA">
        <w:rPr>
          <w:sz w:val="24"/>
          <w:szCs w:val="24"/>
        </w:rPr>
        <w:t>favisme</w:t>
      </w:r>
      <w:proofErr w:type="spellEnd"/>
      <w:r w:rsidRPr="001134EA">
        <w:rPr>
          <w:sz w:val="24"/>
          <w:szCs w:val="24"/>
        </w:rPr>
        <w:t xml:space="preserve">), hvor forekomsten af </w:t>
      </w:r>
      <w:proofErr w:type="spellStart"/>
      <w:r w:rsidRPr="001134EA">
        <w:rPr>
          <w:sz w:val="24"/>
          <w:szCs w:val="24"/>
        </w:rPr>
        <w:t>hæmolytisk</w:t>
      </w:r>
      <w:proofErr w:type="spellEnd"/>
      <w:r w:rsidRPr="001134EA">
        <w:rPr>
          <w:sz w:val="24"/>
          <w:szCs w:val="24"/>
        </w:rPr>
        <w:t xml:space="preserve"> anæmi er mulig pga. den reducerede allokation af </w:t>
      </w:r>
      <w:proofErr w:type="spellStart"/>
      <w:r w:rsidRPr="001134EA">
        <w:rPr>
          <w:sz w:val="24"/>
          <w:szCs w:val="24"/>
        </w:rPr>
        <w:t>glutathion</w:t>
      </w:r>
      <w:proofErr w:type="spellEnd"/>
      <w:r w:rsidRPr="001134EA">
        <w:rPr>
          <w:sz w:val="24"/>
          <w:szCs w:val="24"/>
        </w:rPr>
        <w:t xml:space="preserve"> som følge af administration med paracetamol. </w:t>
      </w:r>
    </w:p>
    <w:p w14:paraId="79C9D6E1" w14:textId="77777777" w:rsidR="001134EA" w:rsidRPr="001134EA" w:rsidRDefault="001134EA" w:rsidP="00793067">
      <w:pPr>
        <w:numPr>
          <w:ilvl w:val="0"/>
          <w:numId w:val="8"/>
        </w:numPr>
        <w:tabs>
          <w:tab w:val="clear" w:pos="1247"/>
        </w:tabs>
        <w:ind w:left="1276" w:hanging="425"/>
        <w:rPr>
          <w:sz w:val="24"/>
          <w:szCs w:val="24"/>
        </w:rPr>
      </w:pPr>
      <w:r w:rsidRPr="001134EA">
        <w:rPr>
          <w:sz w:val="24"/>
          <w:szCs w:val="24"/>
        </w:rPr>
        <w:t>Dehydrering.</w:t>
      </w:r>
    </w:p>
    <w:p w14:paraId="4F457D82" w14:textId="77777777" w:rsidR="001134EA" w:rsidRPr="001134EA" w:rsidRDefault="001134EA" w:rsidP="00793067">
      <w:pPr>
        <w:ind w:left="851"/>
        <w:rPr>
          <w:sz w:val="24"/>
          <w:szCs w:val="24"/>
        </w:rPr>
      </w:pPr>
    </w:p>
    <w:p w14:paraId="37ECC329" w14:textId="77777777" w:rsidR="001134EA" w:rsidRPr="001134EA" w:rsidRDefault="001134EA" w:rsidP="00793067">
      <w:pPr>
        <w:ind w:left="851"/>
        <w:rPr>
          <w:sz w:val="24"/>
          <w:szCs w:val="24"/>
          <w:u w:val="single"/>
        </w:rPr>
      </w:pPr>
      <w:r w:rsidRPr="001134EA">
        <w:rPr>
          <w:sz w:val="24"/>
          <w:szCs w:val="24"/>
          <w:u w:val="single"/>
        </w:rPr>
        <w:t>Effekt på laboratorieundersøgelser</w:t>
      </w:r>
    </w:p>
    <w:p w14:paraId="1107DB0F" w14:textId="77777777" w:rsidR="001134EA" w:rsidRPr="001134EA" w:rsidRDefault="001134EA" w:rsidP="00793067">
      <w:pPr>
        <w:ind w:left="851"/>
        <w:rPr>
          <w:sz w:val="24"/>
          <w:szCs w:val="24"/>
        </w:rPr>
      </w:pPr>
      <w:r w:rsidRPr="001134EA">
        <w:rPr>
          <w:sz w:val="24"/>
          <w:szCs w:val="24"/>
        </w:rPr>
        <w:t xml:space="preserve">Paracetamol kan påvirke test for urinsyre, hvor der anvendes </w:t>
      </w:r>
      <w:proofErr w:type="spellStart"/>
      <w:r w:rsidRPr="001134EA">
        <w:rPr>
          <w:sz w:val="24"/>
          <w:szCs w:val="24"/>
        </w:rPr>
        <w:t>phosphorwolframsyre</w:t>
      </w:r>
      <w:proofErr w:type="spellEnd"/>
      <w:r w:rsidRPr="001134EA">
        <w:rPr>
          <w:sz w:val="24"/>
          <w:szCs w:val="24"/>
        </w:rPr>
        <w:t xml:space="preserve"> samt test for blodsukker, hvor der anvendes </w:t>
      </w:r>
      <w:proofErr w:type="spellStart"/>
      <w:r w:rsidRPr="001134EA">
        <w:rPr>
          <w:sz w:val="24"/>
          <w:szCs w:val="24"/>
        </w:rPr>
        <w:t>glucose</w:t>
      </w:r>
      <w:proofErr w:type="spellEnd"/>
      <w:r w:rsidRPr="001134EA">
        <w:rPr>
          <w:sz w:val="24"/>
          <w:szCs w:val="24"/>
        </w:rPr>
        <w:t>-oxidase-</w:t>
      </w:r>
      <w:proofErr w:type="spellStart"/>
      <w:r w:rsidRPr="001134EA">
        <w:rPr>
          <w:sz w:val="24"/>
          <w:szCs w:val="24"/>
        </w:rPr>
        <w:t>peroxidase</w:t>
      </w:r>
      <w:proofErr w:type="spellEnd"/>
      <w:r w:rsidRPr="001134EA">
        <w:rPr>
          <w:sz w:val="24"/>
          <w:szCs w:val="24"/>
        </w:rPr>
        <w:t>.</w:t>
      </w:r>
    </w:p>
    <w:p w14:paraId="756B75C9" w14:textId="77777777" w:rsidR="001134EA" w:rsidRPr="001134EA" w:rsidRDefault="001134EA" w:rsidP="00793067">
      <w:pPr>
        <w:ind w:left="851"/>
        <w:rPr>
          <w:sz w:val="24"/>
          <w:szCs w:val="24"/>
        </w:rPr>
      </w:pPr>
    </w:p>
    <w:p w14:paraId="369287B9" w14:textId="77777777" w:rsidR="001134EA" w:rsidRPr="001134EA" w:rsidRDefault="001134EA" w:rsidP="00793067">
      <w:pPr>
        <w:ind w:left="851"/>
        <w:rPr>
          <w:sz w:val="24"/>
          <w:szCs w:val="24"/>
          <w:u w:val="single"/>
        </w:rPr>
      </w:pPr>
      <w:r w:rsidRPr="001134EA">
        <w:rPr>
          <w:sz w:val="24"/>
          <w:szCs w:val="24"/>
          <w:u w:val="single"/>
        </w:rPr>
        <w:t>Hjælpestof, som behandleren skal være opmærksom på</w:t>
      </w:r>
    </w:p>
    <w:p w14:paraId="2E6D86AB" w14:textId="77777777" w:rsidR="001134EA" w:rsidRPr="001134EA" w:rsidRDefault="001134EA" w:rsidP="00793067">
      <w:pPr>
        <w:ind w:left="851"/>
        <w:rPr>
          <w:sz w:val="24"/>
          <w:szCs w:val="24"/>
        </w:rPr>
      </w:pPr>
      <w:r w:rsidRPr="001134EA">
        <w:rPr>
          <w:sz w:val="24"/>
          <w:szCs w:val="24"/>
        </w:rPr>
        <w:t>Dette lægemiddel indeholder mindre end 1 mmol (23 mg) natrium pr. dosis, dvs. det er i det væsentlige natriumfrit.</w:t>
      </w:r>
    </w:p>
    <w:p w14:paraId="52FC1386" w14:textId="77777777" w:rsidR="009260DE" w:rsidRPr="00054795" w:rsidRDefault="009260DE" w:rsidP="009260DE">
      <w:pPr>
        <w:tabs>
          <w:tab w:val="left" w:pos="851"/>
        </w:tabs>
        <w:ind w:left="851"/>
        <w:rPr>
          <w:sz w:val="24"/>
          <w:szCs w:val="24"/>
        </w:rPr>
      </w:pPr>
    </w:p>
    <w:p w14:paraId="2B85DB24" w14:textId="77777777" w:rsidR="009260DE" w:rsidRPr="00054795" w:rsidRDefault="009260DE" w:rsidP="009260DE">
      <w:pPr>
        <w:tabs>
          <w:tab w:val="left" w:pos="851"/>
        </w:tabs>
        <w:ind w:left="851" w:hanging="851"/>
        <w:rPr>
          <w:b/>
          <w:sz w:val="24"/>
          <w:szCs w:val="24"/>
        </w:rPr>
      </w:pPr>
      <w:r w:rsidRPr="00054795">
        <w:rPr>
          <w:b/>
          <w:sz w:val="24"/>
          <w:szCs w:val="24"/>
        </w:rPr>
        <w:t>4.5</w:t>
      </w:r>
      <w:r w:rsidRPr="00054795">
        <w:rPr>
          <w:b/>
          <w:sz w:val="24"/>
          <w:szCs w:val="24"/>
        </w:rPr>
        <w:tab/>
        <w:t>Interaktion med andre lægemidler og andre former for interaktion</w:t>
      </w:r>
    </w:p>
    <w:p w14:paraId="0F11216B" w14:textId="77777777" w:rsidR="001134EA" w:rsidRPr="001134EA" w:rsidRDefault="001134EA" w:rsidP="00793067">
      <w:pPr>
        <w:numPr>
          <w:ilvl w:val="0"/>
          <w:numId w:val="9"/>
        </w:numPr>
        <w:tabs>
          <w:tab w:val="clear" w:pos="855"/>
        </w:tabs>
        <w:ind w:left="1276" w:hanging="425"/>
        <w:rPr>
          <w:sz w:val="24"/>
          <w:szCs w:val="24"/>
        </w:rPr>
      </w:pPr>
      <w:proofErr w:type="spellStart"/>
      <w:r w:rsidRPr="001134EA">
        <w:rPr>
          <w:sz w:val="24"/>
          <w:szCs w:val="24"/>
        </w:rPr>
        <w:t>Probenecid</w:t>
      </w:r>
      <w:proofErr w:type="spellEnd"/>
      <w:r w:rsidRPr="001134EA">
        <w:rPr>
          <w:sz w:val="24"/>
          <w:szCs w:val="24"/>
        </w:rPr>
        <w:t xml:space="preserve"> forårsager en næsten 2 gange reduktion i </w:t>
      </w:r>
      <w:proofErr w:type="spellStart"/>
      <w:r w:rsidRPr="001134EA">
        <w:rPr>
          <w:sz w:val="24"/>
          <w:szCs w:val="24"/>
        </w:rPr>
        <w:t>paracetamolclearance</w:t>
      </w:r>
      <w:proofErr w:type="spellEnd"/>
      <w:r w:rsidRPr="001134EA">
        <w:rPr>
          <w:sz w:val="24"/>
          <w:szCs w:val="24"/>
        </w:rPr>
        <w:t xml:space="preserve"> ved at hæmme dets </w:t>
      </w:r>
      <w:proofErr w:type="spellStart"/>
      <w:r w:rsidRPr="001134EA">
        <w:rPr>
          <w:sz w:val="24"/>
          <w:szCs w:val="24"/>
        </w:rPr>
        <w:t>konjugering</w:t>
      </w:r>
      <w:proofErr w:type="spellEnd"/>
      <w:r w:rsidRPr="001134EA">
        <w:rPr>
          <w:sz w:val="24"/>
          <w:szCs w:val="24"/>
        </w:rPr>
        <w:t xml:space="preserve"> med </w:t>
      </w:r>
      <w:proofErr w:type="spellStart"/>
      <w:r w:rsidRPr="001134EA">
        <w:rPr>
          <w:sz w:val="24"/>
          <w:szCs w:val="24"/>
        </w:rPr>
        <w:t>glucuronsyre</w:t>
      </w:r>
      <w:proofErr w:type="spellEnd"/>
      <w:r w:rsidRPr="001134EA">
        <w:rPr>
          <w:sz w:val="24"/>
          <w:szCs w:val="24"/>
        </w:rPr>
        <w:t xml:space="preserve">. Dosisreduktion af paracetamol skal overvejes ved samtidig anvendelse med </w:t>
      </w:r>
      <w:proofErr w:type="spellStart"/>
      <w:r w:rsidRPr="001134EA">
        <w:rPr>
          <w:sz w:val="24"/>
          <w:szCs w:val="24"/>
        </w:rPr>
        <w:t>probenecid</w:t>
      </w:r>
      <w:proofErr w:type="spellEnd"/>
      <w:r w:rsidRPr="001134EA">
        <w:rPr>
          <w:sz w:val="24"/>
          <w:szCs w:val="24"/>
        </w:rPr>
        <w:t xml:space="preserve">. </w:t>
      </w:r>
    </w:p>
    <w:p w14:paraId="1F3BCA0F" w14:textId="77777777" w:rsidR="001134EA" w:rsidRPr="001134EA" w:rsidRDefault="001134EA" w:rsidP="00793067">
      <w:pPr>
        <w:numPr>
          <w:ilvl w:val="0"/>
          <w:numId w:val="9"/>
        </w:numPr>
        <w:tabs>
          <w:tab w:val="clear" w:pos="855"/>
        </w:tabs>
        <w:ind w:left="1276" w:hanging="425"/>
        <w:rPr>
          <w:sz w:val="24"/>
          <w:szCs w:val="24"/>
        </w:rPr>
      </w:pPr>
      <w:r w:rsidRPr="001134EA">
        <w:rPr>
          <w:sz w:val="24"/>
          <w:szCs w:val="24"/>
        </w:rPr>
        <w:t xml:space="preserve">Salicylamid kan forlænge halveringstiden for elimination af paracetamol. </w:t>
      </w:r>
    </w:p>
    <w:p w14:paraId="53C3602A" w14:textId="77777777" w:rsidR="001134EA" w:rsidRPr="001134EA" w:rsidRDefault="001134EA" w:rsidP="00793067">
      <w:pPr>
        <w:numPr>
          <w:ilvl w:val="0"/>
          <w:numId w:val="9"/>
        </w:numPr>
        <w:tabs>
          <w:tab w:val="clear" w:pos="855"/>
        </w:tabs>
        <w:ind w:left="1276" w:hanging="425"/>
        <w:rPr>
          <w:sz w:val="24"/>
          <w:szCs w:val="24"/>
        </w:rPr>
      </w:pPr>
      <w:r w:rsidRPr="001134EA">
        <w:rPr>
          <w:sz w:val="24"/>
          <w:szCs w:val="24"/>
        </w:rPr>
        <w:t xml:space="preserve">Forsigtighed tilrådes, når lægemidler med enzyminducerende egenskaber administreres samtidigt. Sådanne substanser omfatter, men er ikke begrænset til, </w:t>
      </w:r>
      <w:proofErr w:type="spellStart"/>
      <w:r w:rsidRPr="001134EA">
        <w:rPr>
          <w:sz w:val="24"/>
          <w:szCs w:val="24"/>
        </w:rPr>
        <w:t>rifampicin</w:t>
      </w:r>
      <w:proofErr w:type="spellEnd"/>
      <w:r w:rsidRPr="001134EA">
        <w:rPr>
          <w:sz w:val="24"/>
          <w:szCs w:val="24"/>
        </w:rPr>
        <w:t xml:space="preserve"> og barbiturater. Andre lægemidler, der interagerer med eller er substrater for </w:t>
      </w:r>
      <w:proofErr w:type="spellStart"/>
      <w:r w:rsidRPr="001134EA">
        <w:rPr>
          <w:sz w:val="24"/>
          <w:szCs w:val="24"/>
        </w:rPr>
        <w:t>hepatiske</w:t>
      </w:r>
      <w:proofErr w:type="spellEnd"/>
      <w:r w:rsidRPr="001134EA">
        <w:rPr>
          <w:sz w:val="24"/>
          <w:szCs w:val="24"/>
        </w:rPr>
        <w:t xml:space="preserve"> </w:t>
      </w:r>
      <w:proofErr w:type="spellStart"/>
      <w:r w:rsidRPr="001134EA">
        <w:rPr>
          <w:sz w:val="24"/>
          <w:szCs w:val="24"/>
        </w:rPr>
        <w:t>cytokromenzymer</w:t>
      </w:r>
      <w:proofErr w:type="spellEnd"/>
      <w:r w:rsidRPr="001134EA">
        <w:rPr>
          <w:sz w:val="24"/>
          <w:szCs w:val="24"/>
        </w:rPr>
        <w:t xml:space="preserve"> – for eksempel tricykliske </w:t>
      </w:r>
      <w:proofErr w:type="spellStart"/>
      <w:r w:rsidRPr="001134EA">
        <w:rPr>
          <w:sz w:val="24"/>
          <w:szCs w:val="24"/>
        </w:rPr>
        <w:t>antidepressiva</w:t>
      </w:r>
      <w:proofErr w:type="spellEnd"/>
      <w:r w:rsidRPr="001134EA">
        <w:rPr>
          <w:sz w:val="24"/>
          <w:szCs w:val="24"/>
        </w:rPr>
        <w:t xml:space="preserve">, </w:t>
      </w:r>
      <w:proofErr w:type="spellStart"/>
      <w:r w:rsidRPr="001134EA">
        <w:rPr>
          <w:sz w:val="24"/>
          <w:szCs w:val="24"/>
        </w:rPr>
        <w:t>isoniazid</w:t>
      </w:r>
      <w:proofErr w:type="spellEnd"/>
      <w:r w:rsidRPr="001134EA">
        <w:rPr>
          <w:sz w:val="24"/>
          <w:szCs w:val="24"/>
        </w:rPr>
        <w:t xml:space="preserve"> og visse </w:t>
      </w:r>
      <w:proofErr w:type="spellStart"/>
      <w:r w:rsidRPr="001134EA">
        <w:rPr>
          <w:sz w:val="24"/>
          <w:szCs w:val="24"/>
        </w:rPr>
        <w:t>antiepileptika</w:t>
      </w:r>
      <w:proofErr w:type="spellEnd"/>
      <w:r w:rsidRPr="001134EA">
        <w:rPr>
          <w:sz w:val="24"/>
          <w:szCs w:val="24"/>
        </w:rPr>
        <w:t xml:space="preserve"> (herunder </w:t>
      </w:r>
      <w:proofErr w:type="spellStart"/>
      <w:r w:rsidRPr="001134EA">
        <w:rPr>
          <w:sz w:val="24"/>
          <w:szCs w:val="24"/>
        </w:rPr>
        <w:t>carbamazepin</w:t>
      </w:r>
      <w:proofErr w:type="spellEnd"/>
      <w:r w:rsidRPr="001134EA">
        <w:rPr>
          <w:sz w:val="24"/>
          <w:szCs w:val="24"/>
        </w:rPr>
        <w:t xml:space="preserve">, </w:t>
      </w:r>
      <w:proofErr w:type="spellStart"/>
      <w:r w:rsidRPr="001134EA">
        <w:rPr>
          <w:sz w:val="24"/>
          <w:szCs w:val="24"/>
        </w:rPr>
        <w:t>phenytoin</w:t>
      </w:r>
      <w:proofErr w:type="spellEnd"/>
      <w:r w:rsidRPr="001134EA">
        <w:rPr>
          <w:sz w:val="24"/>
          <w:szCs w:val="24"/>
        </w:rPr>
        <w:t xml:space="preserve">, </w:t>
      </w:r>
      <w:proofErr w:type="spellStart"/>
      <w:r w:rsidRPr="001134EA">
        <w:rPr>
          <w:sz w:val="24"/>
          <w:szCs w:val="24"/>
        </w:rPr>
        <w:t>phenobarbital</w:t>
      </w:r>
      <w:proofErr w:type="spellEnd"/>
      <w:r w:rsidRPr="001134EA">
        <w:rPr>
          <w:sz w:val="24"/>
          <w:szCs w:val="24"/>
        </w:rPr>
        <w:t xml:space="preserve"> og </w:t>
      </w:r>
      <w:proofErr w:type="spellStart"/>
      <w:r w:rsidRPr="001134EA">
        <w:rPr>
          <w:sz w:val="24"/>
          <w:szCs w:val="24"/>
        </w:rPr>
        <w:t>primidon</w:t>
      </w:r>
      <w:proofErr w:type="spellEnd"/>
      <w:r w:rsidRPr="001134EA">
        <w:rPr>
          <w:sz w:val="24"/>
          <w:szCs w:val="24"/>
        </w:rPr>
        <w:t xml:space="preserve">) – bør også administreres med forsigtighed samtidigt. </w:t>
      </w:r>
    </w:p>
    <w:p w14:paraId="094D0660" w14:textId="3B3F9847" w:rsidR="001134EA" w:rsidRPr="001134EA" w:rsidRDefault="001134EA" w:rsidP="00793067">
      <w:pPr>
        <w:numPr>
          <w:ilvl w:val="0"/>
          <w:numId w:val="9"/>
        </w:numPr>
        <w:tabs>
          <w:tab w:val="clear" w:pos="855"/>
        </w:tabs>
        <w:ind w:left="1276" w:hanging="425"/>
        <w:rPr>
          <w:sz w:val="24"/>
          <w:szCs w:val="24"/>
        </w:rPr>
      </w:pPr>
      <w:r w:rsidRPr="001134EA">
        <w:rPr>
          <w:sz w:val="24"/>
          <w:szCs w:val="24"/>
        </w:rPr>
        <w:t xml:space="preserve">Isolerede rapporter beskriver uventet </w:t>
      </w:r>
      <w:proofErr w:type="spellStart"/>
      <w:r w:rsidRPr="001134EA">
        <w:rPr>
          <w:sz w:val="24"/>
          <w:szCs w:val="24"/>
        </w:rPr>
        <w:t>hepatotoksicitet</w:t>
      </w:r>
      <w:proofErr w:type="spellEnd"/>
      <w:r w:rsidRPr="001134EA">
        <w:rPr>
          <w:sz w:val="24"/>
          <w:szCs w:val="24"/>
        </w:rPr>
        <w:t xml:space="preserve"> hos patienter, som tager alkohol eller enzyminducerende lægemidler (se </w:t>
      </w:r>
      <w:r w:rsidR="00951E6D">
        <w:rPr>
          <w:sz w:val="24"/>
          <w:szCs w:val="24"/>
        </w:rPr>
        <w:t>pkt.</w:t>
      </w:r>
      <w:r w:rsidRPr="001134EA">
        <w:rPr>
          <w:sz w:val="24"/>
          <w:szCs w:val="24"/>
        </w:rPr>
        <w:t xml:space="preserve"> 4.9).</w:t>
      </w:r>
    </w:p>
    <w:p w14:paraId="6AFA3F8E" w14:textId="77777777" w:rsidR="001134EA" w:rsidRPr="001134EA" w:rsidRDefault="001134EA" w:rsidP="00793067">
      <w:pPr>
        <w:numPr>
          <w:ilvl w:val="0"/>
          <w:numId w:val="9"/>
        </w:numPr>
        <w:tabs>
          <w:tab w:val="clear" w:pos="855"/>
        </w:tabs>
        <w:ind w:left="1276" w:hanging="425"/>
        <w:rPr>
          <w:sz w:val="24"/>
          <w:szCs w:val="24"/>
        </w:rPr>
      </w:pPr>
      <w:r w:rsidRPr="001134EA">
        <w:rPr>
          <w:sz w:val="24"/>
          <w:szCs w:val="24"/>
        </w:rPr>
        <w:t xml:space="preserve">Samtidig administration af paracetamol og </w:t>
      </w:r>
      <w:proofErr w:type="spellStart"/>
      <w:r w:rsidRPr="001134EA">
        <w:rPr>
          <w:sz w:val="24"/>
          <w:szCs w:val="24"/>
        </w:rPr>
        <w:t>chloramfenikol</w:t>
      </w:r>
      <w:proofErr w:type="spellEnd"/>
      <w:r w:rsidRPr="001134EA">
        <w:rPr>
          <w:sz w:val="24"/>
          <w:szCs w:val="24"/>
        </w:rPr>
        <w:t xml:space="preserve"> kan forlænge virkningen af </w:t>
      </w:r>
      <w:proofErr w:type="spellStart"/>
      <w:r w:rsidRPr="001134EA">
        <w:rPr>
          <w:sz w:val="24"/>
          <w:szCs w:val="24"/>
        </w:rPr>
        <w:t>chloramfenikol</w:t>
      </w:r>
      <w:proofErr w:type="spellEnd"/>
      <w:r w:rsidRPr="001134EA">
        <w:rPr>
          <w:sz w:val="24"/>
          <w:szCs w:val="24"/>
        </w:rPr>
        <w:t xml:space="preserve">. </w:t>
      </w:r>
    </w:p>
    <w:p w14:paraId="1D650AA5" w14:textId="77777777" w:rsidR="001134EA" w:rsidRPr="001134EA" w:rsidRDefault="001134EA" w:rsidP="00793067">
      <w:pPr>
        <w:numPr>
          <w:ilvl w:val="0"/>
          <w:numId w:val="9"/>
        </w:numPr>
        <w:tabs>
          <w:tab w:val="clear" w:pos="855"/>
        </w:tabs>
        <w:ind w:left="1276" w:hanging="425"/>
        <w:rPr>
          <w:sz w:val="24"/>
          <w:szCs w:val="24"/>
        </w:rPr>
      </w:pPr>
      <w:r w:rsidRPr="001134EA">
        <w:rPr>
          <w:sz w:val="24"/>
          <w:szCs w:val="24"/>
        </w:rPr>
        <w:t>Samtidig administration af paracetamol og AZT (</w:t>
      </w:r>
      <w:proofErr w:type="spellStart"/>
      <w:r w:rsidRPr="001134EA">
        <w:rPr>
          <w:sz w:val="24"/>
          <w:szCs w:val="24"/>
        </w:rPr>
        <w:t>zidovudin</w:t>
      </w:r>
      <w:proofErr w:type="spellEnd"/>
      <w:r w:rsidRPr="001134EA">
        <w:rPr>
          <w:sz w:val="24"/>
          <w:szCs w:val="24"/>
        </w:rPr>
        <w:t xml:space="preserve">) øger tendensen til </w:t>
      </w:r>
      <w:proofErr w:type="spellStart"/>
      <w:r w:rsidRPr="001134EA">
        <w:rPr>
          <w:sz w:val="24"/>
          <w:szCs w:val="24"/>
        </w:rPr>
        <w:t>neutropeni</w:t>
      </w:r>
      <w:proofErr w:type="spellEnd"/>
      <w:r w:rsidRPr="001134EA">
        <w:rPr>
          <w:sz w:val="24"/>
          <w:szCs w:val="24"/>
        </w:rPr>
        <w:t xml:space="preserve">. </w:t>
      </w:r>
    </w:p>
    <w:p w14:paraId="485630AF" w14:textId="77777777" w:rsidR="001134EA" w:rsidRPr="001134EA" w:rsidRDefault="001134EA" w:rsidP="00793067">
      <w:pPr>
        <w:numPr>
          <w:ilvl w:val="0"/>
          <w:numId w:val="9"/>
        </w:numPr>
        <w:tabs>
          <w:tab w:val="clear" w:pos="855"/>
        </w:tabs>
        <w:ind w:left="1276" w:hanging="425"/>
        <w:rPr>
          <w:sz w:val="24"/>
          <w:szCs w:val="24"/>
        </w:rPr>
      </w:pPr>
      <w:r w:rsidRPr="001134EA">
        <w:rPr>
          <w:sz w:val="24"/>
          <w:szCs w:val="24"/>
        </w:rPr>
        <w:t xml:space="preserve">Samtidig administration af paracetamol og orale </w:t>
      </w:r>
      <w:proofErr w:type="spellStart"/>
      <w:r w:rsidRPr="001134EA">
        <w:rPr>
          <w:sz w:val="24"/>
          <w:szCs w:val="24"/>
        </w:rPr>
        <w:t>antikonceptiva</w:t>
      </w:r>
      <w:proofErr w:type="spellEnd"/>
      <w:r w:rsidRPr="001134EA">
        <w:rPr>
          <w:sz w:val="24"/>
          <w:szCs w:val="24"/>
        </w:rPr>
        <w:t xml:space="preserve"> kan reducere eliminationshalveringstiden for paracetamol. </w:t>
      </w:r>
    </w:p>
    <w:p w14:paraId="2D969420" w14:textId="77777777" w:rsidR="001134EA" w:rsidRPr="001134EA" w:rsidRDefault="001134EA" w:rsidP="00793067">
      <w:pPr>
        <w:numPr>
          <w:ilvl w:val="0"/>
          <w:numId w:val="9"/>
        </w:numPr>
        <w:tabs>
          <w:tab w:val="clear" w:pos="855"/>
        </w:tabs>
        <w:ind w:left="1276" w:hanging="425"/>
        <w:rPr>
          <w:sz w:val="24"/>
          <w:szCs w:val="24"/>
        </w:rPr>
      </w:pPr>
      <w:r w:rsidRPr="001134EA">
        <w:rPr>
          <w:sz w:val="24"/>
          <w:szCs w:val="24"/>
        </w:rPr>
        <w:t xml:space="preserve">Samtidig anvendelse af paracetamol (4 g pr. dag i mindst 4 dage) og orale </w:t>
      </w:r>
      <w:proofErr w:type="spellStart"/>
      <w:r w:rsidRPr="001134EA">
        <w:rPr>
          <w:sz w:val="24"/>
          <w:szCs w:val="24"/>
        </w:rPr>
        <w:t>antikoagulantia</w:t>
      </w:r>
      <w:proofErr w:type="spellEnd"/>
      <w:r w:rsidRPr="001134EA">
        <w:rPr>
          <w:sz w:val="24"/>
          <w:szCs w:val="24"/>
        </w:rPr>
        <w:t xml:space="preserve"> kan medføre mindre udsving i INR-værdier. Hvis dette er tilfældet, bør monitorering af INR-værdier forøges i perioden med samtidig anvendelse, samt i en uge efter </w:t>
      </w:r>
      <w:proofErr w:type="spellStart"/>
      <w:r w:rsidRPr="001134EA">
        <w:rPr>
          <w:sz w:val="24"/>
          <w:szCs w:val="24"/>
        </w:rPr>
        <w:t>seponering</w:t>
      </w:r>
      <w:proofErr w:type="spellEnd"/>
      <w:r w:rsidRPr="001134EA">
        <w:rPr>
          <w:sz w:val="24"/>
          <w:szCs w:val="24"/>
        </w:rPr>
        <w:t xml:space="preserve"> af behandling med paracetamol. </w:t>
      </w:r>
    </w:p>
    <w:p w14:paraId="04BD4E58" w14:textId="3364B7D4" w:rsidR="001134EA" w:rsidRPr="001134EA" w:rsidRDefault="001134EA" w:rsidP="00793067">
      <w:pPr>
        <w:numPr>
          <w:ilvl w:val="0"/>
          <w:numId w:val="9"/>
        </w:numPr>
        <w:tabs>
          <w:tab w:val="clear" w:pos="855"/>
        </w:tabs>
        <w:ind w:left="1276" w:hanging="425"/>
        <w:rPr>
          <w:sz w:val="24"/>
          <w:szCs w:val="24"/>
        </w:rPr>
      </w:pPr>
      <w:r w:rsidRPr="001134EA">
        <w:rPr>
          <w:sz w:val="24"/>
          <w:szCs w:val="24"/>
        </w:rPr>
        <w:t xml:space="preserve">Der skal udvises forsigtighed, når paracetamol anvendes samtidig med </w:t>
      </w:r>
      <w:proofErr w:type="spellStart"/>
      <w:r w:rsidRPr="001134EA">
        <w:rPr>
          <w:sz w:val="24"/>
          <w:szCs w:val="24"/>
        </w:rPr>
        <w:t>flucloxacillin</w:t>
      </w:r>
      <w:proofErr w:type="spellEnd"/>
      <w:r w:rsidRPr="001134EA">
        <w:rPr>
          <w:sz w:val="24"/>
          <w:szCs w:val="24"/>
        </w:rPr>
        <w:t xml:space="preserve">, idet samtidig brug er blevet associeret med metabolisk acidose med højt </w:t>
      </w:r>
      <w:proofErr w:type="spellStart"/>
      <w:r w:rsidRPr="001134EA">
        <w:rPr>
          <w:sz w:val="24"/>
          <w:szCs w:val="24"/>
        </w:rPr>
        <w:t>aniongap</w:t>
      </w:r>
      <w:proofErr w:type="spellEnd"/>
      <w:r w:rsidRPr="001134EA">
        <w:rPr>
          <w:sz w:val="24"/>
          <w:szCs w:val="24"/>
        </w:rPr>
        <w:t xml:space="preserve"> på grund af </w:t>
      </w:r>
      <w:proofErr w:type="spellStart"/>
      <w:r w:rsidRPr="001134EA">
        <w:rPr>
          <w:sz w:val="24"/>
          <w:szCs w:val="24"/>
        </w:rPr>
        <w:t>pyroglutaminacidose</w:t>
      </w:r>
      <w:proofErr w:type="spellEnd"/>
      <w:r w:rsidRPr="001134EA">
        <w:rPr>
          <w:sz w:val="24"/>
          <w:szCs w:val="24"/>
        </w:rPr>
        <w:t xml:space="preserve">, særligt hos patienter med risikofaktorer (se </w:t>
      </w:r>
      <w:r w:rsidR="00951E6D">
        <w:rPr>
          <w:sz w:val="24"/>
          <w:szCs w:val="24"/>
        </w:rPr>
        <w:t>pkt.</w:t>
      </w:r>
      <w:r w:rsidRPr="001134EA">
        <w:rPr>
          <w:sz w:val="24"/>
          <w:szCs w:val="24"/>
        </w:rPr>
        <w:t xml:space="preserve"> 4.4).</w:t>
      </w:r>
    </w:p>
    <w:p w14:paraId="0668691A" w14:textId="77777777" w:rsidR="009260DE" w:rsidRPr="00054795" w:rsidRDefault="009260DE" w:rsidP="009260DE">
      <w:pPr>
        <w:tabs>
          <w:tab w:val="left" w:pos="851"/>
        </w:tabs>
        <w:ind w:left="851"/>
        <w:rPr>
          <w:sz w:val="24"/>
          <w:szCs w:val="24"/>
        </w:rPr>
      </w:pPr>
    </w:p>
    <w:p w14:paraId="6E94CE67" w14:textId="77777777" w:rsidR="009260DE" w:rsidRPr="00054795" w:rsidRDefault="009260DE" w:rsidP="009260DE">
      <w:pPr>
        <w:tabs>
          <w:tab w:val="left" w:pos="851"/>
        </w:tabs>
        <w:ind w:left="851" w:hanging="851"/>
        <w:rPr>
          <w:b/>
          <w:sz w:val="24"/>
          <w:szCs w:val="24"/>
        </w:rPr>
      </w:pPr>
      <w:r w:rsidRPr="00054795">
        <w:rPr>
          <w:b/>
          <w:sz w:val="24"/>
          <w:szCs w:val="24"/>
        </w:rPr>
        <w:t>4.6</w:t>
      </w:r>
      <w:r w:rsidRPr="00054795">
        <w:rPr>
          <w:b/>
          <w:sz w:val="24"/>
          <w:szCs w:val="24"/>
        </w:rPr>
        <w:tab/>
      </w:r>
      <w:r w:rsidR="0071241E" w:rsidRPr="00054795">
        <w:rPr>
          <w:b/>
          <w:sz w:val="24"/>
          <w:szCs w:val="24"/>
        </w:rPr>
        <w:t>Fertilitet, g</w:t>
      </w:r>
      <w:r w:rsidRPr="00054795">
        <w:rPr>
          <w:b/>
          <w:sz w:val="24"/>
          <w:szCs w:val="24"/>
        </w:rPr>
        <w:t>raviditet og amning</w:t>
      </w:r>
    </w:p>
    <w:p w14:paraId="1AC21A85" w14:textId="77777777" w:rsidR="00951E6D" w:rsidRDefault="00951E6D" w:rsidP="00793067">
      <w:pPr>
        <w:ind w:left="851"/>
        <w:rPr>
          <w:sz w:val="24"/>
          <w:szCs w:val="24"/>
          <w:u w:val="single"/>
        </w:rPr>
      </w:pPr>
    </w:p>
    <w:p w14:paraId="095B1254" w14:textId="238029AC" w:rsidR="001134EA" w:rsidRPr="001134EA" w:rsidRDefault="001134EA" w:rsidP="00793067">
      <w:pPr>
        <w:ind w:left="851"/>
        <w:rPr>
          <w:sz w:val="24"/>
          <w:szCs w:val="24"/>
        </w:rPr>
      </w:pPr>
      <w:r w:rsidRPr="001134EA">
        <w:rPr>
          <w:sz w:val="24"/>
          <w:szCs w:val="24"/>
          <w:u w:val="single"/>
        </w:rPr>
        <w:t>Graviditet</w:t>
      </w:r>
      <w:r w:rsidRPr="001134EA">
        <w:rPr>
          <w:sz w:val="24"/>
          <w:szCs w:val="24"/>
        </w:rPr>
        <w:t xml:space="preserve"> </w:t>
      </w:r>
    </w:p>
    <w:p w14:paraId="05DAE42E" w14:textId="77777777" w:rsidR="001134EA" w:rsidRPr="001134EA" w:rsidRDefault="001134EA" w:rsidP="00793067">
      <w:pPr>
        <w:ind w:left="851"/>
        <w:rPr>
          <w:sz w:val="24"/>
          <w:szCs w:val="24"/>
        </w:rPr>
      </w:pPr>
      <w:r w:rsidRPr="001134EA">
        <w:rPr>
          <w:sz w:val="24"/>
          <w:szCs w:val="24"/>
        </w:rPr>
        <w:t xml:space="preserve">Klinisk erfaring er begrænset med intravenøs administration af paracetamol. En stor mængde data vedrørende brug af orale terapeutiske doser af paracetamol til gravide kvinder indikerer dog hverken misdannelser eller </w:t>
      </w:r>
      <w:proofErr w:type="spellStart"/>
      <w:r w:rsidRPr="001134EA">
        <w:rPr>
          <w:sz w:val="24"/>
          <w:szCs w:val="24"/>
        </w:rPr>
        <w:t>føtal</w:t>
      </w:r>
      <w:proofErr w:type="spellEnd"/>
      <w:r w:rsidRPr="001134EA">
        <w:rPr>
          <w:sz w:val="24"/>
          <w:szCs w:val="24"/>
        </w:rPr>
        <w:t xml:space="preserve">/neonatal toksicitet. Epidemiologiske studier af den neurologiske udvikling hos børn, der eksponeres for paracetamol i uterus, viser </w:t>
      </w:r>
      <w:proofErr w:type="spellStart"/>
      <w:r w:rsidRPr="001134EA">
        <w:rPr>
          <w:sz w:val="24"/>
          <w:szCs w:val="24"/>
        </w:rPr>
        <w:t>inkonklusive</w:t>
      </w:r>
      <w:proofErr w:type="spellEnd"/>
      <w:r w:rsidRPr="001134EA">
        <w:rPr>
          <w:sz w:val="24"/>
          <w:szCs w:val="24"/>
        </w:rPr>
        <w:t xml:space="preserve"> resultater. Paracetamol kan anvendes under graviditet, hvis det er klinisk indiceret, i den laveste effektive dosis i den korteste mulige periode og med den laveste mulige frekvens. </w:t>
      </w:r>
    </w:p>
    <w:p w14:paraId="39706D03" w14:textId="77777777" w:rsidR="001134EA" w:rsidRPr="001134EA" w:rsidRDefault="001134EA" w:rsidP="00793067">
      <w:pPr>
        <w:ind w:left="851"/>
        <w:rPr>
          <w:bCs/>
          <w:sz w:val="24"/>
          <w:szCs w:val="24"/>
        </w:rPr>
      </w:pPr>
    </w:p>
    <w:p w14:paraId="2912DDB0" w14:textId="47C6BE56" w:rsidR="001134EA" w:rsidRPr="001134EA" w:rsidRDefault="001134EA" w:rsidP="00793067">
      <w:pPr>
        <w:ind w:left="851"/>
        <w:rPr>
          <w:sz w:val="24"/>
          <w:szCs w:val="24"/>
        </w:rPr>
      </w:pPr>
      <w:r w:rsidRPr="001134EA">
        <w:rPr>
          <w:sz w:val="24"/>
          <w:szCs w:val="24"/>
          <w:u w:val="single"/>
        </w:rPr>
        <w:t>Amning</w:t>
      </w:r>
    </w:p>
    <w:p w14:paraId="53CF7B5C" w14:textId="3B9DF78C" w:rsidR="001134EA" w:rsidRPr="001134EA" w:rsidRDefault="001134EA" w:rsidP="00793067">
      <w:pPr>
        <w:ind w:left="851"/>
        <w:rPr>
          <w:sz w:val="24"/>
          <w:szCs w:val="24"/>
        </w:rPr>
      </w:pPr>
      <w:r w:rsidRPr="001134EA">
        <w:rPr>
          <w:sz w:val="24"/>
          <w:szCs w:val="24"/>
        </w:rPr>
        <w:t xml:space="preserve">Efter oral administration udskilles paracetamol i modermælk i små mængder. Der er ikke rapporteret om uønskede virkninger hos børn, der ammes. Paracetamol </w:t>
      </w:r>
      <w:r w:rsidR="00E43CB9">
        <w:rPr>
          <w:sz w:val="24"/>
          <w:szCs w:val="24"/>
        </w:rPr>
        <w:t>"</w:t>
      </w:r>
      <w:proofErr w:type="spellStart"/>
      <w:r w:rsidR="00E43CB9">
        <w:rPr>
          <w:sz w:val="24"/>
          <w:szCs w:val="24"/>
        </w:rPr>
        <w:t>Kabi</w:t>
      </w:r>
      <w:proofErr w:type="spellEnd"/>
      <w:r w:rsidR="00E43CB9">
        <w:rPr>
          <w:sz w:val="24"/>
          <w:szCs w:val="24"/>
        </w:rPr>
        <w:t>"</w:t>
      </w:r>
      <w:r w:rsidRPr="001134EA">
        <w:rPr>
          <w:sz w:val="24"/>
          <w:szCs w:val="24"/>
        </w:rPr>
        <w:t xml:space="preserve"> kan således anvendes til ammende kvinder. </w:t>
      </w:r>
    </w:p>
    <w:p w14:paraId="59BC4AC4" w14:textId="77777777" w:rsidR="001134EA" w:rsidRPr="001134EA" w:rsidRDefault="001134EA" w:rsidP="00793067">
      <w:pPr>
        <w:ind w:left="851"/>
        <w:rPr>
          <w:sz w:val="24"/>
          <w:szCs w:val="24"/>
        </w:rPr>
      </w:pPr>
    </w:p>
    <w:p w14:paraId="278D32F2" w14:textId="77777777" w:rsidR="001134EA" w:rsidRPr="001134EA" w:rsidRDefault="001134EA" w:rsidP="00793067">
      <w:pPr>
        <w:ind w:left="851"/>
        <w:rPr>
          <w:sz w:val="24"/>
          <w:szCs w:val="24"/>
          <w:u w:val="single"/>
        </w:rPr>
      </w:pPr>
      <w:r w:rsidRPr="001134EA">
        <w:rPr>
          <w:sz w:val="24"/>
          <w:szCs w:val="24"/>
          <w:u w:val="single"/>
        </w:rPr>
        <w:t>Fertilitet</w:t>
      </w:r>
    </w:p>
    <w:p w14:paraId="6EE83D69" w14:textId="5690090B" w:rsidR="001134EA" w:rsidRPr="001134EA" w:rsidRDefault="001134EA" w:rsidP="00793067">
      <w:pPr>
        <w:ind w:left="851"/>
        <w:rPr>
          <w:sz w:val="24"/>
          <w:szCs w:val="24"/>
        </w:rPr>
      </w:pPr>
      <w:r w:rsidRPr="001134EA">
        <w:rPr>
          <w:sz w:val="24"/>
          <w:szCs w:val="24"/>
        </w:rPr>
        <w:t xml:space="preserve">Reproduktionstoksicitet er ikke blevet fuldt ud evalueret (se </w:t>
      </w:r>
      <w:r w:rsidR="00951E6D">
        <w:rPr>
          <w:sz w:val="24"/>
          <w:szCs w:val="24"/>
        </w:rPr>
        <w:t>pkt.</w:t>
      </w:r>
      <w:r w:rsidRPr="001134EA">
        <w:rPr>
          <w:sz w:val="24"/>
          <w:szCs w:val="24"/>
        </w:rPr>
        <w:t xml:space="preserve"> 5.3).</w:t>
      </w:r>
    </w:p>
    <w:p w14:paraId="0C6BE745" w14:textId="77777777" w:rsidR="009260DE" w:rsidRPr="00054795" w:rsidRDefault="009260DE" w:rsidP="00793067">
      <w:pPr>
        <w:ind w:left="851"/>
        <w:rPr>
          <w:sz w:val="24"/>
          <w:szCs w:val="24"/>
        </w:rPr>
      </w:pPr>
    </w:p>
    <w:p w14:paraId="2293FD90" w14:textId="77777777" w:rsidR="009260DE" w:rsidRPr="00054795" w:rsidRDefault="009260DE" w:rsidP="009260DE">
      <w:pPr>
        <w:tabs>
          <w:tab w:val="left" w:pos="851"/>
        </w:tabs>
        <w:ind w:left="851" w:hanging="851"/>
        <w:rPr>
          <w:b/>
          <w:sz w:val="24"/>
          <w:szCs w:val="24"/>
        </w:rPr>
      </w:pPr>
      <w:r w:rsidRPr="00054795">
        <w:rPr>
          <w:b/>
          <w:sz w:val="24"/>
          <w:szCs w:val="24"/>
        </w:rPr>
        <w:t>4.7</w:t>
      </w:r>
      <w:r w:rsidRPr="00054795">
        <w:rPr>
          <w:b/>
          <w:sz w:val="24"/>
          <w:szCs w:val="24"/>
        </w:rPr>
        <w:tab/>
        <w:t xml:space="preserve">Virkning på evnen til at føre motorkøretøj </w:t>
      </w:r>
      <w:r w:rsidR="0071241E" w:rsidRPr="00054795">
        <w:rPr>
          <w:b/>
          <w:sz w:val="24"/>
          <w:szCs w:val="24"/>
        </w:rPr>
        <w:t>og</w:t>
      </w:r>
      <w:r w:rsidRPr="00054795">
        <w:rPr>
          <w:b/>
          <w:sz w:val="24"/>
          <w:szCs w:val="24"/>
        </w:rPr>
        <w:t xml:space="preserve"> betjene maskiner</w:t>
      </w:r>
    </w:p>
    <w:p w14:paraId="43E921DE" w14:textId="77777777" w:rsidR="001134EA" w:rsidRPr="001134EA" w:rsidRDefault="001134EA" w:rsidP="00793067">
      <w:pPr>
        <w:ind w:left="851"/>
        <w:rPr>
          <w:sz w:val="24"/>
          <w:szCs w:val="24"/>
        </w:rPr>
      </w:pPr>
      <w:r w:rsidRPr="001134EA">
        <w:rPr>
          <w:sz w:val="24"/>
          <w:szCs w:val="24"/>
        </w:rPr>
        <w:t>Ikke mærkning.</w:t>
      </w:r>
    </w:p>
    <w:p w14:paraId="61C51A49" w14:textId="308597A5" w:rsidR="001134EA" w:rsidRPr="001134EA" w:rsidRDefault="001134EA" w:rsidP="00793067">
      <w:pPr>
        <w:ind w:left="851"/>
        <w:rPr>
          <w:sz w:val="24"/>
          <w:szCs w:val="24"/>
        </w:rPr>
      </w:pPr>
      <w:r w:rsidRPr="001134EA">
        <w:rPr>
          <w:sz w:val="24"/>
          <w:szCs w:val="24"/>
        </w:rPr>
        <w:t xml:space="preserve">Paracetamol </w:t>
      </w:r>
      <w:r w:rsidR="00E43CB9">
        <w:rPr>
          <w:sz w:val="24"/>
          <w:szCs w:val="24"/>
        </w:rPr>
        <w:t>"</w:t>
      </w:r>
      <w:proofErr w:type="spellStart"/>
      <w:r w:rsidR="00E43CB9">
        <w:rPr>
          <w:sz w:val="24"/>
          <w:szCs w:val="24"/>
        </w:rPr>
        <w:t>Kabi</w:t>
      </w:r>
      <w:proofErr w:type="spellEnd"/>
      <w:r w:rsidR="00E43CB9">
        <w:rPr>
          <w:sz w:val="24"/>
          <w:szCs w:val="24"/>
        </w:rPr>
        <w:t>"</w:t>
      </w:r>
      <w:r w:rsidRPr="001134EA">
        <w:rPr>
          <w:sz w:val="24"/>
          <w:szCs w:val="24"/>
        </w:rPr>
        <w:t xml:space="preserve"> påvirker ikke eller kun i ubetydelig grad evnen til at føre motorkøretøj eller betjene maskiner.</w:t>
      </w:r>
    </w:p>
    <w:p w14:paraId="396B3850" w14:textId="77777777" w:rsidR="009260DE" w:rsidRPr="00054795" w:rsidRDefault="009260DE" w:rsidP="009260DE">
      <w:pPr>
        <w:tabs>
          <w:tab w:val="left" w:pos="851"/>
        </w:tabs>
        <w:ind w:left="851"/>
        <w:rPr>
          <w:sz w:val="24"/>
          <w:szCs w:val="24"/>
        </w:rPr>
      </w:pPr>
    </w:p>
    <w:p w14:paraId="615C2502" w14:textId="77777777" w:rsidR="009260DE" w:rsidRPr="00054795" w:rsidRDefault="009260DE" w:rsidP="009260DE">
      <w:pPr>
        <w:tabs>
          <w:tab w:val="left" w:pos="851"/>
        </w:tabs>
        <w:ind w:left="851" w:hanging="851"/>
        <w:rPr>
          <w:b/>
          <w:sz w:val="24"/>
          <w:szCs w:val="24"/>
        </w:rPr>
      </w:pPr>
      <w:r w:rsidRPr="00054795">
        <w:rPr>
          <w:b/>
          <w:sz w:val="24"/>
          <w:szCs w:val="24"/>
        </w:rPr>
        <w:t>4.8</w:t>
      </w:r>
      <w:r w:rsidRPr="00054795">
        <w:rPr>
          <w:b/>
          <w:sz w:val="24"/>
          <w:szCs w:val="24"/>
        </w:rPr>
        <w:tab/>
        <w:t>Bivirkninger</w:t>
      </w:r>
    </w:p>
    <w:p w14:paraId="0477074D" w14:textId="77777777" w:rsidR="001134EA" w:rsidRPr="001134EA" w:rsidRDefault="001134EA" w:rsidP="00793067">
      <w:pPr>
        <w:ind w:left="851"/>
        <w:rPr>
          <w:sz w:val="24"/>
          <w:szCs w:val="24"/>
        </w:rPr>
      </w:pPr>
      <w:r w:rsidRPr="001134EA">
        <w:rPr>
          <w:sz w:val="24"/>
          <w:szCs w:val="24"/>
        </w:rPr>
        <w:t xml:space="preserve">Evalueringen af bivirkninger er baseret på følgende definition af hyppighed: </w:t>
      </w:r>
    </w:p>
    <w:p w14:paraId="655FD6D5" w14:textId="77777777" w:rsidR="001134EA" w:rsidRPr="001134EA" w:rsidRDefault="001134EA" w:rsidP="00793067">
      <w:pPr>
        <w:ind w:left="851"/>
        <w:rPr>
          <w:sz w:val="24"/>
          <w:szCs w:val="24"/>
        </w:rPr>
      </w:pPr>
    </w:p>
    <w:p w14:paraId="28C19C9F" w14:textId="77777777" w:rsidR="001134EA" w:rsidRPr="001134EA" w:rsidRDefault="001134EA" w:rsidP="00793067">
      <w:pPr>
        <w:ind w:left="851"/>
        <w:rPr>
          <w:sz w:val="24"/>
          <w:szCs w:val="24"/>
        </w:rPr>
      </w:pPr>
      <w:r w:rsidRPr="001134EA">
        <w:rPr>
          <w:sz w:val="24"/>
          <w:szCs w:val="24"/>
        </w:rPr>
        <w:t>Meget almindelig</w:t>
      </w:r>
      <w:r w:rsidRPr="001134EA">
        <w:rPr>
          <w:sz w:val="24"/>
          <w:szCs w:val="24"/>
        </w:rPr>
        <w:tab/>
        <w:t>≥1/10</w:t>
      </w:r>
    </w:p>
    <w:p w14:paraId="26A2412D" w14:textId="77777777" w:rsidR="001134EA" w:rsidRPr="001134EA" w:rsidRDefault="001134EA" w:rsidP="00793067">
      <w:pPr>
        <w:ind w:left="851"/>
        <w:rPr>
          <w:sz w:val="24"/>
          <w:szCs w:val="24"/>
        </w:rPr>
      </w:pPr>
      <w:r w:rsidRPr="001134EA">
        <w:rPr>
          <w:sz w:val="24"/>
          <w:szCs w:val="24"/>
        </w:rPr>
        <w:t>Almindelig</w:t>
      </w:r>
      <w:r w:rsidRPr="001134EA">
        <w:rPr>
          <w:sz w:val="24"/>
          <w:szCs w:val="24"/>
        </w:rPr>
        <w:tab/>
        <w:t>≥ 1/100 til &lt;1/10</w:t>
      </w:r>
    </w:p>
    <w:p w14:paraId="39AB24C7" w14:textId="77777777" w:rsidR="001134EA" w:rsidRPr="001134EA" w:rsidRDefault="001134EA" w:rsidP="00793067">
      <w:pPr>
        <w:ind w:left="851"/>
        <w:rPr>
          <w:sz w:val="24"/>
          <w:szCs w:val="24"/>
        </w:rPr>
      </w:pPr>
      <w:r w:rsidRPr="001134EA">
        <w:rPr>
          <w:sz w:val="24"/>
          <w:szCs w:val="24"/>
        </w:rPr>
        <w:t>Ikke almindelig</w:t>
      </w:r>
      <w:r w:rsidRPr="001134EA">
        <w:rPr>
          <w:sz w:val="24"/>
          <w:szCs w:val="24"/>
        </w:rPr>
        <w:tab/>
        <w:t>≥ 1/1.000 til &lt;1/100</w:t>
      </w:r>
    </w:p>
    <w:p w14:paraId="75AEC06E" w14:textId="77777777" w:rsidR="001134EA" w:rsidRPr="001134EA" w:rsidRDefault="001134EA" w:rsidP="00793067">
      <w:pPr>
        <w:ind w:left="851"/>
        <w:rPr>
          <w:sz w:val="24"/>
          <w:szCs w:val="24"/>
        </w:rPr>
      </w:pPr>
      <w:r w:rsidRPr="001134EA">
        <w:rPr>
          <w:sz w:val="24"/>
          <w:szCs w:val="24"/>
        </w:rPr>
        <w:t>Sjældne</w:t>
      </w:r>
      <w:r w:rsidRPr="001134EA">
        <w:rPr>
          <w:sz w:val="24"/>
          <w:szCs w:val="24"/>
        </w:rPr>
        <w:tab/>
        <w:t>≥ 1/10.000 til &lt; 1/1.000</w:t>
      </w:r>
    </w:p>
    <w:p w14:paraId="4C192981" w14:textId="77777777" w:rsidR="001134EA" w:rsidRPr="001134EA" w:rsidRDefault="001134EA" w:rsidP="00793067">
      <w:pPr>
        <w:ind w:left="851"/>
        <w:rPr>
          <w:sz w:val="24"/>
          <w:szCs w:val="24"/>
        </w:rPr>
      </w:pPr>
      <w:r w:rsidRPr="001134EA">
        <w:rPr>
          <w:sz w:val="24"/>
          <w:szCs w:val="24"/>
        </w:rPr>
        <w:t xml:space="preserve">Meget sjældne </w:t>
      </w:r>
      <w:r w:rsidRPr="001134EA">
        <w:rPr>
          <w:sz w:val="24"/>
          <w:szCs w:val="24"/>
        </w:rPr>
        <w:tab/>
        <w:t>&lt; 1/10.000</w:t>
      </w:r>
    </w:p>
    <w:p w14:paraId="7C5A2947" w14:textId="77777777" w:rsidR="001134EA" w:rsidRPr="001134EA" w:rsidRDefault="001134EA" w:rsidP="00793067">
      <w:pPr>
        <w:ind w:left="851"/>
        <w:rPr>
          <w:sz w:val="24"/>
          <w:szCs w:val="24"/>
        </w:rPr>
      </w:pPr>
      <w:r w:rsidRPr="001134EA">
        <w:rPr>
          <w:sz w:val="24"/>
          <w:szCs w:val="24"/>
        </w:rPr>
        <w:t xml:space="preserve">Ikke kendte </w:t>
      </w:r>
      <w:r w:rsidRPr="001134EA">
        <w:rPr>
          <w:sz w:val="24"/>
          <w:szCs w:val="24"/>
        </w:rPr>
        <w:tab/>
        <w:t>Hyppighed kan ikke estimeres ud fra forhåndenværende data.</w:t>
      </w:r>
    </w:p>
    <w:p w14:paraId="29EE8CD1" w14:textId="2E80B1C6" w:rsidR="001134EA" w:rsidRPr="001134EA" w:rsidRDefault="001134EA" w:rsidP="00793067">
      <w:pPr>
        <w:ind w:left="851"/>
        <w:rPr>
          <w:sz w:val="24"/>
          <w:szCs w:val="24"/>
        </w:rPr>
      </w:pPr>
    </w:p>
    <w:p w14:paraId="3F9D09DD" w14:textId="77777777" w:rsidR="001134EA" w:rsidRPr="001134EA" w:rsidRDefault="001134EA" w:rsidP="00793067">
      <w:pPr>
        <w:ind w:left="851"/>
        <w:rPr>
          <w:sz w:val="24"/>
          <w:szCs w:val="24"/>
        </w:rPr>
      </w:pPr>
      <w:r w:rsidRPr="001134EA">
        <w:rPr>
          <w:sz w:val="24"/>
          <w:szCs w:val="24"/>
        </w:rPr>
        <w:t>Som for alle paracetamolprodukter er bivirkninger sjældne eller meget sjældne. De er beskrevet i følgende tabel:</w:t>
      </w:r>
    </w:p>
    <w:p w14:paraId="06903842" w14:textId="77777777" w:rsidR="001134EA" w:rsidRPr="001134EA" w:rsidRDefault="001134EA" w:rsidP="001134EA">
      <w:pPr>
        <w:tabs>
          <w:tab w:val="left" w:pos="851"/>
        </w:tabs>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896"/>
        <w:gridCol w:w="1730"/>
        <w:gridCol w:w="2034"/>
        <w:gridCol w:w="1712"/>
      </w:tblGrid>
      <w:tr w:rsidR="001134EA" w:rsidRPr="0016268D" w14:paraId="02EE3656" w14:textId="77777777" w:rsidTr="00793067">
        <w:tc>
          <w:tcPr>
            <w:tcW w:w="1166" w:type="pct"/>
            <w:tcBorders>
              <w:top w:val="single" w:sz="4" w:space="0" w:color="auto"/>
              <w:left w:val="single" w:sz="4" w:space="0" w:color="auto"/>
              <w:bottom w:val="single" w:sz="4" w:space="0" w:color="auto"/>
              <w:right w:val="single" w:sz="4" w:space="0" w:color="auto"/>
            </w:tcBorders>
            <w:hideMark/>
          </w:tcPr>
          <w:p w14:paraId="65CAEEB3" w14:textId="77777777" w:rsidR="001134EA" w:rsidRPr="0016268D" w:rsidRDefault="001134EA" w:rsidP="00793067">
            <w:pPr>
              <w:rPr>
                <w:b/>
                <w:bCs/>
                <w:sz w:val="24"/>
                <w:szCs w:val="24"/>
              </w:rPr>
            </w:pPr>
            <w:r w:rsidRPr="0016268D">
              <w:rPr>
                <w:b/>
                <w:bCs/>
                <w:sz w:val="24"/>
                <w:szCs w:val="24"/>
              </w:rPr>
              <w:t>Organsystemer</w:t>
            </w:r>
          </w:p>
        </w:tc>
        <w:tc>
          <w:tcPr>
            <w:tcW w:w="986" w:type="pct"/>
            <w:tcBorders>
              <w:top w:val="single" w:sz="4" w:space="0" w:color="auto"/>
              <w:left w:val="single" w:sz="4" w:space="0" w:color="auto"/>
              <w:bottom w:val="single" w:sz="4" w:space="0" w:color="auto"/>
              <w:right w:val="single" w:sz="4" w:space="0" w:color="auto"/>
            </w:tcBorders>
            <w:hideMark/>
          </w:tcPr>
          <w:p w14:paraId="3534481B" w14:textId="77777777" w:rsidR="001134EA" w:rsidRPr="0016268D" w:rsidRDefault="001134EA" w:rsidP="00793067">
            <w:pPr>
              <w:rPr>
                <w:b/>
                <w:bCs/>
                <w:sz w:val="24"/>
                <w:szCs w:val="24"/>
              </w:rPr>
            </w:pPr>
            <w:r w:rsidRPr="0016268D">
              <w:rPr>
                <w:b/>
                <w:bCs/>
                <w:sz w:val="24"/>
                <w:szCs w:val="24"/>
              </w:rPr>
              <w:t>Almindelige</w:t>
            </w:r>
          </w:p>
        </w:tc>
        <w:tc>
          <w:tcPr>
            <w:tcW w:w="900" w:type="pct"/>
            <w:tcBorders>
              <w:top w:val="single" w:sz="4" w:space="0" w:color="auto"/>
              <w:left w:val="single" w:sz="4" w:space="0" w:color="auto"/>
              <w:bottom w:val="single" w:sz="4" w:space="0" w:color="auto"/>
              <w:right w:val="single" w:sz="4" w:space="0" w:color="auto"/>
            </w:tcBorders>
            <w:hideMark/>
          </w:tcPr>
          <w:p w14:paraId="31BF100C" w14:textId="77777777" w:rsidR="001134EA" w:rsidRPr="0016268D" w:rsidRDefault="001134EA" w:rsidP="00793067">
            <w:pPr>
              <w:rPr>
                <w:b/>
                <w:bCs/>
                <w:sz w:val="24"/>
                <w:szCs w:val="24"/>
              </w:rPr>
            </w:pPr>
            <w:r w:rsidRPr="0016268D">
              <w:rPr>
                <w:b/>
                <w:bCs/>
                <w:sz w:val="24"/>
                <w:szCs w:val="24"/>
              </w:rPr>
              <w:t>Sjældne</w:t>
            </w:r>
          </w:p>
        </w:tc>
        <w:tc>
          <w:tcPr>
            <w:tcW w:w="1058" w:type="pct"/>
            <w:tcBorders>
              <w:top w:val="single" w:sz="4" w:space="0" w:color="auto"/>
              <w:left w:val="single" w:sz="4" w:space="0" w:color="auto"/>
              <w:bottom w:val="single" w:sz="4" w:space="0" w:color="auto"/>
              <w:right w:val="single" w:sz="4" w:space="0" w:color="auto"/>
            </w:tcBorders>
            <w:hideMark/>
          </w:tcPr>
          <w:p w14:paraId="09D766D7" w14:textId="77777777" w:rsidR="001134EA" w:rsidRPr="0016268D" w:rsidRDefault="001134EA" w:rsidP="00793067">
            <w:pPr>
              <w:rPr>
                <w:b/>
                <w:bCs/>
                <w:sz w:val="24"/>
                <w:szCs w:val="24"/>
              </w:rPr>
            </w:pPr>
            <w:r w:rsidRPr="0016268D">
              <w:rPr>
                <w:b/>
                <w:bCs/>
                <w:sz w:val="24"/>
                <w:szCs w:val="24"/>
              </w:rPr>
              <w:t>Meget sjældne</w:t>
            </w:r>
          </w:p>
        </w:tc>
        <w:tc>
          <w:tcPr>
            <w:tcW w:w="891" w:type="pct"/>
            <w:tcBorders>
              <w:top w:val="single" w:sz="4" w:space="0" w:color="auto"/>
              <w:left w:val="single" w:sz="4" w:space="0" w:color="auto"/>
              <w:bottom w:val="single" w:sz="4" w:space="0" w:color="auto"/>
              <w:right w:val="single" w:sz="4" w:space="0" w:color="auto"/>
            </w:tcBorders>
            <w:hideMark/>
          </w:tcPr>
          <w:p w14:paraId="27910EB6" w14:textId="77777777" w:rsidR="001134EA" w:rsidRPr="0016268D" w:rsidRDefault="001134EA" w:rsidP="00793067">
            <w:pPr>
              <w:rPr>
                <w:b/>
                <w:bCs/>
                <w:sz w:val="24"/>
                <w:szCs w:val="24"/>
              </w:rPr>
            </w:pPr>
            <w:r w:rsidRPr="0016268D">
              <w:rPr>
                <w:b/>
                <w:bCs/>
                <w:sz w:val="24"/>
                <w:szCs w:val="24"/>
              </w:rPr>
              <w:t>Ikke kendte</w:t>
            </w:r>
          </w:p>
        </w:tc>
      </w:tr>
      <w:tr w:rsidR="001134EA" w:rsidRPr="00054795" w14:paraId="2B674B8B" w14:textId="77777777" w:rsidTr="00793067">
        <w:tc>
          <w:tcPr>
            <w:tcW w:w="1166" w:type="pct"/>
            <w:tcBorders>
              <w:top w:val="single" w:sz="4" w:space="0" w:color="auto"/>
              <w:left w:val="single" w:sz="4" w:space="0" w:color="auto"/>
              <w:bottom w:val="single" w:sz="4" w:space="0" w:color="auto"/>
              <w:right w:val="single" w:sz="4" w:space="0" w:color="auto"/>
            </w:tcBorders>
            <w:hideMark/>
          </w:tcPr>
          <w:p w14:paraId="07A72908" w14:textId="77777777" w:rsidR="001134EA" w:rsidRPr="00054795" w:rsidRDefault="001134EA" w:rsidP="00793067">
            <w:pPr>
              <w:rPr>
                <w:sz w:val="24"/>
                <w:szCs w:val="24"/>
              </w:rPr>
            </w:pPr>
            <w:r w:rsidRPr="00054795">
              <w:rPr>
                <w:sz w:val="24"/>
                <w:szCs w:val="24"/>
              </w:rPr>
              <w:t>Blod og lymfesystem</w:t>
            </w:r>
          </w:p>
        </w:tc>
        <w:tc>
          <w:tcPr>
            <w:tcW w:w="986" w:type="pct"/>
            <w:tcBorders>
              <w:top w:val="single" w:sz="4" w:space="0" w:color="auto"/>
              <w:left w:val="single" w:sz="4" w:space="0" w:color="auto"/>
              <w:bottom w:val="single" w:sz="4" w:space="0" w:color="auto"/>
              <w:right w:val="single" w:sz="4" w:space="0" w:color="auto"/>
            </w:tcBorders>
          </w:tcPr>
          <w:p w14:paraId="32DDDCB2" w14:textId="77777777" w:rsidR="001134EA" w:rsidRPr="00054795" w:rsidRDefault="001134EA" w:rsidP="00793067">
            <w:pPr>
              <w:rPr>
                <w:sz w:val="24"/>
                <w:szCs w:val="24"/>
              </w:rPr>
            </w:pPr>
          </w:p>
        </w:tc>
        <w:tc>
          <w:tcPr>
            <w:tcW w:w="900" w:type="pct"/>
            <w:tcBorders>
              <w:top w:val="single" w:sz="4" w:space="0" w:color="auto"/>
              <w:left w:val="single" w:sz="4" w:space="0" w:color="auto"/>
              <w:bottom w:val="single" w:sz="4" w:space="0" w:color="auto"/>
              <w:right w:val="single" w:sz="4" w:space="0" w:color="auto"/>
            </w:tcBorders>
          </w:tcPr>
          <w:p w14:paraId="04685966" w14:textId="77777777" w:rsidR="001134EA" w:rsidRPr="00054795" w:rsidRDefault="001134EA" w:rsidP="00793067">
            <w:pPr>
              <w:rPr>
                <w:sz w:val="24"/>
                <w:szCs w:val="24"/>
              </w:rPr>
            </w:pPr>
          </w:p>
        </w:tc>
        <w:tc>
          <w:tcPr>
            <w:tcW w:w="1058" w:type="pct"/>
            <w:tcBorders>
              <w:top w:val="single" w:sz="4" w:space="0" w:color="auto"/>
              <w:left w:val="single" w:sz="4" w:space="0" w:color="auto"/>
              <w:bottom w:val="single" w:sz="4" w:space="0" w:color="auto"/>
              <w:right w:val="single" w:sz="4" w:space="0" w:color="auto"/>
            </w:tcBorders>
            <w:hideMark/>
          </w:tcPr>
          <w:p w14:paraId="323A3FE3" w14:textId="77777777" w:rsidR="001134EA" w:rsidRPr="00054795" w:rsidRDefault="001134EA" w:rsidP="00793067">
            <w:pPr>
              <w:rPr>
                <w:sz w:val="24"/>
                <w:szCs w:val="24"/>
              </w:rPr>
            </w:pPr>
            <w:proofErr w:type="spellStart"/>
            <w:r w:rsidRPr="00054795">
              <w:rPr>
                <w:sz w:val="24"/>
                <w:szCs w:val="24"/>
              </w:rPr>
              <w:t>Trombocytopeni</w:t>
            </w:r>
            <w:proofErr w:type="spellEnd"/>
            <w:r w:rsidRPr="00054795">
              <w:rPr>
                <w:sz w:val="24"/>
                <w:szCs w:val="24"/>
              </w:rPr>
              <w:t>,</w:t>
            </w:r>
          </w:p>
          <w:p w14:paraId="7FB1AE88" w14:textId="77777777" w:rsidR="001134EA" w:rsidRPr="00054795" w:rsidRDefault="001134EA" w:rsidP="00793067">
            <w:pPr>
              <w:rPr>
                <w:sz w:val="24"/>
                <w:szCs w:val="24"/>
              </w:rPr>
            </w:pPr>
            <w:proofErr w:type="spellStart"/>
            <w:r w:rsidRPr="00054795">
              <w:rPr>
                <w:sz w:val="24"/>
                <w:szCs w:val="24"/>
              </w:rPr>
              <w:t>leukopeni</w:t>
            </w:r>
            <w:proofErr w:type="spellEnd"/>
            <w:r w:rsidRPr="00054795">
              <w:rPr>
                <w:sz w:val="24"/>
                <w:szCs w:val="24"/>
              </w:rPr>
              <w:t xml:space="preserve">, </w:t>
            </w:r>
            <w:proofErr w:type="spellStart"/>
            <w:r w:rsidRPr="00054795">
              <w:rPr>
                <w:sz w:val="24"/>
                <w:szCs w:val="24"/>
              </w:rPr>
              <w:t>neutropeni</w:t>
            </w:r>
            <w:proofErr w:type="spellEnd"/>
            <w:r w:rsidRPr="00054795">
              <w:rPr>
                <w:sz w:val="24"/>
                <w:szCs w:val="24"/>
              </w:rPr>
              <w:t xml:space="preserve">, </w:t>
            </w:r>
            <w:proofErr w:type="spellStart"/>
            <w:r w:rsidRPr="00054795">
              <w:rPr>
                <w:sz w:val="24"/>
                <w:szCs w:val="24"/>
              </w:rPr>
              <w:t>agranulocytose</w:t>
            </w:r>
            <w:proofErr w:type="spellEnd"/>
          </w:p>
        </w:tc>
        <w:tc>
          <w:tcPr>
            <w:tcW w:w="891" w:type="pct"/>
            <w:tcBorders>
              <w:top w:val="single" w:sz="4" w:space="0" w:color="auto"/>
              <w:left w:val="single" w:sz="4" w:space="0" w:color="auto"/>
              <w:bottom w:val="single" w:sz="4" w:space="0" w:color="auto"/>
              <w:right w:val="single" w:sz="4" w:space="0" w:color="auto"/>
            </w:tcBorders>
          </w:tcPr>
          <w:p w14:paraId="5E818F67" w14:textId="77777777" w:rsidR="001134EA" w:rsidRPr="00054795" w:rsidRDefault="001134EA" w:rsidP="00793067">
            <w:pPr>
              <w:rPr>
                <w:sz w:val="24"/>
                <w:szCs w:val="24"/>
              </w:rPr>
            </w:pPr>
          </w:p>
        </w:tc>
      </w:tr>
      <w:tr w:rsidR="001134EA" w:rsidRPr="00054795" w14:paraId="487E4922" w14:textId="77777777" w:rsidTr="00793067">
        <w:tc>
          <w:tcPr>
            <w:tcW w:w="1166" w:type="pct"/>
            <w:tcBorders>
              <w:top w:val="single" w:sz="4" w:space="0" w:color="auto"/>
              <w:left w:val="single" w:sz="4" w:space="0" w:color="auto"/>
              <w:bottom w:val="single" w:sz="4" w:space="0" w:color="auto"/>
              <w:right w:val="single" w:sz="4" w:space="0" w:color="auto"/>
            </w:tcBorders>
            <w:hideMark/>
          </w:tcPr>
          <w:p w14:paraId="34C9E744" w14:textId="77777777" w:rsidR="001134EA" w:rsidRPr="00054795" w:rsidRDefault="001134EA" w:rsidP="00793067">
            <w:pPr>
              <w:rPr>
                <w:sz w:val="24"/>
                <w:szCs w:val="24"/>
              </w:rPr>
            </w:pPr>
            <w:r w:rsidRPr="00054795">
              <w:rPr>
                <w:sz w:val="24"/>
                <w:szCs w:val="24"/>
              </w:rPr>
              <w:t>Immunsystemet</w:t>
            </w:r>
          </w:p>
        </w:tc>
        <w:tc>
          <w:tcPr>
            <w:tcW w:w="986" w:type="pct"/>
            <w:tcBorders>
              <w:top w:val="single" w:sz="4" w:space="0" w:color="auto"/>
              <w:left w:val="single" w:sz="4" w:space="0" w:color="auto"/>
              <w:bottom w:val="single" w:sz="4" w:space="0" w:color="auto"/>
              <w:right w:val="single" w:sz="4" w:space="0" w:color="auto"/>
            </w:tcBorders>
          </w:tcPr>
          <w:p w14:paraId="40B9F864" w14:textId="77777777" w:rsidR="001134EA" w:rsidRPr="00054795" w:rsidRDefault="001134EA" w:rsidP="00793067">
            <w:pPr>
              <w:rPr>
                <w:sz w:val="24"/>
                <w:szCs w:val="24"/>
              </w:rPr>
            </w:pPr>
          </w:p>
        </w:tc>
        <w:tc>
          <w:tcPr>
            <w:tcW w:w="900" w:type="pct"/>
            <w:tcBorders>
              <w:top w:val="single" w:sz="4" w:space="0" w:color="auto"/>
              <w:left w:val="single" w:sz="4" w:space="0" w:color="auto"/>
              <w:bottom w:val="single" w:sz="4" w:space="0" w:color="auto"/>
              <w:right w:val="single" w:sz="4" w:space="0" w:color="auto"/>
            </w:tcBorders>
          </w:tcPr>
          <w:p w14:paraId="397AE241" w14:textId="77777777" w:rsidR="001134EA" w:rsidRPr="00054795" w:rsidRDefault="001134EA" w:rsidP="00793067">
            <w:pPr>
              <w:rPr>
                <w:sz w:val="24"/>
                <w:szCs w:val="24"/>
              </w:rPr>
            </w:pPr>
          </w:p>
        </w:tc>
        <w:tc>
          <w:tcPr>
            <w:tcW w:w="1058" w:type="pct"/>
            <w:tcBorders>
              <w:top w:val="single" w:sz="4" w:space="0" w:color="auto"/>
              <w:left w:val="single" w:sz="4" w:space="0" w:color="auto"/>
              <w:bottom w:val="single" w:sz="4" w:space="0" w:color="auto"/>
              <w:right w:val="single" w:sz="4" w:space="0" w:color="auto"/>
            </w:tcBorders>
            <w:hideMark/>
          </w:tcPr>
          <w:p w14:paraId="3A46ADDB" w14:textId="77777777" w:rsidR="001134EA" w:rsidRPr="00054795" w:rsidRDefault="001134EA" w:rsidP="00793067">
            <w:pPr>
              <w:rPr>
                <w:sz w:val="24"/>
                <w:szCs w:val="24"/>
              </w:rPr>
            </w:pPr>
            <w:proofErr w:type="spellStart"/>
            <w:r w:rsidRPr="00054795">
              <w:rPr>
                <w:sz w:val="24"/>
                <w:szCs w:val="24"/>
              </w:rPr>
              <w:t>Anafylaktisk</w:t>
            </w:r>
            <w:proofErr w:type="spellEnd"/>
            <w:r w:rsidRPr="00054795">
              <w:rPr>
                <w:sz w:val="24"/>
                <w:szCs w:val="24"/>
              </w:rPr>
              <w:t xml:space="preserve"> </w:t>
            </w:r>
            <w:proofErr w:type="spellStart"/>
            <w:r w:rsidRPr="00054795">
              <w:rPr>
                <w:sz w:val="24"/>
                <w:szCs w:val="24"/>
              </w:rPr>
              <w:t>shock</w:t>
            </w:r>
            <w:proofErr w:type="spellEnd"/>
            <w:r w:rsidRPr="00054795">
              <w:rPr>
                <w:sz w:val="24"/>
                <w:szCs w:val="24"/>
              </w:rPr>
              <w:t xml:space="preserve">*, </w:t>
            </w:r>
          </w:p>
          <w:p w14:paraId="44888705" w14:textId="77777777" w:rsidR="001134EA" w:rsidRPr="00054795" w:rsidRDefault="001134EA" w:rsidP="00793067">
            <w:pPr>
              <w:rPr>
                <w:sz w:val="24"/>
                <w:szCs w:val="24"/>
              </w:rPr>
            </w:pPr>
            <w:r w:rsidRPr="00054795">
              <w:rPr>
                <w:sz w:val="24"/>
                <w:szCs w:val="24"/>
              </w:rPr>
              <w:t xml:space="preserve">overfølsomheds-reaktion*, </w:t>
            </w:r>
            <w:proofErr w:type="spellStart"/>
            <w:r w:rsidRPr="00054795">
              <w:rPr>
                <w:sz w:val="24"/>
                <w:szCs w:val="24"/>
              </w:rPr>
              <w:t>bronkospasmer</w:t>
            </w:r>
            <w:proofErr w:type="spellEnd"/>
            <w:r w:rsidRPr="00054795">
              <w:rPr>
                <w:sz w:val="24"/>
                <w:szCs w:val="24"/>
              </w:rPr>
              <w:t xml:space="preserve">* </w:t>
            </w:r>
          </w:p>
        </w:tc>
        <w:tc>
          <w:tcPr>
            <w:tcW w:w="891" w:type="pct"/>
            <w:tcBorders>
              <w:top w:val="single" w:sz="4" w:space="0" w:color="auto"/>
              <w:left w:val="single" w:sz="4" w:space="0" w:color="auto"/>
              <w:bottom w:val="single" w:sz="4" w:space="0" w:color="auto"/>
              <w:right w:val="single" w:sz="4" w:space="0" w:color="auto"/>
            </w:tcBorders>
          </w:tcPr>
          <w:p w14:paraId="44B0AA33" w14:textId="77777777" w:rsidR="001134EA" w:rsidRPr="00054795" w:rsidRDefault="001134EA" w:rsidP="00793067">
            <w:pPr>
              <w:rPr>
                <w:sz w:val="24"/>
                <w:szCs w:val="24"/>
              </w:rPr>
            </w:pPr>
          </w:p>
        </w:tc>
      </w:tr>
      <w:tr w:rsidR="001134EA" w:rsidRPr="00054795" w14:paraId="6DC5837F" w14:textId="77777777" w:rsidTr="00793067">
        <w:tc>
          <w:tcPr>
            <w:tcW w:w="1166" w:type="pct"/>
            <w:tcBorders>
              <w:top w:val="single" w:sz="4" w:space="0" w:color="auto"/>
              <w:left w:val="single" w:sz="4" w:space="0" w:color="auto"/>
              <w:bottom w:val="single" w:sz="4" w:space="0" w:color="auto"/>
              <w:right w:val="single" w:sz="4" w:space="0" w:color="auto"/>
            </w:tcBorders>
            <w:hideMark/>
          </w:tcPr>
          <w:p w14:paraId="2FC878B1" w14:textId="77777777" w:rsidR="001134EA" w:rsidRPr="00054795" w:rsidRDefault="001134EA" w:rsidP="00793067">
            <w:pPr>
              <w:rPr>
                <w:sz w:val="24"/>
                <w:szCs w:val="24"/>
              </w:rPr>
            </w:pPr>
            <w:r w:rsidRPr="00054795">
              <w:rPr>
                <w:sz w:val="24"/>
                <w:szCs w:val="24"/>
              </w:rPr>
              <w:t>Metabolisme og ernæring</w:t>
            </w:r>
          </w:p>
        </w:tc>
        <w:tc>
          <w:tcPr>
            <w:tcW w:w="986" w:type="pct"/>
            <w:tcBorders>
              <w:top w:val="single" w:sz="4" w:space="0" w:color="auto"/>
              <w:left w:val="single" w:sz="4" w:space="0" w:color="auto"/>
              <w:bottom w:val="single" w:sz="4" w:space="0" w:color="auto"/>
              <w:right w:val="single" w:sz="4" w:space="0" w:color="auto"/>
            </w:tcBorders>
          </w:tcPr>
          <w:p w14:paraId="38CAE1E3" w14:textId="77777777" w:rsidR="001134EA" w:rsidRPr="00054795" w:rsidRDefault="001134EA" w:rsidP="00793067">
            <w:pPr>
              <w:rPr>
                <w:sz w:val="24"/>
                <w:szCs w:val="24"/>
              </w:rPr>
            </w:pPr>
          </w:p>
        </w:tc>
        <w:tc>
          <w:tcPr>
            <w:tcW w:w="900" w:type="pct"/>
            <w:tcBorders>
              <w:top w:val="single" w:sz="4" w:space="0" w:color="auto"/>
              <w:left w:val="single" w:sz="4" w:space="0" w:color="auto"/>
              <w:bottom w:val="single" w:sz="4" w:space="0" w:color="auto"/>
              <w:right w:val="single" w:sz="4" w:space="0" w:color="auto"/>
            </w:tcBorders>
          </w:tcPr>
          <w:p w14:paraId="5A489529" w14:textId="77777777" w:rsidR="001134EA" w:rsidRPr="00054795" w:rsidRDefault="001134EA" w:rsidP="00793067">
            <w:pPr>
              <w:rPr>
                <w:sz w:val="24"/>
                <w:szCs w:val="24"/>
              </w:rPr>
            </w:pPr>
          </w:p>
        </w:tc>
        <w:tc>
          <w:tcPr>
            <w:tcW w:w="1058" w:type="pct"/>
            <w:tcBorders>
              <w:top w:val="single" w:sz="4" w:space="0" w:color="auto"/>
              <w:left w:val="single" w:sz="4" w:space="0" w:color="auto"/>
              <w:bottom w:val="single" w:sz="4" w:space="0" w:color="auto"/>
              <w:right w:val="single" w:sz="4" w:space="0" w:color="auto"/>
            </w:tcBorders>
            <w:hideMark/>
          </w:tcPr>
          <w:p w14:paraId="2D8F1B9D" w14:textId="77777777" w:rsidR="001134EA" w:rsidRPr="00054795" w:rsidRDefault="001134EA" w:rsidP="00793067">
            <w:pPr>
              <w:rPr>
                <w:sz w:val="24"/>
                <w:szCs w:val="24"/>
              </w:rPr>
            </w:pPr>
          </w:p>
        </w:tc>
        <w:tc>
          <w:tcPr>
            <w:tcW w:w="891" w:type="pct"/>
            <w:tcBorders>
              <w:top w:val="single" w:sz="4" w:space="0" w:color="auto"/>
              <w:left w:val="single" w:sz="4" w:space="0" w:color="auto"/>
              <w:bottom w:val="single" w:sz="4" w:space="0" w:color="auto"/>
              <w:right w:val="single" w:sz="4" w:space="0" w:color="auto"/>
            </w:tcBorders>
            <w:hideMark/>
          </w:tcPr>
          <w:p w14:paraId="66232814" w14:textId="77777777" w:rsidR="001134EA" w:rsidRPr="00054795" w:rsidRDefault="001134EA" w:rsidP="00793067">
            <w:pPr>
              <w:rPr>
                <w:sz w:val="24"/>
                <w:szCs w:val="24"/>
              </w:rPr>
            </w:pPr>
            <w:r w:rsidRPr="00054795">
              <w:rPr>
                <w:sz w:val="24"/>
                <w:szCs w:val="24"/>
              </w:rPr>
              <w:t>Metabolisk acidose med højt anion-</w:t>
            </w:r>
            <w:proofErr w:type="spellStart"/>
            <w:r w:rsidRPr="00054795">
              <w:rPr>
                <w:sz w:val="24"/>
                <w:szCs w:val="24"/>
              </w:rPr>
              <w:t>gap</w:t>
            </w:r>
            <w:proofErr w:type="spellEnd"/>
            <w:r w:rsidRPr="00054795">
              <w:rPr>
                <w:sz w:val="24"/>
                <w:szCs w:val="24"/>
              </w:rPr>
              <w:t xml:space="preserve"> (HAGMA)**</w:t>
            </w:r>
          </w:p>
        </w:tc>
      </w:tr>
      <w:tr w:rsidR="001134EA" w:rsidRPr="00054795" w14:paraId="6EDBD225" w14:textId="77777777" w:rsidTr="00793067">
        <w:tc>
          <w:tcPr>
            <w:tcW w:w="1166" w:type="pct"/>
            <w:tcBorders>
              <w:top w:val="single" w:sz="4" w:space="0" w:color="auto"/>
              <w:left w:val="single" w:sz="4" w:space="0" w:color="auto"/>
              <w:bottom w:val="single" w:sz="4" w:space="0" w:color="auto"/>
              <w:right w:val="single" w:sz="4" w:space="0" w:color="auto"/>
            </w:tcBorders>
            <w:hideMark/>
          </w:tcPr>
          <w:p w14:paraId="4D527F1F" w14:textId="77777777" w:rsidR="001134EA" w:rsidRPr="00054795" w:rsidRDefault="001134EA" w:rsidP="00793067">
            <w:pPr>
              <w:rPr>
                <w:sz w:val="24"/>
                <w:szCs w:val="24"/>
              </w:rPr>
            </w:pPr>
            <w:r w:rsidRPr="00054795">
              <w:rPr>
                <w:sz w:val="24"/>
                <w:szCs w:val="24"/>
              </w:rPr>
              <w:t>Hjerte</w:t>
            </w:r>
          </w:p>
        </w:tc>
        <w:tc>
          <w:tcPr>
            <w:tcW w:w="986" w:type="pct"/>
            <w:tcBorders>
              <w:top w:val="single" w:sz="4" w:space="0" w:color="auto"/>
              <w:left w:val="single" w:sz="4" w:space="0" w:color="auto"/>
              <w:bottom w:val="single" w:sz="4" w:space="0" w:color="auto"/>
              <w:right w:val="single" w:sz="4" w:space="0" w:color="auto"/>
            </w:tcBorders>
          </w:tcPr>
          <w:p w14:paraId="70E395F6" w14:textId="77777777" w:rsidR="001134EA" w:rsidRPr="00054795" w:rsidRDefault="001134EA" w:rsidP="00793067">
            <w:pPr>
              <w:rPr>
                <w:sz w:val="24"/>
                <w:szCs w:val="24"/>
              </w:rPr>
            </w:pPr>
          </w:p>
        </w:tc>
        <w:tc>
          <w:tcPr>
            <w:tcW w:w="900" w:type="pct"/>
            <w:tcBorders>
              <w:top w:val="single" w:sz="4" w:space="0" w:color="auto"/>
              <w:left w:val="single" w:sz="4" w:space="0" w:color="auto"/>
              <w:bottom w:val="single" w:sz="4" w:space="0" w:color="auto"/>
              <w:right w:val="single" w:sz="4" w:space="0" w:color="auto"/>
            </w:tcBorders>
          </w:tcPr>
          <w:p w14:paraId="65FCE611" w14:textId="77777777" w:rsidR="001134EA" w:rsidRPr="00054795" w:rsidRDefault="001134EA" w:rsidP="00793067">
            <w:pPr>
              <w:rPr>
                <w:sz w:val="24"/>
                <w:szCs w:val="24"/>
              </w:rPr>
            </w:pPr>
          </w:p>
        </w:tc>
        <w:tc>
          <w:tcPr>
            <w:tcW w:w="1058" w:type="pct"/>
            <w:tcBorders>
              <w:top w:val="single" w:sz="4" w:space="0" w:color="auto"/>
              <w:left w:val="single" w:sz="4" w:space="0" w:color="auto"/>
              <w:bottom w:val="single" w:sz="4" w:space="0" w:color="auto"/>
              <w:right w:val="single" w:sz="4" w:space="0" w:color="auto"/>
            </w:tcBorders>
          </w:tcPr>
          <w:p w14:paraId="32130300" w14:textId="77777777" w:rsidR="001134EA" w:rsidRPr="00054795" w:rsidRDefault="001134EA" w:rsidP="00793067">
            <w:pPr>
              <w:rPr>
                <w:sz w:val="24"/>
                <w:szCs w:val="24"/>
              </w:rPr>
            </w:pPr>
          </w:p>
        </w:tc>
        <w:tc>
          <w:tcPr>
            <w:tcW w:w="891" w:type="pct"/>
            <w:tcBorders>
              <w:top w:val="single" w:sz="4" w:space="0" w:color="auto"/>
              <w:left w:val="single" w:sz="4" w:space="0" w:color="auto"/>
              <w:bottom w:val="single" w:sz="4" w:space="0" w:color="auto"/>
              <w:right w:val="single" w:sz="4" w:space="0" w:color="auto"/>
            </w:tcBorders>
            <w:hideMark/>
          </w:tcPr>
          <w:p w14:paraId="1E66F543" w14:textId="77777777" w:rsidR="001134EA" w:rsidRPr="00054795" w:rsidRDefault="001134EA" w:rsidP="00793067">
            <w:pPr>
              <w:rPr>
                <w:sz w:val="24"/>
                <w:szCs w:val="24"/>
              </w:rPr>
            </w:pPr>
            <w:proofErr w:type="spellStart"/>
            <w:r w:rsidRPr="00054795">
              <w:rPr>
                <w:sz w:val="24"/>
                <w:szCs w:val="24"/>
              </w:rPr>
              <w:t>Takykardi</w:t>
            </w:r>
            <w:proofErr w:type="spellEnd"/>
          </w:p>
        </w:tc>
      </w:tr>
      <w:tr w:rsidR="001134EA" w:rsidRPr="00054795" w14:paraId="02421EF1" w14:textId="77777777" w:rsidTr="00793067">
        <w:tc>
          <w:tcPr>
            <w:tcW w:w="1166" w:type="pct"/>
            <w:tcBorders>
              <w:top w:val="single" w:sz="4" w:space="0" w:color="auto"/>
              <w:left w:val="single" w:sz="4" w:space="0" w:color="auto"/>
              <w:bottom w:val="single" w:sz="4" w:space="0" w:color="auto"/>
              <w:right w:val="single" w:sz="4" w:space="0" w:color="auto"/>
            </w:tcBorders>
            <w:hideMark/>
          </w:tcPr>
          <w:p w14:paraId="0219C83C" w14:textId="77777777" w:rsidR="001134EA" w:rsidRPr="00054795" w:rsidRDefault="001134EA" w:rsidP="00793067">
            <w:pPr>
              <w:rPr>
                <w:sz w:val="24"/>
                <w:szCs w:val="24"/>
              </w:rPr>
            </w:pPr>
            <w:r w:rsidRPr="00054795">
              <w:rPr>
                <w:sz w:val="24"/>
                <w:szCs w:val="24"/>
              </w:rPr>
              <w:t>Vaskulære sygdomme</w:t>
            </w:r>
          </w:p>
        </w:tc>
        <w:tc>
          <w:tcPr>
            <w:tcW w:w="986" w:type="pct"/>
            <w:tcBorders>
              <w:top w:val="single" w:sz="4" w:space="0" w:color="auto"/>
              <w:left w:val="single" w:sz="4" w:space="0" w:color="auto"/>
              <w:bottom w:val="single" w:sz="4" w:space="0" w:color="auto"/>
              <w:right w:val="single" w:sz="4" w:space="0" w:color="auto"/>
            </w:tcBorders>
          </w:tcPr>
          <w:p w14:paraId="322363C4" w14:textId="77777777" w:rsidR="001134EA" w:rsidRPr="00054795" w:rsidRDefault="001134EA" w:rsidP="00793067">
            <w:pPr>
              <w:rPr>
                <w:sz w:val="24"/>
                <w:szCs w:val="24"/>
              </w:rPr>
            </w:pPr>
          </w:p>
        </w:tc>
        <w:tc>
          <w:tcPr>
            <w:tcW w:w="900" w:type="pct"/>
            <w:tcBorders>
              <w:top w:val="single" w:sz="4" w:space="0" w:color="auto"/>
              <w:left w:val="single" w:sz="4" w:space="0" w:color="auto"/>
              <w:bottom w:val="single" w:sz="4" w:space="0" w:color="auto"/>
              <w:right w:val="single" w:sz="4" w:space="0" w:color="auto"/>
            </w:tcBorders>
            <w:hideMark/>
          </w:tcPr>
          <w:p w14:paraId="12B71200" w14:textId="77777777" w:rsidR="001134EA" w:rsidRPr="00054795" w:rsidRDefault="001134EA" w:rsidP="00793067">
            <w:pPr>
              <w:rPr>
                <w:sz w:val="24"/>
                <w:szCs w:val="24"/>
              </w:rPr>
            </w:pPr>
            <w:r w:rsidRPr="00054795">
              <w:rPr>
                <w:sz w:val="24"/>
                <w:szCs w:val="24"/>
              </w:rPr>
              <w:t>Hypotension</w:t>
            </w:r>
          </w:p>
        </w:tc>
        <w:tc>
          <w:tcPr>
            <w:tcW w:w="1058" w:type="pct"/>
            <w:tcBorders>
              <w:top w:val="single" w:sz="4" w:space="0" w:color="auto"/>
              <w:left w:val="single" w:sz="4" w:space="0" w:color="auto"/>
              <w:bottom w:val="single" w:sz="4" w:space="0" w:color="auto"/>
              <w:right w:val="single" w:sz="4" w:space="0" w:color="auto"/>
            </w:tcBorders>
          </w:tcPr>
          <w:p w14:paraId="143A5289" w14:textId="77777777" w:rsidR="001134EA" w:rsidRPr="00054795" w:rsidRDefault="001134EA" w:rsidP="00793067">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14:paraId="1C7CFEA7" w14:textId="77777777" w:rsidR="001134EA" w:rsidRPr="00054795" w:rsidRDefault="001134EA" w:rsidP="00793067">
            <w:pPr>
              <w:rPr>
                <w:sz w:val="24"/>
                <w:szCs w:val="24"/>
              </w:rPr>
            </w:pPr>
          </w:p>
        </w:tc>
      </w:tr>
      <w:tr w:rsidR="001134EA" w:rsidRPr="00054795" w14:paraId="01503EE2" w14:textId="77777777" w:rsidTr="00793067">
        <w:tc>
          <w:tcPr>
            <w:tcW w:w="1166" w:type="pct"/>
            <w:tcBorders>
              <w:top w:val="single" w:sz="4" w:space="0" w:color="auto"/>
              <w:left w:val="single" w:sz="4" w:space="0" w:color="auto"/>
              <w:bottom w:val="single" w:sz="4" w:space="0" w:color="auto"/>
              <w:right w:val="single" w:sz="4" w:space="0" w:color="auto"/>
            </w:tcBorders>
            <w:hideMark/>
          </w:tcPr>
          <w:p w14:paraId="3DA9C7F6" w14:textId="77777777" w:rsidR="001134EA" w:rsidRPr="00054795" w:rsidRDefault="001134EA" w:rsidP="00793067">
            <w:pPr>
              <w:rPr>
                <w:sz w:val="24"/>
                <w:szCs w:val="24"/>
              </w:rPr>
            </w:pPr>
            <w:r w:rsidRPr="00054795">
              <w:rPr>
                <w:sz w:val="24"/>
                <w:szCs w:val="24"/>
              </w:rPr>
              <w:t>Hud og subkutane væv</w:t>
            </w:r>
          </w:p>
        </w:tc>
        <w:tc>
          <w:tcPr>
            <w:tcW w:w="986" w:type="pct"/>
            <w:tcBorders>
              <w:top w:val="single" w:sz="4" w:space="0" w:color="auto"/>
              <w:left w:val="single" w:sz="4" w:space="0" w:color="auto"/>
              <w:bottom w:val="single" w:sz="4" w:space="0" w:color="auto"/>
              <w:right w:val="single" w:sz="4" w:space="0" w:color="auto"/>
            </w:tcBorders>
          </w:tcPr>
          <w:p w14:paraId="3568FBFE" w14:textId="77777777" w:rsidR="001134EA" w:rsidRPr="00054795" w:rsidRDefault="001134EA" w:rsidP="00793067">
            <w:pPr>
              <w:rPr>
                <w:sz w:val="24"/>
                <w:szCs w:val="24"/>
              </w:rPr>
            </w:pPr>
          </w:p>
        </w:tc>
        <w:tc>
          <w:tcPr>
            <w:tcW w:w="900" w:type="pct"/>
            <w:tcBorders>
              <w:top w:val="single" w:sz="4" w:space="0" w:color="auto"/>
              <w:left w:val="single" w:sz="4" w:space="0" w:color="auto"/>
              <w:bottom w:val="single" w:sz="4" w:space="0" w:color="auto"/>
              <w:right w:val="single" w:sz="4" w:space="0" w:color="auto"/>
            </w:tcBorders>
          </w:tcPr>
          <w:p w14:paraId="1797FEAA" w14:textId="77777777" w:rsidR="001134EA" w:rsidRPr="00054795" w:rsidRDefault="001134EA" w:rsidP="00793067">
            <w:pPr>
              <w:rPr>
                <w:sz w:val="24"/>
                <w:szCs w:val="24"/>
              </w:rPr>
            </w:pPr>
          </w:p>
        </w:tc>
        <w:tc>
          <w:tcPr>
            <w:tcW w:w="1058" w:type="pct"/>
            <w:tcBorders>
              <w:top w:val="single" w:sz="4" w:space="0" w:color="auto"/>
              <w:left w:val="single" w:sz="4" w:space="0" w:color="auto"/>
              <w:bottom w:val="single" w:sz="4" w:space="0" w:color="auto"/>
              <w:right w:val="single" w:sz="4" w:space="0" w:color="auto"/>
            </w:tcBorders>
          </w:tcPr>
          <w:p w14:paraId="3D118CDC" w14:textId="77777777" w:rsidR="001134EA" w:rsidRPr="00054795" w:rsidRDefault="001134EA" w:rsidP="00793067">
            <w:pPr>
              <w:rPr>
                <w:sz w:val="24"/>
                <w:szCs w:val="24"/>
              </w:rPr>
            </w:pPr>
            <w:r w:rsidRPr="00054795">
              <w:rPr>
                <w:sz w:val="24"/>
                <w:szCs w:val="24"/>
              </w:rPr>
              <w:t xml:space="preserve">Alvorlige hudreaktioner***, </w:t>
            </w:r>
          </w:p>
          <w:p w14:paraId="6555AA3D" w14:textId="77777777" w:rsidR="001134EA" w:rsidRPr="00054795" w:rsidRDefault="001134EA" w:rsidP="00793067">
            <w:pPr>
              <w:rPr>
                <w:sz w:val="24"/>
                <w:szCs w:val="24"/>
              </w:rPr>
            </w:pPr>
            <w:r w:rsidRPr="00054795">
              <w:rPr>
                <w:sz w:val="24"/>
                <w:szCs w:val="24"/>
              </w:rPr>
              <w:t>udslæt*, urticaria*</w:t>
            </w:r>
          </w:p>
          <w:p w14:paraId="2270C998" w14:textId="77777777" w:rsidR="001134EA" w:rsidRPr="00054795" w:rsidRDefault="001134EA" w:rsidP="00793067">
            <w:pPr>
              <w:rPr>
                <w:sz w:val="24"/>
                <w:szCs w:val="24"/>
              </w:rPr>
            </w:pPr>
          </w:p>
        </w:tc>
        <w:tc>
          <w:tcPr>
            <w:tcW w:w="891" w:type="pct"/>
            <w:tcBorders>
              <w:top w:val="single" w:sz="4" w:space="0" w:color="auto"/>
              <w:left w:val="single" w:sz="4" w:space="0" w:color="auto"/>
              <w:bottom w:val="single" w:sz="4" w:space="0" w:color="auto"/>
              <w:right w:val="single" w:sz="4" w:space="0" w:color="auto"/>
            </w:tcBorders>
            <w:hideMark/>
          </w:tcPr>
          <w:p w14:paraId="5BF2811E" w14:textId="77777777" w:rsidR="001134EA" w:rsidRPr="00054795" w:rsidRDefault="001134EA" w:rsidP="00793067">
            <w:pPr>
              <w:rPr>
                <w:sz w:val="24"/>
                <w:szCs w:val="24"/>
              </w:rPr>
            </w:pPr>
            <w:proofErr w:type="spellStart"/>
            <w:r w:rsidRPr="00054795">
              <w:rPr>
                <w:sz w:val="24"/>
                <w:szCs w:val="24"/>
              </w:rPr>
              <w:t>Erythema</w:t>
            </w:r>
            <w:proofErr w:type="spellEnd"/>
            <w:r w:rsidRPr="00054795">
              <w:rPr>
                <w:sz w:val="24"/>
                <w:szCs w:val="24"/>
              </w:rPr>
              <w:t>, rødmen, kløen</w:t>
            </w:r>
          </w:p>
        </w:tc>
      </w:tr>
      <w:tr w:rsidR="001134EA" w:rsidRPr="00054795" w14:paraId="14E163DE" w14:textId="77777777" w:rsidTr="00793067">
        <w:tc>
          <w:tcPr>
            <w:tcW w:w="1166" w:type="pct"/>
            <w:tcBorders>
              <w:top w:val="single" w:sz="4" w:space="0" w:color="auto"/>
              <w:left w:val="single" w:sz="4" w:space="0" w:color="auto"/>
              <w:bottom w:val="single" w:sz="4" w:space="0" w:color="auto"/>
              <w:right w:val="single" w:sz="4" w:space="0" w:color="auto"/>
            </w:tcBorders>
            <w:hideMark/>
          </w:tcPr>
          <w:p w14:paraId="7E89158D" w14:textId="77777777" w:rsidR="001134EA" w:rsidRPr="00054795" w:rsidRDefault="001134EA" w:rsidP="00793067">
            <w:pPr>
              <w:rPr>
                <w:sz w:val="24"/>
                <w:szCs w:val="24"/>
              </w:rPr>
            </w:pPr>
            <w:r w:rsidRPr="00054795">
              <w:rPr>
                <w:sz w:val="24"/>
                <w:szCs w:val="24"/>
              </w:rPr>
              <w:t>Almene symptomer og reaktioner på administrationsstedet</w:t>
            </w:r>
          </w:p>
        </w:tc>
        <w:tc>
          <w:tcPr>
            <w:tcW w:w="986" w:type="pct"/>
            <w:tcBorders>
              <w:top w:val="single" w:sz="4" w:space="0" w:color="auto"/>
              <w:left w:val="single" w:sz="4" w:space="0" w:color="auto"/>
              <w:bottom w:val="single" w:sz="4" w:space="0" w:color="auto"/>
              <w:right w:val="single" w:sz="4" w:space="0" w:color="auto"/>
            </w:tcBorders>
            <w:hideMark/>
          </w:tcPr>
          <w:p w14:paraId="6C0CBDEE" w14:textId="77777777" w:rsidR="001134EA" w:rsidRPr="00054795" w:rsidRDefault="001134EA" w:rsidP="00793067">
            <w:pPr>
              <w:rPr>
                <w:sz w:val="24"/>
                <w:szCs w:val="24"/>
              </w:rPr>
            </w:pPr>
            <w:r w:rsidRPr="00054795">
              <w:rPr>
                <w:sz w:val="24"/>
                <w:szCs w:val="24"/>
              </w:rPr>
              <w:t>Reaktion på administrations-stedet (smerte og brændende fornemmelse)</w:t>
            </w:r>
          </w:p>
        </w:tc>
        <w:tc>
          <w:tcPr>
            <w:tcW w:w="900" w:type="pct"/>
            <w:tcBorders>
              <w:top w:val="single" w:sz="4" w:space="0" w:color="auto"/>
              <w:left w:val="single" w:sz="4" w:space="0" w:color="auto"/>
              <w:bottom w:val="single" w:sz="4" w:space="0" w:color="auto"/>
              <w:right w:val="single" w:sz="4" w:space="0" w:color="auto"/>
            </w:tcBorders>
            <w:hideMark/>
          </w:tcPr>
          <w:p w14:paraId="3FDF34A5" w14:textId="77777777" w:rsidR="001134EA" w:rsidRPr="00054795" w:rsidRDefault="001134EA" w:rsidP="00793067">
            <w:pPr>
              <w:rPr>
                <w:sz w:val="24"/>
                <w:szCs w:val="24"/>
              </w:rPr>
            </w:pPr>
            <w:r w:rsidRPr="00054795">
              <w:rPr>
                <w:sz w:val="24"/>
                <w:szCs w:val="24"/>
              </w:rPr>
              <w:t>Utilpashed</w:t>
            </w:r>
          </w:p>
        </w:tc>
        <w:tc>
          <w:tcPr>
            <w:tcW w:w="1058" w:type="pct"/>
            <w:tcBorders>
              <w:top w:val="single" w:sz="4" w:space="0" w:color="auto"/>
              <w:left w:val="single" w:sz="4" w:space="0" w:color="auto"/>
              <w:bottom w:val="single" w:sz="4" w:space="0" w:color="auto"/>
              <w:right w:val="single" w:sz="4" w:space="0" w:color="auto"/>
            </w:tcBorders>
          </w:tcPr>
          <w:p w14:paraId="70F3680B" w14:textId="77777777" w:rsidR="001134EA" w:rsidRPr="00054795" w:rsidRDefault="001134EA" w:rsidP="00793067">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14:paraId="44EB607D" w14:textId="77777777" w:rsidR="001134EA" w:rsidRPr="00054795" w:rsidRDefault="001134EA" w:rsidP="00793067">
            <w:pPr>
              <w:rPr>
                <w:sz w:val="24"/>
                <w:szCs w:val="24"/>
              </w:rPr>
            </w:pPr>
          </w:p>
        </w:tc>
      </w:tr>
      <w:tr w:rsidR="001134EA" w:rsidRPr="00054795" w14:paraId="448D57A9" w14:textId="77777777" w:rsidTr="00793067">
        <w:tc>
          <w:tcPr>
            <w:tcW w:w="1166" w:type="pct"/>
            <w:tcBorders>
              <w:top w:val="single" w:sz="4" w:space="0" w:color="auto"/>
              <w:left w:val="single" w:sz="4" w:space="0" w:color="auto"/>
              <w:bottom w:val="single" w:sz="4" w:space="0" w:color="auto"/>
              <w:right w:val="single" w:sz="4" w:space="0" w:color="auto"/>
            </w:tcBorders>
            <w:hideMark/>
          </w:tcPr>
          <w:p w14:paraId="25C107ED" w14:textId="77777777" w:rsidR="001134EA" w:rsidRPr="00054795" w:rsidRDefault="001134EA" w:rsidP="00793067">
            <w:pPr>
              <w:rPr>
                <w:sz w:val="24"/>
                <w:szCs w:val="24"/>
              </w:rPr>
            </w:pPr>
            <w:r w:rsidRPr="00054795">
              <w:rPr>
                <w:sz w:val="24"/>
                <w:szCs w:val="24"/>
              </w:rPr>
              <w:t>Undersøgelser</w:t>
            </w:r>
          </w:p>
        </w:tc>
        <w:tc>
          <w:tcPr>
            <w:tcW w:w="986" w:type="pct"/>
            <w:tcBorders>
              <w:top w:val="single" w:sz="4" w:space="0" w:color="auto"/>
              <w:left w:val="single" w:sz="4" w:space="0" w:color="auto"/>
              <w:bottom w:val="single" w:sz="4" w:space="0" w:color="auto"/>
              <w:right w:val="single" w:sz="4" w:space="0" w:color="auto"/>
            </w:tcBorders>
          </w:tcPr>
          <w:p w14:paraId="7959E57D" w14:textId="77777777" w:rsidR="001134EA" w:rsidRPr="00054795" w:rsidRDefault="001134EA" w:rsidP="00793067">
            <w:pPr>
              <w:rPr>
                <w:sz w:val="24"/>
                <w:szCs w:val="24"/>
              </w:rPr>
            </w:pPr>
          </w:p>
        </w:tc>
        <w:tc>
          <w:tcPr>
            <w:tcW w:w="900" w:type="pct"/>
            <w:tcBorders>
              <w:top w:val="single" w:sz="4" w:space="0" w:color="auto"/>
              <w:left w:val="single" w:sz="4" w:space="0" w:color="auto"/>
              <w:bottom w:val="single" w:sz="4" w:space="0" w:color="auto"/>
              <w:right w:val="single" w:sz="4" w:space="0" w:color="auto"/>
            </w:tcBorders>
            <w:hideMark/>
          </w:tcPr>
          <w:p w14:paraId="08C5D6D0" w14:textId="77777777" w:rsidR="001134EA" w:rsidRPr="00054795" w:rsidRDefault="001134EA" w:rsidP="00793067">
            <w:pPr>
              <w:rPr>
                <w:sz w:val="24"/>
                <w:szCs w:val="24"/>
              </w:rPr>
            </w:pPr>
            <w:r w:rsidRPr="00054795">
              <w:rPr>
                <w:sz w:val="24"/>
                <w:szCs w:val="24"/>
              </w:rPr>
              <w:t xml:space="preserve">Stigning i </w:t>
            </w:r>
            <w:proofErr w:type="spellStart"/>
            <w:r w:rsidRPr="00054795">
              <w:rPr>
                <w:sz w:val="24"/>
                <w:szCs w:val="24"/>
              </w:rPr>
              <w:t>transaminaser</w:t>
            </w:r>
            <w:proofErr w:type="spellEnd"/>
          </w:p>
        </w:tc>
        <w:tc>
          <w:tcPr>
            <w:tcW w:w="1058" w:type="pct"/>
            <w:tcBorders>
              <w:top w:val="single" w:sz="4" w:space="0" w:color="auto"/>
              <w:left w:val="single" w:sz="4" w:space="0" w:color="auto"/>
              <w:bottom w:val="single" w:sz="4" w:space="0" w:color="auto"/>
              <w:right w:val="single" w:sz="4" w:space="0" w:color="auto"/>
            </w:tcBorders>
          </w:tcPr>
          <w:p w14:paraId="28CE9A58" w14:textId="77777777" w:rsidR="001134EA" w:rsidRPr="00054795" w:rsidRDefault="001134EA" w:rsidP="00793067">
            <w:pPr>
              <w:rPr>
                <w:sz w:val="24"/>
                <w:szCs w:val="24"/>
              </w:rPr>
            </w:pPr>
          </w:p>
        </w:tc>
        <w:tc>
          <w:tcPr>
            <w:tcW w:w="891" w:type="pct"/>
            <w:tcBorders>
              <w:top w:val="single" w:sz="4" w:space="0" w:color="auto"/>
              <w:left w:val="single" w:sz="4" w:space="0" w:color="auto"/>
              <w:bottom w:val="single" w:sz="4" w:space="0" w:color="auto"/>
              <w:right w:val="single" w:sz="4" w:space="0" w:color="auto"/>
            </w:tcBorders>
          </w:tcPr>
          <w:p w14:paraId="1903DEF7" w14:textId="77777777" w:rsidR="001134EA" w:rsidRPr="00054795" w:rsidRDefault="001134EA" w:rsidP="00793067">
            <w:pPr>
              <w:rPr>
                <w:sz w:val="24"/>
                <w:szCs w:val="24"/>
              </w:rPr>
            </w:pPr>
          </w:p>
        </w:tc>
      </w:tr>
    </w:tbl>
    <w:p w14:paraId="39D34094" w14:textId="10856477" w:rsidR="001134EA" w:rsidRPr="001134EA" w:rsidRDefault="001134EA" w:rsidP="00793067">
      <w:pPr>
        <w:ind w:left="567" w:hanging="567"/>
        <w:rPr>
          <w:sz w:val="24"/>
          <w:szCs w:val="24"/>
        </w:rPr>
      </w:pPr>
      <w:r w:rsidRPr="001134EA">
        <w:rPr>
          <w:sz w:val="24"/>
          <w:szCs w:val="24"/>
        </w:rPr>
        <w:t>*</w:t>
      </w:r>
      <w:r w:rsidR="00793067" w:rsidRPr="00054795">
        <w:rPr>
          <w:sz w:val="24"/>
          <w:szCs w:val="24"/>
        </w:rPr>
        <w:tab/>
      </w:r>
      <w:r w:rsidRPr="001134EA">
        <w:rPr>
          <w:sz w:val="24"/>
          <w:szCs w:val="24"/>
        </w:rPr>
        <w:t xml:space="preserve">Meget sjældne tilfælde af overfølsomhedsreaktioner i form af </w:t>
      </w:r>
      <w:proofErr w:type="spellStart"/>
      <w:r w:rsidRPr="001134EA">
        <w:rPr>
          <w:sz w:val="24"/>
          <w:szCs w:val="24"/>
        </w:rPr>
        <w:t>anafylaktisk</w:t>
      </w:r>
      <w:proofErr w:type="spellEnd"/>
      <w:r w:rsidRPr="001134EA">
        <w:rPr>
          <w:sz w:val="24"/>
          <w:szCs w:val="24"/>
        </w:rPr>
        <w:t xml:space="preserve"> </w:t>
      </w:r>
      <w:proofErr w:type="spellStart"/>
      <w:r w:rsidRPr="001134EA">
        <w:rPr>
          <w:sz w:val="24"/>
          <w:szCs w:val="24"/>
        </w:rPr>
        <w:t>shock</w:t>
      </w:r>
      <w:proofErr w:type="spellEnd"/>
      <w:r w:rsidRPr="001134EA">
        <w:rPr>
          <w:sz w:val="24"/>
          <w:szCs w:val="24"/>
        </w:rPr>
        <w:t xml:space="preserve">, urticaria eller hududslæt er blevet rapporteret og kræver ophør af behandlingen. </w:t>
      </w:r>
    </w:p>
    <w:p w14:paraId="786146B4" w14:textId="686BD13D" w:rsidR="001134EA" w:rsidRPr="001134EA" w:rsidRDefault="001134EA" w:rsidP="00793067">
      <w:pPr>
        <w:ind w:left="567" w:hanging="567"/>
        <w:rPr>
          <w:sz w:val="24"/>
          <w:szCs w:val="24"/>
        </w:rPr>
      </w:pPr>
      <w:r w:rsidRPr="001134EA">
        <w:rPr>
          <w:sz w:val="24"/>
          <w:szCs w:val="24"/>
        </w:rPr>
        <w:t xml:space="preserve">** </w:t>
      </w:r>
      <w:r w:rsidR="00793067" w:rsidRPr="00054795">
        <w:rPr>
          <w:sz w:val="24"/>
          <w:szCs w:val="24"/>
        </w:rPr>
        <w:tab/>
      </w:r>
      <w:r w:rsidRPr="001134EA">
        <w:rPr>
          <w:sz w:val="24"/>
          <w:szCs w:val="24"/>
        </w:rPr>
        <w:t>Metabolisk acidose med højt anion-</w:t>
      </w:r>
      <w:proofErr w:type="spellStart"/>
      <w:r w:rsidRPr="001134EA">
        <w:rPr>
          <w:sz w:val="24"/>
          <w:szCs w:val="24"/>
        </w:rPr>
        <w:t>gap</w:t>
      </w:r>
      <w:proofErr w:type="spellEnd"/>
      <w:r w:rsidRPr="001134EA">
        <w:rPr>
          <w:sz w:val="24"/>
          <w:szCs w:val="24"/>
        </w:rPr>
        <w:t>: Hos patienter med risikofaktorer, der anvender paracetamol, er der observeret tilfælde af metabolisk acidose med højt anion-</w:t>
      </w:r>
      <w:proofErr w:type="spellStart"/>
      <w:r w:rsidRPr="001134EA">
        <w:rPr>
          <w:sz w:val="24"/>
          <w:szCs w:val="24"/>
        </w:rPr>
        <w:t>gap</w:t>
      </w:r>
      <w:proofErr w:type="spellEnd"/>
      <w:r w:rsidRPr="001134EA">
        <w:rPr>
          <w:sz w:val="24"/>
          <w:szCs w:val="24"/>
        </w:rPr>
        <w:t xml:space="preserve"> som følge af </w:t>
      </w:r>
      <w:proofErr w:type="spellStart"/>
      <w:r w:rsidRPr="001134EA">
        <w:rPr>
          <w:sz w:val="24"/>
          <w:szCs w:val="24"/>
        </w:rPr>
        <w:t>pyroglutaminacidose</w:t>
      </w:r>
      <w:proofErr w:type="spellEnd"/>
      <w:r w:rsidRPr="001134EA">
        <w:rPr>
          <w:sz w:val="24"/>
          <w:szCs w:val="24"/>
        </w:rPr>
        <w:t xml:space="preserve"> (se pkt. 4.4). </w:t>
      </w:r>
      <w:proofErr w:type="spellStart"/>
      <w:r w:rsidRPr="001134EA">
        <w:rPr>
          <w:sz w:val="24"/>
          <w:szCs w:val="24"/>
        </w:rPr>
        <w:t>Pyroglutaminacidose</w:t>
      </w:r>
      <w:proofErr w:type="spellEnd"/>
      <w:r w:rsidRPr="001134EA">
        <w:rPr>
          <w:sz w:val="24"/>
          <w:szCs w:val="24"/>
        </w:rPr>
        <w:t xml:space="preserve"> kan forekomme som følge af lave </w:t>
      </w:r>
      <w:proofErr w:type="spellStart"/>
      <w:r w:rsidRPr="001134EA">
        <w:rPr>
          <w:sz w:val="24"/>
          <w:szCs w:val="24"/>
        </w:rPr>
        <w:t>glutathionniveauer</w:t>
      </w:r>
      <w:proofErr w:type="spellEnd"/>
      <w:r w:rsidRPr="001134EA">
        <w:rPr>
          <w:sz w:val="24"/>
          <w:szCs w:val="24"/>
        </w:rPr>
        <w:t xml:space="preserve"> hos disse patienter.  </w:t>
      </w:r>
    </w:p>
    <w:p w14:paraId="46E25888" w14:textId="0B471137" w:rsidR="001134EA" w:rsidRPr="001134EA" w:rsidRDefault="001134EA" w:rsidP="00793067">
      <w:pPr>
        <w:ind w:left="567" w:hanging="567"/>
        <w:rPr>
          <w:sz w:val="24"/>
          <w:szCs w:val="24"/>
        </w:rPr>
      </w:pPr>
      <w:r w:rsidRPr="001134EA">
        <w:rPr>
          <w:sz w:val="24"/>
          <w:szCs w:val="24"/>
        </w:rPr>
        <w:t>***</w:t>
      </w:r>
      <w:r w:rsidR="00793067" w:rsidRPr="00054795">
        <w:rPr>
          <w:sz w:val="24"/>
          <w:szCs w:val="24"/>
        </w:rPr>
        <w:tab/>
      </w:r>
      <w:r w:rsidRPr="001134EA">
        <w:rPr>
          <w:sz w:val="24"/>
          <w:szCs w:val="24"/>
        </w:rPr>
        <w:t xml:space="preserve">Meget sjældne tilfælde af alvorlige hudreaktioner er blevet rapporteret og kræver ophør af behandlingen.  </w:t>
      </w:r>
    </w:p>
    <w:p w14:paraId="746B3E08" w14:textId="77777777" w:rsidR="001134EA" w:rsidRPr="001134EA" w:rsidRDefault="001134EA" w:rsidP="00793067">
      <w:pPr>
        <w:ind w:left="851"/>
        <w:rPr>
          <w:sz w:val="24"/>
          <w:szCs w:val="24"/>
        </w:rPr>
      </w:pPr>
    </w:p>
    <w:p w14:paraId="5137B6EF" w14:textId="77777777" w:rsidR="001134EA" w:rsidRPr="001134EA" w:rsidRDefault="001134EA" w:rsidP="00793067">
      <w:pPr>
        <w:ind w:left="851"/>
        <w:rPr>
          <w:sz w:val="24"/>
          <w:szCs w:val="24"/>
        </w:rPr>
      </w:pPr>
      <w:r w:rsidRPr="001134EA">
        <w:rPr>
          <w:sz w:val="24"/>
          <w:szCs w:val="24"/>
          <w:u w:val="single"/>
        </w:rPr>
        <w:t>Indberetning af formodede bivirkninger</w:t>
      </w:r>
    </w:p>
    <w:p w14:paraId="6171DCBE" w14:textId="77777777" w:rsidR="001134EA" w:rsidRPr="001134EA" w:rsidRDefault="001134EA" w:rsidP="00793067">
      <w:pPr>
        <w:ind w:left="851"/>
        <w:rPr>
          <w:sz w:val="24"/>
          <w:szCs w:val="24"/>
        </w:rPr>
      </w:pPr>
      <w:r w:rsidRPr="001134EA">
        <w:rPr>
          <w:sz w:val="24"/>
          <w:szCs w:val="24"/>
        </w:rPr>
        <w:t>Når lægemidlet er godkendt, er indberetning af formodede bivirkninger vigtig. Det muliggør løbende overvågning af benefit/</w:t>
      </w:r>
      <w:proofErr w:type="spellStart"/>
      <w:r w:rsidRPr="001134EA">
        <w:rPr>
          <w:sz w:val="24"/>
          <w:szCs w:val="24"/>
        </w:rPr>
        <w:t>risk</w:t>
      </w:r>
      <w:proofErr w:type="spellEnd"/>
      <w:r w:rsidRPr="001134EA">
        <w:rPr>
          <w:sz w:val="24"/>
          <w:szCs w:val="24"/>
        </w:rPr>
        <w:t>-forholdet for lægemidlet. Sundhedspersoner om at indberette alle formodede bivirkninger via:</w:t>
      </w:r>
    </w:p>
    <w:p w14:paraId="682E50C5" w14:textId="77777777" w:rsidR="001134EA" w:rsidRPr="001134EA" w:rsidRDefault="001134EA" w:rsidP="00793067">
      <w:pPr>
        <w:ind w:left="851"/>
        <w:rPr>
          <w:sz w:val="24"/>
          <w:szCs w:val="24"/>
        </w:rPr>
      </w:pPr>
    </w:p>
    <w:p w14:paraId="53DD770C" w14:textId="77777777" w:rsidR="001134EA" w:rsidRPr="001134EA" w:rsidRDefault="001134EA" w:rsidP="00793067">
      <w:pPr>
        <w:ind w:left="851"/>
        <w:rPr>
          <w:sz w:val="24"/>
          <w:szCs w:val="24"/>
        </w:rPr>
      </w:pPr>
      <w:r w:rsidRPr="001134EA">
        <w:rPr>
          <w:sz w:val="24"/>
          <w:szCs w:val="24"/>
        </w:rPr>
        <w:t>Lægemiddelstyrelsen</w:t>
      </w:r>
    </w:p>
    <w:p w14:paraId="722CED42" w14:textId="77777777" w:rsidR="001134EA" w:rsidRPr="001134EA" w:rsidRDefault="001134EA" w:rsidP="00793067">
      <w:pPr>
        <w:ind w:left="851"/>
        <w:rPr>
          <w:sz w:val="24"/>
          <w:szCs w:val="24"/>
        </w:rPr>
      </w:pPr>
      <w:r w:rsidRPr="001134EA">
        <w:rPr>
          <w:sz w:val="24"/>
          <w:szCs w:val="24"/>
        </w:rPr>
        <w:t>Axel Heides Gade 1</w:t>
      </w:r>
    </w:p>
    <w:p w14:paraId="4096FE61" w14:textId="77777777" w:rsidR="001134EA" w:rsidRPr="001134EA" w:rsidRDefault="001134EA" w:rsidP="00793067">
      <w:pPr>
        <w:ind w:left="851"/>
        <w:rPr>
          <w:sz w:val="24"/>
          <w:szCs w:val="24"/>
        </w:rPr>
      </w:pPr>
      <w:r w:rsidRPr="001134EA">
        <w:rPr>
          <w:sz w:val="24"/>
          <w:szCs w:val="24"/>
        </w:rPr>
        <w:t>DK-2300 København S</w:t>
      </w:r>
    </w:p>
    <w:p w14:paraId="7BA99D63" w14:textId="77777777" w:rsidR="001134EA" w:rsidRPr="001134EA" w:rsidRDefault="001134EA" w:rsidP="00793067">
      <w:pPr>
        <w:ind w:left="851"/>
        <w:rPr>
          <w:sz w:val="24"/>
          <w:szCs w:val="24"/>
        </w:rPr>
      </w:pPr>
      <w:r w:rsidRPr="001134EA">
        <w:rPr>
          <w:sz w:val="24"/>
          <w:szCs w:val="24"/>
        </w:rPr>
        <w:t xml:space="preserve">Websted: </w:t>
      </w:r>
      <w:hyperlink r:id="rId9" w:history="1">
        <w:r w:rsidRPr="001134EA">
          <w:rPr>
            <w:rStyle w:val="Hyperlink"/>
            <w:sz w:val="24"/>
            <w:szCs w:val="24"/>
          </w:rPr>
          <w:t>www.meldenbivirkning.dk</w:t>
        </w:r>
      </w:hyperlink>
    </w:p>
    <w:p w14:paraId="7AE051AD" w14:textId="56DB7E2E" w:rsidR="0016268D" w:rsidRDefault="0016268D">
      <w:pPr>
        <w:rPr>
          <w:sz w:val="24"/>
          <w:szCs w:val="24"/>
        </w:rPr>
      </w:pPr>
      <w:r>
        <w:rPr>
          <w:sz w:val="24"/>
          <w:szCs w:val="24"/>
        </w:rPr>
        <w:br w:type="page"/>
      </w:r>
    </w:p>
    <w:p w14:paraId="3D84824D" w14:textId="77777777" w:rsidR="009260DE" w:rsidRPr="00054795" w:rsidRDefault="009260DE" w:rsidP="00A10294">
      <w:pPr>
        <w:tabs>
          <w:tab w:val="left" w:pos="851"/>
        </w:tabs>
        <w:ind w:left="851"/>
        <w:rPr>
          <w:sz w:val="24"/>
          <w:szCs w:val="24"/>
        </w:rPr>
      </w:pPr>
    </w:p>
    <w:p w14:paraId="0AAA435A" w14:textId="77777777" w:rsidR="009260DE" w:rsidRPr="00054795" w:rsidRDefault="009260DE" w:rsidP="009260DE">
      <w:pPr>
        <w:tabs>
          <w:tab w:val="left" w:pos="851"/>
        </w:tabs>
        <w:ind w:left="851" w:hanging="851"/>
        <w:rPr>
          <w:b/>
          <w:sz w:val="24"/>
          <w:szCs w:val="24"/>
        </w:rPr>
      </w:pPr>
      <w:r w:rsidRPr="00054795">
        <w:rPr>
          <w:b/>
          <w:sz w:val="24"/>
          <w:szCs w:val="24"/>
        </w:rPr>
        <w:t>4.9</w:t>
      </w:r>
      <w:r w:rsidRPr="00054795">
        <w:rPr>
          <w:b/>
          <w:sz w:val="24"/>
          <w:szCs w:val="24"/>
        </w:rPr>
        <w:tab/>
        <w:t>Overdosering</w:t>
      </w:r>
    </w:p>
    <w:p w14:paraId="422E0BE7" w14:textId="77777777" w:rsidR="001134EA" w:rsidRPr="001134EA" w:rsidRDefault="001134EA" w:rsidP="00793067">
      <w:pPr>
        <w:ind w:left="851"/>
        <w:rPr>
          <w:sz w:val="24"/>
          <w:szCs w:val="24"/>
        </w:rPr>
      </w:pPr>
      <w:r w:rsidRPr="001134EA">
        <w:rPr>
          <w:sz w:val="24"/>
          <w:szCs w:val="24"/>
        </w:rPr>
        <w:t xml:space="preserve">Der er risiko for leverskade (herunder fulminant hepatitis, leversvigt, </w:t>
      </w:r>
      <w:proofErr w:type="spellStart"/>
      <w:r w:rsidRPr="001134EA">
        <w:rPr>
          <w:sz w:val="24"/>
          <w:szCs w:val="24"/>
        </w:rPr>
        <w:t>kolestatisk</w:t>
      </w:r>
      <w:proofErr w:type="spellEnd"/>
      <w:r w:rsidRPr="001134EA">
        <w:rPr>
          <w:sz w:val="24"/>
          <w:szCs w:val="24"/>
        </w:rPr>
        <w:t xml:space="preserve"> hepatitis, </w:t>
      </w:r>
      <w:proofErr w:type="spellStart"/>
      <w:r w:rsidRPr="001134EA">
        <w:rPr>
          <w:sz w:val="24"/>
          <w:szCs w:val="24"/>
        </w:rPr>
        <w:t>cytolytisk</w:t>
      </w:r>
      <w:proofErr w:type="spellEnd"/>
      <w:r w:rsidRPr="001134EA">
        <w:rPr>
          <w:sz w:val="24"/>
          <w:szCs w:val="24"/>
        </w:rPr>
        <w:t xml:space="preserve"> hepatitis), især hos ældre, små børn, patienter med leversygdom, i tilfælde med kronisk alkoholisme, hos patienter med kronisk </w:t>
      </w:r>
      <w:proofErr w:type="spellStart"/>
      <w:r w:rsidRPr="001134EA">
        <w:rPr>
          <w:sz w:val="24"/>
          <w:szCs w:val="24"/>
        </w:rPr>
        <w:t>malnutrition</w:t>
      </w:r>
      <w:proofErr w:type="spellEnd"/>
      <w:r w:rsidRPr="001134EA">
        <w:rPr>
          <w:sz w:val="24"/>
          <w:szCs w:val="24"/>
        </w:rPr>
        <w:t>, samt hos patienter, der får enzyminducerende lægemidler. Overdosering kan i disse tilfælde være fatal.</w:t>
      </w:r>
    </w:p>
    <w:p w14:paraId="7B8B85E4" w14:textId="77777777" w:rsidR="001134EA" w:rsidRPr="001134EA" w:rsidRDefault="001134EA" w:rsidP="00793067">
      <w:pPr>
        <w:ind w:left="851"/>
        <w:rPr>
          <w:sz w:val="24"/>
          <w:szCs w:val="24"/>
        </w:rPr>
      </w:pPr>
    </w:p>
    <w:p w14:paraId="329C7F07" w14:textId="77777777" w:rsidR="001134EA" w:rsidRPr="001134EA" w:rsidRDefault="001134EA" w:rsidP="00793067">
      <w:pPr>
        <w:ind w:left="851"/>
        <w:rPr>
          <w:i/>
          <w:iCs/>
          <w:sz w:val="24"/>
          <w:szCs w:val="24"/>
          <w:u w:val="single"/>
        </w:rPr>
      </w:pPr>
      <w:r w:rsidRPr="001134EA">
        <w:rPr>
          <w:i/>
          <w:iCs/>
          <w:sz w:val="24"/>
          <w:szCs w:val="24"/>
          <w:u w:val="single"/>
        </w:rPr>
        <w:t>Symptomer på overdosering</w:t>
      </w:r>
    </w:p>
    <w:p w14:paraId="38C20B7B" w14:textId="77777777" w:rsidR="001134EA" w:rsidRPr="001134EA" w:rsidRDefault="001134EA" w:rsidP="00793067">
      <w:pPr>
        <w:ind w:left="851"/>
        <w:rPr>
          <w:sz w:val="24"/>
          <w:szCs w:val="24"/>
        </w:rPr>
      </w:pPr>
      <w:r w:rsidRPr="001134EA">
        <w:rPr>
          <w:sz w:val="24"/>
          <w:szCs w:val="24"/>
        </w:rPr>
        <w:t>Symptomer optræder generelt inden for de første 24 timer og omfatter:</w:t>
      </w:r>
      <w:r w:rsidRPr="001134EA">
        <w:rPr>
          <w:i/>
          <w:sz w:val="24"/>
          <w:szCs w:val="24"/>
        </w:rPr>
        <w:t xml:space="preserve"> </w:t>
      </w:r>
      <w:r w:rsidRPr="001134EA">
        <w:rPr>
          <w:sz w:val="24"/>
          <w:szCs w:val="24"/>
        </w:rPr>
        <w:t>kvalme, opkastning, anoreksi, bleghed og mavesmerter.</w:t>
      </w:r>
    </w:p>
    <w:p w14:paraId="073F42A8" w14:textId="77777777" w:rsidR="001134EA" w:rsidRPr="001134EA" w:rsidRDefault="001134EA" w:rsidP="00793067">
      <w:pPr>
        <w:ind w:left="851"/>
        <w:rPr>
          <w:sz w:val="24"/>
          <w:szCs w:val="24"/>
        </w:rPr>
      </w:pPr>
    </w:p>
    <w:p w14:paraId="20ECD9C3" w14:textId="4FEEAF9B" w:rsidR="001134EA" w:rsidRPr="001134EA" w:rsidRDefault="001134EA" w:rsidP="00793067">
      <w:pPr>
        <w:ind w:left="851"/>
        <w:rPr>
          <w:sz w:val="24"/>
          <w:szCs w:val="24"/>
        </w:rPr>
      </w:pPr>
      <w:r w:rsidRPr="001134EA">
        <w:rPr>
          <w:sz w:val="24"/>
          <w:szCs w:val="24"/>
        </w:rPr>
        <w:t>En overdosis på 7,5 g eller mere af paracetamol i en enkelt indgivelse til voksne, eller 140</w:t>
      </w:r>
      <w:r w:rsidR="00951E6D">
        <w:rPr>
          <w:sz w:val="24"/>
          <w:szCs w:val="24"/>
        </w:rPr>
        <w:t> </w:t>
      </w:r>
      <w:r w:rsidRPr="001134EA">
        <w:rPr>
          <w:sz w:val="24"/>
          <w:szCs w:val="24"/>
        </w:rPr>
        <w:t xml:space="preserve">mg/kg kropsvægt i en enkelt indgivelse til børn, forårsager </w:t>
      </w:r>
      <w:proofErr w:type="spellStart"/>
      <w:r w:rsidRPr="001134EA">
        <w:rPr>
          <w:sz w:val="24"/>
          <w:szCs w:val="24"/>
        </w:rPr>
        <w:t>hepatisk</w:t>
      </w:r>
      <w:proofErr w:type="spellEnd"/>
      <w:r w:rsidRPr="001134EA">
        <w:rPr>
          <w:sz w:val="24"/>
          <w:szCs w:val="24"/>
        </w:rPr>
        <w:t xml:space="preserve"> cellenekrose, som sandsynligvis kan inducere fuldstændig og irreversibel nekrose, resulterende i </w:t>
      </w:r>
      <w:proofErr w:type="spellStart"/>
      <w:r w:rsidRPr="001134EA">
        <w:rPr>
          <w:sz w:val="24"/>
          <w:szCs w:val="24"/>
        </w:rPr>
        <w:t>hepatocellulær</w:t>
      </w:r>
      <w:proofErr w:type="spellEnd"/>
      <w:r w:rsidRPr="001134EA">
        <w:rPr>
          <w:sz w:val="24"/>
          <w:szCs w:val="24"/>
        </w:rPr>
        <w:t xml:space="preserve"> insufficiens, metabolisk acidose samt encefalopati. Disse kan føre til </w:t>
      </w:r>
      <w:proofErr w:type="spellStart"/>
      <w:r w:rsidRPr="001134EA">
        <w:rPr>
          <w:sz w:val="24"/>
          <w:szCs w:val="24"/>
        </w:rPr>
        <w:t>coma</w:t>
      </w:r>
      <w:proofErr w:type="spellEnd"/>
      <w:r w:rsidRPr="001134EA">
        <w:rPr>
          <w:sz w:val="24"/>
          <w:szCs w:val="24"/>
        </w:rPr>
        <w:t xml:space="preserve">, nogle gange med fatalt udfald. Samtidig kan forhøjede niveauer af </w:t>
      </w:r>
      <w:proofErr w:type="spellStart"/>
      <w:r w:rsidRPr="001134EA">
        <w:rPr>
          <w:sz w:val="24"/>
          <w:szCs w:val="24"/>
        </w:rPr>
        <w:t>levertransaminaser</w:t>
      </w:r>
      <w:proofErr w:type="spellEnd"/>
      <w:r w:rsidRPr="001134EA">
        <w:rPr>
          <w:sz w:val="24"/>
          <w:szCs w:val="24"/>
        </w:rPr>
        <w:t xml:space="preserve"> (AST, ALT), </w:t>
      </w:r>
      <w:proofErr w:type="spellStart"/>
      <w:r w:rsidRPr="001134EA">
        <w:rPr>
          <w:sz w:val="24"/>
          <w:szCs w:val="24"/>
        </w:rPr>
        <w:t>laktatdehydrogenase</w:t>
      </w:r>
      <w:proofErr w:type="spellEnd"/>
      <w:r w:rsidRPr="001134EA">
        <w:rPr>
          <w:sz w:val="24"/>
          <w:szCs w:val="24"/>
        </w:rPr>
        <w:t xml:space="preserve"> og bilirubin observeres sammen med reducerede </w:t>
      </w:r>
      <w:proofErr w:type="spellStart"/>
      <w:r w:rsidRPr="001134EA">
        <w:rPr>
          <w:sz w:val="24"/>
          <w:szCs w:val="24"/>
        </w:rPr>
        <w:t>protrombin</w:t>
      </w:r>
      <w:proofErr w:type="spellEnd"/>
      <w:r w:rsidRPr="001134EA">
        <w:rPr>
          <w:sz w:val="24"/>
          <w:szCs w:val="24"/>
        </w:rPr>
        <w:t xml:space="preserve">-niveauer, som kan forekomme 12 til 48 timer efter indgivelse. </w:t>
      </w:r>
    </w:p>
    <w:p w14:paraId="396AC031" w14:textId="77777777" w:rsidR="001134EA" w:rsidRPr="001134EA" w:rsidRDefault="001134EA" w:rsidP="00793067">
      <w:pPr>
        <w:ind w:left="851"/>
        <w:rPr>
          <w:sz w:val="24"/>
          <w:szCs w:val="24"/>
        </w:rPr>
      </w:pPr>
    </w:p>
    <w:p w14:paraId="4F5BF409" w14:textId="77777777" w:rsidR="001134EA" w:rsidRPr="001134EA" w:rsidRDefault="001134EA" w:rsidP="00793067">
      <w:pPr>
        <w:ind w:left="851"/>
        <w:rPr>
          <w:sz w:val="24"/>
          <w:szCs w:val="24"/>
        </w:rPr>
      </w:pPr>
      <w:r w:rsidRPr="001134EA">
        <w:rPr>
          <w:sz w:val="24"/>
          <w:szCs w:val="24"/>
        </w:rPr>
        <w:t xml:space="preserve">Kliniske symptomer på leverskade er sædvanligvis </w:t>
      </w:r>
      <w:proofErr w:type="gramStart"/>
      <w:r w:rsidRPr="001134EA">
        <w:rPr>
          <w:sz w:val="24"/>
          <w:szCs w:val="24"/>
        </w:rPr>
        <w:t>evident</w:t>
      </w:r>
      <w:proofErr w:type="gramEnd"/>
      <w:r w:rsidRPr="001134EA">
        <w:rPr>
          <w:sz w:val="24"/>
          <w:szCs w:val="24"/>
        </w:rPr>
        <w:t xml:space="preserve"> efter to dage, og når et maksimum efter 4-6 dage. </w:t>
      </w:r>
    </w:p>
    <w:p w14:paraId="15ADEE1D" w14:textId="77777777" w:rsidR="001134EA" w:rsidRPr="001134EA" w:rsidRDefault="001134EA" w:rsidP="00793067">
      <w:pPr>
        <w:ind w:left="851"/>
        <w:rPr>
          <w:sz w:val="24"/>
          <w:szCs w:val="24"/>
        </w:rPr>
      </w:pPr>
    </w:p>
    <w:p w14:paraId="4C949724" w14:textId="77777777" w:rsidR="001134EA" w:rsidRPr="001134EA" w:rsidRDefault="001134EA" w:rsidP="00793067">
      <w:pPr>
        <w:ind w:left="851"/>
        <w:rPr>
          <w:sz w:val="24"/>
          <w:szCs w:val="24"/>
        </w:rPr>
      </w:pPr>
      <w:r w:rsidRPr="001134EA">
        <w:rPr>
          <w:sz w:val="24"/>
          <w:szCs w:val="24"/>
        </w:rPr>
        <w:t xml:space="preserve">Akut nyresvigt med akut </w:t>
      </w:r>
      <w:proofErr w:type="spellStart"/>
      <w:r w:rsidRPr="001134EA">
        <w:rPr>
          <w:sz w:val="24"/>
          <w:szCs w:val="24"/>
        </w:rPr>
        <w:t>tubulær</w:t>
      </w:r>
      <w:proofErr w:type="spellEnd"/>
      <w:r w:rsidRPr="001134EA">
        <w:rPr>
          <w:sz w:val="24"/>
          <w:szCs w:val="24"/>
        </w:rPr>
        <w:t xml:space="preserve"> nekrose kan også udvikles. Hjerterytmeforstyrrelser og </w:t>
      </w:r>
      <w:proofErr w:type="spellStart"/>
      <w:r w:rsidRPr="001134EA">
        <w:rPr>
          <w:sz w:val="24"/>
          <w:szCs w:val="24"/>
        </w:rPr>
        <w:t>pankreatitis</w:t>
      </w:r>
      <w:proofErr w:type="spellEnd"/>
      <w:r w:rsidRPr="001134EA">
        <w:rPr>
          <w:sz w:val="24"/>
          <w:szCs w:val="24"/>
        </w:rPr>
        <w:t xml:space="preserve"> er også blevet rapporteret.</w:t>
      </w:r>
    </w:p>
    <w:p w14:paraId="7B771A4A" w14:textId="77777777" w:rsidR="001134EA" w:rsidRPr="001134EA" w:rsidRDefault="001134EA" w:rsidP="00793067">
      <w:pPr>
        <w:ind w:left="851"/>
        <w:rPr>
          <w:sz w:val="24"/>
          <w:szCs w:val="24"/>
        </w:rPr>
      </w:pPr>
    </w:p>
    <w:p w14:paraId="23387D66" w14:textId="406C2EB7" w:rsidR="001134EA" w:rsidRPr="001134EA" w:rsidRDefault="001134EA" w:rsidP="00793067">
      <w:pPr>
        <w:ind w:left="851"/>
        <w:rPr>
          <w:i/>
          <w:iCs/>
          <w:sz w:val="24"/>
          <w:szCs w:val="24"/>
          <w:u w:val="single"/>
        </w:rPr>
      </w:pPr>
      <w:r w:rsidRPr="001134EA">
        <w:rPr>
          <w:i/>
          <w:iCs/>
          <w:sz w:val="24"/>
          <w:szCs w:val="24"/>
          <w:u w:val="single"/>
        </w:rPr>
        <w:t>Behandling af overdosering</w:t>
      </w:r>
    </w:p>
    <w:p w14:paraId="492F76EA" w14:textId="77777777" w:rsidR="001134EA" w:rsidRPr="001134EA" w:rsidRDefault="001134EA" w:rsidP="00793067">
      <w:pPr>
        <w:numPr>
          <w:ilvl w:val="0"/>
          <w:numId w:val="10"/>
        </w:numPr>
        <w:tabs>
          <w:tab w:val="clear" w:pos="1571"/>
        </w:tabs>
        <w:ind w:left="1276" w:hanging="425"/>
        <w:rPr>
          <w:sz w:val="24"/>
          <w:szCs w:val="24"/>
        </w:rPr>
      </w:pPr>
      <w:r w:rsidRPr="001134EA">
        <w:rPr>
          <w:sz w:val="24"/>
          <w:szCs w:val="24"/>
        </w:rPr>
        <w:t xml:space="preserve">Omgående indlæggelse på hospital. </w:t>
      </w:r>
    </w:p>
    <w:p w14:paraId="3CF1C613" w14:textId="77777777" w:rsidR="001134EA" w:rsidRPr="001134EA" w:rsidRDefault="001134EA" w:rsidP="00793067">
      <w:pPr>
        <w:numPr>
          <w:ilvl w:val="0"/>
          <w:numId w:val="10"/>
        </w:numPr>
        <w:tabs>
          <w:tab w:val="clear" w:pos="1571"/>
        </w:tabs>
        <w:ind w:left="1276" w:hanging="425"/>
        <w:rPr>
          <w:sz w:val="24"/>
          <w:szCs w:val="24"/>
        </w:rPr>
      </w:pPr>
      <w:r w:rsidRPr="001134EA">
        <w:rPr>
          <w:sz w:val="24"/>
          <w:szCs w:val="24"/>
        </w:rPr>
        <w:t>Inden der påbegyndes behandling, skal der tages en blodprøve så hurtigt som muligt efter overdoseringen til måling af niveauet af paracetamol i plasma.</w:t>
      </w:r>
    </w:p>
    <w:p w14:paraId="2248A34B" w14:textId="77777777" w:rsidR="001134EA" w:rsidRPr="001134EA" w:rsidRDefault="001134EA" w:rsidP="00793067">
      <w:pPr>
        <w:numPr>
          <w:ilvl w:val="0"/>
          <w:numId w:val="10"/>
        </w:numPr>
        <w:tabs>
          <w:tab w:val="clear" w:pos="1571"/>
        </w:tabs>
        <w:ind w:left="1276" w:hanging="425"/>
        <w:rPr>
          <w:sz w:val="24"/>
          <w:szCs w:val="24"/>
        </w:rPr>
      </w:pPr>
      <w:r w:rsidRPr="001134EA">
        <w:rPr>
          <w:sz w:val="24"/>
          <w:szCs w:val="24"/>
        </w:rPr>
        <w:t xml:space="preserve">Behandlingen omfatter indgivelse af </w:t>
      </w:r>
      <w:proofErr w:type="spellStart"/>
      <w:r w:rsidRPr="001134EA">
        <w:rPr>
          <w:sz w:val="24"/>
          <w:szCs w:val="24"/>
        </w:rPr>
        <w:t>antidoten</w:t>
      </w:r>
      <w:proofErr w:type="spellEnd"/>
      <w:r w:rsidRPr="001134EA">
        <w:rPr>
          <w:sz w:val="24"/>
          <w:szCs w:val="24"/>
        </w:rPr>
        <w:t xml:space="preserve"> N-</w:t>
      </w:r>
      <w:proofErr w:type="spellStart"/>
      <w:r w:rsidRPr="001134EA">
        <w:rPr>
          <w:sz w:val="24"/>
          <w:szCs w:val="24"/>
        </w:rPr>
        <w:t>acetylcystein</w:t>
      </w:r>
      <w:proofErr w:type="spellEnd"/>
      <w:r w:rsidRPr="001134EA">
        <w:rPr>
          <w:sz w:val="24"/>
          <w:szCs w:val="24"/>
        </w:rPr>
        <w:t xml:space="preserve"> (NAC) enten intravenøst eller oralt, om muligt </w:t>
      </w:r>
      <w:r w:rsidRPr="001134EA">
        <w:rPr>
          <w:sz w:val="24"/>
          <w:szCs w:val="24"/>
          <w:u w:val="single"/>
        </w:rPr>
        <w:t>inden</w:t>
      </w:r>
      <w:r w:rsidRPr="001134EA">
        <w:rPr>
          <w:sz w:val="24"/>
          <w:szCs w:val="24"/>
        </w:rPr>
        <w:t xml:space="preserve"> de første 10 timer. N-</w:t>
      </w:r>
      <w:proofErr w:type="spellStart"/>
      <w:r w:rsidRPr="001134EA">
        <w:rPr>
          <w:sz w:val="24"/>
          <w:szCs w:val="24"/>
        </w:rPr>
        <w:t>acetylcystein</w:t>
      </w:r>
      <w:proofErr w:type="spellEnd"/>
      <w:r w:rsidRPr="001134EA">
        <w:rPr>
          <w:sz w:val="24"/>
          <w:szCs w:val="24"/>
        </w:rPr>
        <w:t xml:space="preserve"> kan dog give nogen grad af beskyttelse også efter 10 timer, men i disse tilfælde kræves langvarig behandling.</w:t>
      </w:r>
    </w:p>
    <w:p w14:paraId="57AD264C" w14:textId="77777777" w:rsidR="001134EA" w:rsidRPr="001134EA" w:rsidRDefault="001134EA" w:rsidP="00793067">
      <w:pPr>
        <w:numPr>
          <w:ilvl w:val="0"/>
          <w:numId w:val="10"/>
        </w:numPr>
        <w:tabs>
          <w:tab w:val="clear" w:pos="1571"/>
        </w:tabs>
        <w:ind w:left="1276" w:hanging="425"/>
        <w:rPr>
          <w:sz w:val="24"/>
          <w:szCs w:val="24"/>
        </w:rPr>
      </w:pPr>
      <w:r w:rsidRPr="001134EA">
        <w:rPr>
          <w:sz w:val="24"/>
          <w:szCs w:val="24"/>
        </w:rPr>
        <w:t>Symptomatisk behandling.</w:t>
      </w:r>
    </w:p>
    <w:p w14:paraId="28A31856" w14:textId="77777777" w:rsidR="001134EA" w:rsidRPr="001134EA" w:rsidRDefault="001134EA" w:rsidP="00793067">
      <w:pPr>
        <w:numPr>
          <w:ilvl w:val="0"/>
          <w:numId w:val="10"/>
        </w:numPr>
        <w:tabs>
          <w:tab w:val="clear" w:pos="1571"/>
        </w:tabs>
        <w:ind w:left="1276" w:hanging="425"/>
        <w:rPr>
          <w:sz w:val="24"/>
          <w:szCs w:val="24"/>
        </w:rPr>
      </w:pPr>
      <w:r w:rsidRPr="001134EA">
        <w:rPr>
          <w:sz w:val="24"/>
          <w:szCs w:val="24"/>
        </w:rPr>
        <w:t xml:space="preserve">Der skal udføres leverfunktionstest ved påbegyndelse af behandlingen og skal gentages hver 24. time. Sædvanligvis vil </w:t>
      </w:r>
      <w:proofErr w:type="spellStart"/>
      <w:r w:rsidRPr="001134EA">
        <w:rPr>
          <w:sz w:val="24"/>
          <w:szCs w:val="24"/>
        </w:rPr>
        <w:t>levertransaminaser</w:t>
      </w:r>
      <w:proofErr w:type="spellEnd"/>
      <w:r w:rsidRPr="001134EA">
        <w:rPr>
          <w:sz w:val="24"/>
          <w:szCs w:val="24"/>
        </w:rPr>
        <w:t xml:space="preserve"> normaliseres i løbet af 1-2 uger med fuld gendannelse af den normale leverfunktion. I meget svære tilfælde kan det dog være nødvendigt at foretage levertransplantation. </w:t>
      </w:r>
    </w:p>
    <w:p w14:paraId="13E97635" w14:textId="77777777" w:rsidR="001134EA" w:rsidRPr="001134EA" w:rsidRDefault="001134EA" w:rsidP="00793067">
      <w:pPr>
        <w:numPr>
          <w:ilvl w:val="0"/>
          <w:numId w:val="10"/>
        </w:numPr>
        <w:tabs>
          <w:tab w:val="clear" w:pos="1571"/>
        </w:tabs>
        <w:ind w:left="1276" w:hanging="425"/>
        <w:rPr>
          <w:sz w:val="24"/>
          <w:szCs w:val="24"/>
        </w:rPr>
      </w:pPr>
      <w:r w:rsidRPr="001134EA">
        <w:rPr>
          <w:sz w:val="24"/>
          <w:szCs w:val="24"/>
        </w:rPr>
        <w:t xml:space="preserve">Hæmodialyse kan reducere koncentrationen af paracetamol i plasma, men effekten er begrænset. </w:t>
      </w:r>
    </w:p>
    <w:p w14:paraId="656C8535" w14:textId="77777777" w:rsidR="009260DE" w:rsidRPr="00054795" w:rsidRDefault="009260DE" w:rsidP="009260DE">
      <w:pPr>
        <w:tabs>
          <w:tab w:val="left" w:pos="851"/>
        </w:tabs>
        <w:ind w:left="851"/>
        <w:rPr>
          <w:sz w:val="24"/>
          <w:szCs w:val="24"/>
        </w:rPr>
      </w:pPr>
    </w:p>
    <w:p w14:paraId="0F3F386B" w14:textId="77777777" w:rsidR="009260DE" w:rsidRPr="00054795" w:rsidRDefault="009260DE" w:rsidP="009260DE">
      <w:pPr>
        <w:tabs>
          <w:tab w:val="left" w:pos="851"/>
        </w:tabs>
        <w:ind w:left="851" w:hanging="851"/>
        <w:rPr>
          <w:b/>
          <w:sz w:val="24"/>
          <w:szCs w:val="24"/>
        </w:rPr>
      </w:pPr>
      <w:r w:rsidRPr="00054795">
        <w:rPr>
          <w:b/>
          <w:sz w:val="24"/>
          <w:szCs w:val="24"/>
        </w:rPr>
        <w:t>4.10</w:t>
      </w:r>
      <w:r w:rsidRPr="00054795">
        <w:rPr>
          <w:b/>
          <w:sz w:val="24"/>
          <w:szCs w:val="24"/>
        </w:rPr>
        <w:tab/>
        <w:t>Udlevering</w:t>
      </w:r>
    </w:p>
    <w:p w14:paraId="07642582" w14:textId="2C6686CF" w:rsidR="009260DE" w:rsidRPr="00054795" w:rsidRDefault="001134EA" w:rsidP="009260DE">
      <w:pPr>
        <w:tabs>
          <w:tab w:val="left" w:pos="851"/>
        </w:tabs>
        <w:ind w:left="851"/>
        <w:rPr>
          <w:sz w:val="24"/>
          <w:szCs w:val="24"/>
        </w:rPr>
      </w:pPr>
      <w:r w:rsidRPr="00054795">
        <w:rPr>
          <w:sz w:val="24"/>
          <w:szCs w:val="24"/>
        </w:rPr>
        <w:t>B</w:t>
      </w:r>
    </w:p>
    <w:p w14:paraId="27FFAE64" w14:textId="77777777" w:rsidR="009260DE" w:rsidRPr="00054795" w:rsidRDefault="009260DE" w:rsidP="009260DE">
      <w:pPr>
        <w:tabs>
          <w:tab w:val="left" w:pos="851"/>
        </w:tabs>
        <w:ind w:left="851"/>
        <w:rPr>
          <w:sz w:val="24"/>
          <w:szCs w:val="24"/>
        </w:rPr>
      </w:pPr>
    </w:p>
    <w:p w14:paraId="16D1F4B8" w14:textId="77777777" w:rsidR="009260DE" w:rsidRPr="00054795" w:rsidRDefault="009260DE" w:rsidP="009260DE">
      <w:pPr>
        <w:tabs>
          <w:tab w:val="left" w:pos="851"/>
        </w:tabs>
        <w:ind w:left="851"/>
        <w:rPr>
          <w:sz w:val="24"/>
          <w:szCs w:val="24"/>
        </w:rPr>
      </w:pPr>
    </w:p>
    <w:p w14:paraId="0FA5E7C6" w14:textId="77777777" w:rsidR="009260DE" w:rsidRPr="00054795" w:rsidRDefault="009260DE" w:rsidP="009260DE">
      <w:pPr>
        <w:tabs>
          <w:tab w:val="left" w:pos="851"/>
        </w:tabs>
        <w:ind w:left="851" w:hanging="851"/>
        <w:rPr>
          <w:b/>
          <w:sz w:val="24"/>
          <w:szCs w:val="24"/>
        </w:rPr>
      </w:pPr>
      <w:r w:rsidRPr="00054795">
        <w:rPr>
          <w:b/>
          <w:sz w:val="24"/>
          <w:szCs w:val="24"/>
        </w:rPr>
        <w:t>5.</w:t>
      </w:r>
      <w:r w:rsidRPr="00054795">
        <w:rPr>
          <w:b/>
          <w:sz w:val="24"/>
          <w:szCs w:val="24"/>
        </w:rPr>
        <w:tab/>
        <w:t>FARMAKOLOGISKE EGENSKABER</w:t>
      </w:r>
    </w:p>
    <w:p w14:paraId="6AB961DB" w14:textId="77777777" w:rsidR="009260DE" w:rsidRPr="00054795" w:rsidRDefault="009260DE" w:rsidP="009260DE">
      <w:pPr>
        <w:tabs>
          <w:tab w:val="left" w:pos="851"/>
        </w:tabs>
        <w:ind w:left="851"/>
        <w:rPr>
          <w:sz w:val="24"/>
          <w:szCs w:val="24"/>
        </w:rPr>
      </w:pPr>
    </w:p>
    <w:p w14:paraId="64EC00F9" w14:textId="77777777" w:rsidR="009260DE" w:rsidRPr="00054795" w:rsidRDefault="009260DE" w:rsidP="009260DE">
      <w:pPr>
        <w:tabs>
          <w:tab w:val="num" w:pos="851"/>
        </w:tabs>
        <w:ind w:left="851" w:hanging="851"/>
        <w:rPr>
          <w:b/>
          <w:sz w:val="24"/>
          <w:szCs w:val="24"/>
        </w:rPr>
      </w:pPr>
      <w:r w:rsidRPr="00054795">
        <w:rPr>
          <w:b/>
          <w:sz w:val="24"/>
          <w:szCs w:val="24"/>
        </w:rPr>
        <w:t>5.1</w:t>
      </w:r>
      <w:r w:rsidRPr="00054795">
        <w:rPr>
          <w:b/>
          <w:sz w:val="24"/>
          <w:szCs w:val="24"/>
        </w:rPr>
        <w:tab/>
      </w:r>
      <w:proofErr w:type="spellStart"/>
      <w:r w:rsidRPr="00054795">
        <w:rPr>
          <w:b/>
          <w:sz w:val="24"/>
          <w:szCs w:val="24"/>
        </w:rPr>
        <w:t>Farmakodynamiske</w:t>
      </w:r>
      <w:proofErr w:type="spellEnd"/>
      <w:r w:rsidRPr="00054795">
        <w:rPr>
          <w:b/>
          <w:sz w:val="24"/>
          <w:szCs w:val="24"/>
        </w:rPr>
        <w:t xml:space="preserve"> egenskaber</w:t>
      </w:r>
    </w:p>
    <w:p w14:paraId="5785D424" w14:textId="77777777" w:rsidR="001134EA" w:rsidRPr="001134EA" w:rsidRDefault="001134EA" w:rsidP="00793067">
      <w:pPr>
        <w:ind w:left="851"/>
        <w:rPr>
          <w:sz w:val="24"/>
          <w:szCs w:val="24"/>
        </w:rPr>
      </w:pPr>
      <w:proofErr w:type="spellStart"/>
      <w:r w:rsidRPr="001134EA">
        <w:rPr>
          <w:sz w:val="24"/>
          <w:szCs w:val="24"/>
        </w:rPr>
        <w:t>Farmakoterapeutisk</w:t>
      </w:r>
      <w:proofErr w:type="spellEnd"/>
      <w:r w:rsidRPr="001134EA">
        <w:rPr>
          <w:sz w:val="24"/>
          <w:szCs w:val="24"/>
        </w:rPr>
        <w:t xml:space="preserve"> klassifikation: Andre </w:t>
      </w:r>
      <w:proofErr w:type="spellStart"/>
      <w:r w:rsidRPr="001134EA">
        <w:rPr>
          <w:sz w:val="24"/>
          <w:szCs w:val="24"/>
        </w:rPr>
        <w:t>analgetica</w:t>
      </w:r>
      <w:proofErr w:type="spellEnd"/>
      <w:r w:rsidRPr="001134EA">
        <w:rPr>
          <w:sz w:val="24"/>
          <w:szCs w:val="24"/>
        </w:rPr>
        <w:t xml:space="preserve"> og </w:t>
      </w:r>
      <w:proofErr w:type="spellStart"/>
      <w:r w:rsidRPr="001134EA">
        <w:rPr>
          <w:sz w:val="24"/>
          <w:szCs w:val="24"/>
        </w:rPr>
        <w:t>antipyretica</w:t>
      </w:r>
      <w:proofErr w:type="spellEnd"/>
      <w:r w:rsidRPr="001134EA">
        <w:rPr>
          <w:sz w:val="24"/>
          <w:szCs w:val="24"/>
        </w:rPr>
        <w:t xml:space="preserve">; </w:t>
      </w:r>
      <w:r w:rsidRPr="001134EA">
        <w:rPr>
          <w:i/>
          <w:sz w:val="24"/>
          <w:szCs w:val="24"/>
        </w:rPr>
        <w:t xml:space="preserve">Anilider, </w:t>
      </w:r>
      <w:r w:rsidRPr="001134EA">
        <w:rPr>
          <w:sz w:val="24"/>
          <w:szCs w:val="24"/>
        </w:rPr>
        <w:t>ATC-kode: N02BE01.</w:t>
      </w:r>
    </w:p>
    <w:p w14:paraId="44285FB1" w14:textId="77777777" w:rsidR="001134EA" w:rsidRPr="001134EA" w:rsidRDefault="001134EA" w:rsidP="00793067">
      <w:pPr>
        <w:ind w:left="851"/>
        <w:rPr>
          <w:sz w:val="24"/>
          <w:szCs w:val="24"/>
        </w:rPr>
      </w:pPr>
    </w:p>
    <w:p w14:paraId="5BEBD161" w14:textId="4CF8A682" w:rsidR="001134EA" w:rsidRPr="001134EA" w:rsidRDefault="001134EA" w:rsidP="00793067">
      <w:pPr>
        <w:ind w:left="851"/>
        <w:rPr>
          <w:sz w:val="24"/>
          <w:szCs w:val="24"/>
          <w:u w:val="single"/>
        </w:rPr>
      </w:pPr>
      <w:r w:rsidRPr="001134EA">
        <w:rPr>
          <w:sz w:val="24"/>
          <w:szCs w:val="24"/>
          <w:u w:val="single"/>
        </w:rPr>
        <w:t>Virkningsmekanisme</w:t>
      </w:r>
    </w:p>
    <w:p w14:paraId="00CC6C68" w14:textId="7A18B1C0" w:rsidR="001134EA" w:rsidRPr="001134EA" w:rsidRDefault="001134EA" w:rsidP="00793067">
      <w:pPr>
        <w:ind w:left="851"/>
        <w:rPr>
          <w:sz w:val="24"/>
          <w:szCs w:val="24"/>
        </w:rPr>
      </w:pPr>
      <w:r w:rsidRPr="001134EA">
        <w:rPr>
          <w:sz w:val="24"/>
          <w:szCs w:val="24"/>
        </w:rPr>
        <w:t xml:space="preserve">De nøjagtige mekanismer for paracetamols analgetiske og </w:t>
      </w:r>
      <w:proofErr w:type="spellStart"/>
      <w:r w:rsidRPr="001134EA">
        <w:rPr>
          <w:sz w:val="24"/>
          <w:szCs w:val="24"/>
        </w:rPr>
        <w:t>antipyretiske</w:t>
      </w:r>
      <w:proofErr w:type="spellEnd"/>
      <w:r w:rsidRPr="001134EA">
        <w:rPr>
          <w:sz w:val="24"/>
          <w:szCs w:val="24"/>
        </w:rPr>
        <w:t xml:space="preserve"> egenskaber er endnu ikke fastlagt. En central og perifer virkning er sandsynlig.</w:t>
      </w:r>
    </w:p>
    <w:p w14:paraId="3D67700E" w14:textId="77777777" w:rsidR="001134EA" w:rsidRPr="001134EA" w:rsidRDefault="001134EA" w:rsidP="00793067">
      <w:pPr>
        <w:ind w:left="851"/>
        <w:rPr>
          <w:sz w:val="24"/>
          <w:szCs w:val="24"/>
        </w:rPr>
      </w:pPr>
    </w:p>
    <w:p w14:paraId="44428B40" w14:textId="2067FB81" w:rsidR="001134EA" w:rsidRPr="001134EA" w:rsidRDefault="001134EA" w:rsidP="00793067">
      <w:pPr>
        <w:ind w:left="851"/>
        <w:rPr>
          <w:sz w:val="24"/>
          <w:szCs w:val="24"/>
          <w:u w:val="single"/>
        </w:rPr>
      </w:pPr>
      <w:proofErr w:type="spellStart"/>
      <w:r w:rsidRPr="001134EA">
        <w:rPr>
          <w:sz w:val="24"/>
          <w:szCs w:val="24"/>
          <w:u w:val="single"/>
        </w:rPr>
        <w:t>Farmakodynamisk</w:t>
      </w:r>
      <w:proofErr w:type="spellEnd"/>
      <w:r w:rsidRPr="001134EA">
        <w:rPr>
          <w:sz w:val="24"/>
          <w:szCs w:val="24"/>
          <w:u w:val="single"/>
        </w:rPr>
        <w:t xml:space="preserve"> virkning</w:t>
      </w:r>
    </w:p>
    <w:p w14:paraId="47E4E41A" w14:textId="6B418003" w:rsidR="001134EA" w:rsidRPr="001134EA" w:rsidRDefault="001134EA" w:rsidP="00793067">
      <w:pPr>
        <w:ind w:left="851"/>
        <w:rPr>
          <w:sz w:val="24"/>
          <w:szCs w:val="24"/>
        </w:rPr>
      </w:pPr>
      <w:r w:rsidRPr="001134EA">
        <w:rPr>
          <w:sz w:val="24"/>
          <w:szCs w:val="24"/>
        </w:rPr>
        <w:t xml:space="preserve">Paracetamol </w:t>
      </w:r>
      <w:r w:rsidR="00E43CB9">
        <w:rPr>
          <w:sz w:val="24"/>
          <w:szCs w:val="24"/>
        </w:rPr>
        <w:t>"</w:t>
      </w:r>
      <w:proofErr w:type="spellStart"/>
      <w:r w:rsidR="00E43CB9">
        <w:rPr>
          <w:sz w:val="24"/>
          <w:szCs w:val="24"/>
        </w:rPr>
        <w:t>Kabi</w:t>
      </w:r>
      <w:proofErr w:type="spellEnd"/>
      <w:r w:rsidR="00E43CB9">
        <w:rPr>
          <w:sz w:val="24"/>
          <w:szCs w:val="24"/>
        </w:rPr>
        <w:t>"</w:t>
      </w:r>
      <w:r w:rsidRPr="001134EA">
        <w:rPr>
          <w:sz w:val="24"/>
          <w:szCs w:val="24"/>
        </w:rPr>
        <w:t xml:space="preserve"> giver smertelindring i løbet af 5-10 minutter efter administration. Den analgetiske virkning når maksimum indenfor 1 time, og varigheden af denne virkning er normalt 4-6 timer.</w:t>
      </w:r>
    </w:p>
    <w:p w14:paraId="330F88B8" w14:textId="77777777" w:rsidR="001134EA" w:rsidRPr="001134EA" w:rsidRDefault="001134EA" w:rsidP="00793067">
      <w:pPr>
        <w:ind w:left="851"/>
        <w:rPr>
          <w:sz w:val="24"/>
          <w:szCs w:val="24"/>
        </w:rPr>
      </w:pPr>
    </w:p>
    <w:p w14:paraId="75FCDB6C" w14:textId="7BFDE3D3" w:rsidR="001134EA" w:rsidRPr="001134EA" w:rsidRDefault="001134EA" w:rsidP="00793067">
      <w:pPr>
        <w:ind w:left="851"/>
        <w:rPr>
          <w:i/>
          <w:sz w:val="24"/>
          <w:szCs w:val="24"/>
        </w:rPr>
      </w:pPr>
      <w:r w:rsidRPr="001134EA">
        <w:rPr>
          <w:sz w:val="24"/>
          <w:szCs w:val="24"/>
        </w:rPr>
        <w:t xml:space="preserve">Paracetamol </w:t>
      </w:r>
      <w:r w:rsidR="00E43CB9">
        <w:rPr>
          <w:sz w:val="24"/>
          <w:szCs w:val="24"/>
        </w:rPr>
        <w:t>"</w:t>
      </w:r>
      <w:proofErr w:type="spellStart"/>
      <w:r w:rsidR="00E43CB9">
        <w:rPr>
          <w:sz w:val="24"/>
          <w:szCs w:val="24"/>
        </w:rPr>
        <w:t>Kabi</w:t>
      </w:r>
      <w:proofErr w:type="spellEnd"/>
      <w:r w:rsidR="00E43CB9">
        <w:rPr>
          <w:sz w:val="24"/>
          <w:szCs w:val="24"/>
        </w:rPr>
        <w:t>"</w:t>
      </w:r>
      <w:r w:rsidRPr="001134EA">
        <w:rPr>
          <w:sz w:val="24"/>
          <w:szCs w:val="24"/>
        </w:rPr>
        <w:t xml:space="preserve"> nedsætter feber inden for 30 minutter efter administrationen. Den </w:t>
      </w:r>
      <w:proofErr w:type="spellStart"/>
      <w:r w:rsidRPr="001134EA">
        <w:rPr>
          <w:sz w:val="24"/>
          <w:szCs w:val="24"/>
        </w:rPr>
        <w:t>antipyretiske</w:t>
      </w:r>
      <w:proofErr w:type="spellEnd"/>
      <w:r w:rsidRPr="001134EA">
        <w:rPr>
          <w:sz w:val="24"/>
          <w:szCs w:val="24"/>
        </w:rPr>
        <w:t xml:space="preserve"> effekt varer mindst 6 timer.</w:t>
      </w:r>
    </w:p>
    <w:p w14:paraId="69F2FF18" w14:textId="77777777" w:rsidR="009260DE" w:rsidRPr="00054795" w:rsidRDefault="009260DE" w:rsidP="009260DE">
      <w:pPr>
        <w:tabs>
          <w:tab w:val="left" w:pos="851"/>
        </w:tabs>
        <w:ind w:left="851"/>
        <w:rPr>
          <w:sz w:val="24"/>
          <w:szCs w:val="24"/>
        </w:rPr>
      </w:pPr>
    </w:p>
    <w:p w14:paraId="2A31381A" w14:textId="77777777" w:rsidR="009260DE" w:rsidRPr="00054795" w:rsidRDefault="009260DE" w:rsidP="009260DE">
      <w:pPr>
        <w:tabs>
          <w:tab w:val="left" w:pos="851"/>
        </w:tabs>
        <w:ind w:left="851" w:hanging="851"/>
        <w:rPr>
          <w:b/>
          <w:sz w:val="24"/>
          <w:szCs w:val="24"/>
        </w:rPr>
      </w:pPr>
      <w:r w:rsidRPr="00054795">
        <w:rPr>
          <w:b/>
          <w:sz w:val="24"/>
          <w:szCs w:val="24"/>
        </w:rPr>
        <w:t>5.2</w:t>
      </w:r>
      <w:r w:rsidRPr="00054795">
        <w:rPr>
          <w:b/>
          <w:sz w:val="24"/>
          <w:szCs w:val="24"/>
        </w:rPr>
        <w:tab/>
      </w:r>
      <w:proofErr w:type="spellStart"/>
      <w:r w:rsidRPr="00054795">
        <w:rPr>
          <w:b/>
          <w:sz w:val="24"/>
          <w:szCs w:val="24"/>
        </w:rPr>
        <w:t>Farmakokinetiske</w:t>
      </w:r>
      <w:proofErr w:type="spellEnd"/>
      <w:r w:rsidRPr="00054795">
        <w:rPr>
          <w:b/>
          <w:sz w:val="24"/>
          <w:szCs w:val="24"/>
        </w:rPr>
        <w:t xml:space="preserve"> egenskaber</w:t>
      </w:r>
    </w:p>
    <w:p w14:paraId="33881403" w14:textId="77777777" w:rsidR="001134EA" w:rsidRPr="001134EA" w:rsidRDefault="001134EA" w:rsidP="001134EA">
      <w:pPr>
        <w:tabs>
          <w:tab w:val="left" w:pos="851"/>
        </w:tabs>
        <w:ind w:left="851"/>
        <w:rPr>
          <w:sz w:val="24"/>
          <w:szCs w:val="24"/>
        </w:rPr>
      </w:pPr>
    </w:p>
    <w:p w14:paraId="067488FE" w14:textId="77777777" w:rsidR="001134EA" w:rsidRPr="001134EA" w:rsidRDefault="001134EA" w:rsidP="00793067">
      <w:pPr>
        <w:ind w:left="851"/>
        <w:rPr>
          <w:bCs/>
          <w:sz w:val="24"/>
          <w:szCs w:val="24"/>
          <w:u w:val="single"/>
        </w:rPr>
      </w:pPr>
      <w:r w:rsidRPr="001134EA">
        <w:rPr>
          <w:bCs/>
          <w:sz w:val="24"/>
          <w:szCs w:val="24"/>
          <w:u w:val="single"/>
        </w:rPr>
        <w:t>Voksne</w:t>
      </w:r>
    </w:p>
    <w:p w14:paraId="0A979446" w14:textId="77777777" w:rsidR="0016268D" w:rsidRDefault="0016268D" w:rsidP="00793067">
      <w:pPr>
        <w:ind w:left="851"/>
        <w:rPr>
          <w:bCs/>
          <w:i/>
          <w:sz w:val="24"/>
          <w:szCs w:val="24"/>
        </w:rPr>
      </w:pPr>
    </w:p>
    <w:p w14:paraId="3FB819D7" w14:textId="32AF4FDD" w:rsidR="001134EA" w:rsidRPr="001134EA" w:rsidRDefault="001134EA" w:rsidP="00793067">
      <w:pPr>
        <w:ind w:left="851"/>
        <w:rPr>
          <w:bCs/>
          <w:i/>
          <w:sz w:val="24"/>
          <w:szCs w:val="24"/>
        </w:rPr>
      </w:pPr>
      <w:r w:rsidRPr="001134EA">
        <w:rPr>
          <w:bCs/>
          <w:i/>
          <w:sz w:val="24"/>
          <w:szCs w:val="24"/>
        </w:rPr>
        <w:t>Absorption</w:t>
      </w:r>
    </w:p>
    <w:p w14:paraId="14C43555" w14:textId="77777777" w:rsidR="001134EA" w:rsidRPr="001134EA" w:rsidRDefault="001134EA" w:rsidP="00793067">
      <w:pPr>
        <w:ind w:left="851"/>
        <w:rPr>
          <w:sz w:val="24"/>
          <w:szCs w:val="24"/>
        </w:rPr>
      </w:pPr>
      <w:r w:rsidRPr="001134EA">
        <w:rPr>
          <w:sz w:val="24"/>
          <w:szCs w:val="24"/>
        </w:rPr>
        <w:t xml:space="preserve">Farmakokinetikken for paracetamol er lineær op til 2 g efter enkelt indgivelse og efter gentagne indgivelser i løbet af 24 timer. </w:t>
      </w:r>
    </w:p>
    <w:p w14:paraId="463ECAC1" w14:textId="77777777" w:rsidR="001134EA" w:rsidRPr="001134EA" w:rsidRDefault="001134EA" w:rsidP="00793067">
      <w:pPr>
        <w:ind w:left="851"/>
        <w:rPr>
          <w:sz w:val="24"/>
          <w:szCs w:val="24"/>
        </w:rPr>
      </w:pPr>
      <w:r w:rsidRPr="001134EA">
        <w:rPr>
          <w:sz w:val="24"/>
          <w:szCs w:val="24"/>
        </w:rPr>
        <w:t xml:space="preserve">Paracetamols biotilgængelighed efter infusion af 500 mg og 1 g af paracetamol svarer til, hvad der observeres efter infusion af 1 g og 2 g </w:t>
      </w:r>
      <w:proofErr w:type="spellStart"/>
      <w:r w:rsidRPr="001134EA">
        <w:rPr>
          <w:sz w:val="24"/>
          <w:szCs w:val="24"/>
        </w:rPr>
        <w:t>propacetamol</w:t>
      </w:r>
      <w:proofErr w:type="spellEnd"/>
      <w:r w:rsidRPr="001134EA">
        <w:rPr>
          <w:sz w:val="24"/>
          <w:szCs w:val="24"/>
        </w:rPr>
        <w:t xml:space="preserve"> (svarende til hhv. 500 mg og 1 g paracetamol). Den maksimale plasmakoncentration (</w:t>
      </w:r>
      <w:proofErr w:type="spellStart"/>
      <w:r w:rsidRPr="001134EA">
        <w:rPr>
          <w:sz w:val="24"/>
          <w:szCs w:val="24"/>
        </w:rPr>
        <w:t>C</w:t>
      </w:r>
      <w:r w:rsidRPr="001134EA">
        <w:rPr>
          <w:sz w:val="24"/>
          <w:szCs w:val="24"/>
          <w:vertAlign w:val="subscript"/>
        </w:rPr>
        <w:t>max</w:t>
      </w:r>
      <w:proofErr w:type="spellEnd"/>
      <w:r w:rsidRPr="001134EA">
        <w:rPr>
          <w:sz w:val="24"/>
          <w:szCs w:val="24"/>
        </w:rPr>
        <w:t xml:space="preserve">) af paracetamol observeret ved afslutningen på en 15-minutters intravenøs infusion på 500 mg og 1 g af paracetamol er hhv. ca. 15 </w:t>
      </w:r>
      <w:proofErr w:type="spellStart"/>
      <w:r w:rsidRPr="001134EA">
        <w:rPr>
          <w:sz w:val="24"/>
          <w:szCs w:val="24"/>
        </w:rPr>
        <w:t>μg</w:t>
      </w:r>
      <w:proofErr w:type="spellEnd"/>
      <w:r w:rsidRPr="001134EA">
        <w:rPr>
          <w:sz w:val="24"/>
          <w:szCs w:val="24"/>
        </w:rPr>
        <w:t xml:space="preserve">/ml og 30 </w:t>
      </w:r>
      <w:proofErr w:type="spellStart"/>
      <w:r w:rsidRPr="001134EA">
        <w:rPr>
          <w:sz w:val="24"/>
          <w:szCs w:val="24"/>
        </w:rPr>
        <w:t>μg</w:t>
      </w:r>
      <w:proofErr w:type="spellEnd"/>
      <w:r w:rsidRPr="001134EA">
        <w:rPr>
          <w:sz w:val="24"/>
          <w:szCs w:val="24"/>
        </w:rPr>
        <w:t xml:space="preserve">/ml. </w:t>
      </w:r>
    </w:p>
    <w:p w14:paraId="71F535E3" w14:textId="77777777" w:rsidR="001134EA" w:rsidRPr="001134EA" w:rsidRDefault="001134EA" w:rsidP="00793067">
      <w:pPr>
        <w:ind w:left="851"/>
        <w:rPr>
          <w:bCs/>
          <w:iCs/>
          <w:sz w:val="24"/>
          <w:szCs w:val="24"/>
        </w:rPr>
      </w:pPr>
    </w:p>
    <w:p w14:paraId="67213541" w14:textId="17965072" w:rsidR="001134EA" w:rsidRPr="001134EA" w:rsidRDefault="001134EA" w:rsidP="00793067">
      <w:pPr>
        <w:ind w:left="851"/>
        <w:rPr>
          <w:bCs/>
          <w:i/>
          <w:sz w:val="24"/>
          <w:szCs w:val="24"/>
        </w:rPr>
      </w:pPr>
      <w:r w:rsidRPr="001134EA">
        <w:rPr>
          <w:bCs/>
          <w:i/>
          <w:sz w:val="24"/>
          <w:szCs w:val="24"/>
        </w:rPr>
        <w:t>Fordeling</w:t>
      </w:r>
    </w:p>
    <w:p w14:paraId="0004FF1F" w14:textId="77777777" w:rsidR="001134EA" w:rsidRPr="001134EA" w:rsidRDefault="001134EA" w:rsidP="00793067">
      <w:pPr>
        <w:ind w:left="851"/>
        <w:rPr>
          <w:sz w:val="24"/>
          <w:szCs w:val="24"/>
        </w:rPr>
      </w:pPr>
      <w:r w:rsidRPr="001134EA">
        <w:rPr>
          <w:sz w:val="24"/>
          <w:szCs w:val="24"/>
        </w:rPr>
        <w:t>Fordelingsvolumenet af paracetamol er ca. 1 l/kg.</w:t>
      </w:r>
    </w:p>
    <w:p w14:paraId="5ABBE914" w14:textId="1F87AAC7" w:rsidR="001134EA" w:rsidRPr="001134EA" w:rsidRDefault="001134EA" w:rsidP="00793067">
      <w:pPr>
        <w:ind w:left="851"/>
        <w:rPr>
          <w:sz w:val="24"/>
          <w:szCs w:val="24"/>
        </w:rPr>
      </w:pPr>
      <w:r w:rsidRPr="001134EA">
        <w:rPr>
          <w:sz w:val="24"/>
          <w:szCs w:val="24"/>
        </w:rPr>
        <w:t>Paracetamol bindes ikke i udstrakt grad til plasmaproteiner (ca.</w:t>
      </w:r>
      <w:r w:rsidR="0016268D">
        <w:rPr>
          <w:sz w:val="24"/>
          <w:szCs w:val="24"/>
        </w:rPr>
        <w:t xml:space="preserve"> </w:t>
      </w:r>
      <w:r w:rsidRPr="001134EA">
        <w:rPr>
          <w:sz w:val="24"/>
          <w:szCs w:val="24"/>
        </w:rPr>
        <w:t>10 %).</w:t>
      </w:r>
    </w:p>
    <w:p w14:paraId="75E99388" w14:textId="77777777" w:rsidR="001134EA" w:rsidRPr="001134EA" w:rsidRDefault="001134EA" w:rsidP="00793067">
      <w:pPr>
        <w:ind w:left="851"/>
        <w:rPr>
          <w:sz w:val="24"/>
          <w:szCs w:val="24"/>
        </w:rPr>
      </w:pPr>
      <w:r w:rsidRPr="001134EA">
        <w:rPr>
          <w:sz w:val="24"/>
          <w:szCs w:val="24"/>
        </w:rPr>
        <w:t>Tyve minutter efter infusion af 1 g paracetamol blev der observeret signifikante koncentrationer af paracetamol (ca. 1,5 µg/ml) i cerebrospinalvæsken.</w:t>
      </w:r>
    </w:p>
    <w:p w14:paraId="1CCDCC5C" w14:textId="77777777" w:rsidR="001134EA" w:rsidRPr="001134EA" w:rsidRDefault="001134EA" w:rsidP="00793067">
      <w:pPr>
        <w:ind w:left="851"/>
        <w:rPr>
          <w:bCs/>
          <w:iCs/>
          <w:sz w:val="24"/>
          <w:szCs w:val="24"/>
        </w:rPr>
      </w:pPr>
    </w:p>
    <w:p w14:paraId="1E2593F4" w14:textId="7C98E9DA" w:rsidR="001134EA" w:rsidRPr="001134EA" w:rsidRDefault="001134EA" w:rsidP="00793067">
      <w:pPr>
        <w:ind w:left="851"/>
        <w:rPr>
          <w:bCs/>
          <w:i/>
          <w:sz w:val="24"/>
          <w:szCs w:val="24"/>
        </w:rPr>
      </w:pPr>
      <w:r w:rsidRPr="001134EA">
        <w:rPr>
          <w:bCs/>
          <w:i/>
          <w:sz w:val="24"/>
          <w:szCs w:val="24"/>
        </w:rPr>
        <w:t>Metabolisme</w:t>
      </w:r>
    </w:p>
    <w:p w14:paraId="22A9C9C4" w14:textId="0B93DE00" w:rsidR="001134EA" w:rsidRPr="001134EA" w:rsidRDefault="001134EA" w:rsidP="00793067">
      <w:pPr>
        <w:ind w:left="851"/>
        <w:rPr>
          <w:sz w:val="24"/>
          <w:szCs w:val="24"/>
        </w:rPr>
      </w:pPr>
      <w:r w:rsidRPr="001134EA">
        <w:rPr>
          <w:sz w:val="24"/>
          <w:szCs w:val="24"/>
        </w:rPr>
        <w:t xml:space="preserve">Paracetamol </w:t>
      </w:r>
      <w:proofErr w:type="spellStart"/>
      <w:r w:rsidRPr="001134EA">
        <w:rPr>
          <w:sz w:val="24"/>
          <w:szCs w:val="24"/>
        </w:rPr>
        <w:t>metaboliseres</w:t>
      </w:r>
      <w:proofErr w:type="spellEnd"/>
      <w:r w:rsidRPr="001134EA">
        <w:rPr>
          <w:sz w:val="24"/>
          <w:szCs w:val="24"/>
        </w:rPr>
        <w:t xml:space="preserve"> hovedsageligt i leveren og følger to større levermekanismer: konjugation med henholdsvis </w:t>
      </w:r>
      <w:proofErr w:type="spellStart"/>
      <w:r w:rsidRPr="001134EA">
        <w:rPr>
          <w:sz w:val="24"/>
          <w:szCs w:val="24"/>
        </w:rPr>
        <w:t>glucuronsyre</w:t>
      </w:r>
      <w:proofErr w:type="spellEnd"/>
      <w:r w:rsidRPr="001134EA">
        <w:rPr>
          <w:sz w:val="24"/>
          <w:szCs w:val="24"/>
        </w:rPr>
        <w:t xml:space="preserve"> og svovlsyre. Den sidstnævnte mekanisme mættes hurtigt ved doser, som overstiger de terapeutiske doser. En lille fraktion (mindre end 4 %) </w:t>
      </w:r>
      <w:proofErr w:type="spellStart"/>
      <w:r w:rsidRPr="001134EA">
        <w:rPr>
          <w:sz w:val="24"/>
          <w:szCs w:val="24"/>
        </w:rPr>
        <w:t>metaboliseres</w:t>
      </w:r>
      <w:proofErr w:type="spellEnd"/>
      <w:r w:rsidRPr="001134EA">
        <w:rPr>
          <w:sz w:val="24"/>
          <w:szCs w:val="24"/>
        </w:rPr>
        <w:t xml:space="preserve"> via cytokrom-P</w:t>
      </w:r>
      <w:r w:rsidRPr="001134EA">
        <w:rPr>
          <w:sz w:val="24"/>
          <w:szCs w:val="24"/>
          <w:vertAlign w:val="subscript"/>
        </w:rPr>
        <w:t>450</w:t>
      </w:r>
      <w:r w:rsidRPr="001134EA">
        <w:rPr>
          <w:sz w:val="24"/>
          <w:szCs w:val="24"/>
        </w:rPr>
        <w:t xml:space="preserve"> til et reaktivt </w:t>
      </w:r>
      <w:proofErr w:type="spellStart"/>
      <w:r w:rsidRPr="001134EA">
        <w:rPr>
          <w:sz w:val="24"/>
          <w:szCs w:val="24"/>
        </w:rPr>
        <w:t>intermediær</w:t>
      </w:r>
      <w:proofErr w:type="spellEnd"/>
      <w:r w:rsidRPr="001134EA">
        <w:rPr>
          <w:sz w:val="24"/>
          <w:szCs w:val="24"/>
        </w:rPr>
        <w:t xml:space="preserve"> (</w:t>
      </w:r>
      <w:proofErr w:type="spellStart"/>
      <w:r w:rsidRPr="001134EA">
        <w:rPr>
          <w:sz w:val="24"/>
          <w:szCs w:val="24"/>
        </w:rPr>
        <w:t>N-acetylbenzo</w:t>
      </w:r>
      <w:r w:rsidR="00FA19FB">
        <w:rPr>
          <w:sz w:val="24"/>
          <w:szCs w:val="24"/>
        </w:rPr>
        <w:softHyphen/>
      </w:r>
      <w:r w:rsidRPr="001134EA">
        <w:rPr>
          <w:sz w:val="24"/>
          <w:szCs w:val="24"/>
        </w:rPr>
        <w:t>kinonimin</w:t>
      </w:r>
      <w:proofErr w:type="spellEnd"/>
      <w:r w:rsidRPr="001134EA">
        <w:rPr>
          <w:sz w:val="24"/>
          <w:szCs w:val="24"/>
        </w:rPr>
        <w:t xml:space="preserve">), der ved normal dosering hurtigt afgiftes af reduceret </w:t>
      </w:r>
      <w:proofErr w:type="spellStart"/>
      <w:r w:rsidRPr="001134EA">
        <w:rPr>
          <w:sz w:val="24"/>
          <w:szCs w:val="24"/>
        </w:rPr>
        <w:t>glutathion</w:t>
      </w:r>
      <w:proofErr w:type="spellEnd"/>
      <w:r w:rsidRPr="001134EA">
        <w:rPr>
          <w:sz w:val="24"/>
          <w:szCs w:val="24"/>
        </w:rPr>
        <w:t xml:space="preserve">, og elimineres i urinen efter </w:t>
      </w:r>
      <w:proofErr w:type="spellStart"/>
      <w:r w:rsidRPr="001134EA">
        <w:rPr>
          <w:sz w:val="24"/>
          <w:szCs w:val="24"/>
        </w:rPr>
        <w:t>konjugering</w:t>
      </w:r>
      <w:proofErr w:type="spellEnd"/>
      <w:r w:rsidRPr="001134EA">
        <w:rPr>
          <w:sz w:val="24"/>
          <w:szCs w:val="24"/>
        </w:rPr>
        <w:t xml:space="preserve"> med </w:t>
      </w:r>
      <w:proofErr w:type="spellStart"/>
      <w:r w:rsidRPr="001134EA">
        <w:rPr>
          <w:sz w:val="24"/>
          <w:szCs w:val="24"/>
        </w:rPr>
        <w:t>cystein</w:t>
      </w:r>
      <w:proofErr w:type="spellEnd"/>
      <w:r w:rsidRPr="001134EA">
        <w:rPr>
          <w:sz w:val="24"/>
          <w:szCs w:val="24"/>
        </w:rPr>
        <w:t xml:space="preserve"> og </w:t>
      </w:r>
      <w:proofErr w:type="spellStart"/>
      <w:r w:rsidRPr="001134EA">
        <w:rPr>
          <w:sz w:val="24"/>
          <w:szCs w:val="24"/>
        </w:rPr>
        <w:t>merkaptursyre</w:t>
      </w:r>
      <w:proofErr w:type="spellEnd"/>
      <w:r w:rsidRPr="001134EA">
        <w:rPr>
          <w:sz w:val="24"/>
          <w:szCs w:val="24"/>
        </w:rPr>
        <w:t xml:space="preserve">. Dog øges mængden af denne toksiske metabolit ved massiv overdosering. </w:t>
      </w:r>
    </w:p>
    <w:p w14:paraId="66AE1AAD" w14:textId="77777777" w:rsidR="001134EA" w:rsidRPr="001134EA" w:rsidRDefault="001134EA" w:rsidP="00793067">
      <w:pPr>
        <w:ind w:left="851"/>
        <w:rPr>
          <w:bCs/>
          <w:sz w:val="24"/>
          <w:szCs w:val="24"/>
        </w:rPr>
      </w:pPr>
    </w:p>
    <w:p w14:paraId="40423AB6" w14:textId="11505939" w:rsidR="001134EA" w:rsidRPr="001134EA" w:rsidRDefault="001134EA" w:rsidP="00793067">
      <w:pPr>
        <w:ind w:left="851"/>
        <w:rPr>
          <w:bCs/>
          <w:i/>
          <w:sz w:val="24"/>
          <w:szCs w:val="24"/>
        </w:rPr>
      </w:pPr>
      <w:r w:rsidRPr="001134EA">
        <w:rPr>
          <w:bCs/>
          <w:i/>
          <w:sz w:val="24"/>
          <w:szCs w:val="24"/>
        </w:rPr>
        <w:t>Elimination</w:t>
      </w:r>
    </w:p>
    <w:p w14:paraId="47D3261E" w14:textId="77777777" w:rsidR="001134EA" w:rsidRPr="001134EA" w:rsidRDefault="001134EA" w:rsidP="00793067">
      <w:pPr>
        <w:ind w:left="851"/>
        <w:rPr>
          <w:sz w:val="24"/>
          <w:szCs w:val="24"/>
        </w:rPr>
      </w:pPr>
      <w:r w:rsidRPr="001134EA">
        <w:rPr>
          <w:sz w:val="24"/>
          <w:szCs w:val="24"/>
        </w:rPr>
        <w:t xml:space="preserve">Metabolitter af paracetamol udskilles hovedsageligt i urinen. 90 % af den indgivne dosis udskilles inden for 24 timer, primært som </w:t>
      </w:r>
      <w:proofErr w:type="spellStart"/>
      <w:r w:rsidRPr="001134EA">
        <w:rPr>
          <w:sz w:val="24"/>
          <w:szCs w:val="24"/>
        </w:rPr>
        <w:t>glucuronid</w:t>
      </w:r>
      <w:proofErr w:type="spellEnd"/>
      <w:r w:rsidRPr="001134EA">
        <w:rPr>
          <w:sz w:val="24"/>
          <w:szCs w:val="24"/>
        </w:rPr>
        <w:t xml:space="preserve">- (60-80 %) og </w:t>
      </w:r>
      <w:proofErr w:type="spellStart"/>
      <w:r w:rsidRPr="001134EA">
        <w:rPr>
          <w:sz w:val="24"/>
          <w:szCs w:val="24"/>
        </w:rPr>
        <w:t>sulfatkonjugater</w:t>
      </w:r>
      <w:proofErr w:type="spellEnd"/>
      <w:r w:rsidRPr="001134EA">
        <w:rPr>
          <w:sz w:val="24"/>
          <w:szCs w:val="24"/>
        </w:rPr>
        <w:t xml:space="preserve"> (20-30 %). Mindre end 5 % udskilles i uændret form. Halveringstiden i plasma er 2,7 timer, og den totale krops-</w:t>
      </w:r>
      <w:proofErr w:type="spellStart"/>
      <w:r w:rsidRPr="001134EA">
        <w:rPr>
          <w:sz w:val="24"/>
          <w:szCs w:val="24"/>
        </w:rPr>
        <w:t>clearance</w:t>
      </w:r>
      <w:proofErr w:type="spellEnd"/>
      <w:r w:rsidRPr="001134EA">
        <w:rPr>
          <w:sz w:val="24"/>
          <w:szCs w:val="24"/>
        </w:rPr>
        <w:t xml:space="preserve"> er 18 l/t. </w:t>
      </w:r>
    </w:p>
    <w:p w14:paraId="0A6A2A1D" w14:textId="77777777" w:rsidR="001134EA" w:rsidRPr="001134EA" w:rsidRDefault="001134EA" w:rsidP="00793067">
      <w:pPr>
        <w:ind w:left="851"/>
        <w:rPr>
          <w:bCs/>
          <w:sz w:val="24"/>
          <w:szCs w:val="24"/>
        </w:rPr>
      </w:pPr>
    </w:p>
    <w:p w14:paraId="25DE4C84" w14:textId="77777777" w:rsidR="001134EA" w:rsidRPr="001134EA" w:rsidRDefault="001134EA" w:rsidP="00793067">
      <w:pPr>
        <w:ind w:left="851"/>
        <w:rPr>
          <w:bCs/>
          <w:sz w:val="24"/>
          <w:szCs w:val="24"/>
          <w:u w:val="single"/>
        </w:rPr>
      </w:pPr>
      <w:r w:rsidRPr="001134EA">
        <w:rPr>
          <w:bCs/>
          <w:sz w:val="24"/>
          <w:szCs w:val="24"/>
          <w:u w:val="single"/>
        </w:rPr>
        <w:t>Specielle populationer</w:t>
      </w:r>
    </w:p>
    <w:p w14:paraId="0B3C605A" w14:textId="77777777" w:rsidR="0016268D" w:rsidRDefault="0016268D" w:rsidP="00793067">
      <w:pPr>
        <w:ind w:left="851"/>
        <w:rPr>
          <w:i/>
          <w:iCs/>
          <w:sz w:val="24"/>
          <w:szCs w:val="24"/>
        </w:rPr>
      </w:pPr>
    </w:p>
    <w:p w14:paraId="5C2A1D59" w14:textId="742003BD" w:rsidR="001134EA" w:rsidRPr="001134EA" w:rsidRDefault="001134EA" w:rsidP="00793067">
      <w:pPr>
        <w:ind w:left="851"/>
        <w:rPr>
          <w:i/>
          <w:iCs/>
          <w:sz w:val="24"/>
          <w:szCs w:val="24"/>
        </w:rPr>
      </w:pPr>
      <w:r w:rsidRPr="001134EA">
        <w:rPr>
          <w:i/>
          <w:iCs/>
          <w:sz w:val="24"/>
          <w:szCs w:val="24"/>
        </w:rPr>
        <w:t>Nedsat nyrefunktion</w:t>
      </w:r>
    </w:p>
    <w:p w14:paraId="56B4BE6A" w14:textId="5075CD1C" w:rsidR="001134EA" w:rsidRPr="001134EA" w:rsidRDefault="001134EA" w:rsidP="00793067">
      <w:pPr>
        <w:ind w:left="851"/>
        <w:rPr>
          <w:sz w:val="24"/>
          <w:szCs w:val="24"/>
        </w:rPr>
      </w:pPr>
      <w:r w:rsidRPr="001134EA">
        <w:rPr>
          <w:sz w:val="24"/>
          <w:szCs w:val="24"/>
        </w:rPr>
        <w:t>I tilfælde af svært nedsat nyrefunktion (</w:t>
      </w:r>
      <w:proofErr w:type="spellStart"/>
      <w:r w:rsidRPr="001134EA">
        <w:rPr>
          <w:sz w:val="24"/>
          <w:szCs w:val="24"/>
        </w:rPr>
        <w:t>kreatininclearance</w:t>
      </w:r>
      <w:proofErr w:type="spellEnd"/>
      <w:r w:rsidRPr="001134EA">
        <w:rPr>
          <w:sz w:val="24"/>
          <w:szCs w:val="24"/>
        </w:rPr>
        <w:t xml:space="preserve"> 10-50 ml/min), er udskillelsen af paracetamol lidt forsinket, eliminationshalveringstiden ligger i intervallet 2 til 5,3 timer. For </w:t>
      </w:r>
      <w:proofErr w:type="spellStart"/>
      <w:r w:rsidRPr="001134EA">
        <w:rPr>
          <w:sz w:val="24"/>
          <w:szCs w:val="24"/>
        </w:rPr>
        <w:t>glucuronid</w:t>
      </w:r>
      <w:proofErr w:type="spellEnd"/>
      <w:r w:rsidRPr="001134EA">
        <w:rPr>
          <w:sz w:val="24"/>
          <w:szCs w:val="24"/>
        </w:rPr>
        <w:t xml:space="preserve">- og </w:t>
      </w:r>
      <w:proofErr w:type="spellStart"/>
      <w:r w:rsidRPr="001134EA">
        <w:rPr>
          <w:sz w:val="24"/>
          <w:szCs w:val="24"/>
        </w:rPr>
        <w:t>sulfatkonjugater</w:t>
      </w:r>
      <w:proofErr w:type="spellEnd"/>
      <w:r w:rsidRPr="001134EA">
        <w:rPr>
          <w:sz w:val="24"/>
          <w:szCs w:val="24"/>
        </w:rPr>
        <w:t xml:space="preserve"> er eliminationshastigheden 3 gange langsommere hos forsøgspersoner med svært nedsat nyrefunktion end hos raske forsøgspersoner. Derfor bør det minimale interval mellem hver indgivelse forhøjes til 6 timer, når paracetamol gives til patienter med svært nedsat nyrefunktion (</w:t>
      </w:r>
      <w:proofErr w:type="spellStart"/>
      <w:r w:rsidRPr="001134EA">
        <w:rPr>
          <w:sz w:val="24"/>
          <w:szCs w:val="24"/>
        </w:rPr>
        <w:t>kreatininclearance</w:t>
      </w:r>
      <w:proofErr w:type="spellEnd"/>
      <w:r w:rsidRPr="001134EA">
        <w:rPr>
          <w:sz w:val="24"/>
          <w:szCs w:val="24"/>
        </w:rPr>
        <w:t xml:space="preserve"> 10-50 ml/min) (se </w:t>
      </w:r>
      <w:r w:rsidR="00951E6D">
        <w:rPr>
          <w:sz w:val="24"/>
          <w:szCs w:val="24"/>
        </w:rPr>
        <w:t>pkt.</w:t>
      </w:r>
      <w:r w:rsidRPr="001134EA">
        <w:rPr>
          <w:sz w:val="24"/>
          <w:szCs w:val="24"/>
        </w:rPr>
        <w:t xml:space="preserve"> 4.2.).</w:t>
      </w:r>
    </w:p>
    <w:p w14:paraId="6EF9D59A" w14:textId="77777777" w:rsidR="001134EA" w:rsidRPr="001134EA" w:rsidRDefault="001134EA" w:rsidP="00793067">
      <w:pPr>
        <w:ind w:left="851"/>
        <w:rPr>
          <w:sz w:val="24"/>
          <w:szCs w:val="24"/>
        </w:rPr>
      </w:pPr>
    </w:p>
    <w:p w14:paraId="018460C5" w14:textId="778BFBF0" w:rsidR="001134EA" w:rsidRPr="001134EA" w:rsidRDefault="001134EA" w:rsidP="00793067">
      <w:pPr>
        <w:ind w:left="851"/>
        <w:rPr>
          <w:i/>
          <w:iCs/>
          <w:sz w:val="24"/>
          <w:szCs w:val="24"/>
        </w:rPr>
      </w:pPr>
      <w:r w:rsidRPr="001134EA">
        <w:rPr>
          <w:i/>
          <w:iCs/>
          <w:sz w:val="24"/>
          <w:szCs w:val="24"/>
        </w:rPr>
        <w:t>Ældre</w:t>
      </w:r>
    </w:p>
    <w:p w14:paraId="4E8127BA" w14:textId="77777777" w:rsidR="001134EA" w:rsidRPr="001134EA" w:rsidRDefault="001134EA" w:rsidP="00793067">
      <w:pPr>
        <w:ind w:left="851"/>
        <w:rPr>
          <w:sz w:val="24"/>
          <w:szCs w:val="24"/>
        </w:rPr>
      </w:pPr>
      <w:r w:rsidRPr="001134EA">
        <w:rPr>
          <w:sz w:val="24"/>
          <w:szCs w:val="24"/>
        </w:rPr>
        <w:t xml:space="preserve">Farmakokinetik og metabolisme for paracetamol er ikke ændret hos ældre. Der kræves ingen dosisjustering hos denne population. </w:t>
      </w:r>
    </w:p>
    <w:p w14:paraId="28C6BCC0" w14:textId="77777777" w:rsidR="009260DE" w:rsidRPr="00054795" w:rsidRDefault="009260DE" w:rsidP="009260DE">
      <w:pPr>
        <w:tabs>
          <w:tab w:val="left" w:pos="851"/>
        </w:tabs>
        <w:ind w:left="851"/>
        <w:rPr>
          <w:sz w:val="24"/>
          <w:szCs w:val="24"/>
        </w:rPr>
      </w:pPr>
    </w:p>
    <w:p w14:paraId="6B43CCDE" w14:textId="77777777" w:rsidR="009260DE" w:rsidRPr="00054795" w:rsidRDefault="009260DE" w:rsidP="009260DE">
      <w:pPr>
        <w:tabs>
          <w:tab w:val="left" w:pos="851"/>
        </w:tabs>
        <w:ind w:left="851" w:hanging="851"/>
        <w:rPr>
          <w:b/>
          <w:sz w:val="24"/>
          <w:szCs w:val="24"/>
        </w:rPr>
      </w:pPr>
      <w:r w:rsidRPr="00054795">
        <w:rPr>
          <w:b/>
          <w:sz w:val="24"/>
          <w:szCs w:val="24"/>
        </w:rPr>
        <w:t>5.3</w:t>
      </w:r>
      <w:r w:rsidRPr="00054795">
        <w:rPr>
          <w:b/>
          <w:sz w:val="24"/>
          <w:szCs w:val="24"/>
        </w:rPr>
        <w:tab/>
      </w:r>
      <w:r w:rsidR="00BD7931" w:rsidRPr="00054795">
        <w:rPr>
          <w:b/>
          <w:sz w:val="24"/>
          <w:szCs w:val="24"/>
        </w:rPr>
        <w:t>Non-</w:t>
      </w:r>
      <w:r w:rsidRPr="00054795">
        <w:rPr>
          <w:b/>
          <w:sz w:val="24"/>
          <w:szCs w:val="24"/>
        </w:rPr>
        <w:t>kliniske sikkerhedsdata</w:t>
      </w:r>
    </w:p>
    <w:p w14:paraId="6B957CB0" w14:textId="26490562" w:rsidR="001134EA" w:rsidRPr="001134EA" w:rsidRDefault="001134EA" w:rsidP="00054795">
      <w:pPr>
        <w:ind w:left="851"/>
        <w:rPr>
          <w:sz w:val="24"/>
          <w:szCs w:val="24"/>
        </w:rPr>
      </w:pPr>
      <w:r w:rsidRPr="001134EA">
        <w:rPr>
          <w:sz w:val="24"/>
          <w:szCs w:val="24"/>
        </w:rPr>
        <w:t xml:space="preserve">Prækliniske data afdækker ingen særlig fare for mennesker udover informationen i andre afsnit af produktresuméet. </w:t>
      </w:r>
      <w:r w:rsidR="0016268D">
        <w:rPr>
          <w:sz w:val="24"/>
          <w:szCs w:val="24"/>
        </w:rPr>
        <w:t>U</w:t>
      </w:r>
      <w:r w:rsidRPr="001134EA">
        <w:rPr>
          <w:sz w:val="24"/>
          <w:szCs w:val="24"/>
        </w:rPr>
        <w:t xml:space="preserve">ndersøgelse af lokal tolerance af paracetamol infusionsopløsning i rotter og kaniner viste god </w:t>
      </w:r>
      <w:proofErr w:type="spellStart"/>
      <w:r w:rsidRPr="001134EA">
        <w:rPr>
          <w:sz w:val="24"/>
          <w:szCs w:val="24"/>
        </w:rPr>
        <w:t>tolerabilitet</w:t>
      </w:r>
      <w:proofErr w:type="spellEnd"/>
      <w:r w:rsidRPr="001134EA">
        <w:rPr>
          <w:sz w:val="24"/>
          <w:szCs w:val="24"/>
        </w:rPr>
        <w:t>. Udeblivelse af forsinket overfølsomhed ved kontakt er blevet testet på marsvin.</w:t>
      </w:r>
    </w:p>
    <w:p w14:paraId="60DD635F" w14:textId="77777777" w:rsidR="001134EA" w:rsidRPr="001134EA" w:rsidRDefault="001134EA" w:rsidP="00054795">
      <w:pPr>
        <w:ind w:left="851"/>
        <w:rPr>
          <w:sz w:val="24"/>
          <w:szCs w:val="24"/>
        </w:rPr>
      </w:pPr>
    </w:p>
    <w:p w14:paraId="283A2208" w14:textId="77777777" w:rsidR="001134EA" w:rsidRPr="001134EA" w:rsidRDefault="001134EA" w:rsidP="00054795">
      <w:pPr>
        <w:ind w:left="851"/>
        <w:rPr>
          <w:sz w:val="24"/>
          <w:szCs w:val="24"/>
        </w:rPr>
      </w:pPr>
      <w:r w:rsidRPr="001134EA">
        <w:rPr>
          <w:sz w:val="24"/>
          <w:szCs w:val="24"/>
        </w:rPr>
        <w:t xml:space="preserve">Der foreligger ikke konventionelle studier, hvor man har anvendt aktuelt anerkendte standarder for evaluering af reproduktions- og udviklingstoksicitet. </w:t>
      </w:r>
    </w:p>
    <w:p w14:paraId="593863AC" w14:textId="77777777" w:rsidR="001134EA" w:rsidRPr="001134EA" w:rsidRDefault="001134EA" w:rsidP="00054795">
      <w:pPr>
        <w:ind w:left="851"/>
        <w:rPr>
          <w:sz w:val="24"/>
          <w:szCs w:val="24"/>
        </w:rPr>
      </w:pPr>
    </w:p>
    <w:p w14:paraId="6354A45C" w14:textId="77777777" w:rsidR="001134EA" w:rsidRPr="001134EA" w:rsidRDefault="001134EA" w:rsidP="00054795">
      <w:pPr>
        <w:ind w:left="851"/>
        <w:rPr>
          <w:sz w:val="24"/>
          <w:szCs w:val="24"/>
        </w:rPr>
      </w:pPr>
      <w:r w:rsidRPr="001134EA">
        <w:rPr>
          <w:sz w:val="24"/>
          <w:szCs w:val="24"/>
        </w:rPr>
        <w:t xml:space="preserve">Paracetamol har vist sig at være ikke </w:t>
      </w:r>
      <w:proofErr w:type="spellStart"/>
      <w:r w:rsidRPr="001134EA">
        <w:rPr>
          <w:sz w:val="24"/>
          <w:szCs w:val="24"/>
        </w:rPr>
        <w:t>carcinogent</w:t>
      </w:r>
      <w:proofErr w:type="spellEnd"/>
      <w:r w:rsidRPr="001134EA">
        <w:rPr>
          <w:sz w:val="24"/>
          <w:szCs w:val="24"/>
        </w:rPr>
        <w:t xml:space="preserve"> i hanrotter såvel som i han- og </w:t>
      </w:r>
      <w:proofErr w:type="spellStart"/>
      <w:r w:rsidRPr="001134EA">
        <w:rPr>
          <w:sz w:val="24"/>
          <w:szCs w:val="24"/>
        </w:rPr>
        <w:t>hunmus</w:t>
      </w:r>
      <w:proofErr w:type="spellEnd"/>
      <w:r w:rsidRPr="001134EA">
        <w:rPr>
          <w:sz w:val="24"/>
          <w:szCs w:val="24"/>
        </w:rPr>
        <w:t xml:space="preserve">. </w:t>
      </w:r>
    </w:p>
    <w:p w14:paraId="41324652" w14:textId="3E15CBCE" w:rsidR="001134EA" w:rsidRPr="001134EA" w:rsidRDefault="001134EA" w:rsidP="00054795">
      <w:pPr>
        <w:ind w:left="851"/>
        <w:rPr>
          <w:sz w:val="24"/>
          <w:szCs w:val="24"/>
        </w:rPr>
      </w:pPr>
      <w:r w:rsidRPr="001134EA">
        <w:rPr>
          <w:sz w:val="24"/>
          <w:szCs w:val="24"/>
        </w:rPr>
        <w:t xml:space="preserve">Tvetydigt evidens for </w:t>
      </w:r>
      <w:proofErr w:type="spellStart"/>
      <w:r w:rsidRPr="001134EA">
        <w:rPr>
          <w:sz w:val="24"/>
          <w:szCs w:val="24"/>
        </w:rPr>
        <w:t>carcinogen</w:t>
      </w:r>
      <w:proofErr w:type="spellEnd"/>
      <w:r w:rsidRPr="001134EA">
        <w:rPr>
          <w:sz w:val="24"/>
          <w:szCs w:val="24"/>
        </w:rPr>
        <w:t xml:space="preserve"> aktivitet var observeret for hunrotter baseret på en øget forekomst af </w:t>
      </w:r>
      <w:proofErr w:type="spellStart"/>
      <w:r w:rsidRPr="001134EA">
        <w:rPr>
          <w:sz w:val="24"/>
          <w:szCs w:val="24"/>
        </w:rPr>
        <w:t>mononukleær</w:t>
      </w:r>
      <w:proofErr w:type="spellEnd"/>
      <w:r w:rsidRPr="001134EA">
        <w:rPr>
          <w:sz w:val="24"/>
          <w:szCs w:val="24"/>
        </w:rPr>
        <w:t xml:space="preserve"> celle leukæmi. </w:t>
      </w:r>
    </w:p>
    <w:p w14:paraId="40C09D04" w14:textId="77777777" w:rsidR="001134EA" w:rsidRPr="001134EA" w:rsidRDefault="001134EA" w:rsidP="00054795">
      <w:pPr>
        <w:ind w:left="851"/>
        <w:rPr>
          <w:sz w:val="24"/>
          <w:szCs w:val="24"/>
        </w:rPr>
      </w:pPr>
    </w:p>
    <w:p w14:paraId="38548B81" w14:textId="65387BCB" w:rsidR="001134EA" w:rsidRPr="001134EA" w:rsidRDefault="001134EA" w:rsidP="00054795">
      <w:pPr>
        <w:ind w:left="851"/>
        <w:rPr>
          <w:sz w:val="24"/>
          <w:szCs w:val="24"/>
        </w:rPr>
      </w:pPr>
      <w:r w:rsidRPr="001134EA">
        <w:rPr>
          <w:sz w:val="24"/>
          <w:szCs w:val="24"/>
        </w:rPr>
        <w:t xml:space="preserve">Et komparativt litteratur </w:t>
      </w:r>
      <w:proofErr w:type="spellStart"/>
      <w:r w:rsidRPr="001134EA">
        <w:rPr>
          <w:sz w:val="24"/>
          <w:szCs w:val="24"/>
        </w:rPr>
        <w:t>review</w:t>
      </w:r>
      <w:proofErr w:type="spellEnd"/>
      <w:r w:rsidRPr="001134EA">
        <w:rPr>
          <w:sz w:val="24"/>
          <w:szCs w:val="24"/>
        </w:rPr>
        <w:t xml:space="preserve"> vedrørende paracetamol genotoksicitet og </w:t>
      </w:r>
      <w:proofErr w:type="spellStart"/>
      <w:r w:rsidRPr="001134EA">
        <w:rPr>
          <w:sz w:val="24"/>
          <w:szCs w:val="24"/>
        </w:rPr>
        <w:t>carcinogenicitet</w:t>
      </w:r>
      <w:proofErr w:type="spellEnd"/>
      <w:r w:rsidRPr="001134EA">
        <w:rPr>
          <w:sz w:val="24"/>
          <w:szCs w:val="24"/>
        </w:rPr>
        <w:t xml:space="preserve"> viste, at de genotoksiske virkninger af paracetamol forekom kun ved doser over det anbefalede interval resulterende i alvorlige toksiske virkninger herunder udtalt lever- og knoglemarvs toksicitet. Tærskelværdien for genotoksicitet er ikke nået ved de terapeutiske doser af paracetamol.  </w:t>
      </w:r>
    </w:p>
    <w:p w14:paraId="4EFA6A43" w14:textId="77777777" w:rsidR="009260DE" w:rsidRPr="00054795" w:rsidRDefault="009260DE" w:rsidP="009260DE">
      <w:pPr>
        <w:tabs>
          <w:tab w:val="left" w:pos="851"/>
        </w:tabs>
        <w:ind w:left="851"/>
        <w:rPr>
          <w:sz w:val="24"/>
          <w:szCs w:val="24"/>
        </w:rPr>
      </w:pPr>
    </w:p>
    <w:p w14:paraId="77CB5A69" w14:textId="77777777" w:rsidR="009260DE" w:rsidRPr="00054795" w:rsidRDefault="009260DE" w:rsidP="009260DE">
      <w:pPr>
        <w:tabs>
          <w:tab w:val="left" w:pos="851"/>
        </w:tabs>
        <w:ind w:left="851"/>
        <w:rPr>
          <w:sz w:val="24"/>
          <w:szCs w:val="24"/>
        </w:rPr>
      </w:pPr>
    </w:p>
    <w:p w14:paraId="4F5878B0" w14:textId="77777777" w:rsidR="009260DE" w:rsidRPr="00054795" w:rsidRDefault="009260DE" w:rsidP="009260DE">
      <w:pPr>
        <w:tabs>
          <w:tab w:val="left" w:pos="851"/>
        </w:tabs>
        <w:ind w:left="851" w:hanging="851"/>
        <w:rPr>
          <w:b/>
          <w:sz w:val="24"/>
          <w:szCs w:val="24"/>
        </w:rPr>
      </w:pPr>
      <w:r w:rsidRPr="00054795">
        <w:rPr>
          <w:b/>
          <w:sz w:val="24"/>
          <w:szCs w:val="24"/>
        </w:rPr>
        <w:t>6.</w:t>
      </w:r>
      <w:r w:rsidRPr="00054795">
        <w:rPr>
          <w:b/>
          <w:sz w:val="24"/>
          <w:szCs w:val="24"/>
        </w:rPr>
        <w:tab/>
        <w:t>FARMACEUTISKE OPLYSNINGER</w:t>
      </w:r>
    </w:p>
    <w:p w14:paraId="101ACC3C" w14:textId="77777777" w:rsidR="009260DE" w:rsidRPr="00054795" w:rsidRDefault="009260DE" w:rsidP="009260DE">
      <w:pPr>
        <w:tabs>
          <w:tab w:val="left" w:pos="851"/>
        </w:tabs>
        <w:ind w:left="851"/>
        <w:rPr>
          <w:sz w:val="24"/>
          <w:szCs w:val="24"/>
        </w:rPr>
      </w:pPr>
    </w:p>
    <w:p w14:paraId="6F19DA88" w14:textId="77777777" w:rsidR="009260DE" w:rsidRPr="00054795" w:rsidRDefault="009260DE" w:rsidP="009260DE">
      <w:pPr>
        <w:tabs>
          <w:tab w:val="left" w:pos="851"/>
        </w:tabs>
        <w:ind w:left="851" w:hanging="851"/>
        <w:rPr>
          <w:b/>
          <w:sz w:val="24"/>
          <w:szCs w:val="24"/>
        </w:rPr>
      </w:pPr>
      <w:r w:rsidRPr="00054795">
        <w:rPr>
          <w:b/>
          <w:sz w:val="24"/>
          <w:szCs w:val="24"/>
        </w:rPr>
        <w:t>6.1</w:t>
      </w:r>
      <w:r w:rsidRPr="00054795">
        <w:rPr>
          <w:b/>
          <w:sz w:val="24"/>
          <w:szCs w:val="24"/>
        </w:rPr>
        <w:tab/>
        <w:t>Hjælpestoffer</w:t>
      </w:r>
    </w:p>
    <w:p w14:paraId="17AD6D4B" w14:textId="0C5D3376" w:rsidR="001134EA" w:rsidRPr="001134EA" w:rsidRDefault="001134EA" w:rsidP="00054795">
      <w:pPr>
        <w:ind w:left="851"/>
        <w:rPr>
          <w:sz w:val="24"/>
          <w:szCs w:val="24"/>
        </w:rPr>
      </w:pPr>
      <w:proofErr w:type="spellStart"/>
      <w:r w:rsidRPr="001134EA">
        <w:rPr>
          <w:sz w:val="24"/>
          <w:szCs w:val="24"/>
        </w:rPr>
        <w:t>Mannitol</w:t>
      </w:r>
      <w:proofErr w:type="spellEnd"/>
      <w:r w:rsidRPr="001134EA">
        <w:rPr>
          <w:sz w:val="24"/>
          <w:szCs w:val="24"/>
        </w:rPr>
        <w:t xml:space="preserve"> (E421)</w:t>
      </w:r>
    </w:p>
    <w:p w14:paraId="73468FCA" w14:textId="77777777" w:rsidR="001134EA" w:rsidRPr="001134EA" w:rsidRDefault="001134EA" w:rsidP="00054795">
      <w:pPr>
        <w:ind w:left="851"/>
        <w:rPr>
          <w:sz w:val="24"/>
          <w:szCs w:val="24"/>
        </w:rPr>
      </w:pPr>
      <w:proofErr w:type="spellStart"/>
      <w:r w:rsidRPr="001134EA">
        <w:rPr>
          <w:sz w:val="24"/>
          <w:szCs w:val="24"/>
        </w:rPr>
        <w:t>Natriumcitratdihydrat</w:t>
      </w:r>
      <w:proofErr w:type="spellEnd"/>
    </w:p>
    <w:p w14:paraId="75072567" w14:textId="77777777" w:rsidR="001134EA" w:rsidRPr="001134EA" w:rsidRDefault="001134EA" w:rsidP="00054795">
      <w:pPr>
        <w:ind w:left="851"/>
        <w:rPr>
          <w:sz w:val="24"/>
          <w:szCs w:val="24"/>
        </w:rPr>
      </w:pPr>
      <w:proofErr w:type="spellStart"/>
      <w:r w:rsidRPr="001134EA">
        <w:rPr>
          <w:sz w:val="24"/>
          <w:szCs w:val="24"/>
        </w:rPr>
        <w:t>Monothioglycerol</w:t>
      </w:r>
      <w:proofErr w:type="spellEnd"/>
    </w:p>
    <w:p w14:paraId="2E32C559" w14:textId="77777777" w:rsidR="001134EA" w:rsidRPr="001134EA" w:rsidRDefault="001134EA" w:rsidP="00054795">
      <w:pPr>
        <w:ind w:left="851"/>
        <w:rPr>
          <w:sz w:val="24"/>
          <w:szCs w:val="24"/>
        </w:rPr>
      </w:pPr>
      <w:r w:rsidRPr="001134EA">
        <w:rPr>
          <w:sz w:val="24"/>
          <w:szCs w:val="24"/>
        </w:rPr>
        <w:t>Eddikesyre (til pH-justering)</w:t>
      </w:r>
    </w:p>
    <w:p w14:paraId="6CC9B495" w14:textId="77777777" w:rsidR="001134EA" w:rsidRPr="001134EA" w:rsidRDefault="001134EA" w:rsidP="00054795">
      <w:pPr>
        <w:ind w:left="851"/>
        <w:rPr>
          <w:sz w:val="24"/>
          <w:szCs w:val="24"/>
        </w:rPr>
      </w:pPr>
      <w:r w:rsidRPr="001134EA">
        <w:rPr>
          <w:sz w:val="24"/>
          <w:szCs w:val="24"/>
        </w:rPr>
        <w:t>Natriumhydroxid (til pH-justering)</w:t>
      </w:r>
    </w:p>
    <w:p w14:paraId="11219C63" w14:textId="77777777" w:rsidR="001134EA" w:rsidRPr="001134EA" w:rsidRDefault="001134EA" w:rsidP="00054795">
      <w:pPr>
        <w:ind w:left="851"/>
        <w:rPr>
          <w:sz w:val="24"/>
          <w:szCs w:val="24"/>
        </w:rPr>
      </w:pPr>
      <w:r w:rsidRPr="001134EA">
        <w:rPr>
          <w:sz w:val="24"/>
          <w:szCs w:val="24"/>
        </w:rPr>
        <w:t>Vand til injektionsvæsker</w:t>
      </w:r>
    </w:p>
    <w:p w14:paraId="618C9D8E" w14:textId="77777777" w:rsidR="009260DE" w:rsidRPr="00054795" w:rsidRDefault="009260DE" w:rsidP="009260DE">
      <w:pPr>
        <w:tabs>
          <w:tab w:val="left" w:pos="851"/>
        </w:tabs>
        <w:ind w:left="851"/>
        <w:rPr>
          <w:sz w:val="24"/>
          <w:szCs w:val="24"/>
        </w:rPr>
      </w:pPr>
    </w:p>
    <w:p w14:paraId="6A8541BA" w14:textId="77777777" w:rsidR="009260DE" w:rsidRPr="00054795" w:rsidRDefault="009260DE" w:rsidP="009260DE">
      <w:pPr>
        <w:tabs>
          <w:tab w:val="left" w:pos="851"/>
        </w:tabs>
        <w:ind w:left="851" w:hanging="851"/>
        <w:rPr>
          <w:b/>
          <w:sz w:val="24"/>
          <w:szCs w:val="24"/>
        </w:rPr>
      </w:pPr>
      <w:r w:rsidRPr="00054795">
        <w:rPr>
          <w:b/>
          <w:sz w:val="24"/>
          <w:szCs w:val="24"/>
        </w:rPr>
        <w:t>6.2</w:t>
      </w:r>
      <w:r w:rsidRPr="00054795">
        <w:rPr>
          <w:b/>
          <w:sz w:val="24"/>
          <w:szCs w:val="24"/>
        </w:rPr>
        <w:tab/>
        <w:t>Uforligeligheder</w:t>
      </w:r>
    </w:p>
    <w:p w14:paraId="3E239C0D" w14:textId="42F21268" w:rsidR="001134EA" w:rsidRPr="001134EA" w:rsidRDefault="001134EA" w:rsidP="00054795">
      <w:pPr>
        <w:ind w:left="851"/>
        <w:rPr>
          <w:sz w:val="24"/>
          <w:szCs w:val="24"/>
        </w:rPr>
      </w:pPr>
      <w:r w:rsidRPr="001134EA">
        <w:rPr>
          <w:sz w:val="24"/>
          <w:szCs w:val="24"/>
        </w:rPr>
        <w:t xml:space="preserve">Dette lægemiddel må ikke blandes med andre lægemidler end dem, der er anført under pkt. 6.6. </w:t>
      </w:r>
    </w:p>
    <w:p w14:paraId="0892F975" w14:textId="77777777" w:rsidR="009260DE" w:rsidRPr="00054795" w:rsidRDefault="009260DE" w:rsidP="009260DE">
      <w:pPr>
        <w:tabs>
          <w:tab w:val="left" w:pos="851"/>
        </w:tabs>
        <w:ind w:left="851"/>
        <w:rPr>
          <w:sz w:val="24"/>
          <w:szCs w:val="24"/>
        </w:rPr>
      </w:pPr>
    </w:p>
    <w:p w14:paraId="0978A6CB" w14:textId="77777777" w:rsidR="009260DE" w:rsidRPr="00054795" w:rsidRDefault="009260DE" w:rsidP="009260DE">
      <w:pPr>
        <w:tabs>
          <w:tab w:val="left" w:pos="851"/>
        </w:tabs>
        <w:ind w:left="851" w:hanging="851"/>
        <w:rPr>
          <w:b/>
          <w:sz w:val="24"/>
          <w:szCs w:val="24"/>
        </w:rPr>
      </w:pPr>
      <w:r w:rsidRPr="00054795">
        <w:rPr>
          <w:b/>
          <w:sz w:val="24"/>
          <w:szCs w:val="24"/>
        </w:rPr>
        <w:t>6.3</w:t>
      </w:r>
      <w:r w:rsidRPr="00054795">
        <w:rPr>
          <w:b/>
          <w:sz w:val="24"/>
          <w:szCs w:val="24"/>
        </w:rPr>
        <w:tab/>
        <w:t>Opbevaringstid</w:t>
      </w:r>
    </w:p>
    <w:p w14:paraId="067B5E0D" w14:textId="77777777" w:rsidR="00780143" w:rsidRDefault="00780143" w:rsidP="00054795">
      <w:pPr>
        <w:ind w:left="851"/>
        <w:rPr>
          <w:i/>
          <w:iCs/>
          <w:sz w:val="24"/>
          <w:szCs w:val="24"/>
          <w:u w:val="single"/>
        </w:rPr>
      </w:pPr>
    </w:p>
    <w:p w14:paraId="5646981A" w14:textId="6E8BDBC7" w:rsidR="001134EA" w:rsidRPr="001134EA" w:rsidRDefault="001134EA" w:rsidP="00054795">
      <w:pPr>
        <w:ind w:left="851"/>
        <w:rPr>
          <w:i/>
          <w:iCs/>
          <w:sz w:val="24"/>
          <w:szCs w:val="24"/>
          <w:u w:val="single"/>
        </w:rPr>
      </w:pPr>
      <w:r w:rsidRPr="001134EA">
        <w:rPr>
          <w:i/>
          <w:iCs/>
          <w:sz w:val="24"/>
          <w:szCs w:val="24"/>
          <w:u w:val="single"/>
        </w:rPr>
        <w:t>Flaske før åbning</w:t>
      </w:r>
    </w:p>
    <w:p w14:paraId="6D45F3D6" w14:textId="77777777" w:rsidR="001134EA" w:rsidRPr="001134EA" w:rsidRDefault="001134EA" w:rsidP="00054795">
      <w:pPr>
        <w:ind w:left="851"/>
        <w:rPr>
          <w:sz w:val="24"/>
          <w:szCs w:val="24"/>
        </w:rPr>
      </w:pPr>
      <w:r w:rsidRPr="001134EA">
        <w:rPr>
          <w:sz w:val="24"/>
          <w:szCs w:val="24"/>
        </w:rPr>
        <w:t>2 år</w:t>
      </w:r>
    </w:p>
    <w:p w14:paraId="2FA84324" w14:textId="77777777" w:rsidR="001134EA" w:rsidRPr="001134EA" w:rsidRDefault="001134EA" w:rsidP="00054795">
      <w:pPr>
        <w:ind w:left="851"/>
        <w:rPr>
          <w:sz w:val="24"/>
          <w:szCs w:val="24"/>
        </w:rPr>
      </w:pPr>
    </w:p>
    <w:p w14:paraId="65249338" w14:textId="77777777" w:rsidR="001134EA" w:rsidRPr="001134EA" w:rsidRDefault="001134EA" w:rsidP="00054795">
      <w:pPr>
        <w:ind w:left="851"/>
        <w:rPr>
          <w:i/>
          <w:sz w:val="24"/>
          <w:szCs w:val="24"/>
          <w:u w:val="single"/>
        </w:rPr>
      </w:pPr>
      <w:r w:rsidRPr="001134EA">
        <w:rPr>
          <w:i/>
          <w:sz w:val="24"/>
          <w:szCs w:val="24"/>
          <w:u w:val="single"/>
        </w:rPr>
        <w:t>Efter første åbning</w:t>
      </w:r>
    </w:p>
    <w:p w14:paraId="4730AEB3" w14:textId="5A604C47" w:rsidR="001134EA" w:rsidRPr="001134EA" w:rsidRDefault="001134EA" w:rsidP="00054795">
      <w:pPr>
        <w:ind w:left="851"/>
        <w:rPr>
          <w:sz w:val="24"/>
          <w:szCs w:val="24"/>
        </w:rPr>
      </w:pPr>
      <w:r w:rsidRPr="001134EA">
        <w:rPr>
          <w:sz w:val="24"/>
          <w:szCs w:val="24"/>
        </w:rPr>
        <w:t>Kemisk og fysisk stabilitet efter åbning er dokumenteret i 24 timer ved 25</w:t>
      </w:r>
      <w:r w:rsidR="0016268D">
        <w:rPr>
          <w:sz w:val="24"/>
          <w:szCs w:val="24"/>
        </w:rPr>
        <w:t xml:space="preserve"> </w:t>
      </w:r>
      <w:r w:rsidRPr="001134EA">
        <w:rPr>
          <w:sz w:val="24"/>
          <w:szCs w:val="24"/>
        </w:rPr>
        <w:t>°C.</w:t>
      </w:r>
    </w:p>
    <w:p w14:paraId="31AADD53" w14:textId="77777777" w:rsidR="001134EA" w:rsidRPr="001134EA" w:rsidRDefault="001134EA" w:rsidP="00054795">
      <w:pPr>
        <w:ind w:left="851"/>
        <w:rPr>
          <w:sz w:val="24"/>
          <w:szCs w:val="24"/>
        </w:rPr>
      </w:pPr>
    </w:p>
    <w:p w14:paraId="02F979E5" w14:textId="77777777" w:rsidR="001134EA" w:rsidRPr="001134EA" w:rsidRDefault="001134EA" w:rsidP="00054795">
      <w:pPr>
        <w:ind w:left="851"/>
        <w:rPr>
          <w:sz w:val="24"/>
          <w:szCs w:val="24"/>
        </w:rPr>
      </w:pPr>
      <w:r w:rsidRPr="001134EA">
        <w:rPr>
          <w:sz w:val="24"/>
          <w:szCs w:val="24"/>
        </w:rPr>
        <w:t>Ud fra et mikrobiologisk synspunkt skal præparatet bruges med det samme medmindre åbningsmetoden udelukker mikrobiel kontaminering. Hvis præparatet ikke anvendes straks, er brugeren ansvarlig for opbevaringstid- og betingelser inden anvendelse.</w:t>
      </w:r>
    </w:p>
    <w:p w14:paraId="37C5F745" w14:textId="45D3DCD5" w:rsidR="001134EA" w:rsidRPr="001134EA" w:rsidRDefault="001134EA" w:rsidP="00054795">
      <w:pPr>
        <w:ind w:left="851"/>
        <w:rPr>
          <w:sz w:val="24"/>
          <w:szCs w:val="24"/>
        </w:rPr>
      </w:pPr>
    </w:p>
    <w:p w14:paraId="40ABEAEF" w14:textId="77777777" w:rsidR="001134EA" w:rsidRPr="001134EA" w:rsidRDefault="001134EA" w:rsidP="00054795">
      <w:pPr>
        <w:ind w:left="851"/>
        <w:rPr>
          <w:i/>
          <w:iCs/>
          <w:sz w:val="24"/>
          <w:szCs w:val="24"/>
          <w:u w:val="single"/>
        </w:rPr>
      </w:pPr>
      <w:r w:rsidRPr="001134EA">
        <w:rPr>
          <w:i/>
          <w:iCs/>
          <w:sz w:val="24"/>
          <w:szCs w:val="24"/>
          <w:u w:val="single"/>
        </w:rPr>
        <w:t>Efter fortynding</w:t>
      </w:r>
    </w:p>
    <w:p w14:paraId="1E60ADA4" w14:textId="3393CF43" w:rsidR="001134EA" w:rsidRPr="001134EA" w:rsidRDefault="001134EA" w:rsidP="00054795">
      <w:pPr>
        <w:ind w:left="851"/>
        <w:rPr>
          <w:sz w:val="24"/>
          <w:szCs w:val="24"/>
        </w:rPr>
      </w:pPr>
      <w:r w:rsidRPr="001134EA">
        <w:rPr>
          <w:sz w:val="24"/>
          <w:szCs w:val="24"/>
        </w:rPr>
        <w:t xml:space="preserve">Opbevaringstid efter fortynding med </w:t>
      </w:r>
      <w:proofErr w:type="spellStart"/>
      <w:r w:rsidRPr="001134EA">
        <w:rPr>
          <w:sz w:val="24"/>
          <w:szCs w:val="24"/>
        </w:rPr>
        <w:t>natriumchloridopløsning</w:t>
      </w:r>
      <w:proofErr w:type="spellEnd"/>
      <w:r w:rsidRPr="001134EA">
        <w:rPr>
          <w:sz w:val="24"/>
          <w:szCs w:val="24"/>
        </w:rPr>
        <w:t xml:space="preserve"> 9 mg/ml (0,9</w:t>
      </w:r>
      <w:r w:rsidR="0016268D">
        <w:rPr>
          <w:sz w:val="24"/>
          <w:szCs w:val="24"/>
        </w:rPr>
        <w:t xml:space="preserve"> </w:t>
      </w:r>
      <w:r w:rsidRPr="001134EA">
        <w:rPr>
          <w:sz w:val="24"/>
          <w:szCs w:val="24"/>
        </w:rPr>
        <w:t>%) eller 50</w:t>
      </w:r>
      <w:r w:rsidR="00780143">
        <w:rPr>
          <w:sz w:val="24"/>
          <w:szCs w:val="24"/>
        </w:rPr>
        <w:t> </w:t>
      </w:r>
      <w:r w:rsidRPr="001134EA">
        <w:rPr>
          <w:sz w:val="24"/>
          <w:szCs w:val="24"/>
        </w:rPr>
        <w:t>mg/ml glukoseopløsning (5</w:t>
      </w:r>
      <w:r w:rsidR="0016268D">
        <w:rPr>
          <w:sz w:val="24"/>
          <w:szCs w:val="24"/>
        </w:rPr>
        <w:t xml:space="preserve"> </w:t>
      </w:r>
      <w:r w:rsidRPr="001134EA">
        <w:rPr>
          <w:sz w:val="24"/>
          <w:szCs w:val="24"/>
        </w:rPr>
        <w:t>%) eller en blanding af begge: Kemisk og fysisk stabilitet under brug er blevet påvist i 48 timer op til 30 °C.</w:t>
      </w:r>
    </w:p>
    <w:p w14:paraId="7DF225BF" w14:textId="77777777" w:rsidR="001134EA" w:rsidRPr="001134EA" w:rsidRDefault="001134EA" w:rsidP="00054795">
      <w:pPr>
        <w:ind w:left="851"/>
        <w:rPr>
          <w:sz w:val="24"/>
          <w:szCs w:val="24"/>
        </w:rPr>
      </w:pPr>
    </w:p>
    <w:p w14:paraId="4D9F00EE" w14:textId="77777777" w:rsidR="001134EA" w:rsidRPr="001134EA" w:rsidRDefault="001134EA" w:rsidP="00054795">
      <w:pPr>
        <w:ind w:left="851"/>
        <w:rPr>
          <w:sz w:val="24"/>
          <w:szCs w:val="24"/>
        </w:rPr>
      </w:pPr>
      <w:r w:rsidRPr="001134EA">
        <w:rPr>
          <w:sz w:val="24"/>
          <w:szCs w:val="24"/>
        </w:rPr>
        <w:t>Ud fra et mikrobiologisk synspunkt skal præparatet bruges med det samme medmindre fortyndingsmetoden udelukker mikrobiel kontaminering. Hvis præparatet ikke anvendes straks, er brugeren ansvarlig for opbevaringstid- og betingelser inden anvendelse.</w:t>
      </w:r>
    </w:p>
    <w:p w14:paraId="3D1D8FD2" w14:textId="77777777" w:rsidR="009260DE" w:rsidRPr="00054795" w:rsidRDefault="009260DE" w:rsidP="00054795">
      <w:pPr>
        <w:ind w:left="851"/>
        <w:rPr>
          <w:sz w:val="24"/>
          <w:szCs w:val="24"/>
        </w:rPr>
      </w:pPr>
    </w:p>
    <w:p w14:paraId="32232D01" w14:textId="77777777" w:rsidR="009260DE" w:rsidRPr="00054795" w:rsidRDefault="009260DE" w:rsidP="009260DE">
      <w:pPr>
        <w:tabs>
          <w:tab w:val="left" w:pos="851"/>
        </w:tabs>
        <w:ind w:left="851" w:hanging="851"/>
        <w:rPr>
          <w:b/>
          <w:sz w:val="24"/>
          <w:szCs w:val="24"/>
        </w:rPr>
      </w:pPr>
      <w:r w:rsidRPr="00054795">
        <w:rPr>
          <w:b/>
          <w:sz w:val="24"/>
          <w:szCs w:val="24"/>
        </w:rPr>
        <w:t>6.4</w:t>
      </w:r>
      <w:r w:rsidRPr="00054795">
        <w:rPr>
          <w:b/>
          <w:sz w:val="24"/>
          <w:szCs w:val="24"/>
        </w:rPr>
        <w:tab/>
        <w:t>Særlige opbevaringsforhold</w:t>
      </w:r>
    </w:p>
    <w:p w14:paraId="4E109DC8" w14:textId="77777777" w:rsidR="001134EA" w:rsidRPr="001134EA" w:rsidRDefault="001134EA" w:rsidP="00054795">
      <w:pPr>
        <w:ind w:left="851"/>
        <w:rPr>
          <w:sz w:val="24"/>
          <w:szCs w:val="24"/>
        </w:rPr>
      </w:pPr>
      <w:r w:rsidRPr="001134EA">
        <w:rPr>
          <w:sz w:val="24"/>
          <w:szCs w:val="24"/>
        </w:rPr>
        <w:t xml:space="preserve">Opbevar flaskerne i den ydre karton for at beskytte mod lys.  </w:t>
      </w:r>
    </w:p>
    <w:p w14:paraId="6E81D9EC" w14:textId="77777777" w:rsidR="001134EA" w:rsidRPr="001134EA" w:rsidRDefault="001134EA" w:rsidP="00054795">
      <w:pPr>
        <w:ind w:left="851"/>
        <w:rPr>
          <w:sz w:val="24"/>
          <w:szCs w:val="24"/>
        </w:rPr>
      </w:pPr>
    </w:p>
    <w:p w14:paraId="06922288" w14:textId="5BB8FCB1" w:rsidR="001134EA" w:rsidRPr="001134EA" w:rsidRDefault="001134EA" w:rsidP="00054795">
      <w:pPr>
        <w:ind w:left="851"/>
        <w:rPr>
          <w:sz w:val="24"/>
          <w:szCs w:val="24"/>
        </w:rPr>
      </w:pPr>
      <w:r w:rsidRPr="001134EA">
        <w:rPr>
          <w:sz w:val="24"/>
          <w:szCs w:val="24"/>
        </w:rPr>
        <w:t xml:space="preserve">Se pkt. 6.3 vedr. opbevaring af det fortyndet lægemiddel. </w:t>
      </w:r>
    </w:p>
    <w:p w14:paraId="419CFFFE" w14:textId="77777777" w:rsidR="009260DE" w:rsidRPr="00054795" w:rsidRDefault="009260DE" w:rsidP="009260DE">
      <w:pPr>
        <w:tabs>
          <w:tab w:val="left" w:pos="851"/>
        </w:tabs>
        <w:ind w:left="851"/>
        <w:rPr>
          <w:sz w:val="24"/>
          <w:szCs w:val="24"/>
        </w:rPr>
      </w:pPr>
    </w:p>
    <w:p w14:paraId="3F157BF4" w14:textId="77777777" w:rsidR="009260DE" w:rsidRPr="00054795" w:rsidRDefault="009260DE" w:rsidP="009260DE">
      <w:pPr>
        <w:tabs>
          <w:tab w:val="left" w:pos="851"/>
        </w:tabs>
        <w:ind w:left="851" w:hanging="851"/>
        <w:rPr>
          <w:b/>
          <w:sz w:val="24"/>
          <w:szCs w:val="24"/>
        </w:rPr>
      </w:pPr>
      <w:r w:rsidRPr="00054795">
        <w:rPr>
          <w:b/>
          <w:sz w:val="24"/>
          <w:szCs w:val="24"/>
        </w:rPr>
        <w:t>6.5</w:t>
      </w:r>
      <w:r w:rsidRPr="00054795">
        <w:rPr>
          <w:b/>
          <w:sz w:val="24"/>
          <w:szCs w:val="24"/>
        </w:rPr>
        <w:tab/>
        <w:t>Emballagetype og pakningsstørrelser</w:t>
      </w:r>
    </w:p>
    <w:p w14:paraId="34436048" w14:textId="77777777" w:rsidR="001134EA" w:rsidRPr="001134EA" w:rsidRDefault="001134EA" w:rsidP="00054795">
      <w:pPr>
        <w:ind w:left="851"/>
        <w:rPr>
          <w:sz w:val="24"/>
          <w:szCs w:val="24"/>
        </w:rPr>
      </w:pPr>
      <w:r w:rsidRPr="001134EA">
        <w:rPr>
          <w:sz w:val="24"/>
          <w:szCs w:val="24"/>
        </w:rPr>
        <w:t>LDPE-flaskerne er lukket med en hætte, der indeholder en administrations- og en tilsætningsport, som er to separate, tydeligt identificerbare porte til infusion og injektion. En gummiskive muliggør indsættelse af nålen.</w:t>
      </w:r>
    </w:p>
    <w:p w14:paraId="17D1722A" w14:textId="77777777" w:rsidR="001134EA" w:rsidRPr="001134EA" w:rsidRDefault="001134EA" w:rsidP="00054795">
      <w:pPr>
        <w:ind w:left="851"/>
        <w:rPr>
          <w:sz w:val="24"/>
          <w:szCs w:val="24"/>
        </w:rPr>
      </w:pPr>
    </w:p>
    <w:p w14:paraId="59157E16" w14:textId="77777777" w:rsidR="001134EA" w:rsidRPr="001134EA" w:rsidRDefault="001134EA" w:rsidP="00054795">
      <w:pPr>
        <w:ind w:left="851"/>
        <w:rPr>
          <w:sz w:val="24"/>
          <w:szCs w:val="24"/>
        </w:rPr>
      </w:pPr>
      <w:r w:rsidRPr="001134EA">
        <w:rPr>
          <w:sz w:val="24"/>
          <w:szCs w:val="24"/>
        </w:rPr>
        <w:t>Pakningsstørrelser:</w:t>
      </w:r>
    </w:p>
    <w:p w14:paraId="2893011D" w14:textId="00C42D21" w:rsidR="001134EA" w:rsidRPr="001134EA" w:rsidRDefault="001134EA" w:rsidP="00054795">
      <w:pPr>
        <w:ind w:left="851"/>
        <w:rPr>
          <w:sz w:val="24"/>
          <w:szCs w:val="24"/>
        </w:rPr>
      </w:pPr>
      <w:r w:rsidRPr="001134EA">
        <w:rPr>
          <w:sz w:val="24"/>
          <w:szCs w:val="24"/>
        </w:rPr>
        <w:t xml:space="preserve">10 </w:t>
      </w:r>
      <w:r w:rsidR="00780143">
        <w:rPr>
          <w:sz w:val="24"/>
          <w:szCs w:val="24"/>
        </w:rPr>
        <w:t>×</w:t>
      </w:r>
      <w:r w:rsidRPr="001134EA">
        <w:rPr>
          <w:sz w:val="24"/>
          <w:szCs w:val="24"/>
        </w:rPr>
        <w:t xml:space="preserve"> 100 ml</w:t>
      </w:r>
    </w:p>
    <w:p w14:paraId="2A9E7753" w14:textId="0EED27F0" w:rsidR="001134EA" w:rsidRPr="001134EA" w:rsidRDefault="001134EA" w:rsidP="00054795">
      <w:pPr>
        <w:ind w:left="851"/>
        <w:rPr>
          <w:sz w:val="24"/>
          <w:szCs w:val="24"/>
        </w:rPr>
      </w:pPr>
      <w:r w:rsidRPr="001134EA">
        <w:rPr>
          <w:sz w:val="24"/>
          <w:szCs w:val="24"/>
        </w:rPr>
        <w:t xml:space="preserve">40 </w:t>
      </w:r>
      <w:r w:rsidR="00780143">
        <w:rPr>
          <w:sz w:val="24"/>
          <w:szCs w:val="24"/>
        </w:rPr>
        <w:t>×</w:t>
      </w:r>
      <w:r w:rsidRPr="001134EA">
        <w:rPr>
          <w:sz w:val="24"/>
          <w:szCs w:val="24"/>
        </w:rPr>
        <w:t xml:space="preserve"> 100 ml</w:t>
      </w:r>
    </w:p>
    <w:p w14:paraId="1C547110" w14:textId="77777777" w:rsidR="001134EA" w:rsidRPr="001134EA" w:rsidRDefault="001134EA" w:rsidP="00054795">
      <w:pPr>
        <w:ind w:left="851"/>
        <w:rPr>
          <w:sz w:val="24"/>
          <w:szCs w:val="24"/>
        </w:rPr>
      </w:pPr>
    </w:p>
    <w:p w14:paraId="6E823858" w14:textId="77777777" w:rsidR="001134EA" w:rsidRPr="001134EA" w:rsidRDefault="001134EA" w:rsidP="00054795">
      <w:pPr>
        <w:ind w:left="851"/>
        <w:rPr>
          <w:sz w:val="24"/>
          <w:szCs w:val="24"/>
        </w:rPr>
      </w:pPr>
      <w:r w:rsidRPr="001134EA">
        <w:rPr>
          <w:sz w:val="24"/>
          <w:szCs w:val="24"/>
        </w:rPr>
        <w:t>Ikke alle pakningsstørrelser er nødvendigvis markedsført.</w:t>
      </w:r>
    </w:p>
    <w:p w14:paraId="7B9508AE" w14:textId="77777777" w:rsidR="009260DE" w:rsidRPr="00054795" w:rsidRDefault="009260DE" w:rsidP="00054795">
      <w:pPr>
        <w:ind w:left="851"/>
        <w:rPr>
          <w:sz w:val="24"/>
          <w:szCs w:val="24"/>
        </w:rPr>
      </w:pPr>
    </w:p>
    <w:p w14:paraId="1F7AE6BC" w14:textId="77777777" w:rsidR="009260DE" w:rsidRPr="00054795" w:rsidRDefault="009260DE" w:rsidP="009260DE">
      <w:pPr>
        <w:tabs>
          <w:tab w:val="left" w:pos="851"/>
        </w:tabs>
        <w:ind w:left="851" w:hanging="851"/>
        <w:rPr>
          <w:b/>
          <w:sz w:val="24"/>
          <w:szCs w:val="24"/>
        </w:rPr>
      </w:pPr>
      <w:r w:rsidRPr="00054795">
        <w:rPr>
          <w:b/>
          <w:sz w:val="24"/>
          <w:szCs w:val="24"/>
        </w:rPr>
        <w:t>6.6</w:t>
      </w:r>
      <w:r w:rsidRPr="00054795">
        <w:rPr>
          <w:b/>
          <w:sz w:val="24"/>
          <w:szCs w:val="24"/>
        </w:rPr>
        <w:tab/>
        <w:t xml:space="preserve">Regler for </w:t>
      </w:r>
      <w:r w:rsidR="00BD7931" w:rsidRPr="00054795">
        <w:rPr>
          <w:b/>
          <w:sz w:val="24"/>
          <w:szCs w:val="24"/>
        </w:rPr>
        <w:t>bortskaffelse</w:t>
      </w:r>
      <w:r w:rsidRPr="00054795">
        <w:rPr>
          <w:b/>
          <w:sz w:val="24"/>
          <w:szCs w:val="24"/>
        </w:rPr>
        <w:t xml:space="preserve"> og anden håndtering</w:t>
      </w:r>
    </w:p>
    <w:p w14:paraId="1A8ED6B2" w14:textId="77777777" w:rsidR="00780143" w:rsidRDefault="00780143" w:rsidP="00054795">
      <w:pPr>
        <w:ind w:left="851"/>
        <w:rPr>
          <w:sz w:val="24"/>
          <w:szCs w:val="24"/>
          <w:u w:val="single"/>
        </w:rPr>
      </w:pPr>
    </w:p>
    <w:p w14:paraId="4D075F40" w14:textId="3B21CBA9" w:rsidR="001134EA" w:rsidRPr="001134EA" w:rsidRDefault="001134EA" w:rsidP="00054795">
      <w:pPr>
        <w:ind w:left="851"/>
        <w:rPr>
          <w:sz w:val="24"/>
          <w:szCs w:val="24"/>
          <w:u w:val="single"/>
        </w:rPr>
      </w:pPr>
      <w:r w:rsidRPr="001134EA">
        <w:rPr>
          <w:sz w:val="24"/>
          <w:szCs w:val="24"/>
          <w:u w:val="single"/>
        </w:rPr>
        <w:t>Håndtering</w:t>
      </w:r>
    </w:p>
    <w:p w14:paraId="2EDDECF9" w14:textId="77777777" w:rsidR="001134EA" w:rsidRPr="001134EA" w:rsidRDefault="001134EA" w:rsidP="00054795">
      <w:pPr>
        <w:ind w:left="851"/>
        <w:rPr>
          <w:sz w:val="24"/>
          <w:szCs w:val="24"/>
        </w:rPr>
      </w:pPr>
      <w:r w:rsidRPr="001134EA">
        <w:rPr>
          <w:sz w:val="24"/>
          <w:szCs w:val="24"/>
        </w:rPr>
        <w:t xml:space="preserve">Som for alle infusionsopløsninger i flasker, bør det huskes, at tæt monitorering er nødvendig, særligt ved infusionens afslutning uanset infusionsvej. Denne monitorering ved slutningen af infusionen gælder særligt for centrale infusioner med henblik på at undgå </w:t>
      </w:r>
      <w:proofErr w:type="spellStart"/>
      <w:r w:rsidRPr="001134EA">
        <w:rPr>
          <w:sz w:val="24"/>
          <w:szCs w:val="24"/>
        </w:rPr>
        <w:t>luftemboli</w:t>
      </w:r>
      <w:proofErr w:type="spellEnd"/>
      <w:r w:rsidRPr="001134EA">
        <w:rPr>
          <w:sz w:val="24"/>
          <w:szCs w:val="24"/>
        </w:rPr>
        <w:t xml:space="preserve">. </w:t>
      </w:r>
    </w:p>
    <w:p w14:paraId="12D8D451" w14:textId="77777777" w:rsidR="001134EA" w:rsidRPr="001134EA" w:rsidRDefault="001134EA" w:rsidP="00054795">
      <w:pPr>
        <w:ind w:left="851"/>
        <w:rPr>
          <w:sz w:val="24"/>
          <w:szCs w:val="24"/>
        </w:rPr>
      </w:pPr>
    </w:p>
    <w:p w14:paraId="2355E252" w14:textId="77777777" w:rsidR="001134EA" w:rsidRPr="001134EA" w:rsidRDefault="001134EA" w:rsidP="00054795">
      <w:pPr>
        <w:ind w:left="851"/>
        <w:rPr>
          <w:sz w:val="24"/>
          <w:szCs w:val="24"/>
          <w:u w:val="single"/>
        </w:rPr>
      </w:pPr>
      <w:r w:rsidRPr="001134EA">
        <w:rPr>
          <w:sz w:val="24"/>
          <w:szCs w:val="24"/>
          <w:u w:val="single"/>
        </w:rPr>
        <w:t>Forligelighed</w:t>
      </w:r>
    </w:p>
    <w:p w14:paraId="30D834CA" w14:textId="4922F87B" w:rsidR="001134EA" w:rsidRPr="001134EA" w:rsidRDefault="001134EA" w:rsidP="00054795">
      <w:pPr>
        <w:ind w:left="851"/>
        <w:rPr>
          <w:sz w:val="24"/>
          <w:szCs w:val="24"/>
        </w:rPr>
      </w:pPr>
      <w:r w:rsidRPr="001134EA">
        <w:rPr>
          <w:sz w:val="24"/>
          <w:szCs w:val="24"/>
        </w:rPr>
        <w:t xml:space="preserve">Paracetamol </w:t>
      </w:r>
      <w:r w:rsidR="00E43CB9">
        <w:rPr>
          <w:sz w:val="24"/>
          <w:szCs w:val="24"/>
        </w:rPr>
        <w:t>"</w:t>
      </w:r>
      <w:proofErr w:type="spellStart"/>
      <w:r w:rsidR="00E43CB9">
        <w:rPr>
          <w:sz w:val="24"/>
          <w:szCs w:val="24"/>
        </w:rPr>
        <w:t>Kabi</w:t>
      </w:r>
      <w:proofErr w:type="spellEnd"/>
      <w:r w:rsidR="00E43CB9">
        <w:rPr>
          <w:sz w:val="24"/>
          <w:szCs w:val="24"/>
        </w:rPr>
        <w:t>"</w:t>
      </w:r>
      <w:r w:rsidRPr="001134EA">
        <w:rPr>
          <w:sz w:val="24"/>
          <w:szCs w:val="24"/>
        </w:rPr>
        <w:t xml:space="preserve"> 10 mg/ml infusionsvæske, opløsning kan fortyndes med </w:t>
      </w:r>
      <w:proofErr w:type="spellStart"/>
      <w:r w:rsidRPr="001134EA">
        <w:rPr>
          <w:sz w:val="24"/>
          <w:szCs w:val="24"/>
        </w:rPr>
        <w:t>natriumchlorid</w:t>
      </w:r>
      <w:proofErr w:type="spellEnd"/>
      <w:r w:rsidRPr="001134EA">
        <w:rPr>
          <w:sz w:val="24"/>
          <w:szCs w:val="24"/>
        </w:rPr>
        <w:t xml:space="preserve"> 9 mg/ml (0,9 %) eller 50 mg/ml </w:t>
      </w:r>
      <w:proofErr w:type="spellStart"/>
      <w:r w:rsidRPr="001134EA">
        <w:rPr>
          <w:sz w:val="24"/>
          <w:szCs w:val="24"/>
        </w:rPr>
        <w:t>glucose</w:t>
      </w:r>
      <w:proofErr w:type="spellEnd"/>
      <w:r w:rsidRPr="001134EA">
        <w:rPr>
          <w:sz w:val="24"/>
          <w:szCs w:val="24"/>
        </w:rPr>
        <w:t xml:space="preserve"> (5 %) op til en tiendedel (1</w:t>
      </w:r>
      <w:r w:rsidR="00780143">
        <w:rPr>
          <w:sz w:val="24"/>
          <w:szCs w:val="24"/>
        </w:rPr>
        <w:t> </w:t>
      </w:r>
      <w:r w:rsidRPr="001134EA">
        <w:rPr>
          <w:sz w:val="24"/>
          <w:szCs w:val="24"/>
        </w:rPr>
        <w:t xml:space="preserve">volumen Paracetamol </w:t>
      </w:r>
      <w:r w:rsidR="00E43CB9">
        <w:rPr>
          <w:sz w:val="24"/>
          <w:szCs w:val="24"/>
        </w:rPr>
        <w:t>"</w:t>
      </w:r>
      <w:proofErr w:type="spellStart"/>
      <w:r w:rsidR="00E43CB9">
        <w:rPr>
          <w:sz w:val="24"/>
          <w:szCs w:val="24"/>
        </w:rPr>
        <w:t>Kabi</w:t>
      </w:r>
      <w:proofErr w:type="spellEnd"/>
      <w:r w:rsidR="00E43CB9">
        <w:rPr>
          <w:sz w:val="24"/>
          <w:szCs w:val="24"/>
        </w:rPr>
        <w:t>"</w:t>
      </w:r>
      <w:r w:rsidRPr="001134EA">
        <w:rPr>
          <w:sz w:val="24"/>
          <w:szCs w:val="24"/>
        </w:rPr>
        <w:t xml:space="preserve"> 10 mg/ml infusionsvæske, opløsning i 9 volumener </w:t>
      </w:r>
      <w:proofErr w:type="spellStart"/>
      <w:r w:rsidRPr="001134EA">
        <w:rPr>
          <w:sz w:val="24"/>
          <w:szCs w:val="24"/>
        </w:rPr>
        <w:t>diluent</w:t>
      </w:r>
      <w:proofErr w:type="spellEnd"/>
      <w:r w:rsidRPr="001134EA">
        <w:rPr>
          <w:sz w:val="24"/>
          <w:szCs w:val="24"/>
        </w:rPr>
        <w:t xml:space="preserve">) eller med en blanding af begge. </w:t>
      </w:r>
    </w:p>
    <w:p w14:paraId="716DEA6B" w14:textId="77777777" w:rsidR="001134EA" w:rsidRPr="001134EA" w:rsidRDefault="001134EA" w:rsidP="00054795">
      <w:pPr>
        <w:ind w:left="851"/>
        <w:rPr>
          <w:sz w:val="24"/>
          <w:szCs w:val="24"/>
        </w:rPr>
      </w:pPr>
    </w:p>
    <w:p w14:paraId="0D123FE6" w14:textId="5DA3719B" w:rsidR="001134EA" w:rsidRPr="001134EA" w:rsidRDefault="001134EA" w:rsidP="00054795">
      <w:pPr>
        <w:ind w:left="851"/>
        <w:rPr>
          <w:sz w:val="24"/>
          <w:szCs w:val="24"/>
        </w:rPr>
      </w:pPr>
      <w:r w:rsidRPr="001134EA">
        <w:rPr>
          <w:sz w:val="24"/>
          <w:szCs w:val="24"/>
        </w:rPr>
        <w:t xml:space="preserve">Den fortyndede opløsning skal visuelt inspiceres og skal ikke anvendes ved forekomst af opaliserende, synlige partikler eller udfældninger.  </w:t>
      </w:r>
    </w:p>
    <w:p w14:paraId="102A0079" w14:textId="624A28DD" w:rsidR="001134EA" w:rsidRPr="001134EA" w:rsidRDefault="001134EA" w:rsidP="00054795">
      <w:pPr>
        <w:ind w:left="851"/>
        <w:rPr>
          <w:sz w:val="24"/>
          <w:szCs w:val="24"/>
          <w:u w:val="single"/>
        </w:rPr>
      </w:pPr>
    </w:p>
    <w:p w14:paraId="3660D1FD" w14:textId="77777777" w:rsidR="001134EA" w:rsidRPr="001134EA" w:rsidRDefault="001134EA" w:rsidP="00054795">
      <w:pPr>
        <w:ind w:left="851"/>
        <w:rPr>
          <w:sz w:val="24"/>
          <w:szCs w:val="24"/>
          <w:u w:val="single"/>
        </w:rPr>
      </w:pPr>
      <w:r w:rsidRPr="001134EA">
        <w:rPr>
          <w:sz w:val="24"/>
          <w:szCs w:val="24"/>
          <w:u w:val="single"/>
        </w:rPr>
        <w:t>Bortskaffelse</w:t>
      </w:r>
    </w:p>
    <w:p w14:paraId="3B649AF2" w14:textId="77777777" w:rsidR="001134EA" w:rsidRPr="001134EA" w:rsidRDefault="001134EA" w:rsidP="00054795">
      <w:pPr>
        <w:ind w:left="851"/>
        <w:rPr>
          <w:sz w:val="24"/>
          <w:szCs w:val="24"/>
        </w:rPr>
      </w:pPr>
      <w:r w:rsidRPr="001134EA">
        <w:rPr>
          <w:sz w:val="24"/>
          <w:szCs w:val="24"/>
        </w:rPr>
        <w:t>Ikke anvendt lægemiddel samt affald heraf bør destrueres i henhold til lokale retningslinjer.</w:t>
      </w:r>
    </w:p>
    <w:p w14:paraId="1B2FEB27" w14:textId="4883117C" w:rsidR="0016268D" w:rsidRDefault="0016268D">
      <w:pPr>
        <w:rPr>
          <w:sz w:val="24"/>
          <w:szCs w:val="24"/>
        </w:rPr>
      </w:pPr>
      <w:r>
        <w:rPr>
          <w:sz w:val="24"/>
          <w:szCs w:val="24"/>
        </w:rPr>
        <w:br w:type="page"/>
      </w:r>
    </w:p>
    <w:p w14:paraId="67429B36" w14:textId="77777777" w:rsidR="009260DE" w:rsidRPr="00054795" w:rsidRDefault="009260DE" w:rsidP="000730CA">
      <w:pPr>
        <w:tabs>
          <w:tab w:val="left" w:pos="851"/>
        </w:tabs>
        <w:ind w:left="851"/>
        <w:rPr>
          <w:sz w:val="24"/>
          <w:szCs w:val="24"/>
        </w:rPr>
      </w:pPr>
    </w:p>
    <w:p w14:paraId="185CE69A" w14:textId="77777777" w:rsidR="009260DE" w:rsidRPr="00054795" w:rsidRDefault="009260DE" w:rsidP="009260DE">
      <w:pPr>
        <w:tabs>
          <w:tab w:val="left" w:pos="851"/>
        </w:tabs>
        <w:ind w:left="851" w:hanging="851"/>
        <w:rPr>
          <w:b/>
          <w:sz w:val="24"/>
          <w:szCs w:val="24"/>
        </w:rPr>
      </w:pPr>
      <w:r w:rsidRPr="00054795">
        <w:rPr>
          <w:b/>
          <w:sz w:val="24"/>
          <w:szCs w:val="24"/>
        </w:rPr>
        <w:t>7.</w:t>
      </w:r>
      <w:r w:rsidRPr="00054795">
        <w:rPr>
          <w:b/>
          <w:sz w:val="24"/>
          <w:szCs w:val="24"/>
        </w:rPr>
        <w:tab/>
        <w:t>INDEHAVER AF MARKEDSFØRINGSTILLADELSEN</w:t>
      </w:r>
    </w:p>
    <w:p w14:paraId="43F3B37E" w14:textId="62C2F521" w:rsidR="001134EA" w:rsidRPr="001134EA" w:rsidRDefault="001134EA" w:rsidP="00054795">
      <w:pPr>
        <w:ind w:left="851"/>
        <w:rPr>
          <w:sz w:val="24"/>
          <w:szCs w:val="24"/>
        </w:rPr>
      </w:pPr>
      <w:proofErr w:type="spellStart"/>
      <w:r w:rsidRPr="001134EA">
        <w:rPr>
          <w:sz w:val="24"/>
          <w:szCs w:val="24"/>
        </w:rPr>
        <w:t>Fresenius</w:t>
      </w:r>
      <w:proofErr w:type="spellEnd"/>
      <w:r w:rsidRPr="001134EA">
        <w:rPr>
          <w:sz w:val="24"/>
          <w:szCs w:val="24"/>
        </w:rPr>
        <w:t xml:space="preserve"> </w:t>
      </w:r>
      <w:proofErr w:type="spellStart"/>
      <w:r w:rsidRPr="001134EA">
        <w:rPr>
          <w:sz w:val="24"/>
          <w:szCs w:val="24"/>
        </w:rPr>
        <w:t>Kabi</w:t>
      </w:r>
      <w:proofErr w:type="spellEnd"/>
      <w:r w:rsidRPr="001134EA">
        <w:rPr>
          <w:sz w:val="24"/>
          <w:szCs w:val="24"/>
        </w:rPr>
        <w:t xml:space="preserve"> AB</w:t>
      </w:r>
    </w:p>
    <w:p w14:paraId="7739B93E" w14:textId="6C42E33A" w:rsidR="001134EA" w:rsidRPr="001134EA" w:rsidRDefault="001134EA" w:rsidP="00054795">
      <w:pPr>
        <w:ind w:left="851"/>
        <w:rPr>
          <w:sz w:val="24"/>
          <w:szCs w:val="24"/>
        </w:rPr>
      </w:pPr>
      <w:r w:rsidRPr="001134EA">
        <w:rPr>
          <w:sz w:val="24"/>
          <w:szCs w:val="24"/>
        </w:rPr>
        <w:t>751 74 Uppsala</w:t>
      </w:r>
    </w:p>
    <w:p w14:paraId="7C8482DF" w14:textId="5D142C05" w:rsidR="001134EA" w:rsidRPr="001134EA" w:rsidRDefault="001134EA" w:rsidP="00054795">
      <w:pPr>
        <w:ind w:left="851"/>
        <w:rPr>
          <w:sz w:val="24"/>
          <w:szCs w:val="24"/>
        </w:rPr>
      </w:pPr>
      <w:r w:rsidRPr="001134EA">
        <w:rPr>
          <w:sz w:val="24"/>
          <w:szCs w:val="24"/>
        </w:rPr>
        <w:t>Sverige</w:t>
      </w:r>
    </w:p>
    <w:p w14:paraId="17454355" w14:textId="77777777" w:rsidR="009260DE" w:rsidRPr="00054795" w:rsidRDefault="009260DE" w:rsidP="00054795">
      <w:pPr>
        <w:ind w:left="851"/>
        <w:rPr>
          <w:sz w:val="24"/>
          <w:szCs w:val="24"/>
        </w:rPr>
      </w:pPr>
    </w:p>
    <w:p w14:paraId="5734CDDF" w14:textId="77777777" w:rsidR="00641C65" w:rsidRPr="00054795" w:rsidRDefault="00641C65" w:rsidP="00054795">
      <w:pPr>
        <w:ind w:left="851"/>
        <w:rPr>
          <w:sz w:val="24"/>
          <w:szCs w:val="24"/>
        </w:rPr>
      </w:pPr>
      <w:r w:rsidRPr="00054795">
        <w:rPr>
          <w:b/>
          <w:sz w:val="24"/>
          <w:szCs w:val="24"/>
        </w:rPr>
        <w:t>Repræsentant</w:t>
      </w:r>
    </w:p>
    <w:p w14:paraId="2E7EC9AE" w14:textId="69E990B5" w:rsidR="001134EA" w:rsidRPr="001134EA" w:rsidRDefault="001134EA" w:rsidP="00054795">
      <w:pPr>
        <w:ind w:left="851"/>
        <w:rPr>
          <w:sz w:val="24"/>
          <w:szCs w:val="24"/>
        </w:rPr>
      </w:pPr>
      <w:proofErr w:type="spellStart"/>
      <w:r w:rsidRPr="001134EA">
        <w:rPr>
          <w:sz w:val="24"/>
          <w:szCs w:val="24"/>
        </w:rPr>
        <w:t>Fresenius</w:t>
      </w:r>
      <w:proofErr w:type="spellEnd"/>
      <w:r w:rsidRPr="001134EA">
        <w:rPr>
          <w:sz w:val="24"/>
          <w:szCs w:val="24"/>
        </w:rPr>
        <w:t xml:space="preserve"> </w:t>
      </w:r>
      <w:proofErr w:type="spellStart"/>
      <w:r w:rsidRPr="001134EA">
        <w:rPr>
          <w:sz w:val="24"/>
          <w:szCs w:val="24"/>
        </w:rPr>
        <w:t>Kabi</w:t>
      </w:r>
      <w:proofErr w:type="spellEnd"/>
      <w:r w:rsidRPr="001134EA">
        <w:rPr>
          <w:sz w:val="24"/>
          <w:szCs w:val="24"/>
        </w:rPr>
        <w:t xml:space="preserve"> filial af </w:t>
      </w:r>
      <w:proofErr w:type="spellStart"/>
      <w:r w:rsidRPr="001134EA">
        <w:rPr>
          <w:sz w:val="24"/>
          <w:szCs w:val="24"/>
        </w:rPr>
        <w:t>Fresenius</w:t>
      </w:r>
      <w:proofErr w:type="spellEnd"/>
      <w:r w:rsidRPr="001134EA">
        <w:rPr>
          <w:sz w:val="24"/>
          <w:szCs w:val="24"/>
        </w:rPr>
        <w:t xml:space="preserve"> </w:t>
      </w:r>
      <w:proofErr w:type="spellStart"/>
      <w:r w:rsidRPr="001134EA">
        <w:rPr>
          <w:sz w:val="24"/>
          <w:szCs w:val="24"/>
        </w:rPr>
        <w:t>Kabi</w:t>
      </w:r>
      <w:proofErr w:type="spellEnd"/>
      <w:r w:rsidRPr="001134EA">
        <w:rPr>
          <w:sz w:val="24"/>
          <w:szCs w:val="24"/>
        </w:rPr>
        <w:t xml:space="preserve"> AB</w:t>
      </w:r>
    </w:p>
    <w:p w14:paraId="510BE9A8" w14:textId="4061683D" w:rsidR="001134EA" w:rsidRPr="001134EA" w:rsidRDefault="001134EA" w:rsidP="00054795">
      <w:pPr>
        <w:ind w:left="851"/>
        <w:rPr>
          <w:sz w:val="24"/>
          <w:szCs w:val="24"/>
        </w:rPr>
      </w:pPr>
      <w:r w:rsidRPr="001134EA">
        <w:rPr>
          <w:sz w:val="24"/>
          <w:szCs w:val="24"/>
        </w:rPr>
        <w:t>Islands Brygge 57</w:t>
      </w:r>
    </w:p>
    <w:p w14:paraId="510FBCE1" w14:textId="73E8C8FE" w:rsidR="001134EA" w:rsidRPr="001134EA" w:rsidRDefault="001134EA" w:rsidP="00054795">
      <w:pPr>
        <w:ind w:left="851"/>
        <w:rPr>
          <w:sz w:val="24"/>
          <w:szCs w:val="24"/>
        </w:rPr>
      </w:pPr>
      <w:r w:rsidRPr="001134EA">
        <w:rPr>
          <w:sz w:val="24"/>
          <w:szCs w:val="24"/>
        </w:rPr>
        <w:t>2300 København S</w:t>
      </w:r>
    </w:p>
    <w:p w14:paraId="43463ED0" w14:textId="77777777" w:rsidR="00641C65" w:rsidRPr="00054795" w:rsidRDefault="00641C65" w:rsidP="009260DE">
      <w:pPr>
        <w:tabs>
          <w:tab w:val="left" w:pos="851"/>
        </w:tabs>
        <w:ind w:left="851"/>
        <w:rPr>
          <w:sz w:val="24"/>
          <w:szCs w:val="24"/>
        </w:rPr>
      </w:pPr>
    </w:p>
    <w:p w14:paraId="78E47A04" w14:textId="77777777" w:rsidR="009260DE" w:rsidRPr="00054795" w:rsidRDefault="009260DE" w:rsidP="009260DE">
      <w:pPr>
        <w:tabs>
          <w:tab w:val="left" w:pos="851"/>
        </w:tabs>
        <w:ind w:left="851" w:hanging="851"/>
        <w:rPr>
          <w:b/>
          <w:sz w:val="24"/>
          <w:szCs w:val="24"/>
        </w:rPr>
      </w:pPr>
      <w:r w:rsidRPr="00054795">
        <w:rPr>
          <w:b/>
          <w:sz w:val="24"/>
          <w:szCs w:val="24"/>
        </w:rPr>
        <w:t>8.</w:t>
      </w:r>
      <w:r w:rsidRPr="00054795">
        <w:rPr>
          <w:b/>
          <w:sz w:val="24"/>
          <w:szCs w:val="24"/>
        </w:rPr>
        <w:tab/>
        <w:t>MARKEDSFØRINGSTILLADELSESNUMMER (</w:t>
      </w:r>
      <w:r w:rsidR="00BF6243" w:rsidRPr="00054795">
        <w:rPr>
          <w:b/>
          <w:sz w:val="24"/>
          <w:szCs w:val="24"/>
        </w:rPr>
        <w:t>-</w:t>
      </w:r>
      <w:r w:rsidRPr="00054795">
        <w:rPr>
          <w:b/>
          <w:sz w:val="24"/>
          <w:szCs w:val="24"/>
        </w:rPr>
        <w:t>NUMRE)</w:t>
      </w:r>
    </w:p>
    <w:p w14:paraId="7029DE17" w14:textId="749294E6" w:rsidR="009260DE" w:rsidRPr="00054795" w:rsidRDefault="001134EA" w:rsidP="009260DE">
      <w:pPr>
        <w:tabs>
          <w:tab w:val="left" w:pos="851"/>
        </w:tabs>
        <w:ind w:left="851"/>
        <w:rPr>
          <w:sz w:val="24"/>
          <w:szCs w:val="24"/>
        </w:rPr>
      </w:pPr>
      <w:r w:rsidRPr="00054795">
        <w:rPr>
          <w:sz w:val="24"/>
          <w:szCs w:val="24"/>
        </w:rPr>
        <w:t>73732</w:t>
      </w:r>
    </w:p>
    <w:p w14:paraId="113A1544" w14:textId="77777777" w:rsidR="009260DE" w:rsidRPr="00054795" w:rsidRDefault="009260DE" w:rsidP="009260DE">
      <w:pPr>
        <w:tabs>
          <w:tab w:val="left" w:pos="851"/>
        </w:tabs>
        <w:ind w:left="851"/>
        <w:jc w:val="both"/>
        <w:rPr>
          <w:sz w:val="24"/>
          <w:szCs w:val="24"/>
        </w:rPr>
      </w:pPr>
    </w:p>
    <w:p w14:paraId="7C4E7D62" w14:textId="77777777" w:rsidR="009260DE" w:rsidRPr="00054795" w:rsidRDefault="009260DE" w:rsidP="009260DE">
      <w:pPr>
        <w:tabs>
          <w:tab w:val="left" w:pos="851"/>
        </w:tabs>
        <w:ind w:left="851" w:hanging="851"/>
        <w:rPr>
          <w:b/>
          <w:sz w:val="24"/>
          <w:szCs w:val="24"/>
        </w:rPr>
      </w:pPr>
      <w:r w:rsidRPr="00054795">
        <w:rPr>
          <w:b/>
          <w:sz w:val="24"/>
          <w:szCs w:val="24"/>
        </w:rPr>
        <w:t>9.</w:t>
      </w:r>
      <w:r w:rsidRPr="00054795">
        <w:rPr>
          <w:b/>
          <w:sz w:val="24"/>
          <w:szCs w:val="24"/>
        </w:rPr>
        <w:tab/>
        <w:t>DATO FOR FØRSTE MARKEDSFØRINGSTILLADELSE</w:t>
      </w:r>
    </w:p>
    <w:p w14:paraId="6A2D14D5" w14:textId="76C05DB3" w:rsidR="009260DE" w:rsidRPr="00054795" w:rsidRDefault="00FA19FB" w:rsidP="009260DE">
      <w:pPr>
        <w:tabs>
          <w:tab w:val="left" w:pos="851"/>
        </w:tabs>
        <w:ind w:left="851"/>
        <w:rPr>
          <w:sz w:val="24"/>
          <w:szCs w:val="24"/>
        </w:rPr>
      </w:pPr>
      <w:r>
        <w:rPr>
          <w:sz w:val="24"/>
          <w:szCs w:val="24"/>
        </w:rPr>
        <w:t>14. april 2026</w:t>
      </w:r>
    </w:p>
    <w:p w14:paraId="5E850F83" w14:textId="77777777" w:rsidR="009260DE" w:rsidRPr="00054795" w:rsidRDefault="009260DE" w:rsidP="009260DE">
      <w:pPr>
        <w:tabs>
          <w:tab w:val="left" w:pos="851"/>
        </w:tabs>
        <w:ind w:left="851"/>
        <w:rPr>
          <w:sz w:val="24"/>
          <w:szCs w:val="24"/>
        </w:rPr>
      </w:pPr>
    </w:p>
    <w:p w14:paraId="31B0F027" w14:textId="77777777" w:rsidR="009260DE" w:rsidRPr="00054795" w:rsidRDefault="009260DE" w:rsidP="009260DE">
      <w:pPr>
        <w:tabs>
          <w:tab w:val="left" w:pos="851"/>
        </w:tabs>
        <w:ind w:left="851" w:hanging="851"/>
        <w:rPr>
          <w:b/>
          <w:sz w:val="24"/>
          <w:szCs w:val="24"/>
        </w:rPr>
      </w:pPr>
      <w:r w:rsidRPr="00054795">
        <w:rPr>
          <w:b/>
          <w:sz w:val="24"/>
          <w:szCs w:val="24"/>
        </w:rPr>
        <w:t>10.</w:t>
      </w:r>
      <w:r w:rsidRPr="00054795">
        <w:rPr>
          <w:b/>
          <w:sz w:val="24"/>
          <w:szCs w:val="24"/>
        </w:rPr>
        <w:tab/>
        <w:t>DATO FOR ÆNDRING AF TEKSTEN</w:t>
      </w:r>
    </w:p>
    <w:p w14:paraId="6BF9E0A8" w14:textId="510507FE" w:rsidR="009260DE" w:rsidRPr="00054795" w:rsidRDefault="001134EA" w:rsidP="009260DE">
      <w:pPr>
        <w:tabs>
          <w:tab w:val="left" w:pos="851"/>
        </w:tabs>
        <w:ind w:left="851"/>
        <w:rPr>
          <w:sz w:val="24"/>
          <w:szCs w:val="24"/>
        </w:rPr>
      </w:pPr>
      <w:r w:rsidRPr="00054795">
        <w:rPr>
          <w:sz w:val="24"/>
          <w:szCs w:val="24"/>
        </w:rPr>
        <w:t>-</w:t>
      </w:r>
    </w:p>
    <w:sectPr w:rsidR="009260DE" w:rsidRPr="00054795"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BAFE8" w14:textId="77777777" w:rsidR="009B7596" w:rsidRDefault="009B7596">
      <w:r>
        <w:separator/>
      </w:r>
    </w:p>
  </w:endnote>
  <w:endnote w:type="continuationSeparator" w:id="0">
    <w:p w14:paraId="68234A54" w14:textId="77777777" w:rsidR="009B7596" w:rsidRDefault="009B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8D88" w14:textId="77777777" w:rsidR="000259B9" w:rsidRDefault="000259B9">
    <w:pPr>
      <w:pStyle w:val="Sidefod"/>
      <w:pBdr>
        <w:bottom w:val="single" w:sz="6" w:space="1" w:color="auto"/>
      </w:pBdr>
    </w:pPr>
  </w:p>
  <w:p w14:paraId="62BB68C8" w14:textId="77777777" w:rsidR="000259B9" w:rsidRDefault="000259B9" w:rsidP="00C42586">
    <w:pPr>
      <w:pStyle w:val="Sidefod"/>
      <w:tabs>
        <w:tab w:val="clear" w:pos="4819"/>
        <w:tab w:val="left" w:pos="8505"/>
      </w:tabs>
      <w:rPr>
        <w:i/>
        <w:sz w:val="18"/>
        <w:szCs w:val="18"/>
      </w:rPr>
    </w:pPr>
  </w:p>
  <w:p w14:paraId="4AAF9A58" w14:textId="6CC43B07"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D208A9">
      <w:rPr>
        <w:i/>
        <w:noProof/>
        <w:sz w:val="18"/>
        <w:szCs w:val="18"/>
      </w:rPr>
      <w:t>Paracetamol Kabi, infusionsvæske, opløsning 10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9F6B4" w14:textId="77777777" w:rsidR="009B7596" w:rsidRDefault="009B7596">
      <w:r>
        <w:separator/>
      </w:r>
    </w:p>
  </w:footnote>
  <w:footnote w:type="continuationSeparator" w:id="0">
    <w:p w14:paraId="19D2095D" w14:textId="77777777" w:rsidR="009B7596" w:rsidRDefault="009B7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D7D4018"/>
    <w:multiLevelType w:val="multilevel"/>
    <w:tmpl w:val="40BE1AB4"/>
    <w:lvl w:ilvl="0">
      <w:start w:val="1"/>
      <w:numFmt w:val="bullet"/>
      <w:lvlText w:val=""/>
      <w:lvlJc w:val="left"/>
      <w:pPr>
        <w:tabs>
          <w:tab w:val="num" w:pos="855"/>
        </w:tabs>
        <w:ind w:left="855" w:hanging="855"/>
      </w:pPr>
      <w:rPr>
        <w:rFonts w:ascii="Symbol" w:hAnsi="Symbol" w:hint="default"/>
      </w:r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ED8180D"/>
    <w:multiLevelType w:val="hybridMultilevel"/>
    <w:tmpl w:val="64C0876E"/>
    <w:lvl w:ilvl="0" w:tplc="BE625C2C">
      <w:start w:val="4"/>
      <w:numFmt w:val="bullet"/>
      <w:lvlText w:val="-"/>
      <w:lvlJc w:val="left"/>
      <w:pPr>
        <w:tabs>
          <w:tab w:val="num" w:pos="1211"/>
        </w:tabs>
        <w:ind w:left="1211" w:hanging="360"/>
      </w:pPr>
      <w:rPr>
        <w:rFonts w:ascii="Times New Roman" w:eastAsia="Times New Roman" w:hAnsi="Times New Roman" w:cs="Times New Roman" w:hint="default"/>
      </w:rPr>
    </w:lvl>
    <w:lvl w:ilvl="1" w:tplc="04090003">
      <w:start w:val="1"/>
      <w:numFmt w:val="bullet"/>
      <w:lvlText w:val="o"/>
      <w:lvlJc w:val="left"/>
      <w:pPr>
        <w:tabs>
          <w:tab w:val="num" w:pos="1931"/>
        </w:tabs>
        <w:ind w:left="1931" w:hanging="360"/>
      </w:pPr>
      <w:rPr>
        <w:rFonts w:ascii="Courier New" w:hAnsi="Courier New" w:cs="Courier New" w:hint="default"/>
      </w:rPr>
    </w:lvl>
    <w:lvl w:ilvl="2" w:tplc="04090005">
      <w:start w:val="1"/>
      <w:numFmt w:val="bullet"/>
      <w:lvlText w:val=""/>
      <w:lvlJc w:val="left"/>
      <w:pPr>
        <w:tabs>
          <w:tab w:val="num" w:pos="2651"/>
        </w:tabs>
        <w:ind w:left="2651" w:hanging="360"/>
      </w:pPr>
      <w:rPr>
        <w:rFonts w:ascii="Wingdings" w:hAnsi="Wingdings" w:hint="default"/>
      </w:rPr>
    </w:lvl>
    <w:lvl w:ilvl="3" w:tplc="04090001">
      <w:start w:val="1"/>
      <w:numFmt w:val="bullet"/>
      <w:lvlText w:val=""/>
      <w:lvlJc w:val="left"/>
      <w:pPr>
        <w:tabs>
          <w:tab w:val="num" w:pos="3371"/>
        </w:tabs>
        <w:ind w:left="3371" w:hanging="360"/>
      </w:pPr>
      <w:rPr>
        <w:rFonts w:ascii="Symbol" w:hAnsi="Symbol" w:hint="default"/>
      </w:rPr>
    </w:lvl>
    <w:lvl w:ilvl="4" w:tplc="04090003">
      <w:start w:val="1"/>
      <w:numFmt w:val="bullet"/>
      <w:lvlText w:val="o"/>
      <w:lvlJc w:val="left"/>
      <w:pPr>
        <w:tabs>
          <w:tab w:val="num" w:pos="4091"/>
        </w:tabs>
        <w:ind w:left="4091" w:hanging="360"/>
      </w:pPr>
      <w:rPr>
        <w:rFonts w:ascii="Courier New" w:hAnsi="Courier New" w:cs="Courier New" w:hint="default"/>
      </w:rPr>
    </w:lvl>
    <w:lvl w:ilvl="5" w:tplc="04090005">
      <w:start w:val="1"/>
      <w:numFmt w:val="bullet"/>
      <w:lvlText w:val=""/>
      <w:lvlJc w:val="left"/>
      <w:pPr>
        <w:tabs>
          <w:tab w:val="num" w:pos="4811"/>
        </w:tabs>
        <w:ind w:left="4811" w:hanging="360"/>
      </w:pPr>
      <w:rPr>
        <w:rFonts w:ascii="Wingdings" w:hAnsi="Wingdings" w:hint="default"/>
      </w:rPr>
    </w:lvl>
    <w:lvl w:ilvl="6" w:tplc="04090001">
      <w:start w:val="1"/>
      <w:numFmt w:val="bullet"/>
      <w:lvlText w:val=""/>
      <w:lvlJc w:val="left"/>
      <w:pPr>
        <w:tabs>
          <w:tab w:val="num" w:pos="5531"/>
        </w:tabs>
        <w:ind w:left="5531" w:hanging="360"/>
      </w:pPr>
      <w:rPr>
        <w:rFonts w:ascii="Symbol" w:hAnsi="Symbol" w:hint="default"/>
      </w:rPr>
    </w:lvl>
    <w:lvl w:ilvl="7" w:tplc="04090003">
      <w:start w:val="1"/>
      <w:numFmt w:val="bullet"/>
      <w:lvlText w:val="o"/>
      <w:lvlJc w:val="left"/>
      <w:pPr>
        <w:tabs>
          <w:tab w:val="num" w:pos="6251"/>
        </w:tabs>
        <w:ind w:left="6251" w:hanging="360"/>
      </w:pPr>
      <w:rPr>
        <w:rFonts w:ascii="Courier New" w:hAnsi="Courier New" w:cs="Courier New" w:hint="default"/>
      </w:rPr>
    </w:lvl>
    <w:lvl w:ilvl="8" w:tplc="04090005">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45743FF8"/>
    <w:multiLevelType w:val="hybridMultilevel"/>
    <w:tmpl w:val="96B87A5A"/>
    <w:lvl w:ilvl="0" w:tplc="F628E876">
      <w:numFmt w:val="bullet"/>
      <w:lvlText w:val="-"/>
      <w:lvlJc w:val="left"/>
      <w:pPr>
        <w:tabs>
          <w:tab w:val="num" w:pos="1247"/>
        </w:tabs>
        <w:ind w:left="1247" w:hanging="396"/>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6111F"/>
    <w:multiLevelType w:val="hybridMultilevel"/>
    <w:tmpl w:val="8BB29C84"/>
    <w:lvl w:ilvl="0" w:tplc="04060001">
      <w:start w:val="1"/>
      <w:numFmt w:val="bullet"/>
      <w:lvlText w:val=""/>
      <w:lvlJc w:val="left"/>
      <w:pPr>
        <w:ind w:left="1211"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88061D5"/>
    <w:multiLevelType w:val="hybridMultilevel"/>
    <w:tmpl w:val="1D4EA172"/>
    <w:lvl w:ilvl="0" w:tplc="04090001">
      <w:start w:val="1"/>
      <w:numFmt w:val="bullet"/>
      <w:lvlText w:val=""/>
      <w:lvlJc w:val="left"/>
      <w:pPr>
        <w:tabs>
          <w:tab w:val="num" w:pos="1571"/>
        </w:tabs>
        <w:ind w:left="157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3900773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762002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9789188">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2878820">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904507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0008070">
    <w:abstractNumId w:val="4"/>
  </w:num>
  <w:num w:numId="7" w16cid:durableId="4596904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292891">
    <w:abstractNumId w:val="6"/>
  </w:num>
  <w:num w:numId="9" w16cid:durableId="3520129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92398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96"/>
    <w:rsid w:val="000259B9"/>
    <w:rsid w:val="00041491"/>
    <w:rsid w:val="00050D16"/>
    <w:rsid w:val="00054795"/>
    <w:rsid w:val="000730CA"/>
    <w:rsid w:val="00074F2A"/>
    <w:rsid w:val="000A1CA8"/>
    <w:rsid w:val="000A466B"/>
    <w:rsid w:val="000B058C"/>
    <w:rsid w:val="000D68B0"/>
    <w:rsid w:val="000E4EE6"/>
    <w:rsid w:val="001134EA"/>
    <w:rsid w:val="001454E2"/>
    <w:rsid w:val="0016268D"/>
    <w:rsid w:val="0016390F"/>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91E21"/>
    <w:rsid w:val="004E3B12"/>
    <w:rsid w:val="00532310"/>
    <w:rsid w:val="00565F0F"/>
    <w:rsid w:val="00594A86"/>
    <w:rsid w:val="00596D86"/>
    <w:rsid w:val="00635BAC"/>
    <w:rsid w:val="00637F5A"/>
    <w:rsid w:val="00641C65"/>
    <w:rsid w:val="006560B1"/>
    <w:rsid w:val="006616B0"/>
    <w:rsid w:val="006756DD"/>
    <w:rsid w:val="0071241E"/>
    <w:rsid w:val="00737275"/>
    <w:rsid w:val="00740EEC"/>
    <w:rsid w:val="0078011A"/>
    <w:rsid w:val="00780143"/>
    <w:rsid w:val="00782AF4"/>
    <w:rsid w:val="00790EE7"/>
    <w:rsid w:val="00793067"/>
    <w:rsid w:val="007B6649"/>
    <w:rsid w:val="007F22A6"/>
    <w:rsid w:val="0082576E"/>
    <w:rsid w:val="0089346F"/>
    <w:rsid w:val="00907F75"/>
    <w:rsid w:val="009260DE"/>
    <w:rsid w:val="0093258A"/>
    <w:rsid w:val="00951E6D"/>
    <w:rsid w:val="009B7596"/>
    <w:rsid w:val="009C7BA3"/>
    <w:rsid w:val="009D1F5A"/>
    <w:rsid w:val="00A10294"/>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08A9"/>
    <w:rsid w:val="00D237F6"/>
    <w:rsid w:val="00D34D98"/>
    <w:rsid w:val="00D366CF"/>
    <w:rsid w:val="00D93992"/>
    <w:rsid w:val="00E108AA"/>
    <w:rsid w:val="00E3749A"/>
    <w:rsid w:val="00E43CB9"/>
    <w:rsid w:val="00E7437F"/>
    <w:rsid w:val="00E865B8"/>
    <w:rsid w:val="00EC0B9B"/>
    <w:rsid w:val="00ED5E9F"/>
    <w:rsid w:val="00F66D4F"/>
    <w:rsid w:val="00FA19FB"/>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8DAA6"/>
  <w15:chartTrackingRefBased/>
  <w15:docId w15:val="{C29239CC-637F-47EF-8450-620F4219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1134EA"/>
    <w:rPr>
      <w:color w:val="0563C1" w:themeColor="hyperlink"/>
      <w:u w:val="single"/>
    </w:rPr>
  </w:style>
  <w:style w:type="character" w:styleId="Ulstomtale">
    <w:name w:val="Unresolved Mention"/>
    <w:basedOn w:val="Standardskrifttypeiafsnit"/>
    <w:uiPriority w:val="99"/>
    <w:semiHidden/>
    <w:unhideWhenUsed/>
    <w:rsid w:val="00113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537">
      <w:bodyDiv w:val="1"/>
      <w:marLeft w:val="0"/>
      <w:marRight w:val="0"/>
      <w:marTop w:val="0"/>
      <w:marBottom w:val="0"/>
      <w:divBdr>
        <w:top w:val="none" w:sz="0" w:space="0" w:color="auto"/>
        <w:left w:val="none" w:sz="0" w:space="0" w:color="auto"/>
        <w:bottom w:val="none" w:sz="0" w:space="0" w:color="auto"/>
        <w:right w:val="none" w:sz="0" w:space="0" w:color="auto"/>
      </w:divBdr>
    </w:div>
    <w:div w:id="14815535">
      <w:bodyDiv w:val="1"/>
      <w:marLeft w:val="0"/>
      <w:marRight w:val="0"/>
      <w:marTop w:val="0"/>
      <w:marBottom w:val="0"/>
      <w:divBdr>
        <w:top w:val="none" w:sz="0" w:space="0" w:color="auto"/>
        <w:left w:val="none" w:sz="0" w:space="0" w:color="auto"/>
        <w:bottom w:val="none" w:sz="0" w:space="0" w:color="auto"/>
        <w:right w:val="none" w:sz="0" w:space="0" w:color="auto"/>
      </w:divBdr>
    </w:div>
    <w:div w:id="62024594">
      <w:bodyDiv w:val="1"/>
      <w:marLeft w:val="0"/>
      <w:marRight w:val="0"/>
      <w:marTop w:val="0"/>
      <w:marBottom w:val="0"/>
      <w:divBdr>
        <w:top w:val="none" w:sz="0" w:space="0" w:color="auto"/>
        <w:left w:val="none" w:sz="0" w:space="0" w:color="auto"/>
        <w:bottom w:val="none" w:sz="0" w:space="0" w:color="auto"/>
        <w:right w:val="none" w:sz="0" w:space="0" w:color="auto"/>
      </w:divBdr>
    </w:div>
    <w:div w:id="77606430">
      <w:bodyDiv w:val="1"/>
      <w:marLeft w:val="0"/>
      <w:marRight w:val="0"/>
      <w:marTop w:val="0"/>
      <w:marBottom w:val="0"/>
      <w:divBdr>
        <w:top w:val="none" w:sz="0" w:space="0" w:color="auto"/>
        <w:left w:val="none" w:sz="0" w:space="0" w:color="auto"/>
        <w:bottom w:val="none" w:sz="0" w:space="0" w:color="auto"/>
        <w:right w:val="none" w:sz="0" w:space="0" w:color="auto"/>
      </w:divBdr>
    </w:div>
    <w:div w:id="83115150">
      <w:bodyDiv w:val="1"/>
      <w:marLeft w:val="0"/>
      <w:marRight w:val="0"/>
      <w:marTop w:val="0"/>
      <w:marBottom w:val="0"/>
      <w:divBdr>
        <w:top w:val="none" w:sz="0" w:space="0" w:color="auto"/>
        <w:left w:val="none" w:sz="0" w:space="0" w:color="auto"/>
        <w:bottom w:val="none" w:sz="0" w:space="0" w:color="auto"/>
        <w:right w:val="none" w:sz="0" w:space="0" w:color="auto"/>
      </w:divBdr>
    </w:div>
    <w:div w:id="90517971">
      <w:bodyDiv w:val="1"/>
      <w:marLeft w:val="0"/>
      <w:marRight w:val="0"/>
      <w:marTop w:val="0"/>
      <w:marBottom w:val="0"/>
      <w:divBdr>
        <w:top w:val="none" w:sz="0" w:space="0" w:color="auto"/>
        <w:left w:val="none" w:sz="0" w:space="0" w:color="auto"/>
        <w:bottom w:val="none" w:sz="0" w:space="0" w:color="auto"/>
        <w:right w:val="none" w:sz="0" w:space="0" w:color="auto"/>
      </w:divBdr>
    </w:div>
    <w:div w:id="92167443">
      <w:bodyDiv w:val="1"/>
      <w:marLeft w:val="0"/>
      <w:marRight w:val="0"/>
      <w:marTop w:val="0"/>
      <w:marBottom w:val="0"/>
      <w:divBdr>
        <w:top w:val="none" w:sz="0" w:space="0" w:color="auto"/>
        <w:left w:val="none" w:sz="0" w:space="0" w:color="auto"/>
        <w:bottom w:val="none" w:sz="0" w:space="0" w:color="auto"/>
        <w:right w:val="none" w:sz="0" w:space="0" w:color="auto"/>
      </w:divBdr>
    </w:div>
    <w:div w:id="97871786">
      <w:bodyDiv w:val="1"/>
      <w:marLeft w:val="0"/>
      <w:marRight w:val="0"/>
      <w:marTop w:val="0"/>
      <w:marBottom w:val="0"/>
      <w:divBdr>
        <w:top w:val="none" w:sz="0" w:space="0" w:color="auto"/>
        <w:left w:val="none" w:sz="0" w:space="0" w:color="auto"/>
        <w:bottom w:val="none" w:sz="0" w:space="0" w:color="auto"/>
        <w:right w:val="none" w:sz="0" w:space="0" w:color="auto"/>
      </w:divBdr>
    </w:div>
    <w:div w:id="120391101">
      <w:bodyDiv w:val="1"/>
      <w:marLeft w:val="0"/>
      <w:marRight w:val="0"/>
      <w:marTop w:val="0"/>
      <w:marBottom w:val="0"/>
      <w:divBdr>
        <w:top w:val="none" w:sz="0" w:space="0" w:color="auto"/>
        <w:left w:val="none" w:sz="0" w:space="0" w:color="auto"/>
        <w:bottom w:val="none" w:sz="0" w:space="0" w:color="auto"/>
        <w:right w:val="none" w:sz="0" w:space="0" w:color="auto"/>
      </w:divBdr>
    </w:div>
    <w:div w:id="13614658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25070497">
      <w:bodyDiv w:val="1"/>
      <w:marLeft w:val="0"/>
      <w:marRight w:val="0"/>
      <w:marTop w:val="0"/>
      <w:marBottom w:val="0"/>
      <w:divBdr>
        <w:top w:val="none" w:sz="0" w:space="0" w:color="auto"/>
        <w:left w:val="none" w:sz="0" w:space="0" w:color="auto"/>
        <w:bottom w:val="none" w:sz="0" w:space="0" w:color="auto"/>
        <w:right w:val="none" w:sz="0" w:space="0" w:color="auto"/>
      </w:divBdr>
    </w:div>
    <w:div w:id="311256852">
      <w:bodyDiv w:val="1"/>
      <w:marLeft w:val="0"/>
      <w:marRight w:val="0"/>
      <w:marTop w:val="0"/>
      <w:marBottom w:val="0"/>
      <w:divBdr>
        <w:top w:val="none" w:sz="0" w:space="0" w:color="auto"/>
        <w:left w:val="none" w:sz="0" w:space="0" w:color="auto"/>
        <w:bottom w:val="none" w:sz="0" w:space="0" w:color="auto"/>
        <w:right w:val="none" w:sz="0" w:space="0" w:color="auto"/>
      </w:divBdr>
    </w:div>
    <w:div w:id="462618697">
      <w:bodyDiv w:val="1"/>
      <w:marLeft w:val="0"/>
      <w:marRight w:val="0"/>
      <w:marTop w:val="0"/>
      <w:marBottom w:val="0"/>
      <w:divBdr>
        <w:top w:val="none" w:sz="0" w:space="0" w:color="auto"/>
        <w:left w:val="none" w:sz="0" w:space="0" w:color="auto"/>
        <w:bottom w:val="none" w:sz="0" w:space="0" w:color="auto"/>
        <w:right w:val="none" w:sz="0" w:space="0" w:color="auto"/>
      </w:divBdr>
    </w:div>
    <w:div w:id="565653689">
      <w:bodyDiv w:val="1"/>
      <w:marLeft w:val="0"/>
      <w:marRight w:val="0"/>
      <w:marTop w:val="0"/>
      <w:marBottom w:val="0"/>
      <w:divBdr>
        <w:top w:val="none" w:sz="0" w:space="0" w:color="auto"/>
        <w:left w:val="none" w:sz="0" w:space="0" w:color="auto"/>
        <w:bottom w:val="none" w:sz="0" w:space="0" w:color="auto"/>
        <w:right w:val="none" w:sz="0" w:space="0" w:color="auto"/>
      </w:divBdr>
    </w:div>
    <w:div w:id="626398116">
      <w:bodyDiv w:val="1"/>
      <w:marLeft w:val="0"/>
      <w:marRight w:val="0"/>
      <w:marTop w:val="0"/>
      <w:marBottom w:val="0"/>
      <w:divBdr>
        <w:top w:val="none" w:sz="0" w:space="0" w:color="auto"/>
        <w:left w:val="none" w:sz="0" w:space="0" w:color="auto"/>
        <w:bottom w:val="none" w:sz="0" w:space="0" w:color="auto"/>
        <w:right w:val="none" w:sz="0" w:space="0" w:color="auto"/>
      </w:divBdr>
    </w:div>
    <w:div w:id="650333835">
      <w:bodyDiv w:val="1"/>
      <w:marLeft w:val="0"/>
      <w:marRight w:val="0"/>
      <w:marTop w:val="0"/>
      <w:marBottom w:val="0"/>
      <w:divBdr>
        <w:top w:val="none" w:sz="0" w:space="0" w:color="auto"/>
        <w:left w:val="none" w:sz="0" w:space="0" w:color="auto"/>
        <w:bottom w:val="none" w:sz="0" w:space="0" w:color="auto"/>
        <w:right w:val="none" w:sz="0" w:space="0" w:color="auto"/>
      </w:divBdr>
    </w:div>
    <w:div w:id="654644075">
      <w:bodyDiv w:val="1"/>
      <w:marLeft w:val="0"/>
      <w:marRight w:val="0"/>
      <w:marTop w:val="0"/>
      <w:marBottom w:val="0"/>
      <w:divBdr>
        <w:top w:val="none" w:sz="0" w:space="0" w:color="auto"/>
        <w:left w:val="none" w:sz="0" w:space="0" w:color="auto"/>
        <w:bottom w:val="none" w:sz="0" w:space="0" w:color="auto"/>
        <w:right w:val="none" w:sz="0" w:space="0" w:color="auto"/>
      </w:divBdr>
    </w:div>
    <w:div w:id="657079033">
      <w:bodyDiv w:val="1"/>
      <w:marLeft w:val="0"/>
      <w:marRight w:val="0"/>
      <w:marTop w:val="0"/>
      <w:marBottom w:val="0"/>
      <w:divBdr>
        <w:top w:val="none" w:sz="0" w:space="0" w:color="auto"/>
        <w:left w:val="none" w:sz="0" w:space="0" w:color="auto"/>
        <w:bottom w:val="none" w:sz="0" w:space="0" w:color="auto"/>
        <w:right w:val="none" w:sz="0" w:space="0" w:color="auto"/>
      </w:divBdr>
    </w:div>
    <w:div w:id="687220556">
      <w:bodyDiv w:val="1"/>
      <w:marLeft w:val="0"/>
      <w:marRight w:val="0"/>
      <w:marTop w:val="0"/>
      <w:marBottom w:val="0"/>
      <w:divBdr>
        <w:top w:val="none" w:sz="0" w:space="0" w:color="auto"/>
        <w:left w:val="none" w:sz="0" w:space="0" w:color="auto"/>
        <w:bottom w:val="none" w:sz="0" w:space="0" w:color="auto"/>
        <w:right w:val="none" w:sz="0" w:space="0" w:color="auto"/>
      </w:divBdr>
    </w:div>
    <w:div w:id="726143495">
      <w:bodyDiv w:val="1"/>
      <w:marLeft w:val="0"/>
      <w:marRight w:val="0"/>
      <w:marTop w:val="0"/>
      <w:marBottom w:val="0"/>
      <w:divBdr>
        <w:top w:val="none" w:sz="0" w:space="0" w:color="auto"/>
        <w:left w:val="none" w:sz="0" w:space="0" w:color="auto"/>
        <w:bottom w:val="none" w:sz="0" w:space="0" w:color="auto"/>
        <w:right w:val="none" w:sz="0" w:space="0" w:color="auto"/>
      </w:divBdr>
    </w:div>
    <w:div w:id="901522737">
      <w:bodyDiv w:val="1"/>
      <w:marLeft w:val="0"/>
      <w:marRight w:val="0"/>
      <w:marTop w:val="0"/>
      <w:marBottom w:val="0"/>
      <w:divBdr>
        <w:top w:val="none" w:sz="0" w:space="0" w:color="auto"/>
        <w:left w:val="none" w:sz="0" w:space="0" w:color="auto"/>
        <w:bottom w:val="none" w:sz="0" w:space="0" w:color="auto"/>
        <w:right w:val="none" w:sz="0" w:space="0" w:color="auto"/>
      </w:divBdr>
    </w:div>
    <w:div w:id="999424076">
      <w:bodyDiv w:val="1"/>
      <w:marLeft w:val="0"/>
      <w:marRight w:val="0"/>
      <w:marTop w:val="0"/>
      <w:marBottom w:val="0"/>
      <w:divBdr>
        <w:top w:val="none" w:sz="0" w:space="0" w:color="auto"/>
        <w:left w:val="none" w:sz="0" w:space="0" w:color="auto"/>
        <w:bottom w:val="none" w:sz="0" w:space="0" w:color="auto"/>
        <w:right w:val="none" w:sz="0" w:space="0" w:color="auto"/>
      </w:divBdr>
    </w:div>
    <w:div w:id="1079324829">
      <w:bodyDiv w:val="1"/>
      <w:marLeft w:val="0"/>
      <w:marRight w:val="0"/>
      <w:marTop w:val="0"/>
      <w:marBottom w:val="0"/>
      <w:divBdr>
        <w:top w:val="none" w:sz="0" w:space="0" w:color="auto"/>
        <w:left w:val="none" w:sz="0" w:space="0" w:color="auto"/>
        <w:bottom w:val="none" w:sz="0" w:space="0" w:color="auto"/>
        <w:right w:val="none" w:sz="0" w:space="0" w:color="auto"/>
      </w:divBdr>
    </w:div>
    <w:div w:id="1082406548">
      <w:bodyDiv w:val="1"/>
      <w:marLeft w:val="0"/>
      <w:marRight w:val="0"/>
      <w:marTop w:val="0"/>
      <w:marBottom w:val="0"/>
      <w:divBdr>
        <w:top w:val="none" w:sz="0" w:space="0" w:color="auto"/>
        <w:left w:val="none" w:sz="0" w:space="0" w:color="auto"/>
        <w:bottom w:val="none" w:sz="0" w:space="0" w:color="auto"/>
        <w:right w:val="none" w:sz="0" w:space="0" w:color="auto"/>
      </w:divBdr>
    </w:div>
    <w:div w:id="1212494580">
      <w:bodyDiv w:val="1"/>
      <w:marLeft w:val="0"/>
      <w:marRight w:val="0"/>
      <w:marTop w:val="0"/>
      <w:marBottom w:val="0"/>
      <w:divBdr>
        <w:top w:val="none" w:sz="0" w:space="0" w:color="auto"/>
        <w:left w:val="none" w:sz="0" w:space="0" w:color="auto"/>
        <w:bottom w:val="none" w:sz="0" w:space="0" w:color="auto"/>
        <w:right w:val="none" w:sz="0" w:space="0" w:color="auto"/>
      </w:divBdr>
    </w:div>
    <w:div w:id="1214345144">
      <w:bodyDiv w:val="1"/>
      <w:marLeft w:val="0"/>
      <w:marRight w:val="0"/>
      <w:marTop w:val="0"/>
      <w:marBottom w:val="0"/>
      <w:divBdr>
        <w:top w:val="none" w:sz="0" w:space="0" w:color="auto"/>
        <w:left w:val="none" w:sz="0" w:space="0" w:color="auto"/>
        <w:bottom w:val="none" w:sz="0" w:space="0" w:color="auto"/>
        <w:right w:val="none" w:sz="0" w:space="0" w:color="auto"/>
      </w:divBdr>
    </w:div>
    <w:div w:id="1307005153">
      <w:bodyDiv w:val="1"/>
      <w:marLeft w:val="0"/>
      <w:marRight w:val="0"/>
      <w:marTop w:val="0"/>
      <w:marBottom w:val="0"/>
      <w:divBdr>
        <w:top w:val="none" w:sz="0" w:space="0" w:color="auto"/>
        <w:left w:val="none" w:sz="0" w:space="0" w:color="auto"/>
        <w:bottom w:val="none" w:sz="0" w:space="0" w:color="auto"/>
        <w:right w:val="none" w:sz="0" w:space="0" w:color="auto"/>
      </w:divBdr>
    </w:div>
    <w:div w:id="1309628658">
      <w:bodyDiv w:val="1"/>
      <w:marLeft w:val="0"/>
      <w:marRight w:val="0"/>
      <w:marTop w:val="0"/>
      <w:marBottom w:val="0"/>
      <w:divBdr>
        <w:top w:val="none" w:sz="0" w:space="0" w:color="auto"/>
        <w:left w:val="none" w:sz="0" w:space="0" w:color="auto"/>
        <w:bottom w:val="none" w:sz="0" w:space="0" w:color="auto"/>
        <w:right w:val="none" w:sz="0" w:space="0" w:color="auto"/>
      </w:divBdr>
    </w:div>
    <w:div w:id="1365904882">
      <w:bodyDiv w:val="1"/>
      <w:marLeft w:val="0"/>
      <w:marRight w:val="0"/>
      <w:marTop w:val="0"/>
      <w:marBottom w:val="0"/>
      <w:divBdr>
        <w:top w:val="none" w:sz="0" w:space="0" w:color="auto"/>
        <w:left w:val="none" w:sz="0" w:space="0" w:color="auto"/>
        <w:bottom w:val="none" w:sz="0" w:space="0" w:color="auto"/>
        <w:right w:val="none" w:sz="0" w:space="0" w:color="auto"/>
      </w:divBdr>
    </w:div>
    <w:div w:id="1414665084">
      <w:bodyDiv w:val="1"/>
      <w:marLeft w:val="0"/>
      <w:marRight w:val="0"/>
      <w:marTop w:val="0"/>
      <w:marBottom w:val="0"/>
      <w:divBdr>
        <w:top w:val="none" w:sz="0" w:space="0" w:color="auto"/>
        <w:left w:val="none" w:sz="0" w:space="0" w:color="auto"/>
        <w:bottom w:val="none" w:sz="0" w:space="0" w:color="auto"/>
        <w:right w:val="none" w:sz="0" w:space="0" w:color="auto"/>
      </w:divBdr>
    </w:div>
    <w:div w:id="1502895381">
      <w:bodyDiv w:val="1"/>
      <w:marLeft w:val="0"/>
      <w:marRight w:val="0"/>
      <w:marTop w:val="0"/>
      <w:marBottom w:val="0"/>
      <w:divBdr>
        <w:top w:val="none" w:sz="0" w:space="0" w:color="auto"/>
        <w:left w:val="none" w:sz="0" w:space="0" w:color="auto"/>
        <w:bottom w:val="none" w:sz="0" w:space="0" w:color="auto"/>
        <w:right w:val="none" w:sz="0" w:space="0" w:color="auto"/>
      </w:divBdr>
    </w:div>
    <w:div w:id="1687904639">
      <w:bodyDiv w:val="1"/>
      <w:marLeft w:val="0"/>
      <w:marRight w:val="0"/>
      <w:marTop w:val="0"/>
      <w:marBottom w:val="0"/>
      <w:divBdr>
        <w:top w:val="none" w:sz="0" w:space="0" w:color="auto"/>
        <w:left w:val="none" w:sz="0" w:space="0" w:color="auto"/>
        <w:bottom w:val="none" w:sz="0" w:space="0" w:color="auto"/>
        <w:right w:val="none" w:sz="0" w:space="0" w:color="auto"/>
      </w:divBdr>
    </w:div>
    <w:div w:id="1691947802">
      <w:bodyDiv w:val="1"/>
      <w:marLeft w:val="0"/>
      <w:marRight w:val="0"/>
      <w:marTop w:val="0"/>
      <w:marBottom w:val="0"/>
      <w:divBdr>
        <w:top w:val="none" w:sz="0" w:space="0" w:color="auto"/>
        <w:left w:val="none" w:sz="0" w:space="0" w:color="auto"/>
        <w:bottom w:val="none" w:sz="0" w:space="0" w:color="auto"/>
        <w:right w:val="none" w:sz="0" w:space="0" w:color="auto"/>
      </w:divBdr>
    </w:div>
    <w:div w:id="1712459789">
      <w:bodyDiv w:val="1"/>
      <w:marLeft w:val="0"/>
      <w:marRight w:val="0"/>
      <w:marTop w:val="0"/>
      <w:marBottom w:val="0"/>
      <w:divBdr>
        <w:top w:val="none" w:sz="0" w:space="0" w:color="auto"/>
        <w:left w:val="none" w:sz="0" w:space="0" w:color="auto"/>
        <w:bottom w:val="none" w:sz="0" w:space="0" w:color="auto"/>
        <w:right w:val="none" w:sz="0" w:space="0" w:color="auto"/>
      </w:divBdr>
    </w:div>
    <w:div w:id="1828284856">
      <w:bodyDiv w:val="1"/>
      <w:marLeft w:val="0"/>
      <w:marRight w:val="0"/>
      <w:marTop w:val="0"/>
      <w:marBottom w:val="0"/>
      <w:divBdr>
        <w:top w:val="none" w:sz="0" w:space="0" w:color="auto"/>
        <w:left w:val="none" w:sz="0" w:space="0" w:color="auto"/>
        <w:bottom w:val="none" w:sz="0" w:space="0" w:color="auto"/>
        <w:right w:val="none" w:sz="0" w:space="0" w:color="auto"/>
      </w:divBdr>
    </w:div>
    <w:div w:id="1867909811">
      <w:bodyDiv w:val="1"/>
      <w:marLeft w:val="0"/>
      <w:marRight w:val="0"/>
      <w:marTop w:val="0"/>
      <w:marBottom w:val="0"/>
      <w:divBdr>
        <w:top w:val="none" w:sz="0" w:space="0" w:color="auto"/>
        <w:left w:val="none" w:sz="0" w:space="0" w:color="auto"/>
        <w:bottom w:val="none" w:sz="0" w:space="0" w:color="auto"/>
        <w:right w:val="none" w:sz="0" w:space="0" w:color="auto"/>
      </w:divBdr>
    </w:div>
    <w:div w:id="1977837978">
      <w:bodyDiv w:val="1"/>
      <w:marLeft w:val="0"/>
      <w:marRight w:val="0"/>
      <w:marTop w:val="0"/>
      <w:marBottom w:val="0"/>
      <w:divBdr>
        <w:top w:val="none" w:sz="0" w:space="0" w:color="auto"/>
        <w:left w:val="none" w:sz="0" w:space="0" w:color="auto"/>
        <w:bottom w:val="none" w:sz="0" w:space="0" w:color="auto"/>
        <w:right w:val="none" w:sz="0" w:space="0" w:color="auto"/>
      </w:divBdr>
    </w:div>
    <w:div w:id="1986659233">
      <w:bodyDiv w:val="1"/>
      <w:marLeft w:val="0"/>
      <w:marRight w:val="0"/>
      <w:marTop w:val="0"/>
      <w:marBottom w:val="0"/>
      <w:divBdr>
        <w:top w:val="none" w:sz="0" w:space="0" w:color="auto"/>
        <w:left w:val="none" w:sz="0" w:space="0" w:color="auto"/>
        <w:bottom w:val="none" w:sz="0" w:space="0" w:color="auto"/>
        <w:right w:val="none" w:sz="0" w:space="0" w:color="auto"/>
      </w:divBdr>
    </w:div>
    <w:div w:id="2013946889">
      <w:bodyDiv w:val="1"/>
      <w:marLeft w:val="0"/>
      <w:marRight w:val="0"/>
      <w:marTop w:val="0"/>
      <w:marBottom w:val="0"/>
      <w:divBdr>
        <w:top w:val="none" w:sz="0" w:space="0" w:color="auto"/>
        <w:left w:val="none" w:sz="0" w:space="0" w:color="auto"/>
        <w:bottom w:val="none" w:sz="0" w:space="0" w:color="auto"/>
        <w:right w:val="none" w:sz="0" w:space="0" w:color="auto"/>
      </w:divBdr>
    </w:div>
    <w:div w:id="2075544734">
      <w:bodyDiv w:val="1"/>
      <w:marLeft w:val="0"/>
      <w:marRight w:val="0"/>
      <w:marTop w:val="0"/>
      <w:marBottom w:val="0"/>
      <w:divBdr>
        <w:top w:val="none" w:sz="0" w:space="0" w:color="auto"/>
        <w:left w:val="none" w:sz="0" w:space="0" w:color="auto"/>
        <w:bottom w:val="none" w:sz="0" w:space="0" w:color="auto"/>
        <w:right w:val="none" w:sz="0" w:space="0" w:color="auto"/>
      </w:divBdr>
    </w:div>
    <w:div w:id="2084570038">
      <w:bodyDiv w:val="1"/>
      <w:marLeft w:val="0"/>
      <w:marRight w:val="0"/>
      <w:marTop w:val="0"/>
      <w:marBottom w:val="0"/>
      <w:divBdr>
        <w:top w:val="none" w:sz="0" w:space="0" w:color="auto"/>
        <w:left w:val="none" w:sz="0" w:space="0" w:color="auto"/>
        <w:bottom w:val="none" w:sz="0" w:space="0" w:color="auto"/>
        <w:right w:val="none" w:sz="0" w:space="0" w:color="auto"/>
      </w:divBdr>
    </w:div>
    <w:div w:id="2096173137">
      <w:bodyDiv w:val="1"/>
      <w:marLeft w:val="0"/>
      <w:marRight w:val="0"/>
      <w:marTop w:val="0"/>
      <w:marBottom w:val="0"/>
      <w:divBdr>
        <w:top w:val="none" w:sz="0" w:space="0" w:color="auto"/>
        <w:left w:val="none" w:sz="0" w:space="0" w:color="auto"/>
        <w:bottom w:val="none" w:sz="0" w:space="0" w:color="auto"/>
        <w:right w:val="none" w:sz="0" w:space="0" w:color="auto"/>
      </w:divBdr>
    </w:div>
    <w:div w:id="2124417930">
      <w:bodyDiv w:val="1"/>
      <w:marLeft w:val="0"/>
      <w:marRight w:val="0"/>
      <w:marTop w:val="0"/>
      <w:marBottom w:val="0"/>
      <w:divBdr>
        <w:top w:val="none" w:sz="0" w:space="0" w:color="auto"/>
        <w:left w:val="none" w:sz="0" w:space="0" w:color="auto"/>
        <w:bottom w:val="none" w:sz="0" w:space="0" w:color="auto"/>
        <w:right w:val="none" w:sz="0" w:space="0" w:color="auto"/>
      </w:divBdr>
    </w:div>
    <w:div w:id="213575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ldenbivirkning.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F5A7D-9678-4E15-9F64-BDAFCB57E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48</TotalTime>
  <Pages>11</Pages>
  <Words>2897</Words>
  <Characters>18764</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2025042243, MT</dc:description>
  <cp:lastModifiedBy>Gitte Jørgensen</cp:lastModifiedBy>
  <cp:revision>10</cp:revision>
  <cp:lastPrinted>2012-08-22T08:53:00Z</cp:lastPrinted>
  <dcterms:created xsi:type="dcterms:W3CDTF">2026-04-13T11:12:00Z</dcterms:created>
  <dcterms:modified xsi:type="dcterms:W3CDTF">2026-04-14T08:34:00Z</dcterms:modified>
</cp:coreProperties>
</file>