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6E4C8C" w:rsidRPr="006E4C8C">
        <w:rPr>
          <w:szCs w:val="24"/>
          <w:lang w:eastAsia="en-US"/>
        </w:rPr>
        <w:t>6</w:t>
      </w:r>
      <w:r w:rsidR="00086514">
        <w:rPr>
          <w:szCs w:val="24"/>
        </w:rPr>
        <w:t>. juli 2022</w:t>
      </w:r>
    </w:p>
    <w:p w:rsidR="009260DE" w:rsidRPr="00C84483" w:rsidRDefault="009260DE" w:rsidP="009260DE">
      <w:pPr>
        <w:pStyle w:val="Titel"/>
        <w:tabs>
          <w:tab w:val="left" w:pos="8222"/>
        </w:tabs>
        <w:jc w:val="left"/>
        <w:rPr>
          <w:b w:val="0"/>
          <w:szCs w:val="24"/>
        </w:rPr>
      </w:pPr>
    </w:p>
    <w:p w:rsidR="009260DE" w:rsidRPr="00C84483" w:rsidRDefault="006E4C8C" w:rsidP="006E4C8C">
      <w:pPr>
        <w:pStyle w:val="Titel"/>
        <w:tabs>
          <w:tab w:val="left" w:pos="8222"/>
        </w:tabs>
        <w:jc w:val="left"/>
        <w:rPr>
          <w:b w:val="0"/>
          <w:szCs w:val="24"/>
        </w:rPr>
      </w:pPr>
      <w:r>
        <w:rPr>
          <w:b w:val="0"/>
          <w:szCs w:val="24"/>
        </w:rPr>
        <w:tab/>
      </w: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581050" w:rsidP="009260DE">
      <w:pPr>
        <w:jc w:val="center"/>
        <w:rPr>
          <w:b/>
          <w:sz w:val="24"/>
          <w:szCs w:val="24"/>
        </w:rPr>
      </w:pPr>
      <w:r>
        <w:rPr>
          <w:b/>
          <w:sz w:val="24"/>
          <w:szCs w:val="24"/>
        </w:rPr>
        <w:t>Paracetamol "</w:t>
      </w:r>
      <w:proofErr w:type="spellStart"/>
      <w:r>
        <w:rPr>
          <w:b/>
          <w:sz w:val="24"/>
          <w:szCs w:val="24"/>
        </w:rPr>
        <w:t>Krka</w:t>
      </w:r>
      <w:proofErr w:type="spellEnd"/>
      <w:r>
        <w:rPr>
          <w:b/>
          <w:sz w:val="24"/>
          <w:szCs w:val="24"/>
        </w:rPr>
        <w:t>",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993219" w:rsidP="009260DE">
      <w:pPr>
        <w:tabs>
          <w:tab w:val="left" w:pos="851"/>
        </w:tabs>
        <w:ind w:left="851"/>
        <w:rPr>
          <w:sz w:val="24"/>
          <w:szCs w:val="24"/>
        </w:rPr>
      </w:pPr>
      <w:r>
        <w:rPr>
          <w:sz w:val="24"/>
          <w:szCs w:val="24"/>
        </w:rPr>
        <w:t>31523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993219" w:rsidP="009260DE">
      <w:pPr>
        <w:tabs>
          <w:tab w:val="left" w:pos="851"/>
        </w:tabs>
        <w:ind w:left="851"/>
        <w:rPr>
          <w:sz w:val="24"/>
          <w:szCs w:val="24"/>
        </w:rPr>
      </w:pPr>
      <w:r>
        <w:rPr>
          <w:sz w:val="24"/>
          <w:szCs w:val="24"/>
        </w:rPr>
        <w:t>Paracetamol "</w:t>
      </w:r>
      <w:proofErr w:type="spellStart"/>
      <w:r>
        <w:rPr>
          <w:sz w:val="24"/>
          <w:szCs w:val="24"/>
        </w:rPr>
        <w:t>Krka</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4B63D8" w:rsidRPr="004B63D8" w:rsidRDefault="004B63D8" w:rsidP="004B63D8">
      <w:pPr>
        <w:tabs>
          <w:tab w:val="left" w:pos="851"/>
        </w:tabs>
        <w:ind w:left="851"/>
        <w:rPr>
          <w:sz w:val="24"/>
          <w:szCs w:val="24"/>
        </w:rPr>
      </w:pPr>
    </w:p>
    <w:p w:rsidR="004B63D8" w:rsidRPr="004B63D8" w:rsidRDefault="004B63D8" w:rsidP="004B63D8">
      <w:pPr>
        <w:tabs>
          <w:tab w:val="left" w:pos="851"/>
        </w:tabs>
        <w:ind w:left="851"/>
        <w:rPr>
          <w:sz w:val="24"/>
          <w:szCs w:val="24"/>
          <w:u w:val="single"/>
        </w:rPr>
      </w:pPr>
      <w:r w:rsidRPr="004B63D8">
        <w:rPr>
          <w:sz w:val="24"/>
          <w:szCs w:val="24"/>
          <w:u w:val="single"/>
        </w:rPr>
        <w:t>500 mg</w:t>
      </w:r>
    </w:p>
    <w:p w:rsidR="004B63D8" w:rsidRPr="004B63D8" w:rsidRDefault="004B63D8" w:rsidP="004B63D8">
      <w:pPr>
        <w:tabs>
          <w:tab w:val="left" w:pos="851"/>
        </w:tabs>
        <w:ind w:left="851"/>
        <w:rPr>
          <w:sz w:val="24"/>
          <w:szCs w:val="24"/>
        </w:rPr>
      </w:pPr>
      <w:r w:rsidRPr="004B63D8">
        <w:rPr>
          <w:sz w:val="24"/>
          <w:szCs w:val="24"/>
        </w:rPr>
        <w:t>Hver tablet indeholder 500 mg paracetamol.</w:t>
      </w:r>
    </w:p>
    <w:p w:rsidR="004B63D8" w:rsidRPr="004B63D8" w:rsidRDefault="004B63D8" w:rsidP="004B63D8">
      <w:pPr>
        <w:tabs>
          <w:tab w:val="left" w:pos="851"/>
        </w:tabs>
        <w:ind w:left="851"/>
        <w:rPr>
          <w:sz w:val="24"/>
          <w:szCs w:val="24"/>
        </w:rPr>
      </w:pPr>
    </w:p>
    <w:p w:rsidR="004B63D8" w:rsidRPr="004B63D8" w:rsidRDefault="004B63D8" w:rsidP="004B63D8">
      <w:pPr>
        <w:tabs>
          <w:tab w:val="left" w:pos="851"/>
        </w:tabs>
        <w:ind w:left="851"/>
        <w:rPr>
          <w:sz w:val="24"/>
          <w:szCs w:val="24"/>
          <w:u w:val="single"/>
        </w:rPr>
      </w:pPr>
      <w:r w:rsidRPr="004B63D8">
        <w:rPr>
          <w:sz w:val="24"/>
          <w:szCs w:val="24"/>
          <w:u w:val="single"/>
        </w:rPr>
        <w:t>1</w:t>
      </w:r>
      <w:r w:rsidR="00C91CA4">
        <w:rPr>
          <w:sz w:val="24"/>
          <w:szCs w:val="24"/>
          <w:u w:val="single"/>
        </w:rPr>
        <w:t>.</w:t>
      </w:r>
      <w:r w:rsidRPr="004B63D8">
        <w:rPr>
          <w:sz w:val="24"/>
          <w:szCs w:val="24"/>
          <w:u w:val="single"/>
        </w:rPr>
        <w:t>000 mg</w:t>
      </w:r>
    </w:p>
    <w:p w:rsidR="004B63D8" w:rsidRPr="004B63D8" w:rsidRDefault="004B63D8" w:rsidP="004B63D8">
      <w:pPr>
        <w:tabs>
          <w:tab w:val="left" w:pos="851"/>
        </w:tabs>
        <w:ind w:left="851"/>
        <w:rPr>
          <w:sz w:val="24"/>
          <w:szCs w:val="24"/>
        </w:rPr>
      </w:pPr>
      <w:r w:rsidRPr="004B63D8">
        <w:rPr>
          <w:sz w:val="24"/>
          <w:szCs w:val="24"/>
        </w:rPr>
        <w:t>Hver tablet indeholder 1</w:t>
      </w:r>
      <w:r w:rsidR="00C91CA4">
        <w:rPr>
          <w:sz w:val="24"/>
          <w:szCs w:val="24"/>
        </w:rPr>
        <w:t>.</w:t>
      </w:r>
      <w:r w:rsidRPr="004B63D8">
        <w:rPr>
          <w:sz w:val="24"/>
          <w:szCs w:val="24"/>
        </w:rPr>
        <w:t>000 mg paracetamol.</w:t>
      </w:r>
    </w:p>
    <w:p w:rsidR="004B63D8" w:rsidRPr="004B63D8" w:rsidRDefault="004B63D8" w:rsidP="004B63D8">
      <w:pPr>
        <w:tabs>
          <w:tab w:val="left" w:pos="851"/>
        </w:tabs>
        <w:ind w:left="851"/>
        <w:rPr>
          <w:sz w:val="24"/>
          <w:szCs w:val="24"/>
        </w:rPr>
      </w:pPr>
    </w:p>
    <w:p w:rsidR="004B63D8" w:rsidRPr="004B63D8" w:rsidRDefault="004B63D8" w:rsidP="004B63D8">
      <w:pPr>
        <w:tabs>
          <w:tab w:val="left" w:pos="851"/>
        </w:tabs>
        <w:ind w:left="851"/>
        <w:rPr>
          <w:sz w:val="24"/>
          <w:szCs w:val="24"/>
        </w:rPr>
      </w:pPr>
      <w:r w:rsidRPr="004B63D8">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9260DE" w:rsidRDefault="00B533D5" w:rsidP="009260DE">
      <w:pPr>
        <w:tabs>
          <w:tab w:val="left" w:pos="851"/>
        </w:tabs>
        <w:ind w:left="851"/>
        <w:rPr>
          <w:sz w:val="24"/>
          <w:szCs w:val="24"/>
        </w:rPr>
      </w:pPr>
      <w:r>
        <w:rPr>
          <w:sz w:val="24"/>
          <w:szCs w:val="24"/>
        </w:rPr>
        <w:t>Tabletter</w:t>
      </w:r>
    </w:p>
    <w:p w:rsidR="00B533D5" w:rsidRDefault="00B533D5" w:rsidP="009260DE">
      <w:pPr>
        <w:tabs>
          <w:tab w:val="left" w:pos="851"/>
        </w:tabs>
        <w:ind w:left="851"/>
        <w:rPr>
          <w:sz w:val="24"/>
          <w:szCs w:val="24"/>
        </w:rPr>
      </w:pPr>
    </w:p>
    <w:p w:rsidR="00B533D5" w:rsidRPr="00B533D5" w:rsidRDefault="000175B7" w:rsidP="00B533D5">
      <w:pPr>
        <w:tabs>
          <w:tab w:val="left" w:pos="851"/>
        </w:tabs>
        <w:ind w:left="851"/>
        <w:rPr>
          <w:sz w:val="24"/>
          <w:szCs w:val="24"/>
          <w:u w:val="single"/>
        </w:rPr>
      </w:pPr>
      <w:r>
        <w:rPr>
          <w:sz w:val="24"/>
          <w:szCs w:val="24"/>
          <w:u w:val="single"/>
        </w:rPr>
        <w:t>500 mg</w:t>
      </w:r>
    </w:p>
    <w:p w:rsidR="00B533D5" w:rsidRPr="00B533D5" w:rsidRDefault="00B533D5" w:rsidP="00B533D5">
      <w:pPr>
        <w:tabs>
          <w:tab w:val="left" w:pos="851"/>
        </w:tabs>
        <w:ind w:left="851"/>
        <w:rPr>
          <w:sz w:val="24"/>
          <w:szCs w:val="24"/>
        </w:rPr>
      </w:pPr>
      <w:r w:rsidRPr="00B533D5">
        <w:rPr>
          <w:sz w:val="24"/>
          <w:szCs w:val="24"/>
        </w:rPr>
        <w:t xml:space="preserve">Hvid, aflang tablet, præget med "500" på den ene side og glat på den anden side </w:t>
      </w:r>
      <w:bookmarkStart w:id="1" w:name="_Hlk32406114"/>
      <w:r w:rsidRPr="00B533D5">
        <w:rPr>
          <w:sz w:val="24"/>
          <w:szCs w:val="24"/>
        </w:rPr>
        <w:t>(17,5 mm lang</w:t>
      </w:r>
      <w:r>
        <w:rPr>
          <w:sz w:val="24"/>
          <w:szCs w:val="24"/>
        </w:rPr>
        <w:t>×</w:t>
      </w:r>
      <w:r w:rsidRPr="00B533D5">
        <w:rPr>
          <w:sz w:val="24"/>
          <w:szCs w:val="24"/>
        </w:rPr>
        <w:t>7,3 mm</w:t>
      </w:r>
      <w:r>
        <w:rPr>
          <w:sz w:val="24"/>
          <w:szCs w:val="24"/>
        </w:rPr>
        <w:t>×</w:t>
      </w:r>
      <w:r w:rsidRPr="00B533D5">
        <w:rPr>
          <w:sz w:val="24"/>
          <w:szCs w:val="24"/>
        </w:rPr>
        <w:t>5,7 mm tyk).</w:t>
      </w:r>
      <w:bookmarkEnd w:id="1"/>
    </w:p>
    <w:p w:rsidR="00B533D5" w:rsidRPr="00B533D5" w:rsidRDefault="00B533D5" w:rsidP="00B533D5">
      <w:pPr>
        <w:tabs>
          <w:tab w:val="left" w:pos="851"/>
        </w:tabs>
        <w:ind w:left="851"/>
        <w:rPr>
          <w:sz w:val="24"/>
          <w:szCs w:val="24"/>
        </w:rPr>
      </w:pPr>
    </w:p>
    <w:p w:rsidR="00B533D5" w:rsidRPr="00B533D5" w:rsidRDefault="000175B7" w:rsidP="00B533D5">
      <w:pPr>
        <w:tabs>
          <w:tab w:val="left" w:pos="851"/>
        </w:tabs>
        <w:ind w:left="851"/>
        <w:rPr>
          <w:sz w:val="24"/>
          <w:szCs w:val="24"/>
          <w:u w:val="single"/>
        </w:rPr>
      </w:pPr>
      <w:r>
        <w:rPr>
          <w:sz w:val="24"/>
          <w:szCs w:val="24"/>
          <w:u w:val="single"/>
        </w:rPr>
        <w:t>1</w:t>
      </w:r>
      <w:r w:rsidR="00C91CA4">
        <w:rPr>
          <w:sz w:val="24"/>
          <w:szCs w:val="24"/>
          <w:u w:val="single"/>
        </w:rPr>
        <w:t>.</w:t>
      </w:r>
      <w:r>
        <w:rPr>
          <w:sz w:val="24"/>
          <w:szCs w:val="24"/>
          <w:u w:val="single"/>
        </w:rPr>
        <w:t>000 mg</w:t>
      </w:r>
    </w:p>
    <w:p w:rsidR="00B533D5" w:rsidRPr="00B533D5" w:rsidRDefault="00B533D5" w:rsidP="00B533D5">
      <w:pPr>
        <w:tabs>
          <w:tab w:val="left" w:pos="851"/>
        </w:tabs>
        <w:ind w:left="851"/>
        <w:rPr>
          <w:sz w:val="24"/>
          <w:szCs w:val="24"/>
        </w:rPr>
      </w:pPr>
      <w:r w:rsidRPr="00B533D5">
        <w:rPr>
          <w:sz w:val="24"/>
          <w:szCs w:val="24"/>
        </w:rPr>
        <w:t>Hvid til råhvid, aflang tablet, med delekærv præget mellem "10" og "00" på den ene side og delekærv mellem "PA" og "RA" på den anden side (21,4 mm lang</w:t>
      </w:r>
      <w:r w:rsidR="000175B7">
        <w:rPr>
          <w:sz w:val="24"/>
          <w:szCs w:val="24"/>
        </w:rPr>
        <w:t>×</w:t>
      </w:r>
      <w:r w:rsidRPr="00B533D5">
        <w:rPr>
          <w:sz w:val="24"/>
          <w:szCs w:val="24"/>
        </w:rPr>
        <w:t>9,0 mm</w:t>
      </w:r>
      <w:r w:rsidR="000175B7">
        <w:rPr>
          <w:sz w:val="24"/>
          <w:szCs w:val="24"/>
        </w:rPr>
        <w:t>×</w:t>
      </w:r>
      <w:r w:rsidRPr="00B533D5">
        <w:rPr>
          <w:sz w:val="24"/>
          <w:szCs w:val="24"/>
        </w:rPr>
        <w:t>6,9 mm tyk).</w:t>
      </w:r>
    </w:p>
    <w:p w:rsidR="00B533D5" w:rsidRPr="00B533D5" w:rsidRDefault="00B533D5" w:rsidP="00B533D5">
      <w:pPr>
        <w:tabs>
          <w:tab w:val="left" w:pos="851"/>
        </w:tabs>
        <w:ind w:left="851"/>
        <w:rPr>
          <w:sz w:val="24"/>
          <w:szCs w:val="24"/>
        </w:rPr>
      </w:pPr>
      <w:r w:rsidRPr="00B533D5">
        <w:rPr>
          <w:sz w:val="24"/>
          <w:szCs w:val="24"/>
        </w:rPr>
        <w:t>Tabletten kan deles i to lige store doser.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837419" w:rsidRDefault="00837419" w:rsidP="00837419">
      <w:pPr>
        <w:tabs>
          <w:tab w:val="left" w:pos="851"/>
        </w:tabs>
        <w:ind w:left="851"/>
        <w:rPr>
          <w:sz w:val="24"/>
          <w:szCs w:val="24"/>
        </w:rPr>
      </w:pPr>
      <w:r w:rsidRPr="00837419">
        <w:rPr>
          <w:sz w:val="24"/>
          <w:szCs w:val="24"/>
        </w:rPr>
        <w:t>Symptomatisk behandling af svage til moderate smerter og feber.</w:t>
      </w:r>
    </w:p>
    <w:p w:rsidR="00086514" w:rsidRPr="00837419" w:rsidRDefault="00086514" w:rsidP="00837419">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4.2</w:t>
      </w:r>
      <w:r w:rsidRPr="00C84483">
        <w:rPr>
          <w:b/>
          <w:sz w:val="24"/>
          <w:szCs w:val="24"/>
        </w:rPr>
        <w:tab/>
        <w:t>Dosering og indgivelsesmåde</w:t>
      </w:r>
    </w:p>
    <w:p w:rsidR="00BA4CBF" w:rsidRDefault="00BA4CBF" w:rsidP="00BA4CBF">
      <w:pPr>
        <w:tabs>
          <w:tab w:val="left" w:pos="851"/>
        </w:tabs>
        <w:ind w:left="851"/>
        <w:rPr>
          <w:sz w:val="24"/>
          <w:szCs w:val="24"/>
          <w:u w:val="single"/>
        </w:rPr>
      </w:pPr>
    </w:p>
    <w:p w:rsidR="00BA4CBF" w:rsidRPr="00BA4CBF" w:rsidRDefault="00BA4CBF" w:rsidP="00BA4CBF">
      <w:pPr>
        <w:tabs>
          <w:tab w:val="left" w:pos="851"/>
        </w:tabs>
        <w:ind w:left="851"/>
        <w:rPr>
          <w:sz w:val="24"/>
          <w:szCs w:val="24"/>
          <w:u w:val="single"/>
        </w:rPr>
      </w:pPr>
      <w:r w:rsidRPr="00BA4CBF">
        <w:rPr>
          <w:sz w:val="24"/>
          <w:szCs w:val="24"/>
          <w:u w:val="single"/>
        </w:rPr>
        <w:t>Dosering</w:t>
      </w:r>
    </w:p>
    <w:p w:rsidR="00BA4CBF" w:rsidRPr="00BA4CBF" w:rsidRDefault="00BA4CBF" w:rsidP="00BA4CBF">
      <w:pPr>
        <w:tabs>
          <w:tab w:val="left" w:pos="851"/>
        </w:tabs>
        <w:ind w:left="851"/>
        <w:rPr>
          <w:sz w:val="24"/>
          <w:szCs w:val="24"/>
        </w:rPr>
      </w:pPr>
      <w:r w:rsidRPr="00BA4CBF">
        <w:rPr>
          <w:sz w:val="24"/>
          <w:szCs w:val="24"/>
        </w:rPr>
        <w:t>Paracetamol bør anvendes ved den laveste effektive dosis i så kort tid som muligt. Den maksimale daglige dosis må ikke overskrides.</w:t>
      </w:r>
    </w:p>
    <w:p w:rsidR="00BA4CBF" w:rsidRPr="00BA4CBF" w:rsidRDefault="00BA4CBF" w:rsidP="00BA4CBF">
      <w:pPr>
        <w:tabs>
          <w:tab w:val="left" w:pos="851"/>
        </w:tabs>
        <w:ind w:left="851"/>
        <w:rPr>
          <w:sz w:val="24"/>
          <w:szCs w:val="24"/>
        </w:rPr>
      </w:pPr>
    </w:p>
    <w:p w:rsidR="00BA4CBF" w:rsidRPr="00BA4CBF" w:rsidRDefault="00BA4CBF" w:rsidP="00BA4CBF">
      <w:pPr>
        <w:tabs>
          <w:tab w:val="left" w:pos="851"/>
        </w:tabs>
        <w:ind w:left="851"/>
        <w:rPr>
          <w:i/>
          <w:iCs/>
          <w:sz w:val="24"/>
          <w:szCs w:val="24"/>
        </w:rPr>
      </w:pPr>
      <w:r w:rsidRPr="00BA4CBF">
        <w:rPr>
          <w:i/>
          <w:iCs/>
          <w:sz w:val="24"/>
          <w:szCs w:val="24"/>
        </w:rPr>
        <w:t>Voksne og unge på 16 år eller derover (legemsvægt ≥ 55 kg)</w:t>
      </w:r>
    </w:p>
    <w:p w:rsidR="00BA4CBF" w:rsidRPr="00BA4CBF" w:rsidRDefault="00BA4CBF" w:rsidP="00BA4CBF">
      <w:pPr>
        <w:tabs>
          <w:tab w:val="left" w:pos="851"/>
        </w:tabs>
        <w:ind w:left="851"/>
        <w:rPr>
          <w:sz w:val="24"/>
          <w:szCs w:val="24"/>
        </w:rPr>
      </w:pPr>
      <w:r w:rsidRPr="00BA4CBF">
        <w:rPr>
          <w:sz w:val="24"/>
          <w:szCs w:val="24"/>
        </w:rPr>
        <w:t>500-1.000 mg 3-4 gange daglig, men højst 4 g pr. døgn. I individuelle tilfælde kan 500 mg 3-4 gange daglig være tilstrækkeligt. Dosisintervallet bør være minimum 4 timer.</w:t>
      </w:r>
    </w:p>
    <w:p w:rsidR="00BA4CBF" w:rsidRPr="00BA4CBF" w:rsidRDefault="00BA4CBF" w:rsidP="00BA4CBF">
      <w:pPr>
        <w:tabs>
          <w:tab w:val="left" w:pos="851"/>
        </w:tabs>
        <w:ind w:left="851"/>
        <w:rPr>
          <w:sz w:val="24"/>
          <w:szCs w:val="24"/>
        </w:rPr>
      </w:pPr>
    </w:p>
    <w:p w:rsidR="00BA4CBF" w:rsidRPr="00BA4CBF" w:rsidRDefault="00BA4CBF" w:rsidP="00BA4CBF">
      <w:pPr>
        <w:tabs>
          <w:tab w:val="left" w:pos="851"/>
        </w:tabs>
        <w:ind w:left="851"/>
        <w:rPr>
          <w:i/>
          <w:iCs/>
          <w:sz w:val="24"/>
          <w:szCs w:val="24"/>
        </w:rPr>
      </w:pPr>
      <w:r w:rsidRPr="00BA4CBF">
        <w:rPr>
          <w:i/>
          <w:iCs/>
          <w:sz w:val="24"/>
          <w:szCs w:val="24"/>
        </w:rPr>
        <w:t>Pædiatrisk population</w:t>
      </w:r>
    </w:p>
    <w:p w:rsidR="00BA4CBF" w:rsidRPr="00BA4CBF" w:rsidRDefault="00BA4CBF" w:rsidP="00BA4CBF">
      <w:pPr>
        <w:tabs>
          <w:tab w:val="left" w:pos="851"/>
        </w:tabs>
        <w:ind w:left="851"/>
        <w:rPr>
          <w:sz w:val="24"/>
          <w:szCs w:val="24"/>
        </w:rPr>
      </w:pPr>
      <w:r w:rsidRPr="00BA4CBF">
        <w:rPr>
          <w:sz w:val="24"/>
          <w:szCs w:val="24"/>
        </w:rPr>
        <w:t>Børn mellem 9-12 år (legemsvægt 30-40 kg) 500 mg op til 3 gange daglig.</w:t>
      </w:r>
    </w:p>
    <w:p w:rsidR="00BA4CBF" w:rsidRPr="00BA4CBF" w:rsidRDefault="00BA4CBF" w:rsidP="00BA4CBF">
      <w:pPr>
        <w:tabs>
          <w:tab w:val="left" w:pos="851"/>
        </w:tabs>
        <w:ind w:left="851"/>
        <w:rPr>
          <w:sz w:val="24"/>
          <w:szCs w:val="24"/>
        </w:rPr>
      </w:pPr>
      <w:r w:rsidRPr="00BA4CBF">
        <w:rPr>
          <w:sz w:val="24"/>
          <w:szCs w:val="24"/>
        </w:rPr>
        <w:t>Børn mellem 12-15 år (legemsvægt 40-55 kg) 500 mg op til 4 gange daglig.</w:t>
      </w:r>
    </w:p>
    <w:p w:rsidR="00BA4CBF" w:rsidRPr="00BA4CBF" w:rsidRDefault="00BA4CBF" w:rsidP="00BA4CBF">
      <w:pPr>
        <w:tabs>
          <w:tab w:val="left" w:pos="851"/>
        </w:tabs>
        <w:ind w:left="851"/>
        <w:rPr>
          <w:sz w:val="24"/>
          <w:szCs w:val="24"/>
        </w:rPr>
      </w:pPr>
      <w:r w:rsidRPr="00BA4CBF">
        <w:rPr>
          <w:sz w:val="24"/>
          <w:szCs w:val="24"/>
        </w:rPr>
        <w:t>Doser afhænger af legemsvægt og alder. Anbefalet enkeltdosis er 15 mg/kg legemsvægt. Den maksimale daglige dosis til patienter, der vejer mindre end 50 kg, er 60 mg/kg legemsvægt/dag. Dosisintervallet bør være minimum 4 timer.</w:t>
      </w:r>
    </w:p>
    <w:p w:rsidR="00BA4CBF" w:rsidRPr="00BA4CBF" w:rsidRDefault="00BA4CBF" w:rsidP="00BA4CBF">
      <w:pPr>
        <w:tabs>
          <w:tab w:val="left" w:pos="851"/>
        </w:tabs>
        <w:ind w:left="851"/>
        <w:rPr>
          <w:sz w:val="24"/>
          <w:szCs w:val="24"/>
        </w:rPr>
      </w:pPr>
    </w:p>
    <w:p w:rsidR="00BA4CBF" w:rsidRPr="00BA4CBF" w:rsidRDefault="00BA4CBF" w:rsidP="00BA4CBF">
      <w:pPr>
        <w:tabs>
          <w:tab w:val="left" w:pos="851"/>
        </w:tabs>
        <w:ind w:left="851"/>
        <w:rPr>
          <w:sz w:val="24"/>
          <w:szCs w:val="24"/>
        </w:rPr>
      </w:pPr>
      <w:r w:rsidRPr="00BA4CBF">
        <w:rPr>
          <w:sz w:val="24"/>
          <w:szCs w:val="24"/>
        </w:rPr>
        <w:t>Paracetamol "</w:t>
      </w:r>
      <w:proofErr w:type="spellStart"/>
      <w:r w:rsidRPr="00BA4CBF">
        <w:rPr>
          <w:sz w:val="24"/>
          <w:szCs w:val="24"/>
        </w:rPr>
        <w:t>Krka</w:t>
      </w:r>
      <w:proofErr w:type="spellEnd"/>
      <w:r w:rsidRPr="00BA4CBF">
        <w:rPr>
          <w:sz w:val="24"/>
          <w:szCs w:val="24"/>
        </w:rPr>
        <w:t>" er ikke beregnet til børn under 9 år.</w:t>
      </w:r>
    </w:p>
    <w:p w:rsidR="00BA4CBF" w:rsidRPr="00BA4CBF" w:rsidRDefault="00BA4CBF" w:rsidP="00BA4CBF">
      <w:pPr>
        <w:tabs>
          <w:tab w:val="left" w:pos="851"/>
        </w:tabs>
        <w:ind w:left="851"/>
        <w:rPr>
          <w:sz w:val="24"/>
          <w:szCs w:val="24"/>
        </w:rPr>
      </w:pPr>
    </w:p>
    <w:p w:rsidR="00BA4CBF" w:rsidRPr="00BA4CBF" w:rsidRDefault="00BA4CBF" w:rsidP="00BA4CBF">
      <w:pPr>
        <w:tabs>
          <w:tab w:val="left" w:pos="851"/>
        </w:tabs>
        <w:ind w:left="851"/>
        <w:rPr>
          <w:i/>
          <w:iCs/>
          <w:sz w:val="24"/>
          <w:szCs w:val="24"/>
        </w:rPr>
      </w:pPr>
      <w:r w:rsidRPr="00BA4CBF">
        <w:rPr>
          <w:i/>
          <w:iCs/>
          <w:sz w:val="24"/>
          <w:szCs w:val="24"/>
        </w:rPr>
        <w:t>Patienter med nyreinsufficiens</w:t>
      </w:r>
    </w:p>
    <w:p w:rsidR="00BA4CBF" w:rsidRPr="00BA4CBF" w:rsidRDefault="00BA4CBF" w:rsidP="00BA4CBF">
      <w:pPr>
        <w:tabs>
          <w:tab w:val="left" w:pos="851"/>
        </w:tabs>
        <w:ind w:left="851"/>
        <w:rPr>
          <w:sz w:val="24"/>
          <w:szCs w:val="24"/>
        </w:rPr>
      </w:pPr>
      <w:r w:rsidRPr="00BA4CBF">
        <w:rPr>
          <w:sz w:val="24"/>
          <w:szCs w:val="24"/>
        </w:rPr>
        <w:t>Lægemidlet bør anvendes med for forsigtighed til patienter med nyreinsufficiens.</w:t>
      </w:r>
    </w:p>
    <w:p w:rsidR="00BA4CBF" w:rsidRPr="00BA4CBF" w:rsidRDefault="00BA4CBF" w:rsidP="00BA4CBF">
      <w:pPr>
        <w:tabs>
          <w:tab w:val="left" w:pos="851"/>
        </w:tabs>
        <w:ind w:left="851"/>
        <w:rPr>
          <w:sz w:val="24"/>
          <w:szCs w:val="24"/>
        </w:rPr>
      </w:pPr>
      <w:r w:rsidRPr="00BA4CBF">
        <w:rPr>
          <w:sz w:val="24"/>
          <w:szCs w:val="24"/>
        </w:rPr>
        <w:t>I tilfælde af moderat og svær nyreinsufficiens bør dosis justeres:</w:t>
      </w:r>
    </w:p>
    <w:p w:rsidR="00BA4CBF" w:rsidRPr="00BA4CBF" w:rsidRDefault="00BA4CBF" w:rsidP="00BA4CBF">
      <w:pPr>
        <w:tabs>
          <w:tab w:val="left" w:pos="851"/>
        </w:tabs>
        <w:ind w:left="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395"/>
      </w:tblGrid>
      <w:tr w:rsidR="00BA4CBF" w:rsidRPr="00BA4CBF" w:rsidTr="00BA4CBF">
        <w:tc>
          <w:tcPr>
            <w:tcW w:w="4252" w:type="dxa"/>
            <w:tcBorders>
              <w:top w:val="single" w:sz="4" w:space="0" w:color="auto"/>
              <w:left w:val="single" w:sz="4" w:space="0" w:color="auto"/>
              <w:bottom w:val="single" w:sz="4" w:space="0" w:color="auto"/>
              <w:right w:val="single" w:sz="4" w:space="0" w:color="auto"/>
            </w:tcBorders>
            <w:hideMark/>
          </w:tcPr>
          <w:p w:rsidR="00BA4CBF" w:rsidRPr="00BA4CBF" w:rsidRDefault="00BA4CBF" w:rsidP="00BA4CBF">
            <w:pPr>
              <w:ind w:left="64"/>
              <w:rPr>
                <w:sz w:val="24"/>
                <w:szCs w:val="24"/>
              </w:rPr>
            </w:pPr>
            <w:proofErr w:type="spellStart"/>
            <w:r w:rsidRPr="00BA4CBF">
              <w:rPr>
                <w:sz w:val="24"/>
                <w:szCs w:val="24"/>
              </w:rPr>
              <w:t>Glomerulær</w:t>
            </w:r>
            <w:proofErr w:type="spellEnd"/>
            <w:r w:rsidRPr="00BA4CBF">
              <w:rPr>
                <w:sz w:val="24"/>
                <w:szCs w:val="24"/>
              </w:rPr>
              <w:t xml:space="preserve"> filtrationshastighed</w:t>
            </w:r>
          </w:p>
        </w:tc>
        <w:tc>
          <w:tcPr>
            <w:tcW w:w="4395" w:type="dxa"/>
            <w:tcBorders>
              <w:top w:val="single" w:sz="4" w:space="0" w:color="auto"/>
              <w:left w:val="single" w:sz="4" w:space="0" w:color="auto"/>
              <w:bottom w:val="single" w:sz="4" w:space="0" w:color="auto"/>
              <w:right w:val="single" w:sz="4" w:space="0" w:color="auto"/>
            </w:tcBorders>
            <w:hideMark/>
          </w:tcPr>
          <w:p w:rsidR="00BA4CBF" w:rsidRPr="00BA4CBF" w:rsidRDefault="00BA4CBF" w:rsidP="00BA4CBF">
            <w:pPr>
              <w:ind w:left="67"/>
              <w:rPr>
                <w:sz w:val="24"/>
                <w:szCs w:val="24"/>
              </w:rPr>
            </w:pPr>
            <w:r w:rsidRPr="00BA4CBF">
              <w:rPr>
                <w:sz w:val="24"/>
                <w:szCs w:val="24"/>
              </w:rPr>
              <w:t>Dosis</w:t>
            </w:r>
          </w:p>
        </w:tc>
      </w:tr>
      <w:tr w:rsidR="00BA4CBF" w:rsidRPr="00BA4CBF" w:rsidTr="00BA4CBF">
        <w:tc>
          <w:tcPr>
            <w:tcW w:w="4252" w:type="dxa"/>
            <w:tcBorders>
              <w:top w:val="single" w:sz="4" w:space="0" w:color="auto"/>
              <w:left w:val="single" w:sz="4" w:space="0" w:color="auto"/>
              <w:bottom w:val="single" w:sz="4" w:space="0" w:color="auto"/>
              <w:right w:val="single" w:sz="4" w:space="0" w:color="auto"/>
            </w:tcBorders>
            <w:hideMark/>
          </w:tcPr>
          <w:p w:rsidR="00BA4CBF" w:rsidRPr="00BA4CBF" w:rsidRDefault="00BA4CBF" w:rsidP="00BA4CBF">
            <w:pPr>
              <w:ind w:left="64"/>
              <w:rPr>
                <w:sz w:val="24"/>
                <w:szCs w:val="24"/>
              </w:rPr>
            </w:pPr>
            <w:r w:rsidRPr="00BA4CBF">
              <w:rPr>
                <w:sz w:val="24"/>
                <w:szCs w:val="24"/>
              </w:rPr>
              <w:t>10-50 ml/min</w:t>
            </w:r>
          </w:p>
        </w:tc>
        <w:tc>
          <w:tcPr>
            <w:tcW w:w="4395" w:type="dxa"/>
            <w:tcBorders>
              <w:top w:val="single" w:sz="4" w:space="0" w:color="auto"/>
              <w:left w:val="single" w:sz="4" w:space="0" w:color="auto"/>
              <w:bottom w:val="single" w:sz="4" w:space="0" w:color="auto"/>
              <w:right w:val="single" w:sz="4" w:space="0" w:color="auto"/>
            </w:tcBorders>
            <w:hideMark/>
          </w:tcPr>
          <w:p w:rsidR="00BA4CBF" w:rsidRPr="00BA4CBF" w:rsidRDefault="00BA4CBF" w:rsidP="00BA4CBF">
            <w:pPr>
              <w:ind w:left="67"/>
              <w:rPr>
                <w:sz w:val="24"/>
                <w:szCs w:val="24"/>
              </w:rPr>
            </w:pPr>
            <w:r w:rsidRPr="00BA4CBF">
              <w:rPr>
                <w:sz w:val="24"/>
                <w:szCs w:val="24"/>
              </w:rPr>
              <w:t>500 mg hver 6. time</w:t>
            </w:r>
          </w:p>
        </w:tc>
      </w:tr>
      <w:tr w:rsidR="00BA4CBF" w:rsidRPr="00BA4CBF" w:rsidTr="00BA4CBF">
        <w:tc>
          <w:tcPr>
            <w:tcW w:w="4252" w:type="dxa"/>
            <w:tcBorders>
              <w:top w:val="single" w:sz="4" w:space="0" w:color="auto"/>
              <w:left w:val="single" w:sz="4" w:space="0" w:color="auto"/>
              <w:bottom w:val="single" w:sz="4" w:space="0" w:color="auto"/>
              <w:right w:val="single" w:sz="4" w:space="0" w:color="auto"/>
            </w:tcBorders>
            <w:hideMark/>
          </w:tcPr>
          <w:p w:rsidR="00BA4CBF" w:rsidRPr="00BA4CBF" w:rsidRDefault="00BA4CBF" w:rsidP="00BA4CBF">
            <w:pPr>
              <w:ind w:left="64"/>
              <w:rPr>
                <w:sz w:val="24"/>
                <w:szCs w:val="24"/>
              </w:rPr>
            </w:pPr>
            <w:r w:rsidRPr="00BA4CBF">
              <w:rPr>
                <w:sz w:val="24"/>
                <w:szCs w:val="24"/>
              </w:rPr>
              <w:t>&lt; 10 ml/min</w:t>
            </w:r>
          </w:p>
        </w:tc>
        <w:tc>
          <w:tcPr>
            <w:tcW w:w="4395" w:type="dxa"/>
            <w:tcBorders>
              <w:top w:val="single" w:sz="4" w:space="0" w:color="auto"/>
              <w:left w:val="single" w:sz="4" w:space="0" w:color="auto"/>
              <w:bottom w:val="single" w:sz="4" w:space="0" w:color="auto"/>
              <w:right w:val="single" w:sz="4" w:space="0" w:color="auto"/>
            </w:tcBorders>
            <w:hideMark/>
          </w:tcPr>
          <w:p w:rsidR="00BA4CBF" w:rsidRPr="00BA4CBF" w:rsidRDefault="00BA4CBF" w:rsidP="00BA4CBF">
            <w:pPr>
              <w:ind w:left="67"/>
              <w:rPr>
                <w:sz w:val="24"/>
                <w:szCs w:val="24"/>
              </w:rPr>
            </w:pPr>
            <w:r w:rsidRPr="00BA4CBF">
              <w:rPr>
                <w:sz w:val="24"/>
                <w:szCs w:val="24"/>
              </w:rPr>
              <w:t>500 mg hver 8. time</w:t>
            </w:r>
          </w:p>
        </w:tc>
      </w:tr>
    </w:tbl>
    <w:p w:rsidR="00BA4CBF" w:rsidRPr="00BA4CBF" w:rsidRDefault="00BA4CBF" w:rsidP="00BA4CBF">
      <w:pPr>
        <w:tabs>
          <w:tab w:val="left" w:pos="851"/>
        </w:tabs>
        <w:ind w:left="851"/>
        <w:rPr>
          <w:sz w:val="24"/>
          <w:szCs w:val="24"/>
        </w:rPr>
      </w:pPr>
    </w:p>
    <w:p w:rsidR="00BA4CBF" w:rsidRPr="00BA4CBF" w:rsidRDefault="00BA4CBF" w:rsidP="00BA4CBF">
      <w:pPr>
        <w:tabs>
          <w:tab w:val="left" w:pos="851"/>
        </w:tabs>
        <w:ind w:left="851"/>
        <w:rPr>
          <w:i/>
          <w:iCs/>
          <w:sz w:val="24"/>
          <w:szCs w:val="24"/>
        </w:rPr>
      </w:pPr>
      <w:r w:rsidRPr="00BA4CBF">
        <w:rPr>
          <w:i/>
          <w:iCs/>
          <w:sz w:val="24"/>
          <w:szCs w:val="24"/>
        </w:rPr>
        <w:t>Patienter med nedsat leverfunktion</w:t>
      </w:r>
    </w:p>
    <w:p w:rsidR="00BA4CBF" w:rsidRPr="00BA4CBF" w:rsidRDefault="00BA4CBF" w:rsidP="00BA4CBF">
      <w:pPr>
        <w:tabs>
          <w:tab w:val="left" w:pos="851"/>
        </w:tabs>
        <w:ind w:left="851"/>
        <w:rPr>
          <w:sz w:val="24"/>
          <w:szCs w:val="24"/>
        </w:rPr>
      </w:pPr>
      <w:r w:rsidRPr="00BA4CBF">
        <w:rPr>
          <w:sz w:val="24"/>
          <w:szCs w:val="24"/>
        </w:rPr>
        <w:t xml:space="preserve">Lægemidlet bør anvendes med forsigtighed til patienter med </w:t>
      </w:r>
      <w:proofErr w:type="spellStart"/>
      <w:r w:rsidRPr="00BA4CBF">
        <w:rPr>
          <w:sz w:val="24"/>
          <w:szCs w:val="24"/>
        </w:rPr>
        <w:t>hepatisk</w:t>
      </w:r>
      <w:proofErr w:type="spellEnd"/>
      <w:r w:rsidRPr="00BA4CBF">
        <w:rPr>
          <w:sz w:val="24"/>
          <w:szCs w:val="24"/>
        </w:rPr>
        <w:t xml:space="preserve"> dysfunktion (se pkt. 4.4). Hos patienter med nedsat leverfunktion bør der anvendes lavere dosis eller dosisintervallet bør forlænges.</w:t>
      </w:r>
    </w:p>
    <w:p w:rsidR="00BA4CBF" w:rsidRPr="00BA4CBF" w:rsidRDefault="00BA4CBF" w:rsidP="00BA4CBF">
      <w:pPr>
        <w:tabs>
          <w:tab w:val="left" w:pos="851"/>
        </w:tabs>
        <w:ind w:left="851"/>
        <w:rPr>
          <w:sz w:val="24"/>
          <w:szCs w:val="24"/>
        </w:rPr>
      </w:pPr>
      <w:r w:rsidRPr="00BA4CBF">
        <w:rPr>
          <w:sz w:val="24"/>
          <w:szCs w:val="24"/>
        </w:rPr>
        <w:t>Den daglige dosis bør ikke overstige 2 g i følgende situationer:</w:t>
      </w:r>
    </w:p>
    <w:p w:rsidR="00BA4CBF" w:rsidRPr="00BA4CBF" w:rsidRDefault="00BA4CBF" w:rsidP="00BA4CBF">
      <w:pPr>
        <w:numPr>
          <w:ilvl w:val="0"/>
          <w:numId w:val="6"/>
        </w:numPr>
        <w:tabs>
          <w:tab w:val="left" w:pos="851"/>
        </w:tabs>
        <w:rPr>
          <w:sz w:val="24"/>
          <w:szCs w:val="24"/>
        </w:rPr>
      </w:pPr>
      <w:r w:rsidRPr="00BA4CBF">
        <w:rPr>
          <w:sz w:val="24"/>
          <w:szCs w:val="24"/>
        </w:rPr>
        <w:t>leverinsufficiens,</w:t>
      </w:r>
    </w:p>
    <w:p w:rsidR="00BA4CBF" w:rsidRPr="00BA4CBF" w:rsidRDefault="00BA4CBF" w:rsidP="00BA4CBF">
      <w:pPr>
        <w:numPr>
          <w:ilvl w:val="0"/>
          <w:numId w:val="6"/>
        </w:numPr>
        <w:tabs>
          <w:tab w:val="left" w:pos="851"/>
        </w:tabs>
        <w:rPr>
          <w:sz w:val="24"/>
          <w:szCs w:val="24"/>
        </w:rPr>
      </w:pPr>
      <w:r w:rsidRPr="00BA4CBF">
        <w:rPr>
          <w:sz w:val="24"/>
          <w:szCs w:val="24"/>
        </w:rPr>
        <w:t>Gilberts syndrom (arvelig, ikke-</w:t>
      </w:r>
      <w:proofErr w:type="spellStart"/>
      <w:r w:rsidRPr="00BA4CBF">
        <w:rPr>
          <w:sz w:val="24"/>
          <w:szCs w:val="24"/>
        </w:rPr>
        <w:t>hæmolytisk</w:t>
      </w:r>
      <w:proofErr w:type="spellEnd"/>
      <w:r w:rsidRPr="00BA4CBF">
        <w:rPr>
          <w:sz w:val="24"/>
          <w:szCs w:val="24"/>
        </w:rPr>
        <w:t xml:space="preserve"> </w:t>
      </w:r>
      <w:proofErr w:type="spellStart"/>
      <w:r w:rsidRPr="00BA4CBF">
        <w:rPr>
          <w:sz w:val="24"/>
          <w:szCs w:val="24"/>
        </w:rPr>
        <w:t>ikterus</w:t>
      </w:r>
      <w:proofErr w:type="spellEnd"/>
      <w:r w:rsidRPr="00BA4CBF">
        <w:rPr>
          <w:sz w:val="24"/>
          <w:szCs w:val="24"/>
        </w:rPr>
        <w:t>),</w:t>
      </w:r>
    </w:p>
    <w:p w:rsidR="00BA4CBF" w:rsidRPr="00BA4CBF" w:rsidRDefault="00BA4CBF" w:rsidP="00BA4CBF">
      <w:pPr>
        <w:numPr>
          <w:ilvl w:val="0"/>
          <w:numId w:val="6"/>
        </w:numPr>
        <w:tabs>
          <w:tab w:val="left" w:pos="851"/>
        </w:tabs>
        <w:rPr>
          <w:sz w:val="24"/>
          <w:szCs w:val="24"/>
        </w:rPr>
      </w:pPr>
      <w:r w:rsidRPr="00BA4CBF">
        <w:rPr>
          <w:sz w:val="24"/>
          <w:szCs w:val="24"/>
        </w:rPr>
        <w:t>kronisk alkoholindtag.</w:t>
      </w:r>
    </w:p>
    <w:p w:rsidR="00BA4CBF" w:rsidRPr="00BA4CBF" w:rsidRDefault="00BA4CBF" w:rsidP="00BA4CBF">
      <w:pPr>
        <w:tabs>
          <w:tab w:val="left" w:pos="851"/>
        </w:tabs>
        <w:ind w:left="851"/>
        <w:rPr>
          <w:sz w:val="24"/>
          <w:szCs w:val="24"/>
        </w:rPr>
      </w:pPr>
    </w:p>
    <w:p w:rsidR="00BA4CBF" w:rsidRPr="00BA4CBF" w:rsidRDefault="00BA4CBF" w:rsidP="00BA4CBF">
      <w:pPr>
        <w:tabs>
          <w:tab w:val="left" w:pos="851"/>
        </w:tabs>
        <w:ind w:left="851"/>
        <w:rPr>
          <w:i/>
          <w:iCs/>
          <w:sz w:val="24"/>
          <w:szCs w:val="24"/>
        </w:rPr>
      </w:pPr>
      <w:r w:rsidRPr="00BA4CBF">
        <w:rPr>
          <w:i/>
          <w:iCs/>
          <w:sz w:val="24"/>
          <w:szCs w:val="24"/>
        </w:rPr>
        <w:t>Ældre</w:t>
      </w:r>
    </w:p>
    <w:p w:rsidR="00BA4CBF" w:rsidRPr="00BA4CBF" w:rsidRDefault="00BA4CBF" w:rsidP="00BA4CBF">
      <w:pPr>
        <w:tabs>
          <w:tab w:val="left" w:pos="851"/>
        </w:tabs>
        <w:ind w:left="851"/>
        <w:rPr>
          <w:sz w:val="24"/>
          <w:szCs w:val="24"/>
        </w:rPr>
      </w:pPr>
      <w:r w:rsidRPr="00BA4CBF">
        <w:rPr>
          <w:sz w:val="24"/>
          <w:szCs w:val="24"/>
        </w:rPr>
        <w:t>Dosisjustering er ikke nødvendigt hos ældre patienter.</w:t>
      </w:r>
    </w:p>
    <w:p w:rsidR="00BA4CBF" w:rsidRPr="00BA4CBF" w:rsidRDefault="00BA4CBF" w:rsidP="00BA4CBF">
      <w:pPr>
        <w:tabs>
          <w:tab w:val="left" w:pos="851"/>
        </w:tabs>
        <w:ind w:left="851"/>
        <w:rPr>
          <w:sz w:val="24"/>
          <w:szCs w:val="24"/>
        </w:rPr>
      </w:pPr>
    </w:p>
    <w:p w:rsidR="00BA4CBF" w:rsidRPr="00BA4CBF" w:rsidRDefault="00BA4CBF" w:rsidP="00BA4CBF">
      <w:pPr>
        <w:tabs>
          <w:tab w:val="left" w:pos="851"/>
        </w:tabs>
        <w:ind w:left="851"/>
        <w:rPr>
          <w:sz w:val="24"/>
          <w:szCs w:val="24"/>
          <w:u w:val="single"/>
        </w:rPr>
      </w:pPr>
      <w:r w:rsidRPr="00BA4CBF">
        <w:rPr>
          <w:sz w:val="24"/>
          <w:szCs w:val="24"/>
          <w:u w:val="single"/>
        </w:rPr>
        <w:t>Administration</w:t>
      </w:r>
    </w:p>
    <w:p w:rsidR="009A017D" w:rsidRDefault="00BA4CBF" w:rsidP="00BA4CBF">
      <w:pPr>
        <w:tabs>
          <w:tab w:val="left" w:pos="851"/>
        </w:tabs>
        <w:ind w:left="851"/>
        <w:rPr>
          <w:sz w:val="24"/>
          <w:szCs w:val="24"/>
        </w:rPr>
      </w:pPr>
      <w:r w:rsidRPr="00BA4CBF">
        <w:rPr>
          <w:sz w:val="24"/>
          <w:szCs w:val="24"/>
        </w:rPr>
        <w:t>Oral anvendelse.</w:t>
      </w:r>
    </w:p>
    <w:p w:rsidR="00BA4CBF" w:rsidRPr="00BA4CBF" w:rsidRDefault="00BA4CBF" w:rsidP="00BA4CBF">
      <w:pPr>
        <w:tabs>
          <w:tab w:val="left" w:pos="851"/>
        </w:tabs>
        <w:ind w:left="851"/>
        <w:rPr>
          <w:sz w:val="24"/>
          <w:szCs w:val="24"/>
        </w:rPr>
      </w:pPr>
      <w:r w:rsidRPr="00BA4CBF">
        <w:rPr>
          <w:sz w:val="24"/>
          <w:szCs w:val="24"/>
        </w:rPr>
        <w:t>Tabletterne synkes sammen med en tilstrækkelig mængde vand.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9A017D" w:rsidRPr="009A017D" w:rsidRDefault="009A017D" w:rsidP="009A017D">
      <w:pPr>
        <w:tabs>
          <w:tab w:val="left" w:pos="851"/>
        </w:tabs>
        <w:ind w:left="851"/>
        <w:rPr>
          <w:sz w:val="24"/>
          <w:szCs w:val="24"/>
        </w:rPr>
      </w:pPr>
      <w:r w:rsidRPr="009A017D">
        <w:rPr>
          <w:sz w:val="24"/>
          <w:szCs w:val="24"/>
        </w:rPr>
        <w:t>Overfølsomhed over for det aktive stof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A017D" w:rsidRPr="009A017D" w:rsidRDefault="009A017D" w:rsidP="009A017D">
      <w:pPr>
        <w:tabs>
          <w:tab w:val="left" w:pos="851"/>
        </w:tabs>
        <w:ind w:left="851"/>
        <w:rPr>
          <w:sz w:val="24"/>
          <w:szCs w:val="24"/>
        </w:rPr>
      </w:pPr>
      <w:r w:rsidRPr="009A017D">
        <w:rPr>
          <w:sz w:val="24"/>
          <w:szCs w:val="24"/>
        </w:rPr>
        <w:t>Patienterne bør rådes til ikke samtidig at indtage andre lægemidler, der indeholder paracetamol. Samtidig brug af andre lægemidler, der indeholder paracetamol, kan føre til overdosering.</w:t>
      </w:r>
    </w:p>
    <w:p w:rsidR="009A017D" w:rsidRPr="009A017D" w:rsidRDefault="009A017D" w:rsidP="009A017D">
      <w:pPr>
        <w:tabs>
          <w:tab w:val="left" w:pos="851"/>
        </w:tabs>
        <w:ind w:left="851"/>
        <w:rPr>
          <w:sz w:val="24"/>
          <w:szCs w:val="24"/>
        </w:rPr>
      </w:pPr>
    </w:p>
    <w:p w:rsidR="009A017D" w:rsidRPr="009A017D" w:rsidRDefault="009A017D" w:rsidP="009A017D">
      <w:pPr>
        <w:tabs>
          <w:tab w:val="left" w:pos="851"/>
        </w:tabs>
        <w:ind w:left="851"/>
        <w:rPr>
          <w:sz w:val="24"/>
          <w:szCs w:val="24"/>
        </w:rPr>
      </w:pPr>
      <w:r w:rsidRPr="009A017D">
        <w:rPr>
          <w:sz w:val="24"/>
          <w:szCs w:val="24"/>
        </w:rPr>
        <w:t xml:space="preserve">Overdosering med paracetamol kan medføre leversvigt, som kan resultere i levertransplantation eller død. Behandling med </w:t>
      </w:r>
      <w:proofErr w:type="spellStart"/>
      <w:r w:rsidRPr="009A017D">
        <w:rPr>
          <w:sz w:val="24"/>
          <w:szCs w:val="24"/>
        </w:rPr>
        <w:t>antidot</w:t>
      </w:r>
      <w:proofErr w:type="spellEnd"/>
      <w:r w:rsidRPr="009A017D">
        <w:rPr>
          <w:sz w:val="24"/>
          <w:szCs w:val="24"/>
        </w:rPr>
        <w:t xml:space="preserve"> bør gives hurtigst muligt (se pkt. 4.9).</w:t>
      </w:r>
    </w:p>
    <w:p w:rsidR="009A017D" w:rsidRPr="009A017D" w:rsidRDefault="009A017D" w:rsidP="009A017D">
      <w:pPr>
        <w:tabs>
          <w:tab w:val="left" w:pos="851"/>
        </w:tabs>
        <w:ind w:left="851"/>
        <w:rPr>
          <w:sz w:val="24"/>
          <w:szCs w:val="24"/>
        </w:rPr>
      </w:pPr>
    </w:p>
    <w:p w:rsidR="009A017D" w:rsidRPr="009A017D" w:rsidRDefault="009A017D" w:rsidP="009A017D">
      <w:pPr>
        <w:tabs>
          <w:tab w:val="left" w:pos="851"/>
        </w:tabs>
        <w:ind w:left="851"/>
        <w:rPr>
          <w:sz w:val="24"/>
          <w:szCs w:val="24"/>
        </w:rPr>
      </w:pPr>
      <w:r w:rsidRPr="009A017D">
        <w:rPr>
          <w:sz w:val="24"/>
          <w:szCs w:val="24"/>
        </w:rPr>
        <w:t>En underliggende leversygdom kan øge risikoen for paracetamol-relateret leverskade. Patienter, der er diagnosticeret med lever- eller nyreinsufficiens, skal søge lægehjælp før de anvender paracetamol, og fordele og risici skal overvejes nøje.</w:t>
      </w:r>
    </w:p>
    <w:p w:rsidR="009A017D" w:rsidRPr="009A017D" w:rsidRDefault="009A017D" w:rsidP="009A017D">
      <w:pPr>
        <w:tabs>
          <w:tab w:val="left" w:pos="851"/>
        </w:tabs>
        <w:ind w:left="851"/>
        <w:rPr>
          <w:sz w:val="24"/>
          <w:szCs w:val="24"/>
        </w:rPr>
      </w:pPr>
    </w:p>
    <w:p w:rsidR="009A017D" w:rsidRPr="009A017D" w:rsidRDefault="009A017D" w:rsidP="009A017D">
      <w:pPr>
        <w:tabs>
          <w:tab w:val="left" w:pos="851"/>
        </w:tabs>
        <w:ind w:left="851"/>
        <w:rPr>
          <w:sz w:val="24"/>
          <w:szCs w:val="24"/>
        </w:rPr>
      </w:pPr>
      <w:r w:rsidRPr="009A017D">
        <w:rPr>
          <w:sz w:val="24"/>
          <w:szCs w:val="24"/>
        </w:rPr>
        <w:t xml:space="preserve">Tilfælde af nedsat leverfunktion/leversvigt ved maksimale terapeutiske doser af paracetamol er rapporteret hos patienter med underskud af </w:t>
      </w:r>
      <w:proofErr w:type="spellStart"/>
      <w:r w:rsidRPr="009A017D">
        <w:rPr>
          <w:sz w:val="24"/>
          <w:szCs w:val="24"/>
        </w:rPr>
        <w:t>glutathion</w:t>
      </w:r>
      <w:proofErr w:type="spellEnd"/>
      <w:r w:rsidRPr="009A017D">
        <w:rPr>
          <w:sz w:val="24"/>
          <w:szCs w:val="24"/>
        </w:rPr>
        <w:t>, såsom hos patienter, der er kraftigt fejlernærede, har anoreksi, lavt BMI, er kroniske alkoholmisbrugere eller har sepsis. Hos sådanne patienter frarådes vedvarende brug og maksimale doser på grund af risiko for toksiske leverreaktioner, og paracetamol bør anvendes ved den laveste effektive dosis.</w:t>
      </w:r>
    </w:p>
    <w:p w:rsidR="009A017D" w:rsidRPr="009A017D" w:rsidRDefault="009A017D" w:rsidP="009A017D">
      <w:pPr>
        <w:tabs>
          <w:tab w:val="left" w:pos="851"/>
        </w:tabs>
        <w:ind w:left="851"/>
        <w:rPr>
          <w:sz w:val="24"/>
          <w:szCs w:val="24"/>
        </w:rPr>
      </w:pPr>
    </w:p>
    <w:p w:rsidR="009A017D" w:rsidRPr="009A017D" w:rsidRDefault="009A017D" w:rsidP="009A017D">
      <w:pPr>
        <w:tabs>
          <w:tab w:val="left" w:pos="851"/>
        </w:tabs>
        <w:ind w:left="851"/>
        <w:rPr>
          <w:sz w:val="24"/>
          <w:szCs w:val="24"/>
        </w:rPr>
      </w:pPr>
      <w:r w:rsidRPr="009A017D">
        <w:rPr>
          <w:sz w:val="24"/>
          <w:szCs w:val="24"/>
        </w:rPr>
        <w:t xml:space="preserve">Hos patienter med underskud af </w:t>
      </w:r>
      <w:proofErr w:type="spellStart"/>
      <w:r w:rsidRPr="009A017D">
        <w:rPr>
          <w:sz w:val="24"/>
          <w:szCs w:val="24"/>
        </w:rPr>
        <w:t>glutathion</w:t>
      </w:r>
      <w:proofErr w:type="spellEnd"/>
      <w:r w:rsidRPr="009A017D">
        <w:rPr>
          <w:sz w:val="24"/>
          <w:szCs w:val="24"/>
        </w:rPr>
        <w:t xml:space="preserve"> kan brugen af paracetamol øge risikoen for metabolisk </w:t>
      </w:r>
      <w:proofErr w:type="spellStart"/>
      <w:r w:rsidRPr="009A017D">
        <w:rPr>
          <w:sz w:val="24"/>
          <w:szCs w:val="24"/>
        </w:rPr>
        <w:t>acidose</w:t>
      </w:r>
      <w:proofErr w:type="spellEnd"/>
      <w:r w:rsidRPr="009A017D">
        <w:rPr>
          <w:sz w:val="24"/>
          <w:szCs w:val="24"/>
        </w:rPr>
        <w:t>.</w:t>
      </w:r>
    </w:p>
    <w:p w:rsidR="009A017D" w:rsidRPr="009A017D" w:rsidRDefault="009A017D" w:rsidP="009A017D">
      <w:pPr>
        <w:tabs>
          <w:tab w:val="left" w:pos="851"/>
        </w:tabs>
        <w:ind w:left="851"/>
        <w:rPr>
          <w:sz w:val="24"/>
          <w:szCs w:val="24"/>
        </w:rPr>
      </w:pPr>
    </w:p>
    <w:p w:rsidR="009A017D" w:rsidRPr="009A017D" w:rsidRDefault="009A017D" w:rsidP="009A017D">
      <w:pPr>
        <w:tabs>
          <w:tab w:val="left" w:pos="851"/>
        </w:tabs>
        <w:ind w:left="851"/>
        <w:rPr>
          <w:sz w:val="24"/>
          <w:szCs w:val="24"/>
        </w:rPr>
      </w:pPr>
      <w:r w:rsidRPr="009A017D">
        <w:rPr>
          <w:sz w:val="24"/>
          <w:szCs w:val="24"/>
        </w:rPr>
        <w:t>I tilfælde af høj feber eller tegn på sekundær infektion eller i tilfælde af vedvarende symptomer udover 3 dage bør behandlingen reevalueres.</w:t>
      </w:r>
    </w:p>
    <w:p w:rsidR="009A017D" w:rsidRDefault="009A017D" w:rsidP="009A017D">
      <w:pPr>
        <w:tabs>
          <w:tab w:val="left" w:pos="851"/>
        </w:tabs>
        <w:ind w:left="851"/>
        <w:rPr>
          <w:sz w:val="24"/>
          <w:szCs w:val="24"/>
        </w:rPr>
      </w:pPr>
    </w:p>
    <w:p w:rsidR="00086514" w:rsidRPr="00892166" w:rsidRDefault="00086514" w:rsidP="00086514">
      <w:pPr>
        <w:tabs>
          <w:tab w:val="left" w:pos="851"/>
        </w:tabs>
        <w:ind w:left="851"/>
        <w:rPr>
          <w:sz w:val="24"/>
          <w:szCs w:val="24"/>
        </w:rPr>
      </w:pPr>
      <w:r w:rsidRPr="00892166">
        <w:rPr>
          <w:sz w:val="24"/>
          <w:szCs w:val="24"/>
        </w:rPr>
        <w:t xml:space="preserve">Forsigtighed tilrådes, når paracetamol gives samtidigt med </w:t>
      </w:r>
      <w:proofErr w:type="spellStart"/>
      <w:r w:rsidRPr="00892166">
        <w:rPr>
          <w:sz w:val="24"/>
          <w:szCs w:val="24"/>
        </w:rPr>
        <w:t>flucloxacillin</w:t>
      </w:r>
      <w:proofErr w:type="spellEnd"/>
      <w:r w:rsidRPr="00892166">
        <w:rPr>
          <w:sz w:val="24"/>
          <w:szCs w:val="24"/>
        </w:rPr>
        <w:t xml:space="preserve"> på grund af den</w:t>
      </w:r>
    </w:p>
    <w:p w:rsidR="00086514" w:rsidRDefault="00086514" w:rsidP="00086514">
      <w:pPr>
        <w:tabs>
          <w:tab w:val="left" w:pos="851"/>
        </w:tabs>
        <w:ind w:left="851"/>
        <w:rPr>
          <w:sz w:val="24"/>
          <w:szCs w:val="24"/>
        </w:rPr>
      </w:pPr>
      <w:r w:rsidRPr="00892166">
        <w:rPr>
          <w:sz w:val="24"/>
          <w:szCs w:val="24"/>
        </w:rPr>
        <w:t xml:space="preserve">forhøjede risiko for metabolisk </w:t>
      </w:r>
      <w:proofErr w:type="spellStart"/>
      <w:r w:rsidRPr="00892166">
        <w:rPr>
          <w:sz w:val="24"/>
          <w:szCs w:val="24"/>
        </w:rPr>
        <w:t>acidose</w:t>
      </w:r>
      <w:proofErr w:type="spellEnd"/>
      <w:r w:rsidRPr="00892166">
        <w:rPr>
          <w:sz w:val="24"/>
          <w:szCs w:val="24"/>
        </w:rPr>
        <w:t xml:space="preserve"> med højt anion-</w:t>
      </w:r>
      <w:proofErr w:type="spellStart"/>
      <w:r w:rsidRPr="00892166">
        <w:rPr>
          <w:sz w:val="24"/>
          <w:szCs w:val="24"/>
        </w:rPr>
        <w:t>gap</w:t>
      </w:r>
      <w:proofErr w:type="spellEnd"/>
      <w:r w:rsidRPr="00892166">
        <w:rPr>
          <w:sz w:val="24"/>
          <w:szCs w:val="24"/>
        </w:rPr>
        <w:t xml:space="preserve"> (HAGMA), særligt for patienter</w:t>
      </w:r>
      <w:r>
        <w:rPr>
          <w:sz w:val="24"/>
          <w:szCs w:val="24"/>
        </w:rPr>
        <w:t xml:space="preserve"> </w:t>
      </w:r>
      <w:r w:rsidRPr="00892166">
        <w:rPr>
          <w:sz w:val="24"/>
          <w:szCs w:val="24"/>
        </w:rPr>
        <w:t xml:space="preserve">med svært nedsat nyrefunktion, sepsis, fejlernæring og andre kilder til </w:t>
      </w:r>
      <w:proofErr w:type="spellStart"/>
      <w:r w:rsidRPr="00892166">
        <w:rPr>
          <w:sz w:val="24"/>
          <w:szCs w:val="24"/>
        </w:rPr>
        <w:t>glutathionmangel</w:t>
      </w:r>
      <w:proofErr w:type="spellEnd"/>
      <w:r w:rsidRPr="00892166">
        <w:rPr>
          <w:sz w:val="24"/>
          <w:szCs w:val="24"/>
        </w:rPr>
        <w:t xml:space="preserve"> (f.eks.</w:t>
      </w:r>
      <w:r>
        <w:rPr>
          <w:sz w:val="24"/>
          <w:szCs w:val="24"/>
        </w:rPr>
        <w:t xml:space="preserve"> </w:t>
      </w:r>
      <w:r w:rsidRPr="00892166">
        <w:rPr>
          <w:sz w:val="24"/>
          <w:szCs w:val="24"/>
        </w:rPr>
        <w:t>kronisk alkoholisme), så vel som for dem, der anvender maksimale daglige doser af</w:t>
      </w:r>
      <w:r>
        <w:rPr>
          <w:sz w:val="24"/>
          <w:szCs w:val="24"/>
        </w:rPr>
        <w:t xml:space="preserve"> </w:t>
      </w:r>
      <w:r w:rsidRPr="00892166">
        <w:rPr>
          <w:sz w:val="24"/>
          <w:szCs w:val="24"/>
        </w:rPr>
        <w:t>paracetamol. Tæt monitorering</w:t>
      </w:r>
      <w:r>
        <w:rPr>
          <w:sz w:val="24"/>
          <w:szCs w:val="24"/>
        </w:rPr>
        <w:t xml:space="preserve"> anbefales herunder måling af </w:t>
      </w:r>
    </w:p>
    <w:p w:rsidR="00086514" w:rsidRPr="009A017D" w:rsidRDefault="00086514" w:rsidP="00086514">
      <w:pPr>
        <w:tabs>
          <w:tab w:val="left" w:pos="851"/>
        </w:tabs>
        <w:ind w:left="851"/>
        <w:rPr>
          <w:sz w:val="24"/>
          <w:szCs w:val="24"/>
        </w:rPr>
      </w:pPr>
      <w:r>
        <w:rPr>
          <w:sz w:val="24"/>
          <w:szCs w:val="24"/>
        </w:rPr>
        <w:t>5-</w:t>
      </w:r>
      <w:r w:rsidRPr="00892166">
        <w:rPr>
          <w:sz w:val="24"/>
          <w:szCs w:val="24"/>
        </w:rPr>
        <w:t>oxoprolin i urinen.</w:t>
      </w:r>
    </w:p>
    <w:p w:rsidR="00086514" w:rsidRPr="009A017D" w:rsidRDefault="00086514" w:rsidP="009A017D">
      <w:pPr>
        <w:tabs>
          <w:tab w:val="left" w:pos="851"/>
        </w:tabs>
        <w:ind w:left="851"/>
        <w:rPr>
          <w:sz w:val="24"/>
          <w:szCs w:val="24"/>
        </w:rPr>
      </w:pPr>
    </w:p>
    <w:p w:rsidR="009A017D" w:rsidRPr="009A017D" w:rsidRDefault="009A017D" w:rsidP="009A017D">
      <w:pPr>
        <w:tabs>
          <w:tab w:val="left" w:pos="851"/>
        </w:tabs>
        <w:ind w:left="851"/>
        <w:rPr>
          <w:sz w:val="24"/>
          <w:szCs w:val="24"/>
        </w:rPr>
      </w:pPr>
      <w:r w:rsidRPr="009A017D">
        <w:rPr>
          <w:sz w:val="24"/>
          <w:szCs w:val="24"/>
        </w:rPr>
        <w:t>Ved længerevarende brug af enhver type smertestillende hovedpinemedicin kan hovedpine blive værre og hyppigere (medicinoverforbrugshovedpine). Hvis denne tilstand udvikles eller mistænkes, bør hovedpinebehandlingen seponeres i samråd med en læge. Medicinoverforbrugshovedpine bør mistænkes hos patienter med hyppige eller daglige hovedpineanfald på trods af (eller på grund af) regelmæssig brug af smertestillende lægemidler.</w:t>
      </w:r>
    </w:p>
    <w:p w:rsidR="009A017D" w:rsidRPr="009A017D" w:rsidRDefault="009A017D" w:rsidP="009A017D">
      <w:pPr>
        <w:tabs>
          <w:tab w:val="left" w:pos="851"/>
        </w:tabs>
        <w:ind w:left="851"/>
        <w:rPr>
          <w:sz w:val="24"/>
          <w:szCs w:val="24"/>
        </w:rPr>
      </w:pPr>
    </w:p>
    <w:p w:rsidR="009A017D" w:rsidRPr="009A017D" w:rsidRDefault="009A017D" w:rsidP="009A017D">
      <w:pPr>
        <w:tabs>
          <w:tab w:val="left" w:pos="851"/>
        </w:tabs>
        <w:ind w:left="851"/>
        <w:rPr>
          <w:sz w:val="24"/>
          <w:szCs w:val="24"/>
        </w:rPr>
      </w:pPr>
      <w:r w:rsidRPr="009A017D">
        <w:rPr>
          <w:sz w:val="24"/>
          <w:szCs w:val="24"/>
        </w:rPr>
        <w:t xml:space="preserve">Generelt kan vedvarende brug af </w:t>
      </w:r>
      <w:proofErr w:type="spellStart"/>
      <w:r w:rsidRPr="009A017D">
        <w:rPr>
          <w:sz w:val="24"/>
          <w:szCs w:val="24"/>
        </w:rPr>
        <w:t>analgetika</w:t>
      </w:r>
      <w:proofErr w:type="spellEnd"/>
      <w:r w:rsidRPr="009A017D">
        <w:rPr>
          <w:sz w:val="24"/>
          <w:szCs w:val="24"/>
        </w:rPr>
        <w:t xml:space="preserve">, specielt i kombination med andre analgetiske lægemiddelstoffer, føre til vedvarende nyreskade med risiko for nyresvigt (analgetisk </w:t>
      </w:r>
      <w:proofErr w:type="spellStart"/>
      <w:r w:rsidRPr="009A017D">
        <w:rPr>
          <w:sz w:val="24"/>
          <w:szCs w:val="24"/>
        </w:rPr>
        <w:t>nefropati</w:t>
      </w:r>
      <w:proofErr w:type="spellEnd"/>
      <w:r w:rsidRPr="009A017D">
        <w:rPr>
          <w:sz w:val="24"/>
          <w:szCs w:val="24"/>
        </w:rPr>
        <w:t>).</w:t>
      </w:r>
    </w:p>
    <w:p w:rsidR="009A017D" w:rsidRPr="009A017D" w:rsidRDefault="009A017D" w:rsidP="009A017D">
      <w:pPr>
        <w:tabs>
          <w:tab w:val="left" w:pos="851"/>
        </w:tabs>
        <w:ind w:left="851"/>
        <w:rPr>
          <w:sz w:val="24"/>
          <w:szCs w:val="24"/>
        </w:rPr>
      </w:pPr>
    </w:p>
    <w:p w:rsidR="009A017D" w:rsidRPr="009A017D" w:rsidRDefault="009A017D" w:rsidP="009A017D">
      <w:pPr>
        <w:tabs>
          <w:tab w:val="left" w:pos="851"/>
        </w:tabs>
        <w:ind w:left="851"/>
        <w:rPr>
          <w:sz w:val="24"/>
          <w:szCs w:val="24"/>
          <w:u w:val="single"/>
        </w:rPr>
      </w:pPr>
      <w:r w:rsidRPr="009A017D">
        <w:rPr>
          <w:sz w:val="24"/>
          <w:szCs w:val="24"/>
          <w:u w:val="single"/>
        </w:rPr>
        <w:t>Natrium</w:t>
      </w:r>
    </w:p>
    <w:p w:rsidR="009A017D" w:rsidRPr="009A017D" w:rsidRDefault="009A017D" w:rsidP="009A017D">
      <w:pPr>
        <w:tabs>
          <w:tab w:val="left" w:pos="851"/>
        </w:tabs>
        <w:ind w:left="851"/>
        <w:rPr>
          <w:sz w:val="24"/>
          <w:szCs w:val="24"/>
        </w:rPr>
      </w:pPr>
      <w:r w:rsidRPr="009A017D">
        <w:rPr>
          <w:sz w:val="24"/>
          <w:szCs w:val="24"/>
        </w:rPr>
        <w:t>Dette lægemiddel indeholder mindre en 1 mmol (23 mg) natrium pr. dosis,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520DDE" w:rsidRPr="00520DDE" w:rsidRDefault="00520DDE" w:rsidP="00520DDE">
      <w:pPr>
        <w:tabs>
          <w:tab w:val="left" w:pos="851"/>
        </w:tabs>
        <w:ind w:left="851"/>
        <w:rPr>
          <w:sz w:val="24"/>
          <w:szCs w:val="24"/>
        </w:rPr>
      </w:pPr>
      <w:proofErr w:type="spellStart"/>
      <w:r w:rsidRPr="00520DDE">
        <w:rPr>
          <w:sz w:val="24"/>
          <w:szCs w:val="24"/>
        </w:rPr>
        <w:t>Metoclopramid</w:t>
      </w:r>
      <w:proofErr w:type="spellEnd"/>
      <w:r w:rsidRPr="00520DDE">
        <w:rPr>
          <w:sz w:val="24"/>
          <w:szCs w:val="24"/>
        </w:rPr>
        <w:t xml:space="preserve"> og </w:t>
      </w:r>
      <w:proofErr w:type="spellStart"/>
      <w:r w:rsidRPr="00520DDE">
        <w:rPr>
          <w:sz w:val="24"/>
          <w:szCs w:val="24"/>
        </w:rPr>
        <w:t>domperidon</w:t>
      </w:r>
      <w:proofErr w:type="spellEnd"/>
      <w:r w:rsidRPr="00520DDE">
        <w:rPr>
          <w:sz w:val="24"/>
          <w:szCs w:val="24"/>
        </w:rPr>
        <w:t xml:space="preserve"> kan øge absorptionshastigheden af paracetamol.</w:t>
      </w:r>
    </w:p>
    <w:p w:rsidR="00520DDE" w:rsidRPr="00520DDE" w:rsidRDefault="00520DDE" w:rsidP="00520DDE">
      <w:pPr>
        <w:tabs>
          <w:tab w:val="left" w:pos="851"/>
        </w:tabs>
        <w:ind w:left="851"/>
        <w:rPr>
          <w:sz w:val="24"/>
          <w:szCs w:val="24"/>
        </w:rPr>
      </w:pPr>
    </w:p>
    <w:p w:rsidR="00520DDE" w:rsidRPr="00520DDE" w:rsidRDefault="00520DDE" w:rsidP="00520DDE">
      <w:pPr>
        <w:tabs>
          <w:tab w:val="left" w:pos="851"/>
        </w:tabs>
        <w:ind w:left="851"/>
        <w:rPr>
          <w:sz w:val="24"/>
          <w:szCs w:val="24"/>
        </w:rPr>
      </w:pPr>
      <w:proofErr w:type="spellStart"/>
      <w:r w:rsidRPr="00520DDE">
        <w:rPr>
          <w:sz w:val="24"/>
          <w:szCs w:val="24"/>
        </w:rPr>
        <w:t>Colestyramin</w:t>
      </w:r>
      <w:proofErr w:type="spellEnd"/>
      <w:r w:rsidRPr="00520DDE">
        <w:rPr>
          <w:sz w:val="24"/>
          <w:szCs w:val="24"/>
        </w:rPr>
        <w:t xml:space="preserve"> nedsætter absorptionen af paracetamol. Paracetamol bør administreres mindst 1 time før eller 4-6 timer efter </w:t>
      </w:r>
      <w:proofErr w:type="spellStart"/>
      <w:r w:rsidRPr="00520DDE">
        <w:rPr>
          <w:sz w:val="24"/>
          <w:szCs w:val="24"/>
        </w:rPr>
        <w:t>colestyramin</w:t>
      </w:r>
      <w:proofErr w:type="spellEnd"/>
      <w:r w:rsidRPr="00520DDE">
        <w:rPr>
          <w:sz w:val="24"/>
          <w:szCs w:val="24"/>
        </w:rPr>
        <w:t>.</w:t>
      </w:r>
    </w:p>
    <w:p w:rsidR="00520DDE" w:rsidRPr="00520DDE" w:rsidRDefault="00520DDE" w:rsidP="00520DDE">
      <w:pPr>
        <w:tabs>
          <w:tab w:val="left" w:pos="851"/>
        </w:tabs>
        <w:ind w:left="851"/>
        <w:rPr>
          <w:sz w:val="24"/>
          <w:szCs w:val="24"/>
        </w:rPr>
      </w:pPr>
    </w:p>
    <w:p w:rsidR="00520DDE" w:rsidRPr="00520DDE" w:rsidRDefault="00520DDE" w:rsidP="00520DDE">
      <w:pPr>
        <w:tabs>
          <w:tab w:val="left" w:pos="851"/>
        </w:tabs>
        <w:ind w:left="851"/>
        <w:rPr>
          <w:sz w:val="24"/>
          <w:szCs w:val="24"/>
        </w:rPr>
      </w:pPr>
      <w:r w:rsidRPr="00520DDE">
        <w:rPr>
          <w:sz w:val="24"/>
          <w:szCs w:val="24"/>
        </w:rPr>
        <w:lastRenderedPageBreak/>
        <w:t xml:space="preserve">Lægemidler med enzyminducerende effekt (f.eks. </w:t>
      </w:r>
      <w:proofErr w:type="spellStart"/>
      <w:r w:rsidRPr="00520DDE">
        <w:rPr>
          <w:sz w:val="24"/>
          <w:szCs w:val="24"/>
        </w:rPr>
        <w:t>phenytoin</w:t>
      </w:r>
      <w:proofErr w:type="spellEnd"/>
      <w:r w:rsidRPr="00520DDE">
        <w:rPr>
          <w:sz w:val="24"/>
          <w:szCs w:val="24"/>
        </w:rPr>
        <w:t xml:space="preserve">, </w:t>
      </w:r>
      <w:proofErr w:type="spellStart"/>
      <w:r w:rsidRPr="00520DDE">
        <w:rPr>
          <w:sz w:val="24"/>
          <w:szCs w:val="24"/>
        </w:rPr>
        <w:t>carbamazepin</w:t>
      </w:r>
      <w:proofErr w:type="spellEnd"/>
      <w:r w:rsidRPr="00520DDE">
        <w:rPr>
          <w:sz w:val="24"/>
          <w:szCs w:val="24"/>
        </w:rPr>
        <w:t xml:space="preserve">, </w:t>
      </w:r>
      <w:proofErr w:type="spellStart"/>
      <w:r w:rsidRPr="00520DDE">
        <w:rPr>
          <w:sz w:val="24"/>
          <w:szCs w:val="24"/>
        </w:rPr>
        <w:t>rifampicin</w:t>
      </w:r>
      <w:proofErr w:type="spellEnd"/>
      <w:r w:rsidRPr="00520DDE">
        <w:rPr>
          <w:sz w:val="24"/>
          <w:szCs w:val="24"/>
        </w:rPr>
        <w:t xml:space="preserve">, </w:t>
      </w:r>
      <w:proofErr w:type="spellStart"/>
      <w:r w:rsidRPr="00520DDE">
        <w:rPr>
          <w:sz w:val="24"/>
          <w:szCs w:val="24"/>
        </w:rPr>
        <w:t>phenobarbital</w:t>
      </w:r>
      <w:proofErr w:type="spellEnd"/>
      <w:r w:rsidRPr="00520DDE">
        <w:rPr>
          <w:sz w:val="24"/>
          <w:szCs w:val="24"/>
        </w:rPr>
        <w:t xml:space="preserve">, prikbladet perikum) nedsætter biotilgængeligheden af paracetamol gennem en øget </w:t>
      </w:r>
      <w:proofErr w:type="spellStart"/>
      <w:r w:rsidRPr="00520DDE">
        <w:rPr>
          <w:sz w:val="24"/>
          <w:szCs w:val="24"/>
        </w:rPr>
        <w:t>glucoronidering</w:t>
      </w:r>
      <w:proofErr w:type="spellEnd"/>
      <w:r w:rsidRPr="00520DDE">
        <w:rPr>
          <w:sz w:val="24"/>
          <w:szCs w:val="24"/>
        </w:rPr>
        <w:t>, og risikoen for levertoksicitet forøges.</w:t>
      </w:r>
    </w:p>
    <w:p w:rsidR="00520DDE" w:rsidRPr="00520DDE" w:rsidRDefault="00520DDE" w:rsidP="00520DDE">
      <w:pPr>
        <w:tabs>
          <w:tab w:val="left" w:pos="851"/>
        </w:tabs>
        <w:ind w:left="851"/>
        <w:rPr>
          <w:sz w:val="24"/>
          <w:szCs w:val="24"/>
        </w:rPr>
      </w:pPr>
    </w:p>
    <w:p w:rsidR="00520DDE" w:rsidRPr="00520DDE" w:rsidRDefault="00520DDE" w:rsidP="00520DDE">
      <w:pPr>
        <w:tabs>
          <w:tab w:val="left" w:pos="851"/>
        </w:tabs>
        <w:ind w:left="851"/>
        <w:rPr>
          <w:sz w:val="24"/>
          <w:szCs w:val="24"/>
        </w:rPr>
      </w:pPr>
      <w:proofErr w:type="spellStart"/>
      <w:r w:rsidRPr="00520DDE">
        <w:rPr>
          <w:sz w:val="24"/>
          <w:szCs w:val="24"/>
        </w:rPr>
        <w:t>Probenecid</w:t>
      </w:r>
      <w:proofErr w:type="spellEnd"/>
      <w:r w:rsidRPr="00520DDE">
        <w:rPr>
          <w:sz w:val="24"/>
          <w:szCs w:val="24"/>
        </w:rPr>
        <w:t xml:space="preserve"> reducerer </w:t>
      </w:r>
      <w:proofErr w:type="spellStart"/>
      <w:r w:rsidRPr="00520DDE">
        <w:rPr>
          <w:sz w:val="24"/>
          <w:szCs w:val="24"/>
        </w:rPr>
        <w:t>clearance</w:t>
      </w:r>
      <w:proofErr w:type="spellEnd"/>
      <w:r w:rsidRPr="00520DDE">
        <w:rPr>
          <w:sz w:val="24"/>
          <w:szCs w:val="24"/>
        </w:rPr>
        <w:t xml:space="preserve"> af paracetamol med næsten 50 %. Derfor kan dosis af paracetamol halveres ved samtidig behandling.</w:t>
      </w:r>
    </w:p>
    <w:p w:rsidR="00520DDE" w:rsidRPr="00520DDE" w:rsidRDefault="00520DDE" w:rsidP="00520DDE">
      <w:pPr>
        <w:tabs>
          <w:tab w:val="left" w:pos="851"/>
        </w:tabs>
        <w:ind w:left="851"/>
        <w:rPr>
          <w:sz w:val="24"/>
          <w:szCs w:val="24"/>
        </w:rPr>
      </w:pPr>
    </w:p>
    <w:p w:rsidR="00520DDE" w:rsidRPr="00520DDE" w:rsidRDefault="00520DDE" w:rsidP="00520DDE">
      <w:pPr>
        <w:tabs>
          <w:tab w:val="left" w:pos="851"/>
        </w:tabs>
        <w:ind w:left="851"/>
        <w:rPr>
          <w:sz w:val="24"/>
          <w:szCs w:val="24"/>
        </w:rPr>
      </w:pPr>
      <w:r w:rsidRPr="00520DDE">
        <w:rPr>
          <w:sz w:val="24"/>
          <w:szCs w:val="24"/>
        </w:rPr>
        <w:t xml:space="preserve">Paracetamol kan påvirke plasmakoncentrationen af </w:t>
      </w:r>
      <w:proofErr w:type="spellStart"/>
      <w:r w:rsidRPr="00520DDE">
        <w:rPr>
          <w:sz w:val="24"/>
          <w:szCs w:val="24"/>
        </w:rPr>
        <w:t>chloramphenicol</w:t>
      </w:r>
      <w:proofErr w:type="spellEnd"/>
      <w:r w:rsidRPr="00520DDE">
        <w:rPr>
          <w:sz w:val="24"/>
          <w:szCs w:val="24"/>
        </w:rPr>
        <w:t xml:space="preserve">. Det anbefales at overvåge plasmaniveauet af </w:t>
      </w:r>
      <w:proofErr w:type="spellStart"/>
      <w:r w:rsidRPr="00520DDE">
        <w:rPr>
          <w:sz w:val="24"/>
          <w:szCs w:val="24"/>
        </w:rPr>
        <w:t>chloramphenicol</w:t>
      </w:r>
      <w:proofErr w:type="spellEnd"/>
      <w:r w:rsidRPr="00520DDE">
        <w:rPr>
          <w:sz w:val="24"/>
          <w:szCs w:val="24"/>
        </w:rPr>
        <w:t xml:space="preserve">, hvis paracetamol kombineres med injektionsbehandling med </w:t>
      </w:r>
      <w:proofErr w:type="spellStart"/>
      <w:r w:rsidRPr="00520DDE">
        <w:rPr>
          <w:sz w:val="24"/>
          <w:szCs w:val="24"/>
        </w:rPr>
        <w:t>chloramphenicol</w:t>
      </w:r>
      <w:proofErr w:type="spellEnd"/>
      <w:r w:rsidRPr="00520DDE">
        <w:rPr>
          <w:sz w:val="24"/>
          <w:szCs w:val="24"/>
        </w:rPr>
        <w:t>.</w:t>
      </w:r>
    </w:p>
    <w:p w:rsidR="00520DDE" w:rsidRPr="00520DDE" w:rsidRDefault="00520DDE" w:rsidP="00520DDE">
      <w:pPr>
        <w:tabs>
          <w:tab w:val="left" w:pos="851"/>
        </w:tabs>
        <w:ind w:left="851"/>
        <w:rPr>
          <w:sz w:val="24"/>
          <w:szCs w:val="24"/>
        </w:rPr>
      </w:pPr>
    </w:p>
    <w:p w:rsidR="00520DDE" w:rsidRDefault="00520DDE" w:rsidP="00520DDE">
      <w:pPr>
        <w:tabs>
          <w:tab w:val="left" w:pos="851"/>
        </w:tabs>
        <w:ind w:left="851"/>
        <w:rPr>
          <w:sz w:val="24"/>
          <w:szCs w:val="24"/>
        </w:rPr>
      </w:pPr>
      <w:r w:rsidRPr="00520DDE">
        <w:rPr>
          <w:sz w:val="24"/>
          <w:szCs w:val="24"/>
        </w:rPr>
        <w:t xml:space="preserve">Den </w:t>
      </w:r>
      <w:proofErr w:type="spellStart"/>
      <w:r w:rsidRPr="00520DDE">
        <w:rPr>
          <w:sz w:val="24"/>
          <w:szCs w:val="24"/>
        </w:rPr>
        <w:t>antikoagulative</w:t>
      </w:r>
      <w:proofErr w:type="spellEnd"/>
      <w:r w:rsidRPr="00520DDE">
        <w:rPr>
          <w:sz w:val="24"/>
          <w:szCs w:val="24"/>
        </w:rPr>
        <w:t xml:space="preserve"> effekt af </w:t>
      </w:r>
      <w:proofErr w:type="spellStart"/>
      <w:r w:rsidRPr="00520DDE">
        <w:rPr>
          <w:sz w:val="24"/>
          <w:szCs w:val="24"/>
        </w:rPr>
        <w:t>warfarin</w:t>
      </w:r>
      <w:proofErr w:type="spellEnd"/>
      <w:r w:rsidRPr="00520DDE">
        <w:rPr>
          <w:sz w:val="24"/>
          <w:szCs w:val="24"/>
        </w:rPr>
        <w:t xml:space="preserve"> og andre </w:t>
      </w:r>
      <w:proofErr w:type="spellStart"/>
      <w:r w:rsidRPr="00520DDE">
        <w:rPr>
          <w:sz w:val="24"/>
          <w:szCs w:val="24"/>
        </w:rPr>
        <w:t>coumariner</w:t>
      </w:r>
      <w:proofErr w:type="spellEnd"/>
      <w:r w:rsidRPr="00520DDE">
        <w:rPr>
          <w:sz w:val="24"/>
          <w:szCs w:val="24"/>
        </w:rPr>
        <w:t xml:space="preserve"> kan øges ved langvarigt, regelmæssigt, daglig indtag af paracetamol. Dette fører til øget risiko for blødninger. Lejlighedsvis indtag har ingen signifikant effekt.</w:t>
      </w:r>
    </w:p>
    <w:p w:rsidR="00086514" w:rsidRDefault="00086514" w:rsidP="00520DDE">
      <w:pPr>
        <w:tabs>
          <w:tab w:val="left" w:pos="851"/>
        </w:tabs>
        <w:ind w:left="851"/>
        <w:rPr>
          <w:sz w:val="24"/>
          <w:szCs w:val="24"/>
        </w:rPr>
      </w:pPr>
    </w:p>
    <w:p w:rsidR="00086514" w:rsidRPr="00892166" w:rsidRDefault="00086514" w:rsidP="00086514">
      <w:pPr>
        <w:tabs>
          <w:tab w:val="left" w:pos="851"/>
        </w:tabs>
        <w:ind w:left="851"/>
        <w:rPr>
          <w:sz w:val="24"/>
          <w:szCs w:val="24"/>
        </w:rPr>
      </w:pPr>
      <w:r w:rsidRPr="00892166">
        <w:rPr>
          <w:sz w:val="24"/>
          <w:szCs w:val="24"/>
        </w:rPr>
        <w:t xml:space="preserve">Der bør udvises forsigtighed, når paracetamol anvendes samtidig med </w:t>
      </w:r>
      <w:proofErr w:type="spellStart"/>
      <w:r w:rsidRPr="00892166">
        <w:rPr>
          <w:sz w:val="24"/>
          <w:szCs w:val="24"/>
        </w:rPr>
        <w:t>flucloxacillin</w:t>
      </w:r>
      <w:proofErr w:type="spellEnd"/>
      <w:r w:rsidRPr="00892166">
        <w:rPr>
          <w:sz w:val="24"/>
          <w:szCs w:val="24"/>
        </w:rPr>
        <w:t>, idet</w:t>
      </w:r>
    </w:p>
    <w:p w:rsidR="00086514" w:rsidRPr="00892166" w:rsidRDefault="00086514" w:rsidP="00086514">
      <w:pPr>
        <w:tabs>
          <w:tab w:val="left" w:pos="851"/>
        </w:tabs>
        <w:ind w:left="851"/>
        <w:rPr>
          <w:sz w:val="24"/>
          <w:szCs w:val="24"/>
        </w:rPr>
      </w:pPr>
      <w:r w:rsidRPr="00892166">
        <w:rPr>
          <w:sz w:val="24"/>
          <w:szCs w:val="24"/>
        </w:rPr>
        <w:t xml:space="preserve">samtidig brug kan være forbundet med metabolisk </w:t>
      </w:r>
      <w:proofErr w:type="spellStart"/>
      <w:r w:rsidRPr="00892166">
        <w:rPr>
          <w:sz w:val="24"/>
          <w:szCs w:val="24"/>
        </w:rPr>
        <w:t>acidose</w:t>
      </w:r>
      <w:proofErr w:type="spellEnd"/>
      <w:r w:rsidRPr="00892166">
        <w:rPr>
          <w:sz w:val="24"/>
          <w:szCs w:val="24"/>
        </w:rPr>
        <w:t xml:space="preserve"> med højt anion-</w:t>
      </w:r>
      <w:proofErr w:type="spellStart"/>
      <w:r w:rsidRPr="00892166">
        <w:rPr>
          <w:sz w:val="24"/>
          <w:szCs w:val="24"/>
        </w:rPr>
        <w:t>gap</w:t>
      </w:r>
      <w:proofErr w:type="spellEnd"/>
      <w:r w:rsidRPr="00892166">
        <w:rPr>
          <w:sz w:val="24"/>
          <w:szCs w:val="24"/>
        </w:rPr>
        <w:t>, særligt hos</w:t>
      </w:r>
    </w:p>
    <w:p w:rsidR="00086514" w:rsidRPr="00520DDE" w:rsidRDefault="00086514" w:rsidP="00086514">
      <w:pPr>
        <w:tabs>
          <w:tab w:val="left" w:pos="851"/>
        </w:tabs>
        <w:ind w:left="851"/>
        <w:rPr>
          <w:sz w:val="24"/>
          <w:szCs w:val="24"/>
        </w:rPr>
      </w:pPr>
      <w:r w:rsidRPr="00892166">
        <w:rPr>
          <w:sz w:val="24"/>
          <w:szCs w:val="24"/>
        </w:rPr>
        <w:t>patienter med risikofaktorer (se afsnit 4.4).</w:t>
      </w:r>
    </w:p>
    <w:p w:rsidR="00520DDE" w:rsidRPr="00520DDE" w:rsidRDefault="00520DDE" w:rsidP="00520D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8D5E4E" w:rsidRPr="008D5E4E" w:rsidRDefault="008D5E4E" w:rsidP="008D5E4E">
      <w:pPr>
        <w:tabs>
          <w:tab w:val="left" w:pos="851"/>
        </w:tabs>
        <w:ind w:left="851"/>
        <w:rPr>
          <w:sz w:val="24"/>
          <w:szCs w:val="24"/>
          <w:u w:val="single"/>
        </w:rPr>
      </w:pPr>
      <w:r w:rsidRPr="008D5E4E">
        <w:rPr>
          <w:sz w:val="24"/>
          <w:szCs w:val="24"/>
          <w:u w:val="single"/>
        </w:rPr>
        <w:t>Fertilitet</w:t>
      </w:r>
    </w:p>
    <w:p w:rsidR="008D5E4E" w:rsidRPr="008D5E4E" w:rsidRDefault="008D5E4E" w:rsidP="008D5E4E">
      <w:pPr>
        <w:tabs>
          <w:tab w:val="left" w:pos="851"/>
        </w:tabs>
        <w:ind w:left="851"/>
        <w:rPr>
          <w:sz w:val="24"/>
          <w:szCs w:val="24"/>
        </w:rPr>
      </w:pPr>
      <w:r w:rsidRPr="008D5E4E">
        <w:rPr>
          <w:sz w:val="24"/>
          <w:szCs w:val="24"/>
        </w:rPr>
        <w:t>Der er ikke blevet fastslået en skadelig virkning på fertiliteten.</w:t>
      </w:r>
    </w:p>
    <w:p w:rsidR="008D5E4E" w:rsidRPr="008D5E4E" w:rsidRDefault="008D5E4E" w:rsidP="008D5E4E">
      <w:pPr>
        <w:tabs>
          <w:tab w:val="left" w:pos="851"/>
        </w:tabs>
        <w:ind w:left="851"/>
        <w:rPr>
          <w:sz w:val="24"/>
          <w:szCs w:val="24"/>
        </w:rPr>
      </w:pPr>
    </w:p>
    <w:p w:rsidR="008D5E4E" w:rsidRPr="008D5E4E" w:rsidRDefault="008D5E4E" w:rsidP="008D5E4E">
      <w:pPr>
        <w:tabs>
          <w:tab w:val="left" w:pos="851"/>
        </w:tabs>
        <w:ind w:left="851"/>
        <w:rPr>
          <w:sz w:val="24"/>
          <w:szCs w:val="24"/>
          <w:u w:val="single"/>
        </w:rPr>
      </w:pPr>
      <w:r w:rsidRPr="008D5E4E">
        <w:rPr>
          <w:sz w:val="24"/>
          <w:szCs w:val="24"/>
          <w:u w:val="single"/>
        </w:rPr>
        <w:t>Graviditet</w:t>
      </w:r>
    </w:p>
    <w:p w:rsidR="008D5E4E" w:rsidRPr="008D5E4E" w:rsidRDefault="008D5E4E" w:rsidP="008D5E4E">
      <w:pPr>
        <w:tabs>
          <w:tab w:val="left" w:pos="851"/>
        </w:tabs>
        <w:ind w:left="851"/>
        <w:rPr>
          <w:sz w:val="24"/>
          <w:szCs w:val="24"/>
        </w:rPr>
      </w:pPr>
      <w:r w:rsidRPr="008D5E4E">
        <w:rPr>
          <w:sz w:val="24"/>
          <w:szCs w:val="24"/>
        </w:rPr>
        <w:t xml:space="preserve">Epidemiologiske studier af den neurologiske udvikling hos børn, der eksponeres for paracetamol </w:t>
      </w:r>
      <w:r w:rsidRPr="008D5E4E">
        <w:rPr>
          <w:i/>
          <w:iCs/>
          <w:sz w:val="24"/>
          <w:szCs w:val="24"/>
        </w:rPr>
        <w:t xml:space="preserve">in </w:t>
      </w:r>
      <w:proofErr w:type="spellStart"/>
      <w:r w:rsidRPr="008D5E4E">
        <w:rPr>
          <w:i/>
          <w:iCs/>
          <w:sz w:val="24"/>
          <w:szCs w:val="24"/>
        </w:rPr>
        <w:t>utero</w:t>
      </w:r>
      <w:proofErr w:type="spellEnd"/>
      <w:r w:rsidRPr="008D5E4E">
        <w:rPr>
          <w:sz w:val="24"/>
          <w:szCs w:val="24"/>
        </w:rPr>
        <w:t>, viste ikke endegyldige resultater. Paracetamol kan anvendes under graviditet, hvis det er klinisk indiceret, men bør tages i den laveste effektive dosis, så kort tid som muligt og med lavest mulige hyppighed. I tvivlstilfælde bør lægen konsulteres.</w:t>
      </w:r>
    </w:p>
    <w:p w:rsidR="008D5E4E" w:rsidRPr="008D5E4E" w:rsidRDefault="008D5E4E" w:rsidP="008D5E4E">
      <w:pPr>
        <w:tabs>
          <w:tab w:val="left" w:pos="851"/>
        </w:tabs>
        <w:ind w:left="851"/>
        <w:rPr>
          <w:sz w:val="24"/>
          <w:szCs w:val="24"/>
        </w:rPr>
      </w:pPr>
    </w:p>
    <w:p w:rsidR="008D5E4E" w:rsidRPr="008D5E4E" w:rsidRDefault="008D5E4E" w:rsidP="008D5E4E">
      <w:pPr>
        <w:tabs>
          <w:tab w:val="left" w:pos="851"/>
        </w:tabs>
        <w:ind w:left="851"/>
        <w:rPr>
          <w:sz w:val="24"/>
          <w:szCs w:val="24"/>
          <w:u w:val="single"/>
        </w:rPr>
      </w:pPr>
      <w:r w:rsidRPr="008D5E4E">
        <w:rPr>
          <w:sz w:val="24"/>
          <w:szCs w:val="24"/>
          <w:u w:val="single"/>
        </w:rPr>
        <w:t>Amning</w:t>
      </w:r>
    </w:p>
    <w:p w:rsidR="008D5E4E" w:rsidRPr="008D5E4E" w:rsidRDefault="008D5E4E" w:rsidP="008D5E4E">
      <w:pPr>
        <w:tabs>
          <w:tab w:val="left" w:pos="851"/>
        </w:tabs>
        <w:ind w:left="851"/>
        <w:rPr>
          <w:sz w:val="24"/>
          <w:szCs w:val="24"/>
        </w:rPr>
      </w:pPr>
      <w:r w:rsidRPr="008D5E4E">
        <w:rPr>
          <w:sz w:val="24"/>
          <w:szCs w:val="24"/>
        </w:rPr>
        <w:t>Der kan anvendes terapeutiske doser af dette lægemiddel under amning. Paracetamol udskilles i modermælk, men ikke i klinisk signifikante mængder ved anbefalede doser. I henhold til tilgængelig, publiceret data er amning ikke kontraindiceret.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8D5E4E" w:rsidRPr="008D5E4E" w:rsidRDefault="008D5E4E" w:rsidP="008D5E4E">
      <w:pPr>
        <w:tabs>
          <w:tab w:val="left" w:pos="851"/>
        </w:tabs>
        <w:ind w:left="851"/>
        <w:rPr>
          <w:sz w:val="24"/>
          <w:szCs w:val="24"/>
        </w:rPr>
      </w:pPr>
      <w:r w:rsidRPr="008D5E4E">
        <w:rPr>
          <w:sz w:val="24"/>
          <w:szCs w:val="24"/>
        </w:rPr>
        <w:t>Ikke mærkning.</w:t>
      </w:r>
    </w:p>
    <w:p w:rsidR="008D5E4E" w:rsidRPr="008D5E4E" w:rsidRDefault="008D5E4E" w:rsidP="008D5E4E">
      <w:pPr>
        <w:tabs>
          <w:tab w:val="left" w:pos="851"/>
        </w:tabs>
        <w:ind w:left="851"/>
        <w:rPr>
          <w:sz w:val="24"/>
          <w:szCs w:val="24"/>
        </w:rPr>
      </w:pPr>
      <w:r w:rsidRPr="008D5E4E">
        <w:rPr>
          <w:sz w:val="24"/>
          <w:szCs w:val="24"/>
        </w:rPr>
        <w:t>Paracetamol "</w:t>
      </w:r>
      <w:proofErr w:type="spellStart"/>
      <w:r w:rsidRPr="008D5E4E">
        <w:rPr>
          <w:sz w:val="24"/>
          <w:szCs w:val="24"/>
        </w:rPr>
        <w:t>Krka</w:t>
      </w:r>
      <w:proofErr w:type="spellEnd"/>
      <w:r w:rsidRPr="008D5E4E">
        <w:rPr>
          <w:sz w:val="24"/>
          <w:szCs w:val="24"/>
        </w:rPr>
        <w:t>" påvirker ikke eller kun i ubetydelig grad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8D5E4E" w:rsidRPr="008D5E4E" w:rsidRDefault="008D5E4E" w:rsidP="008D5E4E">
      <w:pPr>
        <w:pStyle w:val="Sidehoved"/>
        <w:ind w:left="851"/>
        <w:rPr>
          <w:szCs w:val="24"/>
        </w:rPr>
      </w:pPr>
      <w:r w:rsidRPr="008D5E4E">
        <w:rPr>
          <w:szCs w:val="24"/>
        </w:rPr>
        <w:t xml:space="preserve">Bivirkninger er generelt sjældne. De hyppigste bivirkninger er </w:t>
      </w:r>
      <w:proofErr w:type="spellStart"/>
      <w:r w:rsidRPr="008D5E4E">
        <w:rPr>
          <w:szCs w:val="24"/>
        </w:rPr>
        <w:t>urticaria</w:t>
      </w:r>
      <w:proofErr w:type="spellEnd"/>
      <w:r w:rsidRPr="008D5E4E">
        <w:rPr>
          <w:szCs w:val="24"/>
        </w:rPr>
        <w:t xml:space="preserve"> og forøget </w:t>
      </w:r>
      <w:proofErr w:type="spellStart"/>
      <w:r w:rsidRPr="008D5E4E">
        <w:rPr>
          <w:szCs w:val="24"/>
        </w:rPr>
        <w:t>levertransaminase</w:t>
      </w:r>
      <w:proofErr w:type="spellEnd"/>
      <w:r w:rsidRPr="008D5E4E">
        <w:rPr>
          <w:szCs w:val="24"/>
        </w:rPr>
        <w:t>, hvilket ses hos 0,01 %-0,1 % af behandlede patienter.</w:t>
      </w:r>
    </w:p>
    <w:p w:rsidR="008D5E4E" w:rsidRPr="008D5E4E" w:rsidRDefault="008D5E4E" w:rsidP="008D5E4E">
      <w:pPr>
        <w:pStyle w:val="Sidehoved"/>
        <w:ind w:left="851"/>
        <w:rPr>
          <w:szCs w:val="24"/>
        </w:rPr>
      </w:pPr>
    </w:p>
    <w:p w:rsidR="008D5E4E" w:rsidRPr="008D5E4E" w:rsidRDefault="008D5E4E" w:rsidP="008D5E4E">
      <w:pPr>
        <w:pStyle w:val="Sidehoved"/>
        <w:ind w:left="851"/>
        <w:rPr>
          <w:szCs w:val="24"/>
        </w:rPr>
      </w:pPr>
      <w:r w:rsidRPr="008D5E4E">
        <w:rPr>
          <w:szCs w:val="24"/>
        </w:rPr>
        <w:t>Bivirkninger, der kan forekomme under behandlingen med paracetamol, er angivet ved brug af følgende klassifikation og hyppighed:</w:t>
      </w:r>
    </w:p>
    <w:p w:rsidR="008D5E4E" w:rsidRPr="008D5E4E" w:rsidRDefault="008D5E4E" w:rsidP="008D5E4E">
      <w:pPr>
        <w:pStyle w:val="Sidehoved"/>
        <w:tabs>
          <w:tab w:val="left" w:pos="851"/>
        </w:tabs>
        <w:ind w:left="851"/>
        <w:rPr>
          <w:szCs w:val="24"/>
        </w:rPr>
      </w:pPr>
      <w:r w:rsidRPr="008D5E4E">
        <w:rPr>
          <w:szCs w:val="24"/>
        </w:rPr>
        <w:t>Meget almindelig (≥ 1/10)</w:t>
      </w:r>
    </w:p>
    <w:p w:rsidR="008D5E4E" w:rsidRPr="008D5E4E" w:rsidRDefault="008D5E4E" w:rsidP="008D5E4E">
      <w:pPr>
        <w:pStyle w:val="Sidehoved"/>
        <w:tabs>
          <w:tab w:val="left" w:pos="851"/>
        </w:tabs>
        <w:ind w:left="851"/>
        <w:rPr>
          <w:szCs w:val="24"/>
        </w:rPr>
      </w:pPr>
      <w:r w:rsidRPr="008D5E4E">
        <w:rPr>
          <w:szCs w:val="24"/>
        </w:rPr>
        <w:t>Almindelig (≥ 1/100 til &lt; 1/10)</w:t>
      </w:r>
    </w:p>
    <w:p w:rsidR="008D5E4E" w:rsidRPr="008D5E4E" w:rsidRDefault="008D5E4E" w:rsidP="008D5E4E">
      <w:pPr>
        <w:pStyle w:val="Sidehoved"/>
        <w:tabs>
          <w:tab w:val="left" w:pos="851"/>
        </w:tabs>
        <w:ind w:left="851"/>
        <w:rPr>
          <w:szCs w:val="24"/>
        </w:rPr>
      </w:pPr>
      <w:r w:rsidRPr="008D5E4E">
        <w:rPr>
          <w:szCs w:val="24"/>
        </w:rPr>
        <w:t>Ikke almindelig (≥ 1/1.000 til &lt; 1/100)</w:t>
      </w:r>
    </w:p>
    <w:p w:rsidR="008D5E4E" w:rsidRPr="008D5E4E" w:rsidRDefault="008D5E4E" w:rsidP="008D5E4E">
      <w:pPr>
        <w:pStyle w:val="Sidehoved"/>
        <w:tabs>
          <w:tab w:val="left" w:pos="851"/>
        </w:tabs>
        <w:ind w:left="851"/>
        <w:rPr>
          <w:szCs w:val="24"/>
        </w:rPr>
      </w:pPr>
      <w:r w:rsidRPr="008D5E4E">
        <w:rPr>
          <w:szCs w:val="24"/>
        </w:rPr>
        <w:t>Sjælden (≥ 1/10.000 til &lt; 1/1.000)</w:t>
      </w:r>
    </w:p>
    <w:p w:rsidR="008D5E4E" w:rsidRPr="008D5E4E" w:rsidRDefault="008D5E4E" w:rsidP="008D5E4E">
      <w:pPr>
        <w:pStyle w:val="Sidehoved"/>
        <w:tabs>
          <w:tab w:val="left" w:pos="851"/>
        </w:tabs>
        <w:ind w:left="851"/>
        <w:rPr>
          <w:szCs w:val="24"/>
        </w:rPr>
      </w:pPr>
      <w:r w:rsidRPr="008D5E4E">
        <w:rPr>
          <w:szCs w:val="24"/>
        </w:rPr>
        <w:t>Meget sjælden (&lt; 1/10.000)</w:t>
      </w:r>
    </w:p>
    <w:p w:rsidR="008D5E4E" w:rsidRPr="008D5E4E" w:rsidRDefault="008D5E4E" w:rsidP="008D5E4E">
      <w:pPr>
        <w:pStyle w:val="Sidehoved"/>
        <w:tabs>
          <w:tab w:val="left" w:pos="851"/>
        </w:tabs>
        <w:ind w:left="851"/>
        <w:rPr>
          <w:szCs w:val="24"/>
        </w:rPr>
      </w:pPr>
      <w:r w:rsidRPr="008D5E4E">
        <w:rPr>
          <w:szCs w:val="24"/>
        </w:rPr>
        <w:t>Ikke kendt (kan ikke estimeres ud fra forhåndenværende data)</w:t>
      </w:r>
    </w:p>
    <w:p w:rsidR="008D5E4E" w:rsidRPr="008D5E4E" w:rsidRDefault="008D5E4E" w:rsidP="008D5E4E">
      <w:pPr>
        <w:pStyle w:val="Sidehoved"/>
        <w:ind w:left="851"/>
        <w:rPr>
          <w:szCs w:val="24"/>
        </w:rPr>
      </w:pPr>
    </w:p>
    <w:p w:rsidR="008D5E4E" w:rsidRPr="008D5E4E" w:rsidRDefault="008D5E4E" w:rsidP="008D5E4E">
      <w:pPr>
        <w:pStyle w:val="Sidehoved"/>
        <w:ind w:left="851"/>
        <w:rPr>
          <w:szCs w:val="24"/>
          <w:u w:val="single"/>
        </w:rPr>
      </w:pPr>
      <w:r w:rsidRPr="008D5E4E">
        <w:rPr>
          <w:szCs w:val="24"/>
          <w:u w:val="single"/>
        </w:rPr>
        <w:t>Blod og lymfesystem</w:t>
      </w:r>
    </w:p>
    <w:p w:rsidR="008D5E4E" w:rsidRPr="008D5E4E" w:rsidRDefault="008D5E4E" w:rsidP="008D5E4E">
      <w:pPr>
        <w:pStyle w:val="Sidehoved"/>
        <w:ind w:left="851"/>
        <w:rPr>
          <w:szCs w:val="24"/>
        </w:rPr>
      </w:pPr>
      <w:r w:rsidRPr="008D5E4E">
        <w:rPr>
          <w:szCs w:val="24"/>
        </w:rPr>
        <w:t xml:space="preserve">Meget sjælden: </w:t>
      </w:r>
      <w:proofErr w:type="spellStart"/>
      <w:r w:rsidRPr="008D5E4E">
        <w:rPr>
          <w:szCs w:val="24"/>
        </w:rPr>
        <w:t>Agranulocytose</w:t>
      </w:r>
      <w:proofErr w:type="spellEnd"/>
      <w:r w:rsidRPr="008D5E4E">
        <w:rPr>
          <w:szCs w:val="24"/>
        </w:rPr>
        <w:t xml:space="preserve">, </w:t>
      </w:r>
      <w:proofErr w:type="spellStart"/>
      <w:r w:rsidRPr="008D5E4E">
        <w:rPr>
          <w:szCs w:val="24"/>
        </w:rPr>
        <w:t>trombocytopeni</w:t>
      </w:r>
      <w:proofErr w:type="spellEnd"/>
      <w:r w:rsidRPr="008D5E4E">
        <w:rPr>
          <w:szCs w:val="24"/>
        </w:rPr>
        <w:t xml:space="preserve">, </w:t>
      </w:r>
      <w:proofErr w:type="spellStart"/>
      <w:r w:rsidRPr="008D5E4E">
        <w:rPr>
          <w:szCs w:val="24"/>
        </w:rPr>
        <w:t>leukopeni</w:t>
      </w:r>
      <w:proofErr w:type="spellEnd"/>
      <w:r w:rsidRPr="008D5E4E">
        <w:rPr>
          <w:szCs w:val="24"/>
        </w:rPr>
        <w:t xml:space="preserve">, </w:t>
      </w:r>
      <w:proofErr w:type="spellStart"/>
      <w:r w:rsidRPr="008D5E4E">
        <w:rPr>
          <w:szCs w:val="24"/>
        </w:rPr>
        <w:t>hæmolytisk</w:t>
      </w:r>
      <w:proofErr w:type="spellEnd"/>
      <w:r w:rsidRPr="008D5E4E">
        <w:rPr>
          <w:szCs w:val="24"/>
        </w:rPr>
        <w:t xml:space="preserve"> anæmi.</w:t>
      </w:r>
    </w:p>
    <w:p w:rsidR="008D5E4E" w:rsidRPr="008D5E4E" w:rsidRDefault="008D5E4E" w:rsidP="008D5E4E">
      <w:pPr>
        <w:pStyle w:val="Sidehoved"/>
        <w:ind w:left="851"/>
        <w:rPr>
          <w:szCs w:val="24"/>
        </w:rPr>
      </w:pPr>
    </w:p>
    <w:p w:rsidR="008D5E4E" w:rsidRPr="008D5E4E" w:rsidRDefault="008D5E4E" w:rsidP="008D5E4E">
      <w:pPr>
        <w:pStyle w:val="Sidehoved"/>
        <w:ind w:left="851"/>
        <w:rPr>
          <w:szCs w:val="24"/>
          <w:u w:val="single"/>
        </w:rPr>
      </w:pPr>
      <w:r w:rsidRPr="008D5E4E">
        <w:rPr>
          <w:szCs w:val="24"/>
          <w:u w:val="single"/>
        </w:rPr>
        <w:t>Immunsystemet</w:t>
      </w:r>
    </w:p>
    <w:p w:rsidR="008D5E4E" w:rsidRPr="008D5E4E" w:rsidRDefault="008D5E4E" w:rsidP="008D5E4E">
      <w:pPr>
        <w:pStyle w:val="Sidehoved"/>
        <w:ind w:left="851"/>
        <w:rPr>
          <w:szCs w:val="24"/>
        </w:rPr>
      </w:pPr>
      <w:r w:rsidRPr="008D5E4E">
        <w:rPr>
          <w:szCs w:val="24"/>
        </w:rPr>
        <w:t xml:space="preserve">Meget sjælden: Anafylaksi, Stevens-Johnson syndrom, toksisk </w:t>
      </w:r>
      <w:proofErr w:type="spellStart"/>
      <w:r w:rsidRPr="008D5E4E">
        <w:rPr>
          <w:szCs w:val="24"/>
        </w:rPr>
        <w:t>epidermal</w:t>
      </w:r>
      <w:proofErr w:type="spellEnd"/>
      <w:r w:rsidRPr="008D5E4E">
        <w:rPr>
          <w:szCs w:val="24"/>
        </w:rPr>
        <w:t xml:space="preserve"> </w:t>
      </w:r>
      <w:proofErr w:type="spellStart"/>
      <w:r w:rsidRPr="008D5E4E">
        <w:rPr>
          <w:szCs w:val="24"/>
        </w:rPr>
        <w:t>nekrolyse</w:t>
      </w:r>
      <w:proofErr w:type="spellEnd"/>
      <w:r w:rsidRPr="008D5E4E">
        <w:rPr>
          <w:szCs w:val="24"/>
        </w:rPr>
        <w:t>.</w:t>
      </w:r>
    </w:p>
    <w:p w:rsidR="008D5E4E" w:rsidRPr="008D5E4E" w:rsidRDefault="008D5E4E" w:rsidP="008D5E4E">
      <w:pPr>
        <w:pStyle w:val="Sidehoved"/>
        <w:ind w:left="851"/>
        <w:rPr>
          <w:szCs w:val="24"/>
        </w:rPr>
      </w:pPr>
    </w:p>
    <w:p w:rsidR="008D5E4E" w:rsidRPr="008D5E4E" w:rsidRDefault="008D5E4E" w:rsidP="008D5E4E">
      <w:pPr>
        <w:pStyle w:val="Sidehoved"/>
        <w:ind w:left="851"/>
        <w:rPr>
          <w:szCs w:val="24"/>
          <w:u w:val="single"/>
        </w:rPr>
      </w:pPr>
      <w:r w:rsidRPr="008D5E4E">
        <w:rPr>
          <w:szCs w:val="24"/>
          <w:u w:val="single"/>
        </w:rPr>
        <w:t xml:space="preserve">Luftveje, thorax og </w:t>
      </w:r>
      <w:proofErr w:type="spellStart"/>
      <w:r w:rsidRPr="008D5E4E">
        <w:rPr>
          <w:szCs w:val="24"/>
          <w:u w:val="single"/>
        </w:rPr>
        <w:t>mediastinum</w:t>
      </w:r>
      <w:proofErr w:type="spellEnd"/>
    </w:p>
    <w:p w:rsidR="008D5E4E" w:rsidRPr="008D5E4E" w:rsidRDefault="008D5E4E" w:rsidP="008D5E4E">
      <w:pPr>
        <w:pStyle w:val="Sidehoved"/>
        <w:ind w:left="851"/>
        <w:rPr>
          <w:szCs w:val="24"/>
        </w:rPr>
      </w:pPr>
      <w:r w:rsidRPr="008D5E4E">
        <w:rPr>
          <w:szCs w:val="24"/>
        </w:rPr>
        <w:t xml:space="preserve">Meget sjælden: </w:t>
      </w:r>
      <w:proofErr w:type="spellStart"/>
      <w:r w:rsidRPr="008D5E4E">
        <w:rPr>
          <w:szCs w:val="24"/>
        </w:rPr>
        <w:t>Bronkospasme</w:t>
      </w:r>
      <w:proofErr w:type="spellEnd"/>
      <w:r w:rsidRPr="008D5E4E">
        <w:rPr>
          <w:szCs w:val="24"/>
        </w:rPr>
        <w:t xml:space="preserve"> (analgetisk astma) hos patienter, der er sensitive over for aspirin og NSAID.</w:t>
      </w:r>
    </w:p>
    <w:p w:rsidR="008D5E4E" w:rsidRPr="008D5E4E" w:rsidRDefault="008D5E4E" w:rsidP="008D5E4E">
      <w:pPr>
        <w:pStyle w:val="Sidehoved"/>
        <w:ind w:left="851"/>
        <w:rPr>
          <w:szCs w:val="24"/>
        </w:rPr>
      </w:pPr>
    </w:p>
    <w:p w:rsidR="008D5E4E" w:rsidRPr="008D5E4E" w:rsidRDefault="008D5E4E" w:rsidP="008D5E4E">
      <w:pPr>
        <w:pStyle w:val="Sidehoved"/>
        <w:ind w:left="851"/>
        <w:rPr>
          <w:szCs w:val="24"/>
          <w:u w:val="single"/>
        </w:rPr>
      </w:pPr>
      <w:r w:rsidRPr="008D5E4E">
        <w:rPr>
          <w:szCs w:val="24"/>
          <w:u w:val="single"/>
        </w:rPr>
        <w:t>Nyrer og urinveje</w:t>
      </w:r>
    </w:p>
    <w:p w:rsidR="008D5E4E" w:rsidRPr="008D5E4E" w:rsidRDefault="008D5E4E" w:rsidP="008D5E4E">
      <w:pPr>
        <w:pStyle w:val="Sidehoved"/>
        <w:ind w:left="851"/>
        <w:rPr>
          <w:szCs w:val="24"/>
        </w:rPr>
      </w:pPr>
      <w:r w:rsidRPr="008D5E4E">
        <w:rPr>
          <w:szCs w:val="24"/>
        </w:rPr>
        <w:t>Meget sjælden: Ved langtidsbehandling kan muligheden for nyreskade ikke udelukkes (se pkt. 4.4).</w:t>
      </w:r>
    </w:p>
    <w:p w:rsidR="008D5E4E" w:rsidRPr="008D5E4E" w:rsidRDefault="008D5E4E" w:rsidP="008D5E4E">
      <w:pPr>
        <w:pStyle w:val="Sidehoved"/>
        <w:ind w:left="851"/>
        <w:rPr>
          <w:szCs w:val="24"/>
        </w:rPr>
      </w:pPr>
    </w:p>
    <w:p w:rsidR="008D5E4E" w:rsidRPr="008D5E4E" w:rsidRDefault="008D5E4E" w:rsidP="008D5E4E">
      <w:pPr>
        <w:pStyle w:val="Sidehoved"/>
        <w:ind w:left="851"/>
        <w:rPr>
          <w:szCs w:val="24"/>
          <w:u w:val="single"/>
        </w:rPr>
      </w:pPr>
      <w:r w:rsidRPr="008D5E4E">
        <w:rPr>
          <w:szCs w:val="24"/>
          <w:u w:val="single"/>
        </w:rPr>
        <w:t>Hud og subkutane væv</w:t>
      </w:r>
    </w:p>
    <w:p w:rsidR="008D5E4E" w:rsidRPr="008D5E4E" w:rsidRDefault="008D5E4E" w:rsidP="008D5E4E">
      <w:pPr>
        <w:pStyle w:val="Sidehoved"/>
        <w:ind w:left="851"/>
        <w:rPr>
          <w:szCs w:val="24"/>
        </w:rPr>
      </w:pPr>
      <w:r w:rsidRPr="008D5E4E">
        <w:rPr>
          <w:szCs w:val="24"/>
        </w:rPr>
        <w:t xml:space="preserve">Sjælden: </w:t>
      </w:r>
      <w:proofErr w:type="spellStart"/>
      <w:r w:rsidRPr="008D5E4E">
        <w:rPr>
          <w:szCs w:val="24"/>
        </w:rPr>
        <w:t>Urticaria</w:t>
      </w:r>
      <w:proofErr w:type="spellEnd"/>
      <w:r w:rsidRPr="008D5E4E">
        <w:rPr>
          <w:szCs w:val="24"/>
        </w:rPr>
        <w:t>.</w:t>
      </w:r>
    </w:p>
    <w:p w:rsidR="008D5E4E" w:rsidRPr="008D5E4E" w:rsidRDefault="008D5E4E" w:rsidP="008D5E4E">
      <w:pPr>
        <w:pStyle w:val="Sidehoved"/>
        <w:ind w:left="851"/>
        <w:rPr>
          <w:szCs w:val="24"/>
        </w:rPr>
      </w:pPr>
      <w:r w:rsidRPr="008D5E4E">
        <w:rPr>
          <w:szCs w:val="24"/>
        </w:rPr>
        <w:t xml:space="preserve">Meget sjælden: </w:t>
      </w:r>
      <w:proofErr w:type="spellStart"/>
      <w:r w:rsidRPr="008D5E4E">
        <w:rPr>
          <w:szCs w:val="24"/>
        </w:rPr>
        <w:t>Angioødem</w:t>
      </w:r>
      <w:proofErr w:type="spellEnd"/>
      <w:r w:rsidRPr="008D5E4E">
        <w:rPr>
          <w:szCs w:val="24"/>
        </w:rPr>
        <w:t xml:space="preserve">, allergisk </w:t>
      </w:r>
      <w:proofErr w:type="spellStart"/>
      <w:r w:rsidRPr="008D5E4E">
        <w:rPr>
          <w:szCs w:val="24"/>
        </w:rPr>
        <w:t>dermatitis</w:t>
      </w:r>
      <w:proofErr w:type="spellEnd"/>
      <w:r w:rsidRPr="008D5E4E">
        <w:rPr>
          <w:szCs w:val="24"/>
        </w:rPr>
        <w:t xml:space="preserve"> (overfølsomhedsreaktioner inklusive hududslæt).</w:t>
      </w:r>
    </w:p>
    <w:p w:rsidR="008D5E4E" w:rsidRPr="008D5E4E" w:rsidRDefault="008D5E4E" w:rsidP="008D5E4E">
      <w:pPr>
        <w:pStyle w:val="Sidehoved"/>
        <w:ind w:left="851"/>
        <w:rPr>
          <w:b/>
          <w:bCs/>
          <w:szCs w:val="24"/>
        </w:rPr>
      </w:pPr>
      <w:r w:rsidRPr="008D5E4E">
        <w:rPr>
          <w:szCs w:val="24"/>
        </w:rPr>
        <w:t>Der er rapporteret meget sjældne tilfælde af alvorlige hudreaktioner.</w:t>
      </w:r>
    </w:p>
    <w:p w:rsidR="008D5E4E" w:rsidRPr="008D5E4E" w:rsidRDefault="008D5E4E" w:rsidP="008D5E4E">
      <w:pPr>
        <w:pStyle w:val="Sidehoved"/>
        <w:ind w:left="851"/>
        <w:rPr>
          <w:szCs w:val="24"/>
        </w:rPr>
      </w:pPr>
    </w:p>
    <w:p w:rsidR="008D5E4E" w:rsidRPr="008D5E4E" w:rsidRDefault="008D5E4E" w:rsidP="008D5E4E">
      <w:pPr>
        <w:pStyle w:val="Sidehoved"/>
        <w:ind w:left="851"/>
        <w:rPr>
          <w:szCs w:val="24"/>
          <w:u w:val="single"/>
        </w:rPr>
      </w:pPr>
      <w:r w:rsidRPr="008D5E4E">
        <w:rPr>
          <w:szCs w:val="24"/>
          <w:u w:val="single"/>
        </w:rPr>
        <w:t>Lever og galdeveje</w:t>
      </w:r>
    </w:p>
    <w:p w:rsidR="008D5E4E" w:rsidRPr="008D5E4E" w:rsidRDefault="008D5E4E" w:rsidP="008D5E4E">
      <w:pPr>
        <w:pStyle w:val="Sidehoved"/>
        <w:ind w:left="851"/>
        <w:rPr>
          <w:szCs w:val="24"/>
        </w:rPr>
      </w:pPr>
      <w:r w:rsidRPr="008D5E4E">
        <w:rPr>
          <w:szCs w:val="24"/>
        </w:rPr>
        <w:t xml:space="preserve">Sjælden: </w:t>
      </w:r>
      <w:bookmarkStart w:id="2" w:name="_Hlk32395056"/>
      <w:r w:rsidRPr="008D5E4E">
        <w:rPr>
          <w:szCs w:val="24"/>
        </w:rPr>
        <w:t xml:space="preserve">Forhøjede </w:t>
      </w:r>
      <w:proofErr w:type="spellStart"/>
      <w:r w:rsidRPr="008D5E4E">
        <w:rPr>
          <w:szCs w:val="24"/>
        </w:rPr>
        <w:t>levertransaminaser</w:t>
      </w:r>
      <w:proofErr w:type="spellEnd"/>
      <w:r w:rsidRPr="008D5E4E">
        <w:rPr>
          <w:szCs w:val="24"/>
        </w:rPr>
        <w:t>.</w:t>
      </w:r>
      <w:bookmarkEnd w:id="2"/>
    </w:p>
    <w:p w:rsidR="008D5E4E" w:rsidRPr="008D5E4E" w:rsidRDefault="008D5E4E" w:rsidP="008D5E4E">
      <w:pPr>
        <w:pStyle w:val="Sidehoved"/>
        <w:ind w:left="851"/>
        <w:rPr>
          <w:szCs w:val="24"/>
        </w:rPr>
      </w:pPr>
      <w:r w:rsidRPr="008D5E4E">
        <w:rPr>
          <w:szCs w:val="24"/>
        </w:rPr>
        <w:t xml:space="preserve">Meget sjælden: </w:t>
      </w:r>
      <w:proofErr w:type="spellStart"/>
      <w:r w:rsidRPr="008D5E4E">
        <w:rPr>
          <w:szCs w:val="24"/>
        </w:rPr>
        <w:t>Hepatisk</w:t>
      </w:r>
      <w:proofErr w:type="spellEnd"/>
      <w:r w:rsidRPr="008D5E4E">
        <w:rPr>
          <w:szCs w:val="24"/>
        </w:rPr>
        <w:t xml:space="preserve"> dysfunktion.</w:t>
      </w:r>
    </w:p>
    <w:p w:rsidR="008D5E4E" w:rsidRPr="008D5E4E" w:rsidRDefault="008D5E4E" w:rsidP="008D5E4E">
      <w:pPr>
        <w:pStyle w:val="Sidehoved"/>
        <w:ind w:left="851"/>
        <w:rPr>
          <w:szCs w:val="24"/>
        </w:rPr>
      </w:pPr>
    </w:p>
    <w:p w:rsidR="008D5E4E" w:rsidRPr="008D5E4E" w:rsidRDefault="008D5E4E" w:rsidP="008D5E4E">
      <w:pPr>
        <w:pStyle w:val="Sidehoved"/>
        <w:ind w:left="851"/>
        <w:rPr>
          <w:szCs w:val="24"/>
          <w:u w:val="single"/>
        </w:rPr>
      </w:pPr>
      <w:r w:rsidRPr="008D5E4E">
        <w:rPr>
          <w:szCs w:val="24"/>
          <w:u w:val="single"/>
        </w:rPr>
        <w:t>Undersøgelser</w:t>
      </w:r>
    </w:p>
    <w:p w:rsidR="008D5E4E" w:rsidRPr="008D5E4E" w:rsidRDefault="008D5E4E" w:rsidP="008D5E4E">
      <w:pPr>
        <w:pStyle w:val="Sidehoved"/>
        <w:ind w:left="851"/>
        <w:rPr>
          <w:szCs w:val="24"/>
        </w:rPr>
      </w:pPr>
      <w:r w:rsidRPr="008D5E4E">
        <w:rPr>
          <w:szCs w:val="24"/>
        </w:rPr>
        <w:t xml:space="preserve">Sjælden: Forhøjet </w:t>
      </w:r>
      <w:proofErr w:type="spellStart"/>
      <w:r w:rsidRPr="008D5E4E">
        <w:rPr>
          <w:szCs w:val="24"/>
        </w:rPr>
        <w:t>serumkreatimin</w:t>
      </w:r>
      <w:proofErr w:type="spellEnd"/>
      <w:r w:rsidRPr="008D5E4E">
        <w:rPr>
          <w:szCs w:val="24"/>
        </w:rPr>
        <w:t>.</w:t>
      </w:r>
    </w:p>
    <w:p w:rsidR="008D5E4E" w:rsidRPr="008D5E4E" w:rsidRDefault="008D5E4E" w:rsidP="008D5E4E">
      <w:pPr>
        <w:pStyle w:val="Sidehoved"/>
        <w:ind w:left="851"/>
        <w:rPr>
          <w:szCs w:val="24"/>
        </w:rPr>
      </w:pPr>
    </w:p>
    <w:p w:rsidR="002510E5" w:rsidRPr="002510E5" w:rsidRDefault="002510E5" w:rsidP="002510E5">
      <w:pPr>
        <w:pStyle w:val="Sidehoved"/>
        <w:tabs>
          <w:tab w:val="left" w:pos="851"/>
        </w:tabs>
        <w:ind w:left="851"/>
        <w:rPr>
          <w:szCs w:val="24"/>
          <w:u w:val="single"/>
        </w:rPr>
      </w:pPr>
      <w:r w:rsidRPr="002510E5">
        <w:rPr>
          <w:szCs w:val="24"/>
          <w:u w:val="single"/>
        </w:rPr>
        <w:t>Indberetning af formodede bivirkninger</w:t>
      </w:r>
    </w:p>
    <w:p w:rsidR="002510E5" w:rsidRPr="002510E5" w:rsidRDefault="002510E5" w:rsidP="002510E5">
      <w:pPr>
        <w:pStyle w:val="Sidehoved"/>
        <w:tabs>
          <w:tab w:val="left" w:pos="851"/>
        </w:tabs>
        <w:ind w:left="851"/>
        <w:rPr>
          <w:szCs w:val="24"/>
        </w:rPr>
      </w:pPr>
      <w:r w:rsidRPr="002510E5">
        <w:rPr>
          <w:szCs w:val="24"/>
        </w:rPr>
        <w:t>Når lægemidlet er godkendt, er indberetning af formodede bivirkninger vigtig. Det muliggør løbende overvågning af benefit/</w:t>
      </w:r>
      <w:proofErr w:type="spellStart"/>
      <w:r w:rsidRPr="002510E5">
        <w:rPr>
          <w:szCs w:val="24"/>
        </w:rPr>
        <w:t>risk</w:t>
      </w:r>
      <w:proofErr w:type="spellEnd"/>
      <w:r w:rsidRPr="002510E5">
        <w:rPr>
          <w:szCs w:val="24"/>
        </w:rPr>
        <w:t>-forholdet for lægemidlet. Sundhedspersoner anmodes om at indberette alle formodede bivirkninger via:</w:t>
      </w:r>
    </w:p>
    <w:p w:rsidR="002510E5" w:rsidRPr="002510E5" w:rsidRDefault="002510E5" w:rsidP="002510E5">
      <w:pPr>
        <w:pStyle w:val="Sidehoved"/>
        <w:tabs>
          <w:tab w:val="left" w:pos="851"/>
        </w:tabs>
        <w:ind w:left="851"/>
        <w:rPr>
          <w:szCs w:val="24"/>
          <w:u w:val="single"/>
        </w:rPr>
      </w:pPr>
    </w:p>
    <w:p w:rsidR="002510E5" w:rsidRPr="002510E5" w:rsidRDefault="002510E5" w:rsidP="002510E5">
      <w:pPr>
        <w:pStyle w:val="Sidehoved"/>
        <w:tabs>
          <w:tab w:val="left" w:pos="851"/>
        </w:tabs>
        <w:ind w:left="851"/>
        <w:rPr>
          <w:szCs w:val="24"/>
        </w:rPr>
      </w:pPr>
      <w:r w:rsidRPr="002510E5">
        <w:rPr>
          <w:szCs w:val="24"/>
        </w:rPr>
        <w:t>Lægemiddelstyrelsen</w:t>
      </w:r>
    </w:p>
    <w:p w:rsidR="002510E5" w:rsidRPr="002510E5" w:rsidRDefault="002510E5" w:rsidP="002510E5">
      <w:pPr>
        <w:pStyle w:val="Sidehoved"/>
        <w:tabs>
          <w:tab w:val="left" w:pos="851"/>
        </w:tabs>
        <w:ind w:left="851"/>
        <w:rPr>
          <w:szCs w:val="24"/>
        </w:rPr>
      </w:pPr>
      <w:r w:rsidRPr="002510E5">
        <w:rPr>
          <w:szCs w:val="24"/>
        </w:rPr>
        <w:t>Axel Heides Gade 1</w:t>
      </w:r>
    </w:p>
    <w:p w:rsidR="002510E5" w:rsidRPr="002510E5" w:rsidRDefault="002510E5" w:rsidP="002510E5">
      <w:pPr>
        <w:pStyle w:val="Sidehoved"/>
        <w:tabs>
          <w:tab w:val="left" w:pos="851"/>
        </w:tabs>
        <w:ind w:left="851"/>
        <w:rPr>
          <w:szCs w:val="24"/>
        </w:rPr>
      </w:pPr>
      <w:r w:rsidRPr="002510E5">
        <w:rPr>
          <w:szCs w:val="24"/>
        </w:rPr>
        <w:t>DK-2300 København S</w:t>
      </w:r>
    </w:p>
    <w:p w:rsidR="009260DE" w:rsidRPr="002510E5" w:rsidRDefault="002510E5" w:rsidP="002510E5">
      <w:pPr>
        <w:pStyle w:val="Sidehoved"/>
        <w:tabs>
          <w:tab w:val="left" w:pos="851"/>
        </w:tabs>
        <w:ind w:left="851"/>
        <w:rPr>
          <w:szCs w:val="24"/>
        </w:rPr>
      </w:pPr>
      <w:r w:rsidRPr="002510E5">
        <w:rPr>
          <w:szCs w:val="24"/>
        </w:rPr>
        <w:t xml:space="preserve">Websted: </w:t>
      </w:r>
      <w:hyperlink r:id="rId8" w:history="1">
        <w:r w:rsidRPr="002510E5">
          <w:rPr>
            <w:rStyle w:val="Hyperlink"/>
            <w:szCs w:val="24"/>
            <w:u w:val="none"/>
          </w:rPr>
          <w:t>www.meldenbivirkning.dk</w:t>
        </w:r>
      </w:hyperlink>
    </w:p>
    <w:p w:rsidR="002510E5" w:rsidRPr="00C84483" w:rsidRDefault="002510E5" w:rsidP="002510E5">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B3573D" w:rsidRPr="00B3573D" w:rsidRDefault="00B3573D" w:rsidP="00B3573D">
      <w:pPr>
        <w:tabs>
          <w:tab w:val="left" w:pos="851"/>
        </w:tabs>
        <w:ind w:left="851"/>
        <w:rPr>
          <w:sz w:val="24"/>
          <w:szCs w:val="24"/>
        </w:rPr>
      </w:pPr>
      <w:r w:rsidRPr="00B3573D">
        <w:rPr>
          <w:sz w:val="24"/>
          <w:szCs w:val="24"/>
        </w:rPr>
        <w:t xml:space="preserve">Der er risiko for forgiftning, særligt hos ældre patienter, hos små børn, hos patienter med leversygdomme, ved kronisk alkoholisme, hos patienter med kronisk fejlernæring, hos patienter med underskud af </w:t>
      </w:r>
      <w:proofErr w:type="spellStart"/>
      <w:r w:rsidRPr="00B3573D">
        <w:rPr>
          <w:sz w:val="24"/>
          <w:szCs w:val="24"/>
        </w:rPr>
        <w:t>glutathion</w:t>
      </w:r>
      <w:proofErr w:type="spellEnd"/>
      <w:r w:rsidRPr="00B3573D">
        <w:rPr>
          <w:sz w:val="24"/>
          <w:szCs w:val="24"/>
        </w:rPr>
        <w:t>, såsom ved sepsis og patienter, som anvender enzyminducerende stoffer.</w:t>
      </w:r>
    </w:p>
    <w:p w:rsidR="00B3573D" w:rsidRPr="00B3573D" w:rsidRDefault="00B3573D" w:rsidP="00B3573D">
      <w:pPr>
        <w:tabs>
          <w:tab w:val="left" w:pos="851"/>
        </w:tabs>
        <w:ind w:left="851"/>
        <w:rPr>
          <w:sz w:val="24"/>
          <w:szCs w:val="24"/>
        </w:rPr>
      </w:pPr>
    </w:p>
    <w:p w:rsidR="00B3573D" w:rsidRPr="00B3573D" w:rsidRDefault="00B3573D" w:rsidP="00B3573D">
      <w:pPr>
        <w:tabs>
          <w:tab w:val="left" w:pos="851"/>
        </w:tabs>
        <w:ind w:left="851"/>
        <w:rPr>
          <w:sz w:val="24"/>
          <w:szCs w:val="24"/>
        </w:rPr>
      </w:pPr>
      <w:r w:rsidRPr="00B3573D">
        <w:rPr>
          <w:sz w:val="24"/>
          <w:szCs w:val="24"/>
        </w:rPr>
        <w:t xml:space="preserve">En overdosis på &gt; 6 g paracetamol som enkeltdosis hos voksne eller &gt; 125 mg/kg kropsvægt som enkeltdosis hos børn kan forårsage leversvigt, der kan kræve levertransplantation eller medføre død. Ligeledes kan en overdosis af paracetamol på grund af høje samlede dosisniveauer over en periode forårsage irreversibelt leversvigt. Akut </w:t>
      </w:r>
      <w:proofErr w:type="spellStart"/>
      <w:r w:rsidRPr="00B3573D">
        <w:rPr>
          <w:sz w:val="24"/>
          <w:szCs w:val="24"/>
        </w:rPr>
        <w:t>pankreatitis</w:t>
      </w:r>
      <w:proofErr w:type="spellEnd"/>
      <w:r w:rsidRPr="00B3573D">
        <w:rPr>
          <w:sz w:val="24"/>
          <w:szCs w:val="24"/>
        </w:rPr>
        <w:t xml:space="preserve"> er observeret, ofte med </w:t>
      </w:r>
      <w:proofErr w:type="spellStart"/>
      <w:r w:rsidRPr="00B3573D">
        <w:rPr>
          <w:sz w:val="24"/>
          <w:szCs w:val="24"/>
        </w:rPr>
        <w:t>hepatisk</w:t>
      </w:r>
      <w:proofErr w:type="spellEnd"/>
      <w:r w:rsidRPr="00B3573D">
        <w:rPr>
          <w:sz w:val="24"/>
          <w:szCs w:val="24"/>
        </w:rPr>
        <w:t xml:space="preserve"> dysfunktion og levertoksicitet.</w:t>
      </w:r>
    </w:p>
    <w:p w:rsidR="00B3573D" w:rsidRDefault="00B3573D" w:rsidP="00B3573D">
      <w:pPr>
        <w:tabs>
          <w:tab w:val="left" w:pos="851"/>
        </w:tabs>
        <w:ind w:left="851"/>
        <w:rPr>
          <w:sz w:val="24"/>
          <w:szCs w:val="24"/>
        </w:rPr>
      </w:pPr>
    </w:p>
    <w:p w:rsidR="00086514" w:rsidRPr="00B3573D" w:rsidRDefault="00086514" w:rsidP="00B3573D">
      <w:pPr>
        <w:tabs>
          <w:tab w:val="left" w:pos="851"/>
        </w:tabs>
        <w:ind w:left="851"/>
        <w:rPr>
          <w:sz w:val="24"/>
          <w:szCs w:val="24"/>
        </w:rPr>
      </w:pPr>
    </w:p>
    <w:p w:rsidR="00B3573D" w:rsidRPr="00B3573D" w:rsidRDefault="00B3573D" w:rsidP="00B3573D">
      <w:pPr>
        <w:tabs>
          <w:tab w:val="left" w:pos="851"/>
        </w:tabs>
        <w:ind w:left="851"/>
        <w:rPr>
          <w:sz w:val="24"/>
          <w:szCs w:val="24"/>
          <w:u w:val="single"/>
        </w:rPr>
      </w:pPr>
      <w:r w:rsidRPr="00B3573D">
        <w:rPr>
          <w:sz w:val="24"/>
          <w:szCs w:val="24"/>
          <w:u w:val="single"/>
        </w:rPr>
        <w:lastRenderedPageBreak/>
        <w:t>Symptomer</w:t>
      </w:r>
    </w:p>
    <w:p w:rsidR="00B3573D" w:rsidRPr="00B3573D" w:rsidRDefault="00B3573D" w:rsidP="00B3573D">
      <w:pPr>
        <w:tabs>
          <w:tab w:val="left" w:pos="851"/>
        </w:tabs>
        <w:ind w:left="851"/>
        <w:rPr>
          <w:sz w:val="24"/>
          <w:szCs w:val="24"/>
        </w:rPr>
      </w:pPr>
      <w:r w:rsidRPr="00B3573D">
        <w:rPr>
          <w:sz w:val="24"/>
          <w:szCs w:val="24"/>
        </w:rPr>
        <w:t>Erfaringer ved overdosering indikerer, at kliniske tegn på leverskade normalt opstår 24</w:t>
      </w:r>
      <w:r w:rsidRPr="00B3573D">
        <w:rPr>
          <w:sz w:val="24"/>
          <w:szCs w:val="24"/>
        </w:rPr>
        <w:noBreakHyphen/>
        <w:t>48 timer efter indtagelse og har peaket inden for 4</w:t>
      </w:r>
      <w:r w:rsidRPr="00B3573D">
        <w:rPr>
          <w:sz w:val="24"/>
          <w:szCs w:val="24"/>
        </w:rPr>
        <w:noBreakHyphen/>
        <w:t>6 dage.</w:t>
      </w:r>
    </w:p>
    <w:p w:rsidR="00B3573D" w:rsidRPr="00B3573D" w:rsidRDefault="00B3573D" w:rsidP="00B3573D">
      <w:pPr>
        <w:tabs>
          <w:tab w:val="left" w:pos="851"/>
        </w:tabs>
        <w:ind w:left="851"/>
        <w:rPr>
          <w:sz w:val="24"/>
          <w:szCs w:val="24"/>
        </w:rPr>
      </w:pPr>
      <w:r w:rsidRPr="00B3573D">
        <w:rPr>
          <w:sz w:val="24"/>
          <w:szCs w:val="24"/>
        </w:rPr>
        <w:t xml:space="preserve">Symptomerne på paracetamol-overdosis er kvalme, opkastning, anoreksi, bleghed og mavesmerter. Symptomerne forekommer normalt inden for 24 timer efter indtagelse. Mavesmerter kan være det første symptom på leverskade, hvilket normalt ikke ses før efter 24 til 48 timer, og kan nogle gange være forsinket op til 4 til 6 dage efter indtagelse. Leverskaden er generelt maksimal 72 til 96 timer efter indtagelse, men kan fortsætte, hvis adækvat behandling ikke initieres (se nedenfor). Abnorm </w:t>
      </w:r>
      <w:proofErr w:type="spellStart"/>
      <w:r w:rsidRPr="00B3573D">
        <w:rPr>
          <w:sz w:val="24"/>
          <w:szCs w:val="24"/>
        </w:rPr>
        <w:t>glucosemetabolisme</w:t>
      </w:r>
      <w:proofErr w:type="spellEnd"/>
      <w:r w:rsidRPr="00B3573D">
        <w:rPr>
          <w:sz w:val="24"/>
          <w:szCs w:val="24"/>
        </w:rPr>
        <w:t xml:space="preserve"> og metabolisk </w:t>
      </w:r>
      <w:proofErr w:type="spellStart"/>
      <w:r w:rsidRPr="00B3573D">
        <w:rPr>
          <w:sz w:val="24"/>
          <w:szCs w:val="24"/>
        </w:rPr>
        <w:t>acidose</w:t>
      </w:r>
      <w:proofErr w:type="spellEnd"/>
      <w:r w:rsidRPr="00B3573D">
        <w:rPr>
          <w:sz w:val="24"/>
          <w:szCs w:val="24"/>
        </w:rPr>
        <w:t xml:space="preserve"> kan forekomme. Akut nyresvigt med akut </w:t>
      </w:r>
      <w:proofErr w:type="spellStart"/>
      <w:r w:rsidRPr="00B3573D">
        <w:rPr>
          <w:sz w:val="24"/>
          <w:szCs w:val="24"/>
        </w:rPr>
        <w:t>tubulær</w:t>
      </w:r>
      <w:proofErr w:type="spellEnd"/>
      <w:r w:rsidRPr="00B3573D">
        <w:rPr>
          <w:sz w:val="24"/>
          <w:szCs w:val="24"/>
        </w:rPr>
        <w:t xml:space="preserve"> nekrose kan udvikles selv i fravær af alvorlig leverskade. </w:t>
      </w:r>
      <w:proofErr w:type="spellStart"/>
      <w:r w:rsidRPr="00B3573D">
        <w:rPr>
          <w:sz w:val="24"/>
          <w:szCs w:val="24"/>
        </w:rPr>
        <w:t>Hjertearytmi</w:t>
      </w:r>
      <w:proofErr w:type="spellEnd"/>
      <w:r w:rsidRPr="00B3573D">
        <w:rPr>
          <w:sz w:val="24"/>
          <w:szCs w:val="24"/>
        </w:rPr>
        <w:t xml:space="preserve"> er blevet rapporteret.</w:t>
      </w:r>
    </w:p>
    <w:p w:rsidR="00B3573D" w:rsidRPr="00B3573D" w:rsidRDefault="00B3573D" w:rsidP="00B3573D">
      <w:pPr>
        <w:tabs>
          <w:tab w:val="left" w:pos="851"/>
        </w:tabs>
        <w:ind w:left="851"/>
        <w:rPr>
          <w:sz w:val="24"/>
          <w:szCs w:val="24"/>
        </w:rPr>
      </w:pPr>
    </w:p>
    <w:p w:rsidR="00B3573D" w:rsidRPr="00B3573D" w:rsidRDefault="00B3573D" w:rsidP="00B3573D">
      <w:pPr>
        <w:tabs>
          <w:tab w:val="left" w:pos="851"/>
        </w:tabs>
        <w:ind w:left="851"/>
        <w:rPr>
          <w:sz w:val="24"/>
          <w:szCs w:val="24"/>
          <w:u w:val="single"/>
        </w:rPr>
      </w:pPr>
      <w:r w:rsidRPr="00B3573D">
        <w:rPr>
          <w:sz w:val="24"/>
          <w:szCs w:val="24"/>
          <w:u w:val="single"/>
        </w:rPr>
        <w:t>Behandling</w:t>
      </w:r>
    </w:p>
    <w:p w:rsidR="00B3573D" w:rsidRPr="00B3573D" w:rsidRDefault="00B3573D" w:rsidP="00B20B16">
      <w:pPr>
        <w:numPr>
          <w:ilvl w:val="0"/>
          <w:numId w:val="6"/>
        </w:numPr>
        <w:tabs>
          <w:tab w:val="left" w:pos="851"/>
        </w:tabs>
        <w:ind w:left="1134" w:hanging="283"/>
        <w:rPr>
          <w:sz w:val="24"/>
          <w:szCs w:val="24"/>
        </w:rPr>
      </w:pPr>
      <w:r w:rsidRPr="00B3573D">
        <w:rPr>
          <w:sz w:val="24"/>
          <w:szCs w:val="24"/>
        </w:rPr>
        <w:t>Øjeblikkelig hospitalsindlæggelse.</w:t>
      </w:r>
    </w:p>
    <w:p w:rsidR="00B3573D" w:rsidRPr="00B3573D" w:rsidRDefault="00B3573D" w:rsidP="00B20B16">
      <w:pPr>
        <w:numPr>
          <w:ilvl w:val="0"/>
          <w:numId w:val="6"/>
        </w:numPr>
        <w:tabs>
          <w:tab w:val="left" w:pos="851"/>
        </w:tabs>
        <w:ind w:left="1134" w:hanging="283"/>
        <w:rPr>
          <w:sz w:val="24"/>
          <w:szCs w:val="24"/>
        </w:rPr>
      </w:pPr>
      <w:r w:rsidRPr="00B3573D">
        <w:rPr>
          <w:sz w:val="24"/>
          <w:szCs w:val="24"/>
        </w:rPr>
        <w:t>Efter en overdosis bør der tages en blodprøve for at bestemme paracetamolkoncentrationen i plasma så hurtigt som muligt, før behandling startes.</w:t>
      </w:r>
    </w:p>
    <w:p w:rsidR="00B3573D" w:rsidRPr="00B3573D" w:rsidRDefault="00B3573D" w:rsidP="00B20B16">
      <w:pPr>
        <w:numPr>
          <w:ilvl w:val="0"/>
          <w:numId w:val="6"/>
        </w:numPr>
        <w:tabs>
          <w:tab w:val="left" w:pos="851"/>
        </w:tabs>
        <w:ind w:left="1134" w:hanging="283"/>
        <w:rPr>
          <w:sz w:val="24"/>
          <w:szCs w:val="24"/>
        </w:rPr>
      </w:pPr>
      <w:r w:rsidRPr="00B3573D">
        <w:rPr>
          <w:sz w:val="24"/>
          <w:szCs w:val="24"/>
        </w:rPr>
        <w:t>Hurtig fjernelse af det indtagne præparat ved hjælp af maveskylning efterfulgt af indgift af aktivt kul (</w:t>
      </w:r>
      <w:proofErr w:type="spellStart"/>
      <w:r w:rsidRPr="00B3573D">
        <w:rPr>
          <w:sz w:val="24"/>
          <w:szCs w:val="24"/>
        </w:rPr>
        <w:t>adsorbans</w:t>
      </w:r>
      <w:proofErr w:type="spellEnd"/>
      <w:r w:rsidRPr="00B3573D">
        <w:rPr>
          <w:sz w:val="24"/>
          <w:szCs w:val="24"/>
        </w:rPr>
        <w:t>) og natriumsulfat (</w:t>
      </w:r>
      <w:proofErr w:type="spellStart"/>
      <w:r w:rsidRPr="00B3573D">
        <w:rPr>
          <w:sz w:val="24"/>
          <w:szCs w:val="24"/>
        </w:rPr>
        <w:t>laksantia</w:t>
      </w:r>
      <w:proofErr w:type="spellEnd"/>
      <w:r w:rsidRPr="00B3573D">
        <w:rPr>
          <w:sz w:val="24"/>
          <w:szCs w:val="24"/>
        </w:rPr>
        <w:t>).</w:t>
      </w:r>
    </w:p>
    <w:p w:rsidR="00B3573D" w:rsidRPr="00B3573D" w:rsidRDefault="00B3573D" w:rsidP="00B20B16">
      <w:pPr>
        <w:numPr>
          <w:ilvl w:val="0"/>
          <w:numId w:val="6"/>
        </w:numPr>
        <w:tabs>
          <w:tab w:val="left" w:pos="851"/>
        </w:tabs>
        <w:ind w:left="1134" w:hanging="283"/>
        <w:rPr>
          <w:sz w:val="24"/>
          <w:szCs w:val="24"/>
        </w:rPr>
      </w:pPr>
      <w:r w:rsidRPr="00B3573D">
        <w:rPr>
          <w:sz w:val="24"/>
          <w:szCs w:val="24"/>
        </w:rPr>
        <w:t xml:space="preserve">Behandlingen omfatter administration af </w:t>
      </w:r>
      <w:proofErr w:type="spellStart"/>
      <w:r w:rsidRPr="00B3573D">
        <w:rPr>
          <w:sz w:val="24"/>
          <w:szCs w:val="24"/>
        </w:rPr>
        <w:t>antidoten</w:t>
      </w:r>
      <w:proofErr w:type="spellEnd"/>
      <w:r w:rsidRPr="00B3573D">
        <w:rPr>
          <w:sz w:val="24"/>
          <w:szCs w:val="24"/>
        </w:rPr>
        <w:t xml:space="preserve"> N-</w:t>
      </w:r>
      <w:proofErr w:type="spellStart"/>
      <w:r w:rsidRPr="00B3573D">
        <w:rPr>
          <w:sz w:val="24"/>
          <w:szCs w:val="24"/>
        </w:rPr>
        <w:t>acetylcystein</w:t>
      </w:r>
      <w:proofErr w:type="spellEnd"/>
      <w:r w:rsidRPr="00B3573D">
        <w:rPr>
          <w:sz w:val="24"/>
          <w:szCs w:val="24"/>
        </w:rPr>
        <w:t xml:space="preserve"> (NAC) enten intravenøst eller oralt, og om muligt før der er gået 10 timer efter indtag. NAC kan også give en vis beskyttende effekt, selv efter 10 timer, men i sådanne tilfælde gives der længevarende behandling.</w:t>
      </w:r>
    </w:p>
    <w:p w:rsidR="00B3573D" w:rsidRPr="00B3573D" w:rsidRDefault="00B3573D" w:rsidP="00B20B16">
      <w:pPr>
        <w:numPr>
          <w:ilvl w:val="0"/>
          <w:numId w:val="6"/>
        </w:numPr>
        <w:tabs>
          <w:tab w:val="left" w:pos="851"/>
        </w:tabs>
        <w:ind w:left="1134" w:hanging="283"/>
        <w:rPr>
          <w:sz w:val="24"/>
          <w:szCs w:val="24"/>
        </w:rPr>
      </w:pPr>
      <w:r w:rsidRPr="00B3573D">
        <w:rPr>
          <w:sz w:val="24"/>
          <w:szCs w:val="24"/>
        </w:rPr>
        <w:t>Symptomatisk behandling.</w:t>
      </w:r>
    </w:p>
    <w:p w:rsidR="00B3573D" w:rsidRPr="00B3573D" w:rsidRDefault="00B3573D" w:rsidP="00B20B16">
      <w:pPr>
        <w:tabs>
          <w:tab w:val="left" w:pos="851"/>
        </w:tabs>
        <w:ind w:left="1134" w:hanging="283"/>
        <w:rPr>
          <w:sz w:val="24"/>
          <w:szCs w:val="24"/>
        </w:rPr>
      </w:pPr>
    </w:p>
    <w:p w:rsidR="00B3573D" w:rsidRPr="00B3573D" w:rsidRDefault="00B3573D" w:rsidP="00B3573D">
      <w:pPr>
        <w:tabs>
          <w:tab w:val="left" w:pos="851"/>
        </w:tabs>
        <w:ind w:left="851"/>
        <w:rPr>
          <w:sz w:val="24"/>
          <w:szCs w:val="24"/>
        </w:rPr>
      </w:pPr>
      <w:r w:rsidRPr="00B3573D">
        <w:rPr>
          <w:sz w:val="24"/>
          <w:szCs w:val="24"/>
        </w:rPr>
        <w:t xml:space="preserve">Vejrtrækning og cirkulation skal overvåges ved sværere forgiftninger. I tilfælde af kramper kan </w:t>
      </w:r>
      <w:proofErr w:type="spellStart"/>
      <w:r w:rsidRPr="00B3573D">
        <w:rPr>
          <w:sz w:val="24"/>
          <w:szCs w:val="24"/>
        </w:rPr>
        <w:t>diazepam</w:t>
      </w:r>
      <w:proofErr w:type="spellEnd"/>
      <w:r w:rsidRPr="00B3573D">
        <w:rPr>
          <w:sz w:val="24"/>
          <w:szCs w:val="24"/>
        </w:rPr>
        <w:t xml:space="preserve"> administreres.</w:t>
      </w:r>
    </w:p>
    <w:p w:rsidR="00B3573D" w:rsidRPr="00B3573D" w:rsidRDefault="00B3573D" w:rsidP="00B3573D">
      <w:pPr>
        <w:tabs>
          <w:tab w:val="left" w:pos="851"/>
        </w:tabs>
        <w:ind w:left="851"/>
        <w:rPr>
          <w:sz w:val="24"/>
          <w:szCs w:val="24"/>
        </w:rPr>
      </w:pPr>
    </w:p>
    <w:p w:rsidR="00B3573D" w:rsidRPr="00B3573D" w:rsidRDefault="00B3573D" w:rsidP="00B3573D">
      <w:pPr>
        <w:tabs>
          <w:tab w:val="left" w:pos="851"/>
        </w:tabs>
        <w:ind w:left="851"/>
        <w:rPr>
          <w:sz w:val="24"/>
          <w:szCs w:val="24"/>
        </w:rPr>
      </w:pPr>
      <w:r w:rsidRPr="00B3573D">
        <w:rPr>
          <w:sz w:val="24"/>
          <w:szCs w:val="24"/>
        </w:rPr>
        <w:t xml:space="preserve">I alle tilfælde af formodet eller erkendt overdosering med paracetamol er det vigtigt at overvåge leverparametre, koagulationsparametre, nyreparametre, elektrolytter, hæmatologi, syre-base-status og hjertekardiogram (EKG). Gentagelse af disse undersøgelser bør følge gældende retningslinjer og i øvrigt i henhold til patientens </w:t>
      </w:r>
      <w:proofErr w:type="spellStart"/>
      <w:r w:rsidRPr="00B3573D">
        <w:rPr>
          <w:sz w:val="24"/>
          <w:szCs w:val="24"/>
        </w:rPr>
        <w:t>anamnestiske</w:t>
      </w:r>
      <w:proofErr w:type="spellEnd"/>
      <w:r w:rsidRPr="00B3573D">
        <w:rPr>
          <w:sz w:val="24"/>
          <w:szCs w:val="24"/>
        </w:rPr>
        <w:t xml:space="preserve"> oplysninger og kliniske status.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527724" w:rsidRPr="00527724" w:rsidRDefault="00527724" w:rsidP="00527724">
      <w:pPr>
        <w:tabs>
          <w:tab w:val="left" w:pos="851"/>
        </w:tabs>
        <w:ind w:left="851"/>
        <w:rPr>
          <w:sz w:val="24"/>
          <w:szCs w:val="24"/>
          <w:u w:val="single"/>
        </w:rPr>
      </w:pPr>
      <w:r w:rsidRPr="00527724">
        <w:rPr>
          <w:sz w:val="24"/>
          <w:szCs w:val="24"/>
          <w:u w:val="single"/>
        </w:rPr>
        <w:t>500 mg</w:t>
      </w:r>
    </w:p>
    <w:p w:rsidR="00527724" w:rsidRPr="00527724" w:rsidRDefault="00527724" w:rsidP="00731F7B">
      <w:pPr>
        <w:tabs>
          <w:tab w:val="left" w:pos="1560"/>
        </w:tabs>
        <w:ind w:left="851"/>
        <w:rPr>
          <w:sz w:val="24"/>
          <w:szCs w:val="24"/>
        </w:rPr>
      </w:pPr>
      <w:r w:rsidRPr="00527724">
        <w:rPr>
          <w:sz w:val="24"/>
          <w:szCs w:val="24"/>
        </w:rPr>
        <w:t>HX18:</w:t>
      </w:r>
      <w:r w:rsidR="00731F7B">
        <w:rPr>
          <w:sz w:val="24"/>
          <w:szCs w:val="24"/>
        </w:rPr>
        <w:tab/>
      </w:r>
      <w:r w:rsidRPr="00527724">
        <w:rPr>
          <w:sz w:val="24"/>
          <w:szCs w:val="24"/>
        </w:rPr>
        <w:t>Pakninger indeholdende højst 10 stk.</w:t>
      </w:r>
    </w:p>
    <w:p w:rsidR="00527724" w:rsidRPr="00527724" w:rsidRDefault="00527724" w:rsidP="00731F7B">
      <w:pPr>
        <w:tabs>
          <w:tab w:val="left" w:pos="1560"/>
        </w:tabs>
        <w:ind w:left="851"/>
        <w:rPr>
          <w:sz w:val="24"/>
          <w:szCs w:val="24"/>
        </w:rPr>
      </w:pPr>
      <w:r w:rsidRPr="00527724">
        <w:rPr>
          <w:sz w:val="24"/>
          <w:szCs w:val="24"/>
        </w:rPr>
        <w:t>HA18:</w:t>
      </w:r>
      <w:r w:rsidR="00731F7B">
        <w:rPr>
          <w:sz w:val="24"/>
          <w:szCs w:val="24"/>
        </w:rPr>
        <w:tab/>
      </w:r>
      <w:r w:rsidRPr="00527724">
        <w:rPr>
          <w:sz w:val="24"/>
          <w:szCs w:val="24"/>
        </w:rPr>
        <w:t>Pakninger indeholdende højst 20 stk.</w:t>
      </w:r>
    </w:p>
    <w:p w:rsidR="00527724" w:rsidRPr="00527724" w:rsidRDefault="00527724" w:rsidP="00731F7B">
      <w:pPr>
        <w:tabs>
          <w:tab w:val="left" w:pos="1560"/>
        </w:tabs>
        <w:ind w:left="851"/>
        <w:rPr>
          <w:sz w:val="24"/>
          <w:szCs w:val="24"/>
        </w:rPr>
      </w:pPr>
      <w:r w:rsidRPr="00527724">
        <w:rPr>
          <w:sz w:val="24"/>
          <w:szCs w:val="24"/>
        </w:rPr>
        <w:t>B:</w:t>
      </w:r>
      <w:r w:rsidR="00731F7B">
        <w:rPr>
          <w:sz w:val="24"/>
          <w:szCs w:val="24"/>
        </w:rPr>
        <w:tab/>
      </w:r>
      <w:r w:rsidRPr="00527724">
        <w:rPr>
          <w:sz w:val="24"/>
          <w:szCs w:val="24"/>
        </w:rPr>
        <w:t>Ingen øvre grænse.</w:t>
      </w:r>
    </w:p>
    <w:p w:rsidR="00527724" w:rsidRPr="00527724" w:rsidRDefault="00527724" w:rsidP="00527724">
      <w:pPr>
        <w:tabs>
          <w:tab w:val="left" w:pos="851"/>
        </w:tabs>
        <w:ind w:left="851"/>
        <w:rPr>
          <w:sz w:val="24"/>
          <w:szCs w:val="24"/>
        </w:rPr>
      </w:pPr>
    </w:p>
    <w:p w:rsidR="00527724" w:rsidRPr="00527724" w:rsidRDefault="00527724" w:rsidP="00527724">
      <w:pPr>
        <w:tabs>
          <w:tab w:val="left" w:pos="851"/>
        </w:tabs>
        <w:ind w:left="851"/>
        <w:rPr>
          <w:sz w:val="24"/>
          <w:szCs w:val="24"/>
          <w:u w:val="single"/>
        </w:rPr>
      </w:pPr>
      <w:r w:rsidRPr="00527724">
        <w:rPr>
          <w:sz w:val="24"/>
          <w:szCs w:val="24"/>
          <w:u w:val="single"/>
        </w:rPr>
        <w:t>1000 mg</w:t>
      </w:r>
    </w:p>
    <w:p w:rsidR="00527724" w:rsidRPr="00527724" w:rsidRDefault="00527724" w:rsidP="00527724">
      <w:pPr>
        <w:tabs>
          <w:tab w:val="left" w:pos="851"/>
        </w:tabs>
        <w:ind w:left="851"/>
        <w:rPr>
          <w:sz w:val="24"/>
          <w:szCs w:val="24"/>
        </w:rPr>
      </w:pPr>
      <w:r w:rsidRPr="00527724">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B20B16" w:rsidRPr="00B20B16" w:rsidRDefault="00B20B16" w:rsidP="00B20B16">
      <w:pPr>
        <w:tabs>
          <w:tab w:val="left" w:pos="851"/>
        </w:tabs>
        <w:ind w:left="851"/>
        <w:rPr>
          <w:sz w:val="24"/>
          <w:szCs w:val="24"/>
        </w:rPr>
      </w:pPr>
      <w:r w:rsidRPr="00B20B16">
        <w:rPr>
          <w:sz w:val="24"/>
          <w:szCs w:val="24"/>
        </w:rPr>
        <w:t>ATC-kode: N</w:t>
      </w:r>
      <w:r>
        <w:rPr>
          <w:sz w:val="24"/>
          <w:szCs w:val="24"/>
        </w:rPr>
        <w:t xml:space="preserve"> </w:t>
      </w:r>
      <w:r w:rsidRPr="00B20B16">
        <w:rPr>
          <w:sz w:val="24"/>
          <w:szCs w:val="24"/>
        </w:rPr>
        <w:t>02</w:t>
      </w:r>
      <w:r>
        <w:rPr>
          <w:sz w:val="24"/>
          <w:szCs w:val="24"/>
        </w:rPr>
        <w:t xml:space="preserve"> </w:t>
      </w:r>
      <w:r w:rsidRPr="00B20B16">
        <w:rPr>
          <w:sz w:val="24"/>
          <w:szCs w:val="24"/>
        </w:rPr>
        <w:t>BE</w:t>
      </w:r>
      <w:r>
        <w:rPr>
          <w:sz w:val="24"/>
          <w:szCs w:val="24"/>
        </w:rPr>
        <w:t xml:space="preserve"> </w:t>
      </w:r>
      <w:r w:rsidRPr="00B20B16">
        <w:rPr>
          <w:sz w:val="24"/>
          <w:szCs w:val="24"/>
        </w:rPr>
        <w:t xml:space="preserve">01. </w:t>
      </w:r>
      <w:proofErr w:type="spellStart"/>
      <w:r w:rsidRPr="00B20B16">
        <w:rPr>
          <w:sz w:val="24"/>
          <w:szCs w:val="24"/>
        </w:rPr>
        <w:t>Analgetika</w:t>
      </w:r>
      <w:proofErr w:type="spellEnd"/>
      <w:r w:rsidRPr="00B20B16">
        <w:rPr>
          <w:sz w:val="24"/>
          <w:szCs w:val="24"/>
        </w:rPr>
        <w:t xml:space="preserve"> og </w:t>
      </w:r>
      <w:proofErr w:type="spellStart"/>
      <w:r w:rsidRPr="00B20B16">
        <w:rPr>
          <w:sz w:val="24"/>
          <w:szCs w:val="24"/>
        </w:rPr>
        <w:t>antipyretika</w:t>
      </w:r>
      <w:proofErr w:type="spellEnd"/>
      <w:r w:rsidRPr="00B20B16">
        <w:rPr>
          <w:sz w:val="24"/>
          <w:szCs w:val="24"/>
        </w:rPr>
        <w:t>, anilider.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552973" w:rsidRPr="00552973" w:rsidRDefault="00552973" w:rsidP="00552973">
      <w:pPr>
        <w:tabs>
          <w:tab w:val="left" w:pos="851"/>
        </w:tabs>
        <w:ind w:left="851"/>
        <w:rPr>
          <w:sz w:val="24"/>
          <w:szCs w:val="24"/>
        </w:rPr>
      </w:pPr>
      <w:r w:rsidRPr="00552973">
        <w:rPr>
          <w:sz w:val="24"/>
          <w:szCs w:val="24"/>
        </w:rPr>
        <w:t xml:space="preserve">Paracetamol er et </w:t>
      </w:r>
      <w:proofErr w:type="spellStart"/>
      <w:r w:rsidRPr="00552973">
        <w:rPr>
          <w:sz w:val="24"/>
          <w:szCs w:val="24"/>
        </w:rPr>
        <w:t>antipyretika</w:t>
      </w:r>
      <w:proofErr w:type="spellEnd"/>
      <w:r w:rsidRPr="00552973">
        <w:rPr>
          <w:sz w:val="24"/>
          <w:szCs w:val="24"/>
        </w:rPr>
        <w:t xml:space="preserve"> og </w:t>
      </w:r>
      <w:proofErr w:type="spellStart"/>
      <w:r w:rsidRPr="00552973">
        <w:rPr>
          <w:sz w:val="24"/>
          <w:szCs w:val="24"/>
        </w:rPr>
        <w:t>analgetika</w:t>
      </w:r>
      <w:proofErr w:type="spellEnd"/>
      <w:r w:rsidRPr="00552973">
        <w:rPr>
          <w:sz w:val="24"/>
          <w:szCs w:val="24"/>
        </w:rPr>
        <w:t xml:space="preserve">. Paracetamol forårsager </w:t>
      </w:r>
      <w:proofErr w:type="spellStart"/>
      <w:r w:rsidRPr="00552973">
        <w:rPr>
          <w:sz w:val="24"/>
          <w:szCs w:val="24"/>
        </w:rPr>
        <w:t>antipyrese</w:t>
      </w:r>
      <w:proofErr w:type="spellEnd"/>
      <w:r w:rsidRPr="00552973">
        <w:rPr>
          <w:sz w:val="24"/>
          <w:szCs w:val="24"/>
        </w:rPr>
        <w:t xml:space="preserve"> ved at virke på varmereguleringscentret i </w:t>
      </w:r>
      <w:proofErr w:type="spellStart"/>
      <w:r w:rsidRPr="00552973">
        <w:rPr>
          <w:sz w:val="24"/>
          <w:szCs w:val="24"/>
        </w:rPr>
        <w:t>hypothalamus</w:t>
      </w:r>
      <w:proofErr w:type="spellEnd"/>
      <w:r w:rsidRPr="00552973">
        <w:rPr>
          <w:sz w:val="24"/>
          <w:szCs w:val="24"/>
        </w:rPr>
        <w:t xml:space="preserve"> og analgesi ved at hæve smertetærsklen. </w:t>
      </w:r>
      <w:r w:rsidRPr="00552973">
        <w:rPr>
          <w:sz w:val="24"/>
          <w:szCs w:val="24"/>
        </w:rPr>
        <w:lastRenderedPageBreak/>
        <w:t xml:space="preserve">Paracetamol har analgetisk og </w:t>
      </w:r>
      <w:proofErr w:type="spellStart"/>
      <w:r w:rsidRPr="00552973">
        <w:rPr>
          <w:sz w:val="24"/>
          <w:szCs w:val="24"/>
        </w:rPr>
        <w:t>antipyretisk</w:t>
      </w:r>
      <w:proofErr w:type="spellEnd"/>
      <w:r w:rsidRPr="00552973">
        <w:rPr>
          <w:sz w:val="24"/>
          <w:szCs w:val="24"/>
        </w:rPr>
        <w:t xml:space="preserve"> virkning, der ligner aspirins, men det har ingen brugbare antiinflammatoriske egenskaber.</w:t>
      </w:r>
    </w:p>
    <w:p w:rsidR="00552973" w:rsidRPr="00552973" w:rsidRDefault="00552973" w:rsidP="00552973">
      <w:pPr>
        <w:tabs>
          <w:tab w:val="left" w:pos="851"/>
        </w:tabs>
        <w:ind w:left="851"/>
        <w:rPr>
          <w:sz w:val="24"/>
          <w:szCs w:val="24"/>
        </w:rPr>
      </w:pPr>
    </w:p>
    <w:p w:rsidR="00552973" w:rsidRPr="00552973" w:rsidRDefault="00552973" w:rsidP="00552973">
      <w:pPr>
        <w:tabs>
          <w:tab w:val="left" w:pos="851"/>
        </w:tabs>
        <w:ind w:left="851"/>
        <w:rPr>
          <w:sz w:val="24"/>
          <w:szCs w:val="24"/>
        </w:rPr>
      </w:pPr>
      <w:r w:rsidRPr="00552973">
        <w:rPr>
          <w:sz w:val="24"/>
          <w:szCs w:val="24"/>
        </w:rPr>
        <w:t xml:space="preserve">Paracetamol producerer dets analgetiske virkning fra hæmning af </w:t>
      </w:r>
      <w:proofErr w:type="spellStart"/>
      <w:r w:rsidRPr="00552973">
        <w:rPr>
          <w:sz w:val="24"/>
          <w:szCs w:val="24"/>
        </w:rPr>
        <w:t>prostaglandinsyntese</w:t>
      </w:r>
      <w:proofErr w:type="spellEnd"/>
      <w:r w:rsidRPr="00552973">
        <w:rPr>
          <w:sz w:val="24"/>
          <w:szCs w:val="24"/>
        </w:rPr>
        <w:t xml:space="preserve">. </w:t>
      </w:r>
      <w:proofErr w:type="spellStart"/>
      <w:r w:rsidRPr="00552973">
        <w:rPr>
          <w:sz w:val="24"/>
          <w:szCs w:val="24"/>
        </w:rPr>
        <w:t>Prostaglandiner</w:t>
      </w:r>
      <w:proofErr w:type="spellEnd"/>
      <w:r w:rsidRPr="00552973">
        <w:rPr>
          <w:sz w:val="24"/>
          <w:szCs w:val="24"/>
        </w:rPr>
        <w:t xml:space="preserve"> synes at sensibilisere smertereceptorerne over for mekanisk stimulation eller over for andre kemiske </w:t>
      </w:r>
      <w:proofErr w:type="spellStart"/>
      <w:r w:rsidRPr="00552973">
        <w:rPr>
          <w:sz w:val="24"/>
          <w:szCs w:val="24"/>
        </w:rPr>
        <w:t>mediatorer</w:t>
      </w:r>
      <w:proofErr w:type="spellEnd"/>
      <w:r w:rsidRPr="00552973">
        <w:rPr>
          <w:sz w:val="24"/>
          <w:szCs w:val="24"/>
        </w:rPr>
        <w:t xml:space="preserve">. Paracetamol sænker kropstemperaturen hos patienter med feber, men sænker sjældent den normale kropstemperatur. Dette skyldes igen hæmningen af syntese og frigivelse af </w:t>
      </w:r>
      <w:proofErr w:type="spellStart"/>
      <w:r w:rsidRPr="00552973">
        <w:rPr>
          <w:sz w:val="24"/>
          <w:szCs w:val="24"/>
        </w:rPr>
        <w:t>prostaglandiner</w:t>
      </w:r>
      <w:proofErr w:type="spellEnd"/>
      <w:r w:rsidRPr="00552973">
        <w:rPr>
          <w:sz w:val="24"/>
          <w:szCs w:val="24"/>
        </w:rPr>
        <w:t xml:space="preserve">. Lægemidlet virker også på </w:t>
      </w:r>
      <w:proofErr w:type="spellStart"/>
      <w:r w:rsidRPr="00552973">
        <w:rPr>
          <w:sz w:val="24"/>
          <w:szCs w:val="24"/>
        </w:rPr>
        <w:t>hypothalamus</w:t>
      </w:r>
      <w:proofErr w:type="spellEnd"/>
      <w:r w:rsidRPr="00552973">
        <w:rPr>
          <w:sz w:val="24"/>
          <w:szCs w:val="24"/>
        </w:rPr>
        <w:t xml:space="preserve"> for at producere </w:t>
      </w:r>
      <w:proofErr w:type="spellStart"/>
      <w:r w:rsidRPr="00552973">
        <w:rPr>
          <w:sz w:val="24"/>
          <w:szCs w:val="24"/>
        </w:rPr>
        <w:t>antipyrese</w:t>
      </w:r>
      <w:proofErr w:type="spellEnd"/>
      <w:r w:rsidRPr="00552973">
        <w:rPr>
          <w:sz w:val="24"/>
          <w:szCs w:val="24"/>
        </w:rPr>
        <w:t xml:space="preserve">: varmeafledningen øges som resultat af </w:t>
      </w:r>
      <w:proofErr w:type="spellStart"/>
      <w:r w:rsidRPr="00552973">
        <w:rPr>
          <w:sz w:val="24"/>
          <w:szCs w:val="24"/>
        </w:rPr>
        <w:t>vasodilation</w:t>
      </w:r>
      <w:proofErr w:type="spellEnd"/>
      <w:r w:rsidRPr="00552973">
        <w:rPr>
          <w:sz w:val="24"/>
          <w:szCs w:val="24"/>
        </w:rPr>
        <w:t xml:space="preserve"> og øget perifer blodgennemstrømning.</w:t>
      </w:r>
    </w:p>
    <w:p w:rsidR="00552973" w:rsidRPr="00552973" w:rsidRDefault="00552973" w:rsidP="00552973">
      <w:pPr>
        <w:tabs>
          <w:tab w:val="left" w:pos="851"/>
        </w:tabs>
        <w:ind w:left="851"/>
        <w:rPr>
          <w:sz w:val="24"/>
          <w:szCs w:val="24"/>
        </w:rPr>
      </w:pPr>
    </w:p>
    <w:p w:rsidR="00552973" w:rsidRPr="00552973" w:rsidRDefault="00552973" w:rsidP="00552973">
      <w:pPr>
        <w:tabs>
          <w:tab w:val="left" w:pos="851"/>
        </w:tabs>
        <w:ind w:left="851"/>
        <w:rPr>
          <w:sz w:val="24"/>
          <w:szCs w:val="24"/>
        </w:rPr>
      </w:pPr>
      <w:r w:rsidRPr="00552973">
        <w:rPr>
          <w:sz w:val="24"/>
          <w:szCs w:val="24"/>
        </w:rPr>
        <w:t>Paracetamol tolereres generelt godt af patienter, der er overfølsomme over for acetylsalicylsyre.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E4E3A" w:rsidRPr="009E4E3A" w:rsidRDefault="009E4E3A" w:rsidP="009E4E3A">
      <w:pPr>
        <w:tabs>
          <w:tab w:val="left" w:pos="851"/>
        </w:tabs>
        <w:ind w:left="851"/>
        <w:rPr>
          <w:sz w:val="24"/>
          <w:szCs w:val="24"/>
          <w:u w:val="single"/>
        </w:rPr>
      </w:pPr>
      <w:r w:rsidRPr="009E4E3A">
        <w:rPr>
          <w:sz w:val="24"/>
          <w:szCs w:val="24"/>
          <w:u w:val="single"/>
        </w:rPr>
        <w:t>Absorption</w:t>
      </w:r>
    </w:p>
    <w:p w:rsidR="009E4E3A" w:rsidRPr="009E4E3A" w:rsidRDefault="009E4E3A" w:rsidP="009E4E3A">
      <w:pPr>
        <w:tabs>
          <w:tab w:val="left" w:pos="851"/>
        </w:tabs>
        <w:ind w:left="851"/>
        <w:rPr>
          <w:i/>
          <w:sz w:val="24"/>
          <w:szCs w:val="24"/>
        </w:rPr>
      </w:pPr>
      <w:r w:rsidRPr="009E4E3A">
        <w:rPr>
          <w:sz w:val="24"/>
          <w:szCs w:val="24"/>
        </w:rPr>
        <w:t>Efter oral administration absorberes paracetamol hurtigt og næsten fuldstændigt. Maksimal plasmakoncentration nås inden for 30 minutter til 2 timer.</w:t>
      </w:r>
    </w:p>
    <w:p w:rsidR="009E4E3A" w:rsidRPr="009E4E3A" w:rsidRDefault="009E4E3A" w:rsidP="009E4E3A">
      <w:pPr>
        <w:tabs>
          <w:tab w:val="left" w:pos="851"/>
        </w:tabs>
        <w:ind w:left="851"/>
        <w:rPr>
          <w:sz w:val="24"/>
          <w:szCs w:val="24"/>
        </w:rPr>
      </w:pPr>
    </w:p>
    <w:p w:rsidR="009E4E3A" w:rsidRPr="009E4E3A" w:rsidRDefault="009E4E3A" w:rsidP="009E4E3A">
      <w:pPr>
        <w:tabs>
          <w:tab w:val="left" w:pos="851"/>
        </w:tabs>
        <w:ind w:left="851"/>
        <w:rPr>
          <w:sz w:val="24"/>
          <w:szCs w:val="24"/>
          <w:u w:val="single"/>
        </w:rPr>
      </w:pPr>
      <w:r w:rsidRPr="009E4E3A">
        <w:rPr>
          <w:sz w:val="24"/>
          <w:szCs w:val="24"/>
          <w:u w:val="single"/>
        </w:rPr>
        <w:t>Fordeling</w:t>
      </w:r>
    </w:p>
    <w:p w:rsidR="009E4E3A" w:rsidRPr="009E4E3A" w:rsidRDefault="009E4E3A" w:rsidP="009E4E3A">
      <w:pPr>
        <w:tabs>
          <w:tab w:val="left" w:pos="851"/>
        </w:tabs>
        <w:ind w:left="851"/>
        <w:rPr>
          <w:i/>
          <w:sz w:val="24"/>
          <w:szCs w:val="24"/>
        </w:rPr>
      </w:pPr>
      <w:r w:rsidRPr="009E4E3A">
        <w:rPr>
          <w:sz w:val="24"/>
          <w:szCs w:val="24"/>
        </w:rPr>
        <w:t>Paracetamols fordelingsvolumen er ca. 1 l/kg kropsvægt. Ved terapeutiske doser er plasmaproteinbindingen ubetydelig.</w:t>
      </w:r>
    </w:p>
    <w:p w:rsidR="009E4E3A" w:rsidRPr="009E4E3A" w:rsidRDefault="009E4E3A" w:rsidP="009E4E3A">
      <w:pPr>
        <w:tabs>
          <w:tab w:val="left" w:pos="851"/>
        </w:tabs>
        <w:ind w:left="851"/>
        <w:rPr>
          <w:sz w:val="24"/>
          <w:szCs w:val="24"/>
        </w:rPr>
      </w:pPr>
    </w:p>
    <w:p w:rsidR="009E4E3A" w:rsidRPr="009E4E3A" w:rsidRDefault="009E4E3A" w:rsidP="009E4E3A">
      <w:pPr>
        <w:tabs>
          <w:tab w:val="left" w:pos="851"/>
        </w:tabs>
        <w:ind w:left="851"/>
        <w:rPr>
          <w:sz w:val="24"/>
          <w:szCs w:val="24"/>
          <w:u w:val="single"/>
        </w:rPr>
      </w:pPr>
      <w:r w:rsidRPr="009E4E3A">
        <w:rPr>
          <w:sz w:val="24"/>
          <w:szCs w:val="24"/>
          <w:u w:val="single"/>
        </w:rPr>
        <w:t>Biotransformation</w:t>
      </w:r>
    </w:p>
    <w:p w:rsidR="009E4E3A" w:rsidRPr="009E4E3A" w:rsidRDefault="009E4E3A" w:rsidP="009E4E3A">
      <w:pPr>
        <w:tabs>
          <w:tab w:val="left" w:pos="851"/>
        </w:tabs>
        <w:ind w:left="851"/>
        <w:rPr>
          <w:sz w:val="24"/>
          <w:szCs w:val="24"/>
        </w:rPr>
      </w:pPr>
      <w:r w:rsidRPr="009E4E3A">
        <w:rPr>
          <w:sz w:val="24"/>
          <w:szCs w:val="24"/>
        </w:rPr>
        <w:t xml:space="preserve">Hos voksne konjugeres paracetamol i leveren med </w:t>
      </w:r>
      <w:proofErr w:type="spellStart"/>
      <w:r w:rsidRPr="009E4E3A">
        <w:rPr>
          <w:sz w:val="24"/>
          <w:szCs w:val="24"/>
        </w:rPr>
        <w:t>glucuronsyre</w:t>
      </w:r>
      <w:proofErr w:type="spellEnd"/>
      <w:r w:rsidRPr="009E4E3A">
        <w:rPr>
          <w:sz w:val="24"/>
          <w:szCs w:val="24"/>
        </w:rPr>
        <w:t xml:space="preserve"> (ca. 60 %), sulfat (ca. 35 %) og </w:t>
      </w:r>
      <w:proofErr w:type="spellStart"/>
      <w:r w:rsidRPr="009E4E3A">
        <w:rPr>
          <w:sz w:val="24"/>
          <w:szCs w:val="24"/>
        </w:rPr>
        <w:t>cystein</w:t>
      </w:r>
      <w:proofErr w:type="spellEnd"/>
      <w:r w:rsidRPr="009E4E3A">
        <w:rPr>
          <w:sz w:val="24"/>
          <w:szCs w:val="24"/>
        </w:rPr>
        <w:t xml:space="preserve"> (ca. 3 %). Hos nyfødte og børn &lt; 12 år er </w:t>
      </w:r>
      <w:proofErr w:type="spellStart"/>
      <w:r w:rsidRPr="009E4E3A">
        <w:rPr>
          <w:sz w:val="24"/>
          <w:szCs w:val="24"/>
        </w:rPr>
        <w:t>sulfatkonjugering</w:t>
      </w:r>
      <w:proofErr w:type="spellEnd"/>
      <w:r w:rsidRPr="009E4E3A">
        <w:rPr>
          <w:sz w:val="24"/>
          <w:szCs w:val="24"/>
        </w:rPr>
        <w:t xml:space="preserve"> den primære elimineringsvej, og </w:t>
      </w:r>
      <w:proofErr w:type="spellStart"/>
      <w:r w:rsidRPr="009E4E3A">
        <w:rPr>
          <w:sz w:val="24"/>
          <w:szCs w:val="24"/>
        </w:rPr>
        <w:t>glucuronidering</w:t>
      </w:r>
      <w:proofErr w:type="spellEnd"/>
      <w:r w:rsidRPr="009E4E3A">
        <w:rPr>
          <w:sz w:val="24"/>
          <w:szCs w:val="24"/>
        </w:rPr>
        <w:t xml:space="preserve"> er mindre end hos voksne. Den totale eliminering hos børn svarer til den set hos voksne, på grund af en øget </w:t>
      </w:r>
      <w:proofErr w:type="spellStart"/>
      <w:r w:rsidRPr="009E4E3A">
        <w:rPr>
          <w:sz w:val="24"/>
          <w:szCs w:val="24"/>
        </w:rPr>
        <w:t>sulfatkonjugeringskapacitet</w:t>
      </w:r>
      <w:proofErr w:type="spellEnd"/>
      <w:r w:rsidRPr="009E4E3A">
        <w:rPr>
          <w:sz w:val="24"/>
          <w:szCs w:val="24"/>
        </w:rPr>
        <w:t>.</w:t>
      </w:r>
    </w:p>
    <w:p w:rsidR="009E4E3A" w:rsidRPr="009E4E3A" w:rsidRDefault="009E4E3A" w:rsidP="009E4E3A">
      <w:pPr>
        <w:tabs>
          <w:tab w:val="left" w:pos="851"/>
        </w:tabs>
        <w:ind w:left="851"/>
        <w:rPr>
          <w:sz w:val="24"/>
          <w:szCs w:val="24"/>
        </w:rPr>
      </w:pPr>
    </w:p>
    <w:p w:rsidR="009E4E3A" w:rsidRPr="009E4E3A" w:rsidRDefault="009E4E3A" w:rsidP="009E4E3A">
      <w:pPr>
        <w:tabs>
          <w:tab w:val="left" w:pos="851"/>
        </w:tabs>
        <w:ind w:left="851"/>
        <w:rPr>
          <w:sz w:val="24"/>
          <w:szCs w:val="24"/>
          <w:u w:val="single"/>
        </w:rPr>
      </w:pPr>
      <w:r w:rsidRPr="009E4E3A">
        <w:rPr>
          <w:sz w:val="24"/>
          <w:szCs w:val="24"/>
          <w:u w:val="single"/>
        </w:rPr>
        <w:t>Elimination</w:t>
      </w:r>
    </w:p>
    <w:p w:rsidR="009E4E3A" w:rsidRPr="009E4E3A" w:rsidRDefault="009E4E3A" w:rsidP="009E4E3A">
      <w:pPr>
        <w:tabs>
          <w:tab w:val="left" w:pos="851"/>
        </w:tabs>
        <w:ind w:left="851"/>
        <w:rPr>
          <w:iCs/>
          <w:sz w:val="24"/>
          <w:szCs w:val="24"/>
        </w:rPr>
      </w:pPr>
      <w:r w:rsidRPr="009E4E3A">
        <w:rPr>
          <w:iCs/>
          <w:sz w:val="24"/>
          <w:szCs w:val="24"/>
        </w:rPr>
        <w:t xml:space="preserve">Paracetamol udskilles i urinen, fortrinsvis som </w:t>
      </w:r>
      <w:proofErr w:type="spellStart"/>
      <w:r w:rsidRPr="009E4E3A">
        <w:rPr>
          <w:iCs/>
          <w:sz w:val="24"/>
          <w:szCs w:val="24"/>
        </w:rPr>
        <w:t>glucoronid</w:t>
      </w:r>
      <w:proofErr w:type="spellEnd"/>
      <w:r w:rsidRPr="009E4E3A">
        <w:rPr>
          <w:iCs/>
          <w:sz w:val="24"/>
          <w:szCs w:val="24"/>
        </w:rPr>
        <w:t xml:space="preserve"> (60</w:t>
      </w:r>
      <w:r w:rsidRPr="009E4E3A">
        <w:rPr>
          <w:iCs/>
          <w:sz w:val="24"/>
          <w:szCs w:val="24"/>
        </w:rPr>
        <w:noBreakHyphen/>
        <w:t xml:space="preserve">80 %) og </w:t>
      </w:r>
      <w:proofErr w:type="spellStart"/>
      <w:r w:rsidRPr="009E4E3A">
        <w:rPr>
          <w:iCs/>
          <w:sz w:val="24"/>
          <w:szCs w:val="24"/>
        </w:rPr>
        <w:t>sulfatkonjugater</w:t>
      </w:r>
      <w:proofErr w:type="spellEnd"/>
      <w:r w:rsidRPr="009E4E3A">
        <w:rPr>
          <w:iCs/>
          <w:sz w:val="24"/>
          <w:szCs w:val="24"/>
        </w:rPr>
        <w:t xml:space="preserve"> (20</w:t>
      </w:r>
      <w:r w:rsidRPr="009E4E3A">
        <w:rPr>
          <w:iCs/>
          <w:sz w:val="24"/>
          <w:szCs w:val="24"/>
        </w:rPr>
        <w:noBreakHyphen/>
        <w:t>30 %). Omkring 5 % elimineres uændret. Eliminationshalveringstiden varierer fra 1 til 4 timer. I tilfælde af svær nyreinsufficiens (</w:t>
      </w:r>
      <w:proofErr w:type="spellStart"/>
      <w:r w:rsidRPr="009E4E3A">
        <w:rPr>
          <w:iCs/>
          <w:sz w:val="24"/>
          <w:szCs w:val="24"/>
        </w:rPr>
        <w:t>kreatininclearance</w:t>
      </w:r>
      <w:proofErr w:type="spellEnd"/>
      <w:r w:rsidRPr="009E4E3A">
        <w:rPr>
          <w:iCs/>
          <w:sz w:val="24"/>
          <w:szCs w:val="24"/>
        </w:rPr>
        <w:t xml:space="preserve"> mindre end 10 ml/min) er eliminationen af paracetamol og dets metabolitter forsinket. </w:t>
      </w:r>
      <w:proofErr w:type="spellStart"/>
      <w:r w:rsidRPr="009E4E3A">
        <w:rPr>
          <w:iCs/>
          <w:sz w:val="24"/>
          <w:szCs w:val="24"/>
        </w:rPr>
        <w:t>Konjugeringskapaciteten</w:t>
      </w:r>
      <w:proofErr w:type="spellEnd"/>
      <w:r w:rsidRPr="009E4E3A">
        <w:rPr>
          <w:iCs/>
          <w:sz w:val="24"/>
          <w:szCs w:val="24"/>
        </w:rPr>
        <w:t xml:space="preserve"> hos ældre patienter er uforandret.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0B5827" w:rsidRPr="000B5827" w:rsidRDefault="000B5827" w:rsidP="000B5827">
      <w:pPr>
        <w:tabs>
          <w:tab w:val="left" w:pos="851"/>
        </w:tabs>
        <w:ind w:left="851"/>
        <w:rPr>
          <w:sz w:val="24"/>
          <w:szCs w:val="24"/>
        </w:rPr>
      </w:pPr>
      <w:r w:rsidRPr="000B5827">
        <w:rPr>
          <w:sz w:val="24"/>
          <w:szCs w:val="24"/>
        </w:rPr>
        <w:t>Konventionelle studier, der anvender de aktuelt accepterede standarder til vurdering af toksicitet ved reproduktion og udvikling, er ikke tilgængelige.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0B5827" w:rsidRPr="000B5827" w:rsidRDefault="000B5827" w:rsidP="000B5827">
      <w:pPr>
        <w:tabs>
          <w:tab w:val="left" w:pos="851"/>
        </w:tabs>
        <w:ind w:left="851"/>
        <w:rPr>
          <w:sz w:val="24"/>
          <w:szCs w:val="24"/>
        </w:rPr>
      </w:pPr>
      <w:bookmarkStart w:id="3" w:name="_Hlk32405959"/>
      <w:proofErr w:type="spellStart"/>
      <w:r w:rsidRPr="000B5827">
        <w:rPr>
          <w:sz w:val="24"/>
          <w:szCs w:val="24"/>
        </w:rPr>
        <w:t>Natriumstivelsesglycolat</w:t>
      </w:r>
      <w:proofErr w:type="spellEnd"/>
      <w:r w:rsidRPr="000B5827">
        <w:rPr>
          <w:sz w:val="24"/>
          <w:szCs w:val="24"/>
        </w:rPr>
        <w:t xml:space="preserve"> (type A)</w:t>
      </w:r>
    </w:p>
    <w:p w:rsidR="000B5827" w:rsidRPr="000B5827" w:rsidRDefault="000B5827" w:rsidP="000B5827">
      <w:pPr>
        <w:tabs>
          <w:tab w:val="left" w:pos="851"/>
        </w:tabs>
        <w:ind w:left="851"/>
        <w:rPr>
          <w:sz w:val="24"/>
          <w:szCs w:val="24"/>
        </w:rPr>
      </w:pPr>
      <w:proofErr w:type="spellStart"/>
      <w:r w:rsidRPr="000B5827">
        <w:rPr>
          <w:sz w:val="24"/>
          <w:szCs w:val="24"/>
        </w:rPr>
        <w:t>Povidon</w:t>
      </w:r>
      <w:proofErr w:type="spellEnd"/>
    </w:p>
    <w:p w:rsidR="000B5827" w:rsidRPr="000B5827" w:rsidRDefault="000B5827" w:rsidP="000B5827">
      <w:pPr>
        <w:tabs>
          <w:tab w:val="left" w:pos="851"/>
        </w:tabs>
        <w:ind w:left="851"/>
        <w:rPr>
          <w:sz w:val="24"/>
          <w:szCs w:val="24"/>
        </w:rPr>
      </w:pPr>
      <w:r w:rsidRPr="000B5827">
        <w:rPr>
          <w:sz w:val="24"/>
          <w:szCs w:val="24"/>
        </w:rPr>
        <w:t xml:space="preserve">Delvist </w:t>
      </w:r>
      <w:proofErr w:type="spellStart"/>
      <w:r w:rsidRPr="000B5827">
        <w:rPr>
          <w:sz w:val="24"/>
          <w:szCs w:val="24"/>
        </w:rPr>
        <w:t>pregelatineret</w:t>
      </w:r>
      <w:proofErr w:type="spellEnd"/>
      <w:r w:rsidRPr="000B5827">
        <w:rPr>
          <w:sz w:val="24"/>
          <w:szCs w:val="24"/>
        </w:rPr>
        <w:t xml:space="preserve"> majsstivelse</w:t>
      </w:r>
    </w:p>
    <w:p w:rsidR="000B5827" w:rsidRPr="000B5827" w:rsidRDefault="000B5827" w:rsidP="000B5827">
      <w:pPr>
        <w:tabs>
          <w:tab w:val="left" w:pos="851"/>
        </w:tabs>
        <w:ind w:left="851"/>
        <w:rPr>
          <w:sz w:val="24"/>
          <w:szCs w:val="24"/>
        </w:rPr>
      </w:pPr>
      <w:r w:rsidRPr="000B5827">
        <w:rPr>
          <w:sz w:val="24"/>
          <w:szCs w:val="24"/>
        </w:rPr>
        <w:t>Stearinsyre</w:t>
      </w:r>
      <w:bookmarkEnd w:id="3"/>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0B5827"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0B5827">
        <w:rPr>
          <w:sz w:val="24"/>
          <w:szCs w:val="24"/>
        </w:rPr>
        <w:t>5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5F09AB" w:rsidRDefault="000B5827" w:rsidP="00086514">
      <w:pPr>
        <w:tabs>
          <w:tab w:val="left" w:pos="851"/>
        </w:tabs>
        <w:ind w:left="851"/>
        <w:rPr>
          <w:sz w:val="24"/>
          <w:szCs w:val="24"/>
        </w:rPr>
      </w:pPr>
      <w:r w:rsidRPr="000B5827">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0B5827" w:rsidRPr="000B5827" w:rsidRDefault="000B5827" w:rsidP="000B5827">
      <w:pPr>
        <w:tabs>
          <w:tab w:val="left" w:pos="851"/>
        </w:tabs>
        <w:ind w:left="851"/>
        <w:rPr>
          <w:sz w:val="24"/>
          <w:szCs w:val="24"/>
          <w:u w:val="single"/>
        </w:rPr>
      </w:pPr>
      <w:r>
        <w:rPr>
          <w:sz w:val="24"/>
          <w:szCs w:val="24"/>
          <w:u w:val="single"/>
        </w:rPr>
        <w:t>500 mg</w:t>
      </w:r>
    </w:p>
    <w:p w:rsidR="007F4793" w:rsidRDefault="007F4793" w:rsidP="000B5827">
      <w:pPr>
        <w:tabs>
          <w:tab w:val="left" w:pos="851"/>
        </w:tabs>
        <w:ind w:left="851"/>
        <w:rPr>
          <w:sz w:val="24"/>
          <w:szCs w:val="24"/>
        </w:rPr>
      </w:pPr>
    </w:p>
    <w:p w:rsidR="00FA4255" w:rsidRPr="00FA4255" w:rsidRDefault="000B5827" w:rsidP="000B5827">
      <w:pPr>
        <w:tabs>
          <w:tab w:val="left" w:pos="851"/>
        </w:tabs>
        <w:ind w:left="851"/>
        <w:rPr>
          <w:i/>
          <w:sz w:val="24"/>
          <w:szCs w:val="24"/>
        </w:rPr>
      </w:pPr>
      <w:r w:rsidRPr="00FA4255">
        <w:rPr>
          <w:i/>
          <w:sz w:val="24"/>
          <w:szCs w:val="24"/>
        </w:rPr>
        <w:t>Blister (klar, gennemsigtig PVC/</w:t>
      </w:r>
      <w:proofErr w:type="spellStart"/>
      <w:r w:rsidRPr="00FA4255">
        <w:rPr>
          <w:i/>
          <w:sz w:val="24"/>
          <w:szCs w:val="24"/>
        </w:rPr>
        <w:t>Alu-folie</w:t>
      </w:r>
      <w:proofErr w:type="spellEnd"/>
      <w:r w:rsidR="00FA4255" w:rsidRPr="00FA4255">
        <w:rPr>
          <w:i/>
          <w:sz w:val="24"/>
          <w:szCs w:val="24"/>
        </w:rPr>
        <w:t>)</w:t>
      </w:r>
      <w:r w:rsidR="00FA4255">
        <w:rPr>
          <w:i/>
          <w:sz w:val="24"/>
          <w:szCs w:val="24"/>
        </w:rPr>
        <w:t>, i en æske</w:t>
      </w:r>
    </w:p>
    <w:p w:rsidR="000B5827" w:rsidRPr="000B5827" w:rsidRDefault="00FA4255" w:rsidP="000B5827">
      <w:pPr>
        <w:tabs>
          <w:tab w:val="left" w:pos="851"/>
        </w:tabs>
        <w:ind w:left="851"/>
        <w:rPr>
          <w:sz w:val="24"/>
          <w:szCs w:val="24"/>
        </w:rPr>
      </w:pPr>
      <w:r>
        <w:rPr>
          <w:sz w:val="24"/>
          <w:szCs w:val="24"/>
        </w:rPr>
        <w:t>Pakningsstørrelser</w:t>
      </w:r>
      <w:r w:rsidR="000B5827" w:rsidRPr="000B5827">
        <w:rPr>
          <w:sz w:val="24"/>
          <w:szCs w:val="24"/>
        </w:rPr>
        <w:t>: 10, 12, 20, 30, 50, 60, 100, 105 og 120 </w:t>
      </w:r>
      <w:r>
        <w:rPr>
          <w:sz w:val="24"/>
          <w:szCs w:val="24"/>
        </w:rPr>
        <w:t>stk.</w:t>
      </w:r>
    </w:p>
    <w:p w:rsidR="007F4793" w:rsidRDefault="007F4793" w:rsidP="000B5827">
      <w:pPr>
        <w:tabs>
          <w:tab w:val="left" w:pos="851"/>
        </w:tabs>
        <w:ind w:left="851"/>
        <w:rPr>
          <w:sz w:val="24"/>
          <w:szCs w:val="24"/>
        </w:rPr>
      </w:pPr>
    </w:p>
    <w:p w:rsidR="00FA4255" w:rsidRPr="00FA4255" w:rsidRDefault="000B5827" w:rsidP="000B5827">
      <w:pPr>
        <w:tabs>
          <w:tab w:val="left" w:pos="851"/>
        </w:tabs>
        <w:ind w:left="851"/>
        <w:rPr>
          <w:i/>
          <w:sz w:val="24"/>
          <w:szCs w:val="24"/>
        </w:rPr>
      </w:pPr>
      <w:r w:rsidRPr="00FA4255">
        <w:rPr>
          <w:i/>
          <w:sz w:val="24"/>
          <w:szCs w:val="24"/>
        </w:rPr>
        <w:t>Blister (hvid, uigennemsigtig PVC/</w:t>
      </w:r>
      <w:proofErr w:type="spellStart"/>
      <w:r w:rsidRPr="00FA4255">
        <w:rPr>
          <w:i/>
          <w:sz w:val="24"/>
          <w:szCs w:val="24"/>
        </w:rPr>
        <w:t>Alu-folie</w:t>
      </w:r>
      <w:proofErr w:type="spellEnd"/>
      <w:r w:rsidRPr="00FA4255">
        <w:rPr>
          <w:i/>
          <w:sz w:val="24"/>
          <w:szCs w:val="24"/>
        </w:rPr>
        <w:t>)</w:t>
      </w:r>
      <w:r w:rsidR="00FA4255" w:rsidRPr="00FA4255">
        <w:rPr>
          <w:i/>
          <w:sz w:val="24"/>
          <w:szCs w:val="24"/>
        </w:rPr>
        <w:t>, i en æske</w:t>
      </w:r>
    </w:p>
    <w:p w:rsidR="000B5827" w:rsidRPr="000B5827" w:rsidRDefault="00FA4255" w:rsidP="000B5827">
      <w:pPr>
        <w:tabs>
          <w:tab w:val="left" w:pos="851"/>
        </w:tabs>
        <w:ind w:left="851"/>
        <w:rPr>
          <w:sz w:val="24"/>
          <w:szCs w:val="24"/>
        </w:rPr>
      </w:pPr>
      <w:r>
        <w:rPr>
          <w:sz w:val="24"/>
          <w:szCs w:val="24"/>
        </w:rPr>
        <w:t xml:space="preserve">Pakningsstørrelser: </w:t>
      </w:r>
      <w:r w:rsidR="000B5827" w:rsidRPr="000B5827">
        <w:rPr>
          <w:sz w:val="24"/>
          <w:szCs w:val="24"/>
        </w:rPr>
        <w:t>10, 12, 20, 30, 50, 60, 100, 105 og 120 </w:t>
      </w:r>
      <w:r>
        <w:rPr>
          <w:sz w:val="24"/>
          <w:szCs w:val="24"/>
        </w:rPr>
        <w:t>stk.</w:t>
      </w:r>
    </w:p>
    <w:p w:rsidR="007F4793" w:rsidRDefault="007F4793" w:rsidP="000B5827">
      <w:pPr>
        <w:tabs>
          <w:tab w:val="left" w:pos="851"/>
        </w:tabs>
        <w:ind w:left="851"/>
        <w:rPr>
          <w:sz w:val="24"/>
          <w:szCs w:val="24"/>
        </w:rPr>
      </w:pPr>
    </w:p>
    <w:p w:rsidR="008B49A3" w:rsidRPr="008B49A3" w:rsidRDefault="000B5827" w:rsidP="000B5827">
      <w:pPr>
        <w:tabs>
          <w:tab w:val="left" w:pos="851"/>
        </w:tabs>
        <w:ind w:left="851"/>
        <w:rPr>
          <w:i/>
          <w:sz w:val="24"/>
          <w:szCs w:val="24"/>
        </w:rPr>
      </w:pPr>
      <w:r w:rsidRPr="008B49A3">
        <w:rPr>
          <w:i/>
          <w:sz w:val="24"/>
          <w:szCs w:val="24"/>
        </w:rPr>
        <w:t>Hvid, uigennemsigtig HDPE-beholder med et børnesikret, hvidt PP-låg</w:t>
      </w:r>
      <w:r w:rsidR="008B49A3" w:rsidRPr="008B49A3">
        <w:rPr>
          <w:i/>
          <w:sz w:val="24"/>
          <w:szCs w:val="24"/>
        </w:rPr>
        <w:t>, i en æske</w:t>
      </w:r>
    </w:p>
    <w:p w:rsidR="000B5827" w:rsidRPr="000B5827" w:rsidRDefault="008B49A3" w:rsidP="000B5827">
      <w:pPr>
        <w:tabs>
          <w:tab w:val="left" w:pos="851"/>
        </w:tabs>
        <w:ind w:left="851"/>
        <w:rPr>
          <w:sz w:val="24"/>
          <w:szCs w:val="24"/>
        </w:rPr>
      </w:pPr>
      <w:r>
        <w:rPr>
          <w:sz w:val="24"/>
          <w:szCs w:val="24"/>
        </w:rPr>
        <w:t>Pakningsstørrelser</w:t>
      </w:r>
      <w:r w:rsidR="000B5827" w:rsidRPr="000B5827">
        <w:rPr>
          <w:sz w:val="24"/>
          <w:szCs w:val="24"/>
        </w:rPr>
        <w:t>: 100 og 105 </w:t>
      </w:r>
      <w:r>
        <w:rPr>
          <w:sz w:val="24"/>
          <w:szCs w:val="24"/>
        </w:rPr>
        <w:t>stk.</w:t>
      </w:r>
    </w:p>
    <w:p w:rsidR="000B5827" w:rsidRPr="000B5827" w:rsidRDefault="000B5827" w:rsidP="000B5827">
      <w:pPr>
        <w:tabs>
          <w:tab w:val="left" w:pos="851"/>
        </w:tabs>
        <w:ind w:left="851"/>
        <w:rPr>
          <w:sz w:val="24"/>
          <w:szCs w:val="24"/>
        </w:rPr>
      </w:pPr>
    </w:p>
    <w:p w:rsidR="000B5827" w:rsidRPr="000B5827" w:rsidRDefault="000B5827" w:rsidP="000B5827">
      <w:pPr>
        <w:tabs>
          <w:tab w:val="left" w:pos="851"/>
        </w:tabs>
        <w:ind w:left="851"/>
        <w:rPr>
          <w:sz w:val="24"/>
          <w:szCs w:val="24"/>
          <w:u w:val="single"/>
        </w:rPr>
      </w:pPr>
      <w:r>
        <w:rPr>
          <w:sz w:val="24"/>
          <w:szCs w:val="24"/>
          <w:u w:val="single"/>
        </w:rPr>
        <w:t>1.000 mg</w:t>
      </w:r>
    </w:p>
    <w:p w:rsidR="007F4793" w:rsidRDefault="007F4793" w:rsidP="000B5827">
      <w:pPr>
        <w:tabs>
          <w:tab w:val="left" w:pos="851"/>
        </w:tabs>
        <w:ind w:left="851"/>
        <w:rPr>
          <w:sz w:val="24"/>
          <w:szCs w:val="24"/>
        </w:rPr>
      </w:pPr>
    </w:p>
    <w:p w:rsidR="008B49A3" w:rsidRPr="008B49A3" w:rsidRDefault="000B5827" w:rsidP="000B5827">
      <w:pPr>
        <w:tabs>
          <w:tab w:val="left" w:pos="851"/>
        </w:tabs>
        <w:ind w:left="851"/>
        <w:rPr>
          <w:i/>
          <w:sz w:val="24"/>
          <w:szCs w:val="24"/>
        </w:rPr>
      </w:pPr>
      <w:r w:rsidRPr="008B49A3">
        <w:rPr>
          <w:i/>
          <w:sz w:val="24"/>
          <w:szCs w:val="24"/>
        </w:rPr>
        <w:t>Blister (klar, gennemsigtig PVC/</w:t>
      </w:r>
      <w:proofErr w:type="spellStart"/>
      <w:r w:rsidRPr="008B49A3">
        <w:rPr>
          <w:i/>
          <w:sz w:val="24"/>
          <w:szCs w:val="24"/>
        </w:rPr>
        <w:t>Alu-folie</w:t>
      </w:r>
      <w:proofErr w:type="spellEnd"/>
      <w:r w:rsidRPr="008B49A3">
        <w:rPr>
          <w:i/>
          <w:sz w:val="24"/>
          <w:szCs w:val="24"/>
        </w:rPr>
        <w:t>)</w:t>
      </w:r>
      <w:r w:rsidR="008B49A3" w:rsidRPr="008B49A3">
        <w:rPr>
          <w:i/>
          <w:sz w:val="24"/>
          <w:szCs w:val="24"/>
        </w:rPr>
        <w:t>, i en æske</w:t>
      </w:r>
    </w:p>
    <w:p w:rsidR="000B5827" w:rsidRPr="000B5827" w:rsidRDefault="0018474F" w:rsidP="000B5827">
      <w:pPr>
        <w:tabs>
          <w:tab w:val="left" w:pos="851"/>
        </w:tabs>
        <w:ind w:left="851"/>
        <w:rPr>
          <w:sz w:val="24"/>
          <w:szCs w:val="24"/>
        </w:rPr>
      </w:pPr>
      <w:r>
        <w:rPr>
          <w:sz w:val="24"/>
          <w:szCs w:val="24"/>
        </w:rPr>
        <w:t>Pakningsstørrelser</w:t>
      </w:r>
      <w:r w:rsidR="000B5827" w:rsidRPr="000B5827">
        <w:rPr>
          <w:sz w:val="24"/>
          <w:szCs w:val="24"/>
        </w:rPr>
        <w:t>: 8, 10, 15, 16, 18, 20, 30, 32, 40, 50, 60, 90, 100 og 105 </w:t>
      </w:r>
      <w:r>
        <w:rPr>
          <w:sz w:val="24"/>
          <w:szCs w:val="24"/>
        </w:rPr>
        <w:t>stk.</w:t>
      </w:r>
    </w:p>
    <w:p w:rsidR="007F4793" w:rsidRDefault="007F4793" w:rsidP="000B5827">
      <w:pPr>
        <w:tabs>
          <w:tab w:val="left" w:pos="851"/>
        </w:tabs>
        <w:ind w:left="851"/>
        <w:rPr>
          <w:sz w:val="24"/>
          <w:szCs w:val="24"/>
        </w:rPr>
      </w:pPr>
    </w:p>
    <w:p w:rsidR="008B49A3" w:rsidRPr="008B49A3" w:rsidRDefault="000B5827" w:rsidP="000B5827">
      <w:pPr>
        <w:tabs>
          <w:tab w:val="left" w:pos="851"/>
        </w:tabs>
        <w:ind w:left="851"/>
        <w:rPr>
          <w:i/>
          <w:sz w:val="24"/>
          <w:szCs w:val="24"/>
        </w:rPr>
      </w:pPr>
      <w:r w:rsidRPr="008B49A3">
        <w:rPr>
          <w:i/>
          <w:sz w:val="24"/>
          <w:szCs w:val="24"/>
        </w:rPr>
        <w:t>Blister (uigennemsigtig PVC/</w:t>
      </w:r>
      <w:proofErr w:type="spellStart"/>
      <w:r w:rsidRPr="008B49A3">
        <w:rPr>
          <w:i/>
          <w:sz w:val="24"/>
          <w:szCs w:val="24"/>
        </w:rPr>
        <w:t>Alu-folie</w:t>
      </w:r>
      <w:proofErr w:type="spellEnd"/>
      <w:r w:rsidRPr="008B49A3">
        <w:rPr>
          <w:i/>
          <w:sz w:val="24"/>
          <w:szCs w:val="24"/>
        </w:rPr>
        <w:t>)</w:t>
      </w:r>
      <w:r w:rsidR="008B49A3" w:rsidRPr="008B49A3">
        <w:rPr>
          <w:i/>
          <w:sz w:val="24"/>
          <w:szCs w:val="24"/>
        </w:rPr>
        <w:t>, i en æske</w:t>
      </w:r>
    </w:p>
    <w:p w:rsidR="000B5827" w:rsidRPr="000B5827" w:rsidRDefault="0018474F" w:rsidP="000B5827">
      <w:pPr>
        <w:tabs>
          <w:tab w:val="left" w:pos="851"/>
        </w:tabs>
        <w:ind w:left="851"/>
        <w:rPr>
          <w:sz w:val="24"/>
          <w:szCs w:val="24"/>
        </w:rPr>
      </w:pPr>
      <w:r>
        <w:rPr>
          <w:sz w:val="24"/>
          <w:szCs w:val="24"/>
        </w:rPr>
        <w:t>Pakningsstørrelser</w:t>
      </w:r>
      <w:r w:rsidR="000B5827" w:rsidRPr="000B5827">
        <w:rPr>
          <w:sz w:val="24"/>
          <w:szCs w:val="24"/>
        </w:rPr>
        <w:t>: 8, 10, 15, 16, 18, 20, 30, 32, 40, 50, 60, 90, 100 og 105 </w:t>
      </w:r>
      <w:r>
        <w:rPr>
          <w:sz w:val="24"/>
          <w:szCs w:val="24"/>
        </w:rPr>
        <w:t>stk.</w:t>
      </w:r>
    </w:p>
    <w:p w:rsidR="007F4793" w:rsidRDefault="007F4793" w:rsidP="000B5827">
      <w:pPr>
        <w:tabs>
          <w:tab w:val="left" w:pos="851"/>
        </w:tabs>
        <w:ind w:left="851"/>
        <w:rPr>
          <w:sz w:val="24"/>
          <w:szCs w:val="24"/>
        </w:rPr>
      </w:pPr>
    </w:p>
    <w:p w:rsidR="008B49A3" w:rsidRPr="008B49A3" w:rsidRDefault="000B5827" w:rsidP="000B5827">
      <w:pPr>
        <w:tabs>
          <w:tab w:val="left" w:pos="851"/>
        </w:tabs>
        <w:ind w:left="851"/>
        <w:rPr>
          <w:i/>
          <w:sz w:val="24"/>
          <w:szCs w:val="24"/>
        </w:rPr>
      </w:pPr>
      <w:r w:rsidRPr="008B49A3">
        <w:rPr>
          <w:i/>
          <w:sz w:val="24"/>
          <w:szCs w:val="24"/>
        </w:rPr>
        <w:t>Hvid, uigennemsigtig HDPE-beholder med et børnesikret, hvidt PP-låg</w:t>
      </w:r>
      <w:r w:rsidR="008B49A3" w:rsidRPr="008B49A3">
        <w:rPr>
          <w:i/>
          <w:sz w:val="24"/>
          <w:szCs w:val="24"/>
        </w:rPr>
        <w:t>, i en æske</w:t>
      </w:r>
    </w:p>
    <w:p w:rsidR="000B5827" w:rsidRPr="000B5827" w:rsidRDefault="0018474F" w:rsidP="000B5827">
      <w:pPr>
        <w:tabs>
          <w:tab w:val="left" w:pos="851"/>
        </w:tabs>
        <w:ind w:left="851"/>
        <w:rPr>
          <w:sz w:val="24"/>
          <w:szCs w:val="24"/>
        </w:rPr>
      </w:pPr>
      <w:r>
        <w:rPr>
          <w:sz w:val="24"/>
          <w:szCs w:val="24"/>
        </w:rPr>
        <w:t>Pakningsstørrelser</w:t>
      </w:r>
      <w:r w:rsidR="000B5827" w:rsidRPr="000B5827">
        <w:rPr>
          <w:sz w:val="24"/>
          <w:szCs w:val="24"/>
        </w:rPr>
        <w:t>: 100 og 105 </w:t>
      </w:r>
      <w:r>
        <w:rPr>
          <w:sz w:val="24"/>
          <w:szCs w:val="24"/>
        </w:rPr>
        <w:t>stk.</w:t>
      </w:r>
    </w:p>
    <w:p w:rsidR="000B5827" w:rsidRPr="000B5827" w:rsidRDefault="000B5827" w:rsidP="000B5827">
      <w:pPr>
        <w:tabs>
          <w:tab w:val="left" w:pos="851"/>
        </w:tabs>
        <w:ind w:left="851"/>
        <w:rPr>
          <w:sz w:val="24"/>
          <w:szCs w:val="24"/>
        </w:rPr>
      </w:pPr>
    </w:p>
    <w:p w:rsidR="000B5827" w:rsidRPr="000B5827" w:rsidRDefault="000B5827" w:rsidP="000B5827">
      <w:pPr>
        <w:tabs>
          <w:tab w:val="left" w:pos="851"/>
        </w:tabs>
        <w:ind w:left="851"/>
        <w:rPr>
          <w:sz w:val="24"/>
          <w:szCs w:val="24"/>
        </w:rPr>
      </w:pPr>
      <w:r w:rsidRPr="000B5827">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7F1F25" w:rsidRPr="007F1F25" w:rsidRDefault="007F1F25" w:rsidP="007F1F25">
      <w:pPr>
        <w:tabs>
          <w:tab w:val="left" w:pos="851"/>
        </w:tabs>
        <w:ind w:left="851"/>
        <w:jc w:val="both"/>
        <w:rPr>
          <w:sz w:val="24"/>
          <w:szCs w:val="24"/>
        </w:rPr>
      </w:pPr>
      <w:r w:rsidRPr="007F1F25">
        <w:rPr>
          <w:sz w:val="24"/>
          <w:szCs w:val="24"/>
        </w:rPr>
        <w:t>Ikke anvendt lægemiddel samt affald heraf skal bortskaffes i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F1F25" w:rsidRPr="007F1F25" w:rsidRDefault="007F1F25" w:rsidP="007F1F25">
      <w:pPr>
        <w:tabs>
          <w:tab w:val="left" w:pos="851"/>
        </w:tabs>
        <w:ind w:left="851"/>
        <w:rPr>
          <w:sz w:val="24"/>
          <w:szCs w:val="24"/>
          <w:lang w:val="sv-SE"/>
        </w:rPr>
      </w:pPr>
      <w:r w:rsidRPr="007F1F25">
        <w:rPr>
          <w:sz w:val="24"/>
          <w:szCs w:val="24"/>
          <w:lang w:val="sv-SE"/>
        </w:rPr>
        <w:t xml:space="preserve">KRKA, </w:t>
      </w:r>
      <w:proofErr w:type="spellStart"/>
      <w:r w:rsidRPr="007F1F25">
        <w:rPr>
          <w:sz w:val="24"/>
          <w:szCs w:val="24"/>
          <w:lang w:val="sv-SE"/>
        </w:rPr>
        <w:t>d.d</w:t>
      </w:r>
      <w:proofErr w:type="spellEnd"/>
      <w:r w:rsidRPr="007F1F25">
        <w:rPr>
          <w:sz w:val="24"/>
          <w:szCs w:val="24"/>
          <w:lang w:val="sv-SE"/>
        </w:rPr>
        <w:t xml:space="preserve">., Novo </w:t>
      </w:r>
      <w:proofErr w:type="spellStart"/>
      <w:r w:rsidRPr="007F1F25">
        <w:rPr>
          <w:sz w:val="24"/>
          <w:szCs w:val="24"/>
          <w:lang w:val="sv-SE"/>
        </w:rPr>
        <w:t>mesto</w:t>
      </w:r>
      <w:proofErr w:type="spellEnd"/>
    </w:p>
    <w:p w:rsidR="007F1F25" w:rsidRPr="007F1F25" w:rsidRDefault="007F1F25" w:rsidP="007F1F25">
      <w:pPr>
        <w:tabs>
          <w:tab w:val="left" w:pos="851"/>
        </w:tabs>
        <w:ind w:left="851"/>
        <w:rPr>
          <w:sz w:val="24"/>
          <w:szCs w:val="24"/>
          <w:lang w:val="sv-SE"/>
        </w:rPr>
      </w:pPr>
      <w:proofErr w:type="spellStart"/>
      <w:r w:rsidRPr="007F1F25">
        <w:rPr>
          <w:sz w:val="24"/>
          <w:szCs w:val="24"/>
          <w:lang w:val="sv-SE"/>
        </w:rPr>
        <w:t>Šmarješka</w:t>
      </w:r>
      <w:proofErr w:type="spellEnd"/>
      <w:r w:rsidRPr="007F1F25">
        <w:rPr>
          <w:sz w:val="24"/>
          <w:szCs w:val="24"/>
          <w:lang w:val="sv-SE"/>
        </w:rPr>
        <w:t xml:space="preserve"> </w:t>
      </w:r>
      <w:proofErr w:type="spellStart"/>
      <w:r w:rsidRPr="007F1F25">
        <w:rPr>
          <w:sz w:val="24"/>
          <w:szCs w:val="24"/>
          <w:lang w:val="sv-SE"/>
        </w:rPr>
        <w:t>cesta</w:t>
      </w:r>
      <w:proofErr w:type="spellEnd"/>
      <w:r w:rsidRPr="007F1F25">
        <w:rPr>
          <w:sz w:val="24"/>
          <w:szCs w:val="24"/>
          <w:lang w:val="sv-SE"/>
        </w:rPr>
        <w:t xml:space="preserve"> 6</w:t>
      </w:r>
    </w:p>
    <w:p w:rsidR="007F1F25" w:rsidRPr="007F1F25" w:rsidRDefault="007F1F25" w:rsidP="007F1F25">
      <w:pPr>
        <w:tabs>
          <w:tab w:val="left" w:pos="851"/>
        </w:tabs>
        <w:ind w:left="851"/>
        <w:rPr>
          <w:sz w:val="24"/>
          <w:szCs w:val="24"/>
        </w:rPr>
      </w:pPr>
      <w:r w:rsidRPr="007F1F25">
        <w:rPr>
          <w:sz w:val="24"/>
          <w:szCs w:val="24"/>
        </w:rPr>
        <w:t xml:space="preserve">8501 Novo </w:t>
      </w:r>
      <w:proofErr w:type="spellStart"/>
      <w:r w:rsidRPr="007F1F25">
        <w:rPr>
          <w:sz w:val="24"/>
          <w:szCs w:val="24"/>
        </w:rPr>
        <w:t>mesto</w:t>
      </w:r>
      <w:proofErr w:type="spellEnd"/>
    </w:p>
    <w:p w:rsidR="007F1F25" w:rsidRPr="007F1F25" w:rsidRDefault="007F1F25" w:rsidP="007F1F25">
      <w:pPr>
        <w:tabs>
          <w:tab w:val="left" w:pos="851"/>
        </w:tabs>
        <w:ind w:left="851"/>
        <w:rPr>
          <w:sz w:val="24"/>
          <w:szCs w:val="24"/>
        </w:rPr>
      </w:pPr>
      <w:r w:rsidRPr="007F1F25">
        <w:rPr>
          <w:sz w:val="24"/>
          <w:szCs w:val="24"/>
        </w:rPr>
        <w:t>Slovenien</w:t>
      </w:r>
    </w:p>
    <w:p w:rsidR="007F1F25" w:rsidRPr="007F1F25" w:rsidRDefault="007F1F25" w:rsidP="007F1F25">
      <w:pPr>
        <w:tabs>
          <w:tab w:val="left" w:pos="851"/>
        </w:tabs>
        <w:ind w:left="851"/>
        <w:rPr>
          <w:sz w:val="24"/>
          <w:szCs w:val="24"/>
        </w:rPr>
      </w:pPr>
    </w:p>
    <w:p w:rsidR="007F1F25" w:rsidRPr="007F1F25" w:rsidRDefault="007F1F25" w:rsidP="007F1F25">
      <w:pPr>
        <w:tabs>
          <w:tab w:val="left" w:pos="851"/>
        </w:tabs>
        <w:ind w:left="851"/>
        <w:rPr>
          <w:b/>
          <w:bCs/>
          <w:sz w:val="24"/>
          <w:szCs w:val="24"/>
        </w:rPr>
      </w:pPr>
      <w:r w:rsidRPr="007F1F25">
        <w:rPr>
          <w:b/>
          <w:bCs/>
          <w:sz w:val="24"/>
          <w:szCs w:val="24"/>
        </w:rPr>
        <w:t>Repræsentant</w:t>
      </w:r>
    </w:p>
    <w:p w:rsidR="007F1F25" w:rsidRPr="007F1F25" w:rsidRDefault="007F1F25" w:rsidP="007F1F25">
      <w:pPr>
        <w:tabs>
          <w:tab w:val="left" w:pos="851"/>
        </w:tabs>
        <w:ind w:left="851"/>
        <w:rPr>
          <w:sz w:val="24"/>
          <w:szCs w:val="24"/>
        </w:rPr>
      </w:pPr>
      <w:r w:rsidRPr="007F1F25">
        <w:rPr>
          <w:sz w:val="24"/>
          <w:szCs w:val="24"/>
        </w:rPr>
        <w:t>KRKA Sverige AB</w:t>
      </w:r>
    </w:p>
    <w:p w:rsidR="007F1F25" w:rsidRPr="007F1F25" w:rsidRDefault="007F1F25" w:rsidP="007F1F25">
      <w:pPr>
        <w:tabs>
          <w:tab w:val="left" w:pos="851"/>
        </w:tabs>
        <w:ind w:left="851"/>
        <w:rPr>
          <w:sz w:val="24"/>
          <w:szCs w:val="24"/>
        </w:rPr>
      </w:pPr>
      <w:r w:rsidRPr="007F1F25">
        <w:rPr>
          <w:sz w:val="24"/>
          <w:szCs w:val="24"/>
        </w:rPr>
        <w:t>Göta Ark 175</w:t>
      </w:r>
    </w:p>
    <w:p w:rsidR="007F1F25" w:rsidRPr="007F1F25" w:rsidRDefault="007F1F25" w:rsidP="007F1F25">
      <w:pPr>
        <w:tabs>
          <w:tab w:val="left" w:pos="851"/>
        </w:tabs>
        <w:ind w:left="851"/>
        <w:rPr>
          <w:sz w:val="24"/>
          <w:szCs w:val="24"/>
        </w:rPr>
      </w:pPr>
      <w:r w:rsidRPr="007F1F25">
        <w:rPr>
          <w:sz w:val="24"/>
          <w:szCs w:val="24"/>
        </w:rPr>
        <w:t>118 72 Stockholm</w:t>
      </w:r>
    </w:p>
    <w:p w:rsidR="007F1F25" w:rsidRPr="007F1F25" w:rsidRDefault="007F1F25" w:rsidP="007F1F25">
      <w:pPr>
        <w:tabs>
          <w:tab w:val="left" w:pos="851"/>
        </w:tabs>
        <w:ind w:left="851"/>
        <w:rPr>
          <w:sz w:val="24"/>
          <w:szCs w:val="24"/>
        </w:rPr>
      </w:pPr>
      <w:r w:rsidRPr="007F1F25">
        <w:rPr>
          <w:sz w:val="24"/>
          <w:szCs w:val="24"/>
        </w:rPr>
        <w:t>Sverige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Default="002B7F92" w:rsidP="002B7F92">
      <w:pPr>
        <w:tabs>
          <w:tab w:val="left" w:pos="851"/>
          <w:tab w:val="left" w:pos="1985"/>
        </w:tabs>
        <w:ind w:left="851"/>
        <w:rPr>
          <w:sz w:val="24"/>
          <w:szCs w:val="24"/>
        </w:rPr>
      </w:pPr>
      <w:r>
        <w:rPr>
          <w:sz w:val="24"/>
          <w:szCs w:val="24"/>
        </w:rPr>
        <w:t>500 mg:</w:t>
      </w:r>
      <w:r>
        <w:rPr>
          <w:sz w:val="24"/>
          <w:szCs w:val="24"/>
        </w:rPr>
        <w:tab/>
        <w:t>62345</w:t>
      </w:r>
    </w:p>
    <w:p w:rsidR="002B7F92" w:rsidRPr="00C84483" w:rsidRDefault="002B7F92" w:rsidP="002B7F92">
      <w:pPr>
        <w:tabs>
          <w:tab w:val="left" w:pos="851"/>
          <w:tab w:val="left" w:pos="1985"/>
        </w:tabs>
        <w:ind w:left="851"/>
        <w:rPr>
          <w:sz w:val="24"/>
          <w:szCs w:val="24"/>
        </w:rPr>
      </w:pPr>
      <w:r>
        <w:rPr>
          <w:sz w:val="24"/>
          <w:szCs w:val="24"/>
        </w:rPr>
        <w:t>1.000 mg:</w:t>
      </w:r>
      <w:r>
        <w:rPr>
          <w:sz w:val="24"/>
          <w:szCs w:val="24"/>
        </w:rPr>
        <w:tab/>
        <w:t>62346</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9.</w:t>
      </w:r>
      <w:r w:rsidRPr="00C84483">
        <w:rPr>
          <w:b/>
          <w:sz w:val="24"/>
          <w:szCs w:val="24"/>
        </w:rPr>
        <w:tab/>
        <w:t>DATO FOR FØRSTE MARKEDSFØRINGSTILLADELSE</w:t>
      </w:r>
    </w:p>
    <w:p w:rsidR="009260DE" w:rsidRPr="00C84483" w:rsidRDefault="00993219" w:rsidP="009260DE">
      <w:pPr>
        <w:tabs>
          <w:tab w:val="left" w:pos="851"/>
        </w:tabs>
        <w:ind w:left="851"/>
        <w:rPr>
          <w:sz w:val="24"/>
          <w:szCs w:val="24"/>
        </w:rPr>
      </w:pPr>
      <w:r>
        <w:rPr>
          <w:sz w:val="24"/>
          <w:szCs w:val="24"/>
        </w:rPr>
        <w:t>6. april 2020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Default="006E4C8C" w:rsidP="009260DE">
      <w:pPr>
        <w:tabs>
          <w:tab w:val="left" w:pos="851"/>
        </w:tabs>
        <w:ind w:left="851"/>
        <w:rPr>
          <w:sz w:val="24"/>
          <w:szCs w:val="24"/>
        </w:rPr>
      </w:pPr>
      <w:r>
        <w:rPr>
          <w:sz w:val="24"/>
          <w:szCs w:val="24"/>
        </w:rPr>
        <w:t>6</w:t>
      </w:r>
      <w:r w:rsidR="00086514">
        <w:rPr>
          <w:sz w:val="24"/>
          <w:szCs w:val="24"/>
        </w:rPr>
        <w:t>. juli 2022</w:t>
      </w:r>
    </w:p>
    <w:sectPr w:rsidR="009260D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050" w:rsidRDefault="00581050">
      <w:r>
        <w:separator/>
      </w:r>
    </w:p>
  </w:endnote>
  <w:endnote w:type="continuationSeparator" w:id="0">
    <w:p w:rsidR="00581050" w:rsidRDefault="0058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37419">
      <w:rPr>
        <w:i/>
        <w:noProof/>
        <w:sz w:val="18"/>
        <w:szCs w:val="18"/>
      </w:rPr>
      <w:t>Paracetamol Krka, tabletter 500 mg og 1000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050" w:rsidRDefault="00581050">
      <w:r>
        <w:separator/>
      </w:r>
    </w:p>
  </w:footnote>
  <w:footnote w:type="continuationSeparator" w:id="0">
    <w:p w:rsidR="00581050" w:rsidRDefault="00581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09BB"/>
    <w:multiLevelType w:val="hybridMultilevel"/>
    <w:tmpl w:val="E78ED7F8"/>
    <w:lvl w:ilvl="0" w:tplc="DE168290">
      <w:start w:val="1"/>
      <w:numFmt w:val="bullet"/>
      <w:lvlText w:val="-"/>
      <w:lvlJc w:val="left"/>
      <w:pPr>
        <w:ind w:left="1211" w:hanging="360"/>
      </w:pPr>
      <w:rPr>
        <w:rFonts w:ascii="Times New Roman" w:eastAsia="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50"/>
    <w:rsid w:val="000175B7"/>
    <w:rsid w:val="000259B9"/>
    <w:rsid w:val="00041491"/>
    <w:rsid w:val="00050D16"/>
    <w:rsid w:val="00074F2A"/>
    <w:rsid w:val="00086514"/>
    <w:rsid w:val="000A1CA8"/>
    <w:rsid w:val="000A466B"/>
    <w:rsid w:val="000B058C"/>
    <w:rsid w:val="000B5827"/>
    <w:rsid w:val="000E4EE6"/>
    <w:rsid w:val="00123C3A"/>
    <w:rsid w:val="001454E2"/>
    <w:rsid w:val="0018474F"/>
    <w:rsid w:val="00206CE8"/>
    <w:rsid w:val="0021526C"/>
    <w:rsid w:val="002510E5"/>
    <w:rsid w:val="00283A2B"/>
    <w:rsid w:val="002B30AD"/>
    <w:rsid w:val="002B7F92"/>
    <w:rsid w:val="002C2C01"/>
    <w:rsid w:val="003A29AE"/>
    <w:rsid w:val="003A32D7"/>
    <w:rsid w:val="003B4074"/>
    <w:rsid w:val="003C769A"/>
    <w:rsid w:val="003F1838"/>
    <w:rsid w:val="0045746C"/>
    <w:rsid w:val="0049104B"/>
    <w:rsid w:val="004B63D8"/>
    <w:rsid w:val="004E3B12"/>
    <w:rsid w:val="00520DDE"/>
    <w:rsid w:val="00527724"/>
    <w:rsid w:val="00532310"/>
    <w:rsid w:val="00552973"/>
    <w:rsid w:val="00565F0F"/>
    <w:rsid w:val="00581050"/>
    <w:rsid w:val="00594A86"/>
    <w:rsid w:val="00596D86"/>
    <w:rsid w:val="005F09AB"/>
    <w:rsid w:val="00637F5A"/>
    <w:rsid w:val="006560B1"/>
    <w:rsid w:val="006756DD"/>
    <w:rsid w:val="006D7A3A"/>
    <w:rsid w:val="006E4C8C"/>
    <w:rsid w:val="00731F7B"/>
    <w:rsid w:val="00737275"/>
    <w:rsid w:val="00740EEC"/>
    <w:rsid w:val="0078011A"/>
    <w:rsid w:val="00782AF4"/>
    <w:rsid w:val="00790EE7"/>
    <w:rsid w:val="007B6649"/>
    <w:rsid w:val="007F1F25"/>
    <w:rsid w:val="007F4793"/>
    <w:rsid w:val="0082576E"/>
    <w:rsid w:val="00837419"/>
    <w:rsid w:val="008B49A3"/>
    <w:rsid w:val="008D5E4E"/>
    <w:rsid w:val="00907F75"/>
    <w:rsid w:val="009260DE"/>
    <w:rsid w:val="0093258A"/>
    <w:rsid w:val="009641CB"/>
    <w:rsid w:val="00993219"/>
    <w:rsid w:val="009A017D"/>
    <w:rsid w:val="009C7BA3"/>
    <w:rsid w:val="009D1F5A"/>
    <w:rsid w:val="009E4E3A"/>
    <w:rsid w:val="00AB47A4"/>
    <w:rsid w:val="00B003BF"/>
    <w:rsid w:val="00B20B16"/>
    <w:rsid w:val="00B3573D"/>
    <w:rsid w:val="00B373D7"/>
    <w:rsid w:val="00B533D5"/>
    <w:rsid w:val="00B7761E"/>
    <w:rsid w:val="00BA4CBF"/>
    <w:rsid w:val="00C36276"/>
    <w:rsid w:val="00C42586"/>
    <w:rsid w:val="00C60CCD"/>
    <w:rsid w:val="00C84483"/>
    <w:rsid w:val="00C91CA4"/>
    <w:rsid w:val="00C95551"/>
    <w:rsid w:val="00CB20D7"/>
    <w:rsid w:val="00D020B0"/>
    <w:rsid w:val="00D11748"/>
    <w:rsid w:val="00D366CF"/>
    <w:rsid w:val="00E108AA"/>
    <w:rsid w:val="00E3749A"/>
    <w:rsid w:val="00E7437F"/>
    <w:rsid w:val="00E865B8"/>
    <w:rsid w:val="00EC0B9B"/>
    <w:rsid w:val="00ED5E9F"/>
    <w:rsid w:val="00F66D4F"/>
    <w:rsid w:val="00FA425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85AC8"/>
  <w15:chartTrackingRefBased/>
  <w15:docId w15:val="{E8861C4B-EDA0-4DC8-A8BD-519ACDEF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086514"/>
    <w:rPr>
      <w:color w:val="0563C1" w:themeColor="hyperlink"/>
      <w:u w:val="single"/>
    </w:rPr>
  </w:style>
  <w:style w:type="character" w:styleId="Ulstomtale">
    <w:name w:val="Unresolved Mention"/>
    <w:basedOn w:val="Standardskrifttypeiafsnit"/>
    <w:uiPriority w:val="99"/>
    <w:semiHidden/>
    <w:unhideWhenUsed/>
    <w:rsid w:val="00251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9843">
      <w:bodyDiv w:val="1"/>
      <w:marLeft w:val="0"/>
      <w:marRight w:val="0"/>
      <w:marTop w:val="0"/>
      <w:marBottom w:val="0"/>
      <w:divBdr>
        <w:top w:val="none" w:sz="0" w:space="0" w:color="auto"/>
        <w:left w:val="none" w:sz="0" w:space="0" w:color="auto"/>
        <w:bottom w:val="none" w:sz="0" w:space="0" w:color="auto"/>
        <w:right w:val="none" w:sz="0" w:space="0" w:color="auto"/>
      </w:divBdr>
    </w:div>
    <w:div w:id="17590718">
      <w:bodyDiv w:val="1"/>
      <w:marLeft w:val="0"/>
      <w:marRight w:val="0"/>
      <w:marTop w:val="0"/>
      <w:marBottom w:val="0"/>
      <w:divBdr>
        <w:top w:val="none" w:sz="0" w:space="0" w:color="auto"/>
        <w:left w:val="none" w:sz="0" w:space="0" w:color="auto"/>
        <w:bottom w:val="none" w:sz="0" w:space="0" w:color="auto"/>
        <w:right w:val="none" w:sz="0" w:space="0" w:color="auto"/>
      </w:divBdr>
    </w:div>
    <w:div w:id="20010225">
      <w:bodyDiv w:val="1"/>
      <w:marLeft w:val="0"/>
      <w:marRight w:val="0"/>
      <w:marTop w:val="0"/>
      <w:marBottom w:val="0"/>
      <w:divBdr>
        <w:top w:val="none" w:sz="0" w:space="0" w:color="auto"/>
        <w:left w:val="none" w:sz="0" w:space="0" w:color="auto"/>
        <w:bottom w:val="none" w:sz="0" w:space="0" w:color="auto"/>
        <w:right w:val="none" w:sz="0" w:space="0" w:color="auto"/>
      </w:divBdr>
    </w:div>
    <w:div w:id="78911175">
      <w:bodyDiv w:val="1"/>
      <w:marLeft w:val="0"/>
      <w:marRight w:val="0"/>
      <w:marTop w:val="0"/>
      <w:marBottom w:val="0"/>
      <w:divBdr>
        <w:top w:val="none" w:sz="0" w:space="0" w:color="auto"/>
        <w:left w:val="none" w:sz="0" w:space="0" w:color="auto"/>
        <w:bottom w:val="none" w:sz="0" w:space="0" w:color="auto"/>
        <w:right w:val="none" w:sz="0" w:space="0" w:color="auto"/>
      </w:divBdr>
    </w:div>
    <w:div w:id="93286720">
      <w:bodyDiv w:val="1"/>
      <w:marLeft w:val="0"/>
      <w:marRight w:val="0"/>
      <w:marTop w:val="0"/>
      <w:marBottom w:val="0"/>
      <w:divBdr>
        <w:top w:val="none" w:sz="0" w:space="0" w:color="auto"/>
        <w:left w:val="none" w:sz="0" w:space="0" w:color="auto"/>
        <w:bottom w:val="none" w:sz="0" w:space="0" w:color="auto"/>
        <w:right w:val="none" w:sz="0" w:space="0" w:color="auto"/>
      </w:divBdr>
    </w:div>
    <w:div w:id="12204615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17675064">
      <w:bodyDiv w:val="1"/>
      <w:marLeft w:val="0"/>
      <w:marRight w:val="0"/>
      <w:marTop w:val="0"/>
      <w:marBottom w:val="0"/>
      <w:divBdr>
        <w:top w:val="none" w:sz="0" w:space="0" w:color="auto"/>
        <w:left w:val="none" w:sz="0" w:space="0" w:color="auto"/>
        <w:bottom w:val="none" w:sz="0" w:space="0" w:color="auto"/>
        <w:right w:val="none" w:sz="0" w:space="0" w:color="auto"/>
      </w:divBdr>
    </w:div>
    <w:div w:id="479347279">
      <w:bodyDiv w:val="1"/>
      <w:marLeft w:val="0"/>
      <w:marRight w:val="0"/>
      <w:marTop w:val="0"/>
      <w:marBottom w:val="0"/>
      <w:divBdr>
        <w:top w:val="none" w:sz="0" w:space="0" w:color="auto"/>
        <w:left w:val="none" w:sz="0" w:space="0" w:color="auto"/>
        <w:bottom w:val="none" w:sz="0" w:space="0" w:color="auto"/>
        <w:right w:val="none" w:sz="0" w:space="0" w:color="auto"/>
      </w:divBdr>
    </w:div>
    <w:div w:id="489059795">
      <w:bodyDiv w:val="1"/>
      <w:marLeft w:val="0"/>
      <w:marRight w:val="0"/>
      <w:marTop w:val="0"/>
      <w:marBottom w:val="0"/>
      <w:divBdr>
        <w:top w:val="none" w:sz="0" w:space="0" w:color="auto"/>
        <w:left w:val="none" w:sz="0" w:space="0" w:color="auto"/>
        <w:bottom w:val="none" w:sz="0" w:space="0" w:color="auto"/>
        <w:right w:val="none" w:sz="0" w:space="0" w:color="auto"/>
      </w:divBdr>
    </w:div>
    <w:div w:id="510681214">
      <w:bodyDiv w:val="1"/>
      <w:marLeft w:val="0"/>
      <w:marRight w:val="0"/>
      <w:marTop w:val="0"/>
      <w:marBottom w:val="0"/>
      <w:divBdr>
        <w:top w:val="none" w:sz="0" w:space="0" w:color="auto"/>
        <w:left w:val="none" w:sz="0" w:space="0" w:color="auto"/>
        <w:bottom w:val="none" w:sz="0" w:space="0" w:color="auto"/>
        <w:right w:val="none" w:sz="0" w:space="0" w:color="auto"/>
      </w:divBdr>
    </w:div>
    <w:div w:id="550312120">
      <w:bodyDiv w:val="1"/>
      <w:marLeft w:val="0"/>
      <w:marRight w:val="0"/>
      <w:marTop w:val="0"/>
      <w:marBottom w:val="0"/>
      <w:divBdr>
        <w:top w:val="none" w:sz="0" w:space="0" w:color="auto"/>
        <w:left w:val="none" w:sz="0" w:space="0" w:color="auto"/>
        <w:bottom w:val="none" w:sz="0" w:space="0" w:color="auto"/>
        <w:right w:val="none" w:sz="0" w:space="0" w:color="auto"/>
      </w:divBdr>
    </w:div>
    <w:div w:id="642006988">
      <w:bodyDiv w:val="1"/>
      <w:marLeft w:val="0"/>
      <w:marRight w:val="0"/>
      <w:marTop w:val="0"/>
      <w:marBottom w:val="0"/>
      <w:divBdr>
        <w:top w:val="none" w:sz="0" w:space="0" w:color="auto"/>
        <w:left w:val="none" w:sz="0" w:space="0" w:color="auto"/>
        <w:bottom w:val="none" w:sz="0" w:space="0" w:color="auto"/>
        <w:right w:val="none" w:sz="0" w:space="0" w:color="auto"/>
      </w:divBdr>
    </w:div>
    <w:div w:id="653417101">
      <w:bodyDiv w:val="1"/>
      <w:marLeft w:val="0"/>
      <w:marRight w:val="0"/>
      <w:marTop w:val="0"/>
      <w:marBottom w:val="0"/>
      <w:divBdr>
        <w:top w:val="none" w:sz="0" w:space="0" w:color="auto"/>
        <w:left w:val="none" w:sz="0" w:space="0" w:color="auto"/>
        <w:bottom w:val="none" w:sz="0" w:space="0" w:color="auto"/>
        <w:right w:val="none" w:sz="0" w:space="0" w:color="auto"/>
      </w:divBdr>
    </w:div>
    <w:div w:id="681662141">
      <w:bodyDiv w:val="1"/>
      <w:marLeft w:val="0"/>
      <w:marRight w:val="0"/>
      <w:marTop w:val="0"/>
      <w:marBottom w:val="0"/>
      <w:divBdr>
        <w:top w:val="none" w:sz="0" w:space="0" w:color="auto"/>
        <w:left w:val="none" w:sz="0" w:space="0" w:color="auto"/>
        <w:bottom w:val="none" w:sz="0" w:space="0" w:color="auto"/>
        <w:right w:val="none" w:sz="0" w:space="0" w:color="auto"/>
      </w:divBdr>
    </w:div>
    <w:div w:id="687604953">
      <w:bodyDiv w:val="1"/>
      <w:marLeft w:val="0"/>
      <w:marRight w:val="0"/>
      <w:marTop w:val="0"/>
      <w:marBottom w:val="0"/>
      <w:divBdr>
        <w:top w:val="none" w:sz="0" w:space="0" w:color="auto"/>
        <w:left w:val="none" w:sz="0" w:space="0" w:color="auto"/>
        <w:bottom w:val="none" w:sz="0" w:space="0" w:color="auto"/>
        <w:right w:val="none" w:sz="0" w:space="0" w:color="auto"/>
      </w:divBdr>
    </w:div>
    <w:div w:id="709380630">
      <w:bodyDiv w:val="1"/>
      <w:marLeft w:val="0"/>
      <w:marRight w:val="0"/>
      <w:marTop w:val="0"/>
      <w:marBottom w:val="0"/>
      <w:divBdr>
        <w:top w:val="none" w:sz="0" w:space="0" w:color="auto"/>
        <w:left w:val="none" w:sz="0" w:space="0" w:color="auto"/>
        <w:bottom w:val="none" w:sz="0" w:space="0" w:color="auto"/>
        <w:right w:val="none" w:sz="0" w:space="0" w:color="auto"/>
      </w:divBdr>
    </w:div>
    <w:div w:id="751707768">
      <w:bodyDiv w:val="1"/>
      <w:marLeft w:val="0"/>
      <w:marRight w:val="0"/>
      <w:marTop w:val="0"/>
      <w:marBottom w:val="0"/>
      <w:divBdr>
        <w:top w:val="none" w:sz="0" w:space="0" w:color="auto"/>
        <w:left w:val="none" w:sz="0" w:space="0" w:color="auto"/>
        <w:bottom w:val="none" w:sz="0" w:space="0" w:color="auto"/>
        <w:right w:val="none" w:sz="0" w:space="0" w:color="auto"/>
      </w:divBdr>
    </w:div>
    <w:div w:id="769007224">
      <w:bodyDiv w:val="1"/>
      <w:marLeft w:val="0"/>
      <w:marRight w:val="0"/>
      <w:marTop w:val="0"/>
      <w:marBottom w:val="0"/>
      <w:divBdr>
        <w:top w:val="none" w:sz="0" w:space="0" w:color="auto"/>
        <w:left w:val="none" w:sz="0" w:space="0" w:color="auto"/>
        <w:bottom w:val="none" w:sz="0" w:space="0" w:color="auto"/>
        <w:right w:val="none" w:sz="0" w:space="0" w:color="auto"/>
      </w:divBdr>
    </w:div>
    <w:div w:id="774861597">
      <w:bodyDiv w:val="1"/>
      <w:marLeft w:val="0"/>
      <w:marRight w:val="0"/>
      <w:marTop w:val="0"/>
      <w:marBottom w:val="0"/>
      <w:divBdr>
        <w:top w:val="none" w:sz="0" w:space="0" w:color="auto"/>
        <w:left w:val="none" w:sz="0" w:space="0" w:color="auto"/>
        <w:bottom w:val="none" w:sz="0" w:space="0" w:color="auto"/>
        <w:right w:val="none" w:sz="0" w:space="0" w:color="auto"/>
      </w:divBdr>
    </w:div>
    <w:div w:id="812722929">
      <w:bodyDiv w:val="1"/>
      <w:marLeft w:val="0"/>
      <w:marRight w:val="0"/>
      <w:marTop w:val="0"/>
      <w:marBottom w:val="0"/>
      <w:divBdr>
        <w:top w:val="none" w:sz="0" w:space="0" w:color="auto"/>
        <w:left w:val="none" w:sz="0" w:space="0" w:color="auto"/>
        <w:bottom w:val="none" w:sz="0" w:space="0" w:color="auto"/>
        <w:right w:val="none" w:sz="0" w:space="0" w:color="auto"/>
      </w:divBdr>
    </w:div>
    <w:div w:id="853425390">
      <w:bodyDiv w:val="1"/>
      <w:marLeft w:val="0"/>
      <w:marRight w:val="0"/>
      <w:marTop w:val="0"/>
      <w:marBottom w:val="0"/>
      <w:divBdr>
        <w:top w:val="none" w:sz="0" w:space="0" w:color="auto"/>
        <w:left w:val="none" w:sz="0" w:space="0" w:color="auto"/>
        <w:bottom w:val="none" w:sz="0" w:space="0" w:color="auto"/>
        <w:right w:val="none" w:sz="0" w:space="0" w:color="auto"/>
      </w:divBdr>
    </w:div>
    <w:div w:id="915482891">
      <w:bodyDiv w:val="1"/>
      <w:marLeft w:val="0"/>
      <w:marRight w:val="0"/>
      <w:marTop w:val="0"/>
      <w:marBottom w:val="0"/>
      <w:divBdr>
        <w:top w:val="none" w:sz="0" w:space="0" w:color="auto"/>
        <w:left w:val="none" w:sz="0" w:space="0" w:color="auto"/>
        <w:bottom w:val="none" w:sz="0" w:space="0" w:color="auto"/>
        <w:right w:val="none" w:sz="0" w:space="0" w:color="auto"/>
      </w:divBdr>
    </w:div>
    <w:div w:id="1088574116">
      <w:bodyDiv w:val="1"/>
      <w:marLeft w:val="0"/>
      <w:marRight w:val="0"/>
      <w:marTop w:val="0"/>
      <w:marBottom w:val="0"/>
      <w:divBdr>
        <w:top w:val="none" w:sz="0" w:space="0" w:color="auto"/>
        <w:left w:val="none" w:sz="0" w:space="0" w:color="auto"/>
        <w:bottom w:val="none" w:sz="0" w:space="0" w:color="auto"/>
        <w:right w:val="none" w:sz="0" w:space="0" w:color="auto"/>
      </w:divBdr>
    </w:div>
    <w:div w:id="1100098888">
      <w:bodyDiv w:val="1"/>
      <w:marLeft w:val="0"/>
      <w:marRight w:val="0"/>
      <w:marTop w:val="0"/>
      <w:marBottom w:val="0"/>
      <w:divBdr>
        <w:top w:val="none" w:sz="0" w:space="0" w:color="auto"/>
        <w:left w:val="none" w:sz="0" w:space="0" w:color="auto"/>
        <w:bottom w:val="none" w:sz="0" w:space="0" w:color="auto"/>
        <w:right w:val="none" w:sz="0" w:space="0" w:color="auto"/>
      </w:divBdr>
    </w:div>
    <w:div w:id="1106851038">
      <w:bodyDiv w:val="1"/>
      <w:marLeft w:val="0"/>
      <w:marRight w:val="0"/>
      <w:marTop w:val="0"/>
      <w:marBottom w:val="0"/>
      <w:divBdr>
        <w:top w:val="none" w:sz="0" w:space="0" w:color="auto"/>
        <w:left w:val="none" w:sz="0" w:space="0" w:color="auto"/>
        <w:bottom w:val="none" w:sz="0" w:space="0" w:color="auto"/>
        <w:right w:val="none" w:sz="0" w:space="0" w:color="auto"/>
      </w:divBdr>
    </w:div>
    <w:div w:id="1145321740">
      <w:bodyDiv w:val="1"/>
      <w:marLeft w:val="0"/>
      <w:marRight w:val="0"/>
      <w:marTop w:val="0"/>
      <w:marBottom w:val="0"/>
      <w:divBdr>
        <w:top w:val="none" w:sz="0" w:space="0" w:color="auto"/>
        <w:left w:val="none" w:sz="0" w:space="0" w:color="auto"/>
        <w:bottom w:val="none" w:sz="0" w:space="0" w:color="auto"/>
        <w:right w:val="none" w:sz="0" w:space="0" w:color="auto"/>
      </w:divBdr>
    </w:div>
    <w:div w:id="1157649203">
      <w:bodyDiv w:val="1"/>
      <w:marLeft w:val="0"/>
      <w:marRight w:val="0"/>
      <w:marTop w:val="0"/>
      <w:marBottom w:val="0"/>
      <w:divBdr>
        <w:top w:val="none" w:sz="0" w:space="0" w:color="auto"/>
        <w:left w:val="none" w:sz="0" w:space="0" w:color="auto"/>
        <w:bottom w:val="none" w:sz="0" w:space="0" w:color="auto"/>
        <w:right w:val="none" w:sz="0" w:space="0" w:color="auto"/>
      </w:divBdr>
    </w:div>
    <w:div w:id="1185250281">
      <w:bodyDiv w:val="1"/>
      <w:marLeft w:val="0"/>
      <w:marRight w:val="0"/>
      <w:marTop w:val="0"/>
      <w:marBottom w:val="0"/>
      <w:divBdr>
        <w:top w:val="none" w:sz="0" w:space="0" w:color="auto"/>
        <w:left w:val="none" w:sz="0" w:space="0" w:color="auto"/>
        <w:bottom w:val="none" w:sz="0" w:space="0" w:color="auto"/>
        <w:right w:val="none" w:sz="0" w:space="0" w:color="auto"/>
      </w:divBdr>
    </w:div>
    <w:div w:id="1264417130">
      <w:bodyDiv w:val="1"/>
      <w:marLeft w:val="0"/>
      <w:marRight w:val="0"/>
      <w:marTop w:val="0"/>
      <w:marBottom w:val="0"/>
      <w:divBdr>
        <w:top w:val="none" w:sz="0" w:space="0" w:color="auto"/>
        <w:left w:val="none" w:sz="0" w:space="0" w:color="auto"/>
        <w:bottom w:val="none" w:sz="0" w:space="0" w:color="auto"/>
        <w:right w:val="none" w:sz="0" w:space="0" w:color="auto"/>
      </w:divBdr>
    </w:div>
    <w:div w:id="1339430041">
      <w:bodyDiv w:val="1"/>
      <w:marLeft w:val="0"/>
      <w:marRight w:val="0"/>
      <w:marTop w:val="0"/>
      <w:marBottom w:val="0"/>
      <w:divBdr>
        <w:top w:val="none" w:sz="0" w:space="0" w:color="auto"/>
        <w:left w:val="none" w:sz="0" w:space="0" w:color="auto"/>
        <w:bottom w:val="none" w:sz="0" w:space="0" w:color="auto"/>
        <w:right w:val="none" w:sz="0" w:space="0" w:color="auto"/>
      </w:divBdr>
    </w:div>
    <w:div w:id="1409302379">
      <w:bodyDiv w:val="1"/>
      <w:marLeft w:val="0"/>
      <w:marRight w:val="0"/>
      <w:marTop w:val="0"/>
      <w:marBottom w:val="0"/>
      <w:divBdr>
        <w:top w:val="none" w:sz="0" w:space="0" w:color="auto"/>
        <w:left w:val="none" w:sz="0" w:space="0" w:color="auto"/>
        <w:bottom w:val="none" w:sz="0" w:space="0" w:color="auto"/>
        <w:right w:val="none" w:sz="0" w:space="0" w:color="auto"/>
      </w:divBdr>
    </w:div>
    <w:div w:id="1424717704">
      <w:bodyDiv w:val="1"/>
      <w:marLeft w:val="0"/>
      <w:marRight w:val="0"/>
      <w:marTop w:val="0"/>
      <w:marBottom w:val="0"/>
      <w:divBdr>
        <w:top w:val="none" w:sz="0" w:space="0" w:color="auto"/>
        <w:left w:val="none" w:sz="0" w:space="0" w:color="auto"/>
        <w:bottom w:val="none" w:sz="0" w:space="0" w:color="auto"/>
        <w:right w:val="none" w:sz="0" w:space="0" w:color="auto"/>
      </w:divBdr>
    </w:div>
    <w:div w:id="1470712334">
      <w:bodyDiv w:val="1"/>
      <w:marLeft w:val="0"/>
      <w:marRight w:val="0"/>
      <w:marTop w:val="0"/>
      <w:marBottom w:val="0"/>
      <w:divBdr>
        <w:top w:val="none" w:sz="0" w:space="0" w:color="auto"/>
        <w:left w:val="none" w:sz="0" w:space="0" w:color="auto"/>
        <w:bottom w:val="none" w:sz="0" w:space="0" w:color="auto"/>
        <w:right w:val="none" w:sz="0" w:space="0" w:color="auto"/>
      </w:divBdr>
    </w:div>
    <w:div w:id="1472938545">
      <w:bodyDiv w:val="1"/>
      <w:marLeft w:val="0"/>
      <w:marRight w:val="0"/>
      <w:marTop w:val="0"/>
      <w:marBottom w:val="0"/>
      <w:divBdr>
        <w:top w:val="none" w:sz="0" w:space="0" w:color="auto"/>
        <w:left w:val="none" w:sz="0" w:space="0" w:color="auto"/>
        <w:bottom w:val="none" w:sz="0" w:space="0" w:color="auto"/>
        <w:right w:val="none" w:sz="0" w:space="0" w:color="auto"/>
      </w:divBdr>
    </w:div>
    <w:div w:id="1505394647">
      <w:bodyDiv w:val="1"/>
      <w:marLeft w:val="0"/>
      <w:marRight w:val="0"/>
      <w:marTop w:val="0"/>
      <w:marBottom w:val="0"/>
      <w:divBdr>
        <w:top w:val="none" w:sz="0" w:space="0" w:color="auto"/>
        <w:left w:val="none" w:sz="0" w:space="0" w:color="auto"/>
        <w:bottom w:val="none" w:sz="0" w:space="0" w:color="auto"/>
        <w:right w:val="none" w:sz="0" w:space="0" w:color="auto"/>
      </w:divBdr>
    </w:div>
    <w:div w:id="1508014142">
      <w:bodyDiv w:val="1"/>
      <w:marLeft w:val="0"/>
      <w:marRight w:val="0"/>
      <w:marTop w:val="0"/>
      <w:marBottom w:val="0"/>
      <w:divBdr>
        <w:top w:val="none" w:sz="0" w:space="0" w:color="auto"/>
        <w:left w:val="none" w:sz="0" w:space="0" w:color="auto"/>
        <w:bottom w:val="none" w:sz="0" w:space="0" w:color="auto"/>
        <w:right w:val="none" w:sz="0" w:space="0" w:color="auto"/>
      </w:divBdr>
    </w:div>
    <w:div w:id="1587422370">
      <w:bodyDiv w:val="1"/>
      <w:marLeft w:val="0"/>
      <w:marRight w:val="0"/>
      <w:marTop w:val="0"/>
      <w:marBottom w:val="0"/>
      <w:divBdr>
        <w:top w:val="none" w:sz="0" w:space="0" w:color="auto"/>
        <w:left w:val="none" w:sz="0" w:space="0" w:color="auto"/>
        <w:bottom w:val="none" w:sz="0" w:space="0" w:color="auto"/>
        <w:right w:val="none" w:sz="0" w:space="0" w:color="auto"/>
      </w:divBdr>
    </w:div>
    <w:div w:id="1642425087">
      <w:bodyDiv w:val="1"/>
      <w:marLeft w:val="0"/>
      <w:marRight w:val="0"/>
      <w:marTop w:val="0"/>
      <w:marBottom w:val="0"/>
      <w:divBdr>
        <w:top w:val="none" w:sz="0" w:space="0" w:color="auto"/>
        <w:left w:val="none" w:sz="0" w:space="0" w:color="auto"/>
        <w:bottom w:val="none" w:sz="0" w:space="0" w:color="auto"/>
        <w:right w:val="none" w:sz="0" w:space="0" w:color="auto"/>
      </w:divBdr>
    </w:div>
    <w:div w:id="1647122725">
      <w:bodyDiv w:val="1"/>
      <w:marLeft w:val="0"/>
      <w:marRight w:val="0"/>
      <w:marTop w:val="0"/>
      <w:marBottom w:val="0"/>
      <w:divBdr>
        <w:top w:val="none" w:sz="0" w:space="0" w:color="auto"/>
        <w:left w:val="none" w:sz="0" w:space="0" w:color="auto"/>
        <w:bottom w:val="none" w:sz="0" w:space="0" w:color="auto"/>
        <w:right w:val="none" w:sz="0" w:space="0" w:color="auto"/>
      </w:divBdr>
    </w:div>
    <w:div w:id="1816952209">
      <w:bodyDiv w:val="1"/>
      <w:marLeft w:val="0"/>
      <w:marRight w:val="0"/>
      <w:marTop w:val="0"/>
      <w:marBottom w:val="0"/>
      <w:divBdr>
        <w:top w:val="none" w:sz="0" w:space="0" w:color="auto"/>
        <w:left w:val="none" w:sz="0" w:space="0" w:color="auto"/>
        <w:bottom w:val="none" w:sz="0" w:space="0" w:color="auto"/>
        <w:right w:val="none" w:sz="0" w:space="0" w:color="auto"/>
      </w:divBdr>
    </w:div>
    <w:div w:id="1881018210">
      <w:bodyDiv w:val="1"/>
      <w:marLeft w:val="0"/>
      <w:marRight w:val="0"/>
      <w:marTop w:val="0"/>
      <w:marBottom w:val="0"/>
      <w:divBdr>
        <w:top w:val="none" w:sz="0" w:space="0" w:color="auto"/>
        <w:left w:val="none" w:sz="0" w:space="0" w:color="auto"/>
        <w:bottom w:val="none" w:sz="0" w:space="0" w:color="auto"/>
        <w:right w:val="none" w:sz="0" w:space="0" w:color="auto"/>
      </w:divBdr>
    </w:div>
    <w:div w:id="1971979723">
      <w:bodyDiv w:val="1"/>
      <w:marLeft w:val="0"/>
      <w:marRight w:val="0"/>
      <w:marTop w:val="0"/>
      <w:marBottom w:val="0"/>
      <w:divBdr>
        <w:top w:val="none" w:sz="0" w:space="0" w:color="auto"/>
        <w:left w:val="none" w:sz="0" w:space="0" w:color="auto"/>
        <w:bottom w:val="none" w:sz="0" w:space="0" w:color="auto"/>
        <w:right w:val="none" w:sz="0" w:space="0" w:color="auto"/>
      </w:divBdr>
    </w:div>
    <w:div w:id="1976443880">
      <w:bodyDiv w:val="1"/>
      <w:marLeft w:val="0"/>
      <w:marRight w:val="0"/>
      <w:marTop w:val="0"/>
      <w:marBottom w:val="0"/>
      <w:divBdr>
        <w:top w:val="none" w:sz="0" w:space="0" w:color="auto"/>
        <w:left w:val="none" w:sz="0" w:space="0" w:color="auto"/>
        <w:bottom w:val="none" w:sz="0" w:space="0" w:color="auto"/>
        <w:right w:val="none" w:sz="0" w:space="0" w:color="auto"/>
      </w:divBdr>
    </w:div>
    <w:div w:id="2061052671">
      <w:bodyDiv w:val="1"/>
      <w:marLeft w:val="0"/>
      <w:marRight w:val="0"/>
      <w:marTop w:val="0"/>
      <w:marBottom w:val="0"/>
      <w:divBdr>
        <w:top w:val="none" w:sz="0" w:space="0" w:color="auto"/>
        <w:left w:val="none" w:sz="0" w:space="0" w:color="auto"/>
        <w:bottom w:val="none" w:sz="0" w:space="0" w:color="auto"/>
        <w:right w:val="none" w:sz="0" w:space="0" w:color="auto"/>
      </w:divBdr>
    </w:div>
    <w:div w:id="206656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2161</Words>
  <Characters>13889</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Solveig Heldt</dc:creator>
  <cp:keywords/>
  <dc:description>2019024377 4.4, 4.5</dc:description>
  <cp:lastModifiedBy>Solveig Heldt</cp:lastModifiedBy>
  <cp:revision>7</cp:revision>
  <cp:lastPrinted>2012-08-22T08:53:00Z</cp:lastPrinted>
  <dcterms:created xsi:type="dcterms:W3CDTF">2022-07-05T07:14:00Z</dcterms:created>
  <dcterms:modified xsi:type="dcterms:W3CDTF">2022-07-06T11:02:00Z</dcterms:modified>
</cp:coreProperties>
</file>