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300"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F165EB4" wp14:editId="183C2DF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1624A10" w14:textId="0DB844C6" w:rsidR="009260DE" w:rsidRPr="00210512" w:rsidRDefault="009260DE" w:rsidP="009260DE">
      <w:pPr>
        <w:pStyle w:val="Titel"/>
        <w:tabs>
          <w:tab w:val="right" w:pos="9356"/>
        </w:tabs>
        <w:jc w:val="left"/>
        <w:rPr>
          <w:szCs w:val="24"/>
          <w:lang w:eastAsia="en-US"/>
        </w:rPr>
      </w:pPr>
      <w:r w:rsidRPr="00C84483">
        <w:rPr>
          <w:b w:val="0"/>
          <w:szCs w:val="24"/>
          <w:lang w:eastAsia="en-US"/>
        </w:rPr>
        <w:tab/>
      </w:r>
      <w:r w:rsidR="00210512" w:rsidRPr="00210512">
        <w:rPr>
          <w:szCs w:val="24"/>
          <w:lang w:eastAsia="en-US"/>
        </w:rPr>
        <w:t>2</w:t>
      </w:r>
      <w:r w:rsidR="005C5214">
        <w:rPr>
          <w:szCs w:val="24"/>
          <w:lang w:eastAsia="en-US"/>
        </w:rPr>
        <w:t>3</w:t>
      </w:r>
      <w:r w:rsidR="00210512" w:rsidRPr="00210512">
        <w:rPr>
          <w:szCs w:val="24"/>
          <w:lang w:eastAsia="en-US"/>
        </w:rPr>
        <w:t>. april 2025</w:t>
      </w:r>
    </w:p>
    <w:p w14:paraId="52C01117" w14:textId="77777777" w:rsidR="009260DE" w:rsidRDefault="009260DE" w:rsidP="009260DE">
      <w:pPr>
        <w:pStyle w:val="Titel"/>
        <w:tabs>
          <w:tab w:val="left" w:pos="8222"/>
        </w:tabs>
        <w:jc w:val="left"/>
        <w:rPr>
          <w:b w:val="0"/>
          <w:szCs w:val="24"/>
        </w:rPr>
      </w:pPr>
    </w:p>
    <w:p w14:paraId="2D5C91EC" w14:textId="77777777" w:rsidR="00B748F4" w:rsidRPr="00F152B5" w:rsidRDefault="00B748F4" w:rsidP="009260DE">
      <w:pPr>
        <w:pStyle w:val="Titel"/>
        <w:tabs>
          <w:tab w:val="left" w:pos="8222"/>
        </w:tabs>
        <w:jc w:val="left"/>
        <w:rPr>
          <w:b w:val="0"/>
          <w:szCs w:val="24"/>
        </w:rPr>
      </w:pPr>
    </w:p>
    <w:p w14:paraId="5356DA28" w14:textId="77777777" w:rsidR="009260DE" w:rsidRPr="00F152B5" w:rsidRDefault="009260DE" w:rsidP="009260DE">
      <w:pPr>
        <w:pStyle w:val="Titel"/>
        <w:jc w:val="left"/>
        <w:rPr>
          <w:b w:val="0"/>
          <w:szCs w:val="24"/>
        </w:rPr>
      </w:pPr>
    </w:p>
    <w:p w14:paraId="45FC1F0D" w14:textId="77777777" w:rsidR="009260DE" w:rsidRPr="001603C5" w:rsidRDefault="009260DE" w:rsidP="009260DE">
      <w:pPr>
        <w:jc w:val="center"/>
        <w:rPr>
          <w:b/>
          <w:sz w:val="24"/>
          <w:szCs w:val="24"/>
        </w:rPr>
      </w:pPr>
      <w:r w:rsidRPr="001603C5">
        <w:rPr>
          <w:b/>
          <w:sz w:val="24"/>
          <w:szCs w:val="24"/>
        </w:rPr>
        <w:t>PRODUKTRESUMÉ</w:t>
      </w:r>
    </w:p>
    <w:p w14:paraId="74400C7D" w14:textId="77777777" w:rsidR="009260DE" w:rsidRPr="001603C5" w:rsidRDefault="009260DE" w:rsidP="009260DE">
      <w:pPr>
        <w:jc w:val="center"/>
        <w:rPr>
          <w:b/>
          <w:sz w:val="24"/>
          <w:szCs w:val="24"/>
        </w:rPr>
      </w:pPr>
    </w:p>
    <w:p w14:paraId="582BFE49" w14:textId="77777777" w:rsidR="009260DE" w:rsidRPr="001603C5" w:rsidRDefault="009260DE" w:rsidP="009260DE">
      <w:pPr>
        <w:jc w:val="center"/>
        <w:rPr>
          <w:b/>
          <w:sz w:val="24"/>
          <w:szCs w:val="24"/>
        </w:rPr>
      </w:pPr>
      <w:r w:rsidRPr="001603C5">
        <w:rPr>
          <w:b/>
          <w:sz w:val="24"/>
          <w:szCs w:val="24"/>
        </w:rPr>
        <w:t>for</w:t>
      </w:r>
    </w:p>
    <w:p w14:paraId="2AC71F7F" w14:textId="77777777" w:rsidR="000B058C" w:rsidRPr="001603C5" w:rsidRDefault="000B058C" w:rsidP="009260DE">
      <w:pPr>
        <w:jc w:val="center"/>
        <w:rPr>
          <w:b/>
          <w:sz w:val="24"/>
          <w:szCs w:val="24"/>
        </w:rPr>
      </w:pPr>
    </w:p>
    <w:p w14:paraId="341010F9" w14:textId="77777777" w:rsidR="009260DE" w:rsidRPr="001603C5" w:rsidRDefault="00BD0B7C" w:rsidP="009260DE">
      <w:pPr>
        <w:jc w:val="center"/>
        <w:rPr>
          <w:b/>
          <w:sz w:val="24"/>
          <w:szCs w:val="24"/>
        </w:rPr>
      </w:pPr>
      <w:r w:rsidRPr="001603C5">
        <w:rPr>
          <w:b/>
          <w:sz w:val="24"/>
          <w:szCs w:val="24"/>
        </w:rPr>
        <w:t>Paracetamol "Medical Valley", filmovertrukne tabletter</w:t>
      </w:r>
    </w:p>
    <w:p w14:paraId="6767DF05" w14:textId="77777777" w:rsidR="009260DE" w:rsidRPr="001603C5" w:rsidRDefault="009260DE" w:rsidP="009260DE">
      <w:pPr>
        <w:jc w:val="both"/>
        <w:rPr>
          <w:sz w:val="24"/>
          <w:szCs w:val="24"/>
        </w:rPr>
      </w:pPr>
    </w:p>
    <w:p w14:paraId="16E3B65C" w14:textId="77777777" w:rsidR="009260DE" w:rsidRPr="001603C5" w:rsidRDefault="009260DE" w:rsidP="009260DE">
      <w:pPr>
        <w:jc w:val="both"/>
        <w:rPr>
          <w:sz w:val="24"/>
          <w:szCs w:val="24"/>
        </w:rPr>
      </w:pPr>
    </w:p>
    <w:p w14:paraId="38D79E58" w14:textId="77777777" w:rsidR="009260DE" w:rsidRPr="001603C5" w:rsidRDefault="009260DE" w:rsidP="009260DE">
      <w:pPr>
        <w:tabs>
          <w:tab w:val="left" w:pos="851"/>
        </w:tabs>
        <w:ind w:left="851" w:hanging="851"/>
        <w:rPr>
          <w:b/>
          <w:sz w:val="24"/>
          <w:szCs w:val="24"/>
        </w:rPr>
      </w:pPr>
      <w:r w:rsidRPr="001603C5">
        <w:rPr>
          <w:b/>
          <w:sz w:val="24"/>
          <w:szCs w:val="24"/>
        </w:rPr>
        <w:t>0.</w:t>
      </w:r>
      <w:r w:rsidRPr="001603C5">
        <w:rPr>
          <w:b/>
          <w:sz w:val="24"/>
          <w:szCs w:val="24"/>
        </w:rPr>
        <w:tab/>
        <w:t>D.SP.NR.</w:t>
      </w:r>
    </w:p>
    <w:p w14:paraId="42E27547" w14:textId="77777777" w:rsidR="009260DE" w:rsidRPr="00C84483" w:rsidRDefault="00E45F08" w:rsidP="009260DE">
      <w:pPr>
        <w:tabs>
          <w:tab w:val="left" w:pos="851"/>
        </w:tabs>
        <w:ind w:left="851"/>
        <w:rPr>
          <w:sz w:val="24"/>
          <w:szCs w:val="24"/>
        </w:rPr>
      </w:pPr>
      <w:r>
        <w:rPr>
          <w:sz w:val="24"/>
          <w:szCs w:val="24"/>
        </w:rPr>
        <w:t>31882</w:t>
      </w:r>
    </w:p>
    <w:p w14:paraId="04BA006F" w14:textId="77777777" w:rsidR="009260DE" w:rsidRPr="00C84483" w:rsidRDefault="009260DE" w:rsidP="009260DE">
      <w:pPr>
        <w:tabs>
          <w:tab w:val="left" w:pos="851"/>
        </w:tabs>
        <w:ind w:left="851"/>
        <w:rPr>
          <w:sz w:val="24"/>
          <w:szCs w:val="24"/>
        </w:rPr>
      </w:pPr>
    </w:p>
    <w:p w14:paraId="6EAF5B6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8530172" w14:textId="77777777" w:rsidR="009260DE" w:rsidRPr="00C84483" w:rsidRDefault="00E45F08" w:rsidP="009260DE">
      <w:pPr>
        <w:tabs>
          <w:tab w:val="left" w:pos="851"/>
        </w:tabs>
        <w:ind w:left="851"/>
        <w:rPr>
          <w:sz w:val="24"/>
          <w:szCs w:val="24"/>
        </w:rPr>
      </w:pPr>
      <w:r>
        <w:rPr>
          <w:sz w:val="24"/>
          <w:szCs w:val="24"/>
        </w:rPr>
        <w:t>Paracetamol "Medical Valley"</w:t>
      </w:r>
    </w:p>
    <w:p w14:paraId="036B49B6" w14:textId="77777777" w:rsidR="009260DE" w:rsidRPr="00C84483" w:rsidRDefault="009260DE" w:rsidP="009260DE">
      <w:pPr>
        <w:tabs>
          <w:tab w:val="left" w:pos="851"/>
        </w:tabs>
        <w:ind w:left="851"/>
        <w:rPr>
          <w:sz w:val="24"/>
          <w:szCs w:val="24"/>
        </w:rPr>
      </w:pPr>
    </w:p>
    <w:p w14:paraId="45F76FAF"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08458A0" w14:textId="77777777" w:rsidR="00E45F08" w:rsidRDefault="00E45F08" w:rsidP="00E45F08">
      <w:pPr>
        <w:tabs>
          <w:tab w:val="left" w:pos="851"/>
        </w:tabs>
        <w:ind w:left="851"/>
        <w:rPr>
          <w:i/>
          <w:sz w:val="24"/>
          <w:szCs w:val="24"/>
        </w:rPr>
      </w:pPr>
    </w:p>
    <w:p w14:paraId="3048D9FA" w14:textId="77777777" w:rsidR="00E45F08" w:rsidRPr="00E45F08" w:rsidRDefault="00E45F08" w:rsidP="00E45F08">
      <w:pPr>
        <w:tabs>
          <w:tab w:val="left" w:pos="851"/>
        </w:tabs>
        <w:ind w:left="851"/>
        <w:rPr>
          <w:sz w:val="24"/>
          <w:szCs w:val="24"/>
          <w:u w:val="single"/>
        </w:rPr>
      </w:pPr>
      <w:r w:rsidRPr="00E45F08">
        <w:rPr>
          <w:sz w:val="24"/>
          <w:szCs w:val="24"/>
          <w:u w:val="single"/>
        </w:rPr>
        <w:t>500 mg</w:t>
      </w:r>
    </w:p>
    <w:p w14:paraId="75DF1C37" w14:textId="77777777" w:rsidR="00312724" w:rsidRDefault="00E45F08" w:rsidP="00E45F08">
      <w:pPr>
        <w:tabs>
          <w:tab w:val="left" w:pos="851"/>
        </w:tabs>
        <w:ind w:left="851"/>
        <w:rPr>
          <w:sz w:val="24"/>
          <w:szCs w:val="24"/>
        </w:rPr>
      </w:pPr>
      <w:r w:rsidRPr="00E45F08">
        <w:rPr>
          <w:sz w:val="24"/>
          <w:szCs w:val="24"/>
        </w:rPr>
        <w:t>Hver filmovertrukket tablet indeholder 500 mg paracetamol.</w:t>
      </w:r>
    </w:p>
    <w:p w14:paraId="0B4A665D" w14:textId="77777777" w:rsidR="00312724" w:rsidRDefault="00312724" w:rsidP="00E45F08">
      <w:pPr>
        <w:tabs>
          <w:tab w:val="left" w:pos="851"/>
        </w:tabs>
        <w:ind w:left="851"/>
        <w:rPr>
          <w:sz w:val="24"/>
          <w:szCs w:val="24"/>
        </w:rPr>
      </w:pPr>
    </w:p>
    <w:p w14:paraId="4045C558" w14:textId="77777777" w:rsidR="00E45F08" w:rsidRPr="00E45F08" w:rsidRDefault="00E45F08" w:rsidP="00E45F08">
      <w:pPr>
        <w:tabs>
          <w:tab w:val="left" w:pos="851"/>
        </w:tabs>
        <w:ind w:left="851"/>
        <w:rPr>
          <w:sz w:val="24"/>
          <w:szCs w:val="24"/>
        </w:rPr>
      </w:pPr>
      <w:r w:rsidRPr="00E45F08">
        <w:rPr>
          <w:sz w:val="24"/>
          <w:szCs w:val="24"/>
        </w:rPr>
        <w:t>Alle hjælpestoffer er anført under pkt. 6.1.</w:t>
      </w:r>
    </w:p>
    <w:p w14:paraId="4FB0865A" w14:textId="77777777" w:rsidR="00E45F08" w:rsidRPr="00E45F08" w:rsidRDefault="00E45F08" w:rsidP="00E45F08">
      <w:pPr>
        <w:tabs>
          <w:tab w:val="left" w:pos="851"/>
        </w:tabs>
        <w:ind w:left="851"/>
        <w:rPr>
          <w:sz w:val="24"/>
          <w:szCs w:val="24"/>
        </w:rPr>
      </w:pPr>
    </w:p>
    <w:p w14:paraId="421F0C2D" w14:textId="77777777" w:rsidR="00E45F08" w:rsidRPr="00E45F08" w:rsidRDefault="00E45F08" w:rsidP="00E45F08">
      <w:pPr>
        <w:tabs>
          <w:tab w:val="left" w:pos="851"/>
        </w:tabs>
        <w:ind w:left="851"/>
        <w:rPr>
          <w:sz w:val="24"/>
          <w:szCs w:val="24"/>
          <w:u w:val="single"/>
        </w:rPr>
      </w:pPr>
      <w:r w:rsidRPr="00E45F08">
        <w:rPr>
          <w:sz w:val="24"/>
          <w:szCs w:val="24"/>
          <w:u w:val="single"/>
        </w:rPr>
        <w:t>1000 mg</w:t>
      </w:r>
    </w:p>
    <w:p w14:paraId="3C230040" w14:textId="77777777" w:rsidR="00312724" w:rsidRDefault="00E45F08" w:rsidP="00E45F08">
      <w:pPr>
        <w:tabs>
          <w:tab w:val="left" w:pos="851"/>
        </w:tabs>
        <w:ind w:left="851"/>
        <w:rPr>
          <w:sz w:val="24"/>
          <w:szCs w:val="24"/>
        </w:rPr>
      </w:pPr>
      <w:r w:rsidRPr="00E45F08">
        <w:rPr>
          <w:sz w:val="24"/>
          <w:szCs w:val="24"/>
        </w:rPr>
        <w:t>Hver filmovertrukket tablet indeholder 1000 mg paracetamol.</w:t>
      </w:r>
    </w:p>
    <w:p w14:paraId="25CD724A" w14:textId="77777777" w:rsidR="00312724" w:rsidRDefault="00312724" w:rsidP="00E45F08">
      <w:pPr>
        <w:tabs>
          <w:tab w:val="left" w:pos="851"/>
        </w:tabs>
        <w:ind w:left="851"/>
        <w:rPr>
          <w:sz w:val="24"/>
          <w:szCs w:val="24"/>
        </w:rPr>
      </w:pPr>
    </w:p>
    <w:p w14:paraId="55A64EF5" w14:textId="77777777" w:rsidR="00E45F08" w:rsidRPr="00E45F08" w:rsidRDefault="00E45F08" w:rsidP="00E45F08">
      <w:pPr>
        <w:tabs>
          <w:tab w:val="left" w:pos="851"/>
        </w:tabs>
        <w:ind w:left="851"/>
        <w:rPr>
          <w:sz w:val="24"/>
          <w:szCs w:val="24"/>
        </w:rPr>
      </w:pPr>
      <w:r w:rsidRPr="00E45F08">
        <w:rPr>
          <w:sz w:val="24"/>
          <w:szCs w:val="24"/>
        </w:rPr>
        <w:t>Alle hjælpestoffer er anført under pkt. 6.1.</w:t>
      </w:r>
    </w:p>
    <w:p w14:paraId="682FF12E" w14:textId="77777777" w:rsidR="009260DE" w:rsidRPr="00C84483" w:rsidRDefault="009260DE" w:rsidP="009260DE">
      <w:pPr>
        <w:tabs>
          <w:tab w:val="left" w:pos="851"/>
        </w:tabs>
        <w:ind w:left="851"/>
        <w:rPr>
          <w:sz w:val="24"/>
          <w:szCs w:val="24"/>
        </w:rPr>
      </w:pPr>
    </w:p>
    <w:p w14:paraId="12446C4C"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5FB5961" w14:textId="77777777" w:rsidR="00312724" w:rsidRPr="00312724" w:rsidRDefault="00312724" w:rsidP="00312724">
      <w:pPr>
        <w:tabs>
          <w:tab w:val="left" w:pos="851"/>
        </w:tabs>
        <w:ind w:left="851"/>
        <w:rPr>
          <w:sz w:val="24"/>
          <w:szCs w:val="24"/>
        </w:rPr>
      </w:pPr>
      <w:r w:rsidRPr="00312724">
        <w:rPr>
          <w:sz w:val="24"/>
          <w:szCs w:val="24"/>
        </w:rPr>
        <w:t>Filmovertrukne tabletter</w:t>
      </w:r>
    </w:p>
    <w:p w14:paraId="76A0B9CC" w14:textId="77777777" w:rsidR="00312724" w:rsidRPr="00312724" w:rsidRDefault="00312724" w:rsidP="00312724">
      <w:pPr>
        <w:tabs>
          <w:tab w:val="left" w:pos="851"/>
        </w:tabs>
        <w:ind w:left="851"/>
        <w:rPr>
          <w:sz w:val="24"/>
          <w:szCs w:val="24"/>
        </w:rPr>
      </w:pPr>
    </w:p>
    <w:p w14:paraId="0F04C5F7" w14:textId="77777777" w:rsidR="00312724" w:rsidRPr="00DB38F8" w:rsidRDefault="00312724" w:rsidP="00312724">
      <w:pPr>
        <w:tabs>
          <w:tab w:val="left" w:pos="851"/>
        </w:tabs>
        <w:ind w:left="851"/>
        <w:rPr>
          <w:sz w:val="24"/>
          <w:szCs w:val="24"/>
          <w:u w:val="single"/>
        </w:rPr>
      </w:pPr>
      <w:r w:rsidRPr="00DB38F8">
        <w:rPr>
          <w:sz w:val="24"/>
          <w:szCs w:val="24"/>
          <w:u w:val="single"/>
        </w:rPr>
        <w:t>500 mg</w:t>
      </w:r>
    </w:p>
    <w:p w14:paraId="452B5C23" w14:textId="77777777" w:rsidR="00312724" w:rsidRPr="00312724" w:rsidRDefault="00312724" w:rsidP="00312724">
      <w:pPr>
        <w:tabs>
          <w:tab w:val="left" w:pos="851"/>
        </w:tabs>
        <w:ind w:left="851"/>
        <w:rPr>
          <w:sz w:val="24"/>
          <w:szCs w:val="24"/>
        </w:rPr>
      </w:pPr>
      <w:r>
        <w:rPr>
          <w:sz w:val="24"/>
          <w:szCs w:val="24"/>
        </w:rPr>
        <w:t>H</w:t>
      </w:r>
      <w:r w:rsidRPr="00312724">
        <w:rPr>
          <w:sz w:val="24"/>
          <w:szCs w:val="24"/>
        </w:rPr>
        <w:t>vide til råhvide, kapselformede, filmovertrukne tabletter</w:t>
      </w:r>
      <w:bookmarkStart w:id="0" w:name="_Hlk45539912"/>
      <w:r w:rsidRPr="00312724">
        <w:rPr>
          <w:sz w:val="24"/>
          <w:szCs w:val="24"/>
        </w:rPr>
        <w:t xml:space="preserve"> (cirka 17 mm</w:t>
      </w:r>
      <w:r w:rsidR="00DB38F8">
        <w:rPr>
          <w:sz w:val="24"/>
          <w:szCs w:val="24"/>
        </w:rPr>
        <w:t>×</w:t>
      </w:r>
      <w:r w:rsidRPr="00312724">
        <w:rPr>
          <w:sz w:val="24"/>
          <w:szCs w:val="24"/>
        </w:rPr>
        <w:t>8 mm)</w:t>
      </w:r>
      <w:bookmarkEnd w:id="0"/>
      <w:r w:rsidRPr="00312724">
        <w:rPr>
          <w:sz w:val="24"/>
          <w:szCs w:val="24"/>
        </w:rPr>
        <w:t>, der har delekærv på den ene side og er glatte på den anden side.</w:t>
      </w:r>
    </w:p>
    <w:p w14:paraId="2B7A8887" w14:textId="77777777" w:rsidR="00312724" w:rsidRPr="00312724" w:rsidRDefault="00312724" w:rsidP="00312724">
      <w:pPr>
        <w:tabs>
          <w:tab w:val="left" w:pos="851"/>
        </w:tabs>
        <w:ind w:left="851"/>
        <w:rPr>
          <w:sz w:val="24"/>
          <w:szCs w:val="24"/>
        </w:rPr>
      </w:pPr>
    </w:p>
    <w:p w14:paraId="16D46668" w14:textId="77777777" w:rsidR="00DB38F8" w:rsidRPr="00DB38F8" w:rsidRDefault="00312724" w:rsidP="00312724">
      <w:pPr>
        <w:tabs>
          <w:tab w:val="left" w:pos="851"/>
        </w:tabs>
        <w:ind w:left="851"/>
        <w:rPr>
          <w:sz w:val="24"/>
          <w:szCs w:val="24"/>
          <w:u w:val="single"/>
        </w:rPr>
      </w:pPr>
      <w:r w:rsidRPr="00DB38F8">
        <w:rPr>
          <w:sz w:val="24"/>
          <w:szCs w:val="24"/>
          <w:u w:val="single"/>
        </w:rPr>
        <w:t>1000 mg</w:t>
      </w:r>
    </w:p>
    <w:p w14:paraId="6D696292" w14:textId="77777777" w:rsidR="00312724" w:rsidRPr="00312724" w:rsidRDefault="00DB38F8" w:rsidP="00312724">
      <w:pPr>
        <w:tabs>
          <w:tab w:val="left" w:pos="851"/>
        </w:tabs>
        <w:ind w:left="851"/>
        <w:rPr>
          <w:sz w:val="24"/>
          <w:szCs w:val="24"/>
        </w:rPr>
      </w:pPr>
      <w:r>
        <w:rPr>
          <w:sz w:val="24"/>
          <w:szCs w:val="24"/>
        </w:rPr>
        <w:t>H</w:t>
      </w:r>
      <w:r w:rsidR="00312724" w:rsidRPr="00312724">
        <w:rPr>
          <w:sz w:val="24"/>
          <w:szCs w:val="24"/>
        </w:rPr>
        <w:t xml:space="preserve">vide til råhvide, kapselformede, filmovertrukne tabletter </w:t>
      </w:r>
      <w:bookmarkStart w:id="1" w:name="_Hlk45539925"/>
      <w:r w:rsidR="00312724" w:rsidRPr="00312724">
        <w:rPr>
          <w:sz w:val="24"/>
          <w:szCs w:val="24"/>
        </w:rPr>
        <w:t>(cirka 21 mm</w:t>
      </w:r>
      <w:r>
        <w:rPr>
          <w:sz w:val="24"/>
          <w:szCs w:val="24"/>
        </w:rPr>
        <w:t>×</w:t>
      </w:r>
      <w:r w:rsidR="00312724" w:rsidRPr="00312724">
        <w:rPr>
          <w:sz w:val="24"/>
          <w:szCs w:val="24"/>
        </w:rPr>
        <w:t>10 mm)</w:t>
      </w:r>
      <w:bookmarkEnd w:id="1"/>
      <w:r w:rsidR="00312724" w:rsidRPr="00312724">
        <w:rPr>
          <w:sz w:val="24"/>
          <w:szCs w:val="24"/>
        </w:rPr>
        <w:t>, der har delekærv på den ene side og er glatte på den anden side.</w:t>
      </w:r>
    </w:p>
    <w:p w14:paraId="7EF75D1E" w14:textId="77777777" w:rsidR="00312724" w:rsidRPr="00312724" w:rsidRDefault="00312724" w:rsidP="00312724">
      <w:pPr>
        <w:tabs>
          <w:tab w:val="left" w:pos="851"/>
        </w:tabs>
        <w:ind w:left="851"/>
        <w:rPr>
          <w:sz w:val="24"/>
          <w:szCs w:val="24"/>
        </w:rPr>
      </w:pPr>
    </w:p>
    <w:p w14:paraId="72BC3F42" w14:textId="77777777" w:rsidR="00987BD5" w:rsidRDefault="00312724" w:rsidP="00B748F4">
      <w:pPr>
        <w:tabs>
          <w:tab w:val="left" w:pos="851"/>
        </w:tabs>
        <w:ind w:left="851"/>
        <w:rPr>
          <w:sz w:val="24"/>
          <w:szCs w:val="24"/>
        </w:rPr>
      </w:pPr>
      <w:bookmarkStart w:id="2" w:name="_Hlk45539980"/>
      <w:r w:rsidRPr="00312724">
        <w:rPr>
          <w:sz w:val="24"/>
          <w:szCs w:val="24"/>
        </w:rPr>
        <w:t>Tabletterne kan deles i to lige store doser.</w:t>
      </w:r>
      <w:bookmarkEnd w:id="2"/>
    </w:p>
    <w:p w14:paraId="3AD3AE74" w14:textId="77777777" w:rsidR="00B748F4" w:rsidRDefault="00B748F4" w:rsidP="00B748F4">
      <w:pPr>
        <w:tabs>
          <w:tab w:val="left" w:pos="851"/>
        </w:tabs>
        <w:ind w:left="851"/>
        <w:rPr>
          <w:sz w:val="24"/>
          <w:szCs w:val="24"/>
        </w:rPr>
      </w:pPr>
    </w:p>
    <w:p w14:paraId="65D86C22" w14:textId="77777777" w:rsidR="00B748F4" w:rsidRDefault="00B748F4" w:rsidP="00B748F4">
      <w:pPr>
        <w:tabs>
          <w:tab w:val="left" w:pos="851"/>
        </w:tabs>
        <w:ind w:left="851"/>
        <w:rPr>
          <w:sz w:val="24"/>
          <w:szCs w:val="24"/>
        </w:rPr>
      </w:pPr>
    </w:p>
    <w:p w14:paraId="3AB945F2" w14:textId="77777777" w:rsidR="00B748F4" w:rsidRDefault="00B748F4" w:rsidP="00B748F4">
      <w:pPr>
        <w:tabs>
          <w:tab w:val="left" w:pos="851"/>
        </w:tabs>
        <w:ind w:left="851"/>
        <w:rPr>
          <w:sz w:val="24"/>
          <w:szCs w:val="24"/>
        </w:rPr>
      </w:pPr>
    </w:p>
    <w:p w14:paraId="70BD1679" w14:textId="77777777" w:rsidR="00B748F4" w:rsidRDefault="00B748F4" w:rsidP="00B748F4">
      <w:pPr>
        <w:tabs>
          <w:tab w:val="left" w:pos="851"/>
        </w:tabs>
        <w:ind w:left="851"/>
        <w:rPr>
          <w:sz w:val="24"/>
          <w:szCs w:val="24"/>
        </w:rPr>
      </w:pPr>
    </w:p>
    <w:p w14:paraId="21141DB0" w14:textId="77777777" w:rsidR="009260DE" w:rsidRPr="00C84483" w:rsidRDefault="009260DE" w:rsidP="009260DE">
      <w:pPr>
        <w:tabs>
          <w:tab w:val="left" w:pos="851"/>
        </w:tabs>
        <w:ind w:left="851"/>
        <w:rPr>
          <w:sz w:val="24"/>
          <w:szCs w:val="24"/>
        </w:rPr>
      </w:pPr>
    </w:p>
    <w:p w14:paraId="1BC3BAFD" w14:textId="77777777" w:rsidR="009260DE" w:rsidRPr="00C84483" w:rsidRDefault="009260DE" w:rsidP="009260DE">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14:paraId="3EE92B6A" w14:textId="77777777" w:rsidR="009260DE" w:rsidRPr="00C84483" w:rsidRDefault="009260DE" w:rsidP="009260DE">
      <w:pPr>
        <w:tabs>
          <w:tab w:val="left" w:pos="851"/>
        </w:tabs>
        <w:ind w:left="851"/>
        <w:rPr>
          <w:b/>
          <w:sz w:val="24"/>
          <w:szCs w:val="24"/>
        </w:rPr>
      </w:pPr>
    </w:p>
    <w:p w14:paraId="1233617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82FEC66" w14:textId="77777777" w:rsidR="00DB38F8" w:rsidRPr="00DB38F8" w:rsidRDefault="00DB38F8" w:rsidP="00DB38F8">
      <w:pPr>
        <w:tabs>
          <w:tab w:val="left" w:pos="851"/>
        </w:tabs>
        <w:ind w:left="851"/>
        <w:rPr>
          <w:sz w:val="24"/>
          <w:szCs w:val="24"/>
        </w:rPr>
      </w:pPr>
      <w:bookmarkStart w:id="3" w:name="_Hlk45569598"/>
      <w:r w:rsidRPr="00DB38F8">
        <w:rPr>
          <w:sz w:val="24"/>
          <w:szCs w:val="24"/>
        </w:rPr>
        <w:t xml:space="preserve">Symptomatisk behandling af hovedpine, tandpine, menstruationssmerter, muskel- og ledsmerter, gigtsmerter, feber i forbindelse med forkølelse og </w:t>
      </w:r>
      <w:proofErr w:type="spellStart"/>
      <w:r w:rsidRPr="00DB38F8">
        <w:rPr>
          <w:sz w:val="24"/>
          <w:szCs w:val="24"/>
        </w:rPr>
        <w:t>hyperpyreksi</w:t>
      </w:r>
      <w:bookmarkEnd w:id="3"/>
      <w:proofErr w:type="spellEnd"/>
      <w:r w:rsidRPr="00DB38F8">
        <w:rPr>
          <w:sz w:val="24"/>
          <w:szCs w:val="24"/>
        </w:rPr>
        <w:t>.</w:t>
      </w:r>
    </w:p>
    <w:p w14:paraId="418CE5CA" w14:textId="77777777" w:rsidR="00DB38F8" w:rsidRPr="00DB38F8" w:rsidRDefault="00DB38F8" w:rsidP="00DB38F8">
      <w:pPr>
        <w:tabs>
          <w:tab w:val="left" w:pos="851"/>
        </w:tabs>
        <w:ind w:left="851"/>
        <w:rPr>
          <w:sz w:val="24"/>
          <w:szCs w:val="24"/>
        </w:rPr>
      </w:pPr>
    </w:p>
    <w:p w14:paraId="55583CF7" w14:textId="77777777" w:rsidR="00DB38F8" w:rsidRPr="00DB38F8" w:rsidRDefault="00987BD5" w:rsidP="00DB38F8">
      <w:pPr>
        <w:tabs>
          <w:tab w:val="left" w:pos="851"/>
        </w:tabs>
        <w:ind w:left="851"/>
        <w:rPr>
          <w:sz w:val="24"/>
          <w:szCs w:val="24"/>
        </w:rPr>
      </w:pPr>
      <w:r>
        <w:rPr>
          <w:sz w:val="24"/>
          <w:szCs w:val="24"/>
        </w:rPr>
        <w:t>Paracetamol "Medical Valley"</w:t>
      </w:r>
      <w:r w:rsidR="00DB38F8" w:rsidRPr="00DB38F8">
        <w:rPr>
          <w:sz w:val="24"/>
          <w:szCs w:val="24"/>
        </w:rPr>
        <w:t xml:space="preserve"> 1000 mg er indiceret til voksne og unge, der vejer over 40 kg (over 12 år).</w:t>
      </w:r>
    </w:p>
    <w:p w14:paraId="3527AD9E" w14:textId="77777777" w:rsidR="00DB38F8" w:rsidRPr="00DB38F8" w:rsidRDefault="00DB38F8" w:rsidP="00DB38F8">
      <w:pPr>
        <w:tabs>
          <w:tab w:val="left" w:pos="851"/>
        </w:tabs>
        <w:ind w:left="851"/>
        <w:rPr>
          <w:sz w:val="24"/>
          <w:szCs w:val="24"/>
        </w:rPr>
      </w:pPr>
    </w:p>
    <w:p w14:paraId="4E3C50BA" w14:textId="77777777" w:rsidR="00DB38F8" w:rsidRPr="00DB38F8" w:rsidRDefault="00987BD5" w:rsidP="00DB38F8">
      <w:pPr>
        <w:tabs>
          <w:tab w:val="left" w:pos="851"/>
        </w:tabs>
        <w:ind w:left="851"/>
        <w:rPr>
          <w:sz w:val="24"/>
          <w:szCs w:val="24"/>
        </w:rPr>
      </w:pPr>
      <w:r>
        <w:rPr>
          <w:sz w:val="24"/>
          <w:szCs w:val="24"/>
        </w:rPr>
        <w:t>Paracetamol "Medical Valley"</w:t>
      </w:r>
      <w:r w:rsidR="00DB38F8" w:rsidRPr="00DB38F8">
        <w:rPr>
          <w:sz w:val="24"/>
          <w:szCs w:val="24"/>
        </w:rPr>
        <w:t xml:space="preserve"> 500 mg er indiceret til voksne og børn over 3 år (&gt; 15 kg).</w:t>
      </w:r>
    </w:p>
    <w:p w14:paraId="7AF1D099" w14:textId="77777777" w:rsidR="009260DE" w:rsidRPr="00C84483" w:rsidRDefault="009260DE" w:rsidP="009260DE">
      <w:pPr>
        <w:tabs>
          <w:tab w:val="left" w:pos="851"/>
        </w:tabs>
        <w:ind w:left="851"/>
        <w:rPr>
          <w:sz w:val="24"/>
          <w:szCs w:val="24"/>
        </w:rPr>
      </w:pPr>
    </w:p>
    <w:p w14:paraId="29DC8667"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B748F4">
        <w:rPr>
          <w:b/>
          <w:sz w:val="24"/>
          <w:szCs w:val="24"/>
        </w:rPr>
        <w:t>administration</w:t>
      </w:r>
    </w:p>
    <w:p w14:paraId="0C1CEAF9" w14:textId="77777777" w:rsidR="00CD3876" w:rsidRPr="00CD3876" w:rsidRDefault="00CD3876" w:rsidP="00CD3876">
      <w:pPr>
        <w:tabs>
          <w:tab w:val="left" w:pos="851"/>
        </w:tabs>
        <w:ind w:left="851"/>
        <w:rPr>
          <w:i/>
          <w:sz w:val="24"/>
          <w:szCs w:val="24"/>
        </w:rPr>
      </w:pPr>
      <w:bookmarkStart w:id="4" w:name="_Hlk37149533"/>
    </w:p>
    <w:p w14:paraId="4C6F05DB" w14:textId="77777777" w:rsidR="00CD3876" w:rsidRPr="00144041" w:rsidRDefault="00CD3876" w:rsidP="00CD3876">
      <w:pPr>
        <w:tabs>
          <w:tab w:val="left" w:pos="851"/>
        </w:tabs>
        <w:ind w:left="851"/>
        <w:rPr>
          <w:b/>
          <w:sz w:val="24"/>
          <w:szCs w:val="24"/>
          <w:u w:val="single"/>
        </w:rPr>
      </w:pPr>
      <w:r w:rsidRPr="00144041">
        <w:rPr>
          <w:b/>
          <w:sz w:val="24"/>
          <w:szCs w:val="24"/>
          <w:u w:val="single"/>
        </w:rPr>
        <w:t>Dosering</w:t>
      </w:r>
    </w:p>
    <w:p w14:paraId="5A4093A0" w14:textId="77777777" w:rsidR="00CD3876" w:rsidRPr="00CD3876" w:rsidRDefault="00CD3876" w:rsidP="00CD3876">
      <w:pPr>
        <w:tabs>
          <w:tab w:val="left" w:pos="851"/>
        </w:tabs>
        <w:ind w:left="851"/>
        <w:rPr>
          <w:b/>
          <w:bCs/>
          <w:i/>
          <w:sz w:val="24"/>
          <w:szCs w:val="24"/>
          <w:u w:val="single"/>
        </w:rPr>
      </w:pPr>
    </w:p>
    <w:p w14:paraId="7A6C3EA2" w14:textId="77777777" w:rsidR="00CD3876" w:rsidRPr="00144041" w:rsidRDefault="00987BD5" w:rsidP="00CD3876">
      <w:pPr>
        <w:tabs>
          <w:tab w:val="left" w:pos="851"/>
        </w:tabs>
        <w:ind w:left="851"/>
        <w:rPr>
          <w:b/>
          <w:bCs/>
          <w:sz w:val="24"/>
          <w:szCs w:val="24"/>
        </w:rPr>
      </w:pPr>
      <w:r>
        <w:rPr>
          <w:b/>
          <w:bCs/>
          <w:sz w:val="24"/>
          <w:szCs w:val="24"/>
        </w:rPr>
        <w:t>Paracetamol "Medical Valley"</w:t>
      </w:r>
      <w:r w:rsidR="00CD3876" w:rsidRPr="00144041">
        <w:rPr>
          <w:b/>
          <w:bCs/>
          <w:sz w:val="24"/>
          <w:szCs w:val="24"/>
        </w:rPr>
        <w:t xml:space="preserve"> 1000 mg</w:t>
      </w:r>
    </w:p>
    <w:p w14:paraId="25ABC111" w14:textId="77777777" w:rsidR="00CD3876" w:rsidRPr="00CD3876" w:rsidRDefault="00CD3876" w:rsidP="00CD3876">
      <w:pPr>
        <w:tabs>
          <w:tab w:val="left" w:pos="851"/>
        </w:tabs>
        <w:ind w:left="851"/>
        <w:rPr>
          <w:i/>
          <w:sz w:val="24"/>
          <w:szCs w:val="24"/>
        </w:rPr>
      </w:pPr>
    </w:p>
    <w:bookmarkEnd w:id="4"/>
    <w:p w14:paraId="491A7886" w14:textId="77777777" w:rsidR="00CD3876" w:rsidRPr="00144041" w:rsidRDefault="00CD3876" w:rsidP="00CD3876">
      <w:pPr>
        <w:tabs>
          <w:tab w:val="left" w:pos="851"/>
        </w:tabs>
        <w:ind w:left="851"/>
        <w:rPr>
          <w:iCs/>
          <w:sz w:val="24"/>
          <w:szCs w:val="24"/>
          <w:u w:val="single"/>
        </w:rPr>
      </w:pPr>
      <w:r w:rsidRPr="00144041">
        <w:rPr>
          <w:iCs/>
          <w:sz w:val="24"/>
          <w:szCs w:val="24"/>
          <w:u w:val="single"/>
        </w:rPr>
        <w:t>Voksne og unge, der vejer &gt; 40 kg (alder &gt; 12 år)</w:t>
      </w:r>
    </w:p>
    <w:p w14:paraId="178E943C" w14:textId="77777777" w:rsidR="00CD3876" w:rsidRPr="00CD3876" w:rsidRDefault="00CD3876" w:rsidP="00CD3876">
      <w:pPr>
        <w:tabs>
          <w:tab w:val="left" w:pos="851"/>
        </w:tabs>
        <w:ind w:left="851"/>
        <w:rPr>
          <w:iCs/>
          <w:sz w:val="24"/>
          <w:szCs w:val="24"/>
        </w:rPr>
      </w:pPr>
      <w:r w:rsidRPr="00CD3876">
        <w:rPr>
          <w:sz w:val="24"/>
          <w:szCs w:val="24"/>
        </w:rPr>
        <w:t>½-1 tablet (500 mg-1000 mg) hver 4. til 6. time 3-4 gange om dagen. Den maksimale daglige dosis er 4 g. I visse tilfælde er 500 mg 3-4 gange om dagen tilstrækkeligt.</w:t>
      </w:r>
    </w:p>
    <w:p w14:paraId="53D97652" w14:textId="77777777" w:rsidR="00CD3876" w:rsidRPr="00CD3876" w:rsidRDefault="00CD3876" w:rsidP="00CD3876">
      <w:pPr>
        <w:tabs>
          <w:tab w:val="left" w:pos="851"/>
        </w:tabs>
        <w:ind w:left="851"/>
        <w:rPr>
          <w:iCs/>
          <w:sz w:val="24"/>
          <w:szCs w:val="24"/>
        </w:rPr>
      </w:pPr>
    </w:p>
    <w:p w14:paraId="589D0E4A" w14:textId="77777777" w:rsidR="00CD3876" w:rsidRPr="00CD3876" w:rsidRDefault="00CD3876" w:rsidP="00CD3876">
      <w:pPr>
        <w:tabs>
          <w:tab w:val="left" w:pos="851"/>
        </w:tabs>
        <w:ind w:left="851"/>
        <w:rPr>
          <w:iCs/>
          <w:sz w:val="24"/>
          <w:szCs w:val="24"/>
        </w:rPr>
      </w:pPr>
      <w:r w:rsidRPr="00CD3876">
        <w:rPr>
          <w:sz w:val="24"/>
          <w:szCs w:val="24"/>
        </w:rPr>
        <w:t xml:space="preserve">Det frarådes at anvende </w:t>
      </w:r>
      <w:r w:rsidR="00987BD5">
        <w:rPr>
          <w:sz w:val="24"/>
          <w:szCs w:val="24"/>
        </w:rPr>
        <w:t>Paracetamol "Medical Valley"</w:t>
      </w:r>
      <w:r w:rsidRPr="00CD3876">
        <w:rPr>
          <w:sz w:val="24"/>
          <w:szCs w:val="24"/>
        </w:rPr>
        <w:t xml:space="preserve"> 1000 mg til børn, der er under 12 år eller som vejer mindre end 40 kg.</w:t>
      </w:r>
    </w:p>
    <w:p w14:paraId="1C3A194E" w14:textId="77777777" w:rsidR="00CD3876" w:rsidRPr="00CD3876" w:rsidRDefault="00CD3876" w:rsidP="00CD3876">
      <w:pPr>
        <w:tabs>
          <w:tab w:val="left" w:pos="851"/>
        </w:tabs>
        <w:ind w:left="851"/>
        <w:rPr>
          <w:iCs/>
          <w:sz w:val="24"/>
          <w:szCs w:val="24"/>
        </w:rPr>
      </w:pPr>
    </w:p>
    <w:p w14:paraId="7BE998CD" w14:textId="77777777" w:rsidR="00CD3876" w:rsidRPr="00144041" w:rsidRDefault="00987BD5" w:rsidP="00CD3876">
      <w:pPr>
        <w:tabs>
          <w:tab w:val="left" w:pos="851"/>
        </w:tabs>
        <w:ind w:left="851"/>
        <w:rPr>
          <w:b/>
          <w:bCs/>
          <w:sz w:val="24"/>
          <w:szCs w:val="24"/>
        </w:rPr>
      </w:pPr>
      <w:r>
        <w:rPr>
          <w:b/>
          <w:bCs/>
          <w:sz w:val="24"/>
          <w:szCs w:val="24"/>
        </w:rPr>
        <w:t>Paracetamol "Medical Valley"</w:t>
      </w:r>
      <w:r w:rsidR="00CD3876" w:rsidRPr="00144041">
        <w:rPr>
          <w:b/>
          <w:bCs/>
          <w:sz w:val="24"/>
          <w:szCs w:val="24"/>
        </w:rPr>
        <w:t xml:space="preserve"> 500 mg</w:t>
      </w:r>
    </w:p>
    <w:p w14:paraId="4B97FE03" w14:textId="77777777" w:rsidR="00CD3876" w:rsidRPr="00CD3876" w:rsidRDefault="00CD3876" w:rsidP="00CD3876">
      <w:pPr>
        <w:tabs>
          <w:tab w:val="left" w:pos="851"/>
        </w:tabs>
        <w:ind w:left="851"/>
        <w:rPr>
          <w:i/>
          <w:sz w:val="24"/>
          <w:szCs w:val="24"/>
        </w:rPr>
      </w:pPr>
    </w:p>
    <w:p w14:paraId="20F89794" w14:textId="77777777" w:rsidR="00CD3876" w:rsidRPr="00144041" w:rsidRDefault="00CD3876" w:rsidP="00CD3876">
      <w:pPr>
        <w:tabs>
          <w:tab w:val="left" w:pos="851"/>
        </w:tabs>
        <w:ind w:left="851"/>
        <w:rPr>
          <w:iCs/>
          <w:sz w:val="24"/>
          <w:szCs w:val="24"/>
          <w:u w:val="single"/>
        </w:rPr>
      </w:pPr>
      <w:r w:rsidRPr="00144041">
        <w:rPr>
          <w:iCs/>
          <w:sz w:val="24"/>
          <w:szCs w:val="24"/>
          <w:u w:val="single"/>
        </w:rPr>
        <w:t>Voksne og unge, der vejer &gt; 40 kg (alder &gt; 12 år)</w:t>
      </w:r>
    </w:p>
    <w:p w14:paraId="7BDBBE1C" w14:textId="77777777" w:rsidR="00CD3876" w:rsidRPr="000F4EB5" w:rsidRDefault="00CD3876" w:rsidP="000F4EB5">
      <w:pPr>
        <w:tabs>
          <w:tab w:val="left" w:pos="851"/>
        </w:tabs>
        <w:ind w:left="851"/>
        <w:rPr>
          <w:iCs/>
          <w:sz w:val="24"/>
          <w:szCs w:val="24"/>
        </w:rPr>
      </w:pPr>
      <w:r w:rsidRPr="00CD3876">
        <w:rPr>
          <w:sz w:val="24"/>
          <w:szCs w:val="24"/>
        </w:rPr>
        <w:t>1-2 tabletter (500-1000 mg) hver 4. til 6. time. Den maksimale daglige dosis er 4 g.</w:t>
      </w:r>
    </w:p>
    <w:p w14:paraId="381944F7" w14:textId="77777777" w:rsidR="002328D3" w:rsidRPr="00CD3876" w:rsidRDefault="002328D3" w:rsidP="00CD3876">
      <w:pPr>
        <w:tabs>
          <w:tab w:val="left" w:pos="851"/>
        </w:tabs>
        <w:ind w:left="851"/>
        <w:rPr>
          <w:i/>
          <w:sz w:val="24"/>
          <w:szCs w:val="24"/>
        </w:rPr>
      </w:pPr>
    </w:p>
    <w:p w14:paraId="3C7776E5" w14:textId="77777777" w:rsidR="00CD3876" w:rsidRPr="002328D3" w:rsidRDefault="00CD3876" w:rsidP="00CD3876">
      <w:pPr>
        <w:tabs>
          <w:tab w:val="left" w:pos="851"/>
        </w:tabs>
        <w:ind w:left="851"/>
        <w:rPr>
          <w:sz w:val="24"/>
          <w:szCs w:val="24"/>
          <w:u w:val="single"/>
        </w:rPr>
      </w:pPr>
      <w:r w:rsidRPr="002328D3">
        <w:rPr>
          <w:sz w:val="24"/>
          <w:szCs w:val="24"/>
          <w:u w:val="single"/>
        </w:rPr>
        <w:t>Pædiatrisk population</w:t>
      </w:r>
    </w:p>
    <w:p w14:paraId="4E190DC0" w14:textId="77777777" w:rsidR="00CD3876" w:rsidRPr="00CD3876" w:rsidRDefault="00CD3876" w:rsidP="00CD3876">
      <w:pPr>
        <w:tabs>
          <w:tab w:val="left" w:pos="851"/>
        </w:tabs>
        <w:ind w:left="851"/>
        <w:rPr>
          <w:i/>
          <w:sz w:val="24"/>
          <w:szCs w:val="24"/>
        </w:rPr>
      </w:pPr>
    </w:p>
    <w:p w14:paraId="3231616F" w14:textId="77777777" w:rsidR="00CD3876" w:rsidRPr="00EE33B3" w:rsidRDefault="00CD3876" w:rsidP="00CD3876">
      <w:pPr>
        <w:tabs>
          <w:tab w:val="left" w:pos="851"/>
        </w:tabs>
        <w:ind w:left="851"/>
        <w:rPr>
          <w:i/>
          <w:sz w:val="24"/>
          <w:szCs w:val="24"/>
          <w:u w:val="single"/>
        </w:rPr>
      </w:pPr>
      <w:r w:rsidRPr="00EE33B3">
        <w:rPr>
          <w:i/>
          <w:sz w:val="24"/>
          <w:szCs w:val="24"/>
          <w:u w:val="single"/>
        </w:rPr>
        <w:t>Børn og unge</w:t>
      </w:r>
      <w:bookmarkStart w:id="5" w:name="_Hlk45471793"/>
      <w:r w:rsidRPr="00EE33B3">
        <w:rPr>
          <w:i/>
          <w:sz w:val="24"/>
          <w:szCs w:val="24"/>
          <w:u w:val="single"/>
        </w:rPr>
        <w:t xml:space="preserve"> </w:t>
      </w:r>
      <w:bookmarkEnd w:id="5"/>
    </w:p>
    <w:p w14:paraId="2B739B45" w14:textId="77777777" w:rsidR="00CD3876" w:rsidRPr="00CD3876" w:rsidRDefault="00CD3876" w:rsidP="00CD3876">
      <w:pPr>
        <w:tabs>
          <w:tab w:val="left" w:pos="851"/>
        </w:tabs>
        <w:ind w:left="851"/>
        <w:rPr>
          <w:sz w:val="24"/>
          <w:szCs w:val="24"/>
        </w:rPr>
      </w:pPr>
      <w:r w:rsidRPr="00CD3876">
        <w:rPr>
          <w:sz w:val="24"/>
          <w:szCs w:val="24"/>
        </w:rPr>
        <w:t xml:space="preserve">10-15 mg/kg 3-4 gange om dagen. </w:t>
      </w:r>
      <w:bookmarkStart w:id="6" w:name="_Hlk45471811"/>
      <w:r w:rsidRPr="00CD3876">
        <w:rPr>
          <w:sz w:val="24"/>
          <w:szCs w:val="24"/>
        </w:rPr>
        <w:t>Den maksimale daglige dosis er 60 mg/kg</w:t>
      </w:r>
      <w:bookmarkEnd w:id="6"/>
      <w:r w:rsidRPr="00CD3876">
        <w:rPr>
          <w:sz w:val="24"/>
          <w:szCs w:val="24"/>
        </w:rPr>
        <w:t>. Se tabellerne nedenfor.</w:t>
      </w:r>
    </w:p>
    <w:p w14:paraId="0D186589" w14:textId="77777777" w:rsidR="00CD3876" w:rsidRPr="00CD3876" w:rsidRDefault="00CD3876" w:rsidP="00CD3876">
      <w:pPr>
        <w:tabs>
          <w:tab w:val="left" w:pos="851"/>
        </w:tabs>
        <w:ind w:left="851"/>
        <w:rPr>
          <w:sz w:val="24"/>
          <w:szCs w:val="24"/>
          <w:lang w:val="en-GB"/>
        </w:rPr>
      </w:pPr>
    </w:p>
    <w:p w14:paraId="7BFBE679" w14:textId="77777777" w:rsidR="00CD3876" w:rsidRPr="00463A83" w:rsidRDefault="00987BD5" w:rsidP="00CD3876">
      <w:pPr>
        <w:tabs>
          <w:tab w:val="left" w:pos="851"/>
        </w:tabs>
        <w:ind w:left="851"/>
        <w:rPr>
          <w:sz w:val="24"/>
          <w:szCs w:val="24"/>
        </w:rPr>
      </w:pPr>
      <w:r>
        <w:rPr>
          <w:bCs/>
          <w:i/>
          <w:sz w:val="24"/>
          <w:szCs w:val="24"/>
        </w:rPr>
        <w:t>Paracetamol "Medical Valley"</w:t>
      </w:r>
      <w:r w:rsidR="00CD3876" w:rsidRPr="00463A83">
        <w:rPr>
          <w:bCs/>
          <w:i/>
          <w:sz w:val="24"/>
          <w:szCs w:val="24"/>
        </w:rPr>
        <w:t xml:space="preserve"> 500 mg</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968"/>
        <w:gridCol w:w="5351"/>
      </w:tblGrid>
      <w:tr w:rsidR="00CD3876" w:rsidRPr="00CD3876" w14:paraId="3453299C" w14:textId="77777777" w:rsidTr="00781BA5">
        <w:trPr>
          <w:trHeight w:val="253"/>
        </w:trPr>
        <w:tc>
          <w:tcPr>
            <w:tcW w:w="1469" w:type="dxa"/>
            <w:tcBorders>
              <w:top w:val="single" w:sz="4" w:space="0" w:color="000000"/>
              <w:left w:val="single" w:sz="4" w:space="0" w:color="000000"/>
              <w:bottom w:val="single" w:sz="4" w:space="0" w:color="000000"/>
              <w:right w:val="single" w:sz="4" w:space="0" w:color="000000"/>
            </w:tcBorders>
            <w:hideMark/>
          </w:tcPr>
          <w:p w14:paraId="09C5A885" w14:textId="77777777" w:rsidR="00CD3876" w:rsidRPr="00CD3876" w:rsidRDefault="00CD3876" w:rsidP="009233A9">
            <w:pPr>
              <w:ind w:left="143"/>
              <w:rPr>
                <w:sz w:val="24"/>
                <w:szCs w:val="24"/>
              </w:rPr>
            </w:pPr>
            <w:r w:rsidRPr="00CD3876">
              <w:rPr>
                <w:sz w:val="24"/>
                <w:szCs w:val="24"/>
              </w:rPr>
              <w:t>Legemsvægt</w:t>
            </w:r>
          </w:p>
        </w:tc>
        <w:tc>
          <w:tcPr>
            <w:tcW w:w="1968" w:type="dxa"/>
            <w:tcBorders>
              <w:top w:val="single" w:sz="4" w:space="0" w:color="000000"/>
              <w:left w:val="single" w:sz="4" w:space="0" w:color="000000"/>
              <w:bottom w:val="single" w:sz="4" w:space="0" w:color="000000"/>
              <w:right w:val="single" w:sz="4" w:space="0" w:color="000000"/>
            </w:tcBorders>
            <w:hideMark/>
          </w:tcPr>
          <w:p w14:paraId="7EDEB3D4" w14:textId="77777777" w:rsidR="00CD3876" w:rsidRPr="00CD3876" w:rsidRDefault="00CD3876" w:rsidP="00781BA5">
            <w:pPr>
              <w:ind w:left="90"/>
              <w:rPr>
                <w:sz w:val="24"/>
                <w:szCs w:val="24"/>
              </w:rPr>
            </w:pPr>
            <w:r w:rsidRPr="00CD3876">
              <w:rPr>
                <w:sz w:val="24"/>
                <w:szCs w:val="24"/>
              </w:rPr>
              <w:t>Alder</w:t>
            </w:r>
          </w:p>
        </w:tc>
        <w:tc>
          <w:tcPr>
            <w:tcW w:w="5351" w:type="dxa"/>
            <w:tcBorders>
              <w:top w:val="single" w:sz="4" w:space="0" w:color="000000"/>
              <w:left w:val="single" w:sz="4" w:space="0" w:color="000000"/>
              <w:bottom w:val="single" w:sz="4" w:space="0" w:color="000000"/>
              <w:right w:val="single" w:sz="4" w:space="0" w:color="000000"/>
            </w:tcBorders>
            <w:hideMark/>
          </w:tcPr>
          <w:p w14:paraId="40A5D117" w14:textId="77777777" w:rsidR="00CD3876" w:rsidRPr="00CD3876" w:rsidRDefault="00CD3876" w:rsidP="00781BA5">
            <w:pPr>
              <w:ind w:left="105"/>
              <w:rPr>
                <w:sz w:val="24"/>
                <w:szCs w:val="24"/>
              </w:rPr>
            </w:pPr>
            <w:r w:rsidRPr="00CD3876">
              <w:rPr>
                <w:sz w:val="24"/>
                <w:szCs w:val="24"/>
              </w:rPr>
              <w:t xml:space="preserve"> Dosis</w:t>
            </w:r>
          </w:p>
        </w:tc>
      </w:tr>
      <w:tr w:rsidR="00CD3876" w:rsidRPr="00CD3876" w14:paraId="60DD01A3" w14:textId="77777777" w:rsidTr="00781BA5">
        <w:trPr>
          <w:trHeight w:val="503"/>
        </w:trPr>
        <w:tc>
          <w:tcPr>
            <w:tcW w:w="1469" w:type="dxa"/>
            <w:tcBorders>
              <w:top w:val="single" w:sz="4" w:space="0" w:color="000000"/>
              <w:left w:val="single" w:sz="4" w:space="0" w:color="000000"/>
              <w:bottom w:val="single" w:sz="4" w:space="0" w:color="000000"/>
              <w:right w:val="single" w:sz="4" w:space="0" w:color="000000"/>
            </w:tcBorders>
            <w:hideMark/>
          </w:tcPr>
          <w:p w14:paraId="75701FBC" w14:textId="77777777" w:rsidR="00CD3876" w:rsidRPr="00CD3876" w:rsidRDefault="00CD3876" w:rsidP="009233A9">
            <w:pPr>
              <w:ind w:left="143"/>
              <w:rPr>
                <w:sz w:val="24"/>
                <w:szCs w:val="24"/>
              </w:rPr>
            </w:pPr>
            <w:r w:rsidRPr="00CD3876">
              <w:rPr>
                <w:sz w:val="24"/>
                <w:szCs w:val="24"/>
              </w:rPr>
              <w:t>15-25 kg</w:t>
            </w:r>
          </w:p>
        </w:tc>
        <w:tc>
          <w:tcPr>
            <w:tcW w:w="1968" w:type="dxa"/>
            <w:tcBorders>
              <w:top w:val="single" w:sz="4" w:space="0" w:color="000000"/>
              <w:left w:val="single" w:sz="4" w:space="0" w:color="000000"/>
              <w:bottom w:val="single" w:sz="4" w:space="0" w:color="000000"/>
              <w:right w:val="single" w:sz="4" w:space="0" w:color="000000"/>
            </w:tcBorders>
            <w:hideMark/>
          </w:tcPr>
          <w:p w14:paraId="697E55DF" w14:textId="77777777" w:rsidR="00CD3876" w:rsidRPr="00CD3876" w:rsidRDefault="00CD3876" w:rsidP="00781BA5">
            <w:pPr>
              <w:ind w:left="90"/>
              <w:rPr>
                <w:sz w:val="24"/>
                <w:szCs w:val="24"/>
              </w:rPr>
            </w:pPr>
            <w:r w:rsidRPr="00CD3876">
              <w:rPr>
                <w:sz w:val="24"/>
                <w:szCs w:val="24"/>
              </w:rPr>
              <w:t>3-7 år</w:t>
            </w:r>
          </w:p>
        </w:tc>
        <w:tc>
          <w:tcPr>
            <w:tcW w:w="5351" w:type="dxa"/>
            <w:tcBorders>
              <w:top w:val="single" w:sz="4" w:space="0" w:color="000000"/>
              <w:left w:val="single" w:sz="4" w:space="0" w:color="000000"/>
              <w:bottom w:val="single" w:sz="4" w:space="0" w:color="000000"/>
              <w:right w:val="single" w:sz="4" w:space="0" w:color="000000"/>
            </w:tcBorders>
            <w:hideMark/>
          </w:tcPr>
          <w:p w14:paraId="2EB13F7A" w14:textId="77777777" w:rsidR="00CD3876" w:rsidRPr="00CD3876" w:rsidRDefault="00CD3876" w:rsidP="00781BA5">
            <w:pPr>
              <w:ind w:left="105"/>
              <w:rPr>
                <w:sz w:val="24"/>
                <w:szCs w:val="24"/>
              </w:rPr>
            </w:pPr>
            <w:r w:rsidRPr="00CD3876">
              <w:rPr>
                <w:sz w:val="24"/>
                <w:szCs w:val="24"/>
              </w:rPr>
              <w:t xml:space="preserve"> ½ tablet (250 mg) paracetamol hver 4.-6. time, dog højst fire gange om dagen.</w:t>
            </w:r>
          </w:p>
        </w:tc>
      </w:tr>
      <w:tr w:rsidR="00CD3876" w:rsidRPr="00CD3876" w14:paraId="7BF179E6" w14:textId="77777777" w:rsidTr="00781BA5">
        <w:trPr>
          <w:trHeight w:val="758"/>
        </w:trPr>
        <w:tc>
          <w:tcPr>
            <w:tcW w:w="1469" w:type="dxa"/>
            <w:tcBorders>
              <w:top w:val="single" w:sz="4" w:space="0" w:color="000000"/>
              <w:left w:val="single" w:sz="4" w:space="0" w:color="000000"/>
              <w:bottom w:val="single" w:sz="4" w:space="0" w:color="000000"/>
              <w:right w:val="single" w:sz="4" w:space="0" w:color="000000"/>
            </w:tcBorders>
            <w:hideMark/>
          </w:tcPr>
          <w:p w14:paraId="1994ADA6" w14:textId="77777777" w:rsidR="00CD3876" w:rsidRPr="00CD3876" w:rsidRDefault="00CD3876" w:rsidP="009233A9">
            <w:pPr>
              <w:ind w:left="143"/>
              <w:rPr>
                <w:sz w:val="24"/>
                <w:szCs w:val="24"/>
              </w:rPr>
            </w:pPr>
            <w:r w:rsidRPr="00CD3876">
              <w:rPr>
                <w:sz w:val="24"/>
                <w:szCs w:val="24"/>
              </w:rPr>
              <w:t>25-40 kg</w:t>
            </w:r>
          </w:p>
        </w:tc>
        <w:tc>
          <w:tcPr>
            <w:tcW w:w="1968" w:type="dxa"/>
            <w:tcBorders>
              <w:top w:val="single" w:sz="4" w:space="0" w:color="000000"/>
              <w:left w:val="single" w:sz="4" w:space="0" w:color="000000"/>
              <w:bottom w:val="single" w:sz="4" w:space="0" w:color="000000"/>
              <w:right w:val="single" w:sz="4" w:space="0" w:color="000000"/>
            </w:tcBorders>
            <w:hideMark/>
          </w:tcPr>
          <w:p w14:paraId="77D66E33" w14:textId="77777777" w:rsidR="00CD3876" w:rsidRPr="00CD3876" w:rsidRDefault="00CD3876" w:rsidP="00781BA5">
            <w:pPr>
              <w:ind w:left="90"/>
              <w:rPr>
                <w:sz w:val="24"/>
                <w:szCs w:val="24"/>
              </w:rPr>
            </w:pPr>
            <w:r w:rsidRPr="00CD3876">
              <w:rPr>
                <w:sz w:val="24"/>
                <w:szCs w:val="24"/>
              </w:rPr>
              <w:t>7-12 år</w:t>
            </w:r>
          </w:p>
        </w:tc>
        <w:tc>
          <w:tcPr>
            <w:tcW w:w="5351" w:type="dxa"/>
            <w:tcBorders>
              <w:top w:val="single" w:sz="4" w:space="0" w:color="000000"/>
              <w:left w:val="single" w:sz="4" w:space="0" w:color="000000"/>
              <w:bottom w:val="single" w:sz="4" w:space="0" w:color="000000"/>
              <w:right w:val="single" w:sz="4" w:space="0" w:color="000000"/>
            </w:tcBorders>
            <w:hideMark/>
          </w:tcPr>
          <w:p w14:paraId="784EA3DE" w14:textId="77777777" w:rsidR="00CD3876" w:rsidRPr="00CD3876" w:rsidRDefault="00CD3876" w:rsidP="00781BA5">
            <w:pPr>
              <w:ind w:left="105"/>
              <w:rPr>
                <w:sz w:val="24"/>
                <w:szCs w:val="24"/>
              </w:rPr>
            </w:pPr>
            <w:r w:rsidRPr="00CD3876">
              <w:rPr>
                <w:sz w:val="24"/>
                <w:szCs w:val="24"/>
              </w:rPr>
              <w:t>½-1 tablet (250-500 mg) paracetamol hver 4.-6. time, dog højst fire gange om dagen.</w:t>
            </w:r>
          </w:p>
        </w:tc>
      </w:tr>
      <w:tr w:rsidR="00CD3876" w:rsidRPr="00CD3876" w14:paraId="16CEDC0C" w14:textId="77777777" w:rsidTr="00781BA5">
        <w:trPr>
          <w:trHeight w:val="762"/>
        </w:trPr>
        <w:tc>
          <w:tcPr>
            <w:tcW w:w="1469" w:type="dxa"/>
            <w:tcBorders>
              <w:top w:val="single" w:sz="4" w:space="0" w:color="000000"/>
              <w:left w:val="single" w:sz="4" w:space="0" w:color="000000"/>
              <w:bottom w:val="single" w:sz="4" w:space="0" w:color="000000"/>
              <w:right w:val="single" w:sz="4" w:space="0" w:color="000000"/>
            </w:tcBorders>
            <w:hideMark/>
          </w:tcPr>
          <w:p w14:paraId="79DE6F4D" w14:textId="77777777" w:rsidR="00CD3876" w:rsidRPr="00CD3876" w:rsidRDefault="00CD3876" w:rsidP="009233A9">
            <w:pPr>
              <w:ind w:left="143"/>
              <w:rPr>
                <w:sz w:val="24"/>
                <w:szCs w:val="24"/>
              </w:rPr>
            </w:pPr>
            <w:r w:rsidRPr="00CD3876">
              <w:rPr>
                <w:sz w:val="24"/>
                <w:szCs w:val="24"/>
              </w:rPr>
              <w:t>&gt; 40 kg</w:t>
            </w:r>
          </w:p>
        </w:tc>
        <w:tc>
          <w:tcPr>
            <w:tcW w:w="1968" w:type="dxa"/>
            <w:tcBorders>
              <w:top w:val="single" w:sz="4" w:space="0" w:color="000000"/>
              <w:left w:val="single" w:sz="4" w:space="0" w:color="000000"/>
              <w:bottom w:val="single" w:sz="4" w:space="0" w:color="000000"/>
              <w:right w:val="single" w:sz="4" w:space="0" w:color="000000"/>
            </w:tcBorders>
            <w:hideMark/>
          </w:tcPr>
          <w:p w14:paraId="6560DBD3" w14:textId="77777777" w:rsidR="00CD3876" w:rsidRPr="00CD3876" w:rsidRDefault="00CD3876" w:rsidP="00781BA5">
            <w:pPr>
              <w:ind w:left="90"/>
              <w:rPr>
                <w:sz w:val="24"/>
                <w:szCs w:val="24"/>
              </w:rPr>
            </w:pPr>
            <w:r w:rsidRPr="00CD3876">
              <w:rPr>
                <w:sz w:val="24"/>
                <w:szCs w:val="24"/>
              </w:rPr>
              <w:t>&gt; 12 år</w:t>
            </w:r>
          </w:p>
        </w:tc>
        <w:tc>
          <w:tcPr>
            <w:tcW w:w="5351" w:type="dxa"/>
            <w:tcBorders>
              <w:top w:val="single" w:sz="4" w:space="0" w:color="000000"/>
              <w:left w:val="single" w:sz="4" w:space="0" w:color="000000"/>
              <w:bottom w:val="single" w:sz="4" w:space="0" w:color="000000"/>
              <w:right w:val="single" w:sz="4" w:space="0" w:color="000000"/>
            </w:tcBorders>
            <w:hideMark/>
          </w:tcPr>
          <w:p w14:paraId="4FDE1B6C" w14:textId="77777777" w:rsidR="00CD3876" w:rsidRPr="00CD3876" w:rsidRDefault="00CD3876" w:rsidP="00781BA5">
            <w:pPr>
              <w:ind w:left="105"/>
              <w:rPr>
                <w:sz w:val="24"/>
                <w:szCs w:val="24"/>
              </w:rPr>
            </w:pPr>
            <w:r w:rsidRPr="00CD3876">
              <w:rPr>
                <w:sz w:val="24"/>
                <w:szCs w:val="24"/>
              </w:rPr>
              <w:t>1-2 tabletter (500-1000 mg) paracetamol hver 4.-6. time, dog højst 8 tabletter om dagen. Den maksimale daglige dosis er 4 g.</w:t>
            </w:r>
          </w:p>
        </w:tc>
      </w:tr>
    </w:tbl>
    <w:p w14:paraId="18DC7BB9" w14:textId="77777777" w:rsidR="000F4EB5" w:rsidRPr="00CD3876" w:rsidRDefault="000F4EB5" w:rsidP="000F4EB5">
      <w:pPr>
        <w:tabs>
          <w:tab w:val="left" w:pos="851"/>
        </w:tabs>
        <w:rPr>
          <w:sz w:val="24"/>
          <w:szCs w:val="24"/>
        </w:rPr>
      </w:pPr>
    </w:p>
    <w:p w14:paraId="5D8326FF" w14:textId="77777777" w:rsidR="00CD3876" w:rsidRPr="00463A83" w:rsidRDefault="00987BD5" w:rsidP="00CD3876">
      <w:pPr>
        <w:tabs>
          <w:tab w:val="left" w:pos="851"/>
        </w:tabs>
        <w:ind w:left="851"/>
        <w:rPr>
          <w:sz w:val="24"/>
          <w:szCs w:val="24"/>
        </w:rPr>
      </w:pPr>
      <w:r>
        <w:rPr>
          <w:bCs/>
          <w:i/>
          <w:sz w:val="24"/>
          <w:szCs w:val="24"/>
        </w:rPr>
        <w:t>Paracetamol "Medical Valley"</w:t>
      </w:r>
      <w:r w:rsidR="00CD3876" w:rsidRPr="00463A83">
        <w:rPr>
          <w:bCs/>
          <w:i/>
          <w:sz w:val="24"/>
          <w:szCs w:val="24"/>
        </w:rPr>
        <w:t xml:space="preserve"> 1000 mg</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968"/>
        <w:gridCol w:w="5351"/>
      </w:tblGrid>
      <w:tr w:rsidR="00CD3876" w:rsidRPr="00CD3876" w14:paraId="56C05A49" w14:textId="77777777" w:rsidTr="00781BA5">
        <w:trPr>
          <w:trHeight w:val="253"/>
        </w:trPr>
        <w:tc>
          <w:tcPr>
            <w:tcW w:w="1469" w:type="dxa"/>
            <w:tcBorders>
              <w:top w:val="single" w:sz="4" w:space="0" w:color="000000"/>
              <w:left w:val="single" w:sz="4" w:space="0" w:color="000000"/>
              <w:bottom w:val="single" w:sz="4" w:space="0" w:color="000000"/>
              <w:right w:val="single" w:sz="4" w:space="0" w:color="000000"/>
            </w:tcBorders>
            <w:hideMark/>
          </w:tcPr>
          <w:p w14:paraId="0B7BE6B9" w14:textId="77777777" w:rsidR="00CD3876" w:rsidRPr="00CD3876" w:rsidRDefault="00CD3876" w:rsidP="00781BA5">
            <w:pPr>
              <w:ind w:left="143"/>
              <w:rPr>
                <w:sz w:val="24"/>
                <w:szCs w:val="24"/>
              </w:rPr>
            </w:pPr>
            <w:r w:rsidRPr="00CD3876">
              <w:rPr>
                <w:sz w:val="24"/>
                <w:szCs w:val="24"/>
              </w:rPr>
              <w:t>Legemsvægt</w:t>
            </w:r>
          </w:p>
        </w:tc>
        <w:tc>
          <w:tcPr>
            <w:tcW w:w="1968" w:type="dxa"/>
            <w:tcBorders>
              <w:top w:val="single" w:sz="4" w:space="0" w:color="000000"/>
              <w:left w:val="single" w:sz="4" w:space="0" w:color="000000"/>
              <w:bottom w:val="single" w:sz="4" w:space="0" w:color="000000"/>
              <w:right w:val="single" w:sz="4" w:space="0" w:color="000000"/>
            </w:tcBorders>
            <w:hideMark/>
          </w:tcPr>
          <w:p w14:paraId="2B4EF1C5" w14:textId="77777777" w:rsidR="00CD3876" w:rsidRPr="00CD3876" w:rsidRDefault="00CD3876" w:rsidP="00781BA5">
            <w:pPr>
              <w:ind w:left="90"/>
              <w:rPr>
                <w:sz w:val="24"/>
                <w:szCs w:val="24"/>
              </w:rPr>
            </w:pPr>
            <w:r w:rsidRPr="00CD3876">
              <w:rPr>
                <w:sz w:val="24"/>
                <w:szCs w:val="24"/>
              </w:rPr>
              <w:t>Alder</w:t>
            </w:r>
          </w:p>
        </w:tc>
        <w:tc>
          <w:tcPr>
            <w:tcW w:w="5351" w:type="dxa"/>
            <w:tcBorders>
              <w:top w:val="single" w:sz="4" w:space="0" w:color="000000"/>
              <w:left w:val="single" w:sz="4" w:space="0" w:color="000000"/>
              <w:bottom w:val="single" w:sz="4" w:space="0" w:color="000000"/>
              <w:right w:val="single" w:sz="4" w:space="0" w:color="000000"/>
            </w:tcBorders>
            <w:hideMark/>
          </w:tcPr>
          <w:p w14:paraId="0E9DCCA4" w14:textId="77777777" w:rsidR="00CD3876" w:rsidRPr="00CD3876" w:rsidRDefault="00CD3876" w:rsidP="00781BA5">
            <w:pPr>
              <w:ind w:left="105"/>
              <w:rPr>
                <w:sz w:val="24"/>
                <w:szCs w:val="24"/>
              </w:rPr>
            </w:pPr>
            <w:r w:rsidRPr="00CD3876">
              <w:rPr>
                <w:sz w:val="24"/>
                <w:szCs w:val="24"/>
              </w:rPr>
              <w:t xml:space="preserve"> Dosis</w:t>
            </w:r>
          </w:p>
        </w:tc>
      </w:tr>
      <w:tr w:rsidR="00CD3876" w:rsidRPr="00CD3876" w14:paraId="0C7D60F5" w14:textId="77777777" w:rsidTr="00781BA5">
        <w:trPr>
          <w:trHeight w:val="762"/>
        </w:trPr>
        <w:tc>
          <w:tcPr>
            <w:tcW w:w="1469" w:type="dxa"/>
            <w:tcBorders>
              <w:top w:val="single" w:sz="4" w:space="0" w:color="000000"/>
              <w:left w:val="single" w:sz="4" w:space="0" w:color="000000"/>
              <w:bottom w:val="single" w:sz="4" w:space="0" w:color="000000"/>
              <w:right w:val="single" w:sz="4" w:space="0" w:color="000000"/>
            </w:tcBorders>
            <w:hideMark/>
          </w:tcPr>
          <w:p w14:paraId="2C5490E4" w14:textId="77777777" w:rsidR="00CD3876" w:rsidRPr="00CD3876" w:rsidRDefault="00CD3876" w:rsidP="00781BA5">
            <w:pPr>
              <w:ind w:left="143"/>
              <w:rPr>
                <w:sz w:val="24"/>
                <w:szCs w:val="24"/>
              </w:rPr>
            </w:pPr>
            <w:r w:rsidRPr="00CD3876">
              <w:rPr>
                <w:sz w:val="24"/>
                <w:szCs w:val="24"/>
              </w:rPr>
              <w:t>&gt; 40 kg</w:t>
            </w:r>
          </w:p>
        </w:tc>
        <w:tc>
          <w:tcPr>
            <w:tcW w:w="1968" w:type="dxa"/>
            <w:tcBorders>
              <w:top w:val="single" w:sz="4" w:space="0" w:color="000000"/>
              <w:left w:val="single" w:sz="4" w:space="0" w:color="000000"/>
              <w:bottom w:val="single" w:sz="4" w:space="0" w:color="000000"/>
              <w:right w:val="single" w:sz="4" w:space="0" w:color="000000"/>
            </w:tcBorders>
            <w:hideMark/>
          </w:tcPr>
          <w:p w14:paraId="434743A9" w14:textId="77777777" w:rsidR="00CD3876" w:rsidRPr="00CD3876" w:rsidRDefault="00CD3876" w:rsidP="00781BA5">
            <w:pPr>
              <w:ind w:left="90"/>
              <w:rPr>
                <w:sz w:val="24"/>
                <w:szCs w:val="24"/>
              </w:rPr>
            </w:pPr>
            <w:r w:rsidRPr="00CD3876">
              <w:rPr>
                <w:sz w:val="24"/>
                <w:szCs w:val="24"/>
              </w:rPr>
              <w:t>&gt; 12 år</w:t>
            </w:r>
          </w:p>
        </w:tc>
        <w:tc>
          <w:tcPr>
            <w:tcW w:w="5351" w:type="dxa"/>
            <w:tcBorders>
              <w:top w:val="single" w:sz="4" w:space="0" w:color="000000"/>
              <w:left w:val="single" w:sz="4" w:space="0" w:color="000000"/>
              <w:bottom w:val="single" w:sz="4" w:space="0" w:color="000000"/>
              <w:right w:val="single" w:sz="4" w:space="0" w:color="000000"/>
            </w:tcBorders>
            <w:hideMark/>
          </w:tcPr>
          <w:p w14:paraId="1FFB7327" w14:textId="77777777" w:rsidR="00CD3876" w:rsidRPr="00CD3876" w:rsidRDefault="00CD3876" w:rsidP="00781BA5">
            <w:pPr>
              <w:ind w:left="105"/>
              <w:rPr>
                <w:sz w:val="24"/>
                <w:szCs w:val="24"/>
              </w:rPr>
            </w:pPr>
            <w:r w:rsidRPr="00CD3876">
              <w:rPr>
                <w:sz w:val="24"/>
                <w:szCs w:val="24"/>
              </w:rPr>
              <w:t>½-1 tablet (500-1.000 mg) paracetamol hver 4.-6. time, dog højst 4 tabletter om dagen. Den maksimale daglige dosis er 4 g.</w:t>
            </w:r>
          </w:p>
        </w:tc>
      </w:tr>
    </w:tbl>
    <w:p w14:paraId="40FD5CEA" w14:textId="77777777" w:rsidR="00CD3876" w:rsidRPr="00CD3876" w:rsidRDefault="00CD3876" w:rsidP="00CD3876">
      <w:pPr>
        <w:tabs>
          <w:tab w:val="left" w:pos="851"/>
        </w:tabs>
        <w:ind w:left="851"/>
        <w:rPr>
          <w:sz w:val="24"/>
          <w:szCs w:val="24"/>
          <w:u w:val="single"/>
        </w:rPr>
      </w:pPr>
    </w:p>
    <w:p w14:paraId="52E2428A" w14:textId="77777777" w:rsidR="00CD3876" w:rsidRPr="00CD3876" w:rsidRDefault="00CD3876" w:rsidP="00CD3876">
      <w:pPr>
        <w:tabs>
          <w:tab w:val="left" w:pos="851"/>
        </w:tabs>
        <w:ind w:left="851"/>
        <w:rPr>
          <w:sz w:val="24"/>
          <w:szCs w:val="24"/>
          <w:u w:val="single"/>
        </w:rPr>
      </w:pPr>
    </w:p>
    <w:p w14:paraId="4D1F978D" w14:textId="77777777" w:rsidR="00CD3876" w:rsidRPr="00EE33B3" w:rsidRDefault="00CD3876" w:rsidP="00CD3876">
      <w:pPr>
        <w:tabs>
          <w:tab w:val="left" w:pos="851"/>
        </w:tabs>
        <w:ind w:left="851"/>
        <w:rPr>
          <w:i/>
          <w:sz w:val="24"/>
          <w:szCs w:val="24"/>
          <w:u w:val="single"/>
        </w:rPr>
      </w:pPr>
      <w:r w:rsidRPr="00EE33B3">
        <w:rPr>
          <w:i/>
          <w:sz w:val="24"/>
          <w:szCs w:val="24"/>
          <w:u w:val="single"/>
        </w:rPr>
        <w:t>Børn og unge med lav legemsvægt</w:t>
      </w:r>
    </w:p>
    <w:p w14:paraId="5005D9E2" w14:textId="77777777" w:rsidR="00CD3876" w:rsidRPr="00CD3876" w:rsidRDefault="00CD3876" w:rsidP="00CD3876">
      <w:pPr>
        <w:tabs>
          <w:tab w:val="left" w:pos="851"/>
        </w:tabs>
        <w:ind w:left="851"/>
        <w:rPr>
          <w:sz w:val="24"/>
          <w:szCs w:val="24"/>
        </w:rPr>
      </w:pPr>
      <w:r w:rsidRPr="00CD3876">
        <w:rPr>
          <w:sz w:val="24"/>
          <w:szCs w:val="24"/>
        </w:rPr>
        <w:t xml:space="preserve">Det frarådes at anvende </w:t>
      </w:r>
      <w:r w:rsidR="00987BD5">
        <w:rPr>
          <w:sz w:val="24"/>
          <w:szCs w:val="24"/>
        </w:rPr>
        <w:t>Paracetamol "Medical Valley"</w:t>
      </w:r>
      <w:r w:rsidRPr="00CD3876">
        <w:rPr>
          <w:sz w:val="24"/>
          <w:szCs w:val="24"/>
        </w:rPr>
        <w:t xml:space="preserve"> til børn, der er under 3 år, eller som vejer mindre end 15 kg. Der findes andre passende styrker og/eller formuleringer til børn med lav legemsvægt og børn, der ikke kan synke en tablet.</w:t>
      </w:r>
    </w:p>
    <w:p w14:paraId="0B848EE4" w14:textId="77777777" w:rsidR="00CD3876" w:rsidRPr="00CD3876" w:rsidRDefault="00CD3876" w:rsidP="00CD3876">
      <w:pPr>
        <w:tabs>
          <w:tab w:val="left" w:pos="851"/>
        </w:tabs>
        <w:ind w:left="851"/>
        <w:rPr>
          <w:sz w:val="24"/>
          <w:szCs w:val="24"/>
        </w:rPr>
      </w:pPr>
    </w:p>
    <w:p w14:paraId="776A87DB" w14:textId="77777777" w:rsidR="00CD3876" w:rsidRPr="001A58C2" w:rsidRDefault="00CD3876" w:rsidP="00CD3876">
      <w:pPr>
        <w:tabs>
          <w:tab w:val="left" w:pos="851"/>
        </w:tabs>
        <w:ind w:left="851"/>
        <w:rPr>
          <w:iCs/>
          <w:sz w:val="24"/>
          <w:szCs w:val="24"/>
          <w:u w:val="single"/>
        </w:rPr>
      </w:pPr>
      <w:r w:rsidRPr="001A58C2">
        <w:rPr>
          <w:iCs/>
          <w:sz w:val="24"/>
          <w:szCs w:val="24"/>
          <w:u w:val="single"/>
        </w:rPr>
        <w:t>Særlige patientgrupper</w:t>
      </w:r>
    </w:p>
    <w:p w14:paraId="4CEAE441" w14:textId="77777777" w:rsidR="00CD3876" w:rsidRPr="00CD3876" w:rsidRDefault="00CD3876" w:rsidP="00CD3876">
      <w:pPr>
        <w:tabs>
          <w:tab w:val="left" w:pos="851"/>
        </w:tabs>
        <w:ind w:left="851"/>
        <w:rPr>
          <w:sz w:val="24"/>
          <w:szCs w:val="24"/>
        </w:rPr>
      </w:pPr>
    </w:p>
    <w:p w14:paraId="6A4369A7" w14:textId="77777777" w:rsidR="00CD3876" w:rsidRPr="001A58C2" w:rsidRDefault="00CD3876" w:rsidP="00CD3876">
      <w:pPr>
        <w:tabs>
          <w:tab w:val="left" w:pos="851"/>
        </w:tabs>
        <w:ind w:left="851"/>
        <w:rPr>
          <w:i/>
          <w:sz w:val="24"/>
          <w:szCs w:val="24"/>
        </w:rPr>
      </w:pPr>
      <w:r w:rsidRPr="001A58C2">
        <w:rPr>
          <w:i/>
          <w:sz w:val="24"/>
          <w:szCs w:val="24"/>
        </w:rPr>
        <w:t>Ældre population</w:t>
      </w:r>
    </w:p>
    <w:p w14:paraId="373915EB" w14:textId="77777777" w:rsidR="00CD3876" w:rsidRPr="00CD3876" w:rsidRDefault="00CD3876" w:rsidP="00CD3876">
      <w:pPr>
        <w:tabs>
          <w:tab w:val="left" w:pos="851"/>
        </w:tabs>
        <w:ind w:left="851"/>
        <w:rPr>
          <w:sz w:val="24"/>
          <w:szCs w:val="24"/>
        </w:rPr>
      </w:pPr>
      <w:r w:rsidRPr="00CD3876">
        <w:rPr>
          <w:sz w:val="24"/>
          <w:szCs w:val="24"/>
        </w:rPr>
        <w:t>Det er ikke nødvendigt at reducere dosis hos ældre.</w:t>
      </w:r>
    </w:p>
    <w:p w14:paraId="240AA194" w14:textId="77777777" w:rsidR="00CD3876" w:rsidRPr="00CD3876" w:rsidRDefault="00CD3876" w:rsidP="00CD3876">
      <w:pPr>
        <w:tabs>
          <w:tab w:val="left" w:pos="851"/>
        </w:tabs>
        <w:ind w:left="851"/>
        <w:rPr>
          <w:sz w:val="24"/>
          <w:szCs w:val="24"/>
        </w:rPr>
      </w:pPr>
    </w:p>
    <w:p w14:paraId="46E57000" w14:textId="77777777" w:rsidR="00CD3876" w:rsidRPr="001A58C2" w:rsidRDefault="00CD3876" w:rsidP="00CD3876">
      <w:pPr>
        <w:tabs>
          <w:tab w:val="left" w:pos="851"/>
        </w:tabs>
        <w:ind w:left="851"/>
        <w:rPr>
          <w:i/>
          <w:sz w:val="24"/>
          <w:szCs w:val="24"/>
        </w:rPr>
      </w:pPr>
      <w:r w:rsidRPr="001A58C2">
        <w:rPr>
          <w:i/>
          <w:sz w:val="24"/>
          <w:szCs w:val="24"/>
        </w:rPr>
        <w:t>Nedsat leverfunktion</w:t>
      </w:r>
    </w:p>
    <w:p w14:paraId="6B06838B" w14:textId="77777777" w:rsidR="00CD3876" w:rsidRPr="00CD3876" w:rsidRDefault="00CD3876" w:rsidP="00CD3876">
      <w:pPr>
        <w:tabs>
          <w:tab w:val="left" w:pos="851"/>
        </w:tabs>
        <w:ind w:left="851"/>
        <w:rPr>
          <w:sz w:val="24"/>
          <w:szCs w:val="24"/>
        </w:rPr>
      </w:pPr>
      <w:r w:rsidRPr="00CD3876">
        <w:rPr>
          <w:sz w:val="24"/>
          <w:szCs w:val="24"/>
        </w:rPr>
        <w:t>Hos patienter med nedsat leverfunktion eller Gilberts syndrom skal dosen reduceres eller dosisintervallet forlænges.</w:t>
      </w:r>
    </w:p>
    <w:p w14:paraId="73F159A3" w14:textId="77777777" w:rsidR="00CD3876" w:rsidRPr="00CD3876" w:rsidRDefault="00CD3876" w:rsidP="00CD3876">
      <w:pPr>
        <w:tabs>
          <w:tab w:val="left" w:pos="851"/>
        </w:tabs>
        <w:ind w:left="851"/>
        <w:rPr>
          <w:sz w:val="24"/>
          <w:szCs w:val="24"/>
        </w:rPr>
      </w:pPr>
    </w:p>
    <w:p w14:paraId="0D08C305" w14:textId="77777777" w:rsidR="00CD3876" w:rsidRPr="001A58C2" w:rsidRDefault="00CD3876" w:rsidP="00CD3876">
      <w:pPr>
        <w:tabs>
          <w:tab w:val="left" w:pos="851"/>
        </w:tabs>
        <w:ind w:left="851"/>
        <w:rPr>
          <w:i/>
          <w:sz w:val="24"/>
          <w:szCs w:val="24"/>
        </w:rPr>
      </w:pPr>
      <w:r w:rsidRPr="001A58C2">
        <w:rPr>
          <w:i/>
          <w:sz w:val="24"/>
          <w:szCs w:val="24"/>
        </w:rPr>
        <w:t>Nedsat nyrefunktion</w:t>
      </w:r>
    </w:p>
    <w:p w14:paraId="242E5396" w14:textId="77777777" w:rsidR="00CD3876" w:rsidRPr="00CD3876" w:rsidRDefault="00CD3876" w:rsidP="00CD3876">
      <w:pPr>
        <w:tabs>
          <w:tab w:val="left" w:pos="851"/>
        </w:tabs>
        <w:ind w:left="851"/>
        <w:rPr>
          <w:sz w:val="24"/>
          <w:szCs w:val="24"/>
        </w:rPr>
      </w:pPr>
      <w:r w:rsidRPr="00CD3876">
        <w:rPr>
          <w:sz w:val="24"/>
          <w:szCs w:val="24"/>
        </w:rPr>
        <w:t xml:space="preserve">Hos patienter med </w:t>
      </w:r>
      <w:bookmarkStart w:id="7" w:name="_Hlk37773055"/>
      <w:r w:rsidRPr="00CD3876">
        <w:rPr>
          <w:sz w:val="24"/>
          <w:szCs w:val="24"/>
        </w:rPr>
        <w:t>nedsat nyrefunktion</w:t>
      </w:r>
      <w:bookmarkEnd w:id="7"/>
      <w:r w:rsidRPr="00CD3876">
        <w:rPr>
          <w:sz w:val="24"/>
          <w:szCs w:val="24"/>
        </w:rPr>
        <w:t xml:space="preserve"> bør dosen reduceres:</w:t>
      </w:r>
    </w:p>
    <w:p w14:paraId="204960E2" w14:textId="77777777" w:rsidR="00CD3876" w:rsidRPr="00CD3876" w:rsidRDefault="00CD3876" w:rsidP="00CD3876">
      <w:pPr>
        <w:tabs>
          <w:tab w:val="left" w:pos="851"/>
        </w:tabs>
        <w:ind w:left="851"/>
        <w:rPr>
          <w:sz w:val="24"/>
          <w:szCs w:val="24"/>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8"/>
        <w:gridCol w:w="2333"/>
      </w:tblGrid>
      <w:tr w:rsidR="00CD3876" w:rsidRPr="00CD3876" w14:paraId="76CB74AE" w14:textId="77777777" w:rsidTr="00CD3876">
        <w:trPr>
          <w:trHeight w:val="253"/>
        </w:trPr>
        <w:tc>
          <w:tcPr>
            <w:tcW w:w="2328" w:type="dxa"/>
            <w:tcBorders>
              <w:top w:val="single" w:sz="4" w:space="0" w:color="000000"/>
              <w:left w:val="single" w:sz="4" w:space="0" w:color="000000"/>
              <w:bottom w:val="single" w:sz="4" w:space="0" w:color="000000"/>
              <w:right w:val="single" w:sz="4" w:space="0" w:color="000000"/>
            </w:tcBorders>
            <w:hideMark/>
          </w:tcPr>
          <w:p w14:paraId="3A168B34" w14:textId="77777777" w:rsidR="00CD3876" w:rsidRPr="00CD3876" w:rsidRDefault="00CD3876" w:rsidP="00EE33B3">
            <w:pPr>
              <w:ind w:left="133"/>
              <w:rPr>
                <w:sz w:val="24"/>
                <w:szCs w:val="24"/>
              </w:rPr>
            </w:pPr>
            <w:proofErr w:type="spellStart"/>
            <w:r w:rsidRPr="00CD3876">
              <w:rPr>
                <w:sz w:val="24"/>
                <w:szCs w:val="24"/>
              </w:rPr>
              <w:t>Glomerulær</w:t>
            </w:r>
            <w:proofErr w:type="spellEnd"/>
            <w:r w:rsidRPr="00CD3876">
              <w:rPr>
                <w:sz w:val="24"/>
                <w:szCs w:val="24"/>
              </w:rPr>
              <w:t xml:space="preserve"> filtration</w:t>
            </w:r>
          </w:p>
        </w:tc>
        <w:tc>
          <w:tcPr>
            <w:tcW w:w="2333" w:type="dxa"/>
            <w:tcBorders>
              <w:top w:val="single" w:sz="4" w:space="0" w:color="000000"/>
              <w:left w:val="single" w:sz="4" w:space="0" w:color="000000"/>
              <w:bottom w:val="single" w:sz="4" w:space="0" w:color="000000"/>
              <w:right w:val="single" w:sz="4" w:space="0" w:color="000000"/>
            </w:tcBorders>
            <w:hideMark/>
          </w:tcPr>
          <w:p w14:paraId="0DE72036" w14:textId="77777777" w:rsidR="00CD3876" w:rsidRPr="00CD3876" w:rsidRDefault="00CD3876" w:rsidP="00EE33B3">
            <w:pPr>
              <w:ind w:left="212"/>
              <w:rPr>
                <w:sz w:val="24"/>
                <w:szCs w:val="24"/>
              </w:rPr>
            </w:pPr>
            <w:r w:rsidRPr="00CD3876">
              <w:rPr>
                <w:sz w:val="24"/>
                <w:szCs w:val="24"/>
              </w:rPr>
              <w:t>Dosis</w:t>
            </w:r>
          </w:p>
        </w:tc>
      </w:tr>
      <w:tr w:rsidR="00CD3876" w:rsidRPr="00CD3876" w14:paraId="1EC6ECD7" w14:textId="77777777" w:rsidTr="00CD3876">
        <w:trPr>
          <w:trHeight w:val="249"/>
        </w:trPr>
        <w:tc>
          <w:tcPr>
            <w:tcW w:w="2328" w:type="dxa"/>
            <w:tcBorders>
              <w:top w:val="single" w:sz="4" w:space="0" w:color="000000"/>
              <w:left w:val="single" w:sz="4" w:space="0" w:color="000000"/>
              <w:bottom w:val="single" w:sz="4" w:space="0" w:color="000000"/>
              <w:right w:val="single" w:sz="4" w:space="0" w:color="000000"/>
            </w:tcBorders>
            <w:hideMark/>
          </w:tcPr>
          <w:p w14:paraId="764838D5" w14:textId="77777777" w:rsidR="00CD3876" w:rsidRPr="00CD3876" w:rsidRDefault="00CD3876" w:rsidP="00EE33B3">
            <w:pPr>
              <w:ind w:left="133"/>
              <w:rPr>
                <w:sz w:val="24"/>
                <w:szCs w:val="24"/>
              </w:rPr>
            </w:pPr>
            <w:r w:rsidRPr="00CD3876">
              <w:rPr>
                <w:sz w:val="24"/>
                <w:szCs w:val="24"/>
              </w:rPr>
              <w:t>10-50 ml/min.</w:t>
            </w:r>
          </w:p>
        </w:tc>
        <w:tc>
          <w:tcPr>
            <w:tcW w:w="2333" w:type="dxa"/>
            <w:tcBorders>
              <w:top w:val="single" w:sz="4" w:space="0" w:color="000000"/>
              <w:left w:val="single" w:sz="4" w:space="0" w:color="000000"/>
              <w:bottom w:val="single" w:sz="4" w:space="0" w:color="000000"/>
              <w:right w:val="single" w:sz="4" w:space="0" w:color="000000"/>
            </w:tcBorders>
            <w:hideMark/>
          </w:tcPr>
          <w:p w14:paraId="4BB94CDF" w14:textId="77777777" w:rsidR="00CD3876" w:rsidRPr="00CD3876" w:rsidRDefault="00CD3876" w:rsidP="00EE33B3">
            <w:pPr>
              <w:ind w:left="212"/>
              <w:rPr>
                <w:sz w:val="24"/>
                <w:szCs w:val="24"/>
              </w:rPr>
            </w:pPr>
            <w:r w:rsidRPr="00CD3876">
              <w:rPr>
                <w:sz w:val="24"/>
                <w:szCs w:val="24"/>
              </w:rPr>
              <w:t>500 mg hver 6. time</w:t>
            </w:r>
          </w:p>
        </w:tc>
      </w:tr>
      <w:tr w:rsidR="00CD3876" w:rsidRPr="00CD3876" w14:paraId="6B1A104C" w14:textId="77777777" w:rsidTr="00CD3876">
        <w:trPr>
          <w:trHeight w:val="258"/>
        </w:trPr>
        <w:tc>
          <w:tcPr>
            <w:tcW w:w="2328" w:type="dxa"/>
            <w:tcBorders>
              <w:top w:val="single" w:sz="4" w:space="0" w:color="000000"/>
              <w:left w:val="single" w:sz="4" w:space="0" w:color="000000"/>
              <w:bottom w:val="single" w:sz="4" w:space="0" w:color="000000"/>
              <w:right w:val="single" w:sz="4" w:space="0" w:color="000000"/>
            </w:tcBorders>
            <w:hideMark/>
          </w:tcPr>
          <w:p w14:paraId="5078C82D" w14:textId="77777777" w:rsidR="00CD3876" w:rsidRPr="00CD3876" w:rsidRDefault="00CD3876" w:rsidP="00EE33B3">
            <w:pPr>
              <w:ind w:left="133"/>
              <w:rPr>
                <w:sz w:val="24"/>
                <w:szCs w:val="24"/>
              </w:rPr>
            </w:pPr>
            <w:r w:rsidRPr="00CD3876">
              <w:rPr>
                <w:sz w:val="24"/>
                <w:szCs w:val="24"/>
              </w:rPr>
              <w:t>&lt; 10 ml/min</w:t>
            </w:r>
          </w:p>
        </w:tc>
        <w:tc>
          <w:tcPr>
            <w:tcW w:w="2333" w:type="dxa"/>
            <w:tcBorders>
              <w:top w:val="single" w:sz="4" w:space="0" w:color="000000"/>
              <w:left w:val="single" w:sz="4" w:space="0" w:color="000000"/>
              <w:bottom w:val="single" w:sz="4" w:space="0" w:color="000000"/>
              <w:right w:val="single" w:sz="4" w:space="0" w:color="000000"/>
            </w:tcBorders>
            <w:hideMark/>
          </w:tcPr>
          <w:p w14:paraId="44A4388B" w14:textId="77777777" w:rsidR="00CD3876" w:rsidRPr="00CD3876" w:rsidRDefault="00CD3876" w:rsidP="00EE33B3">
            <w:pPr>
              <w:ind w:left="212"/>
              <w:rPr>
                <w:sz w:val="24"/>
                <w:szCs w:val="24"/>
              </w:rPr>
            </w:pPr>
            <w:r w:rsidRPr="00CD3876">
              <w:rPr>
                <w:sz w:val="24"/>
                <w:szCs w:val="24"/>
              </w:rPr>
              <w:t>500 mg hver 8. time</w:t>
            </w:r>
          </w:p>
        </w:tc>
      </w:tr>
    </w:tbl>
    <w:p w14:paraId="61F031B6" w14:textId="77777777" w:rsidR="00CD3876" w:rsidRPr="00CD3876" w:rsidRDefault="00CD3876" w:rsidP="00CD3876">
      <w:pPr>
        <w:tabs>
          <w:tab w:val="left" w:pos="851"/>
        </w:tabs>
        <w:ind w:left="851"/>
        <w:rPr>
          <w:sz w:val="24"/>
          <w:szCs w:val="24"/>
          <w:lang w:val="en-GB"/>
        </w:rPr>
      </w:pPr>
    </w:p>
    <w:p w14:paraId="56B007EE" w14:textId="77777777" w:rsidR="00CD3876" w:rsidRPr="001A58C2" w:rsidRDefault="00CD3876" w:rsidP="00CD3876">
      <w:pPr>
        <w:tabs>
          <w:tab w:val="left" w:pos="851"/>
        </w:tabs>
        <w:ind w:left="851"/>
        <w:rPr>
          <w:sz w:val="24"/>
          <w:szCs w:val="24"/>
          <w:u w:val="single"/>
        </w:rPr>
      </w:pPr>
      <w:r w:rsidRPr="001A58C2">
        <w:rPr>
          <w:sz w:val="24"/>
          <w:szCs w:val="24"/>
          <w:u w:val="single"/>
        </w:rPr>
        <w:t>Kronisk alkoholisme</w:t>
      </w:r>
    </w:p>
    <w:p w14:paraId="3A2D161E" w14:textId="77777777" w:rsidR="00CD3876" w:rsidRPr="00CD3876" w:rsidRDefault="00CD3876" w:rsidP="00CD3876">
      <w:pPr>
        <w:tabs>
          <w:tab w:val="left" w:pos="851"/>
        </w:tabs>
        <w:ind w:left="851"/>
        <w:rPr>
          <w:sz w:val="24"/>
          <w:szCs w:val="24"/>
        </w:rPr>
      </w:pPr>
      <w:r w:rsidRPr="00CD3876">
        <w:rPr>
          <w:sz w:val="24"/>
          <w:szCs w:val="24"/>
        </w:rPr>
        <w:t>Kronisk alkoholindtag kan nedsætte grænsen for paracetamoltoksicitet. Hos sådanne patienter bør der være et mellemrum på mindst 8 timer imellem doserne. Den daglige dosis bør ikke overskride 2 g paracetamol.</w:t>
      </w:r>
    </w:p>
    <w:p w14:paraId="6EB662E0" w14:textId="77777777" w:rsidR="00CD3876" w:rsidRPr="00CD3876" w:rsidRDefault="00CD3876" w:rsidP="00CD3876">
      <w:pPr>
        <w:tabs>
          <w:tab w:val="left" w:pos="851"/>
        </w:tabs>
        <w:ind w:left="851"/>
        <w:rPr>
          <w:sz w:val="24"/>
          <w:szCs w:val="24"/>
        </w:rPr>
      </w:pPr>
    </w:p>
    <w:p w14:paraId="65FC0D61" w14:textId="77777777" w:rsidR="00CD3876" w:rsidRPr="00CD3876" w:rsidRDefault="00CD3876" w:rsidP="00CD3876">
      <w:pPr>
        <w:tabs>
          <w:tab w:val="left" w:pos="851"/>
        </w:tabs>
        <w:ind w:left="851"/>
        <w:rPr>
          <w:bCs/>
          <w:sz w:val="24"/>
          <w:szCs w:val="24"/>
        </w:rPr>
      </w:pPr>
      <w:r w:rsidRPr="00CD3876">
        <w:rPr>
          <w:bCs/>
          <w:sz w:val="24"/>
          <w:szCs w:val="24"/>
        </w:rPr>
        <w:t xml:space="preserve">På grund af risikoen for </w:t>
      </w:r>
      <w:proofErr w:type="spellStart"/>
      <w:r w:rsidRPr="00CD3876">
        <w:rPr>
          <w:bCs/>
          <w:sz w:val="24"/>
          <w:szCs w:val="24"/>
        </w:rPr>
        <w:t>hepatotoksicitet</w:t>
      </w:r>
      <w:proofErr w:type="spellEnd"/>
      <w:r w:rsidRPr="00CD3876">
        <w:rPr>
          <w:bCs/>
          <w:sz w:val="24"/>
          <w:szCs w:val="24"/>
        </w:rPr>
        <w:t xml:space="preserve"> bør den daglige dosis paracetamol begrænses til 60 mg/kg/dag (højst 2 g) i følgende situationer (se pkt. 4.4): </w:t>
      </w:r>
    </w:p>
    <w:p w14:paraId="119A328F" w14:textId="77777777" w:rsidR="00CD3876" w:rsidRPr="00CD3876" w:rsidRDefault="00CD3876" w:rsidP="001A58C2">
      <w:pPr>
        <w:numPr>
          <w:ilvl w:val="0"/>
          <w:numId w:val="6"/>
        </w:numPr>
        <w:tabs>
          <w:tab w:val="left" w:pos="851"/>
        </w:tabs>
        <w:ind w:left="1134" w:hanging="283"/>
        <w:rPr>
          <w:bCs/>
          <w:sz w:val="24"/>
          <w:szCs w:val="24"/>
        </w:rPr>
      </w:pPr>
      <w:r w:rsidRPr="00CD3876">
        <w:rPr>
          <w:bCs/>
          <w:sz w:val="24"/>
          <w:szCs w:val="24"/>
        </w:rPr>
        <w:t xml:space="preserve">Voksne, der vejer &lt; 50 kg </w:t>
      </w:r>
    </w:p>
    <w:p w14:paraId="63925623" w14:textId="77777777" w:rsidR="00CD3876" w:rsidRPr="00CD3876" w:rsidRDefault="00CD3876" w:rsidP="001A58C2">
      <w:pPr>
        <w:numPr>
          <w:ilvl w:val="0"/>
          <w:numId w:val="6"/>
        </w:numPr>
        <w:tabs>
          <w:tab w:val="left" w:pos="851"/>
        </w:tabs>
        <w:ind w:left="1134" w:hanging="283"/>
        <w:rPr>
          <w:bCs/>
          <w:sz w:val="24"/>
          <w:szCs w:val="24"/>
        </w:rPr>
      </w:pPr>
      <w:r w:rsidRPr="00CD3876">
        <w:rPr>
          <w:bCs/>
          <w:sz w:val="24"/>
          <w:szCs w:val="24"/>
        </w:rPr>
        <w:t xml:space="preserve">Mild til moderat leverinsufficiens </w:t>
      </w:r>
    </w:p>
    <w:p w14:paraId="7FFF73C6" w14:textId="77777777" w:rsidR="00CD3876" w:rsidRPr="00CD3876" w:rsidRDefault="00CD3876" w:rsidP="001A58C2">
      <w:pPr>
        <w:numPr>
          <w:ilvl w:val="0"/>
          <w:numId w:val="6"/>
        </w:numPr>
        <w:tabs>
          <w:tab w:val="left" w:pos="851"/>
        </w:tabs>
        <w:ind w:left="1134" w:hanging="283"/>
        <w:rPr>
          <w:bCs/>
          <w:sz w:val="24"/>
          <w:szCs w:val="24"/>
        </w:rPr>
      </w:pPr>
      <w:r w:rsidRPr="00CD3876">
        <w:rPr>
          <w:bCs/>
          <w:sz w:val="24"/>
          <w:szCs w:val="24"/>
        </w:rPr>
        <w:t>Gilberts syndrom (arvelig, ikke-</w:t>
      </w:r>
      <w:proofErr w:type="spellStart"/>
      <w:r w:rsidRPr="00CD3876">
        <w:rPr>
          <w:bCs/>
          <w:sz w:val="24"/>
          <w:szCs w:val="24"/>
        </w:rPr>
        <w:t>hæmolytisk</w:t>
      </w:r>
      <w:proofErr w:type="spellEnd"/>
      <w:r w:rsidRPr="00CD3876">
        <w:rPr>
          <w:bCs/>
          <w:sz w:val="24"/>
          <w:szCs w:val="24"/>
        </w:rPr>
        <w:t xml:space="preserve"> </w:t>
      </w:r>
      <w:proofErr w:type="spellStart"/>
      <w:r w:rsidRPr="00CD3876">
        <w:rPr>
          <w:bCs/>
          <w:sz w:val="24"/>
          <w:szCs w:val="24"/>
        </w:rPr>
        <w:t>ikterus</w:t>
      </w:r>
      <w:proofErr w:type="spellEnd"/>
      <w:r w:rsidRPr="00CD3876">
        <w:rPr>
          <w:bCs/>
          <w:sz w:val="24"/>
          <w:szCs w:val="24"/>
        </w:rPr>
        <w:t xml:space="preserve">) </w:t>
      </w:r>
    </w:p>
    <w:p w14:paraId="060964D3" w14:textId="77777777" w:rsidR="00CD3876" w:rsidRPr="00CD3876" w:rsidRDefault="00CD3876" w:rsidP="001A58C2">
      <w:pPr>
        <w:numPr>
          <w:ilvl w:val="0"/>
          <w:numId w:val="6"/>
        </w:numPr>
        <w:tabs>
          <w:tab w:val="left" w:pos="851"/>
        </w:tabs>
        <w:ind w:left="1134" w:hanging="283"/>
        <w:rPr>
          <w:bCs/>
          <w:sz w:val="24"/>
          <w:szCs w:val="24"/>
        </w:rPr>
      </w:pPr>
      <w:r w:rsidRPr="00CD3876">
        <w:rPr>
          <w:bCs/>
          <w:sz w:val="24"/>
          <w:szCs w:val="24"/>
        </w:rPr>
        <w:t>Dehydrering</w:t>
      </w:r>
    </w:p>
    <w:p w14:paraId="316DA9BA" w14:textId="77777777" w:rsidR="00CD3876" w:rsidRPr="00CD3876" w:rsidRDefault="00CD3876" w:rsidP="001A58C2">
      <w:pPr>
        <w:numPr>
          <w:ilvl w:val="0"/>
          <w:numId w:val="6"/>
        </w:numPr>
        <w:tabs>
          <w:tab w:val="left" w:pos="851"/>
        </w:tabs>
        <w:ind w:left="1134" w:hanging="283"/>
        <w:rPr>
          <w:sz w:val="24"/>
          <w:szCs w:val="24"/>
        </w:rPr>
      </w:pPr>
      <w:r w:rsidRPr="00CD3876">
        <w:rPr>
          <w:bCs/>
          <w:sz w:val="24"/>
          <w:szCs w:val="24"/>
        </w:rPr>
        <w:t>Kronisk fejlernæring</w:t>
      </w:r>
    </w:p>
    <w:p w14:paraId="57150B74" w14:textId="77777777" w:rsidR="00CD3876" w:rsidRPr="00CD3876" w:rsidRDefault="00CD3876" w:rsidP="00CD3876">
      <w:pPr>
        <w:tabs>
          <w:tab w:val="left" w:pos="851"/>
        </w:tabs>
        <w:ind w:left="851"/>
        <w:rPr>
          <w:sz w:val="24"/>
          <w:szCs w:val="24"/>
          <w:lang w:val="en-GB"/>
        </w:rPr>
      </w:pPr>
    </w:p>
    <w:p w14:paraId="5D653489" w14:textId="77777777" w:rsidR="00CD3876" w:rsidRPr="001A58C2" w:rsidRDefault="00CD3876" w:rsidP="00CD3876">
      <w:pPr>
        <w:tabs>
          <w:tab w:val="left" w:pos="851"/>
        </w:tabs>
        <w:ind w:left="851"/>
        <w:rPr>
          <w:b/>
          <w:sz w:val="24"/>
          <w:szCs w:val="24"/>
        </w:rPr>
      </w:pPr>
      <w:r w:rsidRPr="001A58C2">
        <w:rPr>
          <w:b/>
          <w:sz w:val="24"/>
          <w:szCs w:val="24"/>
          <w:u w:val="single"/>
        </w:rPr>
        <w:t>Administration</w:t>
      </w:r>
      <w:r w:rsidRPr="001A58C2">
        <w:rPr>
          <w:b/>
          <w:sz w:val="24"/>
          <w:szCs w:val="24"/>
        </w:rPr>
        <w:t xml:space="preserve"> </w:t>
      </w:r>
    </w:p>
    <w:p w14:paraId="0E9D4BFB" w14:textId="77777777" w:rsidR="00CD3876" w:rsidRPr="00CD3876" w:rsidRDefault="00CD3876" w:rsidP="00CD3876">
      <w:pPr>
        <w:tabs>
          <w:tab w:val="left" w:pos="851"/>
        </w:tabs>
        <w:ind w:left="851"/>
        <w:rPr>
          <w:sz w:val="24"/>
          <w:szCs w:val="24"/>
        </w:rPr>
      </w:pPr>
      <w:r w:rsidRPr="00CD3876">
        <w:rPr>
          <w:sz w:val="24"/>
          <w:szCs w:val="24"/>
        </w:rPr>
        <w:t>Oral anvendelse. Tabletterne bør synkes med et glas vand.</w:t>
      </w:r>
    </w:p>
    <w:p w14:paraId="4378985A" w14:textId="77777777" w:rsidR="009260DE" w:rsidRPr="00C84483" w:rsidRDefault="009260DE" w:rsidP="009260DE">
      <w:pPr>
        <w:tabs>
          <w:tab w:val="left" w:pos="851"/>
        </w:tabs>
        <w:ind w:left="851"/>
        <w:rPr>
          <w:sz w:val="24"/>
          <w:szCs w:val="24"/>
        </w:rPr>
      </w:pPr>
    </w:p>
    <w:p w14:paraId="04798912"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58C18E2" w14:textId="77777777" w:rsidR="00987BD5" w:rsidRPr="00987BD5" w:rsidRDefault="00987BD5" w:rsidP="00987BD5">
      <w:pPr>
        <w:numPr>
          <w:ilvl w:val="0"/>
          <w:numId w:val="6"/>
        </w:numPr>
        <w:tabs>
          <w:tab w:val="left" w:pos="851"/>
        </w:tabs>
        <w:ind w:left="1134" w:hanging="283"/>
        <w:rPr>
          <w:bCs/>
          <w:sz w:val="24"/>
          <w:szCs w:val="24"/>
        </w:rPr>
      </w:pPr>
      <w:r w:rsidRPr="00987BD5">
        <w:rPr>
          <w:bCs/>
          <w:sz w:val="24"/>
          <w:szCs w:val="24"/>
        </w:rPr>
        <w:t>Overfølsomhed over for det aktive stof eller over for et eller flere af hjælpestofferne anført i pkt. 6.1.</w:t>
      </w:r>
    </w:p>
    <w:p w14:paraId="2AA3696C" w14:textId="77777777" w:rsidR="00987BD5" w:rsidRPr="00987BD5" w:rsidRDefault="00987BD5" w:rsidP="00987BD5">
      <w:pPr>
        <w:numPr>
          <w:ilvl w:val="0"/>
          <w:numId w:val="6"/>
        </w:numPr>
        <w:tabs>
          <w:tab w:val="left" w:pos="851"/>
        </w:tabs>
        <w:ind w:left="1134" w:hanging="283"/>
        <w:rPr>
          <w:bCs/>
          <w:sz w:val="24"/>
          <w:szCs w:val="24"/>
        </w:rPr>
      </w:pPr>
      <w:r w:rsidRPr="00987BD5">
        <w:rPr>
          <w:bCs/>
          <w:sz w:val="24"/>
          <w:szCs w:val="24"/>
        </w:rPr>
        <w:t>Svær leverinsufficiens.</w:t>
      </w:r>
    </w:p>
    <w:p w14:paraId="5A102D79" w14:textId="77777777" w:rsidR="009260DE" w:rsidRPr="00C84483" w:rsidRDefault="009260DE" w:rsidP="009260DE">
      <w:pPr>
        <w:tabs>
          <w:tab w:val="left" w:pos="851"/>
        </w:tabs>
        <w:ind w:left="851"/>
        <w:rPr>
          <w:sz w:val="24"/>
          <w:szCs w:val="24"/>
        </w:rPr>
      </w:pPr>
    </w:p>
    <w:p w14:paraId="39AD619C"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B8671AB" w14:textId="77777777" w:rsidR="00987BD5" w:rsidRPr="00987BD5" w:rsidRDefault="00987BD5" w:rsidP="00987BD5">
      <w:pPr>
        <w:tabs>
          <w:tab w:val="left" w:pos="851"/>
        </w:tabs>
        <w:ind w:left="851"/>
        <w:rPr>
          <w:sz w:val="24"/>
          <w:szCs w:val="24"/>
        </w:rPr>
      </w:pPr>
      <w:r w:rsidRPr="00987BD5">
        <w:rPr>
          <w:sz w:val="24"/>
          <w:szCs w:val="24"/>
        </w:rPr>
        <w:t>Den anbefalede dosis må ikke overskrides.</w:t>
      </w:r>
    </w:p>
    <w:p w14:paraId="7FC37858" w14:textId="77777777" w:rsidR="00987BD5" w:rsidRPr="00987BD5" w:rsidRDefault="00987BD5" w:rsidP="00987BD5">
      <w:pPr>
        <w:tabs>
          <w:tab w:val="left" w:pos="851"/>
        </w:tabs>
        <w:ind w:left="851"/>
        <w:rPr>
          <w:sz w:val="24"/>
          <w:szCs w:val="24"/>
        </w:rPr>
      </w:pPr>
    </w:p>
    <w:p w14:paraId="08ECD643" w14:textId="77777777" w:rsidR="00987BD5" w:rsidRPr="00987BD5" w:rsidRDefault="00987BD5" w:rsidP="00987BD5">
      <w:pPr>
        <w:tabs>
          <w:tab w:val="left" w:pos="851"/>
        </w:tabs>
        <w:ind w:left="851"/>
        <w:rPr>
          <w:sz w:val="24"/>
          <w:szCs w:val="24"/>
        </w:rPr>
      </w:pPr>
      <w:r w:rsidRPr="00987BD5">
        <w:rPr>
          <w:sz w:val="24"/>
          <w:szCs w:val="24"/>
        </w:rPr>
        <w:t>Generelt bør lægemidler, der indeholder paracetamol, kun tages i nogle få dage uden anvisning fra lægen eller tandlægen, og ikke i høje doser.</w:t>
      </w:r>
    </w:p>
    <w:p w14:paraId="00E4796C" w14:textId="77777777" w:rsidR="00987BD5" w:rsidRPr="00987BD5" w:rsidRDefault="00987BD5" w:rsidP="00987BD5">
      <w:pPr>
        <w:tabs>
          <w:tab w:val="left" w:pos="851"/>
        </w:tabs>
        <w:ind w:left="851"/>
        <w:rPr>
          <w:sz w:val="24"/>
          <w:szCs w:val="24"/>
        </w:rPr>
      </w:pPr>
    </w:p>
    <w:p w14:paraId="5812D6BC" w14:textId="77777777" w:rsidR="00987BD5" w:rsidRPr="00987BD5" w:rsidRDefault="00987BD5" w:rsidP="00987BD5">
      <w:pPr>
        <w:tabs>
          <w:tab w:val="left" w:pos="851"/>
        </w:tabs>
        <w:ind w:left="851"/>
        <w:rPr>
          <w:sz w:val="24"/>
          <w:szCs w:val="24"/>
        </w:rPr>
      </w:pPr>
      <w:r w:rsidRPr="00987BD5">
        <w:rPr>
          <w:sz w:val="24"/>
          <w:szCs w:val="24"/>
        </w:rPr>
        <w:lastRenderedPageBreak/>
        <w:t xml:space="preserve">Patienterne bør informeres om, at de ikke samtidig må tage andre lægemidler, der indeholder paracetamol, </w:t>
      </w:r>
      <w:r w:rsidRPr="00987BD5">
        <w:rPr>
          <w:b/>
          <w:sz w:val="24"/>
          <w:szCs w:val="24"/>
          <w:u w:val="single"/>
        </w:rPr>
        <w:t>da der er risiko for svær leverskade i tilfælde af overdosering (se pkt. 4.9).</w:t>
      </w:r>
      <w:r w:rsidRPr="00987BD5">
        <w:rPr>
          <w:sz w:val="24"/>
          <w:szCs w:val="24"/>
        </w:rPr>
        <w:t xml:space="preserve"> </w:t>
      </w:r>
    </w:p>
    <w:p w14:paraId="65C4D478" w14:textId="77777777" w:rsidR="00987BD5" w:rsidRPr="00987BD5" w:rsidRDefault="00987BD5" w:rsidP="00987BD5">
      <w:pPr>
        <w:tabs>
          <w:tab w:val="left" w:pos="851"/>
        </w:tabs>
        <w:ind w:left="851"/>
        <w:rPr>
          <w:sz w:val="24"/>
          <w:szCs w:val="24"/>
        </w:rPr>
      </w:pPr>
      <w:r w:rsidRPr="00987BD5">
        <w:rPr>
          <w:sz w:val="24"/>
          <w:szCs w:val="24"/>
        </w:rPr>
        <w:t xml:space="preserve">Der bør udvises forsigtighed hos patienter med astma, som er følsomme over for acetylsalicylsyre, da der er rapporteret om milde reaktioner i form af </w:t>
      </w:r>
      <w:proofErr w:type="spellStart"/>
      <w:r w:rsidRPr="00987BD5">
        <w:rPr>
          <w:sz w:val="24"/>
          <w:szCs w:val="24"/>
        </w:rPr>
        <w:t>bronkospasmer</w:t>
      </w:r>
      <w:proofErr w:type="spellEnd"/>
      <w:r w:rsidRPr="00987BD5">
        <w:rPr>
          <w:sz w:val="24"/>
          <w:szCs w:val="24"/>
        </w:rPr>
        <w:t xml:space="preserve"> med paracetamol (krydsreaktion).</w:t>
      </w:r>
    </w:p>
    <w:p w14:paraId="4B17F3A8" w14:textId="77777777" w:rsidR="00987BD5" w:rsidRPr="00987BD5" w:rsidRDefault="00987BD5" w:rsidP="00987BD5">
      <w:pPr>
        <w:tabs>
          <w:tab w:val="left" w:pos="851"/>
        </w:tabs>
        <w:ind w:left="851"/>
        <w:rPr>
          <w:sz w:val="24"/>
          <w:szCs w:val="24"/>
        </w:rPr>
      </w:pPr>
    </w:p>
    <w:p w14:paraId="70EB5BBB" w14:textId="77777777" w:rsidR="00987BD5" w:rsidRPr="00987BD5" w:rsidRDefault="00987BD5" w:rsidP="00987BD5">
      <w:pPr>
        <w:tabs>
          <w:tab w:val="left" w:pos="851"/>
        </w:tabs>
        <w:ind w:left="851"/>
        <w:rPr>
          <w:sz w:val="24"/>
          <w:szCs w:val="24"/>
        </w:rPr>
      </w:pPr>
      <w:r w:rsidRPr="00987BD5">
        <w:rPr>
          <w:sz w:val="24"/>
          <w:szCs w:val="24"/>
        </w:rPr>
        <w:t>Der bør udvises forsigtighed ved administration af paracetamol hos patienter med moderat til svær nyreinsufficiens, mild til moderat leverinsufficiens (inklusive Gilbert syndrom), svær leverinsufficiens (Child-</w:t>
      </w:r>
      <w:proofErr w:type="spellStart"/>
      <w:r w:rsidRPr="00987BD5">
        <w:rPr>
          <w:sz w:val="24"/>
          <w:szCs w:val="24"/>
        </w:rPr>
        <w:t>Pugh</w:t>
      </w:r>
      <w:proofErr w:type="spellEnd"/>
      <w:r w:rsidRPr="00987BD5">
        <w:rPr>
          <w:sz w:val="24"/>
          <w:szCs w:val="24"/>
        </w:rPr>
        <w:t xml:space="preserve"> &gt; 9), akut hepatitis, samtidig behandling med lægemidler, der påvirker leverfunktionen, glucose-6-phosphatdehydrogenasemangel, </w:t>
      </w:r>
      <w:proofErr w:type="spellStart"/>
      <w:r w:rsidRPr="00987BD5">
        <w:rPr>
          <w:sz w:val="24"/>
          <w:szCs w:val="24"/>
        </w:rPr>
        <w:t>hæmolytisk</w:t>
      </w:r>
      <w:proofErr w:type="spellEnd"/>
      <w:r w:rsidRPr="00987BD5">
        <w:rPr>
          <w:sz w:val="24"/>
          <w:szCs w:val="24"/>
        </w:rPr>
        <w:t xml:space="preserve"> anæmi, alkoholmisbrug, dehydrering og kronisk fejlernæring.</w:t>
      </w:r>
    </w:p>
    <w:p w14:paraId="102AFDC3" w14:textId="77777777" w:rsidR="00987BD5" w:rsidRPr="00987BD5" w:rsidRDefault="00987BD5" w:rsidP="00987BD5">
      <w:pPr>
        <w:tabs>
          <w:tab w:val="left" w:pos="851"/>
        </w:tabs>
        <w:ind w:left="851"/>
        <w:rPr>
          <w:sz w:val="24"/>
          <w:szCs w:val="24"/>
        </w:rPr>
      </w:pPr>
      <w:r w:rsidRPr="00987BD5">
        <w:rPr>
          <w:sz w:val="24"/>
          <w:szCs w:val="24"/>
        </w:rPr>
        <w:t xml:space="preserve">  Faren i forbindelse med overdosering er større hos patienter med ikke-</w:t>
      </w:r>
      <w:proofErr w:type="spellStart"/>
      <w:r w:rsidRPr="00987BD5">
        <w:rPr>
          <w:sz w:val="24"/>
          <w:szCs w:val="24"/>
        </w:rPr>
        <w:t>cirrotisk</w:t>
      </w:r>
      <w:proofErr w:type="spellEnd"/>
      <w:r w:rsidRPr="00987BD5">
        <w:rPr>
          <w:sz w:val="24"/>
          <w:szCs w:val="24"/>
        </w:rPr>
        <w:t xml:space="preserve"> alkoholisk leversygdom. Dosen skal reduceres hos patienter med alkoholmisbrug. Den daglige dosis bør ikke overstige 2 gram i sådanne tilfælde.</w:t>
      </w:r>
    </w:p>
    <w:p w14:paraId="5C55D9CF" w14:textId="77777777" w:rsidR="00987BD5" w:rsidRPr="00987BD5" w:rsidRDefault="00987BD5" w:rsidP="00987BD5">
      <w:pPr>
        <w:tabs>
          <w:tab w:val="left" w:pos="851"/>
        </w:tabs>
        <w:ind w:left="851"/>
        <w:rPr>
          <w:sz w:val="24"/>
          <w:szCs w:val="24"/>
        </w:rPr>
      </w:pPr>
    </w:p>
    <w:p w14:paraId="6491CE56" w14:textId="77777777" w:rsidR="00987BD5" w:rsidRPr="00987BD5" w:rsidRDefault="00987BD5" w:rsidP="00987BD5">
      <w:pPr>
        <w:tabs>
          <w:tab w:val="left" w:pos="851"/>
        </w:tabs>
        <w:ind w:left="851"/>
        <w:rPr>
          <w:sz w:val="24"/>
          <w:szCs w:val="24"/>
        </w:rPr>
      </w:pPr>
      <w:r w:rsidRPr="00987BD5">
        <w:rPr>
          <w:sz w:val="24"/>
          <w:szCs w:val="24"/>
        </w:rPr>
        <w:t xml:space="preserve">Der bør udvises forsigtighed, hvis paracetamol anvendes i kombination med CYP3A4-induktorer eller stoffer, der inducerer leverenzymer (f.eks. </w:t>
      </w:r>
      <w:proofErr w:type="spellStart"/>
      <w:r w:rsidRPr="00987BD5">
        <w:rPr>
          <w:sz w:val="24"/>
          <w:szCs w:val="24"/>
        </w:rPr>
        <w:t>rifampicin</w:t>
      </w:r>
      <w:proofErr w:type="spellEnd"/>
      <w:r w:rsidRPr="00987BD5">
        <w:rPr>
          <w:sz w:val="24"/>
          <w:szCs w:val="24"/>
        </w:rPr>
        <w:t xml:space="preserve">, </w:t>
      </w:r>
      <w:proofErr w:type="spellStart"/>
      <w:r w:rsidRPr="00987BD5">
        <w:rPr>
          <w:sz w:val="24"/>
          <w:szCs w:val="24"/>
        </w:rPr>
        <w:t>cimetidin</w:t>
      </w:r>
      <w:proofErr w:type="spellEnd"/>
      <w:r w:rsidRPr="00987BD5">
        <w:rPr>
          <w:sz w:val="24"/>
          <w:szCs w:val="24"/>
        </w:rPr>
        <w:t xml:space="preserve"> og </w:t>
      </w:r>
      <w:proofErr w:type="spellStart"/>
      <w:r w:rsidRPr="00987BD5">
        <w:rPr>
          <w:sz w:val="24"/>
          <w:szCs w:val="24"/>
        </w:rPr>
        <w:t>antiepileptika</w:t>
      </w:r>
      <w:proofErr w:type="spellEnd"/>
      <w:r w:rsidRPr="00987BD5">
        <w:rPr>
          <w:sz w:val="24"/>
          <w:szCs w:val="24"/>
        </w:rPr>
        <w:t xml:space="preserve"> såsom </w:t>
      </w:r>
      <w:proofErr w:type="spellStart"/>
      <w:r w:rsidRPr="00987BD5">
        <w:rPr>
          <w:sz w:val="24"/>
          <w:szCs w:val="24"/>
        </w:rPr>
        <w:t>glutethimid</w:t>
      </w:r>
      <w:proofErr w:type="spellEnd"/>
      <w:r w:rsidRPr="00987BD5">
        <w:rPr>
          <w:sz w:val="24"/>
          <w:szCs w:val="24"/>
        </w:rPr>
        <w:t xml:space="preserve">, </w:t>
      </w:r>
      <w:proofErr w:type="spellStart"/>
      <w:r w:rsidRPr="00987BD5">
        <w:rPr>
          <w:sz w:val="24"/>
          <w:szCs w:val="24"/>
        </w:rPr>
        <w:t>phenobarbital</w:t>
      </w:r>
      <w:proofErr w:type="spellEnd"/>
      <w:r w:rsidRPr="00987BD5">
        <w:rPr>
          <w:sz w:val="24"/>
          <w:szCs w:val="24"/>
        </w:rPr>
        <w:t xml:space="preserve">, </w:t>
      </w:r>
      <w:proofErr w:type="spellStart"/>
      <w:r w:rsidRPr="00987BD5">
        <w:rPr>
          <w:sz w:val="24"/>
          <w:szCs w:val="24"/>
        </w:rPr>
        <w:t>carbamazepin</w:t>
      </w:r>
      <w:proofErr w:type="spellEnd"/>
      <w:r w:rsidRPr="00987BD5">
        <w:rPr>
          <w:sz w:val="24"/>
          <w:szCs w:val="24"/>
        </w:rPr>
        <w:t>).</w:t>
      </w:r>
    </w:p>
    <w:p w14:paraId="48A5A7E9" w14:textId="77777777" w:rsidR="00987BD5" w:rsidRPr="00987BD5" w:rsidRDefault="00987BD5" w:rsidP="00987BD5">
      <w:pPr>
        <w:tabs>
          <w:tab w:val="left" w:pos="851"/>
        </w:tabs>
        <w:ind w:left="851"/>
        <w:rPr>
          <w:sz w:val="24"/>
          <w:szCs w:val="24"/>
        </w:rPr>
      </w:pPr>
    </w:p>
    <w:p w14:paraId="16277A5A" w14:textId="77777777" w:rsidR="00987BD5" w:rsidRPr="00987BD5" w:rsidRDefault="00987BD5" w:rsidP="00987BD5">
      <w:pPr>
        <w:tabs>
          <w:tab w:val="left" w:pos="851"/>
        </w:tabs>
        <w:ind w:left="851"/>
        <w:rPr>
          <w:sz w:val="24"/>
          <w:szCs w:val="24"/>
        </w:rPr>
      </w:pPr>
      <w:r w:rsidRPr="00987BD5">
        <w:rPr>
          <w:sz w:val="24"/>
          <w:szCs w:val="24"/>
        </w:rPr>
        <w:t xml:space="preserve">Hos patienter med </w:t>
      </w:r>
      <w:proofErr w:type="spellStart"/>
      <w:r w:rsidRPr="00987BD5">
        <w:rPr>
          <w:sz w:val="24"/>
          <w:szCs w:val="24"/>
        </w:rPr>
        <w:t>glutathionmangel</w:t>
      </w:r>
      <w:proofErr w:type="spellEnd"/>
      <w:r w:rsidRPr="00987BD5">
        <w:rPr>
          <w:sz w:val="24"/>
          <w:szCs w:val="24"/>
        </w:rPr>
        <w:t xml:space="preserve">, f.eks. ved sepsis, øger </w:t>
      </w:r>
      <w:proofErr w:type="gramStart"/>
      <w:r w:rsidRPr="00987BD5">
        <w:rPr>
          <w:sz w:val="24"/>
          <w:szCs w:val="24"/>
        </w:rPr>
        <w:t>paracetamol risikoen</w:t>
      </w:r>
      <w:proofErr w:type="gramEnd"/>
      <w:r w:rsidRPr="00987BD5">
        <w:rPr>
          <w:sz w:val="24"/>
          <w:szCs w:val="24"/>
        </w:rPr>
        <w:t xml:space="preserve"> for metabolisk </w:t>
      </w:r>
      <w:proofErr w:type="spellStart"/>
      <w:r w:rsidRPr="00987BD5">
        <w:rPr>
          <w:sz w:val="24"/>
          <w:szCs w:val="24"/>
        </w:rPr>
        <w:t>acidose</w:t>
      </w:r>
      <w:proofErr w:type="spellEnd"/>
      <w:r w:rsidRPr="00987BD5">
        <w:rPr>
          <w:sz w:val="24"/>
          <w:szCs w:val="24"/>
        </w:rPr>
        <w:t xml:space="preserve"> (se pkt. 4.9).</w:t>
      </w:r>
    </w:p>
    <w:p w14:paraId="038D86F8" w14:textId="77777777" w:rsidR="00987BD5" w:rsidRPr="00987BD5" w:rsidRDefault="00987BD5" w:rsidP="00987BD5">
      <w:pPr>
        <w:tabs>
          <w:tab w:val="left" w:pos="851"/>
        </w:tabs>
        <w:ind w:left="851"/>
        <w:rPr>
          <w:sz w:val="24"/>
          <w:szCs w:val="24"/>
        </w:rPr>
      </w:pPr>
    </w:p>
    <w:p w14:paraId="677F9B61" w14:textId="77777777" w:rsidR="00987BD5" w:rsidRPr="00987BD5" w:rsidRDefault="00987BD5" w:rsidP="00987BD5">
      <w:pPr>
        <w:tabs>
          <w:tab w:val="left" w:pos="851"/>
        </w:tabs>
        <w:ind w:left="851"/>
        <w:rPr>
          <w:sz w:val="24"/>
          <w:szCs w:val="24"/>
        </w:rPr>
      </w:pPr>
      <w:r w:rsidRPr="00987BD5">
        <w:rPr>
          <w:sz w:val="24"/>
          <w:szCs w:val="24"/>
        </w:rPr>
        <w:t xml:space="preserve">Efter langvarig behandling (&gt; 3 måneder) med </w:t>
      </w:r>
      <w:proofErr w:type="spellStart"/>
      <w:r w:rsidRPr="00987BD5">
        <w:rPr>
          <w:sz w:val="24"/>
          <w:szCs w:val="24"/>
        </w:rPr>
        <w:t>analgetika</w:t>
      </w:r>
      <w:proofErr w:type="spellEnd"/>
      <w:r w:rsidRPr="00987BD5">
        <w:rPr>
          <w:sz w:val="24"/>
          <w:szCs w:val="24"/>
        </w:rPr>
        <w:t xml:space="preserve"> hver anden dag eller hyppigere kan hovedpine indtræde eller forværres. Hovedpine som følge af overforbrug af </w:t>
      </w:r>
      <w:proofErr w:type="spellStart"/>
      <w:r w:rsidRPr="00987BD5">
        <w:rPr>
          <w:sz w:val="24"/>
          <w:szCs w:val="24"/>
        </w:rPr>
        <w:t>analgetika</w:t>
      </w:r>
      <w:proofErr w:type="spellEnd"/>
      <w:r w:rsidRPr="00987BD5">
        <w:rPr>
          <w:sz w:val="24"/>
          <w:szCs w:val="24"/>
        </w:rPr>
        <w:t xml:space="preserve"> (MOH - medicinoverforbrugshovedpine) bør ikke håndteres ved at øge dosen. I sådanne tilfælde bør brugen af </w:t>
      </w:r>
      <w:proofErr w:type="spellStart"/>
      <w:r w:rsidRPr="00987BD5">
        <w:rPr>
          <w:sz w:val="24"/>
          <w:szCs w:val="24"/>
        </w:rPr>
        <w:t>analgetika</w:t>
      </w:r>
      <w:proofErr w:type="spellEnd"/>
      <w:r w:rsidRPr="00987BD5">
        <w:rPr>
          <w:sz w:val="24"/>
          <w:szCs w:val="24"/>
        </w:rPr>
        <w:t xml:space="preserve"> seponeres efter aftale med lægen.</w:t>
      </w:r>
    </w:p>
    <w:p w14:paraId="2578B66D" w14:textId="77777777" w:rsidR="00987BD5" w:rsidRPr="00987BD5" w:rsidRDefault="00987BD5" w:rsidP="00987BD5">
      <w:pPr>
        <w:tabs>
          <w:tab w:val="left" w:pos="851"/>
        </w:tabs>
        <w:ind w:left="851"/>
        <w:rPr>
          <w:sz w:val="24"/>
          <w:szCs w:val="24"/>
        </w:rPr>
      </w:pPr>
    </w:p>
    <w:p w14:paraId="22FB3370" w14:textId="77777777" w:rsidR="00987BD5" w:rsidRPr="00987BD5" w:rsidRDefault="00987BD5" w:rsidP="00987BD5">
      <w:pPr>
        <w:tabs>
          <w:tab w:val="left" w:pos="851"/>
        </w:tabs>
        <w:ind w:left="851"/>
        <w:rPr>
          <w:sz w:val="24"/>
          <w:szCs w:val="24"/>
        </w:rPr>
      </w:pPr>
      <w:r w:rsidRPr="00987BD5">
        <w:rPr>
          <w:sz w:val="24"/>
          <w:szCs w:val="24"/>
        </w:rPr>
        <w:t xml:space="preserve">Habituel indtagelse af </w:t>
      </w:r>
      <w:proofErr w:type="spellStart"/>
      <w:r w:rsidRPr="00987BD5">
        <w:rPr>
          <w:sz w:val="24"/>
          <w:szCs w:val="24"/>
        </w:rPr>
        <w:t>analgetika</w:t>
      </w:r>
      <w:proofErr w:type="spellEnd"/>
      <w:r w:rsidRPr="00987BD5">
        <w:rPr>
          <w:sz w:val="24"/>
          <w:szCs w:val="24"/>
        </w:rPr>
        <w:t xml:space="preserve"> generelt, særligt kombinationer af flere analgetiske stoffer, kan medføre permanent nyreskade med risiko for nyresvigt (analgetisk </w:t>
      </w:r>
      <w:proofErr w:type="spellStart"/>
      <w:r w:rsidRPr="00987BD5">
        <w:rPr>
          <w:sz w:val="24"/>
          <w:szCs w:val="24"/>
        </w:rPr>
        <w:t>nefropati</w:t>
      </w:r>
      <w:proofErr w:type="spellEnd"/>
      <w:r w:rsidRPr="00987BD5">
        <w:rPr>
          <w:sz w:val="24"/>
          <w:szCs w:val="24"/>
        </w:rPr>
        <w:t>).</w:t>
      </w:r>
    </w:p>
    <w:p w14:paraId="19F1203D" w14:textId="77777777" w:rsidR="00987BD5" w:rsidRPr="00987BD5" w:rsidRDefault="00987BD5" w:rsidP="00987BD5">
      <w:pPr>
        <w:tabs>
          <w:tab w:val="left" w:pos="851"/>
        </w:tabs>
        <w:ind w:left="851"/>
        <w:rPr>
          <w:sz w:val="24"/>
          <w:szCs w:val="24"/>
        </w:rPr>
      </w:pPr>
    </w:p>
    <w:p w14:paraId="526E81C0" w14:textId="77777777" w:rsidR="00987BD5" w:rsidRPr="00987BD5" w:rsidRDefault="00987BD5" w:rsidP="00987BD5">
      <w:pPr>
        <w:tabs>
          <w:tab w:val="left" w:pos="851"/>
        </w:tabs>
        <w:ind w:left="851"/>
        <w:rPr>
          <w:sz w:val="24"/>
          <w:szCs w:val="24"/>
        </w:rPr>
      </w:pPr>
      <w:r w:rsidRPr="00987BD5">
        <w:rPr>
          <w:sz w:val="24"/>
          <w:szCs w:val="24"/>
        </w:rPr>
        <w:t xml:space="preserve">Langvarig eller hyppig brug frarådes. Indtagelse af flere daglige doser på én gang kan medføre svær leverskade. I sådanne tilfælde opstår der ikke bevidstløshed. Alligevel skal der søges øjeblikkelig lægehjælp. Langvarig brug uden lægelig overvågning kan være skadeligt. Hos børn, der får behandling med paracetamol 60 mg/kg dagligt, er kombination med et andet </w:t>
      </w:r>
      <w:proofErr w:type="spellStart"/>
      <w:r w:rsidRPr="00987BD5">
        <w:rPr>
          <w:sz w:val="24"/>
          <w:szCs w:val="24"/>
        </w:rPr>
        <w:t>antipyretikum</w:t>
      </w:r>
      <w:proofErr w:type="spellEnd"/>
      <w:r w:rsidRPr="00987BD5">
        <w:rPr>
          <w:sz w:val="24"/>
          <w:szCs w:val="24"/>
        </w:rPr>
        <w:t xml:space="preserve"> kun berettiget i tilfælde af manglende virkning.</w:t>
      </w:r>
    </w:p>
    <w:p w14:paraId="7474886D" w14:textId="77777777" w:rsidR="00987BD5" w:rsidRPr="00987BD5" w:rsidRDefault="00987BD5" w:rsidP="00987BD5">
      <w:pPr>
        <w:tabs>
          <w:tab w:val="left" w:pos="851"/>
        </w:tabs>
        <w:ind w:left="851"/>
        <w:rPr>
          <w:sz w:val="24"/>
          <w:szCs w:val="24"/>
        </w:rPr>
      </w:pPr>
    </w:p>
    <w:p w14:paraId="35A2AA18" w14:textId="77777777" w:rsidR="00B748F4" w:rsidRDefault="00B748F4" w:rsidP="00B748F4">
      <w:pPr>
        <w:tabs>
          <w:tab w:val="left" w:pos="851"/>
        </w:tabs>
        <w:ind w:left="851"/>
        <w:rPr>
          <w:sz w:val="24"/>
          <w:szCs w:val="24"/>
        </w:rPr>
      </w:pPr>
      <w:r w:rsidRPr="00987BD5">
        <w:rPr>
          <w:sz w:val="24"/>
          <w:szCs w:val="24"/>
        </w:rPr>
        <w:t xml:space="preserve">Brat </w:t>
      </w:r>
      <w:proofErr w:type="spellStart"/>
      <w:r w:rsidRPr="00987BD5">
        <w:rPr>
          <w:sz w:val="24"/>
          <w:szCs w:val="24"/>
        </w:rPr>
        <w:t>seponering</w:t>
      </w:r>
      <w:proofErr w:type="spellEnd"/>
      <w:r w:rsidRPr="00987BD5">
        <w:rPr>
          <w:sz w:val="24"/>
          <w:szCs w:val="24"/>
        </w:rPr>
        <w:t xml:space="preserve"> efter langvarig, ukorrekt brug af </w:t>
      </w:r>
      <w:proofErr w:type="spellStart"/>
      <w:r w:rsidRPr="00987BD5">
        <w:rPr>
          <w:sz w:val="24"/>
          <w:szCs w:val="24"/>
        </w:rPr>
        <w:t>analgetika</w:t>
      </w:r>
      <w:proofErr w:type="spellEnd"/>
      <w:r w:rsidRPr="00987BD5">
        <w:rPr>
          <w:sz w:val="24"/>
          <w:szCs w:val="24"/>
        </w:rPr>
        <w:t xml:space="preserve"> i høje doser kan medføre hovedpine, træthed, muskelsmerter, nervøsitet og autonome symptomer. Disse </w:t>
      </w:r>
      <w:proofErr w:type="spellStart"/>
      <w:r w:rsidRPr="00987BD5">
        <w:rPr>
          <w:sz w:val="24"/>
          <w:szCs w:val="24"/>
        </w:rPr>
        <w:t>seponeringssymptomer</w:t>
      </w:r>
      <w:proofErr w:type="spellEnd"/>
      <w:r w:rsidRPr="00987BD5">
        <w:rPr>
          <w:sz w:val="24"/>
          <w:szCs w:val="24"/>
        </w:rPr>
        <w:t xml:space="preserve"> forsvinder i løbet af nogle dage. I mellemtiden bør yderligere indtagelse af </w:t>
      </w:r>
      <w:proofErr w:type="spellStart"/>
      <w:r w:rsidRPr="00987BD5">
        <w:rPr>
          <w:sz w:val="24"/>
          <w:szCs w:val="24"/>
        </w:rPr>
        <w:t>analgetika</w:t>
      </w:r>
      <w:proofErr w:type="spellEnd"/>
      <w:r w:rsidRPr="00987BD5">
        <w:rPr>
          <w:sz w:val="24"/>
          <w:szCs w:val="24"/>
        </w:rPr>
        <w:t xml:space="preserve"> undgås, og indtagelsen bør ikke genoptages uden lægelig rådgivning.</w:t>
      </w:r>
    </w:p>
    <w:p w14:paraId="2F33B347" w14:textId="3B8F8BDD" w:rsidR="000F4EB5" w:rsidRDefault="000F4EB5" w:rsidP="00B748F4">
      <w:pPr>
        <w:tabs>
          <w:tab w:val="left" w:pos="851"/>
        </w:tabs>
        <w:ind w:left="851"/>
        <w:rPr>
          <w:sz w:val="24"/>
          <w:szCs w:val="24"/>
        </w:rPr>
      </w:pPr>
    </w:p>
    <w:p w14:paraId="0CF578A0" w14:textId="2AD91937" w:rsidR="0033122B" w:rsidRPr="0033122B" w:rsidRDefault="0033122B" w:rsidP="0033122B">
      <w:pPr>
        <w:tabs>
          <w:tab w:val="left" w:pos="851"/>
        </w:tabs>
        <w:ind w:left="851"/>
      </w:pPr>
      <w:r>
        <w:t xml:space="preserve">Der er rapporteret om tilfælde af metabolisk </w:t>
      </w:r>
      <w:proofErr w:type="spellStart"/>
      <w:r>
        <w:t>acidose</w:t>
      </w:r>
      <w:proofErr w:type="spellEnd"/>
      <w:r>
        <w:t xml:space="preserve"> med højt anion-</w:t>
      </w:r>
      <w:proofErr w:type="spellStart"/>
      <w:r>
        <w:t>gap</w:t>
      </w:r>
      <w:proofErr w:type="spellEnd"/>
      <w:r>
        <w:t xml:space="preserve"> (HAGMA) som følge af </w:t>
      </w:r>
      <w:proofErr w:type="spellStart"/>
      <w:r>
        <w:t>pyroglutaminacidose</w:t>
      </w:r>
      <w:proofErr w:type="spellEnd"/>
      <w:r>
        <w:t xml:space="preserve"> hos patienter med svær sygdom såsom svær nyreinsufficiens og sepsis, eller hos patienter med fejlernæring eller andre kilder til </w:t>
      </w:r>
      <w:proofErr w:type="spellStart"/>
      <w:r>
        <w:t>glutathionmangel</w:t>
      </w:r>
      <w:proofErr w:type="spellEnd"/>
      <w:r>
        <w:t xml:space="preserve"> (f.eks. kronisk alkoholisme), som blev behandlet med paracetamol i terapeutiske doser i en længere periode eller en kombination af paracetamol og </w:t>
      </w:r>
      <w:proofErr w:type="spellStart"/>
      <w:r>
        <w:t>flucloxacillin</w:t>
      </w:r>
      <w:proofErr w:type="spellEnd"/>
      <w:r>
        <w:t xml:space="preserve">. Hvis der er mistanke om HAGMA på grund af </w:t>
      </w:r>
      <w:proofErr w:type="spellStart"/>
      <w:r>
        <w:t>pyroglutaminacidose</w:t>
      </w:r>
      <w:proofErr w:type="spellEnd"/>
      <w:r>
        <w:t xml:space="preserve">, anbefales øjeblikkelig </w:t>
      </w:r>
      <w:proofErr w:type="spellStart"/>
      <w:r>
        <w:t>seponering</w:t>
      </w:r>
      <w:proofErr w:type="spellEnd"/>
      <w:r>
        <w:t xml:space="preserve"> af paracetamol og tæt overvågning. Målingen af 5-oxoprolin i urinen kan være nyttig til at identificere </w:t>
      </w:r>
      <w:proofErr w:type="spellStart"/>
      <w:r>
        <w:t>pyroglutaminacidose</w:t>
      </w:r>
      <w:proofErr w:type="spellEnd"/>
      <w:r>
        <w:t xml:space="preserve"> som underliggende årsag til HAGMA hos patienter med flere risikofaktorer.</w:t>
      </w:r>
    </w:p>
    <w:p w14:paraId="35B25B44" w14:textId="77777777" w:rsidR="000F4EB5" w:rsidRPr="00987BD5" w:rsidRDefault="000F4EB5" w:rsidP="0033122B">
      <w:pPr>
        <w:tabs>
          <w:tab w:val="left" w:pos="851"/>
        </w:tabs>
        <w:rPr>
          <w:sz w:val="24"/>
          <w:szCs w:val="24"/>
        </w:rPr>
      </w:pPr>
    </w:p>
    <w:p w14:paraId="1664228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A8DABA7" w14:textId="77777777" w:rsidR="00CE01BA" w:rsidRPr="00CE01BA" w:rsidRDefault="00CE01BA" w:rsidP="00CE01BA">
      <w:pPr>
        <w:tabs>
          <w:tab w:val="left" w:pos="851"/>
        </w:tabs>
        <w:ind w:left="851"/>
        <w:rPr>
          <w:b/>
          <w:sz w:val="24"/>
          <w:szCs w:val="24"/>
        </w:rPr>
      </w:pPr>
    </w:p>
    <w:p w14:paraId="47FEDCE4" w14:textId="77777777" w:rsidR="00CE01BA" w:rsidRPr="00CE01BA" w:rsidRDefault="00CE01BA" w:rsidP="00CE01BA">
      <w:pPr>
        <w:tabs>
          <w:tab w:val="left" w:pos="851"/>
        </w:tabs>
        <w:ind w:left="851"/>
        <w:rPr>
          <w:iCs/>
          <w:sz w:val="24"/>
          <w:szCs w:val="24"/>
          <w:u w:val="single"/>
        </w:rPr>
      </w:pPr>
      <w:proofErr w:type="spellStart"/>
      <w:r w:rsidRPr="00CE01BA">
        <w:rPr>
          <w:iCs/>
          <w:sz w:val="24"/>
          <w:szCs w:val="24"/>
          <w:u w:val="single"/>
        </w:rPr>
        <w:t>Farmakokinetiske</w:t>
      </w:r>
      <w:proofErr w:type="spellEnd"/>
      <w:r w:rsidRPr="00CE01BA">
        <w:rPr>
          <w:iCs/>
          <w:sz w:val="24"/>
          <w:szCs w:val="24"/>
          <w:u w:val="single"/>
        </w:rPr>
        <w:t xml:space="preserve"> interaktioner</w:t>
      </w:r>
    </w:p>
    <w:p w14:paraId="176CEBA6" w14:textId="77777777" w:rsidR="00CE01BA" w:rsidRPr="00CE01BA" w:rsidRDefault="00CE01BA" w:rsidP="00CE01BA">
      <w:pPr>
        <w:tabs>
          <w:tab w:val="left" w:pos="851"/>
        </w:tabs>
        <w:ind w:left="851"/>
        <w:rPr>
          <w:sz w:val="24"/>
          <w:szCs w:val="24"/>
        </w:rPr>
      </w:pPr>
      <w:proofErr w:type="spellStart"/>
      <w:r w:rsidRPr="00CE01BA">
        <w:rPr>
          <w:sz w:val="24"/>
          <w:szCs w:val="24"/>
        </w:rPr>
        <w:t>Metoclopramid</w:t>
      </w:r>
      <w:proofErr w:type="spellEnd"/>
      <w:r w:rsidRPr="00CE01BA">
        <w:rPr>
          <w:sz w:val="24"/>
          <w:szCs w:val="24"/>
        </w:rPr>
        <w:t xml:space="preserve"> og </w:t>
      </w:r>
      <w:proofErr w:type="spellStart"/>
      <w:r w:rsidRPr="00CE01BA">
        <w:rPr>
          <w:sz w:val="24"/>
          <w:szCs w:val="24"/>
        </w:rPr>
        <w:t>domperidon</w:t>
      </w:r>
      <w:proofErr w:type="spellEnd"/>
      <w:r w:rsidRPr="00CE01BA">
        <w:rPr>
          <w:sz w:val="24"/>
          <w:szCs w:val="24"/>
        </w:rPr>
        <w:t xml:space="preserve"> kan øge absorptionshastigheden af paracetamol. Det er imidlertid ikke nødvendigt at undgå samtidig brug.</w:t>
      </w:r>
    </w:p>
    <w:p w14:paraId="48990A75" w14:textId="77777777" w:rsidR="00CE01BA" w:rsidRPr="00CE01BA" w:rsidRDefault="00CE01BA" w:rsidP="00CE01BA">
      <w:pPr>
        <w:tabs>
          <w:tab w:val="left" w:pos="851"/>
        </w:tabs>
        <w:ind w:left="851"/>
        <w:rPr>
          <w:sz w:val="24"/>
          <w:szCs w:val="24"/>
        </w:rPr>
      </w:pPr>
    </w:p>
    <w:p w14:paraId="32330B76" w14:textId="77777777" w:rsidR="00CE01BA" w:rsidRPr="00CE01BA" w:rsidRDefault="00CE01BA" w:rsidP="00CE01BA">
      <w:pPr>
        <w:tabs>
          <w:tab w:val="left" w:pos="851"/>
        </w:tabs>
        <w:ind w:left="851"/>
        <w:rPr>
          <w:sz w:val="24"/>
          <w:szCs w:val="24"/>
        </w:rPr>
      </w:pPr>
      <w:proofErr w:type="spellStart"/>
      <w:r w:rsidRPr="00CE01BA">
        <w:rPr>
          <w:sz w:val="24"/>
          <w:szCs w:val="24"/>
        </w:rPr>
        <w:t>Colestyramin</w:t>
      </w:r>
      <w:proofErr w:type="spellEnd"/>
      <w:r w:rsidRPr="00CE01BA">
        <w:rPr>
          <w:sz w:val="24"/>
          <w:szCs w:val="24"/>
        </w:rPr>
        <w:t xml:space="preserve"> reducerer absorptionen af paracetamol. Paracetamol bør administreres mindst 1 time før eller 4-6 timer efter </w:t>
      </w:r>
      <w:proofErr w:type="spellStart"/>
      <w:r w:rsidRPr="00CE01BA">
        <w:rPr>
          <w:sz w:val="24"/>
          <w:szCs w:val="24"/>
        </w:rPr>
        <w:t>colestyramin</w:t>
      </w:r>
      <w:proofErr w:type="spellEnd"/>
      <w:r w:rsidRPr="00CE01BA">
        <w:rPr>
          <w:sz w:val="24"/>
          <w:szCs w:val="24"/>
        </w:rPr>
        <w:t xml:space="preserve">. </w:t>
      </w:r>
    </w:p>
    <w:p w14:paraId="6B4B895A" w14:textId="77777777" w:rsidR="00CE01BA" w:rsidRPr="00CE01BA" w:rsidRDefault="00CE01BA" w:rsidP="00CE01BA">
      <w:pPr>
        <w:tabs>
          <w:tab w:val="left" w:pos="851"/>
        </w:tabs>
        <w:ind w:left="851"/>
        <w:rPr>
          <w:sz w:val="24"/>
          <w:szCs w:val="24"/>
        </w:rPr>
      </w:pPr>
    </w:p>
    <w:p w14:paraId="4BE13995" w14:textId="77777777" w:rsidR="00CE01BA" w:rsidRPr="00CE01BA" w:rsidRDefault="00CE01BA" w:rsidP="00CE01BA">
      <w:pPr>
        <w:tabs>
          <w:tab w:val="left" w:pos="851"/>
        </w:tabs>
        <w:ind w:left="851"/>
        <w:rPr>
          <w:sz w:val="24"/>
          <w:szCs w:val="24"/>
        </w:rPr>
      </w:pPr>
      <w:r w:rsidRPr="00CE01BA">
        <w:rPr>
          <w:sz w:val="24"/>
          <w:szCs w:val="24"/>
        </w:rPr>
        <w:t xml:space="preserve">Lægemidler med enzyminducerende virkning (f.eks. </w:t>
      </w:r>
      <w:proofErr w:type="spellStart"/>
      <w:r w:rsidRPr="00CE01BA">
        <w:rPr>
          <w:sz w:val="24"/>
          <w:szCs w:val="24"/>
        </w:rPr>
        <w:t>phenytoin</w:t>
      </w:r>
      <w:proofErr w:type="spellEnd"/>
      <w:r w:rsidRPr="00CE01BA">
        <w:rPr>
          <w:sz w:val="24"/>
          <w:szCs w:val="24"/>
        </w:rPr>
        <w:t xml:space="preserve">, </w:t>
      </w:r>
      <w:proofErr w:type="spellStart"/>
      <w:r w:rsidRPr="00CE01BA">
        <w:rPr>
          <w:sz w:val="24"/>
          <w:szCs w:val="24"/>
        </w:rPr>
        <w:t>carbamazepin</w:t>
      </w:r>
      <w:proofErr w:type="spellEnd"/>
      <w:r w:rsidRPr="00CE01BA">
        <w:rPr>
          <w:sz w:val="24"/>
          <w:szCs w:val="24"/>
        </w:rPr>
        <w:t xml:space="preserve">, </w:t>
      </w:r>
      <w:proofErr w:type="spellStart"/>
      <w:r w:rsidRPr="00CE01BA">
        <w:rPr>
          <w:sz w:val="24"/>
          <w:szCs w:val="24"/>
        </w:rPr>
        <w:t>rifampicin</w:t>
      </w:r>
      <w:proofErr w:type="spellEnd"/>
      <w:r w:rsidRPr="00CE01BA">
        <w:rPr>
          <w:sz w:val="24"/>
          <w:szCs w:val="24"/>
        </w:rPr>
        <w:t xml:space="preserve">, </w:t>
      </w:r>
      <w:proofErr w:type="spellStart"/>
      <w:r w:rsidRPr="00CE01BA">
        <w:rPr>
          <w:sz w:val="24"/>
          <w:szCs w:val="24"/>
        </w:rPr>
        <w:t>phenobarbital</w:t>
      </w:r>
      <w:proofErr w:type="spellEnd"/>
      <w:r w:rsidRPr="00CE01BA">
        <w:rPr>
          <w:sz w:val="24"/>
          <w:szCs w:val="24"/>
        </w:rPr>
        <w:t xml:space="preserve">, perikon) reducerer biotilgængeligheden af paracetamol på grund af øget </w:t>
      </w:r>
      <w:proofErr w:type="spellStart"/>
      <w:r w:rsidRPr="00CE01BA">
        <w:rPr>
          <w:sz w:val="24"/>
          <w:szCs w:val="24"/>
        </w:rPr>
        <w:t>glucuronidering</w:t>
      </w:r>
      <w:proofErr w:type="spellEnd"/>
      <w:r w:rsidRPr="00CE01BA">
        <w:rPr>
          <w:sz w:val="24"/>
          <w:szCs w:val="24"/>
        </w:rPr>
        <w:t>, og risikoen for levertoksicitet er øget. Sådanne kombinationer bør undgås.</w:t>
      </w:r>
    </w:p>
    <w:p w14:paraId="1A6AD496" w14:textId="77777777" w:rsidR="00CE01BA" w:rsidRPr="00CE01BA" w:rsidRDefault="00CE01BA" w:rsidP="00CE01BA">
      <w:pPr>
        <w:tabs>
          <w:tab w:val="left" w:pos="851"/>
        </w:tabs>
        <w:ind w:left="851"/>
        <w:rPr>
          <w:sz w:val="24"/>
          <w:szCs w:val="24"/>
        </w:rPr>
      </w:pPr>
    </w:p>
    <w:p w14:paraId="0F6A2E99" w14:textId="77777777" w:rsidR="00CE01BA" w:rsidRPr="00CE01BA" w:rsidRDefault="00CE01BA" w:rsidP="00CE01BA">
      <w:pPr>
        <w:tabs>
          <w:tab w:val="left" w:pos="851"/>
        </w:tabs>
        <w:ind w:left="851"/>
        <w:rPr>
          <w:sz w:val="24"/>
          <w:szCs w:val="24"/>
        </w:rPr>
      </w:pPr>
      <w:proofErr w:type="spellStart"/>
      <w:r w:rsidRPr="00CE01BA">
        <w:rPr>
          <w:sz w:val="24"/>
          <w:szCs w:val="24"/>
        </w:rPr>
        <w:t>Probenecid</w:t>
      </w:r>
      <w:proofErr w:type="spellEnd"/>
      <w:r w:rsidRPr="00CE01BA">
        <w:rPr>
          <w:sz w:val="24"/>
          <w:szCs w:val="24"/>
        </w:rPr>
        <w:t xml:space="preserve"> reducerer </w:t>
      </w:r>
      <w:proofErr w:type="spellStart"/>
      <w:r w:rsidRPr="00CE01BA">
        <w:rPr>
          <w:sz w:val="24"/>
          <w:szCs w:val="24"/>
        </w:rPr>
        <w:t>clearance</w:t>
      </w:r>
      <w:proofErr w:type="spellEnd"/>
      <w:r w:rsidRPr="00CE01BA">
        <w:rPr>
          <w:sz w:val="24"/>
          <w:szCs w:val="24"/>
        </w:rPr>
        <w:t xml:space="preserve"> af paracetamol med næsten 50 %. Derfor kan paracetamoldosen halveres under samtidig behandling. </w:t>
      </w:r>
    </w:p>
    <w:p w14:paraId="778A6E95" w14:textId="77777777" w:rsidR="00CE01BA" w:rsidRPr="00CE01BA" w:rsidRDefault="00CE01BA" w:rsidP="00CE01BA">
      <w:pPr>
        <w:tabs>
          <w:tab w:val="left" w:pos="851"/>
        </w:tabs>
        <w:ind w:left="851"/>
        <w:rPr>
          <w:sz w:val="24"/>
          <w:szCs w:val="24"/>
        </w:rPr>
      </w:pPr>
    </w:p>
    <w:p w14:paraId="14C14384" w14:textId="77777777" w:rsidR="00B748F4" w:rsidRDefault="00B748F4" w:rsidP="00B748F4">
      <w:pPr>
        <w:tabs>
          <w:tab w:val="left" w:pos="851"/>
        </w:tabs>
        <w:ind w:left="851"/>
        <w:rPr>
          <w:sz w:val="24"/>
          <w:szCs w:val="24"/>
        </w:rPr>
      </w:pPr>
      <w:r w:rsidRPr="00CE01BA">
        <w:rPr>
          <w:sz w:val="24"/>
          <w:szCs w:val="24"/>
        </w:rPr>
        <w:t xml:space="preserve">Paracetamol kan påvirke plasmakoncentrationen af </w:t>
      </w:r>
      <w:proofErr w:type="spellStart"/>
      <w:r w:rsidRPr="00CE01BA">
        <w:rPr>
          <w:sz w:val="24"/>
          <w:szCs w:val="24"/>
        </w:rPr>
        <w:t>chloramphenicol</w:t>
      </w:r>
      <w:proofErr w:type="spellEnd"/>
      <w:r w:rsidRPr="00CE01BA">
        <w:rPr>
          <w:sz w:val="24"/>
          <w:szCs w:val="24"/>
        </w:rPr>
        <w:t xml:space="preserve">. Det anbefales at monitorere plasmaniveauet af </w:t>
      </w:r>
      <w:proofErr w:type="spellStart"/>
      <w:r w:rsidRPr="00CE01BA">
        <w:rPr>
          <w:sz w:val="24"/>
          <w:szCs w:val="24"/>
        </w:rPr>
        <w:t>chloramphenicol</w:t>
      </w:r>
      <w:proofErr w:type="spellEnd"/>
      <w:r w:rsidRPr="00CE01BA">
        <w:rPr>
          <w:sz w:val="24"/>
          <w:szCs w:val="24"/>
        </w:rPr>
        <w:t xml:space="preserve"> ved samtidig brug af paracetamol og injektionsbehandling med </w:t>
      </w:r>
      <w:proofErr w:type="spellStart"/>
      <w:r w:rsidRPr="00CE01BA">
        <w:rPr>
          <w:sz w:val="24"/>
          <w:szCs w:val="24"/>
        </w:rPr>
        <w:t>chloramphenicol</w:t>
      </w:r>
      <w:proofErr w:type="spellEnd"/>
      <w:r w:rsidRPr="00CE01BA">
        <w:rPr>
          <w:sz w:val="24"/>
          <w:szCs w:val="24"/>
        </w:rPr>
        <w:t xml:space="preserve">. </w:t>
      </w:r>
    </w:p>
    <w:p w14:paraId="5547DC52" w14:textId="77777777" w:rsidR="00B748F4" w:rsidRDefault="00B748F4" w:rsidP="00B748F4">
      <w:pPr>
        <w:tabs>
          <w:tab w:val="left" w:pos="851"/>
        </w:tabs>
        <w:ind w:left="851"/>
        <w:rPr>
          <w:sz w:val="24"/>
          <w:szCs w:val="24"/>
        </w:rPr>
      </w:pPr>
    </w:p>
    <w:p w14:paraId="30A6372A" w14:textId="77777777" w:rsidR="0033122B" w:rsidRDefault="0033122B" w:rsidP="0033122B">
      <w:pPr>
        <w:tabs>
          <w:tab w:val="left" w:pos="851"/>
        </w:tabs>
        <w:ind w:left="851"/>
        <w:rPr>
          <w:sz w:val="24"/>
          <w:szCs w:val="24"/>
        </w:rPr>
      </w:pPr>
      <w:r>
        <w:t xml:space="preserve">Der bør udvises forsigtighed, når paracetamol anvendes samtidig med </w:t>
      </w:r>
      <w:proofErr w:type="spellStart"/>
      <w:r>
        <w:t>flucloxacillin</w:t>
      </w:r>
      <w:proofErr w:type="spellEnd"/>
      <w:r>
        <w:t xml:space="preserve">, idet samtidig brug kan være forbundet med metabolisk </w:t>
      </w:r>
      <w:proofErr w:type="spellStart"/>
      <w:r>
        <w:t>acidose</w:t>
      </w:r>
      <w:proofErr w:type="spellEnd"/>
      <w:r>
        <w:t xml:space="preserve"> med højt anion-</w:t>
      </w:r>
      <w:proofErr w:type="spellStart"/>
      <w:r>
        <w:t>gap</w:t>
      </w:r>
      <w:proofErr w:type="spellEnd"/>
      <w:r>
        <w:t xml:space="preserve"> på grund af </w:t>
      </w:r>
      <w:proofErr w:type="spellStart"/>
      <w:r>
        <w:t>pyroglutaminacidose</w:t>
      </w:r>
      <w:proofErr w:type="spellEnd"/>
      <w:r>
        <w:t>, særligt hos patienter med risikofaktorer (se afsnit 4.4).</w:t>
      </w:r>
    </w:p>
    <w:p w14:paraId="53F494CF" w14:textId="77777777" w:rsidR="00CE01BA" w:rsidRPr="00CE01BA" w:rsidRDefault="00CE01BA" w:rsidP="00CE01BA">
      <w:pPr>
        <w:tabs>
          <w:tab w:val="left" w:pos="851"/>
        </w:tabs>
        <w:ind w:left="851"/>
        <w:rPr>
          <w:sz w:val="24"/>
          <w:szCs w:val="24"/>
        </w:rPr>
      </w:pPr>
    </w:p>
    <w:p w14:paraId="68FDA283" w14:textId="77777777" w:rsidR="00CE01BA" w:rsidRPr="00CE01BA" w:rsidRDefault="00CE01BA" w:rsidP="00CE01BA">
      <w:pPr>
        <w:tabs>
          <w:tab w:val="left" w:pos="851"/>
        </w:tabs>
        <w:ind w:left="851"/>
        <w:rPr>
          <w:iCs/>
          <w:sz w:val="24"/>
          <w:szCs w:val="24"/>
          <w:u w:val="single"/>
        </w:rPr>
      </w:pPr>
      <w:proofErr w:type="spellStart"/>
      <w:r w:rsidRPr="00CE01BA">
        <w:rPr>
          <w:iCs/>
          <w:sz w:val="24"/>
          <w:szCs w:val="24"/>
          <w:u w:val="single"/>
        </w:rPr>
        <w:t>Farmakodynamiske</w:t>
      </w:r>
      <w:proofErr w:type="spellEnd"/>
      <w:r w:rsidRPr="00CE01BA">
        <w:rPr>
          <w:iCs/>
          <w:sz w:val="24"/>
          <w:szCs w:val="24"/>
          <w:u w:val="single"/>
        </w:rPr>
        <w:t xml:space="preserve"> interaktioner</w:t>
      </w:r>
    </w:p>
    <w:p w14:paraId="65506935" w14:textId="77777777" w:rsidR="00CE01BA" w:rsidRPr="00CE01BA" w:rsidRDefault="00CE01BA" w:rsidP="00CE01BA">
      <w:pPr>
        <w:tabs>
          <w:tab w:val="left" w:pos="851"/>
        </w:tabs>
        <w:ind w:left="851"/>
        <w:rPr>
          <w:sz w:val="24"/>
          <w:szCs w:val="24"/>
        </w:rPr>
      </w:pPr>
      <w:r w:rsidRPr="00CE01BA">
        <w:rPr>
          <w:sz w:val="24"/>
          <w:szCs w:val="24"/>
        </w:rPr>
        <w:t xml:space="preserve">Den antikoagulerende virkning af </w:t>
      </w:r>
      <w:proofErr w:type="spellStart"/>
      <w:r w:rsidRPr="00CE01BA">
        <w:rPr>
          <w:sz w:val="24"/>
          <w:szCs w:val="24"/>
        </w:rPr>
        <w:t>warfarin</w:t>
      </w:r>
      <w:proofErr w:type="spellEnd"/>
      <w:r w:rsidRPr="00CE01BA">
        <w:rPr>
          <w:sz w:val="24"/>
          <w:szCs w:val="24"/>
        </w:rPr>
        <w:t xml:space="preserve"> og andre </w:t>
      </w:r>
      <w:proofErr w:type="spellStart"/>
      <w:r w:rsidRPr="00CE01BA">
        <w:rPr>
          <w:sz w:val="24"/>
          <w:szCs w:val="24"/>
        </w:rPr>
        <w:t>coumariner</w:t>
      </w:r>
      <w:proofErr w:type="spellEnd"/>
      <w:r w:rsidRPr="00CE01BA">
        <w:rPr>
          <w:sz w:val="24"/>
          <w:szCs w:val="24"/>
        </w:rPr>
        <w:t xml:space="preserve"> kan være øget ved langvarig, regelmæssig, daglig indtagelse af paracetamol. Det medfører en øget risiko for blødning. Der er ingen betydelig indvirkning ved lejlighedsvis indtagelse.</w:t>
      </w:r>
    </w:p>
    <w:p w14:paraId="58E10C7D" w14:textId="77777777" w:rsidR="00CE01BA" w:rsidRPr="00CE01BA" w:rsidRDefault="00CE01BA" w:rsidP="00CE01BA">
      <w:pPr>
        <w:tabs>
          <w:tab w:val="left" w:pos="851"/>
        </w:tabs>
        <w:ind w:left="851"/>
        <w:rPr>
          <w:sz w:val="24"/>
          <w:szCs w:val="24"/>
        </w:rPr>
      </w:pPr>
    </w:p>
    <w:p w14:paraId="4CA90960" w14:textId="77777777" w:rsidR="00CE01BA" w:rsidRPr="00CE01BA" w:rsidRDefault="00CE01BA" w:rsidP="00CE01BA">
      <w:pPr>
        <w:tabs>
          <w:tab w:val="left" w:pos="851"/>
        </w:tabs>
        <w:ind w:left="851"/>
        <w:rPr>
          <w:sz w:val="24"/>
          <w:szCs w:val="24"/>
        </w:rPr>
      </w:pPr>
      <w:r w:rsidRPr="00CE01BA">
        <w:rPr>
          <w:sz w:val="24"/>
          <w:szCs w:val="24"/>
        </w:rPr>
        <w:t xml:space="preserve">Samtidig administration af paracetamol og </w:t>
      </w:r>
      <w:proofErr w:type="spellStart"/>
      <w:r w:rsidRPr="00CE01BA">
        <w:rPr>
          <w:sz w:val="24"/>
          <w:szCs w:val="24"/>
        </w:rPr>
        <w:t>zidovudin</w:t>
      </w:r>
      <w:proofErr w:type="spellEnd"/>
      <w:r w:rsidRPr="00CE01BA">
        <w:rPr>
          <w:sz w:val="24"/>
          <w:szCs w:val="24"/>
        </w:rPr>
        <w:t xml:space="preserve"> øger tendensen til </w:t>
      </w:r>
      <w:proofErr w:type="spellStart"/>
      <w:r w:rsidRPr="00CE01BA">
        <w:rPr>
          <w:sz w:val="24"/>
          <w:szCs w:val="24"/>
        </w:rPr>
        <w:t>neutropeni</w:t>
      </w:r>
      <w:proofErr w:type="spellEnd"/>
      <w:r w:rsidRPr="00CE01BA">
        <w:rPr>
          <w:sz w:val="24"/>
          <w:szCs w:val="24"/>
        </w:rPr>
        <w:t xml:space="preserve">. Derfor bør dette lægemiddel kun administreres sammen med </w:t>
      </w:r>
      <w:proofErr w:type="spellStart"/>
      <w:r w:rsidRPr="00CE01BA">
        <w:rPr>
          <w:sz w:val="24"/>
          <w:szCs w:val="24"/>
        </w:rPr>
        <w:t>zidovudin</w:t>
      </w:r>
      <w:proofErr w:type="spellEnd"/>
      <w:r w:rsidRPr="00CE01BA">
        <w:rPr>
          <w:sz w:val="24"/>
          <w:szCs w:val="24"/>
        </w:rPr>
        <w:t xml:space="preserve"> efter anvisning fra lægen.</w:t>
      </w:r>
    </w:p>
    <w:p w14:paraId="0BD98C48" w14:textId="77777777" w:rsidR="00CE01BA" w:rsidRPr="00CE01BA" w:rsidRDefault="00CE01BA" w:rsidP="00CE01BA">
      <w:pPr>
        <w:tabs>
          <w:tab w:val="left" w:pos="851"/>
        </w:tabs>
        <w:ind w:left="851"/>
        <w:rPr>
          <w:sz w:val="24"/>
          <w:szCs w:val="24"/>
        </w:rPr>
      </w:pPr>
    </w:p>
    <w:p w14:paraId="33E768EB"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B748F4">
        <w:rPr>
          <w:b/>
          <w:sz w:val="24"/>
          <w:szCs w:val="24"/>
        </w:rPr>
        <w:t>Fertilitet, g</w:t>
      </w:r>
      <w:r w:rsidRPr="00C84483">
        <w:rPr>
          <w:b/>
          <w:sz w:val="24"/>
          <w:szCs w:val="24"/>
        </w:rPr>
        <w:t>raviditet og amning</w:t>
      </w:r>
    </w:p>
    <w:p w14:paraId="4FB0D324" w14:textId="77777777" w:rsidR="00892275" w:rsidRPr="001603C5" w:rsidRDefault="00892275" w:rsidP="00892275">
      <w:pPr>
        <w:tabs>
          <w:tab w:val="left" w:pos="851"/>
        </w:tabs>
        <w:ind w:left="851"/>
        <w:rPr>
          <w:b/>
          <w:sz w:val="24"/>
          <w:szCs w:val="24"/>
        </w:rPr>
      </w:pPr>
    </w:p>
    <w:p w14:paraId="4DA0E8C4" w14:textId="77777777" w:rsidR="00892275" w:rsidRPr="00892275" w:rsidRDefault="00892275" w:rsidP="00892275">
      <w:pPr>
        <w:tabs>
          <w:tab w:val="left" w:pos="851"/>
        </w:tabs>
        <w:ind w:left="851"/>
        <w:rPr>
          <w:sz w:val="24"/>
          <w:szCs w:val="24"/>
        </w:rPr>
      </w:pPr>
      <w:r w:rsidRPr="00892275">
        <w:rPr>
          <w:sz w:val="24"/>
          <w:szCs w:val="24"/>
          <w:u w:val="single"/>
        </w:rPr>
        <w:t>Graviditet</w:t>
      </w:r>
    </w:p>
    <w:p w14:paraId="310E7521" w14:textId="77777777" w:rsidR="00892275" w:rsidRPr="00892275" w:rsidRDefault="00892275" w:rsidP="00892275">
      <w:pPr>
        <w:tabs>
          <w:tab w:val="left" w:pos="851"/>
        </w:tabs>
        <w:ind w:left="851"/>
        <w:rPr>
          <w:sz w:val="24"/>
          <w:szCs w:val="24"/>
        </w:rPr>
      </w:pPr>
      <w:r w:rsidRPr="00892275">
        <w:rPr>
          <w:sz w:val="24"/>
          <w:szCs w:val="24"/>
        </w:rPr>
        <w:t xml:space="preserve">Data fra et stort antal gravide kvinder indikerer ingen misdannelser eller </w:t>
      </w:r>
      <w:proofErr w:type="spellStart"/>
      <w:r w:rsidRPr="00892275">
        <w:rPr>
          <w:sz w:val="24"/>
          <w:szCs w:val="24"/>
        </w:rPr>
        <w:t>føtal</w:t>
      </w:r>
      <w:proofErr w:type="spellEnd"/>
      <w:r w:rsidRPr="00892275">
        <w:rPr>
          <w:sz w:val="24"/>
          <w:szCs w:val="24"/>
        </w:rPr>
        <w:t xml:space="preserve">/neonatal toksicitet. Resultaterne af epidemiologiske studier af </w:t>
      </w:r>
      <w:proofErr w:type="spellStart"/>
      <w:r w:rsidRPr="00892275">
        <w:rPr>
          <w:sz w:val="24"/>
          <w:szCs w:val="24"/>
        </w:rPr>
        <w:t>neuroudviklingen</w:t>
      </w:r>
      <w:proofErr w:type="spellEnd"/>
      <w:r w:rsidRPr="00892275">
        <w:rPr>
          <w:sz w:val="24"/>
          <w:szCs w:val="24"/>
        </w:rPr>
        <w:t xml:space="preserve"> hos børn, der er blevet eksponeret for paracetamol </w:t>
      </w:r>
      <w:r w:rsidRPr="00892275">
        <w:rPr>
          <w:i/>
          <w:iCs/>
          <w:sz w:val="24"/>
          <w:szCs w:val="24"/>
        </w:rPr>
        <w:t>in </w:t>
      </w:r>
      <w:proofErr w:type="spellStart"/>
      <w:r w:rsidRPr="00892275">
        <w:rPr>
          <w:i/>
          <w:iCs/>
          <w:sz w:val="24"/>
          <w:szCs w:val="24"/>
        </w:rPr>
        <w:t>utero</w:t>
      </w:r>
      <w:proofErr w:type="spellEnd"/>
      <w:r w:rsidRPr="00892275">
        <w:rPr>
          <w:sz w:val="24"/>
          <w:szCs w:val="24"/>
        </w:rPr>
        <w:t>, er utilstrækkelige. Paracetamol kan anvendes i graviditeten, hvis det er klinisk nødvendigt, men det bør anvendes i den laveste effektive dosis i så kort tid som muligt og med den laveste mulige hyppighed.</w:t>
      </w:r>
    </w:p>
    <w:p w14:paraId="12B0493C" w14:textId="77777777" w:rsidR="00892275" w:rsidRPr="00892275" w:rsidRDefault="00892275" w:rsidP="00892275">
      <w:pPr>
        <w:tabs>
          <w:tab w:val="left" w:pos="851"/>
        </w:tabs>
        <w:ind w:left="851"/>
        <w:rPr>
          <w:sz w:val="24"/>
          <w:szCs w:val="24"/>
        </w:rPr>
      </w:pPr>
    </w:p>
    <w:p w14:paraId="0FF638E6" w14:textId="77777777" w:rsidR="00892275" w:rsidRPr="00892275" w:rsidRDefault="00892275" w:rsidP="00892275">
      <w:pPr>
        <w:tabs>
          <w:tab w:val="left" w:pos="851"/>
        </w:tabs>
        <w:ind w:left="851"/>
        <w:rPr>
          <w:sz w:val="24"/>
          <w:szCs w:val="24"/>
        </w:rPr>
      </w:pPr>
      <w:r w:rsidRPr="00892275">
        <w:rPr>
          <w:sz w:val="24"/>
          <w:szCs w:val="24"/>
          <w:u w:val="single"/>
        </w:rPr>
        <w:t>Amning</w:t>
      </w:r>
    </w:p>
    <w:p w14:paraId="73F18893" w14:textId="77777777" w:rsidR="00892275" w:rsidRPr="00892275" w:rsidRDefault="00892275" w:rsidP="00892275">
      <w:pPr>
        <w:tabs>
          <w:tab w:val="left" w:pos="851"/>
        </w:tabs>
        <w:ind w:left="851"/>
        <w:rPr>
          <w:sz w:val="24"/>
          <w:szCs w:val="24"/>
        </w:rPr>
      </w:pPr>
      <w:r w:rsidRPr="00892275">
        <w:rPr>
          <w:sz w:val="24"/>
          <w:szCs w:val="24"/>
        </w:rPr>
        <w:t xml:space="preserve">Efter oral anvendelse udskilles paracetamol i modermælken i små mængder. Der er ikke rapporteret om bivirkninger hos ammede spædbørn. Dette lægemiddel kan anvendes i terapeutiske doser i </w:t>
      </w:r>
      <w:proofErr w:type="spellStart"/>
      <w:r w:rsidRPr="00892275">
        <w:rPr>
          <w:sz w:val="24"/>
          <w:szCs w:val="24"/>
        </w:rPr>
        <w:t>ammeperioden</w:t>
      </w:r>
      <w:proofErr w:type="spellEnd"/>
      <w:r w:rsidRPr="00892275">
        <w:rPr>
          <w:sz w:val="24"/>
          <w:szCs w:val="24"/>
        </w:rPr>
        <w:t>.</w:t>
      </w:r>
    </w:p>
    <w:p w14:paraId="14115203" w14:textId="77777777" w:rsidR="009260DE" w:rsidRPr="00C84483" w:rsidRDefault="009260DE" w:rsidP="009260DE">
      <w:pPr>
        <w:tabs>
          <w:tab w:val="left" w:pos="851"/>
        </w:tabs>
        <w:ind w:left="851"/>
        <w:rPr>
          <w:sz w:val="24"/>
          <w:szCs w:val="24"/>
        </w:rPr>
      </w:pPr>
    </w:p>
    <w:p w14:paraId="7783F210"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w:t>
      </w:r>
      <w:r w:rsidR="00B748F4">
        <w:rPr>
          <w:b/>
          <w:sz w:val="24"/>
          <w:szCs w:val="24"/>
        </w:rPr>
        <w:t xml:space="preserve"> </w:t>
      </w:r>
      <w:r w:rsidRPr="00C84483">
        <w:rPr>
          <w:b/>
          <w:sz w:val="24"/>
          <w:szCs w:val="24"/>
        </w:rPr>
        <w:t xml:space="preserve">på evnen til at føre motorkøretøj </w:t>
      </w:r>
      <w:r w:rsidR="00B748F4">
        <w:rPr>
          <w:b/>
          <w:sz w:val="24"/>
          <w:szCs w:val="24"/>
        </w:rPr>
        <w:t>og</w:t>
      </w:r>
      <w:r w:rsidRPr="00C84483">
        <w:rPr>
          <w:b/>
          <w:sz w:val="24"/>
          <w:szCs w:val="24"/>
        </w:rPr>
        <w:t xml:space="preserve"> betjene maskiner</w:t>
      </w:r>
    </w:p>
    <w:p w14:paraId="1BEA39C3" w14:textId="77777777" w:rsidR="008940A7" w:rsidRPr="008940A7" w:rsidRDefault="008940A7" w:rsidP="008940A7">
      <w:pPr>
        <w:tabs>
          <w:tab w:val="left" w:pos="851"/>
        </w:tabs>
        <w:ind w:left="851"/>
        <w:rPr>
          <w:sz w:val="24"/>
          <w:szCs w:val="24"/>
        </w:rPr>
      </w:pPr>
      <w:r w:rsidRPr="008940A7">
        <w:rPr>
          <w:sz w:val="24"/>
          <w:szCs w:val="24"/>
        </w:rPr>
        <w:t>Ikke mærkning.</w:t>
      </w:r>
    </w:p>
    <w:p w14:paraId="03B6C1B0" w14:textId="77777777" w:rsidR="008940A7" w:rsidRPr="008940A7" w:rsidRDefault="008940A7" w:rsidP="008940A7">
      <w:pPr>
        <w:tabs>
          <w:tab w:val="left" w:pos="851"/>
        </w:tabs>
        <w:ind w:left="851"/>
        <w:rPr>
          <w:sz w:val="24"/>
          <w:szCs w:val="24"/>
        </w:rPr>
      </w:pPr>
      <w:r w:rsidRPr="008940A7">
        <w:rPr>
          <w:sz w:val="24"/>
          <w:szCs w:val="24"/>
        </w:rPr>
        <w:lastRenderedPageBreak/>
        <w:t>Paracetamol påvirker ikke eller kun i ubetydelig grad evnen til at føre motorkøretøj og betjene maskiner. Der er ikke udført studier af indvirkningen på evnen til at føre motorkøretøj og betjene maskiner.</w:t>
      </w:r>
    </w:p>
    <w:p w14:paraId="15313A3B" w14:textId="77777777" w:rsidR="009260DE" w:rsidRPr="00C84483" w:rsidRDefault="009260DE" w:rsidP="009260DE">
      <w:pPr>
        <w:tabs>
          <w:tab w:val="left" w:pos="851"/>
        </w:tabs>
        <w:ind w:left="851"/>
        <w:rPr>
          <w:sz w:val="24"/>
          <w:szCs w:val="24"/>
        </w:rPr>
      </w:pPr>
    </w:p>
    <w:p w14:paraId="1C93B33E"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95001C6" w14:textId="77777777" w:rsidR="00CA260A" w:rsidRPr="00CA260A" w:rsidRDefault="00CA260A" w:rsidP="00CA260A">
      <w:pPr>
        <w:pStyle w:val="Sidehoved"/>
        <w:tabs>
          <w:tab w:val="left" w:pos="851"/>
        </w:tabs>
        <w:ind w:left="851"/>
        <w:rPr>
          <w:szCs w:val="24"/>
        </w:rPr>
      </w:pPr>
      <w:r w:rsidRPr="00CA260A">
        <w:rPr>
          <w:szCs w:val="24"/>
        </w:rPr>
        <w:t>Inden for hver frekvensgruppe er bivirkningerne opstillet efter, hvor alvorlige de er. De alvorligste bivirkninger er anført først.</w:t>
      </w:r>
    </w:p>
    <w:p w14:paraId="3D61083C" w14:textId="77777777" w:rsidR="00CA260A" w:rsidRPr="00CA260A" w:rsidRDefault="00CA260A" w:rsidP="00CA260A">
      <w:pPr>
        <w:pStyle w:val="Sidehoved"/>
        <w:tabs>
          <w:tab w:val="left" w:pos="851"/>
        </w:tabs>
        <w:ind w:left="851"/>
        <w:rPr>
          <w:szCs w:val="24"/>
        </w:rPr>
      </w:pPr>
    </w:p>
    <w:tbl>
      <w:tblPr>
        <w:tblW w:w="885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3"/>
        <w:gridCol w:w="5103"/>
      </w:tblGrid>
      <w:tr w:rsidR="00CA260A" w:rsidRPr="00CA260A" w14:paraId="65373E9A" w14:textId="77777777" w:rsidTr="00CA260A">
        <w:trPr>
          <w:trHeight w:val="757"/>
        </w:trPr>
        <w:tc>
          <w:tcPr>
            <w:tcW w:w="3753" w:type="dxa"/>
            <w:tcBorders>
              <w:top w:val="single" w:sz="4" w:space="0" w:color="000000"/>
              <w:left w:val="single" w:sz="4" w:space="0" w:color="000000"/>
              <w:bottom w:val="single" w:sz="4" w:space="0" w:color="000000"/>
              <w:right w:val="single" w:sz="4" w:space="0" w:color="000000"/>
            </w:tcBorders>
            <w:hideMark/>
          </w:tcPr>
          <w:p w14:paraId="4E85B093" w14:textId="77777777" w:rsidR="00CA260A" w:rsidRPr="00CA260A" w:rsidRDefault="00CA260A" w:rsidP="00CA260A">
            <w:pPr>
              <w:pStyle w:val="Sidehoved"/>
              <w:ind w:left="206"/>
              <w:rPr>
                <w:b/>
                <w:szCs w:val="24"/>
              </w:rPr>
            </w:pPr>
            <w:r w:rsidRPr="00CA260A">
              <w:rPr>
                <w:b/>
                <w:szCs w:val="24"/>
              </w:rPr>
              <w:t>Blod og lymfesystem</w:t>
            </w:r>
          </w:p>
          <w:p w14:paraId="79D3DBE1" w14:textId="77777777" w:rsidR="00CA260A" w:rsidRPr="00CA260A" w:rsidRDefault="00CA260A" w:rsidP="00CA260A">
            <w:pPr>
              <w:pStyle w:val="Sidehoved"/>
              <w:ind w:left="206"/>
              <w:rPr>
                <w:szCs w:val="24"/>
              </w:rPr>
            </w:pPr>
            <w:r w:rsidRPr="00CA260A">
              <w:rPr>
                <w:szCs w:val="24"/>
              </w:rPr>
              <w:t>Meget sjælden (&lt; 1/10.000)</w:t>
            </w:r>
          </w:p>
        </w:tc>
        <w:tc>
          <w:tcPr>
            <w:tcW w:w="5103" w:type="dxa"/>
            <w:tcBorders>
              <w:top w:val="single" w:sz="4" w:space="0" w:color="000000"/>
              <w:left w:val="single" w:sz="4" w:space="0" w:color="000000"/>
              <w:bottom w:val="single" w:sz="4" w:space="0" w:color="000000"/>
              <w:right w:val="single" w:sz="4" w:space="0" w:color="000000"/>
            </w:tcBorders>
          </w:tcPr>
          <w:p w14:paraId="4FA736D5" w14:textId="77777777" w:rsidR="00CA260A" w:rsidRPr="00CA260A" w:rsidRDefault="00CA260A" w:rsidP="00CA260A">
            <w:pPr>
              <w:pStyle w:val="Sidehoved"/>
              <w:tabs>
                <w:tab w:val="clear" w:pos="4819"/>
              </w:tabs>
              <w:ind w:left="141"/>
              <w:rPr>
                <w:szCs w:val="24"/>
              </w:rPr>
            </w:pPr>
          </w:p>
          <w:p w14:paraId="5CEF5907" w14:textId="77777777" w:rsidR="00CA260A" w:rsidRPr="00CA260A" w:rsidRDefault="00CA260A" w:rsidP="00CA260A">
            <w:pPr>
              <w:pStyle w:val="Sidehoved"/>
              <w:tabs>
                <w:tab w:val="clear" w:pos="4819"/>
              </w:tabs>
              <w:ind w:left="141"/>
              <w:rPr>
                <w:szCs w:val="24"/>
              </w:rPr>
            </w:pPr>
            <w:proofErr w:type="spellStart"/>
            <w:r w:rsidRPr="00CA260A">
              <w:rPr>
                <w:szCs w:val="24"/>
              </w:rPr>
              <w:t>Trombocytopeni</w:t>
            </w:r>
            <w:proofErr w:type="spellEnd"/>
            <w:r w:rsidRPr="00CA260A">
              <w:rPr>
                <w:szCs w:val="24"/>
              </w:rPr>
              <w:t xml:space="preserve">, </w:t>
            </w:r>
            <w:proofErr w:type="spellStart"/>
            <w:r w:rsidRPr="00CA260A">
              <w:rPr>
                <w:szCs w:val="24"/>
              </w:rPr>
              <w:t>leukopeni</w:t>
            </w:r>
            <w:proofErr w:type="spellEnd"/>
            <w:r w:rsidRPr="00CA260A">
              <w:rPr>
                <w:szCs w:val="24"/>
              </w:rPr>
              <w:t xml:space="preserve">, </w:t>
            </w:r>
            <w:proofErr w:type="spellStart"/>
            <w:r w:rsidRPr="00CA260A">
              <w:rPr>
                <w:szCs w:val="24"/>
              </w:rPr>
              <w:t>hæmolytisk</w:t>
            </w:r>
            <w:proofErr w:type="spellEnd"/>
            <w:r w:rsidRPr="00CA260A">
              <w:rPr>
                <w:szCs w:val="24"/>
              </w:rPr>
              <w:t xml:space="preserve"> anæmi, </w:t>
            </w:r>
            <w:proofErr w:type="spellStart"/>
            <w:r w:rsidRPr="00CA260A">
              <w:rPr>
                <w:szCs w:val="24"/>
              </w:rPr>
              <w:t>neutropeni</w:t>
            </w:r>
            <w:proofErr w:type="spellEnd"/>
            <w:r w:rsidRPr="00CA260A">
              <w:rPr>
                <w:szCs w:val="24"/>
              </w:rPr>
              <w:t>/</w:t>
            </w:r>
            <w:proofErr w:type="spellStart"/>
            <w:r w:rsidRPr="00CA260A">
              <w:rPr>
                <w:szCs w:val="24"/>
              </w:rPr>
              <w:t>agranulocytose</w:t>
            </w:r>
            <w:proofErr w:type="spellEnd"/>
            <w:r w:rsidRPr="00CA260A">
              <w:rPr>
                <w:szCs w:val="24"/>
              </w:rPr>
              <w:t>.</w:t>
            </w:r>
          </w:p>
        </w:tc>
      </w:tr>
      <w:tr w:rsidR="00CA260A" w:rsidRPr="00CA260A" w14:paraId="08E323B6" w14:textId="77777777" w:rsidTr="00CA260A">
        <w:trPr>
          <w:trHeight w:val="508"/>
        </w:trPr>
        <w:tc>
          <w:tcPr>
            <w:tcW w:w="3753" w:type="dxa"/>
            <w:tcBorders>
              <w:top w:val="single" w:sz="4" w:space="0" w:color="000000"/>
              <w:left w:val="single" w:sz="4" w:space="0" w:color="000000"/>
              <w:bottom w:val="single" w:sz="4" w:space="0" w:color="000000"/>
              <w:right w:val="single" w:sz="4" w:space="0" w:color="000000"/>
            </w:tcBorders>
            <w:hideMark/>
          </w:tcPr>
          <w:p w14:paraId="13698AB7" w14:textId="77777777" w:rsidR="00CA260A" w:rsidRPr="00CA260A" w:rsidRDefault="00CA260A" w:rsidP="00CA260A">
            <w:pPr>
              <w:pStyle w:val="Sidehoved"/>
              <w:ind w:left="206"/>
              <w:rPr>
                <w:b/>
                <w:szCs w:val="24"/>
              </w:rPr>
            </w:pPr>
            <w:r w:rsidRPr="00CA260A">
              <w:rPr>
                <w:b/>
                <w:szCs w:val="24"/>
              </w:rPr>
              <w:t>Immunsystemet</w:t>
            </w:r>
          </w:p>
          <w:p w14:paraId="52FB501E" w14:textId="77777777" w:rsidR="00CA260A" w:rsidRPr="00CA260A" w:rsidRDefault="00CA260A" w:rsidP="00CA260A">
            <w:pPr>
              <w:pStyle w:val="Sidehoved"/>
              <w:ind w:left="206"/>
              <w:rPr>
                <w:szCs w:val="24"/>
              </w:rPr>
            </w:pPr>
            <w:r w:rsidRPr="00CA260A">
              <w:rPr>
                <w:szCs w:val="24"/>
              </w:rPr>
              <w:t>Meget sjælden (&lt; 1/10.000)</w:t>
            </w:r>
          </w:p>
        </w:tc>
        <w:tc>
          <w:tcPr>
            <w:tcW w:w="5103" w:type="dxa"/>
            <w:tcBorders>
              <w:top w:val="single" w:sz="4" w:space="0" w:color="000000"/>
              <w:left w:val="single" w:sz="4" w:space="0" w:color="000000"/>
              <w:bottom w:val="single" w:sz="4" w:space="0" w:color="000000"/>
              <w:right w:val="single" w:sz="4" w:space="0" w:color="000000"/>
            </w:tcBorders>
          </w:tcPr>
          <w:p w14:paraId="0E3D6D3D" w14:textId="77777777" w:rsidR="00CA260A" w:rsidRPr="00CA260A" w:rsidRDefault="00CA260A" w:rsidP="00CA260A">
            <w:pPr>
              <w:pStyle w:val="Sidehoved"/>
              <w:tabs>
                <w:tab w:val="clear" w:pos="4819"/>
              </w:tabs>
              <w:ind w:left="141"/>
              <w:rPr>
                <w:szCs w:val="24"/>
                <w:lang w:val="en-GB"/>
              </w:rPr>
            </w:pPr>
          </w:p>
          <w:p w14:paraId="65946492" w14:textId="77777777" w:rsidR="00CA260A" w:rsidRPr="00CA260A" w:rsidRDefault="00CA260A" w:rsidP="00CA260A">
            <w:pPr>
              <w:pStyle w:val="Sidehoved"/>
              <w:tabs>
                <w:tab w:val="clear" w:pos="4819"/>
              </w:tabs>
              <w:ind w:left="141"/>
              <w:rPr>
                <w:szCs w:val="24"/>
              </w:rPr>
            </w:pPr>
            <w:r w:rsidRPr="00CA260A">
              <w:rPr>
                <w:szCs w:val="24"/>
              </w:rPr>
              <w:t>Anafylaktiske reaktioner.</w:t>
            </w:r>
          </w:p>
        </w:tc>
      </w:tr>
      <w:tr w:rsidR="00CA260A" w:rsidRPr="00CA260A" w14:paraId="3583F729" w14:textId="77777777" w:rsidTr="00CA260A">
        <w:trPr>
          <w:trHeight w:val="758"/>
        </w:trPr>
        <w:tc>
          <w:tcPr>
            <w:tcW w:w="3753" w:type="dxa"/>
            <w:tcBorders>
              <w:top w:val="single" w:sz="4" w:space="0" w:color="000000"/>
              <w:left w:val="single" w:sz="4" w:space="0" w:color="000000"/>
              <w:bottom w:val="single" w:sz="4" w:space="0" w:color="000000"/>
              <w:right w:val="single" w:sz="4" w:space="0" w:color="000000"/>
            </w:tcBorders>
            <w:hideMark/>
          </w:tcPr>
          <w:p w14:paraId="7FDA0F15" w14:textId="77777777" w:rsidR="0033122B" w:rsidRDefault="0033122B" w:rsidP="0033122B">
            <w:pPr>
              <w:pStyle w:val="Sidehoved"/>
              <w:ind w:left="206"/>
              <w:rPr>
                <w:b/>
                <w:szCs w:val="24"/>
              </w:rPr>
            </w:pPr>
            <w:r>
              <w:rPr>
                <w:b/>
                <w:szCs w:val="24"/>
              </w:rPr>
              <w:t xml:space="preserve">Luftveje, thorax og </w:t>
            </w:r>
            <w:proofErr w:type="spellStart"/>
            <w:r>
              <w:rPr>
                <w:b/>
                <w:szCs w:val="24"/>
              </w:rPr>
              <w:t>mediastinum</w:t>
            </w:r>
            <w:proofErr w:type="spellEnd"/>
          </w:p>
          <w:p w14:paraId="316D5624" w14:textId="77777777" w:rsidR="00CA260A" w:rsidRPr="00CA260A" w:rsidRDefault="00CA260A" w:rsidP="00CA260A">
            <w:pPr>
              <w:pStyle w:val="Sidehoved"/>
              <w:ind w:left="206"/>
              <w:rPr>
                <w:szCs w:val="24"/>
              </w:rPr>
            </w:pPr>
            <w:r w:rsidRPr="00CA260A">
              <w:rPr>
                <w:szCs w:val="24"/>
              </w:rPr>
              <w:t>Meget sjælden (&lt; 1/10.000)</w:t>
            </w:r>
          </w:p>
        </w:tc>
        <w:tc>
          <w:tcPr>
            <w:tcW w:w="5103" w:type="dxa"/>
            <w:tcBorders>
              <w:top w:val="single" w:sz="4" w:space="0" w:color="000000"/>
              <w:left w:val="single" w:sz="4" w:space="0" w:color="000000"/>
              <w:bottom w:val="single" w:sz="4" w:space="0" w:color="000000"/>
              <w:right w:val="single" w:sz="4" w:space="0" w:color="000000"/>
            </w:tcBorders>
          </w:tcPr>
          <w:p w14:paraId="53F9DBF8" w14:textId="77777777" w:rsidR="00CA260A" w:rsidRPr="00CA260A" w:rsidRDefault="00CA260A" w:rsidP="0033122B">
            <w:pPr>
              <w:pStyle w:val="Sidehoved"/>
              <w:tabs>
                <w:tab w:val="clear" w:pos="4819"/>
              </w:tabs>
              <w:rPr>
                <w:szCs w:val="24"/>
              </w:rPr>
            </w:pPr>
          </w:p>
          <w:p w14:paraId="33789F4C" w14:textId="77777777" w:rsidR="00CA260A" w:rsidRPr="00CA260A" w:rsidRDefault="00CA260A" w:rsidP="00CA260A">
            <w:pPr>
              <w:pStyle w:val="Sidehoved"/>
              <w:tabs>
                <w:tab w:val="clear" w:pos="4819"/>
              </w:tabs>
              <w:ind w:left="141"/>
              <w:rPr>
                <w:szCs w:val="24"/>
              </w:rPr>
            </w:pPr>
            <w:proofErr w:type="spellStart"/>
            <w:r w:rsidRPr="00CA260A">
              <w:rPr>
                <w:szCs w:val="24"/>
              </w:rPr>
              <w:t>Bronkospasmer</w:t>
            </w:r>
            <w:proofErr w:type="spellEnd"/>
            <w:r w:rsidRPr="00CA260A">
              <w:rPr>
                <w:szCs w:val="24"/>
              </w:rPr>
              <w:t xml:space="preserve"> (se pkt. 4.4).</w:t>
            </w:r>
          </w:p>
        </w:tc>
      </w:tr>
      <w:tr w:rsidR="00CA260A" w:rsidRPr="00CA260A" w14:paraId="4790C9E1" w14:textId="77777777" w:rsidTr="00CA260A">
        <w:trPr>
          <w:trHeight w:val="1012"/>
        </w:trPr>
        <w:tc>
          <w:tcPr>
            <w:tcW w:w="3753" w:type="dxa"/>
            <w:tcBorders>
              <w:top w:val="single" w:sz="4" w:space="0" w:color="000000"/>
              <w:left w:val="single" w:sz="4" w:space="0" w:color="000000"/>
              <w:bottom w:val="single" w:sz="4" w:space="0" w:color="000000"/>
              <w:right w:val="single" w:sz="4" w:space="0" w:color="000000"/>
            </w:tcBorders>
          </w:tcPr>
          <w:p w14:paraId="22AD9D7D" w14:textId="77777777" w:rsidR="00CA260A" w:rsidRPr="00CA260A" w:rsidRDefault="00CA260A" w:rsidP="00CA260A">
            <w:pPr>
              <w:pStyle w:val="Sidehoved"/>
              <w:ind w:left="206"/>
              <w:rPr>
                <w:b/>
                <w:szCs w:val="24"/>
              </w:rPr>
            </w:pPr>
            <w:r w:rsidRPr="00CA260A">
              <w:rPr>
                <w:b/>
                <w:szCs w:val="24"/>
              </w:rPr>
              <w:t>Lever og galdeveje</w:t>
            </w:r>
          </w:p>
          <w:p w14:paraId="797F83B9" w14:textId="77777777" w:rsidR="00CA260A" w:rsidRPr="00CA260A" w:rsidRDefault="00CA260A" w:rsidP="00CA260A">
            <w:pPr>
              <w:pStyle w:val="Sidehoved"/>
              <w:ind w:left="206"/>
              <w:rPr>
                <w:szCs w:val="24"/>
              </w:rPr>
            </w:pPr>
            <w:r w:rsidRPr="00CA260A">
              <w:rPr>
                <w:szCs w:val="24"/>
              </w:rPr>
              <w:t>Sjælden (≥ 1/10.000 til &lt; 1/1000)</w:t>
            </w:r>
          </w:p>
          <w:p w14:paraId="2BED3CB4" w14:textId="77777777" w:rsidR="00CA260A" w:rsidRPr="00CA260A" w:rsidRDefault="00CA260A" w:rsidP="00CA260A">
            <w:pPr>
              <w:pStyle w:val="Sidehoved"/>
              <w:ind w:left="206"/>
              <w:rPr>
                <w:szCs w:val="24"/>
              </w:rPr>
            </w:pPr>
          </w:p>
          <w:p w14:paraId="473E9FD4" w14:textId="77777777" w:rsidR="00CA260A" w:rsidRPr="00CA260A" w:rsidRDefault="00CA260A" w:rsidP="00CA260A">
            <w:pPr>
              <w:pStyle w:val="Sidehoved"/>
              <w:ind w:left="206"/>
              <w:rPr>
                <w:szCs w:val="24"/>
              </w:rPr>
            </w:pPr>
            <w:r w:rsidRPr="00CA260A">
              <w:rPr>
                <w:szCs w:val="24"/>
              </w:rPr>
              <w:t>Meget sjælden (&lt; 1/10.000)</w:t>
            </w:r>
          </w:p>
        </w:tc>
        <w:tc>
          <w:tcPr>
            <w:tcW w:w="5103" w:type="dxa"/>
            <w:tcBorders>
              <w:top w:val="single" w:sz="4" w:space="0" w:color="000000"/>
              <w:left w:val="single" w:sz="4" w:space="0" w:color="000000"/>
              <w:bottom w:val="single" w:sz="4" w:space="0" w:color="000000"/>
              <w:right w:val="single" w:sz="4" w:space="0" w:color="000000"/>
            </w:tcBorders>
          </w:tcPr>
          <w:p w14:paraId="48866B12" w14:textId="77777777" w:rsidR="00CA260A" w:rsidRPr="00CA260A" w:rsidRDefault="00CA260A" w:rsidP="00CA260A">
            <w:pPr>
              <w:pStyle w:val="Sidehoved"/>
              <w:tabs>
                <w:tab w:val="clear" w:pos="4819"/>
              </w:tabs>
              <w:ind w:left="141"/>
              <w:rPr>
                <w:szCs w:val="24"/>
              </w:rPr>
            </w:pPr>
            <w:r w:rsidRPr="00CA260A">
              <w:rPr>
                <w:szCs w:val="24"/>
              </w:rPr>
              <w:t xml:space="preserve">Øgede </w:t>
            </w:r>
            <w:proofErr w:type="spellStart"/>
            <w:r w:rsidRPr="00CA260A">
              <w:rPr>
                <w:szCs w:val="24"/>
              </w:rPr>
              <w:t>levertransaminaser</w:t>
            </w:r>
            <w:proofErr w:type="spellEnd"/>
            <w:r w:rsidRPr="00CA260A">
              <w:rPr>
                <w:szCs w:val="24"/>
              </w:rPr>
              <w:t xml:space="preserve">. </w:t>
            </w:r>
            <w:proofErr w:type="spellStart"/>
            <w:r w:rsidRPr="00CA260A">
              <w:rPr>
                <w:szCs w:val="24"/>
              </w:rPr>
              <w:t>Hepatisk</w:t>
            </w:r>
            <w:proofErr w:type="spellEnd"/>
            <w:r w:rsidRPr="00CA260A">
              <w:rPr>
                <w:szCs w:val="24"/>
              </w:rPr>
              <w:t xml:space="preserve"> dysfunktion.</w:t>
            </w:r>
          </w:p>
          <w:p w14:paraId="67C67052" w14:textId="77777777" w:rsidR="00CA260A" w:rsidRPr="00CA260A" w:rsidRDefault="00CA260A" w:rsidP="00CA260A">
            <w:pPr>
              <w:pStyle w:val="Sidehoved"/>
              <w:tabs>
                <w:tab w:val="clear" w:pos="4819"/>
              </w:tabs>
              <w:ind w:left="141"/>
              <w:rPr>
                <w:szCs w:val="24"/>
              </w:rPr>
            </w:pPr>
          </w:p>
          <w:p w14:paraId="42CFF160" w14:textId="77777777" w:rsidR="00CA260A" w:rsidRPr="00CA260A" w:rsidRDefault="00CA260A" w:rsidP="00CA260A">
            <w:pPr>
              <w:pStyle w:val="Sidehoved"/>
              <w:tabs>
                <w:tab w:val="clear" w:pos="4819"/>
              </w:tabs>
              <w:ind w:left="141"/>
              <w:rPr>
                <w:szCs w:val="24"/>
              </w:rPr>
            </w:pPr>
          </w:p>
          <w:p w14:paraId="3E6BC5D1" w14:textId="77777777" w:rsidR="00CA260A" w:rsidRPr="00CA260A" w:rsidRDefault="00CA260A" w:rsidP="00CA260A">
            <w:pPr>
              <w:pStyle w:val="Sidehoved"/>
              <w:tabs>
                <w:tab w:val="clear" w:pos="4819"/>
              </w:tabs>
              <w:ind w:left="141"/>
              <w:rPr>
                <w:szCs w:val="24"/>
              </w:rPr>
            </w:pPr>
            <w:proofErr w:type="spellStart"/>
            <w:r w:rsidRPr="00CA260A">
              <w:rPr>
                <w:szCs w:val="24"/>
              </w:rPr>
              <w:t>Hepatotoksicitet</w:t>
            </w:r>
            <w:proofErr w:type="spellEnd"/>
          </w:p>
        </w:tc>
      </w:tr>
      <w:tr w:rsidR="00CA260A" w:rsidRPr="00CA260A" w14:paraId="1509ABAA" w14:textId="77777777" w:rsidTr="00CA260A">
        <w:trPr>
          <w:trHeight w:val="1463"/>
        </w:trPr>
        <w:tc>
          <w:tcPr>
            <w:tcW w:w="3753" w:type="dxa"/>
            <w:tcBorders>
              <w:top w:val="single" w:sz="4" w:space="0" w:color="000000"/>
              <w:left w:val="single" w:sz="4" w:space="0" w:color="000000"/>
              <w:bottom w:val="single" w:sz="4" w:space="0" w:color="000000"/>
              <w:right w:val="single" w:sz="4" w:space="0" w:color="000000"/>
            </w:tcBorders>
          </w:tcPr>
          <w:p w14:paraId="6B9C2B64" w14:textId="77777777" w:rsidR="0033122B" w:rsidRDefault="0033122B" w:rsidP="0033122B">
            <w:pPr>
              <w:pStyle w:val="Sidehoved"/>
              <w:ind w:left="206"/>
              <w:rPr>
                <w:b/>
                <w:szCs w:val="24"/>
              </w:rPr>
            </w:pPr>
            <w:r>
              <w:rPr>
                <w:b/>
                <w:szCs w:val="24"/>
              </w:rPr>
              <w:t>Hud og subkutane væv</w:t>
            </w:r>
          </w:p>
          <w:p w14:paraId="6E33D9A1" w14:textId="77777777" w:rsidR="00CA260A" w:rsidRPr="00CA260A" w:rsidRDefault="00CA260A" w:rsidP="00CA260A">
            <w:pPr>
              <w:pStyle w:val="Sidehoved"/>
              <w:ind w:left="206"/>
              <w:rPr>
                <w:szCs w:val="24"/>
              </w:rPr>
            </w:pPr>
            <w:r w:rsidRPr="00CA260A">
              <w:rPr>
                <w:szCs w:val="24"/>
              </w:rPr>
              <w:t>Sjælden (≥ 1/10.000 til &lt; 1/1000)</w:t>
            </w:r>
          </w:p>
          <w:p w14:paraId="5630DEE9" w14:textId="77777777" w:rsidR="00CA260A" w:rsidRPr="00CA260A" w:rsidRDefault="00CA260A" w:rsidP="00CA260A">
            <w:pPr>
              <w:pStyle w:val="Sidehoved"/>
              <w:ind w:left="206"/>
              <w:rPr>
                <w:szCs w:val="24"/>
              </w:rPr>
            </w:pPr>
          </w:p>
          <w:p w14:paraId="2BE4805D" w14:textId="77777777" w:rsidR="00CA260A" w:rsidRPr="00CA260A" w:rsidRDefault="00CA260A" w:rsidP="00CA260A">
            <w:pPr>
              <w:pStyle w:val="Sidehoved"/>
              <w:ind w:left="206"/>
              <w:rPr>
                <w:szCs w:val="24"/>
              </w:rPr>
            </w:pPr>
          </w:p>
          <w:p w14:paraId="781D42F4" w14:textId="77777777" w:rsidR="00CA260A" w:rsidRPr="00CA260A" w:rsidRDefault="00CA260A" w:rsidP="00CA260A">
            <w:pPr>
              <w:pStyle w:val="Sidehoved"/>
              <w:ind w:left="206"/>
              <w:rPr>
                <w:szCs w:val="24"/>
              </w:rPr>
            </w:pPr>
            <w:r w:rsidRPr="00CA260A">
              <w:rPr>
                <w:szCs w:val="24"/>
              </w:rPr>
              <w:t>Meget sjælden (&lt; 1/10.000)</w:t>
            </w:r>
          </w:p>
        </w:tc>
        <w:tc>
          <w:tcPr>
            <w:tcW w:w="5103" w:type="dxa"/>
            <w:tcBorders>
              <w:top w:val="single" w:sz="4" w:space="0" w:color="000000"/>
              <w:left w:val="single" w:sz="4" w:space="0" w:color="000000"/>
              <w:bottom w:val="single" w:sz="4" w:space="0" w:color="000000"/>
              <w:right w:val="single" w:sz="4" w:space="0" w:color="000000"/>
            </w:tcBorders>
          </w:tcPr>
          <w:p w14:paraId="35875C3B" w14:textId="77777777" w:rsidR="0033122B" w:rsidRDefault="0033122B" w:rsidP="00CA260A">
            <w:pPr>
              <w:pStyle w:val="Sidehoved"/>
              <w:tabs>
                <w:tab w:val="clear" w:pos="4819"/>
              </w:tabs>
              <w:ind w:left="141"/>
              <w:rPr>
                <w:szCs w:val="24"/>
              </w:rPr>
            </w:pPr>
          </w:p>
          <w:p w14:paraId="159E7C4F" w14:textId="6A46B47F" w:rsidR="00CA260A" w:rsidRPr="00CA260A" w:rsidRDefault="00CA260A" w:rsidP="00CA260A">
            <w:pPr>
              <w:pStyle w:val="Sidehoved"/>
              <w:tabs>
                <w:tab w:val="clear" w:pos="4819"/>
              </w:tabs>
              <w:ind w:left="141"/>
              <w:rPr>
                <w:szCs w:val="24"/>
              </w:rPr>
            </w:pPr>
            <w:proofErr w:type="spellStart"/>
            <w:r w:rsidRPr="00CA260A">
              <w:rPr>
                <w:szCs w:val="24"/>
              </w:rPr>
              <w:t>Eksantem</w:t>
            </w:r>
            <w:proofErr w:type="spellEnd"/>
            <w:r w:rsidRPr="00CA260A">
              <w:rPr>
                <w:szCs w:val="24"/>
              </w:rPr>
              <w:t xml:space="preserve">, </w:t>
            </w:r>
            <w:proofErr w:type="spellStart"/>
            <w:r w:rsidRPr="00CA260A">
              <w:rPr>
                <w:szCs w:val="24"/>
              </w:rPr>
              <w:t>urticaria</w:t>
            </w:r>
            <w:proofErr w:type="spellEnd"/>
            <w:r w:rsidRPr="00CA260A">
              <w:rPr>
                <w:szCs w:val="24"/>
              </w:rPr>
              <w:t>.</w:t>
            </w:r>
          </w:p>
          <w:p w14:paraId="7C13AB4D" w14:textId="77777777" w:rsidR="00CA260A" w:rsidRPr="00CA260A" w:rsidRDefault="00CA260A" w:rsidP="00CA260A">
            <w:pPr>
              <w:pStyle w:val="Sidehoved"/>
              <w:tabs>
                <w:tab w:val="clear" w:pos="4819"/>
              </w:tabs>
              <w:ind w:left="141"/>
              <w:rPr>
                <w:szCs w:val="24"/>
              </w:rPr>
            </w:pPr>
          </w:p>
          <w:p w14:paraId="199FA98D" w14:textId="77777777" w:rsidR="00CA260A" w:rsidRPr="00CA260A" w:rsidRDefault="00CA260A" w:rsidP="00CA260A">
            <w:pPr>
              <w:pStyle w:val="Sidehoved"/>
              <w:tabs>
                <w:tab w:val="clear" w:pos="4819"/>
              </w:tabs>
              <w:ind w:left="141"/>
              <w:rPr>
                <w:szCs w:val="24"/>
              </w:rPr>
            </w:pPr>
          </w:p>
          <w:p w14:paraId="1D385460" w14:textId="77777777" w:rsidR="00CA260A" w:rsidRPr="00CA260A" w:rsidRDefault="00CA260A" w:rsidP="00CA260A">
            <w:pPr>
              <w:pStyle w:val="Sidehoved"/>
              <w:tabs>
                <w:tab w:val="clear" w:pos="4819"/>
              </w:tabs>
              <w:ind w:left="141"/>
              <w:rPr>
                <w:szCs w:val="24"/>
              </w:rPr>
            </w:pPr>
            <w:proofErr w:type="spellStart"/>
            <w:r w:rsidRPr="00CA260A">
              <w:rPr>
                <w:szCs w:val="24"/>
              </w:rPr>
              <w:t>Angioødem</w:t>
            </w:r>
            <w:proofErr w:type="spellEnd"/>
            <w:r w:rsidRPr="00CA260A">
              <w:rPr>
                <w:szCs w:val="24"/>
              </w:rPr>
              <w:t xml:space="preserve">, allergisk </w:t>
            </w:r>
            <w:proofErr w:type="spellStart"/>
            <w:r w:rsidRPr="00CA260A">
              <w:rPr>
                <w:szCs w:val="24"/>
              </w:rPr>
              <w:t>dermatitis</w:t>
            </w:r>
            <w:proofErr w:type="spellEnd"/>
            <w:r w:rsidRPr="00CA260A">
              <w:rPr>
                <w:szCs w:val="24"/>
              </w:rPr>
              <w:t xml:space="preserve"> (allergiske reaktioner), Stevens-Johnsons syndrom, toksisk </w:t>
            </w:r>
            <w:proofErr w:type="spellStart"/>
            <w:r w:rsidRPr="00CA260A">
              <w:rPr>
                <w:szCs w:val="24"/>
              </w:rPr>
              <w:t>epidermal</w:t>
            </w:r>
            <w:proofErr w:type="spellEnd"/>
            <w:r w:rsidRPr="00CA260A">
              <w:rPr>
                <w:szCs w:val="24"/>
              </w:rPr>
              <w:t xml:space="preserve"> </w:t>
            </w:r>
            <w:proofErr w:type="spellStart"/>
            <w:r w:rsidRPr="00CA260A">
              <w:rPr>
                <w:szCs w:val="24"/>
              </w:rPr>
              <w:t>nekrolyse</w:t>
            </w:r>
            <w:proofErr w:type="spellEnd"/>
            <w:r w:rsidRPr="00CA260A">
              <w:rPr>
                <w:szCs w:val="24"/>
              </w:rPr>
              <w:t>.</w:t>
            </w:r>
          </w:p>
        </w:tc>
      </w:tr>
      <w:tr w:rsidR="00CA260A" w:rsidRPr="00CA260A" w14:paraId="7C0C51B6" w14:textId="77777777" w:rsidTr="00CA260A">
        <w:trPr>
          <w:trHeight w:val="762"/>
        </w:trPr>
        <w:tc>
          <w:tcPr>
            <w:tcW w:w="3753" w:type="dxa"/>
            <w:tcBorders>
              <w:top w:val="single" w:sz="4" w:space="0" w:color="000000"/>
              <w:left w:val="single" w:sz="4" w:space="0" w:color="000000"/>
              <w:bottom w:val="single" w:sz="4" w:space="0" w:color="000000"/>
              <w:right w:val="single" w:sz="4" w:space="0" w:color="000000"/>
            </w:tcBorders>
            <w:hideMark/>
          </w:tcPr>
          <w:p w14:paraId="2F0B427F" w14:textId="77777777" w:rsidR="00CA260A" w:rsidRPr="00CA260A" w:rsidRDefault="00CA260A" w:rsidP="00CA260A">
            <w:pPr>
              <w:pStyle w:val="Sidehoved"/>
              <w:ind w:left="206"/>
              <w:rPr>
                <w:b/>
                <w:szCs w:val="24"/>
              </w:rPr>
            </w:pPr>
            <w:r w:rsidRPr="00CA260A">
              <w:rPr>
                <w:b/>
                <w:szCs w:val="24"/>
              </w:rPr>
              <w:t>Nyrer og urinveje</w:t>
            </w:r>
          </w:p>
          <w:p w14:paraId="5E02BC48" w14:textId="77777777" w:rsidR="00CA260A" w:rsidRPr="00CA260A" w:rsidRDefault="00CA260A" w:rsidP="00CA260A">
            <w:pPr>
              <w:pStyle w:val="Sidehoved"/>
              <w:ind w:left="206"/>
              <w:rPr>
                <w:szCs w:val="24"/>
              </w:rPr>
            </w:pPr>
            <w:r w:rsidRPr="00CA260A">
              <w:rPr>
                <w:szCs w:val="24"/>
              </w:rPr>
              <w:t>Meget sjælden (&lt; 1/10.000)</w:t>
            </w:r>
          </w:p>
        </w:tc>
        <w:tc>
          <w:tcPr>
            <w:tcW w:w="5103" w:type="dxa"/>
            <w:tcBorders>
              <w:top w:val="single" w:sz="4" w:space="0" w:color="000000"/>
              <w:left w:val="single" w:sz="4" w:space="0" w:color="000000"/>
              <w:bottom w:val="single" w:sz="4" w:space="0" w:color="000000"/>
              <w:right w:val="single" w:sz="4" w:space="0" w:color="000000"/>
            </w:tcBorders>
          </w:tcPr>
          <w:p w14:paraId="29FDEE33" w14:textId="77777777" w:rsidR="00CA260A" w:rsidRPr="00CA260A" w:rsidRDefault="00CA260A" w:rsidP="00CA260A">
            <w:pPr>
              <w:pStyle w:val="Sidehoved"/>
              <w:tabs>
                <w:tab w:val="clear" w:pos="4819"/>
              </w:tabs>
              <w:ind w:left="141"/>
              <w:rPr>
                <w:szCs w:val="24"/>
              </w:rPr>
            </w:pPr>
          </w:p>
          <w:p w14:paraId="0DA7DE6A" w14:textId="77777777" w:rsidR="00CA260A" w:rsidRPr="00CA260A" w:rsidRDefault="00CA260A" w:rsidP="00CA260A">
            <w:pPr>
              <w:pStyle w:val="Sidehoved"/>
              <w:tabs>
                <w:tab w:val="clear" w:pos="4819"/>
              </w:tabs>
              <w:ind w:left="141"/>
              <w:rPr>
                <w:szCs w:val="24"/>
              </w:rPr>
            </w:pPr>
            <w:r w:rsidRPr="00CA260A">
              <w:rPr>
                <w:szCs w:val="24"/>
              </w:rPr>
              <w:t>Der kan være en risiko for nyreskade ved langvarig behandling (se pkt. 4.4).</w:t>
            </w:r>
          </w:p>
        </w:tc>
      </w:tr>
      <w:tr w:rsidR="0033122B" w:rsidRPr="00CA260A" w14:paraId="4B8AF4AA" w14:textId="77777777" w:rsidTr="00CA260A">
        <w:trPr>
          <w:trHeight w:val="762"/>
        </w:trPr>
        <w:tc>
          <w:tcPr>
            <w:tcW w:w="3753" w:type="dxa"/>
            <w:tcBorders>
              <w:top w:val="single" w:sz="4" w:space="0" w:color="000000"/>
              <w:left w:val="single" w:sz="4" w:space="0" w:color="000000"/>
              <w:bottom w:val="single" w:sz="4" w:space="0" w:color="000000"/>
              <w:right w:val="single" w:sz="4" w:space="0" w:color="000000"/>
            </w:tcBorders>
          </w:tcPr>
          <w:p w14:paraId="7CD9349F" w14:textId="77777777" w:rsidR="0033122B" w:rsidRDefault="0033122B" w:rsidP="0033122B">
            <w:pPr>
              <w:pStyle w:val="Sidehoved"/>
              <w:ind w:left="206"/>
              <w:rPr>
                <w:b/>
                <w:szCs w:val="24"/>
              </w:rPr>
            </w:pPr>
            <w:r>
              <w:rPr>
                <w:b/>
                <w:szCs w:val="24"/>
              </w:rPr>
              <w:t xml:space="preserve">Metabolisme og ernæring </w:t>
            </w:r>
          </w:p>
          <w:p w14:paraId="4913F5B4" w14:textId="33C4B20C" w:rsidR="0033122B" w:rsidRPr="00CA260A" w:rsidRDefault="0033122B" w:rsidP="0033122B">
            <w:pPr>
              <w:pStyle w:val="Sidehoved"/>
              <w:ind w:left="206"/>
              <w:rPr>
                <w:b/>
                <w:szCs w:val="24"/>
              </w:rPr>
            </w:pPr>
            <w:r>
              <w:rPr>
                <w:bCs/>
                <w:szCs w:val="24"/>
              </w:rPr>
              <w:t>Ikke kendt (kan ikke estimeres ud fra forhåndenværende data)</w:t>
            </w:r>
          </w:p>
        </w:tc>
        <w:tc>
          <w:tcPr>
            <w:tcW w:w="5103" w:type="dxa"/>
            <w:tcBorders>
              <w:top w:val="single" w:sz="4" w:space="0" w:color="000000"/>
              <w:left w:val="single" w:sz="4" w:space="0" w:color="000000"/>
              <w:bottom w:val="single" w:sz="4" w:space="0" w:color="000000"/>
              <w:right w:val="single" w:sz="4" w:space="0" w:color="000000"/>
            </w:tcBorders>
          </w:tcPr>
          <w:p w14:paraId="1BEF3A9F" w14:textId="77777777" w:rsidR="0033122B" w:rsidRDefault="0033122B" w:rsidP="0033122B">
            <w:pPr>
              <w:pStyle w:val="Sidehoved"/>
              <w:ind w:left="141"/>
              <w:rPr>
                <w:szCs w:val="24"/>
              </w:rPr>
            </w:pPr>
          </w:p>
          <w:p w14:paraId="43A8AB72" w14:textId="77777777" w:rsidR="0033122B" w:rsidRDefault="0033122B" w:rsidP="0033122B">
            <w:pPr>
              <w:pStyle w:val="Sidehoved"/>
              <w:ind w:left="141"/>
              <w:rPr>
                <w:szCs w:val="24"/>
              </w:rPr>
            </w:pPr>
            <w:r>
              <w:rPr>
                <w:szCs w:val="24"/>
              </w:rPr>
              <w:t xml:space="preserve">Metabolisk </w:t>
            </w:r>
            <w:proofErr w:type="spellStart"/>
            <w:r>
              <w:rPr>
                <w:szCs w:val="24"/>
              </w:rPr>
              <w:t>acidose</w:t>
            </w:r>
            <w:proofErr w:type="spellEnd"/>
            <w:r>
              <w:rPr>
                <w:szCs w:val="24"/>
              </w:rPr>
              <w:t xml:space="preserve"> med højt anion-</w:t>
            </w:r>
            <w:proofErr w:type="spellStart"/>
            <w:r>
              <w:rPr>
                <w:szCs w:val="24"/>
              </w:rPr>
              <w:t>gap</w:t>
            </w:r>
            <w:proofErr w:type="spellEnd"/>
            <w:r>
              <w:rPr>
                <w:szCs w:val="24"/>
              </w:rPr>
              <w:t>.</w:t>
            </w:r>
          </w:p>
          <w:p w14:paraId="1DC5E265" w14:textId="38C60B68" w:rsidR="0033122B" w:rsidRPr="00CA260A" w:rsidRDefault="0033122B" w:rsidP="0033122B">
            <w:pPr>
              <w:pStyle w:val="Sidehoved"/>
              <w:tabs>
                <w:tab w:val="clear" w:pos="4819"/>
              </w:tabs>
              <w:ind w:left="141"/>
              <w:rPr>
                <w:szCs w:val="24"/>
              </w:rPr>
            </w:pPr>
            <w:r>
              <w:rPr>
                <w:szCs w:val="24"/>
              </w:rPr>
              <w:t xml:space="preserve">Hos patienter med risikofaktorer, der anvender paracetamol, er der observeret tilfælde af metabolisk </w:t>
            </w:r>
            <w:proofErr w:type="spellStart"/>
            <w:r>
              <w:rPr>
                <w:szCs w:val="24"/>
              </w:rPr>
              <w:t>acidose</w:t>
            </w:r>
            <w:proofErr w:type="spellEnd"/>
            <w:r>
              <w:rPr>
                <w:szCs w:val="24"/>
              </w:rPr>
              <w:t xml:space="preserve"> med højt anion-</w:t>
            </w:r>
            <w:proofErr w:type="spellStart"/>
            <w:r>
              <w:rPr>
                <w:szCs w:val="24"/>
              </w:rPr>
              <w:t>gap</w:t>
            </w:r>
            <w:proofErr w:type="spellEnd"/>
            <w:r>
              <w:rPr>
                <w:szCs w:val="24"/>
              </w:rPr>
              <w:t xml:space="preserve"> som følge af </w:t>
            </w:r>
            <w:proofErr w:type="spellStart"/>
            <w:r>
              <w:rPr>
                <w:szCs w:val="24"/>
              </w:rPr>
              <w:t>pyroglutaminacidose</w:t>
            </w:r>
            <w:proofErr w:type="spellEnd"/>
            <w:r>
              <w:rPr>
                <w:szCs w:val="24"/>
              </w:rPr>
              <w:t xml:space="preserve"> (se pkt. 4.4). </w:t>
            </w:r>
            <w:proofErr w:type="spellStart"/>
            <w:r>
              <w:rPr>
                <w:szCs w:val="24"/>
              </w:rPr>
              <w:t>Pyroglutaminacidose</w:t>
            </w:r>
            <w:proofErr w:type="spellEnd"/>
            <w:r>
              <w:rPr>
                <w:szCs w:val="24"/>
              </w:rPr>
              <w:t xml:space="preserve"> kan forekomme som følge af lave </w:t>
            </w:r>
            <w:proofErr w:type="spellStart"/>
            <w:r>
              <w:rPr>
                <w:szCs w:val="24"/>
              </w:rPr>
              <w:t>glutathionniveauer</w:t>
            </w:r>
            <w:proofErr w:type="spellEnd"/>
            <w:r>
              <w:rPr>
                <w:szCs w:val="24"/>
              </w:rPr>
              <w:t xml:space="preserve"> hos disse patienter.</w:t>
            </w:r>
          </w:p>
        </w:tc>
      </w:tr>
    </w:tbl>
    <w:p w14:paraId="7FA79EB6" w14:textId="77777777" w:rsidR="00CA260A" w:rsidRPr="00CA260A" w:rsidRDefault="00CA260A" w:rsidP="00CA260A">
      <w:pPr>
        <w:pStyle w:val="Sidehoved"/>
        <w:tabs>
          <w:tab w:val="left" w:pos="851"/>
        </w:tabs>
        <w:ind w:left="851"/>
        <w:rPr>
          <w:szCs w:val="24"/>
        </w:rPr>
      </w:pPr>
    </w:p>
    <w:p w14:paraId="5C80A606" w14:textId="77777777" w:rsidR="00CA260A" w:rsidRPr="00CA260A" w:rsidRDefault="00CA260A" w:rsidP="00CA260A">
      <w:pPr>
        <w:pStyle w:val="Sidehoved"/>
        <w:tabs>
          <w:tab w:val="left" w:pos="851"/>
        </w:tabs>
        <w:ind w:left="851"/>
        <w:rPr>
          <w:szCs w:val="24"/>
        </w:rPr>
      </w:pPr>
      <w:r w:rsidRPr="00CA260A">
        <w:rPr>
          <w:szCs w:val="24"/>
        </w:rPr>
        <w:t>Der er rapporteret om meget sjældne tilfælde af alvorlige hudreaktioner.</w:t>
      </w:r>
    </w:p>
    <w:p w14:paraId="4E6E2266" w14:textId="77777777" w:rsidR="00CA260A" w:rsidRPr="00CA260A" w:rsidRDefault="00CA260A" w:rsidP="00CA260A">
      <w:pPr>
        <w:pStyle w:val="Sidehoved"/>
        <w:tabs>
          <w:tab w:val="left" w:pos="851"/>
        </w:tabs>
        <w:ind w:left="851"/>
        <w:rPr>
          <w:szCs w:val="24"/>
        </w:rPr>
      </w:pPr>
      <w:r w:rsidRPr="00CA260A">
        <w:rPr>
          <w:szCs w:val="24"/>
        </w:rPr>
        <w:t xml:space="preserve">Der er set leverskader med paracetamol hos patienter med alkoholmisbrug. </w:t>
      </w:r>
    </w:p>
    <w:p w14:paraId="722A844F" w14:textId="77777777" w:rsidR="00CA260A" w:rsidRPr="00CA260A" w:rsidRDefault="00CA260A" w:rsidP="00CA260A">
      <w:pPr>
        <w:pStyle w:val="Sidehoved"/>
        <w:tabs>
          <w:tab w:val="left" w:pos="851"/>
        </w:tabs>
        <w:ind w:left="851"/>
        <w:rPr>
          <w:szCs w:val="24"/>
        </w:rPr>
      </w:pPr>
    </w:p>
    <w:p w14:paraId="6422C20F" w14:textId="77777777" w:rsidR="00CA260A" w:rsidRPr="00CA260A" w:rsidRDefault="00CA260A" w:rsidP="00CA260A">
      <w:pPr>
        <w:pStyle w:val="Sidehoved"/>
        <w:tabs>
          <w:tab w:val="left" w:pos="851"/>
        </w:tabs>
        <w:ind w:left="851"/>
        <w:rPr>
          <w:szCs w:val="24"/>
          <w:u w:val="single"/>
        </w:rPr>
      </w:pPr>
      <w:r w:rsidRPr="00CA260A">
        <w:rPr>
          <w:szCs w:val="24"/>
          <w:u w:val="single"/>
        </w:rPr>
        <w:t>Pædiatrisk population</w:t>
      </w:r>
    </w:p>
    <w:p w14:paraId="247BA0ED" w14:textId="77777777" w:rsidR="00CA260A" w:rsidRPr="00CA260A" w:rsidRDefault="00CA260A" w:rsidP="00CA260A">
      <w:pPr>
        <w:pStyle w:val="Sidehoved"/>
        <w:tabs>
          <w:tab w:val="left" w:pos="851"/>
        </w:tabs>
        <w:ind w:left="851"/>
        <w:rPr>
          <w:szCs w:val="24"/>
        </w:rPr>
      </w:pPr>
      <w:r w:rsidRPr="00CA260A">
        <w:rPr>
          <w:szCs w:val="24"/>
        </w:rPr>
        <w:t>Hyppigheden, typen og sværhedsgraden af bivirkninger forventes at være den samme hos børn og voksne.</w:t>
      </w:r>
    </w:p>
    <w:p w14:paraId="35D97805" w14:textId="77777777" w:rsidR="00CA260A" w:rsidRPr="00CA260A" w:rsidRDefault="00CA260A" w:rsidP="00CA260A">
      <w:pPr>
        <w:pStyle w:val="Sidehoved"/>
        <w:tabs>
          <w:tab w:val="left" w:pos="851"/>
        </w:tabs>
        <w:ind w:left="851"/>
        <w:rPr>
          <w:szCs w:val="24"/>
        </w:rPr>
      </w:pPr>
    </w:p>
    <w:p w14:paraId="72DE1C13" w14:textId="77777777" w:rsidR="00CA260A" w:rsidRPr="00CA260A" w:rsidRDefault="00CA260A" w:rsidP="00CA260A">
      <w:pPr>
        <w:pStyle w:val="Sidehoved"/>
        <w:tabs>
          <w:tab w:val="left" w:pos="851"/>
        </w:tabs>
        <w:ind w:left="851"/>
        <w:rPr>
          <w:szCs w:val="24"/>
        </w:rPr>
      </w:pPr>
      <w:r w:rsidRPr="00CA260A">
        <w:rPr>
          <w:szCs w:val="24"/>
        </w:rPr>
        <w:t xml:space="preserve">Paracetamol er blevet anvendt i bredt omfang, og indberetninger om bivirkninger er sjældne og er som regel forbundet med overdosering. </w:t>
      </w:r>
      <w:proofErr w:type="spellStart"/>
      <w:r w:rsidRPr="00CA260A">
        <w:rPr>
          <w:szCs w:val="24"/>
        </w:rPr>
        <w:t>Nefrotoksiske</w:t>
      </w:r>
      <w:proofErr w:type="spellEnd"/>
      <w:r w:rsidRPr="00CA260A">
        <w:rPr>
          <w:szCs w:val="24"/>
        </w:rPr>
        <w:t xml:space="preserve"> virkninger er ikke almindelige og er kun blevet indberettet i forbindelse med terapeutiske doser efter langvarig administration.</w:t>
      </w:r>
    </w:p>
    <w:p w14:paraId="4DE7F0F3" w14:textId="77777777" w:rsidR="00CA260A" w:rsidRPr="00CA260A" w:rsidRDefault="00CA260A" w:rsidP="00CA260A">
      <w:pPr>
        <w:pStyle w:val="Sidehoved"/>
        <w:tabs>
          <w:tab w:val="left" w:pos="851"/>
        </w:tabs>
        <w:ind w:left="851"/>
        <w:rPr>
          <w:szCs w:val="24"/>
        </w:rPr>
      </w:pPr>
    </w:p>
    <w:p w14:paraId="5613716B" w14:textId="77777777" w:rsidR="00CA260A" w:rsidRPr="00CA260A" w:rsidRDefault="00CA260A" w:rsidP="00CA260A">
      <w:pPr>
        <w:pStyle w:val="Sidehoved"/>
        <w:tabs>
          <w:tab w:val="left" w:pos="851"/>
        </w:tabs>
        <w:ind w:left="851"/>
        <w:rPr>
          <w:szCs w:val="24"/>
          <w:u w:val="single"/>
        </w:rPr>
      </w:pPr>
      <w:r w:rsidRPr="00CA260A">
        <w:rPr>
          <w:szCs w:val="24"/>
          <w:u w:val="single"/>
        </w:rPr>
        <w:lastRenderedPageBreak/>
        <w:t>Indberetning af formodede bivirkninger</w:t>
      </w:r>
    </w:p>
    <w:p w14:paraId="42F2F93A" w14:textId="77777777" w:rsidR="00CA260A" w:rsidRPr="00CA260A" w:rsidRDefault="00CA260A" w:rsidP="00CA260A">
      <w:pPr>
        <w:pStyle w:val="Sidehoved"/>
        <w:tabs>
          <w:tab w:val="left" w:pos="851"/>
        </w:tabs>
        <w:ind w:left="851"/>
        <w:rPr>
          <w:szCs w:val="24"/>
        </w:rPr>
      </w:pPr>
      <w:r w:rsidRPr="00CA260A">
        <w:rPr>
          <w:szCs w:val="24"/>
        </w:rPr>
        <w:t>Når lægemidlet er godkendt, er indberetning af formodede bivirkninger vigtig. Det muliggør løbende overvågning af benefit/</w:t>
      </w:r>
      <w:proofErr w:type="spellStart"/>
      <w:r w:rsidRPr="00CA260A">
        <w:rPr>
          <w:szCs w:val="24"/>
        </w:rPr>
        <w:t>risk</w:t>
      </w:r>
      <w:proofErr w:type="spellEnd"/>
      <w:r w:rsidRPr="00CA260A">
        <w:rPr>
          <w:szCs w:val="24"/>
        </w:rPr>
        <w:t>-forholdet for lægemidlet. Sundhedspersoner anmodes om at indberette alle formodede bivirkninger via:</w:t>
      </w:r>
    </w:p>
    <w:p w14:paraId="7E4FFA5C" w14:textId="77777777" w:rsidR="00CA260A" w:rsidRPr="00CA260A" w:rsidRDefault="00CA260A" w:rsidP="00CA260A">
      <w:pPr>
        <w:pStyle w:val="Sidehoved"/>
        <w:tabs>
          <w:tab w:val="left" w:pos="851"/>
        </w:tabs>
        <w:ind w:left="851"/>
        <w:rPr>
          <w:szCs w:val="24"/>
        </w:rPr>
      </w:pPr>
    </w:p>
    <w:p w14:paraId="5D44A8E3" w14:textId="77777777" w:rsidR="00B748F4" w:rsidRPr="00CF301D" w:rsidRDefault="00B748F4" w:rsidP="00B748F4">
      <w:pPr>
        <w:pStyle w:val="Sidehoved"/>
        <w:tabs>
          <w:tab w:val="left" w:pos="851"/>
        </w:tabs>
        <w:ind w:left="851"/>
        <w:rPr>
          <w:szCs w:val="24"/>
        </w:rPr>
      </w:pPr>
      <w:r w:rsidRPr="00CF301D">
        <w:rPr>
          <w:szCs w:val="24"/>
        </w:rPr>
        <w:t>Lægemiddelstyrelsen</w:t>
      </w:r>
    </w:p>
    <w:p w14:paraId="2E0FE3E8" w14:textId="77777777" w:rsidR="00B748F4" w:rsidRPr="00CF301D" w:rsidRDefault="00B748F4" w:rsidP="00B748F4">
      <w:pPr>
        <w:pStyle w:val="Sidehoved"/>
        <w:tabs>
          <w:tab w:val="left" w:pos="851"/>
        </w:tabs>
        <w:ind w:left="851"/>
        <w:rPr>
          <w:szCs w:val="24"/>
        </w:rPr>
      </w:pPr>
      <w:r w:rsidRPr="00CF301D">
        <w:rPr>
          <w:szCs w:val="24"/>
        </w:rPr>
        <w:t>Axel Heides Gade 1</w:t>
      </w:r>
    </w:p>
    <w:p w14:paraId="32A71426" w14:textId="77777777" w:rsidR="00B748F4" w:rsidRPr="00CF301D" w:rsidRDefault="00B748F4" w:rsidP="00B748F4">
      <w:pPr>
        <w:pStyle w:val="Sidehoved"/>
        <w:tabs>
          <w:tab w:val="left" w:pos="851"/>
        </w:tabs>
        <w:ind w:left="851"/>
        <w:rPr>
          <w:szCs w:val="24"/>
        </w:rPr>
      </w:pPr>
      <w:r w:rsidRPr="00CF301D">
        <w:rPr>
          <w:szCs w:val="24"/>
        </w:rPr>
        <w:t>DK-2300 København S</w:t>
      </w:r>
    </w:p>
    <w:p w14:paraId="4EBCB99D" w14:textId="77777777" w:rsidR="00B748F4" w:rsidRPr="00CA260A" w:rsidRDefault="00B748F4" w:rsidP="00B748F4">
      <w:pPr>
        <w:pStyle w:val="Sidehoved"/>
        <w:tabs>
          <w:tab w:val="left" w:pos="851"/>
        </w:tabs>
        <w:ind w:left="851"/>
        <w:rPr>
          <w:szCs w:val="24"/>
        </w:rPr>
      </w:pPr>
      <w:r w:rsidRPr="00CA260A">
        <w:rPr>
          <w:szCs w:val="24"/>
        </w:rPr>
        <w:t>Websted: www.meldenbivirkning.dk</w:t>
      </w:r>
    </w:p>
    <w:p w14:paraId="3929A4A3" w14:textId="77777777" w:rsidR="009260DE" w:rsidRDefault="009260DE" w:rsidP="009260DE">
      <w:pPr>
        <w:pStyle w:val="Sidehoved"/>
        <w:tabs>
          <w:tab w:val="left" w:pos="851"/>
        </w:tabs>
        <w:ind w:left="851"/>
        <w:rPr>
          <w:szCs w:val="24"/>
        </w:rPr>
      </w:pPr>
    </w:p>
    <w:p w14:paraId="0D9DCA93" w14:textId="77777777" w:rsidR="00B748F4" w:rsidRDefault="00B748F4" w:rsidP="009260DE">
      <w:pPr>
        <w:pStyle w:val="Sidehoved"/>
        <w:tabs>
          <w:tab w:val="left" w:pos="851"/>
        </w:tabs>
        <w:ind w:left="851"/>
        <w:rPr>
          <w:szCs w:val="24"/>
        </w:rPr>
      </w:pPr>
    </w:p>
    <w:p w14:paraId="79711635" w14:textId="77777777" w:rsidR="00B748F4" w:rsidRPr="00C84483" w:rsidRDefault="00B748F4" w:rsidP="009260DE">
      <w:pPr>
        <w:pStyle w:val="Sidehoved"/>
        <w:tabs>
          <w:tab w:val="left" w:pos="851"/>
        </w:tabs>
        <w:ind w:left="851"/>
        <w:rPr>
          <w:szCs w:val="24"/>
        </w:rPr>
      </w:pPr>
    </w:p>
    <w:p w14:paraId="026DE0ED"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C5A8657" w14:textId="77777777" w:rsidR="00CD01F5" w:rsidRPr="00CD01F5" w:rsidRDefault="00CD01F5" w:rsidP="00CD01F5">
      <w:pPr>
        <w:tabs>
          <w:tab w:val="left" w:pos="851"/>
        </w:tabs>
        <w:ind w:left="851"/>
        <w:rPr>
          <w:sz w:val="24"/>
          <w:szCs w:val="24"/>
        </w:rPr>
      </w:pPr>
      <w:r w:rsidRPr="00CD01F5">
        <w:rPr>
          <w:sz w:val="24"/>
          <w:szCs w:val="24"/>
        </w:rPr>
        <w:t xml:space="preserve">Der er risiko for forgiftning, især hos ældre, yngre børn, patienter med leversygdom, i tilfælde af kronisk alkoholisme, hos patienter med kronisk fejlernæring, hos </w:t>
      </w:r>
      <w:r w:rsidRPr="00CD01F5">
        <w:rPr>
          <w:b/>
          <w:sz w:val="24"/>
          <w:szCs w:val="24"/>
          <w:u w:val="single"/>
        </w:rPr>
        <w:t xml:space="preserve">patienter med </w:t>
      </w:r>
      <w:proofErr w:type="spellStart"/>
      <w:r w:rsidRPr="00CD01F5">
        <w:rPr>
          <w:b/>
          <w:sz w:val="24"/>
          <w:szCs w:val="24"/>
          <w:u w:val="single"/>
        </w:rPr>
        <w:t>glutathiondepletering</w:t>
      </w:r>
      <w:proofErr w:type="spellEnd"/>
      <w:r w:rsidRPr="00CD01F5">
        <w:rPr>
          <w:b/>
          <w:sz w:val="24"/>
          <w:szCs w:val="24"/>
          <w:u w:val="single"/>
        </w:rPr>
        <w:t>, såsom sepsis</w:t>
      </w:r>
      <w:r w:rsidRPr="00CD01F5">
        <w:rPr>
          <w:sz w:val="24"/>
          <w:szCs w:val="24"/>
        </w:rPr>
        <w:t xml:space="preserve">, og hos patienter, der får enzyminducerende stoffer. Overdosering kan medføre død. </w:t>
      </w:r>
    </w:p>
    <w:p w14:paraId="47E091D2" w14:textId="77777777" w:rsidR="00CD01F5" w:rsidRPr="00CD01F5" w:rsidRDefault="00CD01F5" w:rsidP="00CD01F5">
      <w:pPr>
        <w:tabs>
          <w:tab w:val="left" w:pos="851"/>
        </w:tabs>
        <w:ind w:left="851"/>
        <w:rPr>
          <w:b/>
          <w:sz w:val="24"/>
          <w:szCs w:val="24"/>
          <w:u w:val="single"/>
        </w:rPr>
      </w:pPr>
      <w:r w:rsidRPr="00CD01F5">
        <w:rPr>
          <w:b/>
          <w:sz w:val="24"/>
          <w:szCs w:val="24"/>
          <w:u w:val="single"/>
        </w:rPr>
        <w:t xml:space="preserve">Ved akut overdosering kan paracetamol have </w:t>
      </w:r>
      <w:proofErr w:type="spellStart"/>
      <w:r w:rsidRPr="00CD01F5">
        <w:rPr>
          <w:b/>
          <w:sz w:val="24"/>
          <w:szCs w:val="24"/>
          <w:u w:val="single"/>
        </w:rPr>
        <w:t>hepatotoksisk</w:t>
      </w:r>
      <w:proofErr w:type="spellEnd"/>
      <w:r w:rsidRPr="00CD01F5">
        <w:rPr>
          <w:b/>
          <w:sz w:val="24"/>
          <w:szCs w:val="24"/>
          <w:u w:val="single"/>
        </w:rPr>
        <w:t xml:space="preserve"> virkning eller sågar forårsage levernekrose. Overdosering af paracetamol, herunder opnåelse af høje totale dosisniveauer over en længere periode, kan medføre </w:t>
      </w:r>
      <w:proofErr w:type="spellStart"/>
      <w:r w:rsidRPr="00CD01F5">
        <w:rPr>
          <w:b/>
          <w:sz w:val="24"/>
          <w:szCs w:val="24"/>
          <w:u w:val="single"/>
        </w:rPr>
        <w:t>analgetika</w:t>
      </w:r>
      <w:proofErr w:type="spellEnd"/>
      <w:r w:rsidRPr="00CD01F5">
        <w:rPr>
          <w:b/>
          <w:sz w:val="24"/>
          <w:szCs w:val="24"/>
          <w:u w:val="single"/>
        </w:rPr>
        <w:t xml:space="preserve">-induceret </w:t>
      </w:r>
      <w:proofErr w:type="spellStart"/>
      <w:r w:rsidRPr="00CD01F5">
        <w:rPr>
          <w:b/>
          <w:sz w:val="24"/>
          <w:szCs w:val="24"/>
          <w:u w:val="single"/>
        </w:rPr>
        <w:t>nefropati</w:t>
      </w:r>
      <w:proofErr w:type="spellEnd"/>
      <w:r w:rsidRPr="00CD01F5">
        <w:rPr>
          <w:b/>
          <w:sz w:val="24"/>
          <w:szCs w:val="24"/>
          <w:u w:val="single"/>
        </w:rPr>
        <w:t xml:space="preserve"> med irreversibelt leversvigt.</w:t>
      </w:r>
    </w:p>
    <w:p w14:paraId="0D470A72" w14:textId="77777777" w:rsidR="00CD01F5" w:rsidRPr="00CD01F5" w:rsidRDefault="00CD01F5" w:rsidP="00CD01F5">
      <w:pPr>
        <w:tabs>
          <w:tab w:val="left" w:pos="851"/>
        </w:tabs>
        <w:ind w:left="851"/>
        <w:rPr>
          <w:b/>
          <w:sz w:val="24"/>
          <w:szCs w:val="24"/>
          <w:u w:val="single"/>
        </w:rPr>
      </w:pPr>
    </w:p>
    <w:p w14:paraId="79687321" w14:textId="77777777" w:rsidR="00CD01F5" w:rsidRPr="00CD01F5" w:rsidRDefault="00CD01F5" w:rsidP="00CD01F5">
      <w:pPr>
        <w:tabs>
          <w:tab w:val="left" w:pos="851"/>
        </w:tabs>
        <w:ind w:left="851"/>
        <w:rPr>
          <w:sz w:val="24"/>
          <w:szCs w:val="24"/>
        </w:rPr>
      </w:pPr>
      <w:r w:rsidRPr="00CD01F5">
        <w:rPr>
          <w:sz w:val="24"/>
          <w:szCs w:val="24"/>
        </w:rPr>
        <w:t>Der kan opstå leverskader hos voksne, der har taget 10 g paracetamol eller mere. Hvis patienten har risikofaktorer, kan indtagelse af 5 g paracetamol eller mere medføre leverskader (se nedenfor).</w:t>
      </w:r>
    </w:p>
    <w:p w14:paraId="3715B046" w14:textId="77777777" w:rsidR="00CD01F5" w:rsidRPr="00CD01F5" w:rsidRDefault="00CD01F5" w:rsidP="00CD01F5">
      <w:pPr>
        <w:tabs>
          <w:tab w:val="left" w:pos="851"/>
        </w:tabs>
        <w:ind w:left="851"/>
        <w:rPr>
          <w:sz w:val="24"/>
          <w:szCs w:val="24"/>
        </w:rPr>
      </w:pPr>
    </w:p>
    <w:p w14:paraId="56184DDD" w14:textId="77777777" w:rsidR="00CD01F5" w:rsidRPr="00CD01F5" w:rsidRDefault="00CD01F5" w:rsidP="00CD01F5">
      <w:pPr>
        <w:tabs>
          <w:tab w:val="left" w:pos="851"/>
        </w:tabs>
        <w:ind w:left="851"/>
        <w:rPr>
          <w:sz w:val="24"/>
          <w:szCs w:val="24"/>
        </w:rPr>
      </w:pPr>
      <w:r w:rsidRPr="00CD01F5">
        <w:rPr>
          <w:sz w:val="24"/>
          <w:szCs w:val="24"/>
        </w:rPr>
        <w:t xml:space="preserve">Det formodes, at overskydende mængder af en toksisk metabolit (som normalt bliver tilstrækkeligt neutraliseret af </w:t>
      </w:r>
      <w:proofErr w:type="spellStart"/>
      <w:r w:rsidRPr="00CD01F5">
        <w:rPr>
          <w:sz w:val="24"/>
          <w:szCs w:val="24"/>
        </w:rPr>
        <w:t>glutathion</w:t>
      </w:r>
      <w:proofErr w:type="spellEnd"/>
      <w:r w:rsidRPr="00CD01F5">
        <w:rPr>
          <w:sz w:val="24"/>
          <w:szCs w:val="24"/>
        </w:rPr>
        <w:t>, når paracetamol indtages i normale doser) bindes irreversibelt til levervæv.</w:t>
      </w:r>
    </w:p>
    <w:p w14:paraId="7D6FE85B" w14:textId="77777777" w:rsidR="00CD01F5" w:rsidRPr="00CD01F5" w:rsidRDefault="00CD01F5" w:rsidP="00CD01F5">
      <w:pPr>
        <w:tabs>
          <w:tab w:val="left" w:pos="851"/>
        </w:tabs>
        <w:ind w:left="851"/>
        <w:rPr>
          <w:sz w:val="24"/>
          <w:szCs w:val="24"/>
        </w:rPr>
      </w:pPr>
    </w:p>
    <w:p w14:paraId="4931D96E" w14:textId="77777777" w:rsidR="00CD01F5" w:rsidRPr="00CD01F5" w:rsidRDefault="00CD01F5" w:rsidP="00CD01F5">
      <w:pPr>
        <w:tabs>
          <w:tab w:val="left" w:pos="851"/>
        </w:tabs>
        <w:ind w:left="851"/>
        <w:rPr>
          <w:bCs/>
          <w:sz w:val="24"/>
          <w:szCs w:val="24"/>
          <w:u w:val="single"/>
        </w:rPr>
      </w:pPr>
      <w:r w:rsidRPr="00CD01F5">
        <w:rPr>
          <w:bCs/>
          <w:sz w:val="24"/>
          <w:szCs w:val="24"/>
          <w:u w:val="single"/>
        </w:rPr>
        <w:t>Risikofaktorer</w:t>
      </w:r>
    </w:p>
    <w:p w14:paraId="186F19DE" w14:textId="77777777" w:rsidR="00CD01F5" w:rsidRPr="00CD01F5" w:rsidRDefault="00CD01F5" w:rsidP="00CD01F5">
      <w:pPr>
        <w:tabs>
          <w:tab w:val="left" w:pos="851"/>
        </w:tabs>
        <w:ind w:left="851"/>
        <w:rPr>
          <w:sz w:val="24"/>
          <w:szCs w:val="24"/>
        </w:rPr>
      </w:pPr>
      <w:r w:rsidRPr="00CD01F5">
        <w:rPr>
          <w:sz w:val="24"/>
          <w:szCs w:val="24"/>
        </w:rPr>
        <w:t>Hvis patienten:</w:t>
      </w:r>
    </w:p>
    <w:p w14:paraId="7940295E" w14:textId="77777777" w:rsidR="00CD01F5" w:rsidRPr="00CD01F5" w:rsidRDefault="00CD01F5" w:rsidP="00CD01F5">
      <w:pPr>
        <w:numPr>
          <w:ilvl w:val="0"/>
          <w:numId w:val="7"/>
        </w:numPr>
        <w:tabs>
          <w:tab w:val="left" w:pos="851"/>
        </w:tabs>
        <w:ind w:left="1134" w:hanging="283"/>
        <w:rPr>
          <w:sz w:val="24"/>
          <w:szCs w:val="24"/>
        </w:rPr>
      </w:pPr>
      <w:r w:rsidRPr="00CD01F5">
        <w:rPr>
          <w:sz w:val="24"/>
          <w:szCs w:val="24"/>
        </w:rPr>
        <w:t xml:space="preserve">Er i langvarig behandling med </w:t>
      </w:r>
      <w:proofErr w:type="spellStart"/>
      <w:r w:rsidRPr="00CD01F5">
        <w:rPr>
          <w:sz w:val="24"/>
          <w:szCs w:val="24"/>
        </w:rPr>
        <w:t>carbamazepin</w:t>
      </w:r>
      <w:proofErr w:type="spellEnd"/>
      <w:r w:rsidRPr="00CD01F5">
        <w:rPr>
          <w:sz w:val="24"/>
          <w:szCs w:val="24"/>
        </w:rPr>
        <w:t xml:space="preserve">, </w:t>
      </w:r>
      <w:proofErr w:type="spellStart"/>
      <w:r w:rsidRPr="00CD01F5">
        <w:rPr>
          <w:sz w:val="24"/>
          <w:szCs w:val="24"/>
        </w:rPr>
        <w:t>phenobarbital</w:t>
      </w:r>
      <w:proofErr w:type="spellEnd"/>
      <w:r w:rsidRPr="00CD01F5">
        <w:rPr>
          <w:sz w:val="24"/>
          <w:szCs w:val="24"/>
        </w:rPr>
        <w:t xml:space="preserve">, </w:t>
      </w:r>
      <w:proofErr w:type="spellStart"/>
      <w:r w:rsidRPr="00CD01F5">
        <w:rPr>
          <w:sz w:val="24"/>
          <w:szCs w:val="24"/>
        </w:rPr>
        <w:t>phenytoin</w:t>
      </w:r>
      <w:proofErr w:type="spellEnd"/>
      <w:r w:rsidRPr="00CD01F5">
        <w:rPr>
          <w:sz w:val="24"/>
          <w:szCs w:val="24"/>
        </w:rPr>
        <w:t xml:space="preserve">, </w:t>
      </w:r>
      <w:proofErr w:type="spellStart"/>
      <w:r w:rsidRPr="00CD01F5">
        <w:rPr>
          <w:sz w:val="24"/>
          <w:szCs w:val="24"/>
        </w:rPr>
        <w:t>primidon</w:t>
      </w:r>
      <w:proofErr w:type="spellEnd"/>
      <w:r w:rsidRPr="00CD01F5">
        <w:rPr>
          <w:sz w:val="24"/>
          <w:szCs w:val="24"/>
        </w:rPr>
        <w:t xml:space="preserve">, </w:t>
      </w:r>
      <w:proofErr w:type="spellStart"/>
      <w:r w:rsidRPr="00CD01F5">
        <w:rPr>
          <w:sz w:val="24"/>
          <w:szCs w:val="24"/>
        </w:rPr>
        <w:t>rifampicin</w:t>
      </w:r>
      <w:proofErr w:type="spellEnd"/>
      <w:r w:rsidRPr="00CD01F5">
        <w:rPr>
          <w:sz w:val="24"/>
          <w:szCs w:val="24"/>
        </w:rPr>
        <w:t>, perikon eller andre lægemidler, der inducerer leverenzymer.</w:t>
      </w:r>
    </w:p>
    <w:p w14:paraId="2D80058B" w14:textId="77777777" w:rsidR="00CD01F5" w:rsidRPr="00CD01F5" w:rsidRDefault="00CD01F5" w:rsidP="00CD01F5">
      <w:pPr>
        <w:tabs>
          <w:tab w:val="left" w:pos="851"/>
        </w:tabs>
        <w:ind w:left="1134" w:hanging="283"/>
        <w:rPr>
          <w:sz w:val="24"/>
          <w:szCs w:val="24"/>
        </w:rPr>
      </w:pPr>
      <w:r w:rsidRPr="00CD01F5">
        <w:rPr>
          <w:sz w:val="24"/>
          <w:szCs w:val="24"/>
        </w:rPr>
        <w:t>Eller</w:t>
      </w:r>
    </w:p>
    <w:p w14:paraId="23616BDB" w14:textId="77777777" w:rsidR="00CD01F5" w:rsidRPr="00CD01F5" w:rsidRDefault="00CD01F5" w:rsidP="00CD01F5">
      <w:pPr>
        <w:numPr>
          <w:ilvl w:val="0"/>
          <w:numId w:val="7"/>
        </w:numPr>
        <w:tabs>
          <w:tab w:val="left" w:pos="851"/>
        </w:tabs>
        <w:ind w:left="1134" w:hanging="283"/>
        <w:rPr>
          <w:sz w:val="24"/>
          <w:szCs w:val="24"/>
        </w:rPr>
      </w:pPr>
      <w:r w:rsidRPr="00CD01F5">
        <w:rPr>
          <w:sz w:val="24"/>
          <w:szCs w:val="24"/>
        </w:rPr>
        <w:t xml:space="preserve">Regelmæssigt indtager alkohol i større mængder end anbefalet. </w:t>
      </w:r>
    </w:p>
    <w:p w14:paraId="6B737989" w14:textId="77777777" w:rsidR="00CD01F5" w:rsidRPr="00CD01F5" w:rsidRDefault="00CD01F5" w:rsidP="00CD01F5">
      <w:pPr>
        <w:tabs>
          <w:tab w:val="left" w:pos="851"/>
        </w:tabs>
        <w:ind w:left="1134" w:hanging="283"/>
        <w:rPr>
          <w:sz w:val="24"/>
          <w:szCs w:val="24"/>
        </w:rPr>
      </w:pPr>
      <w:r w:rsidRPr="00CD01F5">
        <w:rPr>
          <w:sz w:val="24"/>
          <w:szCs w:val="24"/>
        </w:rPr>
        <w:t>Eller</w:t>
      </w:r>
    </w:p>
    <w:p w14:paraId="480A79D3" w14:textId="77777777" w:rsidR="00CD01F5" w:rsidRPr="00CD01F5" w:rsidRDefault="00CD01F5" w:rsidP="00CD01F5">
      <w:pPr>
        <w:numPr>
          <w:ilvl w:val="0"/>
          <w:numId w:val="7"/>
        </w:numPr>
        <w:tabs>
          <w:tab w:val="left" w:pos="851"/>
        </w:tabs>
        <w:ind w:left="1134" w:hanging="283"/>
        <w:rPr>
          <w:sz w:val="24"/>
          <w:szCs w:val="24"/>
        </w:rPr>
      </w:pPr>
      <w:r w:rsidRPr="00CD01F5">
        <w:rPr>
          <w:sz w:val="24"/>
          <w:szCs w:val="24"/>
        </w:rPr>
        <w:t xml:space="preserve">Sandsynligvis er </w:t>
      </w:r>
      <w:proofErr w:type="spellStart"/>
      <w:r w:rsidRPr="00CD01F5">
        <w:rPr>
          <w:sz w:val="24"/>
          <w:szCs w:val="24"/>
        </w:rPr>
        <w:t>glutathion-depleteret</w:t>
      </w:r>
      <w:proofErr w:type="spellEnd"/>
      <w:r w:rsidRPr="00CD01F5">
        <w:rPr>
          <w:sz w:val="24"/>
          <w:szCs w:val="24"/>
        </w:rPr>
        <w:t xml:space="preserve">, f.eks. pga. en spiseforstyrrelse, cystisk fibrose, hiv-infektion, udsultning, </w:t>
      </w:r>
      <w:proofErr w:type="spellStart"/>
      <w:r w:rsidRPr="00CD01F5">
        <w:rPr>
          <w:sz w:val="24"/>
          <w:szCs w:val="24"/>
        </w:rPr>
        <w:t>kakeksi</w:t>
      </w:r>
      <w:proofErr w:type="spellEnd"/>
      <w:r w:rsidRPr="00CD01F5">
        <w:rPr>
          <w:sz w:val="24"/>
          <w:szCs w:val="24"/>
        </w:rPr>
        <w:t>.</w:t>
      </w:r>
    </w:p>
    <w:p w14:paraId="54F073A2" w14:textId="77777777" w:rsidR="00CD01F5" w:rsidRPr="00CD01F5" w:rsidRDefault="00CD01F5" w:rsidP="00CD01F5">
      <w:pPr>
        <w:tabs>
          <w:tab w:val="left" w:pos="851"/>
        </w:tabs>
        <w:ind w:left="851"/>
        <w:rPr>
          <w:sz w:val="24"/>
          <w:szCs w:val="24"/>
        </w:rPr>
      </w:pPr>
    </w:p>
    <w:p w14:paraId="279101D8" w14:textId="77777777" w:rsidR="00CD01F5" w:rsidRPr="00CD01F5" w:rsidRDefault="00CD01F5" w:rsidP="00CD01F5">
      <w:pPr>
        <w:tabs>
          <w:tab w:val="left" w:pos="851"/>
        </w:tabs>
        <w:ind w:left="851"/>
        <w:rPr>
          <w:bCs/>
          <w:sz w:val="24"/>
          <w:szCs w:val="24"/>
          <w:u w:val="single"/>
        </w:rPr>
      </w:pPr>
      <w:r w:rsidRPr="00CD01F5">
        <w:rPr>
          <w:bCs/>
          <w:sz w:val="24"/>
          <w:szCs w:val="24"/>
          <w:u w:val="single"/>
        </w:rPr>
        <w:t>Symptomer</w:t>
      </w:r>
    </w:p>
    <w:p w14:paraId="010075D8" w14:textId="77777777" w:rsidR="00CD01F5" w:rsidRPr="00CD01F5" w:rsidRDefault="00CD01F5" w:rsidP="00CD01F5">
      <w:pPr>
        <w:tabs>
          <w:tab w:val="left" w:pos="851"/>
        </w:tabs>
        <w:ind w:left="851"/>
        <w:rPr>
          <w:sz w:val="24"/>
          <w:szCs w:val="24"/>
        </w:rPr>
      </w:pPr>
      <w:r w:rsidRPr="00CD01F5">
        <w:rPr>
          <w:sz w:val="24"/>
          <w:szCs w:val="24"/>
        </w:rPr>
        <w:t xml:space="preserve">I de første 24 timer er symptomerne på paracetamoloverdosering bleghed, kvalme, opkastning, anoreksi og mavesmerter. Leverskade kan manifestere sig 12 til 48 timer efter indtagelsen. Der kan opstå forstyrrelser i </w:t>
      </w:r>
      <w:proofErr w:type="spellStart"/>
      <w:r w:rsidRPr="00CD01F5">
        <w:rPr>
          <w:sz w:val="24"/>
          <w:szCs w:val="24"/>
        </w:rPr>
        <w:t>glucosemetabolismen</w:t>
      </w:r>
      <w:proofErr w:type="spellEnd"/>
      <w:r w:rsidRPr="00CD01F5">
        <w:rPr>
          <w:sz w:val="24"/>
          <w:szCs w:val="24"/>
        </w:rPr>
        <w:t xml:space="preserve"> og metabolisk </w:t>
      </w:r>
      <w:proofErr w:type="spellStart"/>
      <w:r w:rsidRPr="00CD01F5">
        <w:rPr>
          <w:sz w:val="24"/>
          <w:szCs w:val="24"/>
        </w:rPr>
        <w:t>acidose</w:t>
      </w:r>
      <w:proofErr w:type="spellEnd"/>
      <w:r w:rsidRPr="00CD01F5">
        <w:rPr>
          <w:sz w:val="24"/>
          <w:szCs w:val="24"/>
        </w:rPr>
        <w:t xml:space="preserve">. Ved svær forgiftning kan leversvigt progrediere til encefalopati, blødning, hypoglykæmi, hjerneødem og død. Akut nyresvigt med akut </w:t>
      </w:r>
      <w:proofErr w:type="spellStart"/>
      <w:r w:rsidRPr="00CD01F5">
        <w:rPr>
          <w:sz w:val="24"/>
          <w:szCs w:val="24"/>
        </w:rPr>
        <w:t>tubulær</w:t>
      </w:r>
      <w:proofErr w:type="spellEnd"/>
      <w:r w:rsidRPr="00CD01F5">
        <w:rPr>
          <w:sz w:val="24"/>
          <w:szCs w:val="24"/>
        </w:rPr>
        <w:t xml:space="preserve"> nekrose kan forekomme hos patienter uden svær leverskade. Typiske symptomer er lændesmerter, hæmaturi og </w:t>
      </w:r>
      <w:proofErr w:type="spellStart"/>
      <w:r w:rsidRPr="00CD01F5">
        <w:rPr>
          <w:sz w:val="24"/>
          <w:szCs w:val="24"/>
        </w:rPr>
        <w:t>proteinuri</w:t>
      </w:r>
      <w:proofErr w:type="spellEnd"/>
      <w:r w:rsidRPr="00CD01F5">
        <w:rPr>
          <w:sz w:val="24"/>
          <w:szCs w:val="24"/>
        </w:rPr>
        <w:t xml:space="preserve">. Der er rapporteret om </w:t>
      </w:r>
      <w:proofErr w:type="spellStart"/>
      <w:r w:rsidRPr="00CD01F5">
        <w:rPr>
          <w:sz w:val="24"/>
          <w:szCs w:val="24"/>
        </w:rPr>
        <w:t>hjertearytmi</w:t>
      </w:r>
      <w:proofErr w:type="spellEnd"/>
      <w:r w:rsidRPr="00CD01F5">
        <w:rPr>
          <w:sz w:val="24"/>
          <w:szCs w:val="24"/>
        </w:rPr>
        <w:t xml:space="preserve"> og </w:t>
      </w:r>
      <w:proofErr w:type="spellStart"/>
      <w:r w:rsidRPr="00CD01F5">
        <w:rPr>
          <w:sz w:val="24"/>
          <w:szCs w:val="24"/>
        </w:rPr>
        <w:t>pancreatitis</w:t>
      </w:r>
      <w:proofErr w:type="spellEnd"/>
      <w:r w:rsidRPr="00CD01F5">
        <w:rPr>
          <w:sz w:val="24"/>
          <w:szCs w:val="24"/>
        </w:rPr>
        <w:t xml:space="preserve">. Selv hos patienter uden alvorlig leverskade kan der opstå akut nyresvigt med </w:t>
      </w:r>
      <w:proofErr w:type="spellStart"/>
      <w:r w:rsidRPr="00CD01F5">
        <w:rPr>
          <w:sz w:val="24"/>
          <w:szCs w:val="24"/>
        </w:rPr>
        <w:t>renal</w:t>
      </w:r>
      <w:proofErr w:type="spellEnd"/>
      <w:r w:rsidRPr="00CD01F5">
        <w:rPr>
          <w:sz w:val="24"/>
          <w:szCs w:val="24"/>
        </w:rPr>
        <w:t xml:space="preserve"> </w:t>
      </w:r>
      <w:proofErr w:type="spellStart"/>
      <w:r w:rsidRPr="00CD01F5">
        <w:rPr>
          <w:sz w:val="24"/>
          <w:szCs w:val="24"/>
        </w:rPr>
        <w:t>tubulær</w:t>
      </w:r>
      <w:proofErr w:type="spellEnd"/>
      <w:r w:rsidRPr="00CD01F5">
        <w:rPr>
          <w:sz w:val="24"/>
          <w:szCs w:val="24"/>
        </w:rPr>
        <w:t xml:space="preserve"> nekrose. Andre ikke-</w:t>
      </w:r>
      <w:proofErr w:type="spellStart"/>
      <w:r w:rsidRPr="00CD01F5">
        <w:rPr>
          <w:sz w:val="24"/>
          <w:szCs w:val="24"/>
        </w:rPr>
        <w:t>hepatiske</w:t>
      </w:r>
      <w:proofErr w:type="spellEnd"/>
      <w:r w:rsidRPr="00CD01F5">
        <w:rPr>
          <w:sz w:val="24"/>
          <w:szCs w:val="24"/>
        </w:rPr>
        <w:t xml:space="preserve"> symptomer efter overdosering af paracetamol kan omfatte </w:t>
      </w:r>
      <w:proofErr w:type="spellStart"/>
      <w:r w:rsidRPr="00CD01F5">
        <w:rPr>
          <w:sz w:val="24"/>
          <w:szCs w:val="24"/>
        </w:rPr>
        <w:lastRenderedPageBreak/>
        <w:t>myokardieforstyrrelser</w:t>
      </w:r>
      <w:proofErr w:type="spellEnd"/>
      <w:r w:rsidRPr="00CD01F5">
        <w:rPr>
          <w:sz w:val="24"/>
          <w:szCs w:val="24"/>
        </w:rPr>
        <w:t xml:space="preserve"> og </w:t>
      </w:r>
      <w:proofErr w:type="spellStart"/>
      <w:r w:rsidRPr="00CD01F5">
        <w:rPr>
          <w:sz w:val="24"/>
          <w:szCs w:val="24"/>
        </w:rPr>
        <w:t>pancreatitis</w:t>
      </w:r>
      <w:proofErr w:type="spellEnd"/>
      <w:r w:rsidRPr="00CD01F5">
        <w:rPr>
          <w:sz w:val="24"/>
          <w:szCs w:val="24"/>
        </w:rPr>
        <w:t xml:space="preserve">. Der er set akut </w:t>
      </w:r>
      <w:proofErr w:type="spellStart"/>
      <w:r w:rsidRPr="00CD01F5">
        <w:rPr>
          <w:sz w:val="24"/>
          <w:szCs w:val="24"/>
        </w:rPr>
        <w:t>pancreatitis</w:t>
      </w:r>
      <w:proofErr w:type="spellEnd"/>
      <w:r w:rsidRPr="00CD01F5">
        <w:rPr>
          <w:sz w:val="24"/>
          <w:szCs w:val="24"/>
        </w:rPr>
        <w:t xml:space="preserve">, oftest samtidig med </w:t>
      </w:r>
      <w:proofErr w:type="spellStart"/>
      <w:r w:rsidRPr="00CD01F5">
        <w:rPr>
          <w:sz w:val="24"/>
          <w:szCs w:val="24"/>
        </w:rPr>
        <w:t>hepatisk</w:t>
      </w:r>
      <w:proofErr w:type="spellEnd"/>
      <w:r w:rsidRPr="00CD01F5">
        <w:rPr>
          <w:sz w:val="24"/>
          <w:szCs w:val="24"/>
        </w:rPr>
        <w:t xml:space="preserve"> dysfunktion og levertoksicitet. </w:t>
      </w:r>
    </w:p>
    <w:p w14:paraId="09B57FB1" w14:textId="77777777" w:rsidR="00CD01F5" w:rsidRPr="00CD01F5" w:rsidRDefault="00CD01F5" w:rsidP="00CD01F5">
      <w:pPr>
        <w:tabs>
          <w:tab w:val="left" w:pos="851"/>
        </w:tabs>
        <w:ind w:left="851"/>
        <w:rPr>
          <w:sz w:val="24"/>
          <w:szCs w:val="24"/>
        </w:rPr>
      </w:pPr>
    </w:p>
    <w:p w14:paraId="12F060D4" w14:textId="77777777" w:rsidR="00CD01F5" w:rsidRPr="00CD01F5" w:rsidRDefault="00CD01F5" w:rsidP="00CD01F5">
      <w:pPr>
        <w:tabs>
          <w:tab w:val="left" w:pos="851"/>
        </w:tabs>
        <w:ind w:left="851"/>
        <w:rPr>
          <w:bCs/>
          <w:sz w:val="24"/>
          <w:szCs w:val="24"/>
          <w:u w:val="single"/>
        </w:rPr>
      </w:pPr>
      <w:r w:rsidRPr="00CD01F5">
        <w:rPr>
          <w:bCs/>
          <w:sz w:val="24"/>
          <w:szCs w:val="24"/>
          <w:u w:val="single"/>
        </w:rPr>
        <w:t>Håndtering</w:t>
      </w:r>
    </w:p>
    <w:p w14:paraId="2ABF547C" w14:textId="77777777" w:rsidR="00CD01F5" w:rsidRPr="00CD01F5" w:rsidRDefault="00CD01F5" w:rsidP="00CD01F5">
      <w:pPr>
        <w:tabs>
          <w:tab w:val="left" w:pos="851"/>
        </w:tabs>
        <w:ind w:left="851"/>
        <w:rPr>
          <w:sz w:val="24"/>
          <w:szCs w:val="24"/>
        </w:rPr>
      </w:pPr>
      <w:r w:rsidRPr="00CD01F5">
        <w:rPr>
          <w:sz w:val="24"/>
          <w:szCs w:val="24"/>
        </w:rPr>
        <w:t>Øjeblikkelig behandling er altafgørende ved håndtering af overdosering af paracetamol. Selvom der ikke er betydelige symptomer til at starte med, bør patienten henvises til akut lægehjælp på hospitalet. Symptomerne kan være begrænset til kvalme og opkastning og afspejler ikke nødvendigvis sværhedsgraden af overdosering eller risikoen for organskade.</w:t>
      </w:r>
    </w:p>
    <w:p w14:paraId="0918E25E" w14:textId="77777777" w:rsidR="00CD01F5" w:rsidRPr="00CD01F5" w:rsidRDefault="00CD01F5" w:rsidP="00CD01F5">
      <w:pPr>
        <w:tabs>
          <w:tab w:val="left" w:pos="851"/>
        </w:tabs>
        <w:ind w:left="851"/>
        <w:rPr>
          <w:sz w:val="24"/>
          <w:szCs w:val="24"/>
        </w:rPr>
      </w:pPr>
      <w:r w:rsidRPr="00CD01F5">
        <w:rPr>
          <w:sz w:val="24"/>
          <w:szCs w:val="24"/>
        </w:rPr>
        <w:t>Overdosering skal håndteres i overensstemmelse med fastlagte behandlingsretningslinjer.</w:t>
      </w:r>
    </w:p>
    <w:p w14:paraId="1AB0ECA8" w14:textId="77777777" w:rsidR="00CD01F5" w:rsidRPr="00CD01F5" w:rsidRDefault="00CD01F5" w:rsidP="00CD01F5">
      <w:pPr>
        <w:tabs>
          <w:tab w:val="left" w:pos="851"/>
        </w:tabs>
        <w:ind w:left="851"/>
        <w:rPr>
          <w:sz w:val="24"/>
          <w:szCs w:val="24"/>
        </w:rPr>
      </w:pPr>
    </w:p>
    <w:p w14:paraId="1073A337" w14:textId="77777777" w:rsidR="00B748F4" w:rsidRDefault="00CD01F5" w:rsidP="00B748F4">
      <w:pPr>
        <w:tabs>
          <w:tab w:val="left" w:pos="851"/>
        </w:tabs>
        <w:ind w:left="851"/>
        <w:rPr>
          <w:sz w:val="24"/>
          <w:szCs w:val="24"/>
        </w:rPr>
      </w:pPr>
      <w:r w:rsidRPr="00CD01F5">
        <w:rPr>
          <w:sz w:val="24"/>
          <w:szCs w:val="24"/>
        </w:rPr>
        <w:t xml:space="preserve">Behandling med aktiveret kul bør overvejes, hvis overdoseringen er sket inden for den sidste time. Plasmakoncentrationen af paracetamol bør måles 4 timer efter indtagelse eller senere (koncentrationen er ikke pålidelig før). Der kan gives behandling med </w:t>
      </w:r>
    </w:p>
    <w:p w14:paraId="3F493D53" w14:textId="77777777" w:rsidR="00CD01F5" w:rsidRDefault="00CD01F5" w:rsidP="00B748F4">
      <w:pPr>
        <w:tabs>
          <w:tab w:val="left" w:pos="851"/>
        </w:tabs>
        <w:ind w:left="851"/>
        <w:rPr>
          <w:sz w:val="24"/>
          <w:szCs w:val="24"/>
        </w:rPr>
      </w:pPr>
      <w:r w:rsidRPr="00CD01F5">
        <w:rPr>
          <w:sz w:val="24"/>
          <w:szCs w:val="24"/>
        </w:rPr>
        <w:t>N-</w:t>
      </w:r>
      <w:proofErr w:type="spellStart"/>
      <w:r w:rsidRPr="00CD01F5">
        <w:rPr>
          <w:sz w:val="24"/>
          <w:szCs w:val="24"/>
        </w:rPr>
        <w:t>acetylcystein</w:t>
      </w:r>
      <w:proofErr w:type="spellEnd"/>
      <w:r w:rsidRPr="00CD01F5">
        <w:rPr>
          <w:sz w:val="24"/>
          <w:szCs w:val="24"/>
        </w:rPr>
        <w:t xml:space="preserve"> i op til 24 timer efter indtagelse af paracetamol, men den maksimale beskyttende virkning opnås inden for 8 timer efter indtagelse. Herefter falder </w:t>
      </w:r>
      <w:proofErr w:type="spellStart"/>
      <w:r w:rsidRPr="00CD01F5">
        <w:rPr>
          <w:sz w:val="24"/>
          <w:szCs w:val="24"/>
        </w:rPr>
        <w:t>antidotets</w:t>
      </w:r>
      <w:proofErr w:type="spellEnd"/>
      <w:r w:rsidRPr="00CD01F5">
        <w:rPr>
          <w:sz w:val="24"/>
          <w:szCs w:val="24"/>
        </w:rPr>
        <w:t xml:space="preserve"> virkning drastisk. Om nødvendigt bør patienten have intravenøst N-</w:t>
      </w:r>
      <w:proofErr w:type="spellStart"/>
      <w:r w:rsidRPr="00CD01F5">
        <w:rPr>
          <w:sz w:val="24"/>
          <w:szCs w:val="24"/>
        </w:rPr>
        <w:t>acetylcystein</w:t>
      </w:r>
      <w:proofErr w:type="spellEnd"/>
      <w:r w:rsidRPr="00CD01F5">
        <w:rPr>
          <w:sz w:val="24"/>
          <w:szCs w:val="24"/>
        </w:rPr>
        <w:t xml:space="preserve"> i henhold til det fastlagte doseringsskema. Hvis opkastning ikke er et problem, kan oralt </w:t>
      </w:r>
      <w:proofErr w:type="spellStart"/>
      <w:r w:rsidRPr="00CD01F5">
        <w:rPr>
          <w:sz w:val="24"/>
          <w:szCs w:val="24"/>
        </w:rPr>
        <w:t>methionin</w:t>
      </w:r>
      <w:proofErr w:type="spellEnd"/>
      <w:r w:rsidRPr="00CD01F5">
        <w:rPr>
          <w:sz w:val="24"/>
          <w:szCs w:val="24"/>
        </w:rPr>
        <w:t xml:space="preserve"> være et velegnet alternativ i afsidesliggende områder uden for hospitalsregi. Håndteringen af patienter, der henvender sig med alvorlig </w:t>
      </w:r>
      <w:proofErr w:type="spellStart"/>
      <w:r w:rsidRPr="00CD01F5">
        <w:rPr>
          <w:sz w:val="24"/>
          <w:szCs w:val="24"/>
        </w:rPr>
        <w:t>hepatisk</w:t>
      </w:r>
      <w:proofErr w:type="spellEnd"/>
      <w:r w:rsidRPr="00CD01F5">
        <w:rPr>
          <w:sz w:val="24"/>
          <w:szCs w:val="24"/>
        </w:rPr>
        <w:t xml:space="preserve"> dysfunktion mere end 24 timer efter indtagelsen, bør drøftes med giftinformationscentralen eller et leverafsnit. Dialyse kan reducere plasmakoncentrationen af paracetamol.</w:t>
      </w:r>
    </w:p>
    <w:p w14:paraId="77C26E28" w14:textId="77777777" w:rsidR="00B748F4" w:rsidRPr="00CD01F5" w:rsidRDefault="00B748F4" w:rsidP="00B748F4">
      <w:pPr>
        <w:tabs>
          <w:tab w:val="left" w:pos="851"/>
        </w:tabs>
        <w:ind w:left="851"/>
        <w:rPr>
          <w:sz w:val="24"/>
          <w:szCs w:val="24"/>
        </w:rPr>
      </w:pPr>
    </w:p>
    <w:p w14:paraId="7908E45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52C1E4A" w14:textId="77777777" w:rsidR="009260DE" w:rsidRPr="00C84483" w:rsidRDefault="00FB183A" w:rsidP="009260DE">
      <w:pPr>
        <w:tabs>
          <w:tab w:val="left" w:pos="851"/>
        </w:tabs>
        <w:ind w:left="851"/>
        <w:rPr>
          <w:sz w:val="24"/>
          <w:szCs w:val="24"/>
        </w:rPr>
      </w:pPr>
      <w:r>
        <w:rPr>
          <w:sz w:val="24"/>
          <w:szCs w:val="24"/>
        </w:rPr>
        <w:t>B</w:t>
      </w:r>
    </w:p>
    <w:p w14:paraId="6892EA80" w14:textId="77777777" w:rsidR="009260DE" w:rsidRPr="00C84483" w:rsidRDefault="009260DE" w:rsidP="009260DE">
      <w:pPr>
        <w:tabs>
          <w:tab w:val="left" w:pos="851"/>
        </w:tabs>
        <w:ind w:left="851"/>
        <w:rPr>
          <w:sz w:val="24"/>
          <w:szCs w:val="24"/>
        </w:rPr>
      </w:pPr>
    </w:p>
    <w:p w14:paraId="673B26BC" w14:textId="77777777" w:rsidR="009260DE" w:rsidRPr="00C84483" w:rsidRDefault="009260DE" w:rsidP="009260DE">
      <w:pPr>
        <w:tabs>
          <w:tab w:val="left" w:pos="851"/>
        </w:tabs>
        <w:ind w:left="851"/>
        <w:rPr>
          <w:sz w:val="24"/>
          <w:szCs w:val="24"/>
        </w:rPr>
      </w:pPr>
    </w:p>
    <w:p w14:paraId="6349EC43" w14:textId="77777777" w:rsidR="00F35069" w:rsidRPr="00B748F4" w:rsidRDefault="009260DE" w:rsidP="00B748F4">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5F9AABF" w14:textId="77777777" w:rsidR="009260DE" w:rsidRPr="00C84483" w:rsidRDefault="009260DE" w:rsidP="009260DE">
      <w:pPr>
        <w:tabs>
          <w:tab w:val="left" w:pos="851"/>
        </w:tabs>
        <w:ind w:left="851"/>
        <w:rPr>
          <w:sz w:val="24"/>
          <w:szCs w:val="24"/>
        </w:rPr>
      </w:pPr>
    </w:p>
    <w:p w14:paraId="76182425" w14:textId="77777777" w:rsidR="009260DE"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72F9994" w14:textId="77777777" w:rsidR="00B748F4" w:rsidRDefault="00B748F4" w:rsidP="009260DE">
      <w:pPr>
        <w:tabs>
          <w:tab w:val="num" w:pos="851"/>
        </w:tabs>
        <w:ind w:left="851" w:hanging="851"/>
        <w:rPr>
          <w:sz w:val="24"/>
          <w:szCs w:val="24"/>
        </w:rPr>
      </w:pPr>
      <w:r>
        <w:rPr>
          <w:sz w:val="24"/>
          <w:szCs w:val="24"/>
        </w:rPr>
        <w:tab/>
      </w:r>
      <w:proofErr w:type="spellStart"/>
      <w:r w:rsidRPr="00F35069">
        <w:rPr>
          <w:sz w:val="24"/>
          <w:szCs w:val="24"/>
        </w:rPr>
        <w:t>Analgetika</w:t>
      </w:r>
      <w:proofErr w:type="spellEnd"/>
      <w:r w:rsidRPr="00F35069">
        <w:rPr>
          <w:sz w:val="24"/>
          <w:szCs w:val="24"/>
        </w:rPr>
        <w:t xml:space="preserve">, andre </w:t>
      </w:r>
      <w:proofErr w:type="spellStart"/>
      <w:r w:rsidRPr="00F35069">
        <w:rPr>
          <w:sz w:val="24"/>
          <w:szCs w:val="24"/>
        </w:rPr>
        <w:t>analgetika</w:t>
      </w:r>
      <w:proofErr w:type="spellEnd"/>
      <w:r w:rsidRPr="00F35069">
        <w:rPr>
          <w:sz w:val="24"/>
          <w:szCs w:val="24"/>
        </w:rPr>
        <w:t xml:space="preserve"> og </w:t>
      </w:r>
      <w:proofErr w:type="spellStart"/>
      <w:r w:rsidRPr="00F35069">
        <w:rPr>
          <w:sz w:val="24"/>
          <w:szCs w:val="24"/>
        </w:rPr>
        <w:t>antipyretika</w:t>
      </w:r>
      <w:proofErr w:type="spellEnd"/>
      <w:r w:rsidRPr="00F35069">
        <w:rPr>
          <w:sz w:val="24"/>
          <w:szCs w:val="24"/>
        </w:rPr>
        <w:t>, anilider</w:t>
      </w:r>
      <w:r>
        <w:rPr>
          <w:sz w:val="24"/>
          <w:szCs w:val="24"/>
        </w:rPr>
        <w:t xml:space="preserve">. </w:t>
      </w:r>
      <w:r w:rsidRPr="00F35069">
        <w:rPr>
          <w:sz w:val="24"/>
          <w:szCs w:val="24"/>
        </w:rPr>
        <w:t>ATC-kode: N</w:t>
      </w:r>
      <w:r>
        <w:rPr>
          <w:sz w:val="24"/>
          <w:szCs w:val="24"/>
        </w:rPr>
        <w:t xml:space="preserve"> </w:t>
      </w:r>
      <w:r w:rsidRPr="00F35069">
        <w:rPr>
          <w:sz w:val="24"/>
          <w:szCs w:val="24"/>
        </w:rPr>
        <w:t>02</w:t>
      </w:r>
      <w:r>
        <w:rPr>
          <w:sz w:val="24"/>
          <w:szCs w:val="24"/>
        </w:rPr>
        <w:t xml:space="preserve"> </w:t>
      </w:r>
      <w:r w:rsidRPr="00F35069">
        <w:rPr>
          <w:sz w:val="24"/>
          <w:szCs w:val="24"/>
        </w:rPr>
        <w:t>BE</w:t>
      </w:r>
      <w:r>
        <w:rPr>
          <w:sz w:val="24"/>
          <w:szCs w:val="24"/>
        </w:rPr>
        <w:t xml:space="preserve"> </w:t>
      </w:r>
      <w:r w:rsidRPr="00F35069">
        <w:rPr>
          <w:sz w:val="24"/>
          <w:szCs w:val="24"/>
        </w:rPr>
        <w:t>01</w:t>
      </w:r>
      <w:r>
        <w:rPr>
          <w:sz w:val="24"/>
          <w:szCs w:val="24"/>
        </w:rPr>
        <w:t>.</w:t>
      </w:r>
    </w:p>
    <w:p w14:paraId="1823793E" w14:textId="77777777" w:rsidR="00B748F4" w:rsidRPr="00C84483" w:rsidRDefault="00B748F4" w:rsidP="009260DE">
      <w:pPr>
        <w:tabs>
          <w:tab w:val="num" w:pos="851"/>
        </w:tabs>
        <w:ind w:left="851" w:hanging="851"/>
        <w:rPr>
          <w:b/>
          <w:sz w:val="24"/>
          <w:szCs w:val="24"/>
        </w:rPr>
      </w:pPr>
    </w:p>
    <w:p w14:paraId="23EEF506" w14:textId="77777777" w:rsidR="00E63BE1" w:rsidRPr="00E63BE1" w:rsidRDefault="00E63BE1" w:rsidP="00E63BE1">
      <w:pPr>
        <w:tabs>
          <w:tab w:val="left" w:pos="851"/>
        </w:tabs>
        <w:ind w:left="851"/>
        <w:rPr>
          <w:sz w:val="24"/>
          <w:szCs w:val="24"/>
        </w:rPr>
      </w:pPr>
      <w:r w:rsidRPr="00E63BE1">
        <w:rPr>
          <w:sz w:val="24"/>
          <w:szCs w:val="24"/>
        </w:rPr>
        <w:t xml:space="preserve">Paracetamol har både analgetisk og </w:t>
      </w:r>
      <w:proofErr w:type="spellStart"/>
      <w:r w:rsidRPr="00E63BE1">
        <w:rPr>
          <w:sz w:val="24"/>
          <w:szCs w:val="24"/>
        </w:rPr>
        <w:t>antipyretisk</w:t>
      </w:r>
      <w:proofErr w:type="spellEnd"/>
      <w:r w:rsidRPr="00E63BE1">
        <w:rPr>
          <w:sz w:val="24"/>
          <w:szCs w:val="24"/>
        </w:rPr>
        <w:t xml:space="preserve"> virkning. Det har imidlertid ikke antiinflammatorisk virkning. Den analgetiske virkningsmekanisme er ikke fuldt belyst. Den primære virkning af paracetamol er hæmning af </w:t>
      </w:r>
      <w:proofErr w:type="spellStart"/>
      <w:r w:rsidRPr="00E63BE1">
        <w:rPr>
          <w:sz w:val="24"/>
          <w:szCs w:val="24"/>
        </w:rPr>
        <w:t>cyclooxygenase</w:t>
      </w:r>
      <w:proofErr w:type="spellEnd"/>
      <w:r w:rsidRPr="00E63BE1">
        <w:rPr>
          <w:sz w:val="24"/>
          <w:szCs w:val="24"/>
        </w:rPr>
        <w:t xml:space="preserve">, som er et enzym, der er vigtigt for </w:t>
      </w:r>
      <w:proofErr w:type="spellStart"/>
      <w:r w:rsidRPr="00E63BE1">
        <w:rPr>
          <w:sz w:val="24"/>
          <w:szCs w:val="24"/>
        </w:rPr>
        <w:t>prostaglandinsyntesen</w:t>
      </w:r>
      <w:proofErr w:type="spellEnd"/>
      <w:r w:rsidRPr="00E63BE1">
        <w:rPr>
          <w:sz w:val="24"/>
          <w:szCs w:val="24"/>
        </w:rPr>
        <w:t xml:space="preserve">. </w:t>
      </w:r>
      <w:proofErr w:type="spellStart"/>
      <w:r w:rsidRPr="00E63BE1">
        <w:rPr>
          <w:sz w:val="24"/>
          <w:szCs w:val="24"/>
        </w:rPr>
        <w:t>Cyclooxygenase</w:t>
      </w:r>
      <w:proofErr w:type="spellEnd"/>
      <w:r w:rsidRPr="00E63BE1">
        <w:rPr>
          <w:sz w:val="24"/>
          <w:szCs w:val="24"/>
        </w:rPr>
        <w:t xml:space="preserve"> i centralnervesystemet er mere følsomt over for paracetamol end perifer </w:t>
      </w:r>
      <w:proofErr w:type="spellStart"/>
      <w:r w:rsidRPr="00E63BE1">
        <w:rPr>
          <w:sz w:val="24"/>
          <w:szCs w:val="24"/>
        </w:rPr>
        <w:t>cyclooxygenase</w:t>
      </w:r>
      <w:proofErr w:type="spellEnd"/>
      <w:r w:rsidRPr="00E63BE1">
        <w:rPr>
          <w:sz w:val="24"/>
          <w:szCs w:val="24"/>
        </w:rPr>
        <w:t xml:space="preserve">, og det er grunden til, at paracetamol har </w:t>
      </w:r>
      <w:proofErr w:type="spellStart"/>
      <w:r w:rsidRPr="00E63BE1">
        <w:rPr>
          <w:sz w:val="24"/>
          <w:szCs w:val="24"/>
        </w:rPr>
        <w:t>antipyretisk</w:t>
      </w:r>
      <w:proofErr w:type="spellEnd"/>
      <w:r w:rsidRPr="00E63BE1">
        <w:rPr>
          <w:sz w:val="24"/>
          <w:szCs w:val="24"/>
        </w:rPr>
        <w:t xml:space="preserve"> og analgetisk virkning. Paracetamol frembringer sandsynligvis </w:t>
      </w:r>
      <w:proofErr w:type="spellStart"/>
      <w:r w:rsidRPr="00E63BE1">
        <w:rPr>
          <w:sz w:val="24"/>
          <w:szCs w:val="24"/>
        </w:rPr>
        <w:t>antipyrese</w:t>
      </w:r>
      <w:proofErr w:type="spellEnd"/>
      <w:r w:rsidRPr="00E63BE1">
        <w:rPr>
          <w:sz w:val="24"/>
          <w:szCs w:val="24"/>
        </w:rPr>
        <w:t xml:space="preserve">, fordi det virker centralt på varmereguleringscentret i </w:t>
      </w:r>
      <w:proofErr w:type="spellStart"/>
      <w:r w:rsidRPr="00E63BE1">
        <w:rPr>
          <w:sz w:val="24"/>
          <w:szCs w:val="24"/>
        </w:rPr>
        <w:t>hypothalamus</w:t>
      </w:r>
      <w:proofErr w:type="spellEnd"/>
      <w:r w:rsidRPr="00E63BE1">
        <w:rPr>
          <w:sz w:val="24"/>
          <w:szCs w:val="24"/>
        </w:rPr>
        <w:t>.</w:t>
      </w:r>
    </w:p>
    <w:p w14:paraId="213AB52F" w14:textId="77777777" w:rsidR="009260DE" w:rsidRPr="00C84483" w:rsidRDefault="009260DE" w:rsidP="009260DE">
      <w:pPr>
        <w:tabs>
          <w:tab w:val="left" w:pos="851"/>
        </w:tabs>
        <w:ind w:left="851"/>
        <w:rPr>
          <w:sz w:val="24"/>
          <w:szCs w:val="24"/>
        </w:rPr>
      </w:pPr>
    </w:p>
    <w:p w14:paraId="644582EB"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59BC7013" w14:textId="77777777" w:rsidR="0027178E" w:rsidRPr="001603C5" w:rsidRDefault="0027178E" w:rsidP="0027178E">
      <w:pPr>
        <w:tabs>
          <w:tab w:val="left" w:pos="851"/>
        </w:tabs>
        <w:ind w:left="851"/>
        <w:rPr>
          <w:b/>
          <w:sz w:val="24"/>
          <w:szCs w:val="24"/>
        </w:rPr>
      </w:pPr>
    </w:p>
    <w:p w14:paraId="2D2468AA" w14:textId="77777777" w:rsidR="0027178E" w:rsidRPr="0027178E" w:rsidRDefault="0027178E" w:rsidP="0027178E">
      <w:pPr>
        <w:tabs>
          <w:tab w:val="left" w:pos="851"/>
        </w:tabs>
        <w:ind w:left="851"/>
        <w:rPr>
          <w:sz w:val="24"/>
          <w:szCs w:val="24"/>
          <w:u w:val="single"/>
        </w:rPr>
      </w:pPr>
      <w:r w:rsidRPr="0027178E">
        <w:rPr>
          <w:sz w:val="24"/>
          <w:szCs w:val="24"/>
          <w:u w:val="single"/>
        </w:rPr>
        <w:t>Absorption</w:t>
      </w:r>
    </w:p>
    <w:p w14:paraId="68CFFA7A" w14:textId="77777777" w:rsidR="0027178E" w:rsidRPr="0027178E" w:rsidRDefault="0027178E" w:rsidP="0027178E">
      <w:pPr>
        <w:tabs>
          <w:tab w:val="left" w:pos="851"/>
        </w:tabs>
        <w:ind w:left="851"/>
        <w:rPr>
          <w:sz w:val="24"/>
          <w:szCs w:val="24"/>
        </w:rPr>
      </w:pPr>
      <w:r w:rsidRPr="0027178E">
        <w:rPr>
          <w:sz w:val="24"/>
          <w:szCs w:val="24"/>
        </w:rPr>
        <w:t xml:space="preserve">Paracetamol absorberes hurtigt og næsten fuldstændigt fra fordøjelseskanalen. Den maksimale plasmakoncentration indtræder 30 minutter til to timer efter oral administration. </w:t>
      </w:r>
    </w:p>
    <w:p w14:paraId="0DC9076B" w14:textId="77777777" w:rsidR="0027178E" w:rsidRPr="0027178E" w:rsidRDefault="0027178E" w:rsidP="0027178E">
      <w:pPr>
        <w:tabs>
          <w:tab w:val="left" w:pos="851"/>
        </w:tabs>
        <w:ind w:left="851"/>
        <w:rPr>
          <w:sz w:val="24"/>
          <w:szCs w:val="24"/>
        </w:rPr>
      </w:pPr>
    </w:p>
    <w:p w14:paraId="742E5954" w14:textId="77777777" w:rsidR="0027178E" w:rsidRPr="0027178E" w:rsidRDefault="0027178E" w:rsidP="0027178E">
      <w:pPr>
        <w:tabs>
          <w:tab w:val="left" w:pos="851"/>
        </w:tabs>
        <w:ind w:left="851"/>
        <w:rPr>
          <w:sz w:val="24"/>
          <w:szCs w:val="24"/>
          <w:u w:val="single"/>
        </w:rPr>
      </w:pPr>
      <w:r w:rsidRPr="0027178E">
        <w:rPr>
          <w:sz w:val="24"/>
          <w:szCs w:val="24"/>
          <w:u w:val="single"/>
        </w:rPr>
        <w:t>Fordeling</w:t>
      </w:r>
    </w:p>
    <w:p w14:paraId="3125D3F8" w14:textId="77777777" w:rsidR="0027178E" w:rsidRPr="0027178E" w:rsidRDefault="0027178E" w:rsidP="0027178E">
      <w:pPr>
        <w:tabs>
          <w:tab w:val="left" w:pos="851"/>
        </w:tabs>
        <w:ind w:left="851"/>
        <w:rPr>
          <w:sz w:val="24"/>
          <w:szCs w:val="24"/>
        </w:rPr>
      </w:pPr>
      <w:r w:rsidRPr="0027178E">
        <w:rPr>
          <w:sz w:val="24"/>
          <w:szCs w:val="24"/>
        </w:rPr>
        <w:t xml:space="preserve">Paracetamol fordeles hurtigt til væv med ensartede koncentrationer i blod, plasma og </w:t>
      </w:r>
      <w:proofErr w:type="spellStart"/>
      <w:r w:rsidRPr="0027178E">
        <w:rPr>
          <w:sz w:val="24"/>
          <w:szCs w:val="24"/>
        </w:rPr>
        <w:t>saliva</w:t>
      </w:r>
      <w:proofErr w:type="spellEnd"/>
      <w:r w:rsidRPr="0027178E">
        <w:rPr>
          <w:sz w:val="24"/>
          <w:szCs w:val="24"/>
        </w:rPr>
        <w:t xml:space="preserve">. Fordelingsvoluminet er cirka 1 l/kg legemsvægt.  Ved terapeutiske doser er proteinbindingen lav. </w:t>
      </w:r>
    </w:p>
    <w:p w14:paraId="13418CAA" w14:textId="77777777" w:rsidR="0027178E" w:rsidRPr="0027178E" w:rsidRDefault="0027178E" w:rsidP="0027178E">
      <w:pPr>
        <w:tabs>
          <w:tab w:val="left" w:pos="851"/>
        </w:tabs>
        <w:ind w:left="851"/>
        <w:rPr>
          <w:sz w:val="24"/>
          <w:szCs w:val="24"/>
        </w:rPr>
      </w:pPr>
    </w:p>
    <w:p w14:paraId="54BE18BE" w14:textId="77777777" w:rsidR="0027178E" w:rsidRPr="0027178E" w:rsidRDefault="0027178E" w:rsidP="0027178E">
      <w:pPr>
        <w:tabs>
          <w:tab w:val="left" w:pos="851"/>
        </w:tabs>
        <w:ind w:left="851"/>
        <w:rPr>
          <w:sz w:val="24"/>
          <w:szCs w:val="24"/>
          <w:u w:val="single"/>
        </w:rPr>
      </w:pPr>
      <w:r w:rsidRPr="0027178E">
        <w:rPr>
          <w:sz w:val="24"/>
          <w:szCs w:val="24"/>
          <w:u w:val="single"/>
        </w:rPr>
        <w:lastRenderedPageBreak/>
        <w:t>Biotransformation</w:t>
      </w:r>
    </w:p>
    <w:p w14:paraId="1BC819B3" w14:textId="77777777" w:rsidR="0027178E" w:rsidRPr="0027178E" w:rsidRDefault="0027178E" w:rsidP="0027178E">
      <w:pPr>
        <w:tabs>
          <w:tab w:val="left" w:pos="851"/>
        </w:tabs>
        <w:ind w:left="851"/>
        <w:rPr>
          <w:sz w:val="24"/>
          <w:szCs w:val="24"/>
        </w:rPr>
      </w:pPr>
      <w:r w:rsidRPr="0027178E">
        <w:rPr>
          <w:sz w:val="24"/>
          <w:szCs w:val="24"/>
        </w:rPr>
        <w:t xml:space="preserve">Paracetamol </w:t>
      </w:r>
      <w:proofErr w:type="spellStart"/>
      <w:r w:rsidRPr="0027178E">
        <w:rPr>
          <w:sz w:val="24"/>
          <w:szCs w:val="24"/>
        </w:rPr>
        <w:t>metaboliseres</w:t>
      </w:r>
      <w:proofErr w:type="spellEnd"/>
      <w:r w:rsidRPr="0027178E">
        <w:rPr>
          <w:sz w:val="24"/>
          <w:szCs w:val="24"/>
        </w:rPr>
        <w:t xml:space="preserve"> primært via leveren til to </w:t>
      </w:r>
      <w:proofErr w:type="gramStart"/>
      <w:r w:rsidRPr="0027178E">
        <w:rPr>
          <w:sz w:val="24"/>
          <w:szCs w:val="24"/>
        </w:rPr>
        <w:t>hovedmetabolitter  –</w:t>
      </w:r>
      <w:proofErr w:type="gramEnd"/>
      <w:r w:rsidRPr="0027178E">
        <w:rPr>
          <w:sz w:val="24"/>
          <w:szCs w:val="24"/>
        </w:rPr>
        <w:t xml:space="preserve"> </w:t>
      </w:r>
      <w:proofErr w:type="spellStart"/>
      <w:r w:rsidRPr="0027178E">
        <w:rPr>
          <w:sz w:val="24"/>
          <w:szCs w:val="24"/>
        </w:rPr>
        <w:t>glucuronid</w:t>
      </w:r>
      <w:proofErr w:type="spellEnd"/>
      <w:r w:rsidRPr="0027178E">
        <w:rPr>
          <w:sz w:val="24"/>
          <w:szCs w:val="24"/>
        </w:rPr>
        <w:t xml:space="preserve"> og sulfat. En mindre del </w:t>
      </w:r>
      <w:proofErr w:type="spellStart"/>
      <w:r w:rsidRPr="0027178E">
        <w:rPr>
          <w:sz w:val="24"/>
          <w:szCs w:val="24"/>
        </w:rPr>
        <w:t>metaboliseres</w:t>
      </w:r>
      <w:proofErr w:type="spellEnd"/>
      <w:r w:rsidRPr="0027178E">
        <w:rPr>
          <w:sz w:val="24"/>
          <w:szCs w:val="24"/>
        </w:rPr>
        <w:t xml:space="preserve"> via </w:t>
      </w:r>
      <w:proofErr w:type="spellStart"/>
      <w:r w:rsidRPr="0027178E">
        <w:rPr>
          <w:sz w:val="24"/>
          <w:szCs w:val="24"/>
        </w:rPr>
        <w:t>cytochrom</w:t>
      </w:r>
      <w:proofErr w:type="spellEnd"/>
      <w:r w:rsidRPr="0027178E">
        <w:rPr>
          <w:sz w:val="24"/>
          <w:szCs w:val="24"/>
        </w:rPr>
        <w:t> P450 (primært CYP2E1) til N-acetyl-p-</w:t>
      </w:r>
      <w:proofErr w:type="spellStart"/>
      <w:r w:rsidRPr="0027178E">
        <w:rPr>
          <w:sz w:val="24"/>
          <w:szCs w:val="24"/>
        </w:rPr>
        <w:t>benzoquinoneimin</w:t>
      </w:r>
      <w:proofErr w:type="spellEnd"/>
      <w:r w:rsidRPr="0027178E">
        <w:rPr>
          <w:sz w:val="24"/>
          <w:szCs w:val="24"/>
        </w:rPr>
        <w:t xml:space="preserve">, som hurtigt konjugeres med </w:t>
      </w:r>
      <w:proofErr w:type="spellStart"/>
      <w:r w:rsidRPr="0027178E">
        <w:rPr>
          <w:sz w:val="24"/>
          <w:szCs w:val="24"/>
        </w:rPr>
        <w:t>glutathion</w:t>
      </w:r>
      <w:proofErr w:type="spellEnd"/>
      <w:r w:rsidRPr="0027178E">
        <w:rPr>
          <w:sz w:val="24"/>
          <w:szCs w:val="24"/>
        </w:rPr>
        <w:t xml:space="preserve"> og udskilles i urinen som </w:t>
      </w:r>
      <w:proofErr w:type="spellStart"/>
      <w:r w:rsidRPr="0027178E">
        <w:rPr>
          <w:sz w:val="24"/>
          <w:szCs w:val="24"/>
        </w:rPr>
        <w:t>mercaptursyre</w:t>
      </w:r>
      <w:proofErr w:type="spellEnd"/>
      <w:r w:rsidRPr="0027178E">
        <w:rPr>
          <w:sz w:val="24"/>
          <w:szCs w:val="24"/>
        </w:rPr>
        <w:t xml:space="preserve"> og </w:t>
      </w:r>
      <w:proofErr w:type="spellStart"/>
      <w:r w:rsidRPr="0027178E">
        <w:rPr>
          <w:sz w:val="24"/>
          <w:szCs w:val="24"/>
        </w:rPr>
        <w:t>cystein</w:t>
      </w:r>
      <w:proofErr w:type="spellEnd"/>
      <w:r w:rsidRPr="0027178E">
        <w:rPr>
          <w:sz w:val="24"/>
          <w:szCs w:val="24"/>
        </w:rPr>
        <w:t xml:space="preserve">. </w:t>
      </w:r>
    </w:p>
    <w:p w14:paraId="668EB859" w14:textId="77777777" w:rsidR="0027178E" w:rsidRPr="0027178E" w:rsidRDefault="0027178E" w:rsidP="0027178E">
      <w:pPr>
        <w:tabs>
          <w:tab w:val="left" w:pos="851"/>
        </w:tabs>
        <w:ind w:left="851"/>
        <w:rPr>
          <w:sz w:val="24"/>
          <w:szCs w:val="24"/>
        </w:rPr>
      </w:pPr>
    </w:p>
    <w:p w14:paraId="0C4323C0" w14:textId="77777777" w:rsidR="0027178E" w:rsidRPr="0027178E" w:rsidRDefault="0027178E" w:rsidP="0027178E">
      <w:pPr>
        <w:tabs>
          <w:tab w:val="left" w:pos="851"/>
        </w:tabs>
        <w:ind w:left="851"/>
        <w:rPr>
          <w:sz w:val="24"/>
          <w:szCs w:val="24"/>
          <w:u w:val="single"/>
        </w:rPr>
      </w:pPr>
      <w:r w:rsidRPr="0027178E">
        <w:rPr>
          <w:sz w:val="24"/>
          <w:szCs w:val="24"/>
          <w:u w:val="single"/>
        </w:rPr>
        <w:t>Elimination</w:t>
      </w:r>
    </w:p>
    <w:p w14:paraId="06BF2211" w14:textId="77777777" w:rsidR="0027178E" w:rsidRPr="0027178E" w:rsidRDefault="0027178E" w:rsidP="0027178E">
      <w:pPr>
        <w:tabs>
          <w:tab w:val="left" w:pos="851"/>
        </w:tabs>
        <w:ind w:left="851"/>
        <w:rPr>
          <w:sz w:val="24"/>
          <w:szCs w:val="24"/>
        </w:rPr>
      </w:pPr>
      <w:r w:rsidRPr="0027178E">
        <w:rPr>
          <w:sz w:val="24"/>
          <w:szCs w:val="24"/>
        </w:rPr>
        <w:t xml:space="preserve">Paracetamol udskilles primært via urinen, fortrinsvis som </w:t>
      </w:r>
      <w:proofErr w:type="spellStart"/>
      <w:r w:rsidRPr="0027178E">
        <w:rPr>
          <w:sz w:val="24"/>
          <w:szCs w:val="24"/>
        </w:rPr>
        <w:t>glucuronid</w:t>
      </w:r>
      <w:proofErr w:type="spellEnd"/>
      <w:r w:rsidRPr="0027178E">
        <w:rPr>
          <w:sz w:val="24"/>
          <w:szCs w:val="24"/>
        </w:rPr>
        <w:t xml:space="preserve"> og </w:t>
      </w:r>
      <w:proofErr w:type="spellStart"/>
      <w:r w:rsidRPr="0027178E">
        <w:rPr>
          <w:sz w:val="24"/>
          <w:szCs w:val="24"/>
        </w:rPr>
        <w:t>sulfatkonjugater</w:t>
      </w:r>
      <w:proofErr w:type="spellEnd"/>
      <w:r w:rsidRPr="0027178E">
        <w:rPr>
          <w:sz w:val="24"/>
          <w:szCs w:val="24"/>
        </w:rPr>
        <w:t xml:space="preserve">, idet ca. 10 % udskilles som </w:t>
      </w:r>
      <w:proofErr w:type="spellStart"/>
      <w:r w:rsidRPr="0027178E">
        <w:rPr>
          <w:sz w:val="24"/>
          <w:szCs w:val="24"/>
        </w:rPr>
        <w:t>glutathionkonjugater</w:t>
      </w:r>
      <w:proofErr w:type="spellEnd"/>
      <w:r w:rsidRPr="0027178E">
        <w:rPr>
          <w:sz w:val="24"/>
          <w:szCs w:val="24"/>
        </w:rPr>
        <w:t xml:space="preserve">. Mindre end 5 % udskilles som </w:t>
      </w:r>
      <w:proofErr w:type="spellStart"/>
      <w:r w:rsidRPr="0027178E">
        <w:rPr>
          <w:sz w:val="24"/>
          <w:szCs w:val="24"/>
        </w:rPr>
        <w:t>uomdannet</w:t>
      </w:r>
      <w:proofErr w:type="spellEnd"/>
      <w:r w:rsidRPr="0027178E">
        <w:rPr>
          <w:sz w:val="24"/>
          <w:szCs w:val="24"/>
        </w:rPr>
        <w:t xml:space="preserve"> paracetamol. Eliminationshalveringstiden varierer fra cirka 1 time til 4 timer. </w:t>
      </w:r>
    </w:p>
    <w:p w14:paraId="6D8AAB2F" w14:textId="77777777" w:rsidR="0027178E" w:rsidRPr="0027178E" w:rsidRDefault="0027178E" w:rsidP="0027178E">
      <w:pPr>
        <w:tabs>
          <w:tab w:val="left" w:pos="851"/>
        </w:tabs>
        <w:ind w:left="851"/>
        <w:rPr>
          <w:sz w:val="24"/>
          <w:szCs w:val="24"/>
        </w:rPr>
      </w:pPr>
    </w:p>
    <w:p w14:paraId="7BD60F13" w14:textId="77777777" w:rsidR="0027178E" w:rsidRPr="0027178E" w:rsidRDefault="0027178E" w:rsidP="0027178E">
      <w:pPr>
        <w:tabs>
          <w:tab w:val="left" w:pos="851"/>
        </w:tabs>
        <w:ind w:left="851"/>
        <w:rPr>
          <w:sz w:val="24"/>
          <w:szCs w:val="24"/>
          <w:u w:val="single"/>
        </w:rPr>
      </w:pPr>
      <w:r w:rsidRPr="0027178E">
        <w:rPr>
          <w:sz w:val="24"/>
          <w:szCs w:val="24"/>
          <w:u w:val="single"/>
        </w:rPr>
        <w:t>Nedsat nyrefunktion</w:t>
      </w:r>
    </w:p>
    <w:p w14:paraId="5E0D4669" w14:textId="77777777" w:rsidR="0027178E" w:rsidRPr="0027178E" w:rsidRDefault="0027178E" w:rsidP="0027178E">
      <w:pPr>
        <w:tabs>
          <w:tab w:val="left" w:pos="851"/>
        </w:tabs>
        <w:ind w:left="851"/>
        <w:rPr>
          <w:sz w:val="24"/>
          <w:szCs w:val="24"/>
        </w:rPr>
      </w:pPr>
      <w:r w:rsidRPr="0027178E">
        <w:rPr>
          <w:sz w:val="24"/>
          <w:szCs w:val="24"/>
        </w:rPr>
        <w:t>Svært nedsat nyrefunktion (</w:t>
      </w:r>
      <w:proofErr w:type="spellStart"/>
      <w:r w:rsidRPr="0027178E">
        <w:rPr>
          <w:sz w:val="24"/>
          <w:szCs w:val="24"/>
        </w:rPr>
        <w:t>kreatininclearance</w:t>
      </w:r>
      <w:proofErr w:type="spellEnd"/>
      <w:r w:rsidRPr="0027178E">
        <w:rPr>
          <w:sz w:val="24"/>
          <w:szCs w:val="24"/>
        </w:rPr>
        <w:t xml:space="preserve"> under 10 ml/min) forsinker eliminationen af paracetamol og dets metabolitter.</w:t>
      </w:r>
    </w:p>
    <w:p w14:paraId="3E530362" w14:textId="77777777" w:rsidR="0027178E" w:rsidRPr="0027178E" w:rsidRDefault="0027178E" w:rsidP="0027178E">
      <w:pPr>
        <w:tabs>
          <w:tab w:val="left" w:pos="851"/>
        </w:tabs>
        <w:ind w:left="851"/>
        <w:rPr>
          <w:sz w:val="24"/>
          <w:szCs w:val="24"/>
        </w:rPr>
      </w:pPr>
    </w:p>
    <w:p w14:paraId="11B5AD42" w14:textId="77777777" w:rsidR="0027178E" w:rsidRPr="0027178E" w:rsidRDefault="0027178E" w:rsidP="0027178E">
      <w:pPr>
        <w:tabs>
          <w:tab w:val="left" w:pos="851"/>
        </w:tabs>
        <w:ind w:left="851"/>
        <w:rPr>
          <w:sz w:val="24"/>
          <w:szCs w:val="24"/>
          <w:u w:val="single"/>
        </w:rPr>
      </w:pPr>
      <w:r w:rsidRPr="0027178E">
        <w:rPr>
          <w:sz w:val="24"/>
          <w:szCs w:val="24"/>
          <w:u w:val="single"/>
        </w:rPr>
        <w:t xml:space="preserve">Ældre patienter </w:t>
      </w:r>
    </w:p>
    <w:p w14:paraId="01C46A9D" w14:textId="77777777" w:rsidR="0027178E" w:rsidRDefault="0027178E" w:rsidP="00B748F4">
      <w:pPr>
        <w:tabs>
          <w:tab w:val="left" w:pos="851"/>
        </w:tabs>
        <w:ind w:left="851"/>
        <w:rPr>
          <w:sz w:val="24"/>
          <w:szCs w:val="24"/>
        </w:rPr>
      </w:pPr>
      <w:r w:rsidRPr="0027178E">
        <w:rPr>
          <w:sz w:val="24"/>
          <w:szCs w:val="24"/>
        </w:rPr>
        <w:t xml:space="preserve">Konjugationen er uændret i denne patientgruppe. </w:t>
      </w:r>
    </w:p>
    <w:p w14:paraId="673AADE6" w14:textId="77777777" w:rsidR="0027178E" w:rsidRPr="0027178E" w:rsidRDefault="0027178E" w:rsidP="0027178E">
      <w:pPr>
        <w:tabs>
          <w:tab w:val="left" w:pos="851"/>
        </w:tabs>
        <w:ind w:left="851"/>
        <w:rPr>
          <w:sz w:val="24"/>
          <w:szCs w:val="24"/>
        </w:rPr>
      </w:pPr>
    </w:p>
    <w:p w14:paraId="512E387B" w14:textId="77777777" w:rsidR="0027178E" w:rsidRPr="0027178E" w:rsidRDefault="0027178E" w:rsidP="0027178E">
      <w:pPr>
        <w:tabs>
          <w:tab w:val="left" w:pos="851"/>
        </w:tabs>
        <w:ind w:left="851"/>
        <w:rPr>
          <w:sz w:val="24"/>
          <w:szCs w:val="24"/>
          <w:u w:val="single"/>
        </w:rPr>
      </w:pPr>
      <w:r w:rsidRPr="0027178E">
        <w:rPr>
          <w:sz w:val="24"/>
          <w:szCs w:val="24"/>
          <w:u w:val="single"/>
        </w:rPr>
        <w:t xml:space="preserve">Pædiatrisk population </w:t>
      </w:r>
    </w:p>
    <w:p w14:paraId="7539B50D" w14:textId="77777777" w:rsidR="0027178E" w:rsidRPr="0027178E" w:rsidRDefault="0027178E" w:rsidP="0027178E">
      <w:pPr>
        <w:tabs>
          <w:tab w:val="left" w:pos="851"/>
        </w:tabs>
        <w:ind w:left="851"/>
        <w:rPr>
          <w:sz w:val="24"/>
          <w:szCs w:val="24"/>
        </w:rPr>
      </w:pPr>
      <w:r w:rsidRPr="0027178E">
        <w:rPr>
          <w:sz w:val="24"/>
          <w:szCs w:val="24"/>
        </w:rPr>
        <w:t xml:space="preserve">Hos nyfødte og børn &lt; 12 år sker eliminationen primært via </w:t>
      </w:r>
      <w:proofErr w:type="spellStart"/>
      <w:r w:rsidRPr="0027178E">
        <w:rPr>
          <w:sz w:val="24"/>
          <w:szCs w:val="24"/>
        </w:rPr>
        <w:t>sulfatkonjugering</w:t>
      </w:r>
      <w:proofErr w:type="spellEnd"/>
      <w:r w:rsidRPr="0027178E">
        <w:rPr>
          <w:sz w:val="24"/>
          <w:szCs w:val="24"/>
        </w:rPr>
        <w:t xml:space="preserve">, og </w:t>
      </w:r>
      <w:proofErr w:type="spellStart"/>
      <w:r w:rsidRPr="0027178E">
        <w:rPr>
          <w:sz w:val="24"/>
          <w:szCs w:val="24"/>
        </w:rPr>
        <w:t>glucuronideringen</w:t>
      </w:r>
      <w:proofErr w:type="spellEnd"/>
      <w:r w:rsidRPr="0027178E">
        <w:rPr>
          <w:sz w:val="24"/>
          <w:szCs w:val="24"/>
        </w:rPr>
        <w:t xml:space="preserve"> er lavere end hos voksne. Den totale elimination hos børn er den samme som hos voksne som følge af den øgede kapacitet til </w:t>
      </w:r>
      <w:proofErr w:type="spellStart"/>
      <w:r w:rsidRPr="0027178E">
        <w:rPr>
          <w:sz w:val="24"/>
          <w:szCs w:val="24"/>
        </w:rPr>
        <w:t>sulfatkonjugering</w:t>
      </w:r>
      <w:proofErr w:type="spellEnd"/>
      <w:r w:rsidRPr="0027178E">
        <w:rPr>
          <w:sz w:val="24"/>
          <w:szCs w:val="24"/>
        </w:rPr>
        <w:t xml:space="preserve">. </w:t>
      </w:r>
    </w:p>
    <w:p w14:paraId="41E3A2EB" w14:textId="77777777" w:rsidR="0027178E" w:rsidRPr="0027178E" w:rsidRDefault="0027178E" w:rsidP="0027178E">
      <w:pPr>
        <w:tabs>
          <w:tab w:val="left" w:pos="851"/>
        </w:tabs>
        <w:ind w:left="851"/>
        <w:rPr>
          <w:sz w:val="24"/>
          <w:szCs w:val="24"/>
        </w:rPr>
      </w:pPr>
    </w:p>
    <w:p w14:paraId="54EDDA20"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748F4">
        <w:rPr>
          <w:b/>
          <w:sz w:val="24"/>
          <w:szCs w:val="24"/>
        </w:rPr>
        <w:t>Non-</w:t>
      </w:r>
      <w:r w:rsidRPr="00C84483">
        <w:rPr>
          <w:b/>
          <w:sz w:val="24"/>
          <w:szCs w:val="24"/>
        </w:rPr>
        <w:t>kliniske sikkerhedsdata</w:t>
      </w:r>
    </w:p>
    <w:p w14:paraId="43D5E5C7" w14:textId="77777777" w:rsidR="0027178E" w:rsidRPr="0027178E" w:rsidRDefault="0027178E" w:rsidP="0027178E">
      <w:pPr>
        <w:tabs>
          <w:tab w:val="left" w:pos="851"/>
        </w:tabs>
        <w:ind w:left="851"/>
        <w:rPr>
          <w:sz w:val="24"/>
          <w:szCs w:val="24"/>
        </w:rPr>
      </w:pPr>
      <w:r w:rsidRPr="0027178E">
        <w:rPr>
          <w:sz w:val="24"/>
          <w:szCs w:val="24"/>
        </w:rPr>
        <w:t>Der foreligger ingen konventionelle studier med brug af de aktuelt accepterede standarder for evaluering af reproduktions- og udviklingstoksicitet.</w:t>
      </w:r>
    </w:p>
    <w:p w14:paraId="7FDCC933" w14:textId="77777777" w:rsidR="009260DE" w:rsidRPr="00C84483" w:rsidRDefault="009260DE" w:rsidP="009260DE">
      <w:pPr>
        <w:tabs>
          <w:tab w:val="left" w:pos="851"/>
        </w:tabs>
        <w:ind w:left="851"/>
        <w:rPr>
          <w:sz w:val="24"/>
          <w:szCs w:val="24"/>
        </w:rPr>
      </w:pPr>
    </w:p>
    <w:p w14:paraId="541F956C" w14:textId="77777777" w:rsidR="009260DE" w:rsidRPr="00C84483" w:rsidRDefault="009260DE" w:rsidP="009260DE">
      <w:pPr>
        <w:tabs>
          <w:tab w:val="left" w:pos="851"/>
        </w:tabs>
        <w:ind w:left="851"/>
        <w:rPr>
          <w:sz w:val="24"/>
          <w:szCs w:val="24"/>
        </w:rPr>
      </w:pPr>
    </w:p>
    <w:p w14:paraId="5AB43FA7"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FFAC754" w14:textId="77777777" w:rsidR="009260DE" w:rsidRPr="00BA09F1" w:rsidRDefault="009260DE" w:rsidP="009260DE">
      <w:pPr>
        <w:tabs>
          <w:tab w:val="left" w:pos="851"/>
        </w:tabs>
        <w:ind w:left="851"/>
        <w:rPr>
          <w:sz w:val="24"/>
          <w:szCs w:val="24"/>
        </w:rPr>
      </w:pPr>
    </w:p>
    <w:p w14:paraId="62BDBD4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414205F" w14:textId="77777777" w:rsidR="0027178E" w:rsidRPr="001603C5" w:rsidRDefault="0027178E" w:rsidP="0027178E">
      <w:pPr>
        <w:tabs>
          <w:tab w:val="left" w:pos="851"/>
        </w:tabs>
        <w:ind w:left="851"/>
        <w:rPr>
          <w:b/>
          <w:sz w:val="24"/>
          <w:szCs w:val="24"/>
        </w:rPr>
      </w:pPr>
    </w:p>
    <w:p w14:paraId="332A977B" w14:textId="77777777" w:rsidR="0027178E" w:rsidRPr="0027178E" w:rsidRDefault="0027178E" w:rsidP="0027178E">
      <w:pPr>
        <w:tabs>
          <w:tab w:val="left" w:pos="851"/>
        </w:tabs>
        <w:ind w:left="851"/>
        <w:rPr>
          <w:sz w:val="24"/>
          <w:szCs w:val="24"/>
          <w:u w:val="single"/>
        </w:rPr>
      </w:pPr>
      <w:r w:rsidRPr="0027178E">
        <w:rPr>
          <w:sz w:val="24"/>
          <w:szCs w:val="24"/>
          <w:u w:val="single"/>
        </w:rPr>
        <w:t>Tabletkerne</w:t>
      </w:r>
    </w:p>
    <w:p w14:paraId="040221A7" w14:textId="77777777" w:rsidR="0027178E" w:rsidRPr="0027178E" w:rsidRDefault="0027178E" w:rsidP="0027178E">
      <w:pPr>
        <w:tabs>
          <w:tab w:val="left" w:pos="851"/>
        </w:tabs>
        <w:ind w:left="851"/>
        <w:rPr>
          <w:sz w:val="24"/>
          <w:szCs w:val="24"/>
        </w:rPr>
      </w:pPr>
      <w:r w:rsidRPr="0027178E">
        <w:rPr>
          <w:sz w:val="24"/>
          <w:szCs w:val="24"/>
        </w:rPr>
        <w:t xml:space="preserve">Stivelse, </w:t>
      </w:r>
      <w:proofErr w:type="spellStart"/>
      <w:r w:rsidRPr="0027178E">
        <w:rPr>
          <w:sz w:val="24"/>
          <w:szCs w:val="24"/>
        </w:rPr>
        <w:t>pregelatineret</w:t>
      </w:r>
      <w:proofErr w:type="spellEnd"/>
    </w:p>
    <w:p w14:paraId="60D1C095" w14:textId="77777777" w:rsidR="0027178E" w:rsidRPr="00693C99" w:rsidRDefault="0027178E" w:rsidP="0027178E">
      <w:pPr>
        <w:tabs>
          <w:tab w:val="left" w:pos="851"/>
        </w:tabs>
        <w:ind w:left="851"/>
        <w:rPr>
          <w:sz w:val="24"/>
          <w:szCs w:val="24"/>
          <w:lang w:val="de-DE"/>
        </w:rPr>
      </w:pPr>
      <w:r w:rsidRPr="00693C99">
        <w:rPr>
          <w:sz w:val="24"/>
          <w:szCs w:val="24"/>
          <w:lang w:val="de-DE"/>
        </w:rPr>
        <w:t>Magnesiumstearat (E470b)</w:t>
      </w:r>
    </w:p>
    <w:p w14:paraId="69D607D1" w14:textId="77777777" w:rsidR="0027178E" w:rsidRPr="00693C99" w:rsidRDefault="0027178E" w:rsidP="0027178E">
      <w:pPr>
        <w:tabs>
          <w:tab w:val="left" w:pos="851"/>
        </w:tabs>
        <w:ind w:left="851"/>
        <w:rPr>
          <w:sz w:val="24"/>
          <w:szCs w:val="24"/>
          <w:lang w:val="de-DE"/>
        </w:rPr>
      </w:pPr>
    </w:p>
    <w:p w14:paraId="52F6C826" w14:textId="77777777" w:rsidR="0027178E" w:rsidRPr="00693C99" w:rsidRDefault="0027178E" w:rsidP="0027178E">
      <w:pPr>
        <w:tabs>
          <w:tab w:val="left" w:pos="851"/>
        </w:tabs>
        <w:ind w:left="851"/>
        <w:rPr>
          <w:sz w:val="24"/>
          <w:szCs w:val="24"/>
          <w:u w:val="single"/>
          <w:lang w:val="de-DE"/>
        </w:rPr>
      </w:pPr>
      <w:proofErr w:type="spellStart"/>
      <w:r w:rsidRPr="00693C99">
        <w:rPr>
          <w:sz w:val="24"/>
          <w:szCs w:val="24"/>
          <w:u w:val="single"/>
          <w:lang w:val="de-DE"/>
        </w:rPr>
        <w:t>Filmovertræk</w:t>
      </w:r>
      <w:proofErr w:type="spellEnd"/>
    </w:p>
    <w:p w14:paraId="606930DF" w14:textId="77777777" w:rsidR="0027178E" w:rsidRPr="00693C99" w:rsidRDefault="0027178E" w:rsidP="0027178E">
      <w:pPr>
        <w:tabs>
          <w:tab w:val="left" w:pos="851"/>
        </w:tabs>
        <w:ind w:left="851"/>
        <w:rPr>
          <w:sz w:val="24"/>
          <w:szCs w:val="24"/>
          <w:lang w:val="de-DE"/>
        </w:rPr>
      </w:pPr>
      <w:proofErr w:type="spellStart"/>
      <w:r w:rsidRPr="00693C99">
        <w:rPr>
          <w:sz w:val="24"/>
          <w:szCs w:val="24"/>
          <w:lang w:val="de-DE"/>
        </w:rPr>
        <w:t>Hypromellose</w:t>
      </w:r>
      <w:proofErr w:type="spellEnd"/>
      <w:r w:rsidRPr="00693C99">
        <w:rPr>
          <w:sz w:val="24"/>
          <w:szCs w:val="24"/>
          <w:lang w:val="de-DE"/>
        </w:rPr>
        <w:t xml:space="preserve"> (E464)</w:t>
      </w:r>
    </w:p>
    <w:p w14:paraId="3E84B766" w14:textId="77777777" w:rsidR="0027178E" w:rsidRPr="00693C99" w:rsidRDefault="0027178E" w:rsidP="0027178E">
      <w:pPr>
        <w:tabs>
          <w:tab w:val="left" w:pos="851"/>
        </w:tabs>
        <w:ind w:left="851"/>
        <w:rPr>
          <w:sz w:val="24"/>
          <w:szCs w:val="24"/>
          <w:lang w:val="de-DE"/>
        </w:rPr>
      </w:pPr>
      <w:proofErr w:type="spellStart"/>
      <w:r w:rsidRPr="00693C99">
        <w:rPr>
          <w:sz w:val="24"/>
          <w:szCs w:val="24"/>
          <w:lang w:val="de-DE"/>
        </w:rPr>
        <w:t>Macrogol</w:t>
      </w:r>
      <w:proofErr w:type="spellEnd"/>
      <w:r w:rsidRPr="00693C99">
        <w:rPr>
          <w:sz w:val="24"/>
          <w:szCs w:val="24"/>
          <w:lang w:val="de-DE"/>
        </w:rPr>
        <w:t xml:space="preserve">  </w:t>
      </w:r>
    </w:p>
    <w:p w14:paraId="047C9C79" w14:textId="77777777" w:rsidR="0027178E" w:rsidRPr="00693C99" w:rsidRDefault="0027178E" w:rsidP="0027178E">
      <w:pPr>
        <w:tabs>
          <w:tab w:val="left" w:pos="851"/>
        </w:tabs>
        <w:ind w:left="851"/>
        <w:rPr>
          <w:sz w:val="24"/>
          <w:szCs w:val="24"/>
          <w:lang w:val="de-DE"/>
        </w:rPr>
      </w:pPr>
      <w:proofErr w:type="spellStart"/>
      <w:r w:rsidRPr="00693C99">
        <w:rPr>
          <w:sz w:val="24"/>
          <w:szCs w:val="24"/>
          <w:lang w:val="de-DE"/>
        </w:rPr>
        <w:t>Propylenglycol</w:t>
      </w:r>
      <w:proofErr w:type="spellEnd"/>
      <w:r w:rsidRPr="00693C99">
        <w:rPr>
          <w:sz w:val="24"/>
          <w:szCs w:val="24"/>
          <w:lang w:val="de-DE"/>
        </w:rPr>
        <w:t xml:space="preserve"> </w:t>
      </w:r>
      <w:bookmarkStart w:id="8" w:name="_Hlk45539821"/>
      <w:r w:rsidRPr="00693C99">
        <w:rPr>
          <w:sz w:val="24"/>
          <w:szCs w:val="24"/>
          <w:lang w:val="de-DE"/>
        </w:rPr>
        <w:t>(E1520)</w:t>
      </w:r>
      <w:bookmarkEnd w:id="8"/>
    </w:p>
    <w:p w14:paraId="3B8B8E52" w14:textId="77777777" w:rsidR="0027178E" w:rsidRPr="00693C99" w:rsidRDefault="0027178E" w:rsidP="0027178E">
      <w:pPr>
        <w:tabs>
          <w:tab w:val="left" w:pos="851"/>
        </w:tabs>
        <w:ind w:left="851"/>
        <w:rPr>
          <w:sz w:val="24"/>
          <w:szCs w:val="24"/>
          <w:lang w:val="de-DE"/>
        </w:rPr>
      </w:pPr>
      <w:r w:rsidRPr="00693C99">
        <w:rPr>
          <w:sz w:val="24"/>
          <w:szCs w:val="24"/>
          <w:lang w:val="de-DE"/>
        </w:rPr>
        <w:t xml:space="preserve">Titandioxid </w:t>
      </w:r>
      <w:bookmarkStart w:id="9" w:name="_Hlk45539832"/>
      <w:r w:rsidRPr="00693C99">
        <w:rPr>
          <w:sz w:val="24"/>
          <w:szCs w:val="24"/>
          <w:lang w:val="de-DE"/>
        </w:rPr>
        <w:t>(E171)</w:t>
      </w:r>
      <w:bookmarkEnd w:id="9"/>
    </w:p>
    <w:p w14:paraId="73DFBAC0" w14:textId="77777777" w:rsidR="0027178E" w:rsidRPr="00693C99" w:rsidRDefault="0027178E" w:rsidP="0027178E">
      <w:pPr>
        <w:tabs>
          <w:tab w:val="left" w:pos="851"/>
        </w:tabs>
        <w:ind w:left="851"/>
        <w:rPr>
          <w:sz w:val="24"/>
          <w:szCs w:val="24"/>
          <w:lang w:val="de-DE"/>
        </w:rPr>
      </w:pPr>
      <w:proofErr w:type="spellStart"/>
      <w:r w:rsidRPr="00693C99">
        <w:rPr>
          <w:sz w:val="24"/>
          <w:szCs w:val="24"/>
          <w:lang w:val="de-DE"/>
        </w:rPr>
        <w:t>Talcum</w:t>
      </w:r>
      <w:proofErr w:type="spellEnd"/>
      <w:r w:rsidRPr="00693C99">
        <w:rPr>
          <w:sz w:val="24"/>
          <w:szCs w:val="24"/>
          <w:lang w:val="de-DE"/>
        </w:rPr>
        <w:t xml:space="preserve"> </w:t>
      </w:r>
      <w:bookmarkStart w:id="10" w:name="_Hlk45539850"/>
      <w:r w:rsidRPr="00693C99">
        <w:rPr>
          <w:sz w:val="24"/>
          <w:szCs w:val="24"/>
          <w:lang w:val="de-DE"/>
        </w:rPr>
        <w:t>(E553b)</w:t>
      </w:r>
      <w:bookmarkEnd w:id="10"/>
    </w:p>
    <w:p w14:paraId="690C4538" w14:textId="77777777" w:rsidR="009260DE" w:rsidRPr="00693C99" w:rsidRDefault="009260DE" w:rsidP="009260DE">
      <w:pPr>
        <w:tabs>
          <w:tab w:val="left" w:pos="851"/>
        </w:tabs>
        <w:ind w:left="851"/>
        <w:rPr>
          <w:sz w:val="24"/>
          <w:szCs w:val="24"/>
          <w:lang w:val="de-DE"/>
        </w:rPr>
      </w:pPr>
    </w:p>
    <w:p w14:paraId="16C85DB9"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FC036A9" w14:textId="77777777" w:rsidR="009260DE" w:rsidRPr="00C84483" w:rsidRDefault="00033C5B" w:rsidP="009260DE">
      <w:pPr>
        <w:tabs>
          <w:tab w:val="left" w:pos="851"/>
        </w:tabs>
        <w:ind w:left="851"/>
        <w:rPr>
          <w:sz w:val="24"/>
          <w:szCs w:val="24"/>
        </w:rPr>
      </w:pPr>
      <w:r>
        <w:rPr>
          <w:sz w:val="24"/>
          <w:szCs w:val="24"/>
        </w:rPr>
        <w:t>Ikke relevant</w:t>
      </w:r>
      <w:r w:rsidR="0027178E">
        <w:rPr>
          <w:sz w:val="24"/>
          <w:szCs w:val="24"/>
        </w:rPr>
        <w:t>.</w:t>
      </w:r>
    </w:p>
    <w:p w14:paraId="2BFDAA91" w14:textId="77777777" w:rsidR="009260DE" w:rsidRPr="00C84483" w:rsidRDefault="009260DE" w:rsidP="009260DE">
      <w:pPr>
        <w:tabs>
          <w:tab w:val="left" w:pos="851"/>
        </w:tabs>
        <w:ind w:left="851"/>
        <w:rPr>
          <w:sz w:val="24"/>
          <w:szCs w:val="24"/>
        </w:rPr>
      </w:pPr>
    </w:p>
    <w:p w14:paraId="3D8546D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CFC12A8" w14:textId="77777777" w:rsidR="009260DE" w:rsidRDefault="00647F52" w:rsidP="009260DE">
      <w:pPr>
        <w:tabs>
          <w:tab w:val="left" w:pos="851"/>
        </w:tabs>
        <w:ind w:left="851"/>
        <w:rPr>
          <w:sz w:val="24"/>
          <w:szCs w:val="24"/>
        </w:rPr>
      </w:pPr>
      <w:r>
        <w:rPr>
          <w:sz w:val="24"/>
          <w:szCs w:val="24"/>
        </w:rPr>
        <w:t>4</w:t>
      </w:r>
      <w:r w:rsidR="00033C5B">
        <w:rPr>
          <w:sz w:val="24"/>
          <w:szCs w:val="24"/>
        </w:rPr>
        <w:t xml:space="preserve"> år.</w:t>
      </w:r>
    </w:p>
    <w:p w14:paraId="2D647B5E" w14:textId="77777777" w:rsidR="00033C5B" w:rsidRPr="00C84483" w:rsidRDefault="00033C5B" w:rsidP="009260DE">
      <w:pPr>
        <w:tabs>
          <w:tab w:val="left" w:pos="851"/>
        </w:tabs>
        <w:ind w:left="851"/>
        <w:rPr>
          <w:sz w:val="24"/>
          <w:szCs w:val="24"/>
        </w:rPr>
      </w:pPr>
    </w:p>
    <w:p w14:paraId="02DD91CE"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92F3859" w14:textId="77777777" w:rsidR="00033C5B" w:rsidRPr="0027178E" w:rsidRDefault="00033C5B" w:rsidP="00033C5B">
      <w:pPr>
        <w:tabs>
          <w:tab w:val="left" w:pos="851"/>
        </w:tabs>
        <w:ind w:left="851"/>
        <w:rPr>
          <w:sz w:val="24"/>
          <w:szCs w:val="24"/>
        </w:rPr>
      </w:pPr>
      <w:r w:rsidRPr="0027178E">
        <w:rPr>
          <w:sz w:val="24"/>
          <w:szCs w:val="24"/>
        </w:rPr>
        <w:t xml:space="preserve">Dette lægemiddel kræver ingen særlige forholdsregler vedrørende opbevaringen. </w:t>
      </w:r>
    </w:p>
    <w:p w14:paraId="73915DC3" w14:textId="77777777" w:rsidR="009260DE" w:rsidRPr="00C84483" w:rsidRDefault="009260DE" w:rsidP="009260DE">
      <w:pPr>
        <w:tabs>
          <w:tab w:val="left" w:pos="851"/>
        </w:tabs>
        <w:ind w:left="851"/>
        <w:rPr>
          <w:sz w:val="24"/>
          <w:szCs w:val="24"/>
        </w:rPr>
      </w:pPr>
    </w:p>
    <w:p w14:paraId="2AC6F1DA"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D38F1AB" w14:textId="77777777" w:rsidR="00BB29B8" w:rsidRDefault="00BB29B8" w:rsidP="00BB29B8">
      <w:pPr>
        <w:tabs>
          <w:tab w:val="left" w:pos="851"/>
        </w:tabs>
        <w:ind w:left="851"/>
        <w:rPr>
          <w:sz w:val="24"/>
          <w:szCs w:val="24"/>
        </w:rPr>
      </w:pPr>
      <w:r>
        <w:rPr>
          <w:i/>
          <w:iCs/>
          <w:sz w:val="24"/>
          <w:szCs w:val="24"/>
        </w:rPr>
        <w:t>500 mg</w:t>
      </w:r>
    </w:p>
    <w:p w14:paraId="7C9BECCF" w14:textId="77777777" w:rsidR="00BB29B8" w:rsidRPr="000624B9" w:rsidRDefault="00BB29B8" w:rsidP="00BB29B8">
      <w:pPr>
        <w:pStyle w:val="Listeafsnit"/>
        <w:numPr>
          <w:ilvl w:val="0"/>
          <w:numId w:val="8"/>
        </w:numPr>
        <w:tabs>
          <w:tab w:val="left" w:pos="851"/>
        </w:tabs>
        <w:rPr>
          <w:sz w:val="24"/>
          <w:szCs w:val="24"/>
        </w:rPr>
      </w:pPr>
      <w:r w:rsidRPr="000624B9">
        <w:rPr>
          <w:sz w:val="24"/>
          <w:szCs w:val="24"/>
        </w:rPr>
        <w:t>Beholder (HDPE) med skruelåg (PP).</w:t>
      </w:r>
    </w:p>
    <w:p w14:paraId="04D8AA2D" w14:textId="77777777" w:rsidR="00BB29B8" w:rsidRPr="000624B9" w:rsidRDefault="00BB29B8" w:rsidP="00BB29B8">
      <w:pPr>
        <w:pStyle w:val="Listeafsnit"/>
        <w:numPr>
          <w:ilvl w:val="0"/>
          <w:numId w:val="8"/>
        </w:numPr>
        <w:tabs>
          <w:tab w:val="left" w:pos="851"/>
        </w:tabs>
        <w:rPr>
          <w:sz w:val="24"/>
          <w:szCs w:val="24"/>
        </w:rPr>
      </w:pPr>
      <w:r w:rsidRPr="000624B9">
        <w:rPr>
          <w:sz w:val="24"/>
          <w:szCs w:val="24"/>
        </w:rPr>
        <w:t xml:space="preserve">Klar </w:t>
      </w:r>
      <w:proofErr w:type="gramStart"/>
      <w:r w:rsidRPr="000624B9">
        <w:rPr>
          <w:sz w:val="24"/>
          <w:szCs w:val="24"/>
        </w:rPr>
        <w:t>PVC/aluminium blister</w:t>
      </w:r>
      <w:r>
        <w:rPr>
          <w:sz w:val="24"/>
          <w:szCs w:val="24"/>
        </w:rPr>
        <w:t>pakning</w:t>
      </w:r>
      <w:proofErr w:type="gramEnd"/>
      <w:r>
        <w:rPr>
          <w:sz w:val="24"/>
          <w:szCs w:val="24"/>
        </w:rPr>
        <w:t>.</w:t>
      </w:r>
    </w:p>
    <w:p w14:paraId="07054642" w14:textId="77777777" w:rsidR="00BB29B8" w:rsidRDefault="00BB29B8" w:rsidP="00BB29B8">
      <w:pPr>
        <w:tabs>
          <w:tab w:val="left" w:pos="851"/>
        </w:tabs>
        <w:ind w:left="851"/>
        <w:rPr>
          <w:sz w:val="24"/>
          <w:szCs w:val="24"/>
        </w:rPr>
      </w:pPr>
    </w:p>
    <w:p w14:paraId="70651782" w14:textId="77777777" w:rsidR="00BB29B8" w:rsidRDefault="00BB29B8" w:rsidP="00BB29B8">
      <w:pPr>
        <w:tabs>
          <w:tab w:val="left" w:pos="851"/>
        </w:tabs>
        <w:ind w:left="851"/>
        <w:rPr>
          <w:sz w:val="24"/>
          <w:szCs w:val="24"/>
        </w:rPr>
      </w:pPr>
      <w:r>
        <w:rPr>
          <w:i/>
          <w:iCs/>
          <w:sz w:val="24"/>
          <w:szCs w:val="24"/>
        </w:rPr>
        <w:t>1000 mg</w:t>
      </w:r>
    </w:p>
    <w:p w14:paraId="7143C5A4" w14:textId="77777777" w:rsidR="00BB29B8" w:rsidRPr="00617BBB" w:rsidRDefault="00BB29B8" w:rsidP="00BB29B8">
      <w:pPr>
        <w:pStyle w:val="Listeafsnit"/>
        <w:numPr>
          <w:ilvl w:val="0"/>
          <w:numId w:val="8"/>
        </w:numPr>
        <w:tabs>
          <w:tab w:val="left" w:pos="851"/>
        </w:tabs>
        <w:rPr>
          <w:sz w:val="24"/>
          <w:szCs w:val="24"/>
        </w:rPr>
      </w:pPr>
      <w:r w:rsidRPr="00617BBB">
        <w:rPr>
          <w:sz w:val="24"/>
          <w:szCs w:val="24"/>
        </w:rPr>
        <w:t>Beholder (HDPE) med skruelåg (PP).</w:t>
      </w:r>
    </w:p>
    <w:p w14:paraId="500228AD" w14:textId="77777777" w:rsidR="00BB29B8" w:rsidRPr="00DC5430" w:rsidRDefault="00BB29B8" w:rsidP="00BB29B8">
      <w:pPr>
        <w:tabs>
          <w:tab w:val="left" w:pos="851"/>
        </w:tabs>
        <w:ind w:left="851"/>
        <w:rPr>
          <w:sz w:val="24"/>
          <w:szCs w:val="24"/>
        </w:rPr>
      </w:pPr>
    </w:p>
    <w:p w14:paraId="7DDF57AD" w14:textId="77777777" w:rsidR="00BB29B8" w:rsidRPr="00033C5B" w:rsidRDefault="00BB29B8" w:rsidP="00BB29B8">
      <w:pPr>
        <w:tabs>
          <w:tab w:val="left" w:pos="851"/>
        </w:tabs>
        <w:ind w:left="851"/>
        <w:rPr>
          <w:sz w:val="24"/>
          <w:szCs w:val="24"/>
          <w:u w:val="single"/>
        </w:rPr>
      </w:pPr>
      <w:r w:rsidRPr="00033C5B">
        <w:rPr>
          <w:sz w:val="24"/>
          <w:szCs w:val="24"/>
          <w:u w:val="single"/>
        </w:rPr>
        <w:t>Pakningsstørrelser</w:t>
      </w:r>
    </w:p>
    <w:p w14:paraId="7C337816" w14:textId="77777777" w:rsidR="00BB29B8" w:rsidRDefault="00BB29B8" w:rsidP="00BB29B8">
      <w:pPr>
        <w:tabs>
          <w:tab w:val="left" w:pos="851"/>
        </w:tabs>
        <w:ind w:left="851"/>
        <w:rPr>
          <w:sz w:val="24"/>
          <w:szCs w:val="24"/>
        </w:rPr>
      </w:pPr>
      <w:r w:rsidRPr="00033C5B">
        <w:rPr>
          <w:i/>
          <w:sz w:val="24"/>
          <w:szCs w:val="24"/>
        </w:rPr>
        <w:t>500 mg</w:t>
      </w:r>
      <w:r>
        <w:rPr>
          <w:i/>
          <w:sz w:val="24"/>
          <w:szCs w:val="24"/>
        </w:rPr>
        <w:t xml:space="preserve"> (beholder): </w:t>
      </w:r>
      <w:r w:rsidRPr="0027178E">
        <w:rPr>
          <w:sz w:val="24"/>
          <w:szCs w:val="24"/>
        </w:rPr>
        <w:t>56, 105, 120, 300, 330, 336</w:t>
      </w:r>
      <w:r>
        <w:rPr>
          <w:sz w:val="24"/>
          <w:szCs w:val="24"/>
        </w:rPr>
        <w:t xml:space="preserve"> og</w:t>
      </w:r>
      <w:r w:rsidRPr="0027178E">
        <w:rPr>
          <w:sz w:val="24"/>
          <w:szCs w:val="24"/>
        </w:rPr>
        <w:t xml:space="preserve"> 375 </w:t>
      </w:r>
      <w:r>
        <w:rPr>
          <w:sz w:val="24"/>
          <w:szCs w:val="24"/>
        </w:rPr>
        <w:t>stk</w:t>
      </w:r>
      <w:r w:rsidRPr="0027178E">
        <w:rPr>
          <w:sz w:val="24"/>
          <w:szCs w:val="24"/>
        </w:rPr>
        <w:t>.</w:t>
      </w:r>
    </w:p>
    <w:p w14:paraId="5D92E817" w14:textId="77777777" w:rsidR="00BB29B8" w:rsidRPr="0027178E" w:rsidRDefault="00BB29B8" w:rsidP="00BB29B8">
      <w:pPr>
        <w:tabs>
          <w:tab w:val="left" w:pos="851"/>
        </w:tabs>
        <w:ind w:left="851"/>
        <w:rPr>
          <w:sz w:val="24"/>
          <w:szCs w:val="24"/>
        </w:rPr>
      </w:pPr>
      <w:r>
        <w:rPr>
          <w:i/>
          <w:sz w:val="24"/>
          <w:szCs w:val="24"/>
        </w:rPr>
        <w:t>500 mg (blister):</w:t>
      </w:r>
      <w:r>
        <w:rPr>
          <w:sz w:val="24"/>
          <w:szCs w:val="24"/>
        </w:rPr>
        <w:t xml:space="preserve"> 100 stk.</w:t>
      </w:r>
    </w:p>
    <w:p w14:paraId="67DE9D2F" w14:textId="77777777" w:rsidR="00BB29B8" w:rsidRPr="0027178E" w:rsidRDefault="00BB29B8" w:rsidP="00BB29B8">
      <w:pPr>
        <w:tabs>
          <w:tab w:val="left" w:pos="851"/>
        </w:tabs>
        <w:ind w:left="851"/>
        <w:rPr>
          <w:sz w:val="24"/>
          <w:szCs w:val="24"/>
        </w:rPr>
      </w:pPr>
      <w:r w:rsidRPr="00033C5B">
        <w:rPr>
          <w:i/>
          <w:sz w:val="24"/>
          <w:szCs w:val="24"/>
        </w:rPr>
        <w:t>1000 mg</w:t>
      </w:r>
      <w:r>
        <w:rPr>
          <w:i/>
          <w:sz w:val="24"/>
          <w:szCs w:val="24"/>
        </w:rPr>
        <w:t xml:space="preserve">: </w:t>
      </w:r>
      <w:r w:rsidRPr="0027178E">
        <w:rPr>
          <w:sz w:val="24"/>
          <w:szCs w:val="24"/>
        </w:rPr>
        <w:t>105 </w:t>
      </w:r>
      <w:r>
        <w:rPr>
          <w:sz w:val="24"/>
          <w:szCs w:val="24"/>
        </w:rPr>
        <w:t>stk</w:t>
      </w:r>
      <w:r w:rsidRPr="0027178E">
        <w:rPr>
          <w:sz w:val="24"/>
          <w:szCs w:val="24"/>
        </w:rPr>
        <w:t xml:space="preserve">. </w:t>
      </w:r>
    </w:p>
    <w:p w14:paraId="62410451" w14:textId="77777777" w:rsidR="0027178E" w:rsidRPr="0027178E" w:rsidRDefault="0027178E" w:rsidP="0027178E">
      <w:pPr>
        <w:tabs>
          <w:tab w:val="left" w:pos="851"/>
        </w:tabs>
        <w:ind w:left="851"/>
        <w:rPr>
          <w:sz w:val="24"/>
          <w:szCs w:val="24"/>
        </w:rPr>
      </w:pPr>
    </w:p>
    <w:p w14:paraId="734F7502" w14:textId="77777777" w:rsidR="0027178E" w:rsidRPr="0027178E" w:rsidRDefault="0027178E" w:rsidP="0027178E">
      <w:pPr>
        <w:tabs>
          <w:tab w:val="left" w:pos="851"/>
        </w:tabs>
        <w:ind w:left="851"/>
        <w:rPr>
          <w:sz w:val="24"/>
          <w:szCs w:val="24"/>
        </w:rPr>
      </w:pPr>
      <w:r w:rsidRPr="0027178E">
        <w:rPr>
          <w:sz w:val="24"/>
          <w:szCs w:val="24"/>
        </w:rPr>
        <w:t>Ikke alle pakningsstørrelser er nødvendigvis markedsført.</w:t>
      </w:r>
    </w:p>
    <w:p w14:paraId="4A48C8E9" w14:textId="77777777" w:rsidR="009260DE" w:rsidRPr="00C84483" w:rsidRDefault="009260DE" w:rsidP="009260DE">
      <w:pPr>
        <w:tabs>
          <w:tab w:val="left" w:pos="851"/>
        </w:tabs>
        <w:ind w:left="851"/>
        <w:rPr>
          <w:sz w:val="24"/>
          <w:szCs w:val="24"/>
        </w:rPr>
      </w:pPr>
    </w:p>
    <w:p w14:paraId="65505DCC"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748F4">
        <w:rPr>
          <w:b/>
          <w:sz w:val="24"/>
          <w:szCs w:val="24"/>
        </w:rPr>
        <w:t>bortskaffelse</w:t>
      </w:r>
      <w:r w:rsidRPr="00C84483">
        <w:rPr>
          <w:b/>
          <w:sz w:val="24"/>
          <w:szCs w:val="24"/>
        </w:rPr>
        <w:t xml:space="preserve"> og anden håndtering</w:t>
      </w:r>
    </w:p>
    <w:p w14:paraId="572B3C11" w14:textId="77777777" w:rsidR="005A130C" w:rsidRDefault="00033C5B" w:rsidP="00B748F4">
      <w:pPr>
        <w:tabs>
          <w:tab w:val="left" w:pos="851"/>
        </w:tabs>
        <w:ind w:left="851"/>
        <w:jc w:val="both"/>
        <w:rPr>
          <w:sz w:val="24"/>
          <w:szCs w:val="24"/>
        </w:rPr>
      </w:pPr>
      <w:r w:rsidRPr="00033C5B">
        <w:rPr>
          <w:sz w:val="24"/>
          <w:szCs w:val="24"/>
        </w:rPr>
        <w:t>Ingen særlige forholdsregler ved bortskaffelse.</w:t>
      </w:r>
    </w:p>
    <w:p w14:paraId="30AC33AA" w14:textId="77777777" w:rsidR="009260DE" w:rsidRPr="00C84483" w:rsidRDefault="009260DE" w:rsidP="009260DE">
      <w:pPr>
        <w:tabs>
          <w:tab w:val="left" w:pos="851"/>
        </w:tabs>
        <w:ind w:left="851"/>
        <w:jc w:val="both"/>
        <w:rPr>
          <w:sz w:val="24"/>
          <w:szCs w:val="24"/>
        </w:rPr>
      </w:pPr>
    </w:p>
    <w:p w14:paraId="5946D24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CFDDF9D" w14:textId="77777777" w:rsidR="005A130C" w:rsidRPr="005A130C" w:rsidRDefault="005A130C" w:rsidP="005A130C">
      <w:pPr>
        <w:tabs>
          <w:tab w:val="left" w:pos="851"/>
        </w:tabs>
        <w:ind w:left="851"/>
        <w:rPr>
          <w:sz w:val="24"/>
          <w:szCs w:val="24"/>
          <w:lang w:val="sv-SE"/>
        </w:rPr>
      </w:pPr>
      <w:r w:rsidRPr="005A130C">
        <w:rPr>
          <w:sz w:val="24"/>
          <w:szCs w:val="24"/>
          <w:lang w:val="sv-SE"/>
        </w:rPr>
        <w:t xml:space="preserve">Medical </w:t>
      </w:r>
      <w:proofErr w:type="spellStart"/>
      <w:r w:rsidRPr="005A130C">
        <w:rPr>
          <w:sz w:val="24"/>
          <w:szCs w:val="24"/>
          <w:lang w:val="sv-SE"/>
        </w:rPr>
        <w:t>Valley</w:t>
      </w:r>
      <w:proofErr w:type="spellEnd"/>
      <w:r w:rsidRPr="005A130C">
        <w:rPr>
          <w:sz w:val="24"/>
          <w:szCs w:val="24"/>
          <w:lang w:val="sv-SE"/>
        </w:rPr>
        <w:t xml:space="preserve"> </w:t>
      </w:r>
      <w:proofErr w:type="spellStart"/>
      <w:r w:rsidRPr="005A130C">
        <w:rPr>
          <w:sz w:val="24"/>
          <w:szCs w:val="24"/>
          <w:lang w:val="sv-SE"/>
        </w:rPr>
        <w:t>Invest</w:t>
      </w:r>
      <w:proofErr w:type="spellEnd"/>
      <w:r w:rsidRPr="005A130C">
        <w:rPr>
          <w:sz w:val="24"/>
          <w:szCs w:val="24"/>
          <w:lang w:val="sv-SE"/>
        </w:rPr>
        <w:t xml:space="preserve"> AB </w:t>
      </w:r>
    </w:p>
    <w:p w14:paraId="02783A25" w14:textId="77777777" w:rsidR="005A130C" w:rsidRPr="005A130C" w:rsidRDefault="005A130C" w:rsidP="005A130C">
      <w:pPr>
        <w:tabs>
          <w:tab w:val="left" w:pos="851"/>
        </w:tabs>
        <w:ind w:left="851"/>
        <w:rPr>
          <w:sz w:val="24"/>
          <w:szCs w:val="24"/>
          <w:lang w:val="sv-SE"/>
        </w:rPr>
      </w:pPr>
      <w:r w:rsidRPr="005A130C">
        <w:rPr>
          <w:sz w:val="24"/>
          <w:szCs w:val="24"/>
          <w:lang w:val="sv-SE"/>
        </w:rPr>
        <w:t>Brädgårdsvägen 28</w:t>
      </w:r>
    </w:p>
    <w:p w14:paraId="595B4215" w14:textId="77777777" w:rsidR="005A130C" w:rsidRPr="005A130C" w:rsidRDefault="005A130C" w:rsidP="005A130C">
      <w:pPr>
        <w:tabs>
          <w:tab w:val="left" w:pos="851"/>
        </w:tabs>
        <w:ind w:left="851"/>
        <w:rPr>
          <w:sz w:val="24"/>
          <w:szCs w:val="24"/>
          <w:lang w:val="sv-SE"/>
        </w:rPr>
      </w:pPr>
      <w:r w:rsidRPr="005A130C">
        <w:rPr>
          <w:sz w:val="24"/>
          <w:szCs w:val="24"/>
          <w:lang w:val="sv-SE"/>
        </w:rPr>
        <w:t>236 32 Höllviken</w:t>
      </w:r>
    </w:p>
    <w:p w14:paraId="1D02F2A7" w14:textId="77777777" w:rsidR="005A130C" w:rsidRPr="005A130C" w:rsidRDefault="005A130C" w:rsidP="005A130C">
      <w:pPr>
        <w:tabs>
          <w:tab w:val="left" w:pos="851"/>
        </w:tabs>
        <w:ind w:left="851"/>
        <w:rPr>
          <w:sz w:val="24"/>
          <w:szCs w:val="24"/>
        </w:rPr>
      </w:pPr>
      <w:r w:rsidRPr="005A130C">
        <w:rPr>
          <w:sz w:val="24"/>
          <w:szCs w:val="24"/>
        </w:rPr>
        <w:t>Sverige</w:t>
      </w:r>
    </w:p>
    <w:p w14:paraId="1523C50A" w14:textId="77777777" w:rsidR="009260DE" w:rsidRPr="00C84483" w:rsidRDefault="009260DE" w:rsidP="009260DE">
      <w:pPr>
        <w:tabs>
          <w:tab w:val="left" w:pos="851"/>
        </w:tabs>
        <w:ind w:left="851"/>
        <w:rPr>
          <w:sz w:val="24"/>
          <w:szCs w:val="24"/>
        </w:rPr>
      </w:pPr>
    </w:p>
    <w:p w14:paraId="184AD858"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93C99">
        <w:rPr>
          <w:b/>
          <w:sz w:val="24"/>
          <w:szCs w:val="24"/>
        </w:rPr>
        <w:t>-</w:t>
      </w:r>
      <w:r w:rsidRPr="00C84483">
        <w:rPr>
          <w:b/>
          <w:sz w:val="24"/>
          <w:szCs w:val="24"/>
        </w:rPr>
        <w:t>NUMRE)</w:t>
      </w:r>
    </w:p>
    <w:p w14:paraId="0A5A54EE" w14:textId="77777777" w:rsidR="009260DE" w:rsidRDefault="00FB183A" w:rsidP="00FB183A">
      <w:pPr>
        <w:tabs>
          <w:tab w:val="left" w:pos="851"/>
          <w:tab w:val="left" w:pos="1843"/>
        </w:tabs>
        <w:ind w:left="851"/>
        <w:rPr>
          <w:sz w:val="24"/>
          <w:szCs w:val="24"/>
        </w:rPr>
      </w:pPr>
      <w:r>
        <w:rPr>
          <w:sz w:val="24"/>
          <w:szCs w:val="24"/>
        </w:rPr>
        <w:t>500 mg:</w:t>
      </w:r>
      <w:r>
        <w:rPr>
          <w:sz w:val="24"/>
          <w:szCs w:val="24"/>
        </w:rPr>
        <w:tab/>
        <w:t>63</w:t>
      </w:r>
      <w:r w:rsidR="00E45F08">
        <w:rPr>
          <w:sz w:val="24"/>
          <w:szCs w:val="24"/>
        </w:rPr>
        <w:t>733</w:t>
      </w:r>
    </w:p>
    <w:p w14:paraId="4678E156" w14:textId="77777777" w:rsidR="00E45F08" w:rsidRPr="00C84483" w:rsidRDefault="00E45F08" w:rsidP="00FB183A">
      <w:pPr>
        <w:tabs>
          <w:tab w:val="left" w:pos="851"/>
          <w:tab w:val="left" w:pos="1843"/>
        </w:tabs>
        <w:ind w:left="851"/>
        <w:rPr>
          <w:sz w:val="24"/>
          <w:szCs w:val="24"/>
        </w:rPr>
      </w:pPr>
      <w:r>
        <w:rPr>
          <w:sz w:val="24"/>
          <w:szCs w:val="24"/>
        </w:rPr>
        <w:t>1000 mg:</w:t>
      </w:r>
      <w:r>
        <w:rPr>
          <w:sz w:val="24"/>
          <w:szCs w:val="24"/>
        </w:rPr>
        <w:tab/>
        <w:t>63734</w:t>
      </w:r>
    </w:p>
    <w:p w14:paraId="266986E5" w14:textId="77777777" w:rsidR="009260DE" w:rsidRPr="00C84483" w:rsidRDefault="009260DE" w:rsidP="009260DE">
      <w:pPr>
        <w:tabs>
          <w:tab w:val="left" w:pos="851"/>
        </w:tabs>
        <w:ind w:left="851"/>
        <w:jc w:val="both"/>
        <w:rPr>
          <w:sz w:val="24"/>
          <w:szCs w:val="24"/>
        </w:rPr>
      </w:pPr>
    </w:p>
    <w:p w14:paraId="3968D330"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57AA3AB" w14:textId="77777777" w:rsidR="00693C99" w:rsidRPr="00C84483" w:rsidRDefault="00693C99" w:rsidP="00693C99">
      <w:pPr>
        <w:tabs>
          <w:tab w:val="left" w:pos="851"/>
        </w:tabs>
        <w:ind w:left="851"/>
        <w:rPr>
          <w:sz w:val="24"/>
          <w:szCs w:val="24"/>
        </w:rPr>
      </w:pPr>
      <w:r>
        <w:rPr>
          <w:sz w:val="24"/>
          <w:szCs w:val="24"/>
        </w:rPr>
        <w:t>25. januar 2021</w:t>
      </w:r>
    </w:p>
    <w:p w14:paraId="4CE598AF" w14:textId="77777777" w:rsidR="009260DE" w:rsidRPr="00C84483" w:rsidRDefault="009260DE" w:rsidP="009260DE">
      <w:pPr>
        <w:tabs>
          <w:tab w:val="left" w:pos="851"/>
        </w:tabs>
        <w:ind w:left="851"/>
        <w:rPr>
          <w:sz w:val="24"/>
          <w:szCs w:val="24"/>
        </w:rPr>
      </w:pPr>
    </w:p>
    <w:p w14:paraId="1F1F48F1"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E3E1773" w14:textId="4E7C79F6" w:rsidR="009260DE" w:rsidRPr="00C84483" w:rsidRDefault="00210512" w:rsidP="009260DE">
      <w:pPr>
        <w:tabs>
          <w:tab w:val="left" w:pos="851"/>
        </w:tabs>
        <w:ind w:left="851"/>
        <w:rPr>
          <w:sz w:val="24"/>
          <w:szCs w:val="24"/>
        </w:rPr>
      </w:pPr>
      <w:r>
        <w:rPr>
          <w:sz w:val="24"/>
          <w:szCs w:val="24"/>
        </w:rPr>
        <w:t>2</w:t>
      </w:r>
      <w:r w:rsidR="005C5214">
        <w:rPr>
          <w:sz w:val="24"/>
          <w:szCs w:val="24"/>
        </w:rPr>
        <w:t>3</w:t>
      </w:r>
      <w:bookmarkStart w:id="11" w:name="_GoBack"/>
      <w:bookmarkEnd w:id="11"/>
      <w:r>
        <w:rPr>
          <w:sz w:val="24"/>
          <w:szCs w:val="24"/>
        </w:rPr>
        <w:t>. april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2BE42" w14:textId="77777777" w:rsidR="00D86B5B" w:rsidRDefault="00D86B5B">
      <w:r>
        <w:separator/>
      </w:r>
    </w:p>
  </w:endnote>
  <w:endnote w:type="continuationSeparator" w:id="0">
    <w:p w14:paraId="14D85E5B" w14:textId="77777777" w:rsidR="00D86B5B" w:rsidRDefault="00D8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0662D" w14:textId="77777777" w:rsidR="000259B9" w:rsidRDefault="000259B9">
    <w:pPr>
      <w:pStyle w:val="Sidefod"/>
      <w:pBdr>
        <w:bottom w:val="single" w:sz="6" w:space="1" w:color="auto"/>
      </w:pBdr>
    </w:pPr>
  </w:p>
  <w:p w14:paraId="62ACB253" w14:textId="77777777" w:rsidR="000259B9" w:rsidRDefault="000259B9" w:rsidP="00C42586">
    <w:pPr>
      <w:pStyle w:val="Sidefod"/>
      <w:tabs>
        <w:tab w:val="clear" w:pos="4819"/>
        <w:tab w:val="left" w:pos="8505"/>
      </w:tabs>
      <w:rPr>
        <w:i/>
        <w:sz w:val="18"/>
        <w:szCs w:val="18"/>
      </w:rPr>
    </w:pPr>
  </w:p>
  <w:p w14:paraId="1641FC3D"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9582E">
      <w:rPr>
        <w:i/>
        <w:noProof/>
        <w:sz w:val="18"/>
        <w:szCs w:val="18"/>
      </w:rPr>
      <w:t>Paracetamol Medical Valley, filmovertrukne tabletter 500 mg og 1000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8B1E1" w14:textId="77777777" w:rsidR="00D86B5B" w:rsidRDefault="00D86B5B">
      <w:r>
        <w:separator/>
      </w:r>
    </w:p>
  </w:footnote>
  <w:footnote w:type="continuationSeparator" w:id="0">
    <w:p w14:paraId="79B773A9" w14:textId="77777777" w:rsidR="00D86B5B" w:rsidRDefault="00D86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28972ED"/>
    <w:multiLevelType w:val="hybridMultilevel"/>
    <w:tmpl w:val="7AF212E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5870A45"/>
    <w:multiLevelType w:val="hybridMultilevel"/>
    <w:tmpl w:val="698C8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3C07035"/>
    <w:multiLevelType w:val="hybridMultilevel"/>
    <w:tmpl w:val="0652F118"/>
    <w:lvl w:ilvl="0" w:tplc="BD6C53CE">
      <w:start w:val="1"/>
      <w:numFmt w:val="lowerLetter"/>
      <w:lvlText w:val="%1."/>
      <w:lvlJc w:val="left"/>
      <w:pPr>
        <w:ind w:left="523" w:hanging="423"/>
      </w:pPr>
      <w:rPr>
        <w:rFonts w:ascii="Times New Roman" w:eastAsia="Times New Roman" w:hAnsi="Times New Roman" w:cs="Times New Roman" w:hint="default"/>
        <w:spacing w:val="0"/>
        <w:w w:val="94"/>
        <w:sz w:val="22"/>
        <w:szCs w:val="22"/>
      </w:rPr>
    </w:lvl>
    <w:lvl w:ilvl="1" w:tplc="5B10003E">
      <w:numFmt w:val="bullet"/>
      <w:lvlText w:val="•"/>
      <w:lvlJc w:val="left"/>
      <w:pPr>
        <w:ind w:left="1482" w:hanging="423"/>
      </w:pPr>
    </w:lvl>
    <w:lvl w:ilvl="2" w:tplc="B68CC816">
      <w:numFmt w:val="bullet"/>
      <w:lvlText w:val="•"/>
      <w:lvlJc w:val="left"/>
      <w:pPr>
        <w:ind w:left="2445" w:hanging="423"/>
      </w:pPr>
    </w:lvl>
    <w:lvl w:ilvl="3" w:tplc="85A46990">
      <w:numFmt w:val="bullet"/>
      <w:lvlText w:val="•"/>
      <w:lvlJc w:val="left"/>
      <w:pPr>
        <w:ind w:left="3407" w:hanging="423"/>
      </w:pPr>
    </w:lvl>
    <w:lvl w:ilvl="4" w:tplc="15CA393E">
      <w:numFmt w:val="bullet"/>
      <w:lvlText w:val="•"/>
      <w:lvlJc w:val="left"/>
      <w:pPr>
        <w:ind w:left="4370" w:hanging="423"/>
      </w:pPr>
    </w:lvl>
    <w:lvl w:ilvl="5" w:tplc="5C20C2B8">
      <w:numFmt w:val="bullet"/>
      <w:lvlText w:val="•"/>
      <w:lvlJc w:val="left"/>
      <w:pPr>
        <w:ind w:left="5332" w:hanging="423"/>
      </w:pPr>
    </w:lvl>
    <w:lvl w:ilvl="6" w:tplc="AC1C6264">
      <w:numFmt w:val="bullet"/>
      <w:lvlText w:val="•"/>
      <w:lvlJc w:val="left"/>
      <w:pPr>
        <w:ind w:left="6295" w:hanging="423"/>
      </w:pPr>
    </w:lvl>
    <w:lvl w:ilvl="7" w:tplc="2E749476">
      <w:numFmt w:val="bullet"/>
      <w:lvlText w:val="•"/>
      <w:lvlJc w:val="left"/>
      <w:pPr>
        <w:ind w:left="7257" w:hanging="423"/>
      </w:pPr>
    </w:lvl>
    <w:lvl w:ilvl="8" w:tplc="E9C86632">
      <w:numFmt w:val="bullet"/>
      <w:lvlText w:val="•"/>
      <w:lvlJc w:val="left"/>
      <w:pPr>
        <w:ind w:left="8220" w:hanging="423"/>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7C"/>
    <w:rsid w:val="000259B9"/>
    <w:rsid w:val="00033C5B"/>
    <w:rsid w:val="00041491"/>
    <w:rsid w:val="00050D16"/>
    <w:rsid w:val="00074F2A"/>
    <w:rsid w:val="000A1CA8"/>
    <w:rsid w:val="000A466B"/>
    <w:rsid w:val="000B058C"/>
    <w:rsid w:val="000E4EE6"/>
    <w:rsid w:val="000F4EB5"/>
    <w:rsid w:val="000F601D"/>
    <w:rsid w:val="00144041"/>
    <w:rsid w:val="001454E2"/>
    <w:rsid w:val="001603C5"/>
    <w:rsid w:val="001A58C2"/>
    <w:rsid w:val="00206CE8"/>
    <w:rsid w:val="00210512"/>
    <w:rsid w:val="0021526C"/>
    <w:rsid w:val="002328D3"/>
    <w:rsid w:val="00261E23"/>
    <w:rsid w:val="0027178E"/>
    <w:rsid w:val="00283A2B"/>
    <w:rsid w:val="002B30AD"/>
    <w:rsid w:val="002C2C01"/>
    <w:rsid w:val="00312724"/>
    <w:rsid w:val="0033122B"/>
    <w:rsid w:val="003A29AE"/>
    <w:rsid w:val="003A32D7"/>
    <w:rsid w:val="003B4074"/>
    <w:rsid w:val="003C769A"/>
    <w:rsid w:val="003F1838"/>
    <w:rsid w:val="0045746C"/>
    <w:rsid w:val="00463A83"/>
    <w:rsid w:val="0049104B"/>
    <w:rsid w:val="004B4401"/>
    <w:rsid w:val="004E3B12"/>
    <w:rsid w:val="00532310"/>
    <w:rsid w:val="00565F0F"/>
    <w:rsid w:val="005750BC"/>
    <w:rsid w:val="00594A86"/>
    <w:rsid w:val="00596D86"/>
    <w:rsid w:val="005A130C"/>
    <w:rsid w:val="005C5214"/>
    <w:rsid w:val="00637F5A"/>
    <w:rsid w:val="00647F52"/>
    <w:rsid w:val="006560B1"/>
    <w:rsid w:val="006756DD"/>
    <w:rsid w:val="00693C99"/>
    <w:rsid w:val="00737275"/>
    <w:rsid w:val="00740EEC"/>
    <w:rsid w:val="0078011A"/>
    <w:rsid w:val="00781BA5"/>
    <w:rsid w:val="00782AF4"/>
    <w:rsid w:val="0078763A"/>
    <w:rsid w:val="00790EE7"/>
    <w:rsid w:val="007B6649"/>
    <w:rsid w:val="0082576E"/>
    <w:rsid w:val="00892275"/>
    <w:rsid w:val="008940A7"/>
    <w:rsid w:val="00907F75"/>
    <w:rsid w:val="009233A9"/>
    <w:rsid w:val="009260DE"/>
    <w:rsid w:val="0093258A"/>
    <w:rsid w:val="00987BD5"/>
    <w:rsid w:val="009A75F5"/>
    <w:rsid w:val="009C7BA3"/>
    <w:rsid w:val="009D1F5A"/>
    <w:rsid w:val="00B003BF"/>
    <w:rsid w:val="00B366B8"/>
    <w:rsid w:val="00B373D7"/>
    <w:rsid w:val="00B748F4"/>
    <w:rsid w:val="00BB29B8"/>
    <w:rsid w:val="00BD0B7C"/>
    <w:rsid w:val="00C36276"/>
    <w:rsid w:val="00C42586"/>
    <w:rsid w:val="00C60CCD"/>
    <w:rsid w:val="00C84483"/>
    <w:rsid w:val="00C95551"/>
    <w:rsid w:val="00C9582E"/>
    <w:rsid w:val="00CA260A"/>
    <w:rsid w:val="00CB20D7"/>
    <w:rsid w:val="00CD01F5"/>
    <w:rsid w:val="00CD3876"/>
    <w:rsid w:val="00CE01BA"/>
    <w:rsid w:val="00D020B0"/>
    <w:rsid w:val="00D11748"/>
    <w:rsid w:val="00D25D61"/>
    <w:rsid w:val="00D366CF"/>
    <w:rsid w:val="00D81F7E"/>
    <w:rsid w:val="00D86B5B"/>
    <w:rsid w:val="00DB38F8"/>
    <w:rsid w:val="00E108AA"/>
    <w:rsid w:val="00E22359"/>
    <w:rsid w:val="00E3749A"/>
    <w:rsid w:val="00E45F08"/>
    <w:rsid w:val="00E63BE1"/>
    <w:rsid w:val="00E7437F"/>
    <w:rsid w:val="00E865B8"/>
    <w:rsid w:val="00EC0B9B"/>
    <w:rsid w:val="00ED5E9F"/>
    <w:rsid w:val="00EE33B3"/>
    <w:rsid w:val="00F152B5"/>
    <w:rsid w:val="00F35069"/>
    <w:rsid w:val="00F66D4F"/>
    <w:rsid w:val="00FB183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F1D51"/>
  <w15:chartTrackingRefBased/>
  <w15:docId w15:val="{ACD523BA-F230-486E-866B-0A953156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B2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49043">
      <w:bodyDiv w:val="1"/>
      <w:marLeft w:val="0"/>
      <w:marRight w:val="0"/>
      <w:marTop w:val="0"/>
      <w:marBottom w:val="0"/>
      <w:divBdr>
        <w:top w:val="none" w:sz="0" w:space="0" w:color="auto"/>
        <w:left w:val="none" w:sz="0" w:space="0" w:color="auto"/>
        <w:bottom w:val="none" w:sz="0" w:space="0" w:color="auto"/>
        <w:right w:val="none" w:sz="0" w:space="0" w:color="auto"/>
      </w:divBdr>
    </w:div>
    <w:div w:id="16367275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452853">
      <w:bodyDiv w:val="1"/>
      <w:marLeft w:val="0"/>
      <w:marRight w:val="0"/>
      <w:marTop w:val="0"/>
      <w:marBottom w:val="0"/>
      <w:divBdr>
        <w:top w:val="none" w:sz="0" w:space="0" w:color="auto"/>
        <w:left w:val="none" w:sz="0" w:space="0" w:color="auto"/>
        <w:bottom w:val="none" w:sz="0" w:space="0" w:color="auto"/>
        <w:right w:val="none" w:sz="0" w:space="0" w:color="auto"/>
      </w:divBdr>
    </w:div>
    <w:div w:id="172501375">
      <w:bodyDiv w:val="1"/>
      <w:marLeft w:val="0"/>
      <w:marRight w:val="0"/>
      <w:marTop w:val="0"/>
      <w:marBottom w:val="0"/>
      <w:divBdr>
        <w:top w:val="none" w:sz="0" w:space="0" w:color="auto"/>
        <w:left w:val="none" w:sz="0" w:space="0" w:color="auto"/>
        <w:bottom w:val="none" w:sz="0" w:space="0" w:color="auto"/>
        <w:right w:val="none" w:sz="0" w:space="0" w:color="auto"/>
      </w:divBdr>
    </w:div>
    <w:div w:id="208347047">
      <w:bodyDiv w:val="1"/>
      <w:marLeft w:val="0"/>
      <w:marRight w:val="0"/>
      <w:marTop w:val="0"/>
      <w:marBottom w:val="0"/>
      <w:divBdr>
        <w:top w:val="none" w:sz="0" w:space="0" w:color="auto"/>
        <w:left w:val="none" w:sz="0" w:space="0" w:color="auto"/>
        <w:bottom w:val="none" w:sz="0" w:space="0" w:color="auto"/>
        <w:right w:val="none" w:sz="0" w:space="0" w:color="auto"/>
      </w:divBdr>
    </w:div>
    <w:div w:id="313222966">
      <w:bodyDiv w:val="1"/>
      <w:marLeft w:val="0"/>
      <w:marRight w:val="0"/>
      <w:marTop w:val="0"/>
      <w:marBottom w:val="0"/>
      <w:divBdr>
        <w:top w:val="none" w:sz="0" w:space="0" w:color="auto"/>
        <w:left w:val="none" w:sz="0" w:space="0" w:color="auto"/>
        <w:bottom w:val="none" w:sz="0" w:space="0" w:color="auto"/>
        <w:right w:val="none" w:sz="0" w:space="0" w:color="auto"/>
      </w:divBdr>
    </w:div>
    <w:div w:id="427584934">
      <w:bodyDiv w:val="1"/>
      <w:marLeft w:val="0"/>
      <w:marRight w:val="0"/>
      <w:marTop w:val="0"/>
      <w:marBottom w:val="0"/>
      <w:divBdr>
        <w:top w:val="none" w:sz="0" w:space="0" w:color="auto"/>
        <w:left w:val="none" w:sz="0" w:space="0" w:color="auto"/>
        <w:bottom w:val="none" w:sz="0" w:space="0" w:color="auto"/>
        <w:right w:val="none" w:sz="0" w:space="0" w:color="auto"/>
      </w:divBdr>
    </w:div>
    <w:div w:id="473331981">
      <w:bodyDiv w:val="1"/>
      <w:marLeft w:val="0"/>
      <w:marRight w:val="0"/>
      <w:marTop w:val="0"/>
      <w:marBottom w:val="0"/>
      <w:divBdr>
        <w:top w:val="none" w:sz="0" w:space="0" w:color="auto"/>
        <w:left w:val="none" w:sz="0" w:space="0" w:color="auto"/>
        <w:bottom w:val="none" w:sz="0" w:space="0" w:color="auto"/>
        <w:right w:val="none" w:sz="0" w:space="0" w:color="auto"/>
      </w:divBdr>
    </w:div>
    <w:div w:id="494230127">
      <w:bodyDiv w:val="1"/>
      <w:marLeft w:val="0"/>
      <w:marRight w:val="0"/>
      <w:marTop w:val="0"/>
      <w:marBottom w:val="0"/>
      <w:divBdr>
        <w:top w:val="none" w:sz="0" w:space="0" w:color="auto"/>
        <w:left w:val="none" w:sz="0" w:space="0" w:color="auto"/>
        <w:bottom w:val="none" w:sz="0" w:space="0" w:color="auto"/>
        <w:right w:val="none" w:sz="0" w:space="0" w:color="auto"/>
      </w:divBdr>
    </w:div>
    <w:div w:id="508834784">
      <w:bodyDiv w:val="1"/>
      <w:marLeft w:val="0"/>
      <w:marRight w:val="0"/>
      <w:marTop w:val="0"/>
      <w:marBottom w:val="0"/>
      <w:divBdr>
        <w:top w:val="none" w:sz="0" w:space="0" w:color="auto"/>
        <w:left w:val="none" w:sz="0" w:space="0" w:color="auto"/>
        <w:bottom w:val="none" w:sz="0" w:space="0" w:color="auto"/>
        <w:right w:val="none" w:sz="0" w:space="0" w:color="auto"/>
      </w:divBdr>
    </w:div>
    <w:div w:id="566653956">
      <w:bodyDiv w:val="1"/>
      <w:marLeft w:val="0"/>
      <w:marRight w:val="0"/>
      <w:marTop w:val="0"/>
      <w:marBottom w:val="0"/>
      <w:divBdr>
        <w:top w:val="none" w:sz="0" w:space="0" w:color="auto"/>
        <w:left w:val="none" w:sz="0" w:space="0" w:color="auto"/>
        <w:bottom w:val="none" w:sz="0" w:space="0" w:color="auto"/>
        <w:right w:val="none" w:sz="0" w:space="0" w:color="auto"/>
      </w:divBdr>
    </w:div>
    <w:div w:id="726027863">
      <w:bodyDiv w:val="1"/>
      <w:marLeft w:val="0"/>
      <w:marRight w:val="0"/>
      <w:marTop w:val="0"/>
      <w:marBottom w:val="0"/>
      <w:divBdr>
        <w:top w:val="none" w:sz="0" w:space="0" w:color="auto"/>
        <w:left w:val="none" w:sz="0" w:space="0" w:color="auto"/>
        <w:bottom w:val="none" w:sz="0" w:space="0" w:color="auto"/>
        <w:right w:val="none" w:sz="0" w:space="0" w:color="auto"/>
      </w:divBdr>
    </w:div>
    <w:div w:id="750926379">
      <w:bodyDiv w:val="1"/>
      <w:marLeft w:val="0"/>
      <w:marRight w:val="0"/>
      <w:marTop w:val="0"/>
      <w:marBottom w:val="0"/>
      <w:divBdr>
        <w:top w:val="none" w:sz="0" w:space="0" w:color="auto"/>
        <w:left w:val="none" w:sz="0" w:space="0" w:color="auto"/>
        <w:bottom w:val="none" w:sz="0" w:space="0" w:color="auto"/>
        <w:right w:val="none" w:sz="0" w:space="0" w:color="auto"/>
      </w:divBdr>
    </w:div>
    <w:div w:id="780535568">
      <w:bodyDiv w:val="1"/>
      <w:marLeft w:val="0"/>
      <w:marRight w:val="0"/>
      <w:marTop w:val="0"/>
      <w:marBottom w:val="0"/>
      <w:divBdr>
        <w:top w:val="none" w:sz="0" w:space="0" w:color="auto"/>
        <w:left w:val="none" w:sz="0" w:space="0" w:color="auto"/>
        <w:bottom w:val="none" w:sz="0" w:space="0" w:color="auto"/>
        <w:right w:val="none" w:sz="0" w:space="0" w:color="auto"/>
      </w:divBdr>
    </w:div>
    <w:div w:id="794912993">
      <w:bodyDiv w:val="1"/>
      <w:marLeft w:val="0"/>
      <w:marRight w:val="0"/>
      <w:marTop w:val="0"/>
      <w:marBottom w:val="0"/>
      <w:divBdr>
        <w:top w:val="none" w:sz="0" w:space="0" w:color="auto"/>
        <w:left w:val="none" w:sz="0" w:space="0" w:color="auto"/>
        <w:bottom w:val="none" w:sz="0" w:space="0" w:color="auto"/>
        <w:right w:val="none" w:sz="0" w:space="0" w:color="auto"/>
      </w:divBdr>
    </w:div>
    <w:div w:id="799302808">
      <w:bodyDiv w:val="1"/>
      <w:marLeft w:val="0"/>
      <w:marRight w:val="0"/>
      <w:marTop w:val="0"/>
      <w:marBottom w:val="0"/>
      <w:divBdr>
        <w:top w:val="none" w:sz="0" w:space="0" w:color="auto"/>
        <w:left w:val="none" w:sz="0" w:space="0" w:color="auto"/>
        <w:bottom w:val="none" w:sz="0" w:space="0" w:color="auto"/>
        <w:right w:val="none" w:sz="0" w:space="0" w:color="auto"/>
      </w:divBdr>
    </w:div>
    <w:div w:id="811559112">
      <w:bodyDiv w:val="1"/>
      <w:marLeft w:val="0"/>
      <w:marRight w:val="0"/>
      <w:marTop w:val="0"/>
      <w:marBottom w:val="0"/>
      <w:divBdr>
        <w:top w:val="none" w:sz="0" w:space="0" w:color="auto"/>
        <w:left w:val="none" w:sz="0" w:space="0" w:color="auto"/>
        <w:bottom w:val="none" w:sz="0" w:space="0" w:color="auto"/>
        <w:right w:val="none" w:sz="0" w:space="0" w:color="auto"/>
      </w:divBdr>
    </w:div>
    <w:div w:id="814952544">
      <w:bodyDiv w:val="1"/>
      <w:marLeft w:val="0"/>
      <w:marRight w:val="0"/>
      <w:marTop w:val="0"/>
      <w:marBottom w:val="0"/>
      <w:divBdr>
        <w:top w:val="none" w:sz="0" w:space="0" w:color="auto"/>
        <w:left w:val="none" w:sz="0" w:space="0" w:color="auto"/>
        <w:bottom w:val="none" w:sz="0" w:space="0" w:color="auto"/>
        <w:right w:val="none" w:sz="0" w:space="0" w:color="auto"/>
      </w:divBdr>
    </w:div>
    <w:div w:id="839085312">
      <w:bodyDiv w:val="1"/>
      <w:marLeft w:val="0"/>
      <w:marRight w:val="0"/>
      <w:marTop w:val="0"/>
      <w:marBottom w:val="0"/>
      <w:divBdr>
        <w:top w:val="none" w:sz="0" w:space="0" w:color="auto"/>
        <w:left w:val="none" w:sz="0" w:space="0" w:color="auto"/>
        <w:bottom w:val="none" w:sz="0" w:space="0" w:color="auto"/>
        <w:right w:val="none" w:sz="0" w:space="0" w:color="auto"/>
      </w:divBdr>
    </w:div>
    <w:div w:id="842815743">
      <w:bodyDiv w:val="1"/>
      <w:marLeft w:val="0"/>
      <w:marRight w:val="0"/>
      <w:marTop w:val="0"/>
      <w:marBottom w:val="0"/>
      <w:divBdr>
        <w:top w:val="none" w:sz="0" w:space="0" w:color="auto"/>
        <w:left w:val="none" w:sz="0" w:space="0" w:color="auto"/>
        <w:bottom w:val="none" w:sz="0" w:space="0" w:color="auto"/>
        <w:right w:val="none" w:sz="0" w:space="0" w:color="auto"/>
      </w:divBdr>
    </w:div>
    <w:div w:id="898325369">
      <w:bodyDiv w:val="1"/>
      <w:marLeft w:val="0"/>
      <w:marRight w:val="0"/>
      <w:marTop w:val="0"/>
      <w:marBottom w:val="0"/>
      <w:divBdr>
        <w:top w:val="none" w:sz="0" w:space="0" w:color="auto"/>
        <w:left w:val="none" w:sz="0" w:space="0" w:color="auto"/>
        <w:bottom w:val="none" w:sz="0" w:space="0" w:color="auto"/>
        <w:right w:val="none" w:sz="0" w:space="0" w:color="auto"/>
      </w:divBdr>
    </w:div>
    <w:div w:id="905842005">
      <w:bodyDiv w:val="1"/>
      <w:marLeft w:val="0"/>
      <w:marRight w:val="0"/>
      <w:marTop w:val="0"/>
      <w:marBottom w:val="0"/>
      <w:divBdr>
        <w:top w:val="none" w:sz="0" w:space="0" w:color="auto"/>
        <w:left w:val="none" w:sz="0" w:space="0" w:color="auto"/>
        <w:bottom w:val="none" w:sz="0" w:space="0" w:color="auto"/>
        <w:right w:val="none" w:sz="0" w:space="0" w:color="auto"/>
      </w:divBdr>
    </w:div>
    <w:div w:id="1026907055">
      <w:bodyDiv w:val="1"/>
      <w:marLeft w:val="0"/>
      <w:marRight w:val="0"/>
      <w:marTop w:val="0"/>
      <w:marBottom w:val="0"/>
      <w:divBdr>
        <w:top w:val="none" w:sz="0" w:space="0" w:color="auto"/>
        <w:left w:val="none" w:sz="0" w:space="0" w:color="auto"/>
        <w:bottom w:val="none" w:sz="0" w:space="0" w:color="auto"/>
        <w:right w:val="none" w:sz="0" w:space="0" w:color="auto"/>
      </w:divBdr>
    </w:div>
    <w:div w:id="1034111467">
      <w:bodyDiv w:val="1"/>
      <w:marLeft w:val="0"/>
      <w:marRight w:val="0"/>
      <w:marTop w:val="0"/>
      <w:marBottom w:val="0"/>
      <w:divBdr>
        <w:top w:val="none" w:sz="0" w:space="0" w:color="auto"/>
        <w:left w:val="none" w:sz="0" w:space="0" w:color="auto"/>
        <w:bottom w:val="none" w:sz="0" w:space="0" w:color="auto"/>
        <w:right w:val="none" w:sz="0" w:space="0" w:color="auto"/>
      </w:divBdr>
    </w:div>
    <w:div w:id="1274165059">
      <w:bodyDiv w:val="1"/>
      <w:marLeft w:val="0"/>
      <w:marRight w:val="0"/>
      <w:marTop w:val="0"/>
      <w:marBottom w:val="0"/>
      <w:divBdr>
        <w:top w:val="none" w:sz="0" w:space="0" w:color="auto"/>
        <w:left w:val="none" w:sz="0" w:space="0" w:color="auto"/>
        <w:bottom w:val="none" w:sz="0" w:space="0" w:color="auto"/>
        <w:right w:val="none" w:sz="0" w:space="0" w:color="auto"/>
      </w:divBdr>
    </w:div>
    <w:div w:id="1337882244">
      <w:bodyDiv w:val="1"/>
      <w:marLeft w:val="0"/>
      <w:marRight w:val="0"/>
      <w:marTop w:val="0"/>
      <w:marBottom w:val="0"/>
      <w:divBdr>
        <w:top w:val="none" w:sz="0" w:space="0" w:color="auto"/>
        <w:left w:val="none" w:sz="0" w:space="0" w:color="auto"/>
        <w:bottom w:val="none" w:sz="0" w:space="0" w:color="auto"/>
        <w:right w:val="none" w:sz="0" w:space="0" w:color="auto"/>
      </w:divBdr>
    </w:div>
    <w:div w:id="1337883288">
      <w:bodyDiv w:val="1"/>
      <w:marLeft w:val="0"/>
      <w:marRight w:val="0"/>
      <w:marTop w:val="0"/>
      <w:marBottom w:val="0"/>
      <w:divBdr>
        <w:top w:val="none" w:sz="0" w:space="0" w:color="auto"/>
        <w:left w:val="none" w:sz="0" w:space="0" w:color="auto"/>
        <w:bottom w:val="none" w:sz="0" w:space="0" w:color="auto"/>
        <w:right w:val="none" w:sz="0" w:space="0" w:color="auto"/>
      </w:divBdr>
    </w:div>
    <w:div w:id="1379664018">
      <w:bodyDiv w:val="1"/>
      <w:marLeft w:val="0"/>
      <w:marRight w:val="0"/>
      <w:marTop w:val="0"/>
      <w:marBottom w:val="0"/>
      <w:divBdr>
        <w:top w:val="none" w:sz="0" w:space="0" w:color="auto"/>
        <w:left w:val="none" w:sz="0" w:space="0" w:color="auto"/>
        <w:bottom w:val="none" w:sz="0" w:space="0" w:color="auto"/>
        <w:right w:val="none" w:sz="0" w:space="0" w:color="auto"/>
      </w:divBdr>
    </w:div>
    <w:div w:id="1402365977">
      <w:bodyDiv w:val="1"/>
      <w:marLeft w:val="0"/>
      <w:marRight w:val="0"/>
      <w:marTop w:val="0"/>
      <w:marBottom w:val="0"/>
      <w:divBdr>
        <w:top w:val="none" w:sz="0" w:space="0" w:color="auto"/>
        <w:left w:val="none" w:sz="0" w:space="0" w:color="auto"/>
        <w:bottom w:val="none" w:sz="0" w:space="0" w:color="auto"/>
        <w:right w:val="none" w:sz="0" w:space="0" w:color="auto"/>
      </w:divBdr>
    </w:div>
    <w:div w:id="1448235682">
      <w:bodyDiv w:val="1"/>
      <w:marLeft w:val="0"/>
      <w:marRight w:val="0"/>
      <w:marTop w:val="0"/>
      <w:marBottom w:val="0"/>
      <w:divBdr>
        <w:top w:val="none" w:sz="0" w:space="0" w:color="auto"/>
        <w:left w:val="none" w:sz="0" w:space="0" w:color="auto"/>
        <w:bottom w:val="none" w:sz="0" w:space="0" w:color="auto"/>
        <w:right w:val="none" w:sz="0" w:space="0" w:color="auto"/>
      </w:divBdr>
    </w:div>
    <w:div w:id="1466701154">
      <w:bodyDiv w:val="1"/>
      <w:marLeft w:val="0"/>
      <w:marRight w:val="0"/>
      <w:marTop w:val="0"/>
      <w:marBottom w:val="0"/>
      <w:divBdr>
        <w:top w:val="none" w:sz="0" w:space="0" w:color="auto"/>
        <w:left w:val="none" w:sz="0" w:space="0" w:color="auto"/>
        <w:bottom w:val="none" w:sz="0" w:space="0" w:color="auto"/>
        <w:right w:val="none" w:sz="0" w:space="0" w:color="auto"/>
      </w:divBdr>
    </w:div>
    <w:div w:id="1490246517">
      <w:bodyDiv w:val="1"/>
      <w:marLeft w:val="0"/>
      <w:marRight w:val="0"/>
      <w:marTop w:val="0"/>
      <w:marBottom w:val="0"/>
      <w:divBdr>
        <w:top w:val="none" w:sz="0" w:space="0" w:color="auto"/>
        <w:left w:val="none" w:sz="0" w:space="0" w:color="auto"/>
        <w:bottom w:val="none" w:sz="0" w:space="0" w:color="auto"/>
        <w:right w:val="none" w:sz="0" w:space="0" w:color="auto"/>
      </w:divBdr>
    </w:div>
    <w:div w:id="1502424166">
      <w:bodyDiv w:val="1"/>
      <w:marLeft w:val="0"/>
      <w:marRight w:val="0"/>
      <w:marTop w:val="0"/>
      <w:marBottom w:val="0"/>
      <w:divBdr>
        <w:top w:val="none" w:sz="0" w:space="0" w:color="auto"/>
        <w:left w:val="none" w:sz="0" w:space="0" w:color="auto"/>
        <w:bottom w:val="none" w:sz="0" w:space="0" w:color="auto"/>
        <w:right w:val="none" w:sz="0" w:space="0" w:color="auto"/>
      </w:divBdr>
    </w:div>
    <w:div w:id="1567376041">
      <w:bodyDiv w:val="1"/>
      <w:marLeft w:val="0"/>
      <w:marRight w:val="0"/>
      <w:marTop w:val="0"/>
      <w:marBottom w:val="0"/>
      <w:divBdr>
        <w:top w:val="none" w:sz="0" w:space="0" w:color="auto"/>
        <w:left w:val="none" w:sz="0" w:space="0" w:color="auto"/>
        <w:bottom w:val="none" w:sz="0" w:space="0" w:color="auto"/>
        <w:right w:val="none" w:sz="0" w:space="0" w:color="auto"/>
      </w:divBdr>
    </w:div>
    <w:div w:id="1592011631">
      <w:bodyDiv w:val="1"/>
      <w:marLeft w:val="0"/>
      <w:marRight w:val="0"/>
      <w:marTop w:val="0"/>
      <w:marBottom w:val="0"/>
      <w:divBdr>
        <w:top w:val="none" w:sz="0" w:space="0" w:color="auto"/>
        <w:left w:val="none" w:sz="0" w:space="0" w:color="auto"/>
        <w:bottom w:val="none" w:sz="0" w:space="0" w:color="auto"/>
        <w:right w:val="none" w:sz="0" w:space="0" w:color="auto"/>
      </w:divBdr>
    </w:div>
    <w:div w:id="1607688660">
      <w:bodyDiv w:val="1"/>
      <w:marLeft w:val="0"/>
      <w:marRight w:val="0"/>
      <w:marTop w:val="0"/>
      <w:marBottom w:val="0"/>
      <w:divBdr>
        <w:top w:val="none" w:sz="0" w:space="0" w:color="auto"/>
        <w:left w:val="none" w:sz="0" w:space="0" w:color="auto"/>
        <w:bottom w:val="none" w:sz="0" w:space="0" w:color="auto"/>
        <w:right w:val="none" w:sz="0" w:space="0" w:color="auto"/>
      </w:divBdr>
    </w:div>
    <w:div w:id="1680354396">
      <w:bodyDiv w:val="1"/>
      <w:marLeft w:val="0"/>
      <w:marRight w:val="0"/>
      <w:marTop w:val="0"/>
      <w:marBottom w:val="0"/>
      <w:divBdr>
        <w:top w:val="none" w:sz="0" w:space="0" w:color="auto"/>
        <w:left w:val="none" w:sz="0" w:space="0" w:color="auto"/>
        <w:bottom w:val="none" w:sz="0" w:space="0" w:color="auto"/>
        <w:right w:val="none" w:sz="0" w:space="0" w:color="auto"/>
      </w:divBdr>
    </w:div>
    <w:div w:id="1719863599">
      <w:bodyDiv w:val="1"/>
      <w:marLeft w:val="0"/>
      <w:marRight w:val="0"/>
      <w:marTop w:val="0"/>
      <w:marBottom w:val="0"/>
      <w:divBdr>
        <w:top w:val="none" w:sz="0" w:space="0" w:color="auto"/>
        <w:left w:val="none" w:sz="0" w:space="0" w:color="auto"/>
        <w:bottom w:val="none" w:sz="0" w:space="0" w:color="auto"/>
        <w:right w:val="none" w:sz="0" w:space="0" w:color="auto"/>
      </w:divBdr>
    </w:div>
    <w:div w:id="1864980298">
      <w:bodyDiv w:val="1"/>
      <w:marLeft w:val="0"/>
      <w:marRight w:val="0"/>
      <w:marTop w:val="0"/>
      <w:marBottom w:val="0"/>
      <w:divBdr>
        <w:top w:val="none" w:sz="0" w:space="0" w:color="auto"/>
        <w:left w:val="none" w:sz="0" w:space="0" w:color="auto"/>
        <w:bottom w:val="none" w:sz="0" w:space="0" w:color="auto"/>
        <w:right w:val="none" w:sz="0" w:space="0" w:color="auto"/>
      </w:divBdr>
    </w:div>
    <w:div w:id="1928807291">
      <w:bodyDiv w:val="1"/>
      <w:marLeft w:val="0"/>
      <w:marRight w:val="0"/>
      <w:marTop w:val="0"/>
      <w:marBottom w:val="0"/>
      <w:divBdr>
        <w:top w:val="none" w:sz="0" w:space="0" w:color="auto"/>
        <w:left w:val="none" w:sz="0" w:space="0" w:color="auto"/>
        <w:bottom w:val="none" w:sz="0" w:space="0" w:color="auto"/>
        <w:right w:val="none" w:sz="0" w:space="0" w:color="auto"/>
      </w:divBdr>
    </w:div>
    <w:div w:id="1951937446">
      <w:bodyDiv w:val="1"/>
      <w:marLeft w:val="0"/>
      <w:marRight w:val="0"/>
      <w:marTop w:val="0"/>
      <w:marBottom w:val="0"/>
      <w:divBdr>
        <w:top w:val="none" w:sz="0" w:space="0" w:color="auto"/>
        <w:left w:val="none" w:sz="0" w:space="0" w:color="auto"/>
        <w:bottom w:val="none" w:sz="0" w:space="0" w:color="auto"/>
        <w:right w:val="none" w:sz="0" w:space="0" w:color="auto"/>
      </w:divBdr>
    </w:div>
    <w:div w:id="2008484408">
      <w:bodyDiv w:val="1"/>
      <w:marLeft w:val="0"/>
      <w:marRight w:val="0"/>
      <w:marTop w:val="0"/>
      <w:marBottom w:val="0"/>
      <w:divBdr>
        <w:top w:val="none" w:sz="0" w:space="0" w:color="auto"/>
        <w:left w:val="none" w:sz="0" w:space="0" w:color="auto"/>
        <w:bottom w:val="none" w:sz="0" w:space="0" w:color="auto"/>
        <w:right w:val="none" w:sz="0" w:space="0" w:color="auto"/>
      </w:divBdr>
    </w:div>
    <w:div w:id="2012903070">
      <w:bodyDiv w:val="1"/>
      <w:marLeft w:val="0"/>
      <w:marRight w:val="0"/>
      <w:marTop w:val="0"/>
      <w:marBottom w:val="0"/>
      <w:divBdr>
        <w:top w:val="none" w:sz="0" w:space="0" w:color="auto"/>
        <w:left w:val="none" w:sz="0" w:space="0" w:color="auto"/>
        <w:bottom w:val="none" w:sz="0" w:space="0" w:color="auto"/>
        <w:right w:val="none" w:sz="0" w:space="0" w:color="auto"/>
      </w:divBdr>
    </w:div>
    <w:div w:id="214712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A3541-6E13-45F8-84FE-0CCA0C1C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2645</Words>
  <Characters>17083</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2025011985 pkt. 4.4, 4.5, 4.8_x000d_
23/4-25: ændring i pkt 4.4</dc:description>
  <cp:lastModifiedBy>Lea Daugaard Kristiansen</cp:lastModifiedBy>
  <cp:revision>3</cp:revision>
  <cp:lastPrinted>2021-01-25T09:35:00Z</cp:lastPrinted>
  <dcterms:created xsi:type="dcterms:W3CDTF">2025-04-23T12:34:00Z</dcterms:created>
  <dcterms:modified xsi:type="dcterms:W3CDTF">2025-04-23T12:34:00Z</dcterms:modified>
</cp:coreProperties>
</file>