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59B1C"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0F553A0C" wp14:editId="53A0A3F8">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373C4A01" w14:textId="77777777" w:rsidR="009260DE" w:rsidRPr="00C84483" w:rsidRDefault="009260DE" w:rsidP="009260DE">
      <w:pPr>
        <w:pStyle w:val="Titel"/>
        <w:tabs>
          <w:tab w:val="right" w:pos="9356"/>
        </w:tabs>
        <w:jc w:val="left"/>
        <w:rPr>
          <w:b w:val="0"/>
          <w:szCs w:val="24"/>
          <w:lang w:eastAsia="en-US"/>
        </w:rPr>
      </w:pPr>
    </w:p>
    <w:p w14:paraId="1EEFD11F" w14:textId="49B5830B"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9919D6">
        <w:rPr>
          <w:szCs w:val="24"/>
        </w:rPr>
        <w:t>3. oktober 2025</w:t>
      </w:r>
    </w:p>
    <w:p w14:paraId="7136540C" w14:textId="77777777" w:rsidR="009260DE" w:rsidRPr="00C84483" w:rsidRDefault="009260DE" w:rsidP="009260DE">
      <w:pPr>
        <w:pStyle w:val="Titel"/>
        <w:tabs>
          <w:tab w:val="left" w:pos="8222"/>
        </w:tabs>
        <w:jc w:val="left"/>
        <w:rPr>
          <w:b w:val="0"/>
          <w:szCs w:val="24"/>
        </w:rPr>
      </w:pPr>
    </w:p>
    <w:p w14:paraId="4C433CA1" w14:textId="77777777" w:rsidR="009260DE" w:rsidRPr="00C84483" w:rsidRDefault="009260DE" w:rsidP="009260DE">
      <w:pPr>
        <w:pStyle w:val="Titel"/>
        <w:jc w:val="left"/>
        <w:rPr>
          <w:b w:val="0"/>
          <w:szCs w:val="24"/>
        </w:rPr>
      </w:pPr>
    </w:p>
    <w:p w14:paraId="4A79D876" w14:textId="77777777" w:rsidR="009260DE" w:rsidRPr="00C84483" w:rsidRDefault="009260DE" w:rsidP="009260DE">
      <w:pPr>
        <w:pStyle w:val="Titel"/>
        <w:jc w:val="left"/>
        <w:rPr>
          <w:b w:val="0"/>
          <w:szCs w:val="24"/>
        </w:rPr>
      </w:pPr>
    </w:p>
    <w:p w14:paraId="3F71F6E4" w14:textId="77777777" w:rsidR="009260DE" w:rsidRPr="00C84483" w:rsidRDefault="009260DE" w:rsidP="009260DE">
      <w:pPr>
        <w:jc w:val="center"/>
        <w:rPr>
          <w:b/>
          <w:sz w:val="24"/>
          <w:szCs w:val="24"/>
        </w:rPr>
      </w:pPr>
      <w:r w:rsidRPr="00C84483">
        <w:rPr>
          <w:b/>
          <w:sz w:val="24"/>
          <w:szCs w:val="24"/>
        </w:rPr>
        <w:t>PRODUKTRESUMÉ</w:t>
      </w:r>
    </w:p>
    <w:p w14:paraId="1219625F" w14:textId="77777777" w:rsidR="009260DE" w:rsidRPr="00C84483" w:rsidRDefault="009260DE" w:rsidP="009260DE">
      <w:pPr>
        <w:jc w:val="center"/>
        <w:rPr>
          <w:b/>
          <w:sz w:val="24"/>
          <w:szCs w:val="24"/>
        </w:rPr>
      </w:pPr>
    </w:p>
    <w:p w14:paraId="72DF8C4F" w14:textId="77777777" w:rsidR="009260DE" w:rsidRDefault="009260DE" w:rsidP="009260DE">
      <w:pPr>
        <w:jc w:val="center"/>
        <w:rPr>
          <w:b/>
          <w:sz w:val="24"/>
          <w:szCs w:val="24"/>
        </w:rPr>
      </w:pPr>
      <w:r w:rsidRPr="00C84483">
        <w:rPr>
          <w:b/>
          <w:sz w:val="24"/>
          <w:szCs w:val="24"/>
        </w:rPr>
        <w:t>for</w:t>
      </w:r>
    </w:p>
    <w:p w14:paraId="05169C94" w14:textId="77777777" w:rsidR="000B058C" w:rsidRPr="00C84483" w:rsidRDefault="000B058C" w:rsidP="009260DE">
      <w:pPr>
        <w:jc w:val="center"/>
        <w:rPr>
          <w:b/>
          <w:sz w:val="24"/>
          <w:szCs w:val="24"/>
        </w:rPr>
      </w:pPr>
    </w:p>
    <w:p w14:paraId="4F818034" w14:textId="77777777" w:rsidR="009260DE" w:rsidRPr="00C84483" w:rsidRDefault="00967146" w:rsidP="009260DE">
      <w:pPr>
        <w:jc w:val="center"/>
        <w:rPr>
          <w:b/>
          <w:sz w:val="24"/>
          <w:szCs w:val="24"/>
        </w:rPr>
      </w:pPr>
      <w:r>
        <w:rPr>
          <w:b/>
          <w:sz w:val="24"/>
          <w:szCs w:val="24"/>
        </w:rPr>
        <w:t>Paracetamol "Noridem", infusionsvæske, opløsning</w:t>
      </w:r>
    </w:p>
    <w:p w14:paraId="36202BB3" w14:textId="77777777" w:rsidR="009260DE" w:rsidRPr="00C84483" w:rsidRDefault="009260DE" w:rsidP="009260DE">
      <w:pPr>
        <w:jc w:val="both"/>
        <w:rPr>
          <w:sz w:val="24"/>
          <w:szCs w:val="24"/>
        </w:rPr>
      </w:pPr>
    </w:p>
    <w:p w14:paraId="0B393F95" w14:textId="77777777" w:rsidR="009260DE" w:rsidRPr="00C84483" w:rsidRDefault="009260DE" w:rsidP="009260DE">
      <w:pPr>
        <w:jc w:val="both"/>
        <w:rPr>
          <w:sz w:val="24"/>
          <w:szCs w:val="24"/>
        </w:rPr>
      </w:pPr>
    </w:p>
    <w:p w14:paraId="2E48EA88"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3E5A2E1C" w14:textId="77777777" w:rsidR="009260DE" w:rsidRPr="00C84483" w:rsidRDefault="00967146" w:rsidP="009260DE">
      <w:pPr>
        <w:tabs>
          <w:tab w:val="left" w:pos="851"/>
        </w:tabs>
        <w:ind w:left="851"/>
        <w:rPr>
          <w:sz w:val="24"/>
          <w:szCs w:val="24"/>
        </w:rPr>
      </w:pPr>
      <w:r>
        <w:rPr>
          <w:sz w:val="24"/>
          <w:szCs w:val="24"/>
        </w:rPr>
        <w:t>34529</w:t>
      </w:r>
    </w:p>
    <w:p w14:paraId="24A7C5AF" w14:textId="77777777" w:rsidR="009260DE" w:rsidRPr="00C84483" w:rsidRDefault="009260DE" w:rsidP="009260DE">
      <w:pPr>
        <w:tabs>
          <w:tab w:val="left" w:pos="851"/>
        </w:tabs>
        <w:ind w:left="851"/>
        <w:rPr>
          <w:sz w:val="24"/>
          <w:szCs w:val="24"/>
        </w:rPr>
      </w:pPr>
    </w:p>
    <w:p w14:paraId="5357986D"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627F5CDF" w14:textId="77777777" w:rsidR="009260DE" w:rsidRDefault="00967146" w:rsidP="009260DE">
      <w:pPr>
        <w:tabs>
          <w:tab w:val="left" w:pos="851"/>
        </w:tabs>
        <w:ind w:left="851"/>
        <w:rPr>
          <w:sz w:val="24"/>
          <w:szCs w:val="24"/>
        </w:rPr>
      </w:pPr>
      <w:r w:rsidRPr="00967146">
        <w:rPr>
          <w:sz w:val="24"/>
          <w:szCs w:val="24"/>
        </w:rPr>
        <w:t>Paracetamol "Noridem"</w:t>
      </w:r>
    </w:p>
    <w:p w14:paraId="4B1AB798" w14:textId="77777777" w:rsidR="00967146" w:rsidRPr="00C84483" w:rsidRDefault="00967146" w:rsidP="009260DE">
      <w:pPr>
        <w:tabs>
          <w:tab w:val="left" w:pos="851"/>
        </w:tabs>
        <w:ind w:left="851"/>
        <w:rPr>
          <w:sz w:val="24"/>
          <w:szCs w:val="24"/>
        </w:rPr>
      </w:pPr>
    </w:p>
    <w:p w14:paraId="5B02213A"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407A00E6" w14:textId="77777777" w:rsidR="00381035" w:rsidRPr="00381035" w:rsidRDefault="00381035" w:rsidP="00381035">
      <w:pPr>
        <w:tabs>
          <w:tab w:val="left" w:pos="851"/>
        </w:tabs>
        <w:ind w:left="851"/>
        <w:rPr>
          <w:sz w:val="24"/>
          <w:szCs w:val="24"/>
        </w:rPr>
      </w:pPr>
      <w:r w:rsidRPr="00381035">
        <w:rPr>
          <w:sz w:val="24"/>
          <w:szCs w:val="24"/>
        </w:rPr>
        <w:t>Hver flaske med 100 ml indeholder 1000 mg paracetamol.</w:t>
      </w:r>
    </w:p>
    <w:p w14:paraId="35302970" w14:textId="77777777" w:rsidR="00381035" w:rsidRPr="00381035" w:rsidRDefault="00381035" w:rsidP="00381035">
      <w:pPr>
        <w:tabs>
          <w:tab w:val="left" w:pos="851"/>
        </w:tabs>
        <w:ind w:left="851"/>
        <w:rPr>
          <w:sz w:val="24"/>
          <w:szCs w:val="24"/>
        </w:rPr>
      </w:pPr>
      <w:r w:rsidRPr="00381035">
        <w:rPr>
          <w:sz w:val="24"/>
          <w:szCs w:val="24"/>
        </w:rPr>
        <w:t>Hver flaske med 50 ml indeholder 500 mg paracetamol.</w:t>
      </w:r>
    </w:p>
    <w:p w14:paraId="13B28BF3" w14:textId="77777777" w:rsidR="00381035" w:rsidRPr="00381035" w:rsidRDefault="00381035" w:rsidP="00381035">
      <w:pPr>
        <w:tabs>
          <w:tab w:val="left" w:pos="851"/>
        </w:tabs>
        <w:ind w:left="851"/>
        <w:rPr>
          <w:sz w:val="24"/>
          <w:szCs w:val="24"/>
        </w:rPr>
      </w:pPr>
    </w:p>
    <w:p w14:paraId="43AFB016" w14:textId="77777777" w:rsidR="00381035" w:rsidRPr="00381035" w:rsidRDefault="00381035" w:rsidP="00381035">
      <w:pPr>
        <w:tabs>
          <w:tab w:val="left" w:pos="851"/>
        </w:tabs>
        <w:ind w:left="851"/>
        <w:rPr>
          <w:sz w:val="24"/>
          <w:szCs w:val="24"/>
        </w:rPr>
      </w:pPr>
      <w:r w:rsidRPr="00381035">
        <w:rPr>
          <w:sz w:val="24"/>
          <w:szCs w:val="24"/>
        </w:rPr>
        <w:t>1 ml indeholder 10 mg paracetamol.</w:t>
      </w:r>
    </w:p>
    <w:p w14:paraId="4603086B" w14:textId="77777777" w:rsidR="00381035" w:rsidRPr="00381035" w:rsidRDefault="00381035" w:rsidP="00381035">
      <w:pPr>
        <w:tabs>
          <w:tab w:val="left" w:pos="851"/>
        </w:tabs>
        <w:ind w:left="851"/>
        <w:rPr>
          <w:sz w:val="24"/>
          <w:szCs w:val="24"/>
        </w:rPr>
      </w:pPr>
    </w:p>
    <w:p w14:paraId="39BC12AA" w14:textId="77777777" w:rsidR="00381035" w:rsidRDefault="00381035" w:rsidP="00381035">
      <w:pPr>
        <w:tabs>
          <w:tab w:val="left" w:pos="851"/>
        </w:tabs>
        <w:ind w:left="851"/>
        <w:rPr>
          <w:sz w:val="24"/>
          <w:szCs w:val="24"/>
          <w:u w:val="single"/>
        </w:rPr>
      </w:pPr>
      <w:r w:rsidRPr="00381035">
        <w:rPr>
          <w:sz w:val="24"/>
          <w:szCs w:val="24"/>
          <w:u w:val="single"/>
        </w:rPr>
        <w:t>Hjælpestoffer, som behandleren skal være opmærksom på</w:t>
      </w:r>
    </w:p>
    <w:p w14:paraId="7D66D532" w14:textId="35C74C04" w:rsidR="00381035" w:rsidRPr="00381035" w:rsidRDefault="00381035" w:rsidP="00381035">
      <w:pPr>
        <w:tabs>
          <w:tab w:val="left" w:pos="851"/>
        </w:tabs>
        <w:ind w:left="851"/>
        <w:rPr>
          <w:sz w:val="24"/>
          <w:szCs w:val="24"/>
        </w:rPr>
      </w:pPr>
      <w:r w:rsidRPr="00381035">
        <w:rPr>
          <w:sz w:val="24"/>
          <w:szCs w:val="24"/>
        </w:rPr>
        <w:t>Natrium 0,04 mg/ml.</w:t>
      </w:r>
    </w:p>
    <w:p w14:paraId="6D0DE7AE" w14:textId="77777777" w:rsidR="00381035" w:rsidRPr="00381035" w:rsidRDefault="00381035" w:rsidP="00381035">
      <w:pPr>
        <w:tabs>
          <w:tab w:val="left" w:pos="851"/>
        </w:tabs>
        <w:ind w:left="851"/>
        <w:rPr>
          <w:sz w:val="24"/>
          <w:szCs w:val="24"/>
        </w:rPr>
      </w:pPr>
    </w:p>
    <w:p w14:paraId="497DFC9D" w14:textId="77777777" w:rsidR="00381035" w:rsidRPr="00381035" w:rsidRDefault="00381035" w:rsidP="00381035">
      <w:pPr>
        <w:tabs>
          <w:tab w:val="left" w:pos="851"/>
        </w:tabs>
        <w:ind w:left="851"/>
        <w:rPr>
          <w:sz w:val="24"/>
          <w:szCs w:val="24"/>
        </w:rPr>
      </w:pPr>
      <w:r w:rsidRPr="00381035">
        <w:rPr>
          <w:sz w:val="24"/>
          <w:szCs w:val="24"/>
        </w:rPr>
        <w:t>Alle hjælpestoffer er anført under pkt. 6.1.</w:t>
      </w:r>
    </w:p>
    <w:p w14:paraId="4C5F321B" w14:textId="77777777" w:rsidR="009260DE" w:rsidRPr="00C84483" w:rsidRDefault="009260DE" w:rsidP="009260DE">
      <w:pPr>
        <w:tabs>
          <w:tab w:val="left" w:pos="851"/>
        </w:tabs>
        <w:ind w:left="851"/>
        <w:rPr>
          <w:sz w:val="24"/>
          <w:szCs w:val="24"/>
        </w:rPr>
      </w:pPr>
    </w:p>
    <w:p w14:paraId="7B121E08"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4E52665D" w14:textId="2899C2B9" w:rsidR="00381035" w:rsidRPr="00381035" w:rsidRDefault="00381035" w:rsidP="00381035">
      <w:pPr>
        <w:tabs>
          <w:tab w:val="left" w:pos="851"/>
        </w:tabs>
        <w:ind w:left="851"/>
        <w:rPr>
          <w:sz w:val="24"/>
          <w:szCs w:val="24"/>
        </w:rPr>
      </w:pPr>
      <w:r w:rsidRPr="00381035">
        <w:rPr>
          <w:sz w:val="24"/>
          <w:szCs w:val="24"/>
        </w:rPr>
        <w:t>Infusionsvæske, opløsning</w:t>
      </w:r>
    </w:p>
    <w:p w14:paraId="4A2DE15D" w14:textId="77777777" w:rsidR="00381035" w:rsidRPr="00381035" w:rsidRDefault="00381035" w:rsidP="00381035">
      <w:pPr>
        <w:tabs>
          <w:tab w:val="left" w:pos="851"/>
        </w:tabs>
        <w:ind w:left="851"/>
        <w:rPr>
          <w:sz w:val="24"/>
          <w:szCs w:val="24"/>
        </w:rPr>
      </w:pPr>
    </w:p>
    <w:p w14:paraId="5D2B95FC" w14:textId="77777777" w:rsidR="00381035" w:rsidRPr="00381035" w:rsidRDefault="00381035" w:rsidP="00381035">
      <w:pPr>
        <w:tabs>
          <w:tab w:val="left" w:pos="851"/>
        </w:tabs>
        <w:ind w:left="851"/>
        <w:rPr>
          <w:sz w:val="24"/>
          <w:szCs w:val="24"/>
        </w:rPr>
      </w:pPr>
      <w:r w:rsidRPr="00381035">
        <w:rPr>
          <w:sz w:val="24"/>
          <w:szCs w:val="24"/>
        </w:rPr>
        <w:t>Klar, let gullig opløsning.</w:t>
      </w:r>
    </w:p>
    <w:p w14:paraId="7F282C15" w14:textId="77777777" w:rsidR="00381035" w:rsidRPr="00381035" w:rsidRDefault="00381035" w:rsidP="00381035">
      <w:pPr>
        <w:tabs>
          <w:tab w:val="left" w:pos="851"/>
        </w:tabs>
        <w:ind w:left="851"/>
        <w:rPr>
          <w:sz w:val="24"/>
          <w:szCs w:val="24"/>
        </w:rPr>
      </w:pPr>
      <w:r w:rsidRPr="00381035">
        <w:rPr>
          <w:sz w:val="24"/>
          <w:szCs w:val="24"/>
        </w:rPr>
        <w:t>Osmolaliteten i infusionsvæsken er mellem 285 og 315 mOsmol/kg.</w:t>
      </w:r>
    </w:p>
    <w:p w14:paraId="43301671" w14:textId="77777777" w:rsidR="00381035" w:rsidRPr="00381035" w:rsidRDefault="00381035" w:rsidP="00381035">
      <w:pPr>
        <w:tabs>
          <w:tab w:val="left" w:pos="851"/>
        </w:tabs>
        <w:ind w:left="851"/>
        <w:rPr>
          <w:sz w:val="24"/>
          <w:szCs w:val="24"/>
        </w:rPr>
      </w:pPr>
      <w:r w:rsidRPr="00381035">
        <w:rPr>
          <w:sz w:val="24"/>
          <w:szCs w:val="24"/>
        </w:rPr>
        <w:t>pH</w:t>
      </w:r>
      <w:r w:rsidRPr="00381035">
        <w:rPr>
          <w:sz w:val="24"/>
          <w:szCs w:val="24"/>
        </w:rPr>
        <w:noBreakHyphen/>
        <w:t>værdien i infusionsvæsken er mellem 5,0 og 6,0.</w:t>
      </w:r>
    </w:p>
    <w:p w14:paraId="6C39CF5D" w14:textId="77777777" w:rsidR="009260DE" w:rsidRPr="00C84483" w:rsidRDefault="009260DE" w:rsidP="009260DE">
      <w:pPr>
        <w:tabs>
          <w:tab w:val="left" w:pos="851"/>
        </w:tabs>
        <w:ind w:left="851"/>
        <w:rPr>
          <w:sz w:val="24"/>
          <w:szCs w:val="24"/>
        </w:rPr>
      </w:pPr>
    </w:p>
    <w:p w14:paraId="00D52085" w14:textId="77777777" w:rsidR="009260DE" w:rsidRPr="00C84483" w:rsidRDefault="009260DE" w:rsidP="009260DE">
      <w:pPr>
        <w:tabs>
          <w:tab w:val="left" w:pos="851"/>
        </w:tabs>
        <w:ind w:left="851"/>
        <w:rPr>
          <w:sz w:val="24"/>
          <w:szCs w:val="24"/>
        </w:rPr>
      </w:pPr>
    </w:p>
    <w:p w14:paraId="0B4D4564"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2E6BD436" w14:textId="77777777" w:rsidR="009260DE" w:rsidRPr="00C84483" w:rsidRDefault="009260DE" w:rsidP="009260DE">
      <w:pPr>
        <w:tabs>
          <w:tab w:val="left" w:pos="851"/>
        </w:tabs>
        <w:ind w:left="851"/>
        <w:rPr>
          <w:b/>
          <w:sz w:val="24"/>
          <w:szCs w:val="24"/>
        </w:rPr>
      </w:pPr>
    </w:p>
    <w:p w14:paraId="79B8FA83"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1E992262" w14:textId="77777777" w:rsidR="00542D93" w:rsidRPr="00542D93" w:rsidRDefault="00542D93" w:rsidP="00542D93">
      <w:pPr>
        <w:tabs>
          <w:tab w:val="left" w:pos="851"/>
        </w:tabs>
        <w:ind w:left="851"/>
        <w:rPr>
          <w:b/>
          <w:sz w:val="24"/>
          <w:szCs w:val="24"/>
        </w:rPr>
      </w:pPr>
      <w:r w:rsidRPr="00542D93">
        <w:rPr>
          <w:sz w:val="24"/>
          <w:szCs w:val="24"/>
        </w:rPr>
        <w:t>Paracetamol "Noridem" er indiceret til kortvarig behandling af moderate smerter, især efter kirurgiske indgreb, og til kortvarig behandling af feber, når intravenøs administration er klinisk berettiget på grund af et akut behov for behandling af smerter eller temperaturforhøjelse og/eller, når anden administrationsvej ikke er mulig.</w:t>
      </w:r>
    </w:p>
    <w:p w14:paraId="74209264" w14:textId="003017B7" w:rsidR="00542D93" w:rsidRDefault="00542D93">
      <w:pPr>
        <w:rPr>
          <w:sz w:val="24"/>
          <w:szCs w:val="24"/>
        </w:rPr>
      </w:pPr>
      <w:r>
        <w:rPr>
          <w:sz w:val="24"/>
          <w:szCs w:val="24"/>
        </w:rPr>
        <w:br w:type="page"/>
      </w:r>
    </w:p>
    <w:p w14:paraId="500A71E4" w14:textId="77777777" w:rsidR="009260DE" w:rsidRPr="00C84483" w:rsidRDefault="009260DE" w:rsidP="009260DE">
      <w:pPr>
        <w:tabs>
          <w:tab w:val="left" w:pos="851"/>
        </w:tabs>
        <w:ind w:left="851"/>
        <w:rPr>
          <w:sz w:val="24"/>
          <w:szCs w:val="24"/>
        </w:rPr>
      </w:pPr>
    </w:p>
    <w:p w14:paraId="209D0482"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5ECF364D" w14:textId="77777777" w:rsidR="00542D93" w:rsidRDefault="00542D93" w:rsidP="00542D93">
      <w:pPr>
        <w:tabs>
          <w:tab w:val="left" w:pos="1304"/>
        </w:tabs>
        <w:ind w:left="851"/>
        <w:rPr>
          <w:color w:val="000000"/>
          <w:sz w:val="22"/>
        </w:rPr>
      </w:pPr>
      <w:r>
        <w:rPr>
          <w:color w:val="000000"/>
        </w:rPr>
        <w:t>Intravenøs anvendelse.</w:t>
      </w:r>
    </w:p>
    <w:p w14:paraId="4E6304CF" w14:textId="77777777" w:rsidR="00542D93" w:rsidRDefault="00542D93" w:rsidP="00542D93">
      <w:pPr>
        <w:tabs>
          <w:tab w:val="left" w:pos="1304"/>
        </w:tabs>
        <w:ind w:left="851"/>
        <w:rPr>
          <w:color w:val="000000"/>
          <w:szCs w:val="22"/>
        </w:rPr>
      </w:pPr>
    </w:p>
    <w:p w14:paraId="47BC5510" w14:textId="77777777" w:rsidR="00542D93" w:rsidRDefault="00542D93" w:rsidP="00542D93">
      <w:pPr>
        <w:tabs>
          <w:tab w:val="left" w:pos="1304"/>
        </w:tabs>
        <w:ind w:left="851"/>
        <w:rPr>
          <w:color w:val="000000"/>
          <w:szCs w:val="22"/>
        </w:rPr>
      </w:pPr>
      <w:r>
        <w:rPr>
          <w:color w:val="000000"/>
        </w:rPr>
        <w:t xml:space="preserve">100 ml flasken må kun anvendes til voksne, unge og børn med en legemsvægt over 33 kg. </w:t>
      </w:r>
    </w:p>
    <w:p w14:paraId="1F1814D1" w14:textId="77777777" w:rsidR="00542D93" w:rsidRDefault="00542D93" w:rsidP="00542D93">
      <w:pPr>
        <w:tabs>
          <w:tab w:val="left" w:pos="1304"/>
        </w:tabs>
        <w:ind w:left="851"/>
        <w:rPr>
          <w:color w:val="000000"/>
          <w:szCs w:val="22"/>
        </w:rPr>
      </w:pPr>
      <w:r>
        <w:rPr>
          <w:color w:val="000000"/>
        </w:rPr>
        <w:t>50 ml beholderen må kun anvendes til nyfødte (fuldbårne), spædbørn, småbørn og børn med en legemsvægt under 33 kg.</w:t>
      </w:r>
    </w:p>
    <w:p w14:paraId="79E34CC5" w14:textId="7748B85E" w:rsidR="00542D93" w:rsidRDefault="00542D93" w:rsidP="00542D93">
      <w:pPr>
        <w:tabs>
          <w:tab w:val="left" w:pos="1304"/>
        </w:tabs>
        <w:ind w:left="851"/>
        <w:rPr>
          <w:color w:val="000000"/>
          <w:szCs w:val="22"/>
          <w:lang w:eastAsia="el-GR"/>
        </w:rPr>
      </w:pPr>
    </w:p>
    <w:p w14:paraId="1665181B" w14:textId="77777777" w:rsidR="00926723" w:rsidRPr="00926723" w:rsidRDefault="00926723" w:rsidP="00926723">
      <w:pPr>
        <w:tabs>
          <w:tab w:val="left" w:pos="1304"/>
        </w:tabs>
        <w:ind w:left="851"/>
        <w:rPr>
          <w:color w:val="000000"/>
          <w:szCs w:val="22"/>
          <w:u w:val="single"/>
          <w:lang w:eastAsia="el-GR"/>
        </w:rPr>
      </w:pPr>
      <w:r w:rsidRPr="00926723">
        <w:rPr>
          <w:color w:val="000000"/>
          <w:szCs w:val="22"/>
          <w:u w:val="single"/>
          <w:lang w:eastAsia="el-GR"/>
        </w:rPr>
        <w:t xml:space="preserve">Dosering </w:t>
      </w:r>
    </w:p>
    <w:p w14:paraId="0EF4E24B" w14:textId="636A5C20" w:rsidR="00926723" w:rsidRPr="00926723" w:rsidRDefault="00926723" w:rsidP="00926723">
      <w:pPr>
        <w:tabs>
          <w:tab w:val="left" w:pos="1304"/>
        </w:tabs>
        <w:ind w:left="851"/>
        <w:rPr>
          <w:color w:val="000000"/>
          <w:szCs w:val="22"/>
          <w:lang w:eastAsia="el-GR"/>
        </w:rPr>
      </w:pPr>
      <w:r w:rsidRPr="00926723">
        <w:rPr>
          <w:color w:val="000000"/>
          <w:szCs w:val="22"/>
          <w:lang w:eastAsia="el-GR"/>
        </w:rPr>
        <w:t>Doseringen baseres på patientens legemsvægt (se doseringstabellen nedenfor).</w:t>
      </w:r>
    </w:p>
    <w:p w14:paraId="6B04F0D6" w14:textId="77777777" w:rsidR="00926723" w:rsidRDefault="00926723" w:rsidP="00542D93">
      <w:pPr>
        <w:tabs>
          <w:tab w:val="left" w:pos="1304"/>
        </w:tabs>
        <w:ind w:left="851"/>
        <w:rPr>
          <w:color w:val="000000"/>
          <w:szCs w:val="22"/>
          <w:lang w:eastAsia="el-GR"/>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705"/>
        <w:gridCol w:w="1706"/>
        <w:gridCol w:w="1706"/>
        <w:gridCol w:w="1706"/>
      </w:tblGrid>
      <w:tr w:rsidR="00542D93" w14:paraId="72DA7818" w14:textId="77777777" w:rsidTr="006F718E">
        <w:tc>
          <w:tcPr>
            <w:tcW w:w="1705" w:type="dxa"/>
            <w:tcBorders>
              <w:top w:val="single" w:sz="4" w:space="0" w:color="auto"/>
              <w:left w:val="single" w:sz="4" w:space="0" w:color="auto"/>
              <w:bottom w:val="single" w:sz="4" w:space="0" w:color="auto"/>
              <w:right w:val="single" w:sz="4" w:space="0" w:color="auto"/>
            </w:tcBorders>
            <w:hideMark/>
          </w:tcPr>
          <w:p w14:paraId="3657F26F" w14:textId="77777777" w:rsidR="00542D93" w:rsidRDefault="00542D93">
            <w:pPr>
              <w:keepNext/>
              <w:keepLines/>
              <w:tabs>
                <w:tab w:val="left" w:pos="1304"/>
              </w:tabs>
              <w:rPr>
                <w:b/>
                <w:szCs w:val="22"/>
                <w:lang w:bidi="he-IL"/>
              </w:rPr>
            </w:pPr>
            <w:r>
              <w:rPr>
                <w:b/>
                <w:lang w:bidi="he-IL"/>
              </w:rPr>
              <w:t>Patientens legemsvægt</w:t>
            </w:r>
          </w:p>
        </w:tc>
        <w:tc>
          <w:tcPr>
            <w:tcW w:w="1705" w:type="dxa"/>
            <w:tcBorders>
              <w:top w:val="single" w:sz="4" w:space="0" w:color="auto"/>
              <w:left w:val="single" w:sz="4" w:space="0" w:color="auto"/>
              <w:bottom w:val="single" w:sz="4" w:space="0" w:color="auto"/>
              <w:right w:val="single" w:sz="4" w:space="0" w:color="auto"/>
            </w:tcBorders>
            <w:hideMark/>
          </w:tcPr>
          <w:p w14:paraId="66FC6018" w14:textId="77777777" w:rsidR="00542D93" w:rsidRDefault="00542D93">
            <w:pPr>
              <w:keepNext/>
              <w:keepLines/>
              <w:tabs>
                <w:tab w:val="left" w:pos="1304"/>
              </w:tabs>
              <w:rPr>
                <w:b/>
                <w:szCs w:val="22"/>
                <w:lang w:bidi="he-IL"/>
              </w:rPr>
            </w:pPr>
            <w:r>
              <w:rPr>
                <w:b/>
                <w:lang w:bidi="he-IL"/>
              </w:rPr>
              <w:t>Dosis pr. administration</w:t>
            </w:r>
          </w:p>
        </w:tc>
        <w:tc>
          <w:tcPr>
            <w:tcW w:w="1706" w:type="dxa"/>
            <w:tcBorders>
              <w:top w:val="single" w:sz="4" w:space="0" w:color="auto"/>
              <w:left w:val="single" w:sz="4" w:space="0" w:color="auto"/>
              <w:bottom w:val="single" w:sz="4" w:space="0" w:color="auto"/>
              <w:right w:val="single" w:sz="4" w:space="0" w:color="auto"/>
            </w:tcBorders>
            <w:hideMark/>
          </w:tcPr>
          <w:p w14:paraId="7AFF5567" w14:textId="77777777" w:rsidR="00542D93" w:rsidRDefault="00542D93">
            <w:pPr>
              <w:keepNext/>
              <w:keepLines/>
              <w:tabs>
                <w:tab w:val="left" w:pos="1304"/>
              </w:tabs>
              <w:rPr>
                <w:b/>
                <w:szCs w:val="22"/>
                <w:lang w:bidi="he-IL"/>
              </w:rPr>
            </w:pPr>
            <w:r>
              <w:rPr>
                <w:b/>
                <w:lang w:bidi="he-IL"/>
              </w:rPr>
              <w:t xml:space="preserve">Volumen pr. administration </w:t>
            </w:r>
          </w:p>
        </w:tc>
        <w:tc>
          <w:tcPr>
            <w:tcW w:w="1706" w:type="dxa"/>
            <w:tcBorders>
              <w:top w:val="single" w:sz="4" w:space="0" w:color="auto"/>
              <w:left w:val="single" w:sz="4" w:space="0" w:color="auto"/>
              <w:bottom w:val="single" w:sz="4" w:space="0" w:color="auto"/>
              <w:right w:val="single" w:sz="4" w:space="0" w:color="auto"/>
            </w:tcBorders>
            <w:hideMark/>
          </w:tcPr>
          <w:p w14:paraId="307C44B5" w14:textId="77777777" w:rsidR="00542D93" w:rsidRDefault="00542D93">
            <w:pPr>
              <w:keepNext/>
              <w:keepLines/>
              <w:tabs>
                <w:tab w:val="left" w:pos="1304"/>
              </w:tabs>
              <w:rPr>
                <w:b/>
                <w:szCs w:val="22"/>
                <w:lang w:eastAsia="el-GR" w:bidi="he-IL"/>
              </w:rPr>
            </w:pPr>
            <w:r>
              <w:rPr>
                <w:b/>
                <w:lang w:bidi="he-IL"/>
              </w:rPr>
              <w:t>Maksimal volumen af Paracetamol "Noridem" (10 mg/ml) pr. administration baseret på øvre vægtgrænse for gruppen (ml)**</w:t>
            </w:r>
          </w:p>
        </w:tc>
        <w:tc>
          <w:tcPr>
            <w:tcW w:w="1706" w:type="dxa"/>
            <w:tcBorders>
              <w:top w:val="single" w:sz="4" w:space="0" w:color="auto"/>
              <w:left w:val="single" w:sz="4" w:space="0" w:color="auto"/>
              <w:bottom w:val="single" w:sz="4" w:space="0" w:color="auto"/>
              <w:right w:val="single" w:sz="4" w:space="0" w:color="auto"/>
            </w:tcBorders>
            <w:hideMark/>
          </w:tcPr>
          <w:p w14:paraId="2A64A9FF" w14:textId="77777777" w:rsidR="00542D93" w:rsidRDefault="00542D93">
            <w:pPr>
              <w:keepNext/>
              <w:keepLines/>
              <w:tabs>
                <w:tab w:val="left" w:pos="1304"/>
              </w:tabs>
              <w:rPr>
                <w:b/>
                <w:szCs w:val="22"/>
                <w:lang w:bidi="he-IL"/>
              </w:rPr>
            </w:pPr>
            <w:r>
              <w:rPr>
                <w:b/>
                <w:lang w:bidi="he-IL"/>
              </w:rPr>
              <w:t>Maksimal daglig dosis***</w:t>
            </w:r>
          </w:p>
        </w:tc>
      </w:tr>
      <w:tr w:rsidR="00542D93" w14:paraId="7D74BE15" w14:textId="77777777" w:rsidTr="006F718E">
        <w:tc>
          <w:tcPr>
            <w:tcW w:w="1705" w:type="dxa"/>
            <w:tcBorders>
              <w:top w:val="single" w:sz="4" w:space="0" w:color="auto"/>
              <w:left w:val="single" w:sz="4" w:space="0" w:color="auto"/>
              <w:bottom w:val="single" w:sz="4" w:space="0" w:color="auto"/>
              <w:right w:val="single" w:sz="4" w:space="0" w:color="auto"/>
            </w:tcBorders>
            <w:hideMark/>
          </w:tcPr>
          <w:p w14:paraId="423E3677" w14:textId="77777777" w:rsidR="00542D93" w:rsidRDefault="00542D93">
            <w:pPr>
              <w:tabs>
                <w:tab w:val="left" w:pos="1304"/>
              </w:tabs>
              <w:rPr>
                <w:b/>
                <w:szCs w:val="22"/>
                <w:lang w:bidi="he-IL"/>
              </w:rPr>
            </w:pPr>
            <w:r>
              <w:rPr>
                <w:b/>
                <w:lang w:bidi="he-IL"/>
              </w:rPr>
              <w:t>≤ 10 kg*</w:t>
            </w:r>
          </w:p>
        </w:tc>
        <w:tc>
          <w:tcPr>
            <w:tcW w:w="1705" w:type="dxa"/>
            <w:tcBorders>
              <w:top w:val="single" w:sz="4" w:space="0" w:color="auto"/>
              <w:left w:val="single" w:sz="4" w:space="0" w:color="auto"/>
              <w:bottom w:val="single" w:sz="4" w:space="0" w:color="auto"/>
              <w:right w:val="single" w:sz="4" w:space="0" w:color="auto"/>
            </w:tcBorders>
            <w:hideMark/>
          </w:tcPr>
          <w:p w14:paraId="67BC55E9" w14:textId="77777777" w:rsidR="00542D93" w:rsidRDefault="00542D93">
            <w:pPr>
              <w:tabs>
                <w:tab w:val="left" w:pos="1304"/>
              </w:tabs>
              <w:rPr>
                <w:szCs w:val="22"/>
                <w:lang w:bidi="he-IL"/>
              </w:rPr>
            </w:pPr>
            <w:r>
              <w:rPr>
                <w:lang w:bidi="he-IL"/>
              </w:rPr>
              <w:t>7,5 mg/kg</w:t>
            </w:r>
          </w:p>
        </w:tc>
        <w:tc>
          <w:tcPr>
            <w:tcW w:w="1706" w:type="dxa"/>
            <w:tcBorders>
              <w:top w:val="single" w:sz="4" w:space="0" w:color="auto"/>
              <w:left w:val="single" w:sz="4" w:space="0" w:color="auto"/>
              <w:bottom w:val="single" w:sz="4" w:space="0" w:color="auto"/>
              <w:right w:val="single" w:sz="4" w:space="0" w:color="auto"/>
            </w:tcBorders>
            <w:hideMark/>
          </w:tcPr>
          <w:p w14:paraId="3F38ADF3" w14:textId="77777777" w:rsidR="00542D93" w:rsidRDefault="00542D93">
            <w:pPr>
              <w:tabs>
                <w:tab w:val="left" w:pos="1304"/>
              </w:tabs>
              <w:rPr>
                <w:szCs w:val="22"/>
                <w:lang w:bidi="he-IL"/>
              </w:rPr>
            </w:pPr>
            <w:r>
              <w:rPr>
                <w:lang w:bidi="he-IL"/>
              </w:rPr>
              <w:t>0,75 ml/kg</w:t>
            </w:r>
          </w:p>
        </w:tc>
        <w:tc>
          <w:tcPr>
            <w:tcW w:w="1706" w:type="dxa"/>
            <w:tcBorders>
              <w:top w:val="single" w:sz="4" w:space="0" w:color="auto"/>
              <w:left w:val="single" w:sz="4" w:space="0" w:color="auto"/>
              <w:bottom w:val="single" w:sz="4" w:space="0" w:color="auto"/>
              <w:right w:val="single" w:sz="4" w:space="0" w:color="auto"/>
            </w:tcBorders>
            <w:hideMark/>
          </w:tcPr>
          <w:p w14:paraId="7C76291A" w14:textId="77777777" w:rsidR="00542D93" w:rsidRDefault="00542D93">
            <w:pPr>
              <w:tabs>
                <w:tab w:val="left" w:pos="1304"/>
              </w:tabs>
              <w:rPr>
                <w:szCs w:val="22"/>
                <w:lang w:bidi="he-IL"/>
              </w:rPr>
            </w:pPr>
            <w:r>
              <w:rPr>
                <w:lang w:bidi="he-IL"/>
              </w:rPr>
              <w:t>7,5 ml</w:t>
            </w:r>
          </w:p>
        </w:tc>
        <w:tc>
          <w:tcPr>
            <w:tcW w:w="1706" w:type="dxa"/>
            <w:tcBorders>
              <w:top w:val="single" w:sz="4" w:space="0" w:color="auto"/>
              <w:left w:val="single" w:sz="4" w:space="0" w:color="auto"/>
              <w:bottom w:val="single" w:sz="4" w:space="0" w:color="auto"/>
              <w:right w:val="single" w:sz="4" w:space="0" w:color="auto"/>
            </w:tcBorders>
            <w:hideMark/>
          </w:tcPr>
          <w:p w14:paraId="5C13C4E0" w14:textId="77777777" w:rsidR="00542D93" w:rsidRDefault="00542D93">
            <w:pPr>
              <w:tabs>
                <w:tab w:val="left" w:pos="1304"/>
              </w:tabs>
              <w:rPr>
                <w:szCs w:val="22"/>
                <w:lang w:bidi="he-IL"/>
              </w:rPr>
            </w:pPr>
            <w:r>
              <w:rPr>
                <w:lang w:bidi="he-IL"/>
              </w:rPr>
              <w:t>30 mg/kg</w:t>
            </w:r>
          </w:p>
        </w:tc>
      </w:tr>
      <w:tr w:rsidR="00542D93" w14:paraId="1A3E466E" w14:textId="77777777" w:rsidTr="006F718E">
        <w:tc>
          <w:tcPr>
            <w:tcW w:w="1705" w:type="dxa"/>
            <w:tcBorders>
              <w:top w:val="single" w:sz="4" w:space="0" w:color="auto"/>
              <w:left w:val="single" w:sz="4" w:space="0" w:color="auto"/>
              <w:bottom w:val="single" w:sz="4" w:space="0" w:color="auto"/>
              <w:right w:val="single" w:sz="4" w:space="0" w:color="auto"/>
            </w:tcBorders>
            <w:hideMark/>
          </w:tcPr>
          <w:p w14:paraId="02AD1D60" w14:textId="77777777" w:rsidR="00542D93" w:rsidRDefault="00542D93">
            <w:pPr>
              <w:tabs>
                <w:tab w:val="left" w:pos="1304"/>
              </w:tabs>
              <w:rPr>
                <w:b/>
                <w:szCs w:val="22"/>
                <w:lang w:bidi="he-IL"/>
              </w:rPr>
            </w:pPr>
            <w:r>
              <w:rPr>
                <w:b/>
                <w:lang w:bidi="he-IL"/>
              </w:rPr>
              <w:t>&gt; 10 kg til ≤ 33 kg</w:t>
            </w:r>
          </w:p>
        </w:tc>
        <w:tc>
          <w:tcPr>
            <w:tcW w:w="1705" w:type="dxa"/>
            <w:tcBorders>
              <w:top w:val="single" w:sz="4" w:space="0" w:color="auto"/>
              <w:left w:val="single" w:sz="4" w:space="0" w:color="auto"/>
              <w:bottom w:val="single" w:sz="4" w:space="0" w:color="auto"/>
              <w:right w:val="single" w:sz="4" w:space="0" w:color="auto"/>
            </w:tcBorders>
            <w:hideMark/>
          </w:tcPr>
          <w:p w14:paraId="464C9529" w14:textId="77777777" w:rsidR="00542D93" w:rsidRDefault="00542D93">
            <w:pPr>
              <w:tabs>
                <w:tab w:val="left" w:pos="1304"/>
              </w:tabs>
              <w:rPr>
                <w:szCs w:val="22"/>
                <w:lang w:bidi="he-IL"/>
              </w:rPr>
            </w:pPr>
            <w:r>
              <w:rPr>
                <w:lang w:bidi="he-IL"/>
              </w:rPr>
              <w:t>15 mg/kg</w:t>
            </w:r>
          </w:p>
        </w:tc>
        <w:tc>
          <w:tcPr>
            <w:tcW w:w="1706" w:type="dxa"/>
            <w:tcBorders>
              <w:top w:val="single" w:sz="4" w:space="0" w:color="auto"/>
              <w:left w:val="single" w:sz="4" w:space="0" w:color="auto"/>
              <w:bottom w:val="single" w:sz="4" w:space="0" w:color="auto"/>
              <w:right w:val="single" w:sz="4" w:space="0" w:color="auto"/>
            </w:tcBorders>
            <w:hideMark/>
          </w:tcPr>
          <w:p w14:paraId="030322F6" w14:textId="77777777" w:rsidR="00542D93" w:rsidRDefault="00542D93">
            <w:pPr>
              <w:tabs>
                <w:tab w:val="left" w:pos="1304"/>
              </w:tabs>
              <w:rPr>
                <w:szCs w:val="22"/>
                <w:lang w:bidi="he-IL"/>
              </w:rPr>
            </w:pPr>
            <w:r>
              <w:rPr>
                <w:lang w:bidi="he-IL"/>
              </w:rPr>
              <w:t>1,5 ml/kg</w:t>
            </w:r>
          </w:p>
        </w:tc>
        <w:tc>
          <w:tcPr>
            <w:tcW w:w="1706" w:type="dxa"/>
            <w:tcBorders>
              <w:top w:val="single" w:sz="4" w:space="0" w:color="auto"/>
              <w:left w:val="single" w:sz="4" w:space="0" w:color="auto"/>
              <w:bottom w:val="single" w:sz="4" w:space="0" w:color="auto"/>
              <w:right w:val="single" w:sz="4" w:space="0" w:color="auto"/>
            </w:tcBorders>
            <w:hideMark/>
          </w:tcPr>
          <w:p w14:paraId="2A60F26A" w14:textId="77777777" w:rsidR="00542D93" w:rsidRDefault="00542D93">
            <w:pPr>
              <w:tabs>
                <w:tab w:val="left" w:pos="1304"/>
              </w:tabs>
              <w:rPr>
                <w:szCs w:val="22"/>
                <w:lang w:bidi="he-IL"/>
              </w:rPr>
            </w:pPr>
            <w:r>
              <w:rPr>
                <w:lang w:bidi="he-IL"/>
              </w:rPr>
              <w:t>49,5 ml</w:t>
            </w:r>
          </w:p>
        </w:tc>
        <w:tc>
          <w:tcPr>
            <w:tcW w:w="1706" w:type="dxa"/>
            <w:tcBorders>
              <w:top w:val="single" w:sz="4" w:space="0" w:color="auto"/>
              <w:left w:val="single" w:sz="4" w:space="0" w:color="auto"/>
              <w:bottom w:val="single" w:sz="4" w:space="0" w:color="auto"/>
              <w:right w:val="single" w:sz="4" w:space="0" w:color="auto"/>
            </w:tcBorders>
            <w:hideMark/>
          </w:tcPr>
          <w:p w14:paraId="64408514" w14:textId="77777777" w:rsidR="00542D93" w:rsidRDefault="00542D93">
            <w:pPr>
              <w:tabs>
                <w:tab w:val="left" w:pos="1304"/>
              </w:tabs>
              <w:rPr>
                <w:szCs w:val="22"/>
                <w:lang w:bidi="he-IL"/>
              </w:rPr>
            </w:pPr>
            <w:r>
              <w:rPr>
                <w:lang w:bidi="he-IL"/>
              </w:rPr>
              <w:t>60 mg/kg, dog højst 2 g</w:t>
            </w:r>
          </w:p>
        </w:tc>
      </w:tr>
      <w:tr w:rsidR="00542D93" w14:paraId="5EC5CF44" w14:textId="77777777" w:rsidTr="006F718E">
        <w:tc>
          <w:tcPr>
            <w:tcW w:w="1705" w:type="dxa"/>
            <w:tcBorders>
              <w:top w:val="single" w:sz="4" w:space="0" w:color="auto"/>
              <w:left w:val="single" w:sz="4" w:space="0" w:color="auto"/>
              <w:bottom w:val="single" w:sz="4" w:space="0" w:color="auto"/>
              <w:right w:val="single" w:sz="4" w:space="0" w:color="auto"/>
            </w:tcBorders>
            <w:hideMark/>
          </w:tcPr>
          <w:p w14:paraId="6220AE98" w14:textId="77777777" w:rsidR="00542D93" w:rsidRDefault="00542D93">
            <w:pPr>
              <w:tabs>
                <w:tab w:val="left" w:pos="1304"/>
              </w:tabs>
              <w:rPr>
                <w:b/>
                <w:szCs w:val="22"/>
                <w:lang w:bidi="he-IL"/>
              </w:rPr>
            </w:pPr>
            <w:r>
              <w:rPr>
                <w:b/>
                <w:lang w:bidi="he-IL"/>
              </w:rPr>
              <w:t>&gt; 33 kg til ≤ 50 kg</w:t>
            </w:r>
          </w:p>
        </w:tc>
        <w:tc>
          <w:tcPr>
            <w:tcW w:w="1705" w:type="dxa"/>
            <w:tcBorders>
              <w:top w:val="single" w:sz="4" w:space="0" w:color="auto"/>
              <w:left w:val="single" w:sz="4" w:space="0" w:color="auto"/>
              <w:bottom w:val="single" w:sz="4" w:space="0" w:color="auto"/>
              <w:right w:val="single" w:sz="4" w:space="0" w:color="auto"/>
            </w:tcBorders>
            <w:hideMark/>
          </w:tcPr>
          <w:p w14:paraId="1AD6E5BF" w14:textId="77777777" w:rsidR="00542D93" w:rsidRDefault="00542D93">
            <w:pPr>
              <w:tabs>
                <w:tab w:val="left" w:pos="1304"/>
              </w:tabs>
              <w:rPr>
                <w:szCs w:val="22"/>
                <w:lang w:bidi="he-IL"/>
              </w:rPr>
            </w:pPr>
            <w:r>
              <w:rPr>
                <w:lang w:bidi="he-IL"/>
              </w:rPr>
              <w:t>15 mg/kg</w:t>
            </w:r>
          </w:p>
        </w:tc>
        <w:tc>
          <w:tcPr>
            <w:tcW w:w="1706" w:type="dxa"/>
            <w:tcBorders>
              <w:top w:val="single" w:sz="4" w:space="0" w:color="auto"/>
              <w:left w:val="single" w:sz="4" w:space="0" w:color="auto"/>
              <w:bottom w:val="single" w:sz="4" w:space="0" w:color="auto"/>
              <w:right w:val="single" w:sz="4" w:space="0" w:color="auto"/>
            </w:tcBorders>
            <w:hideMark/>
          </w:tcPr>
          <w:p w14:paraId="413892C6" w14:textId="77777777" w:rsidR="00542D93" w:rsidRDefault="00542D93">
            <w:pPr>
              <w:tabs>
                <w:tab w:val="left" w:pos="1304"/>
              </w:tabs>
              <w:rPr>
                <w:szCs w:val="22"/>
                <w:lang w:bidi="he-IL"/>
              </w:rPr>
            </w:pPr>
            <w:r>
              <w:rPr>
                <w:lang w:bidi="he-IL"/>
              </w:rPr>
              <w:t>1,5 ml/kg</w:t>
            </w:r>
          </w:p>
        </w:tc>
        <w:tc>
          <w:tcPr>
            <w:tcW w:w="1706" w:type="dxa"/>
            <w:tcBorders>
              <w:top w:val="single" w:sz="4" w:space="0" w:color="auto"/>
              <w:left w:val="single" w:sz="4" w:space="0" w:color="auto"/>
              <w:bottom w:val="single" w:sz="4" w:space="0" w:color="auto"/>
              <w:right w:val="single" w:sz="4" w:space="0" w:color="auto"/>
            </w:tcBorders>
            <w:hideMark/>
          </w:tcPr>
          <w:p w14:paraId="32638D39" w14:textId="77777777" w:rsidR="00542D93" w:rsidRDefault="00542D93">
            <w:pPr>
              <w:tabs>
                <w:tab w:val="left" w:pos="1304"/>
              </w:tabs>
              <w:rPr>
                <w:szCs w:val="22"/>
                <w:lang w:bidi="he-IL"/>
              </w:rPr>
            </w:pPr>
            <w:r>
              <w:rPr>
                <w:lang w:bidi="he-IL"/>
              </w:rPr>
              <w:t>75 ml</w:t>
            </w:r>
          </w:p>
        </w:tc>
        <w:tc>
          <w:tcPr>
            <w:tcW w:w="1706" w:type="dxa"/>
            <w:tcBorders>
              <w:top w:val="single" w:sz="4" w:space="0" w:color="auto"/>
              <w:left w:val="single" w:sz="4" w:space="0" w:color="auto"/>
              <w:bottom w:val="single" w:sz="4" w:space="0" w:color="auto"/>
              <w:right w:val="single" w:sz="4" w:space="0" w:color="auto"/>
            </w:tcBorders>
            <w:hideMark/>
          </w:tcPr>
          <w:p w14:paraId="302D8EA3" w14:textId="77777777" w:rsidR="00542D93" w:rsidRDefault="00542D93">
            <w:pPr>
              <w:tabs>
                <w:tab w:val="left" w:pos="1304"/>
              </w:tabs>
              <w:rPr>
                <w:szCs w:val="22"/>
                <w:lang w:bidi="he-IL"/>
              </w:rPr>
            </w:pPr>
            <w:r>
              <w:rPr>
                <w:lang w:bidi="he-IL"/>
              </w:rPr>
              <w:t>60 mg/kg, dog højst 3 g</w:t>
            </w:r>
          </w:p>
        </w:tc>
      </w:tr>
      <w:tr w:rsidR="00542D93" w14:paraId="3A1CE231" w14:textId="77777777" w:rsidTr="006F718E">
        <w:tc>
          <w:tcPr>
            <w:tcW w:w="1705" w:type="dxa"/>
            <w:tcBorders>
              <w:top w:val="single" w:sz="4" w:space="0" w:color="auto"/>
              <w:left w:val="single" w:sz="4" w:space="0" w:color="auto"/>
              <w:bottom w:val="single" w:sz="4" w:space="0" w:color="auto"/>
              <w:right w:val="single" w:sz="4" w:space="0" w:color="auto"/>
            </w:tcBorders>
            <w:hideMark/>
          </w:tcPr>
          <w:p w14:paraId="65AD4B8D" w14:textId="1C2A6CFA" w:rsidR="00542D93" w:rsidRDefault="00542D93">
            <w:pPr>
              <w:tabs>
                <w:tab w:val="left" w:pos="1304"/>
              </w:tabs>
              <w:rPr>
                <w:b/>
                <w:szCs w:val="22"/>
                <w:lang w:bidi="he-IL"/>
              </w:rPr>
            </w:pPr>
            <w:r>
              <w:rPr>
                <w:b/>
                <w:lang w:bidi="he-IL"/>
              </w:rPr>
              <w:t>&gt; 50 kg og yderligere risikofaktorer for hepato</w:t>
            </w:r>
            <w:r w:rsidR="006F718E">
              <w:rPr>
                <w:b/>
                <w:lang w:bidi="he-IL"/>
              </w:rPr>
              <w:softHyphen/>
            </w:r>
            <w:r>
              <w:rPr>
                <w:b/>
                <w:lang w:bidi="he-IL"/>
              </w:rPr>
              <w:t xml:space="preserve">toksicitet </w:t>
            </w:r>
          </w:p>
        </w:tc>
        <w:tc>
          <w:tcPr>
            <w:tcW w:w="1705" w:type="dxa"/>
            <w:tcBorders>
              <w:top w:val="single" w:sz="4" w:space="0" w:color="auto"/>
              <w:left w:val="single" w:sz="4" w:space="0" w:color="auto"/>
              <w:bottom w:val="single" w:sz="4" w:space="0" w:color="auto"/>
              <w:right w:val="single" w:sz="4" w:space="0" w:color="auto"/>
            </w:tcBorders>
            <w:hideMark/>
          </w:tcPr>
          <w:p w14:paraId="443856FC" w14:textId="77777777" w:rsidR="00542D93" w:rsidRDefault="00542D93">
            <w:pPr>
              <w:tabs>
                <w:tab w:val="left" w:pos="1304"/>
              </w:tabs>
              <w:rPr>
                <w:szCs w:val="22"/>
                <w:lang w:eastAsia="el-GR" w:bidi="he-IL"/>
              </w:rPr>
            </w:pPr>
            <w:r>
              <w:rPr>
                <w:lang w:bidi="he-IL"/>
              </w:rPr>
              <w:t>1 g</w:t>
            </w:r>
          </w:p>
        </w:tc>
        <w:tc>
          <w:tcPr>
            <w:tcW w:w="1706" w:type="dxa"/>
            <w:tcBorders>
              <w:top w:val="single" w:sz="4" w:space="0" w:color="auto"/>
              <w:left w:val="single" w:sz="4" w:space="0" w:color="auto"/>
              <w:bottom w:val="single" w:sz="4" w:space="0" w:color="auto"/>
              <w:right w:val="single" w:sz="4" w:space="0" w:color="auto"/>
            </w:tcBorders>
            <w:hideMark/>
          </w:tcPr>
          <w:p w14:paraId="406DD791" w14:textId="77777777" w:rsidR="00542D93" w:rsidRDefault="00542D93">
            <w:pPr>
              <w:tabs>
                <w:tab w:val="left" w:pos="1304"/>
              </w:tabs>
              <w:rPr>
                <w:szCs w:val="22"/>
                <w:lang w:bidi="he-IL"/>
              </w:rPr>
            </w:pPr>
            <w:r>
              <w:rPr>
                <w:lang w:bidi="he-IL"/>
              </w:rPr>
              <w:t>100 ml</w:t>
            </w:r>
          </w:p>
        </w:tc>
        <w:tc>
          <w:tcPr>
            <w:tcW w:w="1706" w:type="dxa"/>
            <w:tcBorders>
              <w:top w:val="single" w:sz="4" w:space="0" w:color="auto"/>
              <w:left w:val="single" w:sz="4" w:space="0" w:color="auto"/>
              <w:bottom w:val="single" w:sz="4" w:space="0" w:color="auto"/>
              <w:right w:val="single" w:sz="4" w:space="0" w:color="auto"/>
            </w:tcBorders>
            <w:hideMark/>
          </w:tcPr>
          <w:p w14:paraId="50F39D3B" w14:textId="77777777" w:rsidR="00542D93" w:rsidRDefault="00542D93">
            <w:pPr>
              <w:tabs>
                <w:tab w:val="left" w:pos="1304"/>
              </w:tabs>
              <w:rPr>
                <w:szCs w:val="22"/>
                <w:lang w:bidi="he-IL"/>
              </w:rPr>
            </w:pPr>
            <w:r>
              <w:rPr>
                <w:lang w:bidi="he-IL"/>
              </w:rPr>
              <w:t>100 ml</w:t>
            </w:r>
          </w:p>
        </w:tc>
        <w:tc>
          <w:tcPr>
            <w:tcW w:w="1706" w:type="dxa"/>
            <w:tcBorders>
              <w:top w:val="single" w:sz="4" w:space="0" w:color="auto"/>
              <w:left w:val="single" w:sz="4" w:space="0" w:color="auto"/>
              <w:bottom w:val="single" w:sz="4" w:space="0" w:color="auto"/>
              <w:right w:val="single" w:sz="4" w:space="0" w:color="auto"/>
            </w:tcBorders>
            <w:hideMark/>
          </w:tcPr>
          <w:p w14:paraId="2CE3CC2F" w14:textId="77777777" w:rsidR="00542D93" w:rsidRDefault="00542D93">
            <w:pPr>
              <w:tabs>
                <w:tab w:val="left" w:pos="1304"/>
              </w:tabs>
              <w:rPr>
                <w:szCs w:val="22"/>
                <w:lang w:bidi="he-IL"/>
              </w:rPr>
            </w:pPr>
            <w:r>
              <w:rPr>
                <w:lang w:bidi="he-IL"/>
              </w:rPr>
              <w:t>3 g</w:t>
            </w:r>
          </w:p>
        </w:tc>
      </w:tr>
      <w:tr w:rsidR="00542D93" w14:paraId="5410C561" w14:textId="77777777" w:rsidTr="006F718E">
        <w:tc>
          <w:tcPr>
            <w:tcW w:w="1705" w:type="dxa"/>
            <w:tcBorders>
              <w:top w:val="single" w:sz="4" w:space="0" w:color="auto"/>
              <w:left w:val="single" w:sz="4" w:space="0" w:color="auto"/>
              <w:bottom w:val="single" w:sz="4" w:space="0" w:color="auto"/>
              <w:right w:val="single" w:sz="4" w:space="0" w:color="auto"/>
            </w:tcBorders>
            <w:hideMark/>
          </w:tcPr>
          <w:p w14:paraId="011E57B5" w14:textId="661AD68A" w:rsidR="00542D93" w:rsidRPr="006F718E" w:rsidRDefault="00542D93">
            <w:pPr>
              <w:tabs>
                <w:tab w:val="left" w:pos="1304"/>
              </w:tabs>
              <w:rPr>
                <w:b/>
                <w:lang w:bidi="he-IL"/>
              </w:rPr>
            </w:pPr>
            <w:r>
              <w:rPr>
                <w:b/>
                <w:lang w:bidi="he-IL"/>
              </w:rPr>
              <w:t>&gt; 50 kg og ingen yderligere risikofaktorer for hepato</w:t>
            </w:r>
            <w:r w:rsidR="006F718E">
              <w:rPr>
                <w:b/>
                <w:lang w:bidi="he-IL"/>
              </w:rPr>
              <w:softHyphen/>
            </w:r>
            <w:r>
              <w:rPr>
                <w:b/>
                <w:lang w:bidi="he-IL"/>
              </w:rPr>
              <w:t>toksicitet</w:t>
            </w:r>
          </w:p>
        </w:tc>
        <w:tc>
          <w:tcPr>
            <w:tcW w:w="1705" w:type="dxa"/>
            <w:tcBorders>
              <w:top w:val="single" w:sz="4" w:space="0" w:color="auto"/>
              <w:left w:val="single" w:sz="4" w:space="0" w:color="auto"/>
              <w:bottom w:val="single" w:sz="4" w:space="0" w:color="auto"/>
              <w:right w:val="single" w:sz="4" w:space="0" w:color="auto"/>
            </w:tcBorders>
            <w:hideMark/>
          </w:tcPr>
          <w:p w14:paraId="04176F6F" w14:textId="77777777" w:rsidR="00542D93" w:rsidRDefault="00542D93">
            <w:pPr>
              <w:tabs>
                <w:tab w:val="left" w:pos="1304"/>
              </w:tabs>
              <w:rPr>
                <w:szCs w:val="22"/>
                <w:lang w:bidi="he-IL"/>
              </w:rPr>
            </w:pPr>
            <w:r>
              <w:rPr>
                <w:lang w:bidi="he-IL"/>
              </w:rPr>
              <w:t>1 g</w:t>
            </w:r>
          </w:p>
        </w:tc>
        <w:tc>
          <w:tcPr>
            <w:tcW w:w="1706" w:type="dxa"/>
            <w:tcBorders>
              <w:top w:val="single" w:sz="4" w:space="0" w:color="auto"/>
              <w:left w:val="single" w:sz="4" w:space="0" w:color="auto"/>
              <w:bottom w:val="single" w:sz="4" w:space="0" w:color="auto"/>
              <w:right w:val="single" w:sz="4" w:space="0" w:color="auto"/>
            </w:tcBorders>
            <w:hideMark/>
          </w:tcPr>
          <w:p w14:paraId="121A9D0A" w14:textId="77777777" w:rsidR="00542D93" w:rsidRDefault="00542D93">
            <w:pPr>
              <w:tabs>
                <w:tab w:val="left" w:pos="1304"/>
              </w:tabs>
              <w:rPr>
                <w:szCs w:val="22"/>
                <w:lang w:bidi="he-IL"/>
              </w:rPr>
            </w:pPr>
            <w:r>
              <w:rPr>
                <w:lang w:bidi="he-IL"/>
              </w:rPr>
              <w:t>100 ml</w:t>
            </w:r>
          </w:p>
        </w:tc>
        <w:tc>
          <w:tcPr>
            <w:tcW w:w="1706" w:type="dxa"/>
            <w:tcBorders>
              <w:top w:val="single" w:sz="4" w:space="0" w:color="auto"/>
              <w:left w:val="single" w:sz="4" w:space="0" w:color="auto"/>
              <w:bottom w:val="single" w:sz="4" w:space="0" w:color="auto"/>
              <w:right w:val="single" w:sz="4" w:space="0" w:color="auto"/>
            </w:tcBorders>
            <w:hideMark/>
          </w:tcPr>
          <w:p w14:paraId="220751F3" w14:textId="77777777" w:rsidR="00542D93" w:rsidRDefault="00542D93">
            <w:pPr>
              <w:tabs>
                <w:tab w:val="left" w:pos="1304"/>
              </w:tabs>
              <w:rPr>
                <w:szCs w:val="22"/>
                <w:lang w:bidi="he-IL"/>
              </w:rPr>
            </w:pPr>
            <w:r>
              <w:rPr>
                <w:lang w:bidi="he-IL"/>
              </w:rPr>
              <w:t>100 ml</w:t>
            </w:r>
          </w:p>
        </w:tc>
        <w:tc>
          <w:tcPr>
            <w:tcW w:w="1706" w:type="dxa"/>
            <w:tcBorders>
              <w:top w:val="single" w:sz="4" w:space="0" w:color="auto"/>
              <w:left w:val="single" w:sz="4" w:space="0" w:color="auto"/>
              <w:bottom w:val="single" w:sz="4" w:space="0" w:color="auto"/>
              <w:right w:val="single" w:sz="4" w:space="0" w:color="auto"/>
            </w:tcBorders>
            <w:hideMark/>
          </w:tcPr>
          <w:p w14:paraId="0DDF8C29" w14:textId="77777777" w:rsidR="00542D93" w:rsidRDefault="00542D93">
            <w:pPr>
              <w:tabs>
                <w:tab w:val="left" w:pos="1304"/>
              </w:tabs>
              <w:rPr>
                <w:szCs w:val="22"/>
                <w:lang w:bidi="he-IL"/>
              </w:rPr>
            </w:pPr>
            <w:r>
              <w:rPr>
                <w:lang w:bidi="he-IL"/>
              </w:rPr>
              <w:t>4 g</w:t>
            </w:r>
          </w:p>
        </w:tc>
      </w:tr>
    </w:tbl>
    <w:p w14:paraId="2270F4D4" w14:textId="77777777" w:rsidR="00542D93" w:rsidRPr="00542D93" w:rsidRDefault="00542D93" w:rsidP="006F718E">
      <w:pPr>
        <w:tabs>
          <w:tab w:val="left" w:pos="1304"/>
        </w:tabs>
        <w:ind w:left="1276" w:hanging="425"/>
        <w:rPr>
          <w:sz w:val="20"/>
          <w:lang w:eastAsia="el-GR"/>
        </w:rPr>
      </w:pPr>
    </w:p>
    <w:p w14:paraId="626D33A4" w14:textId="3584BE6A" w:rsidR="00542D93" w:rsidRPr="00542D93" w:rsidRDefault="00542D93" w:rsidP="00926723">
      <w:pPr>
        <w:tabs>
          <w:tab w:val="left" w:pos="851"/>
        </w:tabs>
        <w:ind w:left="1276" w:hanging="425"/>
        <w:rPr>
          <w:sz w:val="20"/>
        </w:rPr>
      </w:pPr>
      <w:r w:rsidRPr="00542D93">
        <w:rPr>
          <w:b/>
          <w:sz w:val="20"/>
        </w:rPr>
        <w:t>*</w:t>
      </w:r>
      <w:r>
        <w:rPr>
          <w:b/>
          <w:sz w:val="20"/>
        </w:rPr>
        <w:tab/>
      </w:r>
      <w:r w:rsidRPr="00542D93">
        <w:rPr>
          <w:b/>
          <w:sz w:val="20"/>
        </w:rPr>
        <w:t>Præmature nyfødte:</w:t>
      </w:r>
      <w:r w:rsidRPr="00542D93">
        <w:rPr>
          <w:sz w:val="20"/>
        </w:rPr>
        <w:t xml:space="preserve"> Der foreligger ingen data om sikkerhed og virkning for præmature nyfødte børn (se pkt.</w:t>
      </w:r>
      <w:r w:rsidR="00926723">
        <w:rPr>
          <w:sz w:val="20"/>
        </w:rPr>
        <w:t xml:space="preserve"> </w:t>
      </w:r>
      <w:r w:rsidRPr="00542D93">
        <w:rPr>
          <w:sz w:val="20"/>
        </w:rPr>
        <w:t>5.2).</w:t>
      </w:r>
    </w:p>
    <w:p w14:paraId="7E88C204" w14:textId="7FFDEC56" w:rsidR="00542D93" w:rsidRDefault="00542D93" w:rsidP="00926723">
      <w:pPr>
        <w:tabs>
          <w:tab w:val="left" w:pos="851"/>
          <w:tab w:val="left" w:pos="1276"/>
        </w:tabs>
        <w:ind w:left="1276" w:hanging="425"/>
        <w:rPr>
          <w:sz w:val="20"/>
        </w:rPr>
      </w:pPr>
      <w:r w:rsidRPr="00542D93">
        <w:rPr>
          <w:b/>
          <w:sz w:val="20"/>
        </w:rPr>
        <w:t>**</w:t>
      </w:r>
      <w:r>
        <w:rPr>
          <w:b/>
          <w:sz w:val="20"/>
        </w:rPr>
        <w:tab/>
      </w:r>
      <w:r w:rsidRPr="00542D93">
        <w:rPr>
          <w:sz w:val="20"/>
        </w:rPr>
        <w:t>Patienter, med lavere legemsvægt skal have et lavere administrationsvolumen.</w:t>
      </w:r>
    </w:p>
    <w:p w14:paraId="00C338AA" w14:textId="00E8E0B8" w:rsidR="00542D93" w:rsidRPr="00542D93" w:rsidRDefault="00926723" w:rsidP="00926723">
      <w:pPr>
        <w:tabs>
          <w:tab w:val="left" w:pos="851"/>
        </w:tabs>
        <w:ind w:left="1276" w:hanging="425"/>
        <w:rPr>
          <w:sz w:val="20"/>
        </w:rPr>
      </w:pPr>
      <w:r>
        <w:rPr>
          <w:b/>
          <w:sz w:val="20"/>
        </w:rPr>
        <w:tab/>
      </w:r>
      <w:r w:rsidR="00542D93" w:rsidRPr="00542D93">
        <w:rPr>
          <w:sz w:val="20"/>
        </w:rPr>
        <w:t>Minimumsintervallet mellem hver administration skal være mindst 4</w:t>
      </w:r>
      <w:r>
        <w:rPr>
          <w:sz w:val="20"/>
        </w:rPr>
        <w:t xml:space="preserve"> </w:t>
      </w:r>
      <w:r w:rsidR="00542D93" w:rsidRPr="00542D93">
        <w:rPr>
          <w:sz w:val="20"/>
        </w:rPr>
        <w:t>timer. Der må ikke gives mere end 4</w:t>
      </w:r>
      <w:r>
        <w:rPr>
          <w:sz w:val="20"/>
        </w:rPr>
        <w:t xml:space="preserve"> </w:t>
      </w:r>
      <w:r w:rsidR="00542D93" w:rsidRPr="00542D93">
        <w:rPr>
          <w:sz w:val="20"/>
        </w:rPr>
        <w:t>doser i døgnet.</w:t>
      </w:r>
    </w:p>
    <w:p w14:paraId="22E67AA6" w14:textId="7E29EF88" w:rsidR="00542D93" w:rsidRPr="00926723" w:rsidRDefault="00542D93" w:rsidP="00926723">
      <w:pPr>
        <w:tabs>
          <w:tab w:val="left" w:pos="851"/>
        </w:tabs>
        <w:ind w:left="1276" w:hanging="425"/>
        <w:rPr>
          <w:sz w:val="20"/>
        </w:rPr>
      </w:pPr>
      <w:r>
        <w:rPr>
          <w:sz w:val="20"/>
        </w:rPr>
        <w:tab/>
      </w:r>
      <w:r w:rsidRPr="00542D93">
        <w:rPr>
          <w:sz w:val="20"/>
        </w:rPr>
        <w:t>Minimumsintervallet mellem hver administration hos patienter med svær nedsat nyrefunktion skal være mindst 6</w:t>
      </w:r>
      <w:r w:rsidR="00926723">
        <w:rPr>
          <w:sz w:val="20"/>
        </w:rPr>
        <w:t xml:space="preserve"> </w:t>
      </w:r>
      <w:r w:rsidRPr="00542D93">
        <w:rPr>
          <w:sz w:val="20"/>
        </w:rPr>
        <w:t>timer.</w:t>
      </w:r>
    </w:p>
    <w:p w14:paraId="7EFC02C6" w14:textId="3F2B6E37" w:rsidR="00542D93" w:rsidRPr="00542D93" w:rsidRDefault="00542D93" w:rsidP="00926723">
      <w:pPr>
        <w:tabs>
          <w:tab w:val="left" w:pos="851"/>
        </w:tabs>
        <w:ind w:left="1276" w:hanging="425"/>
        <w:rPr>
          <w:sz w:val="20"/>
        </w:rPr>
      </w:pPr>
      <w:r w:rsidRPr="00542D93">
        <w:rPr>
          <w:b/>
          <w:sz w:val="20"/>
        </w:rPr>
        <w:t>***</w:t>
      </w:r>
      <w:r>
        <w:rPr>
          <w:b/>
          <w:sz w:val="20"/>
        </w:rPr>
        <w:tab/>
      </w:r>
      <w:r w:rsidRPr="00542D93">
        <w:rPr>
          <w:b/>
          <w:sz w:val="20"/>
        </w:rPr>
        <w:t xml:space="preserve">Maksimal daglig dosis: </w:t>
      </w:r>
      <w:r w:rsidRPr="00542D93">
        <w:rPr>
          <w:sz w:val="20"/>
        </w:rPr>
        <w:t>Den maksimale daglige dosis angivet i tabellen ovenfor gælder for patienter, der ikke får andre paracetamolholdige lægemidler, og skal justeres tilsvarende under hensyntagen til sådanne produkter.</w:t>
      </w:r>
    </w:p>
    <w:p w14:paraId="25036948" w14:textId="77777777" w:rsidR="00542D93" w:rsidRPr="00542D93" w:rsidRDefault="00542D93" w:rsidP="006F718E">
      <w:pPr>
        <w:tabs>
          <w:tab w:val="left" w:pos="1304"/>
        </w:tabs>
        <w:ind w:left="1276" w:hanging="425"/>
        <w:rPr>
          <w:sz w:val="24"/>
          <w:szCs w:val="24"/>
          <w:lang w:eastAsia="el-GR"/>
        </w:rPr>
      </w:pPr>
    </w:p>
    <w:p w14:paraId="0EEAB2AC" w14:textId="77777777" w:rsidR="00542D93" w:rsidRPr="00542D93" w:rsidRDefault="00542D93" w:rsidP="00542D93">
      <w:pPr>
        <w:tabs>
          <w:tab w:val="left" w:pos="1304"/>
        </w:tabs>
        <w:ind w:left="851"/>
        <w:rPr>
          <w:i/>
          <w:sz w:val="24"/>
          <w:szCs w:val="24"/>
        </w:rPr>
      </w:pPr>
      <w:r w:rsidRPr="00542D93">
        <w:rPr>
          <w:i/>
          <w:sz w:val="24"/>
          <w:szCs w:val="24"/>
        </w:rPr>
        <w:t>Patienter med nedsat nyrefunktion</w:t>
      </w:r>
    </w:p>
    <w:p w14:paraId="5CD516D9" w14:textId="77777777" w:rsidR="00542D93" w:rsidRPr="00542D93" w:rsidRDefault="00542D93" w:rsidP="00542D93">
      <w:pPr>
        <w:tabs>
          <w:tab w:val="left" w:pos="1304"/>
        </w:tabs>
        <w:ind w:left="851"/>
        <w:rPr>
          <w:sz w:val="24"/>
          <w:szCs w:val="24"/>
        </w:rPr>
      </w:pPr>
      <w:r w:rsidRPr="00542D93">
        <w:rPr>
          <w:sz w:val="24"/>
          <w:szCs w:val="24"/>
        </w:rPr>
        <w:t>Minimumsintervallet mellem hver administration hos patienter med svær nedsat nyrefunktion (kreatininclearance ≤ 30 ml/min) skal være mindst 6 timer (se pkt. 5.2).</w:t>
      </w:r>
    </w:p>
    <w:p w14:paraId="75DA5CAB" w14:textId="77777777" w:rsidR="00542D93" w:rsidRPr="00542D93" w:rsidRDefault="00542D93" w:rsidP="00542D93">
      <w:pPr>
        <w:tabs>
          <w:tab w:val="left" w:pos="1304"/>
        </w:tabs>
        <w:ind w:left="851"/>
        <w:rPr>
          <w:sz w:val="24"/>
          <w:szCs w:val="24"/>
        </w:rPr>
      </w:pPr>
    </w:p>
    <w:p w14:paraId="55220428" w14:textId="77777777" w:rsidR="00542D93" w:rsidRPr="00542D93" w:rsidRDefault="00542D93" w:rsidP="00542D93">
      <w:pPr>
        <w:tabs>
          <w:tab w:val="left" w:pos="1304"/>
        </w:tabs>
        <w:ind w:left="851"/>
        <w:rPr>
          <w:sz w:val="24"/>
          <w:szCs w:val="24"/>
        </w:rPr>
      </w:pPr>
      <w:r w:rsidRPr="00542D93">
        <w:rPr>
          <w:sz w:val="24"/>
          <w:szCs w:val="24"/>
        </w:rPr>
        <w:lastRenderedPageBreak/>
        <w:t>Voksne med hepatocellulær insufficiens, kronisk alkoholisme, kronisk fejlernæring (lavt indhold af glutathion i leveren), dehydrering:</w:t>
      </w:r>
    </w:p>
    <w:p w14:paraId="15064C13" w14:textId="77777777" w:rsidR="00542D93" w:rsidRPr="00542D93" w:rsidRDefault="00542D93" w:rsidP="00542D93">
      <w:pPr>
        <w:tabs>
          <w:tab w:val="left" w:pos="1304"/>
        </w:tabs>
        <w:ind w:left="851"/>
        <w:rPr>
          <w:b/>
          <w:sz w:val="24"/>
          <w:szCs w:val="24"/>
        </w:rPr>
      </w:pPr>
      <w:r w:rsidRPr="00542D93">
        <w:rPr>
          <w:sz w:val="24"/>
          <w:szCs w:val="24"/>
        </w:rPr>
        <w:t xml:space="preserve">Den maksimale daglige dosis må ikke overstige 3 g (se pkt. 4.4). </w:t>
      </w:r>
    </w:p>
    <w:p w14:paraId="2DA12AB4" w14:textId="77777777" w:rsidR="00542D93" w:rsidRPr="00542D93" w:rsidRDefault="00542D93" w:rsidP="00542D93">
      <w:pPr>
        <w:tabs>
          <w:tab w:val="left" w:pos="1304"/>
        </w:tabs>
        <w:ind w:left="851"/>
        <w:rPr>
          <w:bCs/>
          <w:sz w:val="24"/>
          <w:szCs w:val="24"/>
          <w:lang w:eastAsia="el-GR"/>
        </w:rPr>
      </w:pPr>
    </w:p>
    <w:p w14:paraId="1AEFFEE7" w14:textId="77777777" w:rsidR="00542D93" w:rsidRPr="00542D93" w:rsidRDefault="00542D93" w:rsidP="00542D93">
      <w:pPr>
        <w:tabs>
          <w:tab w:val="left" w:pos="1304"/>
        </w:tabs>
        <w:ind w:left="851"/>
        <w:rPr>
          <w:color w:val="000000"/>
          <w:sz w:val="24"/>
          <w:szCs w:val="24"/>
          <w:u w:val="single"/>
        </w:rPr>
      </w:pPr>
      <w:r w:rsidRPr="00542D93">
        <w:rPr>
          <w:color w:val="000000"/>
          <w:sz w:val="24"/>
          <w:szCs w:val="24"/>
          <w:u w:val="single"/>
        </w:rPr>
        <w:t xml:space="preserve">Administration </w:t>
      </w:r>
    </w:p>
    <w:p w14:paraId="0412B0A6" w14:textId="77777777" w:rsidR="00542D93" w:rsidRPr="00542D93" w:rsidRDefault="00542D93" w:rsidP="00542D93">
      <w:pPr>
        <w:tabs>
          <w:tab w:val="left" w:pos="1304"/>
        </w:tabs>
        <w:ind w:left="851"/>
        <w:rPr>
          <w:bCs/>
          <w:sz w:val="24"/>
          <w:szCs w:val="24"/>
          <w:lang w:eastAsia="el-GR"/>
        </w:rPr>
      </w:pPr>
    </w:p>
    <w:tbl>
      <w:tblPr>
        <w:tblpPr w:leftFromText="180" w:rightFromText="180" w:vertAnchor="text" w:horzAnchor="margin" w:tblpX="846"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542D93" w14:paraId="5A3F6154" w14:textId="77777777" w:rsidTr="006F718E">
        <w:tc>
          <w:tcPr>
            <w:tcW w:w="8528" w:type="dxa"/>
            <w:tcBorders>
              <w:top w:val="single" w:sz="4" w:space="0" w:color="auto"/>
              <w:left w:val="single" w:sz="4" w:space="0" w:color="auto"/>
              <w:bottom w:val="single" w:sz="4" w:space="0" w:color="auto"/>
              <w:right w:val="single" w:sz="4" w:space="0" w:color="auto"/>
            </w:tcBorders>
            <w:hideMark/>
          </w:tcPr>
          <w:p w14:paraId="5C0F83C7" w14:textId="77777777" w:rsidR="00542D93" w:rsidRDefault="00542D93" w:rsidP="006F718E">
            <w:pPr>
              <w:tabs>
                <w:tab w:val="left" w:pos="1304"/>
              </w:tabs>
              <w:rPr>
                <w:color w:val="000000"/>
                <w:szCs w:val="22"/>
                <w:lang w:bidi="he-IL"/>
              </w:rPr>
            </w:pPr>
            <w:r>
              <w:rPr>
                <w:lang w:bidi="he-IL"/>
              </w:rPr>
              <w:t>Der skal udvises forsigtighed ved ordination og administration af Paracetamol "Noridem" for at undgå doseringsfejl pga. forveksling mellem milligram (mg) og milliliter (ml), der kan føre til utilsigtet overdosis og dødsfald. Vær sikker på, at den rigtige dosis er   kommunikeret og og doseret. Ved ordination skal den totale dosis i mg og i volumen (ml) angives.</w:t>
            </w:r>
          </w:p>
        </w:tc>
      </w:tr>
    </w:tbl>
    <w:p w14:paraId="24045CFB" w14:textId="77777777" w:rsidR="00542D93" w:rsidRPr="00542D93" w:rsidRDefault="00542D93" w:rsidP="00542D93">
      <w:pPr>
        <w:tabs>
          <w:tab w:val="left" w:pos="1304"/>
        </w:tabs>
        <w:ind w:left="851"/>
        <w:rPr>
          <w:color w:val="000000"/>
          <w:sz w:val="24"/>
          <w:szCs w:val="24"/>
        </w:rPr>
      </w:pPr>
    </w:p>
    <w:p w14:paraId="1CE0B4D1" w14:textId="77777777" w:rsidR="00542D93" w:rsidRPr="00542D93" w:rsidRDefault="00542D93" w:rsidP="00542D93">
      <w:pPr>
        <w:tabs>
          <w:tab w:val="left" w:pos="1304"/>
        </w:tabs>
        <w:ind w:left="851"/>
        <w:rPr>
          <w:color w:val="000000"/>
          <w:sz w:val="24"/>
          <w:szCs w:val="24"/>
        </w:rPr>
      </w:pPr>
      <w:r w:rsidRPr="00542D93">
        <w:rPr>
          <w:color w:val="000000"/>
          <w:sz w:val="24"/>
          <w:szCs w:val="24"/>
        </w:rPr>
        <w:t>Før administration skal opløsningen inspiceres visuelt for partikler og misfarvning.</w:t>
      </w:r>
    </w:p>
    <w:p w14:paraId="73856534" w14:textId="77777777" w:rsidR="00542D93" w:rsidRPr="00542D93" w:rsidRDefault="00542D93" w:rsidP="00542D93">
      <w:pPr>
        <w:tabs>
          <w:tab w:val="left" w:pos="1304"/>
        </w:tabs>
        <w:ind w:left="851"/>
        <w:rPr>
          <w:color w:val="000000"/>
          <w:sz w:val="24"/>
          <w:szCs w:val="24"/>
          <w:lang w:eastAsia="el-GR"/>
        </w:rPr>
      </w:pPr>
    </w:p>
    <w:p w14:paraId="04DB9912" w14:textId="77777777" w:rsidR="006F718E" w:rsidRDefault="00542D93" w:rsidP="00542D93">
      <w:pPr>
        <w:tabs>
          <w:tab w:val="left" w:pos="1304"/>
        </w:tabs>
        <w:ind w:left="851"/>
        <w:rPr>
          <w:sz w:val="24"/>
          <w:szCs w:val="24"/>
          <w:u w:val="single"/>
        </w:rPr>
      </w:pPr>
      <w:r w:rsidRPr="00542D93">
        <w:rPr>
          <w:sz w:val="24"/>
          <w:szCs w:val="24"/>
          <w:u w:val="single"/>
        </w:rPr>
        <w:t>Kun til engangsbrug.</w:t>
      </w:r>
    </w:p>
    <w:p w14:paraId="5F886D55" w14:textId="2D1B215C" w:rsidR="00542D93" w:rsidRPr="006F718E" w:rsidRDefault="00542D93" w:rsidP="00542D93">
      <w:pPr>
        <w:tabs>
          <w:tab w:val="left" w:pos="1304"/>
        </w:tabs>
        <w:ind w:left="851"/>
        <w:rPr>
          <w:sz w:val="24"/>
          <w:szCs w:val="24"/>
        </w:rPr>
      </w:pPr>
      <w:r w:rsidRPr="006F718E">
        <w:rPr>
          <w:sz w:val="24"/>
          <w:szCs w:val="24"/>
        </w:rPr>
        <w:t>Ikke anvendt opløsning skal kasseres.</w:t>
      </w:r>
    </w:p>
    <w:p w14:paraId="0FD73005" w14:textId="77777777" w:rsidR="00542D93" w:rsidRPr="00542D93" w:rsidRDefault="00542D93" w:rsidP="00542D93">
      <w:pPr>
        <w:tabs>
          <w:tab w:val="left" w:pos="1304"/>
        </w:tabs>
        <w:ind w:left="851"/>
        <w:rPr>
          <w:bCs/>
          <w:sz w:val="24"/>
          <w:szCs w:val="24"/>
          <w:u w:val="single"/>
          <w:lang w:val="nl-NL" w:eastAsia="el-GR"/>
        </w:rPr>
      </w:pPr>
    </w:p>
    <w:p w14:paraId="4D59F6FF" w14:textId="77777777" w:rsidR="00542D93" w:rsidRPr="00542D93" w:rsidRDefault="00542D93" w:rsidP="00542D93">
      <w:pPr>
        <w:tabs>
          <w:tab w:val="left" w:pos="1304"/>
        </w:tabs>
        <w:ind w:left="851"/>
        <w:rPr>
          <w:bCs/>
          <w:sz w:val="24"/>
          <w:szCs w:val="24"/>
          <w:u w:val="single"/>
        </w:rPr>
      </w:pPr>
      <w:r w:rsidRPr="00542D93">
        <w:rPr>
          <w:sz w:val="24"/>
          <w:szCs w:val="24"/>
          <w:u w:val="single"/>
        </w:rPr>
        <w:t>Intravenøs anvendelse</w:t>
      </w:r>
    </w:p>
    <w:p w14:paraId="0F6583E9" w14:textId="77777777" w:rsidR="00542D93" w:rsidRPr="00542D93" w:rsidRDefault="00542D93" w:rsidP="00542D93">
      <w:pPr>
        <w:tabs>
          <w:tab w:val="left" w:pos="1304"/>
        </w:tabs>
        <w:ind w:left="851"/>
        <w:rPr>
          <w:color w:val="000000"/>
          <w:sz w:val="24"/>
          <w:szCs w:val="24"/>
        </w:rPr>
      </w:pPr>
      <w:r w:rsidRPr="00542D93">
        <w:rPr>
          <w:color w:val="000000"/>
          <w:sz w:val="24"/>
          <w:szCs w:val="24"/>
        </w:rPr>
        <w:t>Paracetamolopløsningen administreres som en intravenøs infusion over 15 minutter.</w:t>
      </w:r>
    </w:p>
    <w:p w14:paraId="44822B01" w14:textId="77777777" w:rsidR="00542D93" w:rsidRPr="00542D93" w:rsidRDefault="00542D93" w:rsidP="00542D93">
      <w:pPr>
        <w:tabs>
          <w:tab w:val="left" w:pos="1304"/>
        </w:tabs>
        <w:ind w:left="851"/>
        <w:rPr>
          <w:color w:val="000000"/>
          <w:sz w:val="24"/>
          <w:szCs w:val="24"/>
          <w:lang w:val="nl-NL" w:eastAsia="el-GR"/>
        </w:rPr>
      </w:pPr>
    </w:p>
    <w:p w14:paraId="40647FF8" w14:textId="77777777" w:rsidR="000C1B58" w:rsidRDefault="00542D93" w:rsidP="00542D93">
      <w:pPr>
        <w:tabs>
          <w:tab w:val="left" w:pos="1304"/>
        </w:tabs>
        <w:ind w:left="851"/>
        <w:rPr>
          <w:sz w:val="24"/>
          <w:szCs w:val="24"/>
        </w:rPr>
      </w:pPr>
      <w:r w:rsidRPr="006F718E">
        <w:rPr>
          <w:sz w:val="24"/>
          <w:szCs w:val="24"/>
          <w:u w:val="single"/>
        </w:rPr>
        <w:t>For 50 ml og 100 ml flasker</w:t>
      </w:r>
    </w:p>
    <w:p w14:paraId="50B8A964" w14:textId="4B66C370" w:rsidR="00542D93" w:rsidRPr="00542D93" w:rsidRDefault="00542D93" w:rsidP="00542D93">
      <w:pPr>
        <w:tabs>
          <w:tab w:val="left" w:pos="1304"/>
        </w:tabs>
        <w:ind w:left="851"/>
        <w:rPr>
          <w:color w:val="000000"/>
          <w:sz w:val="24"/>
          <w:szCs w:val="24"/>
        </w:rPr>
      </w:pPr>
      <w:r w:rsidRPr="00542D93">
        <w:rPr>
          <w:sz w:val="24"/>
          <w:szCs w:val="24"/>
        </w:rPr>
        <w:t xml:space="preserve">For at udtage opløsningen anvendes en 0,8 mm kanyle (21 gauge) til lodret at perforere proppen på det angivne sted. </w:t>
      </w:r>
    </w:p>
    <w:p w14:paraId="57474DF9" w14:textId="77777777" w:rsidR="00542D93" w:rsidRPr="00542D93" w:rsidRDefault="00542D93" w:rsidP="00542D93">
      <w:pPr>
        <w:tabs>
          <w:tab w:val="left" w:pos="1304"/>
        </w:tabs>
        <w:ind w:left="851"/>
        <w:rPr>
          <w:color w:val="000000"/>
          <w:sz w:val="24"/>
          <w:szCs w:val="24"/>
          <w:lang w:eastAsia="el-GR"/>
        </w:rPr>
      </w:pPr>
    </w:p>
    <w:p w14:paraId="75A930CB" w14:textId="77777777" w:rsidR="000C1B58" w:rsidRDefault="00542D93" w:rsidP="00542D93">
      <w:pPr>
        <w:tabs>
          <w:tab w:val="left" w:pos="1304"/>
        </w:tabs>
        <w:ind w:left="851"/>
        <w:rPr>
          <w:color w:val="000000"/>
          <w:sz w:val="24"/>
          <w:szCs w:val="24"/>
        </w:rPr>
      </w:pPr>
      <w:r w:rsidRPr="000C1B58">
        <w:rPr>
          <w:color w:val="000000"/>
          <w:sz w:val="24"/>
          <w:szCs w:val="24"/>
          <w:u w:val="single"/>
        </w:rPr>
        <w:t>For 50 ml flasker</w:t>
      </w:r>
    </w:p>
    <w:p w14:paraId="658731D5" w14:textId="76C1D4AD" w:rsidR="00542D93" w:rsidRPr="00542D93" w:rsidRDefault="00542D93" w:rsidP="00542D93">
      <w:pPr>
        <w:tabs>
          <w:tab w:val="left" w:pos="1304"/>
        </w:tabs>
        <w:ind w:left="851"/>
        <w:rPr>
          <w:color w:val="000000"/>
          <w:sz w:val="24"/>
          <w:szCs w:val="24"/>
        </w:rPr>
      </w:pPr>
      <w:r w:rsidRPr="00542D93">
        <w:rPr>
          <w:sz w:val="24"/>
          <w:szCs w:val="24"/>
        </w:rPr>
        <w:t>Paracetamol "Noridem" i 50 ml flasken kan også fortyndes i 0,9 % natriumchlorid</w:t>
      </w:r>
      <w:r w:rsidR="000C1B58">
        <w:rPr>
          <w:sz w:val="24"/>
          <w:szCs w:val="24"/>
        </w:rPr>
        <w:softHyphen/>
      </w:r>
      <w:r w:rsidRPr="00542D93">
        <w:rPr>
          <w:sz w:val="24"/>
          <w:szCs w:val="24"/>
        </w:rPr>
        <w:t>opløsning eller 5 % glucoseopløsning (1 del Paracetamol "Noridem" til ni dele fortyndingsvæske).</w:t>
      </w:r>
      <w:r w:rsidRPr="00542D93">
        <w:rPr>
          <w:color w:val="800080"/>
          <w:sz w:val="24"/>
          <w:szCs w:val="24"/>
        </w:rPr>
        <w:t xml:space="preserve"> </w:t>
      </w:r>
      <w:r w:rsidRPr="00542D93">
        <w:rPr>
          <w:color w:val="000000"/>
          <w:sz w:val="24"/>
          <w:szCs w:val="24"/>
        </w:rPr>
        <w:t>I så fald skal den fortyndede opløsning anvendes inden for én time efter klargøring (inklusive infusionstid).</w:t>
      </w:r>
    </w:p>
    <w:p w14:paraId="0E8F9332" w14:textId="77777777" w:rsidR="00542D93" w:rsidRPr="00542D93" w:rsidRDefault="00542D93" w:rsidP="00542D93">
      <w:pPr>
        <w:tabs>
          <w:tab w:val="left" w:pos="1304"/>
        </w:tabs>
        <w:ind w:left="851"/>
        <w:rPr>
          <w:color w:val="000000"/>
          <w:sz w:val="24"/>
          <w:szCs w:val="24"/>
          <w:u w:val="single"/>
          <w:lang w:eastAsia="el-GR"/>
        </w:rPr>
      </w:pPr>
    </w:p>
    <w:p w14:paraId="350E9E56" w14:textId="7790205C" w:rsidR="00542D93" w:rsidRPr="00542D93" w:rsidRDefault="00542D93" w:rsidP="00542D93">
      <w:pPr>
        <w:pStyle w:val="Default"/>
        <w:ind w:left="851"/>
        <w:rPr>
          <w:color w:val="auto"/>
          <w:u w:val="single"/>
        </w:rPr>
      </w:pPr>
      <w:r w:rsidRPr="00542D93">
        <w:rPr>
          <w:color w:val="auto"/>
          <w:u w:val="single"/>
        </w:rPr>
        <w:t>Patienter med en legemsvægt ≤ 10 kg</w:t>
      </w:r>
    </w:p>
    <w:p w14:paraId="0CDD136D" w14:textId="77777777" w:rsidR="00542D93" w:rsidRPr="00542D93" w:rsidRDefault="00542D93" w:rsidP="00992DE9">
      <w:pPr>
        <w:numPr>
          <w:ilvl w:val="0"/>
          <w:numId w:val="6"/>
        </w:numPr>
        <w:tabs>
          <w:tab w:val="left" w:pos="851"/>
          <w:tab w:val="left" w:pos="1134"/>
        </w:tabs>
        <w:spacing w:after="100" w:afterAutospacing="1" w:line="260" w:lineRule="exact"/>
        <w:ind w:left="1134" w:hanging="283"/>
        <w:rPr>
          <w:sz w:val="24"/>
          <w:szCs w:val="24"/>
        </w:rPr>
      </w:pPr>
      <w:r w:rsidRPr="00542D93">
        <w:rPr>
          <w:sz w:val="24"/>
          <w:szCs w:val="24"/>
        </w:rPr>
        <w:t>Flasken med Paracetamol "Noridem" må ikke hænges op som infusion på grund af det lille volumen af lægemidlet, som skal administreres til denne population.</w:t>
      </w:r>
    </w:p>
    <w:p w14:paraId="183EE955" w14:textId="77777777" w:rsidR="00542D93" w:rsidRPr="00542D93" w:rsidRDefault="00542D93" w:rsidP="00992DE9">
      <w:pPr>
        <w:numPr>
          <w:ilvl w:val="0"/>
          <w:numId w:val="6"/>
        </w:numPr>
        <w:tabs>
          <w:tab w:val="left" w:pos="851"/>
          <w:tab w:val="left" w:pos="1134"/>
        </w:tabs>
        <w:spacing w:after="100" w:afterAutospacing="1" w:line="260" w:lineRule="exact"/>
        <w:ind w:left="1134" w:hanging="283"/>
        <w:rPr>
          <w:sz w:val="24"/>
          <w:szCs w:val="24"/>
        </w:rPr>
      </w:pPr>
      <w:r w:rsidRPr="00542D93">
        <w:rPr>
          <w:sz w:val="24"/>
          <w:szCs w:val="24"/>
        </w:rPr>
        <w:t>Det volumen, der skal administreres, skal udtages fra flasken og kan administreres ufortyndet eller fortyndes med 9 mg/ml (0,9 %) natriumchloridopløsning eller 50 mg/ml (5 %) glucoseopløsning op til en tiendedel (én del Paracetamol "Noridem" til ni dele fortyndingsvæske) og administreres over 15 minutter.</w:t>
      </w:r>
    </w:p>
    <w:p w14:paraId="408A2637" w14:textId="77777777" w:rsidR="00542D93" w:rsidRPr="00542D93" w:rsidRDefault="00542D93" w:rsidP="00992DE9">
      <w:pPr>
        <w:numPr>
          <w:ilvl w:val="0"/>
          <w:numId w:val="6"/>
        </w:numPr>
        <w:tabs>
          <w:tab w:val="left" w:pos="851"/>
          <w:tab w:val="left" w:pos="1134"/>
        </w:tabs>
        <w:spacing w:after="100" w:afterAutospacing="1" w:line="260" w:lineRule="exact"/>
        <w:ind w:left="1134" w:hanging="283"/>
        <w:rPr>
          <w:sz w:val="24"/>
          <w:szCs w:val="24"/>
        </w:rPr>
      </w:pPr>
      <w:r w:rsidRPr="00542D93">
        <w:rPr>
          <w:sz w:val="24"/>
          <w:szCs w:val="24"/>
        </w:rPr>
        <w:t>Den fortyndede opløsning skal anvendes inden for én time efter klargøring (inklusive infusionstid).</w:t>
      </w:r>
    </w:p>
    <w:p w14:paraId="0EE8D8A3" w14:textId="77777777" w:rsidR="00542D93" w:rsidRPr="00542D93" w:rsidRDefault="00542D93" w:rsidP="00992DE9">
      <w:pPr>
        <w:numPr>
          <w:ilvl w:val="0"/>
          <w:numId w:val="6"/>
        </w:numPr>
        <w:tabs>
          <w:tab w:val="left" w:pos="851"/>
          <w:tab w:val="left" w:pos="1134"/>
        </w:tabs>
        <w:spacing w:line="260" w:lineRule="exact"/>
        <w:ind w:left="1134" w:hanging="283"/>
        <w:rPr>
          <w:sz w:val="24"/>
          <w:szCs w:val="24"/>
        </w:rPr>
      </w:pPr>
      <w:r w:rsidRPr="00542D93">
        <w:rPr>
          <w:sz w:val="24"/>
          <w:szCs w:val="24"/>
        </w:rPr>
        <w:t>Dosis skal opmåles med en 5 ml eller 10 ml sprøjte, som er passende ud fra barnets vægt og det ønsket volumen. Denne må dog aldrig overstige 7,5 ml pr. dosis.</w:t>
      </w:r>
    </w:p>
    <w:p w14:paraId="15CB91BA" w14:textId="77777777" w:rsidR="00542D93" w:rsidRPr="00542D93" w:rsidRDefault="00542D93" w:rsidP="00992DE9">
      <w:pPr>
        <w:numPr>
          <w:ilvl w:val="0"/>
          <w:numId w:val="6"/>
        </w:numPr>
        <w:tabs>
          <w:tab w:val="left" w:pos="851"/>
          <w:tab w:val="left" w:pos="1134"/>
        </w:tabs>
        <w:spacing w:line="260" w:lineRule="exact"/>
        <w:ind w:left="1134" w:hanging="283"/>
        <w:rPr>
          <w:sz w:val="24"/>
          <w:szCs w:val="24"/>
        </w:rPr>
      </w:pPr>
      <w:r w:rsidRPr="00542D93">
        <w:rPr>
          <w:sz w:val="24"/>
          <w:szCs w:val="24"/>
        </w:rPr>
        <w:t>Brugeren henvises til produktinformationen for doseringsvejledning.</w:t>
      </w:r>
    </w:p>
    <w:p w14:paraId="44FBEA9B" w14:textId="77777777" w:rsidR="009260DE" w:rsidRPr="00542D93" w:rsidRDefault="009260DE" w:rsidP="00542D93">
      <w:pPr>
        <w:tabs>
          <w:tab w:val="left" w:pos="851"/>
        </w:tabs>
        <w:ind w:left="851"/>
        <w:rPr>
          <w:sz w:val="24"/>
          <w:szCs w:val="24"/>
        </w:rPr>
      </w:pPr>
    </w:p>
    <w:p w14:paraId="0F6426C9"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57AC1CE2" w14:textId="77777777" w:rsidR="00926723" w:rsidRPr="00926723" w:rsidRDefault="00926723" w:rsidP="00926723">
      <w:pPr>
        <w:tabs>
          <w:tab w:val="left" w:pos="851"/>
        </w:tabs>
        <w:ind w:left="851"/>
        <w:rPr>
          <w:sz w:val="24"/>
          <w:szCs w:val="24"/>
        </w:rPr>
      </w:pPr>
      <w:r w:rsidRPr="00926723">
        <w:rPr>
          <w:sz w:val="24"/>
          <w:szCs w:val="24"/>
        </w:rPr>
        <w:t xml:space="preserve">Paracetamol "Noridem" er kontraindiceret: </w:t>
      </w:r>
    </w:p>
    <w:p w14:paraId="00DCE332" w14:textId="77777777" w:rsidR="00926723" w:rsidRPr="00926723" w:rsidRDefault="00926723" w:rsidP="00926723">
      <w:pPr>
        <w:numPr>
          <w:ilvl w:val="0"/>
          <w:numId w:val="6"/>
        </w:numPr>
        <w:tabs>
          <w:tab w:val="left" w:pos="851"/>
        </w:tabs>
        <w:ind w:left="1134" w:hanging="283"/>
        <w:rPr>
          <w:sz w:val="24"/>
          <w:szCs w:val="24"/>
        </w:rPr>
      </w:pPr>
      <w:r w:rsidRPr="00926723">
        <w:rPr>
          <w:sz w:val="24"/>
          <w:szCs w:val="24"/>
        </w:rPr>
        <w:t>ved overfølsomhed over for det aktive stof, propacetamolhydrochlorid (et prodrug af paracetamol) eller over for et eller flere af hjælpestofferne anført i pkt. 6.1.</w:t>
      </w:r>
    </w:p>
    <w:p w14:paraId="3504A784" w14:textId="77777777" w:rsidR="00926723" w:rsidRPr="00926723" w:rsidRDefault="00926723" w:rsidP="00926723">
      <w:pPr>
        <w:numPr>
          <w:ilvl w:val="0"/>
          <w:numId w:val="6"/>
        </w:numPr>
        <w:tabs>
          <w:tab w:val="left" w:pos="851"/>
        </w:tabs>
        <w:ind w:left="1134" w:hanging="283"/>
        <w:rPr>
          <w:sz w:val="24"/>
          <w:szCs w:val="24"/>
        </w:rPr>
      </w:pPr>
      <w:r w:rsidRPr="00926723">
        <w:rPr>
          <w:sz w:val="24"/>
          <w:szCs w:val="24"/>
        </w:rPr>
        <w:t>ved svær hepatocellulær insufficiens.</w:t>
      </w:r>
    </w:p>
    <w:p w14:paraId="352DD270" w14:textId="4DAE8C3B" w:rsidR="00926723" w:rsidRDefault="00926723">
      <w:pPr>
        <w:rPr>
          <w:sz w:val="24"/>
          <w:szCs w:val="24"/>
        </w:rPr>
      </w:pPr>
      <w:r>
        <w:rPr>
          <w:sz w:val="24"/>
          <w:szCs w:val="24"/>
        </w:rPr>
        <w:br w:type="page"/>
      </w:r>
    </w:p>
    <w:p w14:paraId="3C46930B" w14:textId="77777777" w:rsidR="009260DE" w:rsidRPr="00C84483" w:rsidRDefault="009260DE" w:rsidP="009260DE">
      <w:pPr>
        <w:tabs>
          <w:tab w:val="left" w:pos="851"/>
        </w:tabs>
        <w:ind w:left="851"/>
        <w:rPr>
          <w:sz w:val="24"/>
          <w:szCs w:val="24"/>
        </w:rPr>
      </w:pPr>
    </w:p>
    <w:p w14:paraId="39EEE75B"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4E8187AA" w14:textId="77777777" w:rsidR="00926723" w:rsidRPr="00926723" w:rsidRDefault="00926723" w:rsidP="00926723">
      <w:pPr>
        <w:tabs>
          <w:tab w:val="left" w:pos="851"/>
        </w:tabs>
        <w:ind w:left="851"/>
        <w:rPr>
          <w:sz w:val="24"/>
          <w:szCs w:val="24"/>
        </w:rPr>
      </w:pPr>
    </w:p>
    <w:p w14:paraId="59CDCDDE" w14:textId="77777777" w:rsidR="00926723" w:rsidRPr="00926723" w:rsidRDefault="00926723" w:rsidP="00926723">
      <w:pPr>
        <w:pBdr>
          <w:top w:val="single" w:sz="4" w:space="1" w:color="auto"/>
          <w:left w:val="single" w:sz="4" w:space="4" w:color="auto"/>
          <w:bottom w:val="single" w:sz="4" w:space="1" w:color="auto"/>
          <w:right w:val="single" w:sz="4" w:space="4" w:color="auto"/>
        </w:pBdr>
        <w:shd w:val="clear" w:color="auto" w:fill="FFFFFF"/>
        <w:tabs>
          <w:tab w:val="left" w:pos="1304"/>
        </w:tabs>
        <w:autoSpaceDE w:val="0"/>
        <w:autoSpaceDN w:val="0"/>
        <w:adjustRightInd w:val="0"/>
        <w:ind w:left="851"/>
        <w:rPr>
          <w:sz w:val="24"/>
          <w:szCs w:val="24"/>
        </w:rPr>
      </w:pPr>
      <w:r w:rsidRPr="00926723">
        <w:rPr>
          <w:sz w:val="24"/>
          <w:szCs w:val="24"/>
        </w:rPr>
        <w:t>RISIKO FOR MEDICINERINGSFEJL</w:t>
      </w:r>
    </w:p>
    <w:p w14:paraId="475F917E" w14:textId="77777777" w:rsidR="00926723" w:rsidRPr="00926723" w:rsidRDefault="00926723" w:rsidP="00926723">
      <w:pPr>
        <w:pBdr>
          <w:top w:val="single" w:sz="4" w:space="1" w:color="auto"/>
          <w:left w:val="single" w:sz="4" w:space="4" w:color="auto"/>
          <w:bottom w:val="single" w:sz="4" w:space="1" w:color="auto"/>
          <w:right w:val="single" w:sz="4" w:space="4" w:color="auto"/>
        </w:pBdr>
        <w:shd w:val="clear" w:color="auto" w:fill="FFFFFF"/>
        <w:tabs>
          <w:tab w:val="left" w:pos="1304"/>
        </w:tabs>
        <w:autoSpaceDE w:val="0"/>
        <w:autoSpaceDN w:val="0"/>
        <w:adjustRightInd w:val="0"/>
        <w:ind w:left="851"/>
        <w:rPr>
          <w:sz w:val="24"/>
          <w:szCs w:val="24"/>
        </w:rPr>
      </w:pPr>
      <w:r w:rsidRPr="00926723">
        <w:rPr>
          <w:sz w:val="24"/>
          <w:szCs w:val="24"/>
        </w:rPr>
        <w:t>Vær opmærksom på at undgå doseringsfejl som følge af forveksling mellem milligram (mg) og milliliter (ml), der kan medføre utilsigtet overdosering og dødsfald (se pkt. 4.2).</w:t>
      </w:r>
    </w:p>
    <w:p w14:paraId="385D726E" w14:textId="77777777" w:rsidR="00926723" w:rsidRDefault="00926723" w:rsidP="00926723">
      <w:pPr>
        <w:tabs>
          <w:tab w:val="left" w:pos="1304"/>
        </w:tabs>
        <w:ind w:left="851"/>
        <w:rPr>
          <w:szCs w:val="22"/>
          <w:lang w:eastAsia="el-GR"/>
        </w:rPr>
      </w:pPr>
    </w:p>
    <w:p w14:paraId="217C3EA8" w14:textId="77777777" w:rsidR="00926723" w:rsidRPr="00926723" w:rsidRDefault="00926723" w:rsidP="00926723">
      <w:pPr>
        <w:tabs>
          <w:tab w:val="left" w:pos="851"/>
        </w:tabs>
        <w:ind w:left="851"/>
        <w:rPr>
          <w:sz w:val="24"/>
          <w:szCs w:val="24"/>
        </w:rPr>
      </w:pPr>
      <w:r w:rsidRPr="00926723">
        <w:rPr>
          <w:sz w:val="24"/>
          <w:szCs w:val="24"/>
        </w:rPr>
        <w:t>Det anbefales at anvende en passende analgetisk oral behandling, så snart denne administrationsvej er mulig.</w:t>
      </w:r>
    </w:p>
    <w:p w14:paraId="367C6E9A" w14:textId="77777777" w:rsidR="00926723" w:rsidRPr="00926723" w:rsidRDefault="00926723" w:rsidP="00926723">
      <w:pPr>
        <w:tabs>
          <w:tab w:val="left" w:pos="851"/>
        </w:tabs>
        <w:ind w:left="851"/>
        <w:rPr>
          <w:sz w:val="24"/>
          <w:szCs w:val="24"/>
          <w:lang w:val="de-AT"/>
        </w:rPr>
      </w:pPr>
    </w:p>
    <w:p w14:paraId="5EABCCEE" w14:textId="77777777" w:rsidR="00926723" w:rsidRPr="00926723" w:rsidRDefault="00926723" w:rsidP="00926723">
      <w:pPr>
        <w:tabs>
          <w:tab w:val="left" w:pos="851"/>
        </w:tabs>
        <w:ind w:left="851"/>
        <w:rPr>
          <w:sz w:val="24"/>
          <w:szCs w:val="24"/>
        </w:rPr>
      </w:pPr>
      <w:r w:rsidRPr="00926723">
        <w:rPr>
          <w:sz w:val="24"/>
          <w:szCs w:val="24"/>
        </w:rPr>
        <w:t>For at undgå risiko for overdosering skal det kontrolleres, at der ikke samtidig gives andre lægemidler, der enten indeholder paracetamol eller propacetamol.</w:t>
      </w:r>
    </w:p>
    <w:p w14:paraId="7FE1AF22" w14:textId="77777777" w:rsidR="00926723" w:rsidRPr="00926723" w:rsidRDefault="00926723" w:rsidP="00926723">
      <w:pPr>
        <w:tabs>
          <w:tab w:val="left" w:pos="851"/>
        </w:tabs>
        <w:ind w:left="851"/>
        <w:rPr>
          <w:sz w:val="24"/>
          <w:szCs w:val="24"/>
          <w:lang w:val="de-AT"/>
        </w:rPr>
      </w:pPr>
    </w:p>
    <w:p w14:paraId="1008A20B" w14:textId="77777777" w:rsidR="00926723" w:rsidRPr="00926723" w:rsidRDefault="00926723" w:rsidP="00926723">
      <w:pPr>
        <w:tabs>
          <w:tab w:val="left" w:pos="851"/>
        </w:tabs>
        <w:ind w:left="851"/>
        <w:rPr>
          <w:sz w:val="24"/>
          <w:szCs w:val="24"/>
        </w:rPr>
      </w:pPr>
      <w:r w:rsidRPr="00926723">
        <w:rPr>
          <w:sz w:val="24"/>
          <w:szCs w:val="24"/>
        </w:rPr>
        <w:t>Doser højere end den anbefalede kan medføre risiko for meget alvorlig leverskade. Kliniske symptomer og tegn på leverskade (herunder fulminant hepatitis, leversvigt, kolestatisk hepatitis og cytolytisk hepatitis) ses sædvanligvis først to dage efter administration af lægemidlet og topper sædvanligvis efter 4</w:t>
      </w:r>
      <w:r w:rsidRPr="00926723">
        <w:rPr>
          <w:sz w:val="24"/>
          <w:szCs w:val="24"/>
        </w:rPr>
        <w:noBreakHyphen/>
        <w:t>6 dage. Behandling med en antidot skal iværksættes hurtigst muligt (se pkt. 4.9).</w:t>
      </w:r>
    </w:p>
    <w:p w14:paraId="363D28AF" w14:textId="77777777" w:rsidR="00926723" w:rsidRPr="00926723" w:rsidRDefault="00926723" w:rsidP="00926723">
      <w:pPr>
        <w:tabs>
          <w:tab w:val="left" w:pos="851"/>
        </w:tabs>
        <w:ind w:left="851"/>
        <w:rPr>
          <w:sz w:val="24"/>
          <w:szCs w:val="24"/>
          <w:lang w:val="de-AT"/>
        </w:rPr>
      </w:pPr>
    </w:p>
    <w:p w14:paraId="634E8D40" w14:textId="77777777" w:rsidR="00926723" w:rsidRPr="00926723" w:rsidRDefault="00926723" w:rsidP="00926723">
      <w:pPr>
        <w:tabs>
          <w:tab w:val="left" w:pos="851"/>
        </w:tabs>
        <w:ind w:left="851"/>
        <w:rPr>
          <w:sz w:val="24"/>
          <w:szCs w:val="24"/>
        </w:rPr>
      </w:pPr>
      <w:r w:rsidRPr="00926723">
        <w:rPr>
          <w:sz w:val="24"/>
          <w:szCs w:val="24"/>
        </w:rPr>
        <w:t>Paracetamol skal anvendes med forsigtighed i tilfælde af:</w:t>
      </w:r>
    </w:p>
    <w:p w14:paraId="50F8D4B0" w14:textId="1FCA2AEE" w:rsidR="000C1B58" w:rsidRPr="000C1B58" w:rsidRDefault="000C1B58" w:rsidP="000C1B58">
      <w:pPr>
        <w:pStyle w:val="Listeafsnit"/>
        <w:numPr>
          <w:ilvl w:val="0"/>
          <w:numId w:val="13"/>
        </w:numPr>
        <w:tabs>
          <w:tab w:val="left" w:pos="1134"/>
        </w:tabs>
        <w:ind w:left="1134" w:hanging="283"/>
        <w:rPr>
          <w:sz w:val="24"/>
          <w:szCs w:val="24"/>
        </w:rPr>
      </w:pPr>
      <w:r w:rsidRPr="000C1B58">
        <w:rPr>
          <w:sz w:val="24"/>
          <w:szCs w:val="24"/>
        </w:rPr>
        <w:t>hepatocellulær insufficiens.</w:t>
      </w:r>
    </w:p>
    <w:p w14:paraId="75043F59" w14:textId="415294F4" w:rsidR="000C1B58" w:rsidRPr="000C1B58" w:rsidRDefault="000C1B58" w:rsidP="000C1B58">
      <w:pPr>
        <w:pStyle w:val="Listeafsnit"/>
        <w:numPr>
          <w:ilvl w:val="0"/>
          <w:numId w:val="13"/>
        </w:numPr>
        <w:tabs>
          <w:tab w:val="left" w:pos="1134"/>
        </w:tabs>
        <w:ind w:left="1134" w:hanging="283"/>
        <w:rPr>
          <w:sz w:val="24"/>
          <w:szCs w:val="24"/>
        </w:rPr>
      </w:pPr>
      <w:r w:rsidRPr="000C1B58">
        <w:rPr>
          <w:sz w:val="24"/>
          <w:szCs w:val="24"/>
        </w:rPr>
        <w:t>svær nyreinsufficiens (kreatininclearance ≤ 30 ml/min) (se pkt. 4.2 og 5.2).</w:t>
      </w:r>
    </w:p>
    <w:p w14:paraId="3EFF35B7" w14:textId="0894F93C" w:rsidR="000C1B58" w:rsidRPr="000C1B58" w:rsidRDefault="000C1B58" w:rsidP="000C1B58">
      <w:pPr>
        <w:pStyle w:val="Listeafsnit"/>
        <w:numPr>
          <w:ilvl w:val="0"/>
          <w:numId w:val="13"/>
        </w:numPr>
        <w:tabs>
          <w:tab w:val="left" w:pos="1134"/>
        </w:tabs>
        <w:ind w:left="1134" w:hanging="283"/>
        <w:rPr>
          <w:sz w:val="24"/>
          <w:szCs w:val="24"/>
        </w:rPr>
      </w:pPr>
      <w:r w:rsidRPr="000C1B58">
        <w:rPr>
          <w:sz w:val="24"/>
          <w:szCs w:val="24"/>
        </w:rPr>
        <w:t>kronisk alkoholisme.</w:t>
      </w:r>
    </w:p>
    <w:p w14:paraId="5FBC7509" w14:textId="1A5250ED" w:rsidR="000C1B58" w:rsidRPr="000C1B58" w:rsidRDefault="000C1B58" w:rsidP="000C1B58">
      <w:pPr>
        <w:pStyle w:val="Listeafsnit"/>
        <w:numPr>
          <w:ilvl w:val="0"/>
          <w:numId w:val="13"/>
        </w:numPr>
        <w:tabs>
          <w:tab w:val="left" w:pos="1134"/>
        </w:tabs>
        <w:ind w:left="1134" w:hanging="283"/>
        <w:rPr>
          <w:sz w:val="24"/>
          <w:szCs w:val="24"/>
        </w:rPr>
      </w:pPr>
      <w:r w:rsidRPr="000C1B58">
        <w:rPr>
          <w:sz w:val="24"/>
          <w:szCs w:val="24"/>
        </w:rPr>
        <w:t>kronisk fejlernæring (små reserver af hepatisk glutathion).</w:t>
      </w:r>
    </w:p>
    <w:p w14:paraId="5BE2C604" w14:textId="70EA2BEF" w:rsidR="000C1B58" w:rsidRPr="000C1B58" w:rsidRDefault="000C1B58" w:rsidP="000C1B58">
      <w:pPr>
        <w:pStyle w:val="Listeafsnit"/>
        <w:numPr>
          <w:ilvl w:val="0"/>
          <w:numId w:val="13"/>
        </w:numPr>
        <w:tabs>
          <w:tab w:val="left" w:pos="1134"/>
        </w:tabs>
        <w:ind w:left="1134" w:hanging="283"/>
        <w:rPr>
          <w:sz w:val="24"/>
          <w:szCs w:val="24"/>
        </w:rPr>
      </w:pPr>
      <w:bookmarkStart w:id="1" w:name="_Hlk210304651"/>
      <w:r w:rsidRPr="000C1B58">
        <w:rPr>
          <w:sz w:val="24"/>
          <w:szCs w:val="24"/>
        </w:rPr>
        <w:t>G-6-PD-mangel (favisme) af genetisk årsag. Forekomsten af hæmolytisk anæmi er mulig på grund af den reducerede allokation af glutathion efter administration af paracetamol.</w:t>
      </w:r>
    </w:p>
    <w:bookmarkEnd w:id="1"/>
    <w:p w14:paraId="25D368F0" w14:textId="7DC54768" w:rsidR="000C1B58" w:rsidRPr="000C1B58" w:rsidRDefault="000C1B58" w:rsidP="000C1B58">
      <w:pPr>
        <w:pStyle w:val="Listeafsnit"/>
        <w:numPr>
          <w:ilvl w:val="0"/>
          <w:numId w:val="13"/>
        </w:numPr>
        <w:tabs>
          <w:tab w:val="left" w:pos="1134"/>
        </w:tabs>
        <w:ind w:left="1134" w:hanging="283"/>
        <w:rPr>
          <w:sz w:val="24"/>
          <w:szCs w:val="24"/>
        </w:rPr>
      </w:pPr>
      <w:r w:rsidRPr="000C1B58">
        <w:rPr>
          <w:sz w:val="24"/>
          <w:szCs w:val="24"/>
        </w:rPr>
        <w:t>dehydrering.</w:t>
      </w:r>
    </w:p>
    <w:p w14:paraId="09125458" w14:textId="7A854A81" w:rsidR="00926723" w:rsidRDefault="00926723" w:rsidP="00926723">
      <w:pPr>
        <w:tabs>
          <w:tab w:val="left" w:pos="851"/>
        </w:tabs>
        <w:ind w:left="851"/>
        <w:rPr>
          <w:sz w:val="24"/>
          <w:szCs w:val="24"/>
          <w:lang w:val="el-GR"/>
        </w:rPr>
      </w:pPr>
    </w:p>
    <w:p w14:paraId="1F3A5DD2" w14:textId="77777777" w:rsidR="00926723" w:rsidRPr="00926723" w:rsidRDefault="00926723" w:rsidP="00926723">
      <w:pPr>
        <w:tabs>
          <w:tab w:val="left" w:pos="851"/>
        </w:tabs>
        <w:ind w:left="851"/>
        <w:rPr>
          <w:sz w:val="24"/>
          <w:szCs w:val="24"/>
        </w:rPr>
      </w:pPr>
      <w:r w:rsidRPr="00926723">
        <w:rPr>
          <w:sz w:val="24"/>
          <w:szCs w:val="24"/>
        </w:rPr>
        <w:t>Der er rapporteret tilfælde af metabolisk acidose med højt anion-gap (HAGMA) som følge af pyroglutaminsyreacidose hos patienter med alvorlig sygdom, såsom svær nyreinsufficiens eller sepsis, samt hos patienter med fejlernæring eller andre kilder til glutathionmangel (f.eks. kronisk alkoholisme), som har været behandlet med paracetamol i terapeutisk dosis over længere tid eller med en kombination af paracetamol og flucloxacillin. Ved formodning om HAGMA som følge af pyroglutaminsyreacidose anbefales hurtig seponering af paracetamol og tæt monitorering. Måling af 5</w:t>
      </w:r>
      <w:r w:rsidRPr="00926723">
        <w:rPr>
          <w:sz w:val="24"/>
          <w:szCs w:val="24"/>
        </w:rPr>
        <w:noBreakHyphen/>
        <w:t>oxoprolin i urinen kan være nyttig til at identificere pyroglutaminsyreacidose som underliggende årsag til HAGMA hos patienter med flere risikofaktorer.</w:t>
      </w:r>
    </w:p>
    <w:p w14:paraId="1D2E09B3" w14:textId="77777777" w:rsidR="00926723" w:rsidRPr="00926723" w:rsidRDefault="00926723" w:rsidP="00926723">
      <w:pPr>
        <w:tabs>
          <w:tab w:val="left" w:pos="851"/>
        </w:tabs>
        <w:ind w:left="851"/>
        <w:rPr>
          <w:sz w:val="24"/>
          <w:szCs w:val="24"/>
        </w:rPr>
      </w:pPr>
    </w:p>
    <w:p w14:paraId="0A36E4C2" w14:textId="77777777" w:rsidR="00926723" w:rsidRPr="00926723" w:rsidRDefault="00926723" w:rsidP="00926723">
      <w:pPr>
        <w:tabs>
          <w:tab w:val="left" w:pos="851"/>
        </w:tabs>
        <w:ind w:left="851"/>
        <w:rPr>
          <w:sz w:val="24"/>
          <w:szCs w:val="24"/>
        </w:rPr>
      </w:pPr>
      <w:r w:rsidRPr="00926723">
        <w:rPr>
          <w:sz w:val="24"/>
          <w:szCs w:val="24"/>
        </w:rPr>
        <w:t>Alvorlige kutane bivirkninger (SCARs), herunder Stevens</w:t>
      </w:r>
      <w:r w:rsidRPr="00926723">
        <w:rPr>
          <w:sz w:val="24"/>
          <w:szCs w:val="24"/>
        </w:rPr>
        <w:noBreakHyphen/>
        <w:t>Johnsons syndrom (SJS), toksisk epidermal nekrolyse (TEN) og akut generaliseret eksantematøs pustulose (AGEP), som kan være livstruende eller fatale, er rapporteret i forbindelse med behandling med paracetamol. Patienterne skal gøres opmærksomme på tegn og symptomer og overvåges nøje for hudreaktioner. Hvis der opstår tegn og symptomer, der tyder på disse reaktioner, skal paracetamol seponeres straks, og alternativ behandling overvejes. Hvis patienten har udviklet en alvorlig kutan bivirkning (SCAR) i forbindelse med brug af paracetamol, må behandlingen med paracetamol ikke genoptages.</w:t>
      </w:r>
    </w:p>
    <w:p w14:paraId="76F299F3" w14:textId="77777777" w:rsidR="00926723" w:rsidRPr="00926723" w:rsidRDefault="00926723" w:rsidP="00926723">
      <w:pPr>
        <w:tabs>
          <w:tab w:val="left" w:pos="851"/>
        </w:tabs>
        <w:ind w:left="851"/>
        <w:rPr>
          <w:sz w:val="24"/>
          <w:szCs w:val="24"/>
        </w:rPr>
      </w:pPr>
    </w:p>
    <w:p w14:paraId="5408F750" w14:textId="77777777" w:rsidR="00926723" w:rsidRPr="00926723" w:rsidRDefault="00926723" w:rsidP="00926723">
      <w:pPr>
        <w:tabs>
          <w:tab w:val="left" w:pos="851"/>
        </w:tabs>
        <w:ind w:left="851"/>
        <w:rPr>
          <w:sz w:val="24"/>
          <w:szCs w:val="24"/>
        </w:rPr>
      </w:pPr>
      <w:r w:rsidRPr="00926723">
        <w:rPr>
          <w:sz w:val="24"/>
          <w:szCs w:val="24"/>
        </w:rPr>
        <w:t>Dette lægemiddel indeholder mindre end 1 mmol (23 mg) natrium pr. 100 ml, dvs. det er i det væsentlige natriumfrit.</w:t>
      </w:r>
    </w:p>
    <w:p w14:paraId="77049199" w14:textId="77777777" w:rsidR="00926723" w:rsidRPr="00926723" w:rsidRDefault="00926723" w:rsidP="00926723">
      <w:pPr>
        <w:tabs>
          <w:tab w:val="left" w:pos="851"/>
        </w:tabs>
        <w:ind w:left="851"/>
        <w:rPr>
          <w:bCs/>
          <w:sz w:val="24"/>
          <w:szCs w:val="24"/>
        </w:rPr>
      </w:pPr>
    </w:p>
    <w:p w14:paraId="19CA636B" w14:textId="77777777" w:rsidR="009260DE" w:rsidRPr="00C84483" w:rsidRDefault="009260DE" w:rsidP="009260DE">
      <w:pPr>
        <w:tabs>
          <w:tab w:val="left" w:pos="851"/>
        </w:tabs>
        <w:ind w:left="851"/>
        <w:rPr>
          <w:sz w:val="24"/>
          <w:szCs w:val="24"/>
        </w:rPr>
      </w:pPr>
    </w:p>
    <w:p w14:paraId="0454B440"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45828B38" w14:textId="77777777" w:rsidR="000C1B58" w:rsidRPr="000C1B58" w:rsidRDefault="000C1B58" w:rsidP="000C1B58">
      <w:pPr>
        <w:pStyle w:val="Listeafsnit"/>
        <w:numPr>
          <w:ilvl w:val="0"/>
          <w:numId w:val="11"/>
        </w:numPr>
        <w:tabs>
          <w:tab w:val="left" w:pos="851"/>
        </w:tabs>
        <w:ind w:left="1134" w:hanging="283"/>
        <w:rPr>
          <w:sz w:val="24"/>
          <w:szCs w:val="24"/>
        </w:rPr>
      </w:pPr>
      <w:r w:rsidRPr="000C1B58">
        <w:rPr>
          <w:sz w:val="24"/>
          <w:szCs w:val="24"/>
        </w:rPr>
        <w:t>Probenecid forårsager næsten en 2 gange reduktion af paracetamolclearance ved at hæmme dets konjugering med glucuronsyre. En dosisreduktion af paracetamol skal overvejes ved samtidig anvendelse af probenecid.</w:t>
      </w:r>
    </w:p>
    <w:p w14:paraId="3C23C01B" w14:textId="77777777" w:rsidR="000C1B58" w:rsidRPr="000C1B58" w:rsidRDefault="000C1B58" w:rsidP="000C1B58">
      <w:pPr>
        <w:pStyle w:val="Listeafsnit"/>
        <w:numPr>
          <w:ilvl w:val="0"/>
          <w:numId w:val="11"/>
        </w:numPr>
        <w:tabs>
          <w:tab w:val="left" w:pos="851"/>
        </w:tabs>
        <w:ind w:left="1134" w:hanging="283"/>
        <w:rPr>
          <w:sz w:val="24"/>
          <w:szCs w:val="24"/>
        </w:rPr>
      </w:pPr>
      <w:r w:rsidRPr="000C1B58">
        <w:rPr>
          <w:sz w:val="24"/>
          <w:szCs w:val="24"/>
        </w:rPr>
        <w:t>Salicylamid kan forlænge eliminationshalveringstiden (t</w:t>
      </w:r>
      <w:r w:rsidRPr="000C1B58">
        <w:rPr>
          <w:sz w:val="24"/>
          <w:szCs w:val="24"/>
          <w:vertAlign w:val="subscript"/>
        </w:rPr>
        <w:t>1/2</w:t>
      </w:r>
      <w:r w:rsidRPr="000C1B58">
        <w:rPr>
          <w:sz w:val="24"/>
          <w:szCs w:val="24"/>
        </w:rPr>
        <w:t>) for paracetamol.</w:t>
      </w:r>
    </w:p>
    <w:p w14:paraId="428DA0B4" w14:textId="77777777" w:rsidR="000C1B58" w:rsidRPr="000C1B58" w:rsidRDefault="000C1B58" w:rsidP="000C1B58">
      <w:pPr>
        <w:pStyle w:val="Listeafsnit"/>
        <w:numPr>
          <w:ilvl w:val="0"/>
          <w:numId w:val="11"/>
        </w:numPr>
        <w:tabs>
          <w:tab w:val="left" w:pos="851"/>
        </w:tabs>
        <w:ind w:left="1134" w:hanging="283"/>
        <w:rPr>
          <w:sz w:val="24"/>
          <w:szCs w:val="24"/>
        </w:rPr>
      </w:pPr>
      <w:r w:rsidRPr="000C1B58">
        <w:rPr>
          <w:sz w:val="24"/>
          <w:szCs w:val="24"/>
        </w:rPr>
        <w:t>Der skal udvises forsigtighed ved samtidigt indtag af enzyminducerende midler (se pkt. 4.9).</w:t>
      </w:r>
    </w:p>
    <w:p w14:paraId="4E5AEB83" w14:textId="77777777" w:rsidR="000C1B58" w:rsidRPr="000C1B58" w:rsidRDefault="000C1B58" w:rsidP="000C1B58">
      <w:pPr>
        <w:pStyle w:val="Listeafsnit"/>
        <w:numPr>
          <w:ilvl w:val="0"/>
          <w:numId w:val="11"/>
        </w:numPr>
        <w:tabs>
          <w:tab w:val="left" w:pos="851"/>
        </w:tabs>
        <w:ind w:left="1134" w:hanging="283"/>
        <w:rPr>
          <w:sz w:val="24"/>
          <w:szCs w:val="24"/>
        </w:rPr>
      </w:pPr>
      <w:r w:rsidRPr="000C1B58">
        <w:rPr>
          <w:sz w:val="24"/>
          <w:szCs w:val="24"/>
        </w:rPr>
        <w:t>Samtidig anvendelse af paracetamol (4 g dagligt i mindst 4 dage) og orale antikoagulantia kan give mindre variationer i INR</w:t>
      </w:r>
      <w:r w:rsidRPr="000C1B58">
        <w:rPr>
          <w:sz w:val="24"/>
          <w:szCs w:val="24"/>
        </w:rPr>
        <w:noBreakHyphen/>
        <w:t>værdierne. I sådanne tilfælde skal INR</w:t>
      </w:r>
      <w:r w:rsidRPr="000C1B58">
        <w:rPr>
          <w:sz w:val="24"/>
          <w:szCs w:val="24"/>
        </w:rPr>
        <w:noBreakHyphen/>
        <w:t>værdierne monitoreres tæt under den samtidige behandling og i 1 uge efter seponering af paracetamol.</w:t>
      </w:r>
    </w:p>
    <w:p w14:paraId="1109DD6E" w14:textId="77777777" w:rsidR="000C1B58" w:rsidRPr="000C1B58" w:rsidRDefault="000C1B58" w:rsidP="000C1B58">
      <w:pPr>
        <w:pStyle w:val="Listeafsnit"/>
        <w:numPr>
          <w:ilvl w:val="0"/>
          <w:numId w:val="11"/>
        </w:numPr>
        <w:tabs>
          <w:tab w:val="left" w:pos="851"/>
        </w:tabs>
        <w:ind w:left="1134" w:hanging="283"/>
        <w:rPr>
          <w:sz w:val="24"/>
          <w:szCs w:val="24"/>
        </w:rPr>
      </w:pPr>
      <w:r w:rsidRPr="000C1B58">
        <w:rPr>
          <w:sz w:val="24"/>
          <w:szCs w:val="24"/>
        </w:rPr>
        <w:t>Der skal udvises forsigtighed, når paracetamol anvendes samtidig med flucloxacillin, da denne kombination har været forbundet med metabolisk acidose med højt anion-gap forårsaget af pyroglutaminsyreacidose, især hos patienter med risikofaktorer (se pkt. 4.4).</w:t>
      </w:r>
    </w:p>
    <w:p w14:paraId="7C720970" w14:textId="77777777" w:rsidR="009260DE" w:rsidRPr="00C84483" w:rsidRDefault="009260DE" w:rsidP="009260DE">
      <w:pPr>
        <w:tabs>
          <w:tab w:val="left" w:pos="851"/>
        </w:tabs>
        <w:ind w:left="851"/>
        <w:rPr>
          <w:sz w:val="24"/>
          <w:szCs w:val="24"/>
        </w:rPr>
      </w:pPr>
    </w:p>
    <w:p w14:paraId="3DE106C6"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2209CC24" w14:textId="77777777" w:rsidR="000C1B58" w:rsidRPr="000C1B58" w:rsidRDefault="000C1B58" w:rsidP="000C1B58">
      <w:pPr>
        <w:tabs>
          <w:tab w:val="left" w:pos="851"/>
        </w:tabs>
        <w:ind w:left="851"/>
        <w:rPr>
          <w:bCs/>
          <w:sz w:val="24"/>
          <w:szCs w:val="24"/>
        </w:rPr>
      </w:pPr>
    </w:p>
    <w:p w14:paraId="6CE93407" w14:textId="77777777" w:rsidR="000C1B58" w:rsidRPr="000C1B58" w:rsidRDefault="000C1B58" w:rsidP="000C1B58">
      <w:pPr>
        <w:tabs>
          <w:tab w:val="left" w:pos="851"/>
        </w:tabs>
        <w:ind w:left="851"/>
        <w:rPr>
          <w:sz w:val="24"/>
          <w:szCs w:val="24"/>
        </w:rPr>
      </w:pPr>
      <w:r w:rsidRPr="000C1B58">
        <w:rPr>
          <w:sz w:val="24"/>
          <w:szCs w:val="24"/>
          <w:u w:val="single"/>
        </w:rPr>
        <w:t>Graviditet</w:t>
      </w:r>
    </w:p>
    <w:p w14:paraId="497DDE2A" w14:textId="77777777" w:rsidR="000C1B58" w:rsidRPr="000C1B58" w:rsidRDefault="000C1B58" w:rsidP="000C1B58">
      <w:pPr>
        <w:tabs>
          <w:tab w:val="left" w:pos="851"/>
        </w:tabs>
        <w:ind w:left="851"/>
        <w:rPr>
          <w:sz w:val="24"/>
          <w:szCs w:val="24"/>
        </w:rPr>
      </w:pPr>
      <w:r w:rsidRPr="000C1B58">
        <w:rPr>
          <w:sz w:val="24"/>
          <w:szCs w:val="24"/>
        </w:rPr>
        <w:t xml:space="preserve">Data fra anvendelse af et stort antal gravide kvinder indikerer ingen misdannelser eller føtal/neonatal toksicitet. Epidemiologiske studier af den neurologiske udvikling hos børn, der har været eksponeret for paracetamol </w:t>
      </w:r>
      <w:r w:rsidRPr="000C1B58">
        <w:rPr>
          <w:i/>
          <w:iCs/>
          <w:sz w:val="24"/>
          <w:szCs w:val="24"/>
        </w:rPr>
        <w:t>in utero</w:t>
      </w:r>
      <w:r w:rsidRPr="000C1B58">
        <w:rPr>
          <w:sz w:val="24"/>
          <w:szCs w:val="24"/>
        </w:rPr>
        <w:t xml:space="preserve">, viste utilstrækkelige resultater. </w:t>
      </w:r>
    </w:p>
    <w:p w14:paraId="7CC0C134" w14:textId="7C9E42B8" w:rsidR="000C1B58" w:rsidRDefault="000C1B58" w:rsidP="000C1B58">
      <w:pPr>
        <w:tabs>
          <w:tab w:val="left" w:pos="851"/>
        </w:tabs>
        <w:ind w:left="851"/>
        <w:rPr>
          <w:sz w:val="24"/>
          <w:szCs w:val="24"/>
        </w:rPr>
      </w:pPr>
      <w:r w:rsidRPr="000C1B58">
        <w:rPr>
          <w:sz w:val="24"/>
          <w:szCs w:val="24"/>
        </w:rPr>
        <w:t>Paracetamol kan anvendes under graviditeten, hvis det er nødvendigt klinisk, men bør tages i den laveste effektive dosis, så kort tid som muligt og med lavest mulige hyppighed.</w:t>
      </w:r>
    </w:p>
    <w:p w14:paraId="5E727BD0" w14:textId="77777777" w:rsidR="000C1B58" w:rsidRPr="000C1B58" w:rsidRDefault="000C1B58" w:rsidP="000C1B58">
      <w:pPr>
        <w:tabs>
          <w:tab w:val="left" w:pos="851"/>
        </w:tabs>
        <w:ind w:left="851"/>
        <w:rPr>
          <w:sz w:val="24"/>
          <w:szCs w:val="24"/>
        </w:rPr>
      </w:pPr>
    </w:p>
    <w:p w14:paraId="09C0E0D4" w14:textId="77777777" w:rsidR="000C1B58" w:rsidRPr="000C1B58" w:rsidRDefault="000C1B58" w:rsidP="000C1B58">
      <w:pPr>
        <w:tabs>
          <w:tab w:val="left" w:pos="851"/>
        </w:tabs>
        <w:ind w:left="851"/>
        <w:rPr>
          <w:sz w:val="24"/>
          <w:szCs w:val="24"/>
          <w:u w:val="single"/>
        </w:rPr>
      </w:pPr>
      <w:r w:rsidRPr="000C1B58">
        <w:rPr>
          <w:sz w:val="24"/>
          <w:szCs w:val="24"/>
          <w:u w:val="single"/>
        </w:rPr>
        <w:t>Amning</w:t>
      </w:r>
    </w:p>
    <w:p w14:paraId="477DDF16" w14:textId="77777777" w:rsidR="000C1B58" w:rsidRPr="000C1B58" w:rsidRDefault="000C1B58" w:rsidP="000C1B58">
      <w:pPr>
        <w:tabs>
          <w:tab w:val="left" w:pos="851"/>
        </w:tabs>
        <w:ind w:left="851"/>
        <w:rPr>
          <w:sz w:val="24"/>
          <w:szCs w:val="24"/>
        </w:rPr>
      </w:pPr>
      <w:r w:rsidRPr="000C1B58">
        <w:rPr>
          <w:sz w:val="24"/>
          <w:szCs w:val="24"/>
        </w:rPr>
        <w:t>Efter oral administration udskilles paracetamol i human mælk i små mængder. Der er ikke rapporteret bivirkninger hos ammede spædbørn.</w:t>
      </w:r>
    </w:p>
    <w:p w14:paraId="42E42011" w14:textId="77777777" w:rsidR="000C1B58" w:rsidRPr="000C1B58" w:rsidRDefault="000C1B58" w:rsidP="000C1B58">
      <w:pPr>
        <w:tabs>
          <w:tab w:val="left" w:pos="851"/>
        </w:tabs>
        <w:ind w:left="851"/>
        <w:rPr>
          <w:sz w:val="24"/>
          <w:szCs w:val="24"/>
        </w:rPr>
      </w:pPr>
    </w:p>
    <w:p w14:paraId="44AEF42F" w14:textId="77777777" w:rsidR="000C1B58" w:rsidRPr="000C1B58" w:rsidRDefault="000C1B58" w:rsidP="000C1B58">
      <w:pPr>
        <w:tabs>
          <w:tab w:val="left" w:pos="851"/>
        </w:tabs>
        <w:ind w:left="851"/>
        <w:rPr>
          <w:sz w:val="24"/>
          <w:szCs w:val="24"/>
        </w:rPr>
      </w:pPr>
      <w:r w:rsidRPr="000C1B58">
        <w:rPr>
          <w:sz w:val="24"/>
          <w:szCs w:val="24"/>
        </w:rPr>
        <w:t>Paracetamol "Noridem" kan derfor anvendes under amning.</w:t>
      </w:r>
    </w:p>
    <w:p w14:paraId="77C47D46" w14:textId="77777777" w:rsidR="009260DE" w:rsidRPr="00C84483" w:rsidRDefault="009260DE" w:rsidP="009260DE">
      <w:pPr>
        <w:tabs>
          <w:tab w:val="left" w:pos="851"/>
        </w:tabs>
        <w:ind w:left="851"/>
        <w:rPr>
          <w:sz w:val="24"/>
          <w:szCs w:val="24"/>
        </w:rPr>
      </w:pPr>
    </w:p>
    <w:p w14:paraId="4806DDF1"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7ECACEB8" w14:textId="77777777" w:rsidR="000C1B58" w:rsidRPr="000C1B58" w:rsidRDefault="000C1B58" w:rsidP="000C1B58">
      <w:pPr>
        <w:tabs>
          <w:tab w:val="left" w:pos="851"/>
        </w:tabs>
        <w:ind w:left="851"/>
        <w:rPr>
          <w:sz w:val="24"/>
          <w:szCs w:val="24"/>
        </w:rPr>
      </w:pPr>
      <w:r w:rsidRPr="000C1B58">
        <w:rPr>
          <w:sz w:val="24"/>
          <w:szCs w:val="24"/>
        </w:rPr>
        <w:t>Ikke mærkning</w:t>
      </w:r>
    </w:p>
    <w:p w14:paraId="456959C3" w14:textId="77777777" w:rsidR="000C1B58" w:rsidRPr="000C1B58" w:rsidRDefault="000C1B58" w:rsidP="000C1B58">
      <w:pPr>
        <w:tabs>
          <w:tab w:val="left" w:pos="851"/>
        </w:tabs>
        <w:ind w:left="851"/>
        <w:rPr>
          <w:sz w:val="24"/>
          <w:szCs w:val="24"/>
        </w:rPr>
      </w:pPr>
      <w:r w:rsidRPr="000C1B58">
        <w:rPr>
          <w:sz w:val="24"/>
          <w:szCs w:val="24"/>
        </w:rPr>
        <w:t>Paracetamol "Noridem" påvirker ikke eller kun i ubetydelig grad evnen til at føre motorkøretøj og betjene maskiner.</w:t>
      </w:r>
    </w:p>
    <w:p w14:paraId="407E20A0" w14:textId="77777777" w:rsidR="009260DE" w:rsidRPr="00C84483" w:rsidRDefault="009260DE" w:rsidP="009260DE">
      <w:pPr>
        <w:tabs>
          <w:tab w:val="left" w:pos="851"/>
        </w:tabs>
        <w:ind w:left="851"/>
        <w:rPr>
          <w:sz w:val="24"/>
          <w:szCs w:val="24"/>
        </w:rPr>
      </w:pPr>
    </w:p>
    <w:p w14:paraId="41B65F22"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5732A11E" w14:textId="77777777" w:rsidR="00EF762E" w:rsidRPr="00EF762E" w:rsidRDefault="00EF762E" w:rsidP="00EF762E">
      <w:pPr>
        <w:tabs>
          <w:tab w:val="left" w:pos="1304"/>
        </w:tabs>
        <w:ind w:left="851"/>
        <w:rPr>
          <w:color w:val="000000"/>
          <w:sz w:val="24"/>
          <w:szCs w:val="24"/>
        </w:rPr>
      </w:pPr>
      <w:r w:rsidRPr="00EF762E">
        <w:rPr>
          <w:color w:val="000000"/>
          <w:sz w:val="24"/>
          <w:szCs w:val="24"/>
        </w:rPr>
        <w:t xml:space="preserve">Som for alle paracetamolholdige lægemidler er bivirkninger sjældne (≥ 1/10.000 til &lt; 1/1.000) eller meget sjældne (&lt; 1/10.000). Bivirkningerne er beskrevet nedenfor. </w:t>
      </w:r>
    </w:p>
    <w:p w14:paraId="4C5BE3E6" w14:textId="77777777" w:rsidR="00EF762E" w:rsidRDefault="00EF762E" w:rsidP="00EF762E">
      <w:pPr>
        <w:tabs>
          <w:tab w:val="left" w:pos="1304"/>
        </w:tabs>
        <w:rPr>
          <w:color w:val="000000"/>
          <w:szCs w:val="22"/>
          <w:lang w:eastAsia="el-GR"/>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192"/>
        <w:gridCol w:w="2627"/>
        <w:gridCol w:w="2424"/>
        <w:gridCol w:w="2379"/>
      </w:tblGrid>
      <w:tr w:rsidR="00EF762E" w:rsidRPr="004A2492" w14:paraId="12D9DA14" w14:textId="77777777" w:rsidTr="004A2492">
        <w:trPr>
          <w:tblCellSpacing w:w="0" w:type="dxa"/>
        </w:trPr>
        <w:tc>
          <w:tcPr>
            <w:tcW w:w="1145" w:type="pct"/>
            <w:tcBorders>
              <w:top w:val="outset" w:sz="6" w:space="0" w:color="auto"/>
              <w:left w:val="outset" w:sz="6" w:space="0" w:color="auto"/>
              <w:bottom w:val="outset" w:sz="6" w:space="0" w:color="auto"/>
              <w:right w:val="outset" w:sz="6" w:space="0" w:color="auto"/>
            </w:tcBorders>
            <w:hideMark/>
          </w:tcPr>
          <w:p w14:paraId="7C42CCE3" w14:textId="77777777" w:rsidR="00EF762E" w:rsidRPr="004A2492" w:rsidRDefault="00EF762E" w:rsidP="004A2492">
            <w:pPr>
              <w:tabs>
                <w:tab w:val="left" w:pos="1304"/>
              </w:tabs>
              <w:rPr>
                <w:b/>
                <w:color w:val="000000"/>
                <w:szCs w:val="22"/>
                <w:lang w:bidi="he-IL"/>
              </w:rPr>
            </w:pPr>
            <w:r w:rsidRPr="004A2492">
              <w:rPr>
                <w:b/>
                <w:color w:val="000000"/>
                <w:lang w:bidi="he-IL"/>
              </w:rPr>
              <w:t>Systemorganklasse</w:t>
            </w:r>
          </w:p>
        </w:tc>
        <w:tc>
          <w:tcPr>
            <w:tcW w:w="1371" w:type="pct"/>
            <w:tcBorders>
              <w:top w:val="outset" w:sz="6" w:space="0" w:color="auto"/>
              <w:left w:val="outset" w:sz="6" w:space="0" w:color="auto"/>
              <w:bottom w:val="outset" w:sz="6" w:space="0" w:color="auto"/>
              <w:right w:val="outset" w:sz="6" w:space="0" w:color="auto"/>
            </w:tcBorders>
            <w:hideMark/>
          </w:tcPr>
          <w:p w14:paraId="29BB149B" w14:textId="77777777" w:rsidR="00EF762E" w:rsidRPr="004A2492" w:rsidRDefault="00EF762E" w:rsidP="004A2492">
            <w:pPr>
              <w:tabs>
                <w:tab w:val="left" w:pos="1304"/>
              </w:tabs>
              <w:rPr>
                <w:b/>
                <w:color w:val="000000"/>
                <w:szCs w:val="22"/>
                <w:lang w:val="el-GR" w:eastAsia="el-GR" w:bidi="he-IL"/>
              </w:rPr>
            </w:pPr>
            <w:r w:rsidRPr="004A2492">
              <w:rPr>
                <w:b/>
                <w:color w:val="000000"/>
                <w:lang w:bidi="he-IL"/>
              </w:rPr>
              <w:t>Sjælden</w:t>
            </w:r>
          </w:p>
        </w:tc>
        <w:tc>
          <w:tcPr>
            <w:tcW w:w="1242" w:type="pct"/>
            <w:tcBorders>
              <w:top w:val="outset" w:sz="6" w:space="0" w:color="auto"/>
              <w:left w:val="outset" w:sz="6" w:space="0" w:color="auto"/>
              <w:bottom w:val="outset" w:sz="6" w:space="0" w:color="auto"/>
              <w:right w:val="outset" w:sz="6" w:space="0" w:color="auto"/>
            </w:tcBorders>
            <w:hideMark/>
          </w:tcPr>
          <w:p w14:paraId="091246C5" w14:textId="77777777" w:rsidR="00EF762E" w:rsidRPr="004A2492" w:rsidRDefault="00EF762E" w:rsidP="004A2492">
            <w:pPr>
              <w:tabs>
                <w:tab w:val="left" w:pos="1304"/>
              </w:tabs>
              <w:rPr>
                <w:b/>
                <w:color w:val="000000"/>
                <w:szCs w:val="22"/>
                <w:lang w:val="el-GR" w:eastAsia="el-GR" w:bidi="he-IL"/>
              </w:rPr>
            </w:pPr>
            <w:r w:rsidRPr="004A2492">
              <w:rPr>
                <w:b/>
                <w:color w:val="000000"/>
                <w:lang w:bidi="he-IL"/>
              </w:rPr>
              <w:t>Meget sjælden</w:t>
            </w:r>
          </w:p>
        </w:tc>
        <w:tc>
          <w:tcPr>
            <w:tcW w:w="1242" w:type="pct"/>
            <w:tcBorders>
              <w:top w:val="outset" w:sz="6" w:space="0" w:color="auto"/>
              <w:left w:val="outset" w:sz="6" w:space="0" w:color="auto"/>
              <w:bottom w:val="outset" w:sz="6" w:space="0" w:color="auto"/>
              <w:right w:val="outset" w:sz="6" w:space="0" w:color="auto"/>
            </w:tcBorders>
            <w:hideMark/>
          </w:tcPr>
          <w:p w14:paraId="1D31997C" w14:textId="77777777" w:rsidR="00EF762E" w:rsidRPr="004A2492" w:rsidRDefault="00EF762E" w:rsidP="004A2492">
            <w:pPr>
              <w:tabs>
                <w:tab w:val="left" w:pos="1304"/>
              </w:tabs>
              <w:rPr>
                <w:b/>
                <w:color w:val="000000"/>
                <w:szCs w:val="22"/>
                <w:lang w:bidi="he-IL"/>
              </w:rPr>
            </w:pPr>
            <w:r w:rsidRPr="004A2492">
              <w:rPr>
                <w:b/>
                <w:color w:val="000000"/>
                <w:lang w:bidi="he-IL"/>
              </w:rPr>
              <w:t>Ikke kendt (kan ikke estimeres ud fra forhåndenværende data)</w:t>
            </w:r>
          </w:p>
        </w:tc>
      </w:tr>
      <w:tr w:rsidR="00EF762E" w14:paraId="64706C5C" w14:textId="77777777" w:rsidTr="004A2492">
        <w:trPr>
          <w:tblCellSpacing w:w="0" w:type="dxa"/>
        </w:trPr>
        <w:tc>
          <w:tcPr>
            <w:tcW w:w="1145" w:type="pct"/>
            <w:tcBorders>
              <w:top w:val="outset" w:sz="6" w:space="0" w:color="auto"/>
              <w:left w:val="outset" w:sz="6" w:space="0" w:color="auto"/>
              <w:bottom w:val="outset" w:sz="6" w:space="0" w:color="auto"/>
              <w:right w:val="outset" w:sz="6" w:space="0" w:color="auto"/>
            </w:tcBorders>
            <w:hideMark/>
          </w:tcPr>
          <w:p w14:paraId="4A8FF54D" w14:textId="77777777" w:rsidR="00EF762E" w:rsidRDefault="00EF762E">
            <w:pPr>
              <w:tabs>
                <w:tab w:val="left" w:pos="1304"/>
              </w:tabs>
              <w:rPr>
                <w:color w:val="000000"/>
                <w:szCs w:val="22"/>
                <w:lang w:bidi="he-IL"/>
              </w:rPr>
            </w:pPr>
            <w:r>
              <w:rPr>
                <w:color w:val="000000"/>
                <w:lang w:bidi="he-IL"/>
              </w:rPr>
              <w:t>Almene symptomer og reaktioner på administrationsstedet</w:t>
            </w:r>
          </w:p>
        </w:tc>
        <w:tc>
          <w:tcPr>
            <w:tcW w:w="1371" w:type="pct"/>
            <w:tcBorders>
              <w:top w:val="outset" w:sz="6" w:space="0" w:color="auto"/>
              <w:left w:val="outset" w:sz="6" w:space="0" w:color="auto"/>
              <w:bottom w:val="outset" w:sz="6" w:space="0" w:color="auto"/>
              <w:right w:val="outset" w:sz="6" w:space="0" w:color="auto"/>
            </w:tcBorders>
            <w:hideMark/>
          </w:tcPr>
          <w:p w14:paraId="0FC2621E" w14:textId="77777777" w:rsidR="00EF762E" w:rsidRDefault="00EF762E">
            <w:pPr>
              <w:tabs>
                <w:tab w:val="left" w:pos="1304"/>
              </w:tabs>
              <w:jc w:val="both"/>
              <w:rPr>
                <w:color w:val="000000"/>
                <w:szCs w:val="22"/>
                <w:lang w:bidi="he-IL"/>
              </w:rPr>
            </w:pPr>
            <w:r>
              <w:rPr>
                <w:color w:val="000000"/>
                <w:lang w:bidi="he-IL"/>
              </w:rPr>
              <w:t xml:space="preserve">Utilpashed </w:t>
            </w:r>
          </w:p>
        </w:tc>
        <w:tc>
          <w:tcPr>
            <w:tcW w:w="1242" w:type="pct"/>
            <w:tcBorders>
              <w:top w:val="outset" w:sz="6" w:space="0" w:color="auto"/>
              <w:left w:val="outset" w:sz="6" w:space="0" w:color="auto"/>
              <w:bottom w:val="outset" w:sz="6" w:space="0" w:color="auto"/>
              <w:right w:val="outset" w:sz="6" w:space="0" w:color="auto"/>
            </w:tcBorders>
            <w:hideMark/>
          </w:tcPr>
          <w:p w14:paraId="2F3AD5E4" w14:textId="77777777" w:rsidR="00EF762E" w:rsidRDefault="00EF762E">
            <w:pPr>
              <w:tabs>
                <w:tab w:val="left" w:pos="1304"/>
              </w:tabs>
              <w:jc w:val="both"/>
              <w:rPr>
                <w:color w:val="000000"/>
                <w:szCs w:val="22"/>
                <w:lang w:bidi="he-IL"/>
              </w:rPr>
            </w:pPr>
            <w:r>
              <w:rPr>
                <w:color w:val="000000"/>
                <w:lang w:bidi="he-IL"/>
              </w:rPr>
              <w:t xml:space="preserve">Overfølsomhedsreaktion </w:t>
            </w:r>
          </w:p>
        </w:tc>
        <w:tc>
          <w:tcPr>
            <w:tcW w:w="1242" w:type="pct"/>
            <w:tcBorders>
              <w:top w:val="outset" w:sz="6" w:space="0" w:color="auto"/>
              <w:left w:val="outset" w:sz="6" w:space="0" w:color="auto"/>
              <w:bottom w:val="outset" w:sz="6" w:space="0" w:color="auto"/>
              <w:right w:val="outset" w:sz="6" w:space="0" w:color="auto"/>
            </w:tcBorders>
          </w:tcPr>
          <w:p w14:paraId="7F2C601E" w14:textId="77777777" w:rsidR="00EF762E" w:rsidRDefault="00EF762E">
            <w:pPr>
              <w:tabs>
                <w:tab w:val="left" w:pos="1304"/>
              </w:tabs>
              <w:jc w:val="both"/>
              <w:rPr>
                <w:color w:val="000000"/>
                <w:szCs w:val="22"/>
                <w:lang w:val="el-GR" w:eastAsia="el-GR" w:bidi="he-IL"/>
              </w:rPr>
            </w:pPr>
          </w:p>
        </w:tc>
      </w:tr>
      <w:tr w:rsidR="00EF762E" w14:paraId="2B9B5A84" w14:textId="77777777" w:rsidTr="004A2492">
        <w:trPr>
          <w:tblCellSpacing w:w="0" w:type="dxa"/>
        </w:trPr>
        <w:tc>
          <w:tcPr>
            <w:tcW w:w="1145" w:type="pct"/>
            <w:tcBorders>
              <w:top w:val="outset" w:sz="6" w:space="0" w:color="auto"/>
              <w:left w:val="outset" w:sz="6" w:space="0" w:color="auto"/>
              <w:bottom w:val="outset" w:sz="6" w:space="0" w:color="auto"/>
              <w:right w:val="outset" w:sz="6" w:space="0" w:color="auto"/>
            </w:tcBorders>
            <w:hideMark/>
          </w:tcPr>
          <w:p w14:paraId="47FA033A" w14:textId="77777777" w:rsidR="00EF762E" w:rsidRDefault="00EF762E">
            <w:pPr>
              <w:tabs>
                <w:tab w:val="left" w:pos="1304"/>
              </w:tabs>
              <w:rPr>
                <w:color w:val="000000"/>
                <w:szCs w:val="22"/>
                <w:lang w:bidi="he-IL"/>
              </w:rPr>
            </w:pPr>
            <w:r>
              <w:rPr>
                <w:color w:val="000000"/>
                <w:lang w:bidi="he-IL"/>
              </w:rPr>
              <w:t xml:space="preserve">Vaskulære sygdomme </w:t>
            </w:r>
          </w:p>
        </w:tc>
        <w:tc>
          <w:tcPr>
            <w:tcW w:w="1371" w:type="pct"/>
            <w:tcBorders>
              <w:top w:val="outset" w:sz="6" w:space="0" w:color="auto"/>
              <w:left w:val="outset" w:sz="6" w:space="0" w:color="auto"/>
              <w:bottom w:val="outset" w:sz="6" w:space="0" w:color="auto"/>
              <w:right w:val="outset" w:sz="6" w:space="0" w:color="auto"/>
            </w:tcBorders>
            <w:hideMark/>
          </w:tcPr>
          <w:p w14:paraId="5D5AA0EF" w14:textId="77777777" w:rsidR="00EF762E" w:rsidRDefault="00EF762E">
            <w:pPr>
              <w:tabs>
                <w:tab w:val="left" w:pos="1304"/>
              </w:tabs>
              <w:jc w:val="both"/>
              <w:rPr>
                <w:color w:val="000000"/>
                <w:szCs w:val="22"/>
                <w:lang w:bidi="he-IL"/>
              </w:rPr>
            </w:pPr>
            <w:r>
              <w:rPr>
                <w:color w:val="000000"/>
                <w:lang w:bidi="he-IL"/>
              </w:rPr>
              <w:t xml:space="preserve">Hypotension </w:t>
            </w:r>
          </w:p>
        </w:tc>
        <w:tc>
          <w:tcPr>
            <w:tcW w:w="1242" w:type="pct"/>
            <w:tcBorders>
              <w:top w:val="outset" w:sz="6" w:space="0" w:color="auto"/>
              <w:left w:val="outset" w:sz="6" w:space="0" w:color="auto"/>
              <w:bottom w:val="outset" w:sz="6" w:space="0" w:color="auto"/>
              <w:right w:val="outset" w:sz="6" w:space="0" w:color="auto"/>
            </w:tcBorders>
            <w:hideMark/>
          </w:tcPr>
          <w:p w14:paraId="78DCDAFF" w14:textId="77777777" w:rsidR="00EF762E" w:rsidRDefault="00EF762E">
            <w:pPr>
              <w:tabs>
                <w:tab w:val="left" w:pos="1304"/>
              </w:tabs>
              <w:jc w:val="both"/>
              <w:rPr>
                <w:color w:val="000000"/>
                <w:szCs w:val="22"/>
                <w:lang w:bidi="he-IL"/>
              </w:rPr>
            </w:pPr>
            <w:r>
              <w:rPr>
                <w:color w:val="000000"/>
                <w:lang w:bidi="he-IL"/>
              </w:rPr>
              <w:t> </w:t>
            </w:r>
          </w:p>
        </w:tc>
        <w:tc>
          <w:tcPr>
            <w:tcW w:w="1242" w:type="pct"/>
            <w:tcBorders>
              <w:top w:val="outset" w:sz="6" w:space="0" w:color="auto"/>
              <w:left w:val="outset" w:sz="6" w:space="0" w:color="auto"/>
              <w:bottom w:val="outset" w:sz="6" w:space="0" w:color="auto"/>
              <w:right w:val="outset" w:sz="6" w:space="0" w:color="auto"/>
            </w:tcBorders>
          </w:tcPr>
          <w:p w14:paraId="4BCA513C" w14:textId="77777777" w:rsidR="00EF762E" w:rsidRDefault="00EF762E">
            <w:pPr>
              <w:tabs>
                <w:tab w:val="left" w:pos="1304"/>
              </w:tabs>
              <w:jc w:val="both"/>
              <w:rPr>
                <w:color w:val="000000"/>
                <w:szCs w:val="22"/>
                <w:lang w:val="el-GR" w:eastAsia="el-GR" w:bidi="he-IL"/>
              </w:rPr>
            </w:pPr>
          </w:p>
        </w:tc>
      </w:tr>
      <w:tr w:rsidR="00EF762E" w14:paraId="6462FD08" w14:textId="77777777" w:rsidTr="004A2492">
        <w:trPr>
          <w:tblCellSpacing w:w="0" w:type="dxa"/>
        </w:trPr>
        <w:tc>
          <w:tcPr>
            <w:tcW w:w="1145" w:type="pct"/>
            <w:tcBorders>
              <w:top w:val="outset" w:sz="6" w:space="0" w:color="auto"/>
              <w:left w:val="outset" w:sz="6" w:space="0" w:color="auto"/>
              <w:bottom w:val="outset" w:sz="6" w:space="0" w:color="auto"/>
              <w:right w:val="outset" w:sz="6" w:space="0" w:color="auto"/>
            </w:tcBorders>
            <w:hideMark/>
          </w:tcPr>
          <w:p w14:paraId="01EC4D21" w14:textId="77777777" w:rsidR="00EF762E" w:rsidRDefault="00EF762E">
            <w:pPr>
              <w:tabs>
                <w:tab w:val="left" w:pos="1304"/>
              </w:tabs>
              <w:rPr>
                <w:color w:val="000000"/>
                <w:szCs w:val="22"/>
                <w:lang w:bidi="he-IL"/>
              </w:rPr>
            </w:pPr>
            <w:r>
              <w:rPr>
                <w:color w:val="000000"/>
                <w:lang w:bidi="he-IL"/>
              </w:rPr>
              <w:lastRenderedPageBreak/>
              <w:t xml:space="preserve">Lever og galdeveje </w:t>
            </w:r>
          </w:p>
        </w:tc>
        <w:tc>
          <w:tcPr>
            <w:tcW w:w="1371" w:type="pct"/>
            <w:tcBorders>
              <w:top w:val="outset" w:sz="6" w:space="0" w:color="auto"/>
              <w:left w:val="outset" w:sz="6" w:space="0" w:color="auto"/>
              <w:bottom w:val="outset" w:sz="6" w:space="0" w:color="auto"/>
              <w:right w:val="outset" w:sz="6" w:space="0" w:color="auto"/>
            </w:tcBorders>
            <w:hideMark/>
          </w:tcPr>
          <w:p w14:paraId="61578FED" w14:textId="77777777" w:rsidR="00EF762E" w:rsidRDefault="00EF762E">
            <w:pPr>
              <w:tabs>
                <w:tab w:val="left" w:pos="1304"/>
              </w:tabs>
              <w:jc w:val="both"/>
              <w:rPr>
                <w:color w:val="000000"/>
                <w:szCs w:val="22"/>
                <w:lang w:bidi="he-IL"/>
              </w:rPr>
            </w:pPr>
            <w:r>
              <w:rPr>
                <w:color w:val="000000"/>
                <w:lang w:bidi="he-IL"/>
              </w:rPr>
              <w:t xml:space="preserve">Forhøjede leverenzymer </w:t>
            </w:r>
          </w:p>
        </w:tc>
        <w:tc>
          <w:tcPr>
            <w:tcW w:w="1242" w:type="pct"/>
            <w:tcBorders>
              <w:top w:val="outset" w:sz="6" w:space="0" w:color="auto"/>
              <w:left w:val="outset" w:sz="6" w:space="0" w:color="auto"/>
              <w:bottom w:val="outset" w:sz="6" w:space="0" w:color="auto"/>
              <w:right w:val="outset" w:sz="6" w:space="0" w:color="auto"/>
            </w:tcBorders>
            <w:hideMark/>
          </w:tcPr>
          <w:p w14:paraId="773965FE" w14:textId="77777777" w:rsidR="00EF762E" w:rsidRDefault="00EF762E">
            <w:pPr>
              <w:tabs>
                <w:tab w:val="left" w:pos="1304"/>
              </w:tabs>
              <w:jc w:val="both"/>
              <w:rPr>
                <w:color w:val="000000"/>
                <w:szCs w:val="22"/>
                <w:lang w:bidi="he-IL"/>
              </w:rPr>
            </w:pPr>
            <w:r>
              <w:rPr>
                <w:color w:val="000000"/>
                <w:lang w:bidi="he-IL"/>
              </w:rPr>
              <w:t> </w:t>
            </w:r>
          </w:p>
        </w:tc>
        <w:tc>
          <w:tcPr>
            <w:tcW w:w="1242" w:type="pct"/>
            <w:tcBorders>
              <w:top w:val="outset" w:sz="6" w:space="0" w:color="auto"/>
              <w:left w:val="outset" w:sz="6" w:space="0" w:color="auto"/>
              <w:bottom w:val="outset" w:sz="6" w:space="0" w:color="auto"/>
              <w:right w:val="outset" w:sz="6" w:space="0" w:color="auto"/>
            </w:tcBorders>
          </w:tcPr>
          <w:p w14:paraId="700AAB85" w14:textId="77777777" w:rsidR="00EF762E" w:rsidRDefault="00EF762E">
            <w:pPr>
              <w:tabs>
                <w:tab w:val="left" w:pos="1304"/>
              </w:tabs>
              <w:jc w:val="both"/>
              <w:rPr>
                <w:color w:val="000000"/>
                <w:szCs w:val="22"/>
                <w:lang w:eastAsia="el-GR" w:bidi="he-IL"/>
              </w:rPr>
            </w:pPr>
          </w:p>
        </w:tc>
      </w:tr>
      <w:tr w:rsidR="00EF762E" w14:paraId="30587964" w14:textId="77777777" w:rsidTr="004A2492">
        <w:trPr>
          <w:tblCellSpacing w:w="0" w:type="dxa"/>
        </w:trPr>
        <w:tc>
          <w:tcPr>
            <w:tcW w:w="1145" w:type="pct"/>
            <w:tcBorders>
              <w:top w:val="outset" w:sz="6" w:space="0" w:color="auto"/>
              <w:left w:val="outset" w:sz="6" w:space="0" w:color="auto"/>
              <w:bottom w:val="outset" w:sz="6" w:space="0" w:color="auto"/>
              <w:right w:val="outset" w:sz="6" w:space="0" w:color="auto"/>
            </w:tcBorders>
            <w:hideMark/>
          </w:tcPr>
          <w:p w14:paraId="44921584" w14:textId="77777777" w:rsidR="00EF762E" w:rsidRDefault="00EF762E">
            <w:pPr>
              <w:tabs>
                <w:tab w:val="left" w:pos="1304"/>
              </w:tabs>
              <w:rPr>
                <w:color w:val="000000"/>
                <w:szCs w:val="22"/>
                <w:lang w:bidi="he-IL"/>
              </w:rPr>
            </w:pPr>
            <w:r>
              <w:rPr>
                <w:color w:val="000000"/>
                <w:lang w:bidi="he-IL"/>
              </w:rPr>
              <w:t xml:space="preserve">Blod og lymfesystem </w:t>
            </w:r>
          </w:p>
        </w:tc>
        <w:tc>
          <w:tcPr>
            <w:tcW w:w="1371" w:type="pct"/>
            <w:tcBorders>
              <w:top w:val="outset" w:sz="6" w:space="0" w:color="auto"/>
              <w:left w:val="outset" w:sz="6" w:space="0" w:color="auto"/>
              <w:bottom w:val="outset" w:sz="6" w:space="0" w:color="auto"/>
              <w:right w:val="outset" w:sz="6" w:space="0" w:color="auto"/>
            </w:tcBorders>
            <w:hideMark/>
          </w:tcPr>
          <w:p w14:paraId="33503B3A" w14:textId="77777777" w:rsidR="00EF762E" w:rsidRDefault="00EF762E">
            <w:pPr>
              <w:tabs>
                <w:tab w:val="left" w:pos="1304"/>
              </w:tabs>
              <w:jc w:val="both"/>
              <w:rPr>
                <w:color w:val="000000"/>
                <w:szCs w:val="22"/>
                <w:lang w:bidi="he-IL"/>
              </w:rPr>
            </w:pPr>
            <w:r>
              <w:rPr>
                <w:color w:val="000000"/>
                <w:lang w:bidi="he-IL"/>
              </w:rPr>
              <w:t> </w:t>
            </w:r>
          </w:p>
        </w:tc>
        <w:tc>
          <w:tcPr>
            <w:tcW w:w="1242" w:type="pct"/>
            <w:tcBorders>
              <w:top w:val="outset" w:sz="6" w:space="0" w:color="auto"/>
              <w:left w:val="outset" w:sz="6" w:space="0" w:color="auto"/>
              <w:bottom w:val="outset" w:sz="6" w:space="0" w:color="auto"/>
              <w:right w:val="outset" w:sz="6" w:space="0" w:color="auto"/>
            </w:tcBorders>
            <w:hideMark/>
          </w:tcPr>
          <w:p w14:paraId="27FCE47B" w14:textId="77777777" w:rsidR="00EF762E" w:rsidRDefault="00EF762E">
            <w:pPr>
              <w:tabs>
                <w:tab w:val="left" w:pos="1304"/>
              </w:tabs>
              <w:jc w:val="both"/>
              <w:rPr>
                <w:color w:val="000000"/>
                <w:szCs w:val="22"/>
                <w:lang w:bidi="he-IL"/>
              </w:rPr>
            </w:pPr>
            <w:r>
              <w:rPr>
                <w:color w:val="000000"/>
                <w:lang w:bidi="he-IL"/>
              </w:rPr>
              <w:t xml:space="preserve">Trombocytopeni </w:t>
            </w:r>
          </w:p>
          <w:p w14:paraId="2BD6164E" w14:textId="77777777" w:rsidR="00EF762E" w:rsidRDefault="00EF762E">
            <w:pPr>
              <w:tabs>
                <w:tab w:val="left" w:pos="1304"/>
              </w:tabs>
              <w:jc w:val="both"/>
              <w:rPr>
                <w:color w:val="000000"/>
                <w:szCs w:val="22"/>
                <w:lang w:bidi="he-IL"/>
              </w:rPr>
            </w:pPr>
            <w:r>
              <w:rPr>
                <w:color w:val="000000"/>
                <w:lang w:bidi="he-IL"/>
              </w:rPr>
              <w:t xml:space="preserve">Leukopeni, </w:t>
            </w:r>
          </w:p>
          <w:p w14:paraId="4F227D16" w14:textId="77777777" w:rsidR="00EF762E" w:rsidRDefault="00EF762E">
            <w:pPr>
              <w:tabs>
                <w:tab w:val="left" w:pos="1304"/>
              </w:tabs>
              <w:jc w:val="both"/>
              <w:rPr>
                <w:color w:val="000000"/>
                <w:szCs w:val="22"/>
                <w:lang w:bidi="he-IL"/>
              </w:rPr>
            </w:pPr>
            <w:r>
              <w:rPr>
                <w:color w:val="000000"/>
                <w:lang w:bidi="he-IL"/>
              </w:rPr>
              <w:t xml:space="preserve">Neutropeni </w:t>
            </w:r>
          </w:p>
        </w:tc>
        <w:tc>
          <w:tcPr>
            <w:tcW w:w="1242" w:type="pct"/>
            <w:tcBorders>
              <w:top w:val="outset" w:sz="6" w:space="0" w:color="auto"/>
              <w:left w:val="outset" w:sz="6" w:space="0" w:color="auto"/>
              <w:bottom w:val="outset" w:sz="6" w:space="0" w:color="auto"/>
              <w:right w:val="outset" w:sz="6" w:space="0" w:color="auto"/>
            </w:tcBorders>
          </w:tcPr>
          <w:p w14:paraId="79258B28" w14:textId="77777777" w:rsidR="00EF762E" w:rsidRDefault="00EF762E">
            <w:pPr>
              <w:tabs>
                <w:tab w:val="left" w:pos="1304"/>
              </w:tabs>
              <w:jc w:val="both"/>
              <w:rPr>
                <w:color w:val="000000"/>
                <w:szCs w:val="22"/>
                <w:lang w:val="el-GR" w:eastAsia="el-GR" w:bidi="he-IL"/>
              </w:rPr>
            </w:pPr>
          </w:p>
        </w:tc>
      </w:tr>
      <w:tr w:rsidR="00EF762E" w14:paraId="6CDC1AD8" w14:textId="77777777" w:rsidTr="004A2492">
        <w:trPr>
          <w:tblCellSpacing w:w="0" w:type="dxa"/>
        </w:trPr>
        <w:tc>
          <w:tcPr>
            <w:tcW w:w="1145" w:type="pct"/>
            <w:tcBorders>
              <w:top w:val="outset" w:sz="6" w:space="0" w:color="auto"/>
              <w:left w:val="outset" w:sz="6" w:space="0" w:color="auto"/>
              <w:bottom w:val="outset" w:sz="6" w:space="0" w:color="auto"/>
              <w:right w:val="outset" w:sz="6" w:space="0" w:color="auto"/>
            </w:tcBorders>
            <w:hideMark/>
          </w:tcPr>
          <w:p w14:paraId="4D35AE8B" w14:textId="77777777" w:rsidR="00EF762E" w:rsidRDefault="00EF762E">
            <w:pPr>
              <w:tabs>
                <w:tab w:val="left" w:pos="1304"/>
              </w:tabs>
              <w:rPr>
                <w:color w:val="000000"/>
                <w:szCs w:val="22"/>
                <w:lang w:bidi="he-IL"/>
              </w:rPr>
            </w:pPr>
            <w:r>
              <w:rPr>
                <w:color w:val="000000"/>
                <w:lang w:bidi="he-IL"/>
              </w:rPr>
              <w:t>Metabolisme og ernæring</w:t>
            </w:r>
          </w:p>
        </w:tc>
        <w:tc>
          <w:tcPr>
            <w:tcW w:w="1371" w:type="pct"/>
            <w:tcBorders>
              <w:top w:val="outset" w:sz="6" w:space="0" w:color="auto"/>
              <w:left w:val="outset" w:sz="6" w:space="0" w:color="auto"/>
              <w:bottom w:val="outset" w:sz="6" w:space="0" w:color="auto"/>
              <w:right w:val="outset" w:sz="6" w:space="0" w:color="auto"/>
            </w:tcBorders>
          </w:tcPr>
          <w:p w14:paraId="1F75F3B3" w14:textId="77777777" w:rsidR="00EF762E" w:rsidRDefault="00EF762E">
            <w:pPr>
              <w:tabs>
                <w:tab w:val="left" w:pos="1304"/>
              </w:tabs>
              <w:jc w:val="both"/>
              <w:rPr>
                <w:color w:val="000000"/>
                <w:szCs w:val="22"/>
                <w:lang w:val="en-US" w:eastAsia="el-GR" w:bidi="he-IL"/>
              </w:rPr>
            </w:pPr>
          </w:p>
        </w:tc>
        <w:tc>
          <w:tcPr>
            <w:tcW w:w="1242" w:type="pct"/>
            <w:tcBorders>
              <w:top w:val="outset" w:sz="6" w:space="0" w:color="auto"/>
              <w:left w:val="outset" w:sz="6" w:space="0" w:color="auto"/>
              <w:bottom w:val="outset" w:sz="6" w:space="0" w:color="auto"/>
              <w:right w:val="outset" w:sz="6" w:space="0" w:color="auto"/>
            </w:tcBorders>
          </w:tcPr>
          <w:p w14:paraId="0B12CE68" w14:textId="77777777" w:rsidR="00EF762E" w:rsidRDefault="00EF762E">
            <w:pPr>
              <w:tabs>
                <w:tab w:val="left" w:pos="1304"/>
              </w:tabs>
              <w:jc w:val="both"/>
              <w:rPr>
                <w:color w:val="000000"/>
                <w:szCs w:val="22"/>
                <w:lang w:val="el-GR" w:eastAsia="el-GR" w:bidi="he-IL"/>
              </w:rPr>
            </w:pPr>
          </w:p>
        </w:tc>
        <w:tc>
          <w:tcPr>
            <w:tcW w:w="1242" w:type="pct"/>
            <w:tcBorders>
              <w:top w:val="outset" w:sz="6" w:space="0" w:color="auto"/>
              <w:left w:val="outset" w:sz="6" w:space="0" w:color="auto"/>
              <w:bottom w:val="outset" w:sz="6" w:space="0" w:color="auto"/>
              <w:right w:val="outset" w:sz="6" w:space="0" w:color="auto"/>
            </w:tcBorders>
            <w:hideMark/>
          </w:tcPr>
          <w:p w14:paraId="6B851DFB" w14:textId="77777777" w:rsidR="00EF762E" w:rsidRDefault="00EF762E">
            <w:pPr>
              <w:tabs>
                <w:tab w:val="left" w:pos="1304"/>
              </w:tabs>
              <w:jc w:val="both"/>
              <w:rPr>
                <w:color w:val="000000"/>
                <w:szCs w:val="22"/>
                <w:lang w:bidi="he-IL"/>
              </w:rPr>
            </w:pPr>
            <w:r>
              <w:rPr>
                <w:color w:val="000000"/>
                <w:lang w:bidi="he-IL"/>
              </w:rPr>
              <w:t>Metabolisk acidose med højt anion-gap</w:t>
            </w:r>
          </w:p>
        </w:tc>
      </w:tr>
    </w:tbl>
    <w:p w14:paraId="52FEC9A1" w14:textId="77777777" w:rsidR="00EF762E" w:rsidRDefault="00EF762E" w:rsidP="00EF762E">
      <w:pPr>
        <w:tabs>
          <w:tab w:val="left" w:pos="1304"/>
        </w:tabs>
        <w:jc w:val="both"/>
        <w:rPr>
          <w:color w:val="000000"/>
          <w:sz w:val="22"/>
          <w:szCs w:val="22"/>
          <w:lang w:eastAsia="el-GR"/>
        </w:rPr>
      </w:pPr>
    </w:p>
    <w:p w14:paraId="1389F464" w14:textId="77777777" w:rsidR="00EF762E" w:rsidRPr="004A2492" w:rsidRDefault="00EF762E" w:rsidP="00EF762E">
      <w:pPr>
        <w:tabs>
          <w:tab w:val="left" w:pos="1304"/>
        </w:tabs>
        <w:ind w:left="851"/>
        <w:rPr>
          <w:color w:val="000000"/>
          <w:sz w:val="24"/>
          <w:szCs w:val="24"/>
          <w:u w:val="single"/>
        </w:rPr>
      </w:pPr>
      <w:r w:rsidRPr="004A2492">
        <w:rPr>
          <w:color w:val="000000"/>
          <w:sz w:val="24"/>
          <w:szCs w:val="24"/>
          <w:u w:val="single"/>
        </w:rPr>
        <w:t>Beskrivelse af udvalgte bivirkninger</w:t>
      </w:r>
    </w:p>
    <w:p w14:paraId="2E715E12" w14:textId="77777777" w:rsidR="00EF762E" w:rsidRPr="00EF762E" w:rsidRDefault="00EF762E" w:rsidP="00EF762E">
      <w:pPr>
        <w:tabs>
          <w:tab w:val="left" w:pos="1304"/>
        </w:tabs>
        <w:ind w:left="851"/>
        <w:rPr>
          <w:color w:val="000000"/>
          <w:sz w:val="24"/>
          <w:szCs w:val="24"/>
        </w:rPr>
      </w:pPr>
      <w:r w:rsidRPr="00EF762E">
        <w:rPr>
          <w:color w:val="000000"/>
          <w:sz w:val="24"/>
          <w:szCs w:val="24"/>
        </w:rPr>
        <w:t>Der er rapporteret hyppige reaktioner på injektionsstedet (smerte og en brændende fornemmelse) under kliniske studier.</w:t>
      </w:r>
    </w:p>
    <w:p w14:paraId="4E32A5CA" w14:textId="77777777" w:rsidR="00EF762E" w:rsidRPr="00EF762E" w:rsidRDefault="00EF762E" w:rsidP="00EF762E">
      <w:pPr>
        <w:tabs>
          <w:tab w:val="left" w:pos="1304"/>
        </w:tabs>
        <w:ind w:left="851"/>
        <w:rPr>
          <w:color w:val="000000"/>
          <w:sz w:val="24"/>
          <w:szCs w:val="24"/>
          <w:lang w:eastAsia="el-GR"/>
        </w:rPr>
      </w:pPr>
    </w:p>
    <w:p w14:paraId="080F1AA4" w14:textId="77777777" w:rsidR="00EF762E" w:rsidRPr="00EF762E" w:rsidRDefault="00EF762E" w:rsidP="00EF762E">
      <w:pPr>
        <w:tabs>
          <w:tab w:val="left" w:pos="1304"/>
        </w:tabs>
        <w:ind w:left="851"/>
        <w:rPr>
          <w:color w:val="000000"/>
          <w:sz w:val="24"/>
          <w:szCs w:val="24"/>
        </w:rPr>
      </w:pPr>
      <w:r w:rsidRPr="00EF762E">
        <w:rPr>
          <w:sz w:val="24"/>
          <w:szCs w:val="24"/>
        </w:rPr>
        <w:t>Meget sjældne tilfælde af alvorlige hudreaktioner, herunder Stevens</w:t>
      </w:r>
      <w:r w:rsidRPr="00EF762E">
        <w:rPr>
          <w:sz w:val="24"/>
          <w:szCs w:val="24"/>
        </w:rPr>
        <w:noBreakHyphen/>
        <w:t>Johnsons syndrom (SJS), toksisk epidermal nekrolyse (TEN) og akut generaliseret eksantematøs pustulose (AGEP) er rapporteret (se pkt. 4.4).</w:t>
      </w:r>
    </w:p>
    <w:p w14:paraId="467DBA67" w14:textId="77777777" w:rsidR="00EF762E" w:rsidRPr="00EF762E" w:rsidRDefault="00EF762E" w:rsidP="00EF762E">
      <w:pPr>
        <w:tabs>
          <w:tab w:val="left" w:pos="1304"/>
        </w:tabs>
        <w:ind w:left="851"/>
        <w:rPr>
          <w:color w:val="000000"/>
          <w:sz w:val="24"/>
          <w:szCs w:val="24"/>
          <w:lang w:eastAsia="el-GR"/>
        </w:rPr>
      </w:pPr>
    </w:p>
    <w:p w14:paraId="6064DD6E" w14:textId="77777777" w:rsidR="00EF762E" w:rsidRPr="00EF762E" w:rsidRDefault="00EF762E" w:rsidP="00EF762E">
      <w:pPr>
        <w:tabs>
          <w:tab w:val="left" w:pos="1304"/>
        </w:tabs>
        <w:ind w:left="851"/>
        <w:rPr>
          <w:color w:val="000000"/>
          <w:sz w:val="24"/>
          <w:szCs w:val="24"/>
        </w:rPr>
      </w:pPr>
      <w:r w:rsidRPr="00EF762E">
        <w:rPr>
          <w:color w:val="000000"/>
          <w:sz w:val="24"/>
          <w:szCs w:val="24"/>
        </w:rPr>
        <w:t>Meget sjældne tilfælde af overfølsomhedsreaktioner, der spænder fra simpelt hududslæt eller urticaria til anafylaktisk shock er rapporteret og kræver seponering af behandlingen.</w:t>
      </w:r>
    </w:p>
    <w:p w14:paraId="188FA0E7" w14:textId="77777777" w:rsidR="00EF762E" w:rsidRPr="00EF762E" w:rsidRDefault="00EF762E" w:rsidP="00EF762E">
      <w:pPr>
        <w:tabs>
          <w:tab w:val="left" w:pos="1304"/>
        </w:tabs>
        <w:ind w:left="851"/>
        <w:rPr>
          <w:color w:val="000000"/>
          <w:sz w:val="24"/>
          <w:szCs w:val="24"/>
          <w:lang w:eastAsia="el-GR"/>
        </w:rPr>
      </w:pPr>
    </w:p>
    <w:p w14:paraId="591C6C86" w14:textId="77777777" w:rsidR="00EF762E" w:rsidRPr="00EF762E" w:rsidRDefault="00EF762E" w:rsidP="00EF762E">
      <w:pPr>
        <w:tabs>
          <w:tab w:val="left" w:pos="1304"/>
        </w:tabs>
        <w:ind w:left="851"/>
        <w:rPr>
          <w:color w:val="000000"/>
          <w:sz w:val="24"/>
          <w:szCs w:val="24"/>
        </w:rPr>
      </w:pPr>
      <w:r w:rsidRPr="00EF762E">
        <w:rPr>
          <w:color w:val="000000"/>
          <w:sz w:val="24"/>
          <w:szCs w:val="24"/>
        </w:rPr>
        <w:t>Der er rapporteret tilfælde af erytem, ansigtsrødme, pruritus og takykardi.</w:t>
      </w:r>
    </w:p>
    <w:p w14:paraId="327C29C5" w14:textId="77777777" w:rsidR="00EF762E" w:rsidRPr="00EF762E" w:rsidRDefault="00EF762E" w:rsidP="00EF762E">
      <w:pPr>
        <w:tabs>
          <w:tab w:val="left" w:pos="1304"/>
        </w:tabs>
        <w:ind w:left="851"/>
        <w:rPr>
          <w:color w:val="000000"/>
          <w:sz w:val="24"/>
          <w:szCs w:val="24"/>
          <w:lang w:eastAsia="el-GR"/>
        </w:rPr>
      </w:pPr>
    </w:p>
    <w:p w14:paraId="605B4348" w14:textId="77777777" w:rsidR="00EF762E" w:rsidRPr="004A2492" w:rsidRDefault="00EF762E" w:rsidP="00EF762E">
      <w:pPr>
        <w:tabs>
          <w:tab w:val="left" w:pos="1304"/>
        </w:tabs>
        <w:ind w:left="851"/>
        <w:rPr>
          <w:color w:val="000000"/>
          <w:sz w:val="24"/>
          <w:szCs w:val="24"/>
          <w:u w:val="single"/>
        </w:rPr>
      </w:pPr>
      <w:r w:rsidRPr="004A2492">
        <w:rPr>
          <w:color w:val="000000"/>
          <w:sz w:val="24"/>
          <w:szCs w:val="24"/>
          <w:u w:val="single"/>
        </w:rPr>
        <w:t>Metabolisk acidose med højt anion-gap</w:t>
      </w:r>
    </w:p>
    <w:p w14:paraId="2830FD65" w14:textId="3B2F12B5" w:rsidR="00EF762E" w:rsidRDefault="00EF762E" w:rsidP="00EF762E">
      <w:pPr>
        <w:tabs>
          <w:tab w:val="left" w:pos="1304"/>
        </w:tabs>
        <w:ind w:left="851"/>
        <w:rPr>
          <w:color w:val="000000"/>
          <w:sz w:val="24"/>
          <w:szCs w:val="24"/>
        </w:rPr>
      </w:pPr>
      <w:r w:rsidRPr="00EF762E">
        <w:rPr>
          <w:color w:val="000000"/>
          <w:sz w:val="24"/>
          <w:szCs w:val="24"/>
        </w:rPr>
        <w:t>Hos patienter med risikofaktorer, der anvender paracetamol, er der observeret tilfælde af metabolisk acidose med højt anion-gap som følge af pyroglutaminacidose (se pkt. 4.4). Pyroglutaminacidose kan forekomme som følge af lave glutathionniveauer hos disse patienter.</w:t>
      </w:r>
    </w:p>
    <w:p w14:paraId="17ED8E76" w14:textId="77777777" w:rsidR="004A2492" w:rsidRPr="00EF762E" w:rsidRDefault="004A2492" w:rsidP="00EF762E">
      <w:pPr>
        <w:tabs>
          <w:tab w:val="left" w:pos="1304"/>
        </w:tabs>
        <w:ind w:left="851"/>
        <w:rPr>
          <w:color w:val="000000"/>
          <w:sz w:val="24"/>
          <w:szCs w:val="24"/>
          <w:lang w:val="nl-NL" w:eastAsia="el-GR"/>
        </w:rPr>
      </w:pPr>
    </w:p>
    <w:p w14:paraId="7A75D62B" w14:textId="77777777" w:rsidR="00EF762E" w:rsidRPr="00EF762E" w:rsidRDefault="00EF762E" w:rsidP="00EF762E">
      <w:pPr>
        <w:autoSpaceDE w:val="0"/>
        <w:autoSpaceDN w:val="0"/>
        <w:adjustRightInd w:val="0"/>
        <w:ind w:left="851"/>
        <w:rPr>
          <w:sz w:val="24"/>
          <w:szCs w:val="24"/>
          <w:u w:val="single"/>
        </w:rPr>
      </w:pPr>
      <w:r w:rsidRPr="00EF762E">
        <w:rPr>
          <w:sz w:val="24"/>
          <w:szCs w:val="24"/>
          <w:u w:val="single"/>
        </w:rPr>
        <w:t>Indberetning af formodede bivirkninger</w:t>
      </w:r>
    </w:p>
    <w:p w14:paraId="15A61E98" w14:textId="15C2115E" w:rsidR="00EF762E" w:rsidRDefault="00EF762E" w:rsidP="00EF762E">
      <w:pPr>
        <w:ind w:left="851"/>
        <w:rPr>
          <w:sz w:val="24"/>
          <w:szCs w:val="24"/>
        </w:rPr>
      </w:pPr>
      <w:r w:rsidRPr="00EF762E">
        <w:rPr>
          <w:sz w:val="24"/>
          <w:szCs w:val="24"/>
        </w:rPr>
        <w:t>Når lægemidlet er godkendt, er indberetning af formodede bivirkninger vigtig. Det muliggør løbende overvågning af benefit/risk-forholdet for lægemidlet. Sundhedspersoner anmodes om at indberette alle formodede bivirkninger via</w:t>
      </w:r>
      <w:r w:rsidR="004A2492">
        <w:rPr>
          <w:sz w:val="24"/>
          <w:szCs w:val="24"/>
        </w:rPr>
        <w:t>:</w:t>
      </w:r>
    </w:p>
    <w:p w14:paraId="5120FAF8" w14:textId="77777777" w:rsidR="004A2492" w:rsidRPr="00EF762E" w:rsidRDefault="004A2492" w:rsidP="00EF762E">
      <w:pPr>
        <w:ind w:left="851"/>
        <w:rPr>
          <w:sz w:val="24"/>
          <w:szCs w:val="24"/>
        </w:rPr>
      </w:pPr>
    </w:p>
    <w:p w14:paraId="20F06125" w14:textId="77777777" w:rsidR="00EF762E" w:rsidRPr="00EF762E" w:rsidRDefault="00EF762E" w:rsidP="00EF762E">
      <w:pPr>
        <w:ind w:left="851"/>
        <w:rPr>
          <w:sz w:val="24"/>
          <w:szCs w:val="24"/>
        </w:rPr>
      </w:pPr>
      <w:r w:rsidRPr="00EF762E">
        <w:rPr>
          <w:sz w:val="24"/>
          <w:szCs w:val="24"/>
        </w:rPr>
        <w:t xml:space="preserve">Lægemiddelstyrelsen </w:t>
      </w:r>
    </w:p>
    <w:p w14:paraId="40CB9D8F" w14:textId="77777777" w:rsidR="00EF762E" w:rsidRPr="00EF762E" w:rsidRDefault="00EF762E" w:rsidP="00EF762E">
      <w:pPr>
        <w:ind w:left="851"/>
        <w:rPr>
          <w:sz w:val="24"/>
          <w:szCs w:val="24"/>
        </w:rPr>
      </w:pPr>
      <w:r w:rsidRPr="00EF762E">
        <w:rPr>
          <w:sz w:val="24"/>
          <w:szCs w:val="24"/>
        </w:rPr>
        <w:t xml:space="preserve">Axel Heides Gade 1 </w:t>
      </w:r>
    </w:p>
    <w:p w14:paraId="5E685DF9" w14:textId="77777777" w:rsidR="00EF762E" w:rsidRPr="00EF762E" w:rsidRDefault="00EF762E" w:rsidP="00EF762E">
      <w:pPr>
        <w:ind w:left="851"/>
        <w:rPr>
          <w:sz w:val="24"/>
          <w:szCs w:val="24"/>
        </w:rPr>
      </w:pPr>
      <w:r w:rsidRPr="00EF762E">
        <w:rPr>
          <w:sz w:val="24"/>
          <w:szCs w:val="24"/>
        </w:rPr>
        <w:t xml:space="preserve">DK-2300 København S </w:t>
      </w:r>
    </w:p>
    <w:p w14:paraId="64EA104B" w14:textId="7C1E4E27" w:rsidR="00EF762E" w:rsidRPr="00EF762E" w:rsidRDefault="00EF762E" w:rsidP="00EF762E">
      <w:pPr>
        <w:ind w:left="851"/>
        <w:rPr>
          <w:sz w:val="24"/>
          <w:szCs w:val="24"/>
        </w:rPr>
      </w:pPr>
      <w:r w:rsidRPr="00EF762E">
        <w:rPr>
          <w:sz w:val="24"/>
          <w:szCs w:val="24"/>
        </w:rPr>
        <w:t xml:space="preserve">Website: </w:t>
      </w:r>
      <w:r w:rsidRPr="004A2492">
        <w:rPr>
          <w:sz w:val="24"/>
          <w:szCs w:val="24"/>
        </w:rPr>
        <w:t>www.meldenbivirkning.dk</w:t>
      </w:r>
      <w:r w:rsidRPr="00EF762E">
        <w:rPr>
          <w:sz w:val="24"/>
          <w:szCs w:val="24"/>
        </w:rPr>
        <w:t xml:space="preserve"> </w:t>
      </w:r>
    </w:p>
    <w:p w14:paraId="3984F734" w14:textId="77777777" w:rsidR="009260DE" w:rsidRPr="00EF762E" w:rsidRDefault="009260DE" w:rsidP="00EF762E">
      <w:pPr>
        <w:tabs>
          <w:tab w:val="left" w:pos="851"/>
        </w:tabs>
        <w:ind w:left="851"/>
        <w:rPr>
          <w:sz w:val="24"/>
          <w:szCs w:val="24"/>
        </w:rPr>
      </w:pPr>
    </w:p>
    <w:p w14:paraId="3D0C5F0E"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4A3A1D83" w14:textId="77777777" w:rsidR="003155D2" w:rsidRPr="003155D2" w:rsidRDefault="003155D2" w:rsidP="003155D2">
      <w:pPr>
        <w:tabs>
          <w:tab w:val="left" w:pos="851"/>
        </w:tabs>
        <w:ind w:left="851"/>
        <w:rPr>
          <w:sz w:val="24"/>
          <w:szCs w:val="24"/>
        </w:rPr>
      </w:pPr>
      <w:r w:rsidRPr="003155D2">
        <w:rPr>
          <w:sz w:val="24"/>
          <w:szCs w:val="24"/>
        </w:rPr>
        <w:t>Der er risiko for leverskade (herunder fulminant hepatitis, leversvigt, kolestatisk hepatitis og cytolytisk hepatitis), især hos ældre, små børn, patienter med leversygdom, ved kronisk alkoholisme, patienter med kronisk fejlernæring samt patienter, der får enzyminducerende lægemidler. Overdosering kan i disse tilfælde være dødelig.</w:t>
      </w:r>
    </w:p>
    <w:p w14:paraId="328B0900" w14:textId="77777777" w:rsidR="003155D2" w:rsidRPr="003155D2" w:rsidRDefault="003155D2" w:rsidP="003155D2">
      <w:pPr>
        <w:tabs>
          <w:tab w:val="left" w:pos="851"/>
        </w:tabs>
        <w:ind w:left="851"/>
        <w:rPr>
          <w:sz w:val="24"/>
          <w:szCs w:val="24"/>
        </w:rPr>
      </w:pPr>
    </w:p>
    <w:p w14:paraId="1AE519BF" w14:textId="77777777" w:rsidR="003155D2" w:rsidRPr="003155D2" w:rsidRDefault="003155D2" w:rsidP="003155D2">
      <w:pPr>
        <w:tabs>
          <w:tab w:val="left" w:pos="851"/>
        </w:tabs>
        <w:ind w:left="851"/>
        <w:rPr>
          <w:sz w:val="24"/>
          <w:szCs w:val="24"/>
        </w:rPr>
      </w:pPr>
      <w:r w:rsidRPr="003155D2">
        <w:rPr>
          <w:sz w:val="24"/>
          <w:szCs w:val="24"/>
        </w:rPr>
        <w:t xml:space="preserve">Symptomerne opstår sædvanligvis inden for de første 24 timer og omfatter kvalme, opkastning, appetitløshed, bleghed og mavesmerter. Én overdosis på 7,5 g eller mere paracetamol én enkelt administration til voksne – eller 140 mg/kg legemsvægt én enkelt administration til børn – kan forårsage hepatisk cytolyse, som kan føre til komplet og irreversibel nekrose. Dette kan resultere i hepatocellulær insufficiens, metabolisk acidose og encefalopati, som i sidste ende kan medføre koma og død. Samtidig ses forhøjede niveauer af leverenzymer (ASAT, ALAT), laktatdehydrogenase og bilirubin sammen med </w:t>
      </w:r>
      <w:r w:rsidRPr="003155D2">
        <w:rPr>
          <w:sz w:val="24"/>
          <w:szCs w:val="24"/>
        </w:rPr>
        <w:lastRenderedPageBreak/>
        <w:t>reducerede protrombinniveauer, hvilket kan forekomme 12 til 48 timer efter administration.</w:t>
      </w:r>
    </w:p>
    <w:p w14:paraId="62197892" w14:textId="77777777" w:rsidR="003155D2" w:rsidRPr="003155D2" w:rsidRDefault="003155D2" w:rsidP="003155D2">
      <w:pPr>
        <w:tabs>
          <w:tab w:val="left" w:pos="851"/>
        </w:tabs>
        <w:ind w:left="851"/>
        <w:rPr>
          <w:sz w:val="24"/>
          <w:szCs w:val="24"/>
        </w:rPr>
      </w:pPr>
    </w:p>
    <w:p w14:paraId="06335E1F" w14:textId="77777777" w:rsidR="003155D2" w:rsidRPr="003155D2" w:rsidRDefault="003155D2" w:rsidP="003155D2">
      <w:pPr>
        <w:tabs>
          <w:tab w:val="left" w:pos="851"/>
        </w:tabs>
        <w:ind w:left="851"/>
        <w:rPr>
          <w:sz w:val="24"/>
          <w:szCs w:val="24"/>
        </w:rPr>
      </w:pPr>
      <w:r w:rsidRPr="003155D2">
        <w:rPr>
          <w:sz w:val="24"/>
          <w:szCs w:val="24"/>
        </w:rPr>
        <w:t>Kliniske symptomer på leverskade kan normalt ses første gang efter to dage og når et maksimum efter 4 til 6 dage.</w:t>
      </w:r>
    </w:p>
    <w:p w14:paraId="7BAE8002" w14:textId="77777777" w:rsidR="003155D2" w:rsidRPr="003155D2" w:rsidRDefault="003155D2" w:rsidP="003155D2">
      <w:pPr>
        <w:tabs>
          <w:tab w:val="left" w:pos="851"/>
        </w:tabs>
        <w:ind w:left="851"/>
        <w:rPr>
          <w:sz w:val="24"/>
          <w:szCs w:val="24"/>
          <w:u w:val="single"/>
        </w:rPr>
      </w:pPr>
    </w:p>
    <w:p w14:paraId="7071C821" w14:textId="77777777" w:rsidR="003155D2" w:rsidRPr="003155D2" w:rsidRDefault="003155D2" w:rsidP="003155D2">
      <w:pPr>
        <w:tabs>
          <w:tab w:val="left" w:pos="851"/>
        </w:tabs>
        <w:ind w:left="851"/>
        <w:rPr>
          <w:sz w:val="24"/>
          <w:szCs w:val="24"/>
        </w:rPr>
      </w:pPr>
      <w:r w:rsidRPr="003155D2">
        <w:rPr>
          <w:sz w:val="24"/>
          <w:szCs w:val="24"/>
          <w:u w:val="single"/>
        </w:rPr>
        <w:t>Akut behandling</w:t>
      </w:r>
    </w:p>
    <w:p w14:paraId="1D7490B0" w14:textId="77777777" w:rsidR="003155D2" w:rsidRPr="003155D2" w:rsidRDefault="003155D2" w:rsidP="003155D2">
      <w:pPr>
        <w:pStyle w:val="Listeafsnit"/>
        <w:numPr>
          <w:ilvl w:val="0"/>
          <w:numId w:val="15"/>
        </w:numPr>
        <w:tabs>
          <w:tab w:val="left" w:pos="851"/>
        </w:tabs>
        <w:ind w:left="1134" w:hanging="283"/>
        <w:rPr>
          <w:sz w:val="24"/>
          <w:szCs w:val="24"/>
        </w:rPr>
      </w:pPr>
      <w:r w:rsidRPr="003155D2">
        <w:rPr>
          <w:sz w:val="24"/>
          <w:szCs w:val="24"/>
        </w:rPr>
        <w:t>Øjeblikkelig hospitalsindlæggelse.</w:t>
      </w:r>
    </w:p>
    <w:p w14:paraId="1BDF6909" w14:textId="77777777" w:rsidR="003155D2" w:rsidRPr="003155D2" w:rsidRDefault="003155D2" w:rsidP="003155D2">
      <w:pPr>
        <w:pStyle w:val="Listeafsnit"/>
        <w:numPr>
          <w:ilvl w:val="0"/>
          <w:numId w:val="15"/>
        </w:numPr>
        <w:tabs>
          <w:tab w:val="left" w:pos="851"/>
        </w:tabs>
        <w:ind w:left="1134" w:hanging="283"/>
        <w:rPr>
          <w:sz w:val="24"/>
          <w:szCs w:val="24"/>
        </w:rPr>
      </w:pPr>
      <w:r w:rsidRPr="003155D2">
        <w:rPr>
          <w:sz w:val="24"/>
          <w:szCs w:val="24"/>
        </w:rPr>
        <w:t>Inden der påbegyndes behandling, skal der tages en blodprøve så hurtigt som muligt efter overdoseringen med henblik på bestemmelse af paracetamolniveauet i plasma.</w:t>
      </w:r>
    </w:p>
    <w:p w14:paraId="64CD417A" w14:textId="77777777" w:rsidR="003155D2" w:rsidRPr="003155D2" w:rsidRDefault="003155D2" w:rsidP="003155D2">
      <w:pPr>
        <w:pStyle w:val="Listeafsnit"/>
        <w:numPr>
          <w:ilvl w:val="0"/>
          <w:numId w:val="15"/>
        </w:numPr>
        <w:tabs>
          <w:tab w:val="left" w:pos="851"/>
        </w:tabs>
        <w:ind w:left="1134" w:hanging="283"/>
        <w:rPr>
          <w:sz w:val="24"/>
          <w:szCs w:val="24"/>
        </w:rPr>
      </w:pPr>
      <w:r w:rsidRPr="003155D2">
        <w:rPr>
          <w:sz w:val="24"/>
          <w:szCs w:val="24"/>
        </w:rPr>
        <w:t>Behandlingen omfatter administration af antidoten N</w:t>
      </w:r>
      <w:r w:rsidRPr="003155D2">
        <w:rPr>
          <w:sz w:val="24"/>
          <w:szCs w:val="24"/>
        </w:rPr>
        <w:noBreakHyphen/>
        <w:t xml:space="preserve">acetylcystein (NAC), enten intravenøst eller oralt, og om muligt inden for </w:t>
      </w:r>
      <w:r w:rsidRPr="003155D2">
        <w:rPr>
          <w:sz w:val="24"/>
          <w:szCs w:val="24"/>
          <w:u w:val="single"/>
        </w:rPr>
        <w:t>de første</w:t>
      </w:r>
      <w:r w:rsidRPr="003155D2">
        <w:rPr>
          <w:sz w:val="24"/>
          <w:szCs w:val="24"/>
        </w:rPr>
        <w:t xml:space="preserve"> 10 timer. NAC kan dog give nogen grad af beskyttelse også efter 10 timer, men i disse tilfælde gives forlænget behandling.</w:t>
      </w:r>
    </w:p>
    <w:p w14:paraId="3155E2E7" w14:textId="77777777" w:rsidR="003155D2" w:rsidRPr="003155D2" w:rsidRDefault="003155D2" w:rsidP="003155D2">
      <w:pPr>
        <w:pStyle w:val="Listeafsnit"/>
        <w:numPr>
          <w:ilvl w:val="0"/>
          <w:numId w:val="15"/>
        </w:numPr>
        <w:tabs>
          <w:tab w:val="left" w:pos="851"/>
        </w:tabs>
        <w:ind w:left="1134" w:hanging="283"/>
        <w:rPr>
          <w:sz w:val="24"/>
          <w:szCs w:val="24"/>
        </w:rPr>
      </w:pPr>
      <w:r w:rsidRPr="003155D2">
        <w:rPr>
          <w:sz w:val="24"/>
          <w:szCs w:val="24"/>
        </w:rPr>
        <w:t>Symptomatisk behandling.</w:t>
      </w:r>
    </w:p>
    <w:p w14:paraId="46EE7BE1" w14:textId="77777777" w:rsidR="003155D2" w:rsidRPr="003155D2" w:rsidRDefault="003155D2" w:rsidP="003155D2">
      <w:pPr>
        <w:pStyle w:val="Listeafsnit"/>
        <w:numPr>
          <w:ilvl w:val="0"/>
          <w:numId w:val="15"/>
        </w:numPr>
        <w:tabs>
          <w:tab w:val="left" w:pos="851"/>
        </w:tabs>
        <w:ind w:left="1134" w:hanging="283"/>
        <w:rPr>
          <w:sz w:val="24"/>
          <w:szCs w:val="24"/>
        </w:rPr>
      </w:pPr>
      <w:r w:rsidRPr="003155D2">
        <w:rPr>
          <w:sz w:val="24"/>
          <w:szCs w:val="24"/>
        </w:rPr>
        <w:t>Leverfunktionstest skal udføres ved behandlingsstart og gentages hver 24. time. I de fleste tilfælde normaliseres leverenzymerne i løbet af en til to uger med fuld restitution af leverfunktionen. I meget alvorlige tilfælde kan levertransplantation dog være nødvendig.</w:t>
      </w:r>
    </w:p>
    <w:p w14:paraId="1A440CAF" w14:textId="77777777" w:rsidR="009260DE" w:rsidRPr="00C84483" w:rsidRDefault="009260DE" w:rsidP="009260DE">
      <w:pPr>
        <w:tabs>
          <w:tab w:val="left" w:pos="851"/>
        </w:tabs>
        <w:ind w:left="851"/>
        <w:rPr>
          <w:sz w:val="24"/>
          <w:szCs w:val="24"/>
        </w:rPr>
      </w:pPr>
    </w:p>
    <w:p w14:paraId="3FA7606E"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132B210C" w14:textId="5D4F5342" w:rsidR="009260DE" w:rsidRPr="00C84483" w:rsidRDefault="003155D2" w:rsidP="009260DE">
      <w:pPr>
        <w:tabs>
          <w:tab w:val="left" w:pos="851"/>
        </w:tabs>
        <w:ind w:left="851"/>
        <w:rPr>
          <w:sz w:val="24"/>
          <w:szCs w:val="24"/>
        </w:rPr>
      </w:pPr>
      <w:r>
        <w:rPr>
          <w:sz w:val="24"/>
          <w:szCs w:val="24"/>
        </w:rPr>
        <w:t>B</w:t>
      </w:r>
    </w:p>
    <w:p w14:paraId="789F8EF7" w14:textId="77777777" w:rsidR="009260DE" w:rsidRPr="00C84483" w:rsidRDefault="009260DE" w:rsidP="009260DE">
      <w:pPr>
        <w:tabs>
          <w:tab w:val="left" w:pos="851"/>
        </w:tabs>
        <w:ind w:left="851"/>
        <w:rPr>
          <w:sz w:val="24"/>
          <w:szCs w:val="24"/>
        </w:rPr>
      </w:pPr>
    </w:p>
    <w:p w14:paraId="1C3C901F" w14:textId="77777777" w:rsidR="009260DE" w:rsidRPr="00C84483" w:rsidRDefault="009260DE" w:rsidP="009260DE">
      <w:pPr>
        <w:tabs>
          <w:tab w:val="left" w:pos="851"/>
        </w:tabs>
        <w:ind w:left="851"/>
        <w:rPr>
          <w:sz w:val="24"/>
          <w:szCs w:val="24"/>
        </w:rPr>
      </w:pPr>
    </w:p>
    <w:p w14:paraId="5A71A870"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5557ACD9" w14:textId="77777777" w:rsidR="009260DE" w:rsidRPr="00C84483" w:rsidRDefault="009260DE" w:rsidP="009260DE">
      <w:pPr>
        <w:tabs>
          <w:tab w:val="left" w:pos="851"/>
        </w:tabs>
        <w:ind w:left="851"/>
        <w:rPr>
          <w:sz w:val="24"/>
          <w:szCs w:val="24"/>
        </w:rPr>
      </w:pPr>
    </w:p>
    <w:p w14:paraId="1F8EEAB5"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1E56CBE4" w14:textId="12B89B5A" w:rsidR="003155D2" w:rsidRPr="003155D2" w:rsidRDefault="003155D2" w:rsidP="003155D2">
      <w:pPr>
        <w:tabs>
          <w:tab w:val="left" w:pos="851"/>
        </w:tabs>
        <w:ind w:left="851"/>
        <w:rPr>
          <w:sz w:val="24"/>
          <w:szCs w:val="24"/>
        </w:rPr>
      </w:pPr>
      <w:r w:rsidRPr="003155D2">
        <w:rPr>
          <w:sz w:val="24"/>
          <w:szCs w:val="24"/>
        </w:rPr>
        <w:t xml:space="preserve">Farmakoterapeutisk klassifikation: Andre analgetika og antipyretica, </w:t>
      </w:r>
      <w:r w:rsidRPr="000E3576">
        <w:rPr>
          <w:sz w:val="24"/>
          <w:szCs w:val="24"/>
        </w:rPr>
        <w:t>anilider</w:t>
      </w:r>
      <w:r w:rsidRPr="003155D2">
        <w:rPr>
          <w:sz w:val="24"/>
          <w:szCs w:val="24"/>
        </w:rPr>
        <w:t>, ATC-kode: N02BE01</w:t>
      </w:r>
      <w:r>
        <w:rPr>
          <w:sz w:val="24"/>
          <w:szCs w:val="24"/>
        </w:rPr>
        <w:t>.</w:t>
      </w:r>
    </w:p>
    <w:p w14:paraId="02D8A5A0" w14:textId="77777777" w:rsidR="003155D2" w:rsidRPr="003155D2" w:rsidRDefault="003155D2" w:rsidP="003155D2">
      <w:pPr>
        <w:tabs>
          <w:tab w:val="left" w:pos="851"/>
        </w:tabs>
        <w:ind w:left="851"/>
        <w:rPr>
          <w:sz w:val="24"/>
          <w:szCs w:val="24"/>
        </w:rPr>
      </w:pPr>
    </w:p>
    <w:p w14:paraId="4C569CA7" w14:textId="77777777" w:rsidR="003155D2" w:rsidRPr="003155D2" w:rsidRDefault="003155D2" w:rsidP="003155D2">
      <w:pPr>
        <w:tabs>
          <w:tab w:val="left" w:pos="851"/>
        </w:tabs>
        <w:ind w:left="851"/>
        <w:rPr>
          <w:sz w:val="24"/>
          <w:szCs w:val="24"/>
        </w:rPr>
      </w:pPr>
      <w:r w:rsidRPr="003155D2">
        <w:rPr>
          <w:sz w:val="24"/>
          <w:szCs w:val="24"/>
        </w:rPr>
        <w:t xml:space="preserve">Den nøjagtige virkningsmekanisme bag paracetamols analgetiske og antipyretiske egenskaber er endnu ikke fastlagt, men kan involvere central og en perifer virkning. </w:t>
      </w:r>
    </w:p>
    <w:p w14:paraId="31C48EFC" w14:textId="77777777" w:rsidR="003155D2" w:rsidRPr="003155D2" w:rsidRDefault="003155D2" w:rsidP="003155D2">
      <w:pPr>
        <w:tabs>
          <w:tab w:val="left" w:pos="851"/>
        </w:tabs>
        <w:ind w:left="851"/>
        <w:rPr>
          <w:sz w:val="24"/>
          <w:szCs w:val="24"/>
          <w:lang w:val="nl-NL"/>
        </w:rPr>
      </w:pPr>
    </w:p>
    <w:p w14:paraId="5CAE1BA2" w14:textId="77777777" w:rsidR="003155D2" w:rsidRPr="003155D2" w:rsidRDefault="003155D2" w:rsidP="003155D2">
      <w:pPr>
        <w:tabs>
          <w:tab w:val="left" w:pos="851"/>
        </w:tabs>
        <w:ind w:left="851"/>
        <w:rPr>
          <w:sz w:val="24"/>
          <w:szCs w:val="24"/>
        </w:rPr>
      </w:pPr>
      <w:r w:rsidRPr="003155D2">
        <w:rPr>
          <w:sz w:val="24"/>
          <w:szCs w:val="24"/>
        </w:rPr>
        <w:t xml:space="preserve">Paracetamol giver smertelindring inden for 5 til 10 minutter efter påbegyndt administration. Den maksimale analgetiske virkning opnås efter 1 time, og virkningsvarigheden er normalt 4 til 6 timer. </w:t>
      </w:r>
    </w:p>
    <w:p w14:paraId="1E66F7A3" w14:textId="77777777" w:rsidR="003155D2" w:rsidRPr="003155D2" w:rsidRDefault="003155D2" w:rsidP="003155D2">
      <w:pPr>
        <w:tabs>
          <w:tab w:val="left" w:pos="851"/>
        </w:tabs>
        <w:ind w:left="851"/>
        <w:rPr>
          <w:sz w:val="24"/>
          <w:szCs w:val="24"/>
          <w:lang w:val="nl-NL"/>
        </w:rPr>
      </w:pPr>
    </w:p>
    <w:p w14:paraId="6F36DD43" w14:textId="77777777" w:rsidR="003155D2" w:rsidRPr="003155D2" w:rsidRDefault="003155D2" w:rsidP="003155D2">
      <w:pPr>
        <w:tabs>
          <w:tab w:val="left" w:pos="851"/>
        </w:tabs>
        <w:ind w:left="851"/>
        <w:rPr>
          <w:sz w:val="24"/>
          <w:szCs w:val="24"/>
        </w:rPr>
      </w:pPr>
      <w:r w:rsidRPr="003155D2">
        <w:rPr>
          <w:sz w:val="24"/>
          <w:szCs w:val="24"/>
        </w:rPr>
        <w:t xml:space="preserve">Paracetamol nedsætter feber inden for 30 minutter efter påbegyndt administration, og den antipyretiske virkning varer i mindst 6 timer. </w:t>
      </w:r>
    </w:p>
    <w:p w14:paraId="459FBE86" w14:textId="77777777" w:rsidR="009260DE" w:rsidRPr="00C84483" w:rsidRDefault="009260DE" w:rsidP="009260DE">
      <w:pPr>
        <w:tabs>
          <w:tab w:val="left" w:pos="851"/>
        </w:tabs>
        <w:ind w:left="851"/>
        <w:rPr>
          <w:sz w:val="24"/>
          <w:szCs w:val="24"/>
        </w:rPr>
      </w:pPr>
    </w:p>
    <w:p w14:paraId="1C5CEC5B"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5230E987" w14:textId="77777777" w:rsidR="000E3576" w:rsidRDefault="000E3576" w:rsidP="000E3576">
      <w:pPr>
        <w:tabs>
          <w:tab w:val="left" w:pos="1304"/>
        </w:tabs>
        <w:ind w:left="851"/>
        <w:rPr>
          <w:b/>
          <w:color w:val="000000"/>
          <w:sz w:val="24"/>
          <w:szCs w:val="24"/>
        </w:rPr>
      </w:pPr>
    </w:p>
    <w:p w14:paraId="4A65CF78" w14:textId="10A62D9F" w:rsidR="000E3576" w:rsidRPr="000E3576" w:rsidRDefault="000E3576" w:rsidP="000E3576">
      <w:pPr>
        <w:tabs>
          <w:tab w:val="left" w:pos="1304"/>
        </w:tabs>
        <w:ind w:left="851"/>
        <w:rPr>
          <w:color w:val="000000"/>
          <w:sz w:val="24"/>
          <w:szCs w:val="24"/>
        </w:rPr>
      </w:pPr>
      <w:r w:rsidRPr="000E3576">
        <w:rPr>
          <w:b/>
          <w:color w:val="000000"/>
          <w:sz w:val="24"/>
          <w:szCs w:val="24"/>
        </w:rPr>
        <w:t>Voksne</w:t>
      </w:r>
      <w:r w:rsidRPr="000E3576">
        <w:rPr>
          <w:color w:val="000000"/>
          <w:sz w:val="24"/>
          <w:szCs w:val="24"/>
        </w:rPr>
        <w:t xml:space="preserve"> </w:t>
      </w:r>
    </w:p>
    <w:p w14:paraId="3ED4FCAB" w14:textId="77777777" w:rsidR="000E3576" w:rsidRPr="000E3576" w:rsidRDefault="000E3576" w:rsidP="000E3576">
      <w:pPr>
        <w:tabs>
          <w:tab w:val="left" w:pos="1304"/>
        </w:tabs>
        <w:ind w:left="851"/>
        <w:rPr>
          <w:color w:val="000000"/>
          <w:sz w:val="24"/>
          <w:szCs w:val="24"/>
          <w:lang w:val="el-GR" w:eastAsia="el-GR"/>
        </w:rPr>
      </w:pPr>
    </w:p>
    <w:p w14:paraId="0BEE104E" w14:textId="77777777" w:rsidR="000E3576" w:rsidRPr="000E3576" w:rsidRDefault="000E3576" w:rsidP="000E3576">
      <w:pPr>
        <w:tabs>
          <w:tab w:val="left" w:pos="1304"/>
        </w:tabs>
        <w:ind w:left="851"/>
        <w:rPr>
          <w:color w:val="000000"/>
          <w:sz w:val="24"/>
          <w:szCs w:val="24"/>
          <w:u w:val="single"/>
        </w:rPr>
      </w:pPr>
      <w:r w:rsidRPr="000E3576">
        <w:rPr>
          <w:color w:val="000000"/>
          <w:sz w:val="24"/>
          <w:szCs w:val="24"/>
          <w:u w:val="single"/>
        </w:rPr>
        <w:t xml:space="preserve">Absorption </w:t>
      </w:r>
    </w:p>
    <w:p w14:paraId="209CEDF0" w14:textId="77777777" w:rsidR="000E3576" w:rsidRPr="000E3576" w:rsidRDefault="000E3576" w:rsidP="000E3576">
      <w:pPr>
        <w:tabs>
          <w:tab w:val="left" w:pos="1304"/>
        </w:tabs>
        <w:ind w:left="851"/>
        <w:rPr>
          <w:color w:val="000000"/>
          <w:sz w:val="24"/>
          <w:szCs w:val="24"/>
        </w:rPr>
      </w:pPr>
      <w:r w:rsidRPr="000E3576">
        <w:rPr>
          <w:color w:val="000000"/>
          <w:sz w:val="24"/>
          <w:szCs w:val="24"/>
        </w:rPr>
        <w:t>Paracetamols farmakokinetik er lineær op til 2 g efter en enkelt administration og efter gentagen administration i løbet af 24 timer.</w:t>
      </w:r>
    </w:p>
    <w:p w14:paraId="3F60C563" w14:textId="77777777" w:rsidR="000E3576" w:rsidRPr="000E3576" w:rsidRDefault="000E3576" w:rsidP="000E3576">
      <w:pPr>
        <w:tabs>
          <w:tab w:val="left" w:pos="1304"/>
        </w:tabs>
        <w:ind w:left="851"/>
        <w:rPr>
          <w:color w:val="000000"/>
          <w:sz w:val="24"/>
          <w:szCs w:val="24"/>
          <w:lang w:val="nl-NL" w:eastAsia="el-GR"/>
        </w:rPr>
      </w:pPr>
    </w:p>
    <w:p w14:paraId="7E813F74" w14:textId="77777777" w:rsidR="000E3576" w:rsidRPr="000E3576" w:rsidRDefault="000E3576" w:rsidP="000E3576">
      <w:pPr>
        <w:tabs>
          <w:tab w:val="left" w:pos="1304"/>
        </w:tabs>
        <w:ind w:left="851"/>
        <w:rPr>
          <w:sz w:val="24"/>
          <w:szCs w:val="24"/>
        </w:rPr>
      </w:pPr>
      <w:r w:rsidRPr="000E3576">
        <w:rPr>
          <w:color w:val="000000"/>
          <w:sz w:val="24"/>
          <w:szCs w:val="24"/>
        </w:rPr>
        <w:t xml:space="preserve">Biotilgængeligheden af paracetamol efter infusion af 500 mg og 1 g </w:t>
      </w:r>
      <w:r w:rsidRPr="000E3576">
        <w:rPr>
          <w:sz w:val="24"/>
          <w:szCs w:val="24"/>
        </w:rPr>
        <w:t>paracetamol svarer til hvad, der observeres efter infusion af 1 g og 2 g propacetamol (svarende til henholdsvis 500 mg og 1 g paracetamol). Den maksimale plasmakoncentration (C</w:t>
      </w:r>
      <w:r w:rsidRPr="000E3576">
        <w:rPr>
          <w:sz w:val="24"/>
          <w:szCs w:val="24"/>
          <w:vertAlign w:val="subscript"/>
        </w:rPr>
        <w:t>max</w:t>
      </w:r>
      <w:r w:rsidRPr="000E3576">
        <w:rPr>
          <w:sz w:val="24"/>
          <w:szCs w:val="24"/>
        </w:rPr>
        <w:t xml:space="preserve">) af paracetamol,  </w:t>
      </w:r>
      <w:r w:rsidRPr="000E3576">
        <w:rPr>
          <w:sz w:val="24"/>
          <w:szCs w:val="24"/>
        </w:rPr>
        <w:lastRenderedPageBreak/>
        <w:t>der ses efter 15 minutters intravenøs infusion af 500 mg og 1 g paracetamol, er henholdsvis cirka 15 mikrogram/ml og 30 mikrogram/ml.</w:t>
      </w:r>
    </w:p>
    <w:p w14:paraId="3F6C32D6" w14:textId="77777777" w:rsidR="000E3576" w:rsidRPr="000E3576" w:rsidRDefault="000E3576" w:rsidP="000E3576">
      <w:pPr>
        <w:tabs>
          <w:tab w:val="left" w:pos="1304"/>
        </w:tabs>
        <w:ind w:left="851"/>
        <w:rPr>
          <w:color w:val="000000"/>
          <w:sz w:val="24"/>
          <w:szCs w:val="24"/>
          <w:lang w:eastAsia="el-GR"/>
        </w:rPr>
      </w:pPr>
    </w:p>
    <w:p w14:paraId="34E71296" w14:textId="77777777" w:rsidR="000E3576" w:rsidRPr="000E3576" w:rsidRDefault="000E3576" w:rsidP="000E3576">
      <w:pPr>
        <w:tabs>
          <w:tab w:val="left" w:pos="1304"/>
        </w:tabs>
        <w:ind w:left="851"/>
        <w:rPr>
          <w:color w:val="000000"/>
          <w:sz w:val="24"/>
          <w:szCs w:val="24"/>
        </w:rPr>
      </w:pPr>
      <w:r w:rsidRPr="000E3576">
        <w:rPr>
          <w:color w:val="000000"/>
          <w:sz w:val="24"/>
          <w:szCs w:val="24"/>
          <w:u w:val="single"/>
        </w:rPr>
        <w:t>Fordeling</w:t>
      </w:r>
    </w:p>
    <w:p w14:paraId="425DF43C" w14:textId="77777777" w:rsidR="000E3576" w:rsidRPr="000E3576" w:rsidRDefault="000E3576" w:rsidP="000E3576">
      <w:pPr>
        <w:tabs>
          <w:tab w:val="left" w:pos="1304"/>
        </w:tabs>
        <w:ind w:left="851"/>
        <w:rPr>
          <w:color w:val="000000"/>
          <w:sz w:val="24"/>
          <w:szCs w:val="24"/>
        </w:rPr>
      </w:pPr>
      <w:r w:rsidRPr="000E3576">
        <w:rPr>
          <w:color w:val="000000"/>
          <w:sz w:val="24"/>
          <w:szCs w:val="24"/>
        </w:rPr>
        <w:t>Fordelingsvolumenet af paracetamol er ca. 1 l/kg.</w:t>
      </w:r>
    </w:p>
    <w:p w14:paraId="296F8767" w14:textId="77777777" w:rsidR="000E3576" w:rsidRPr="000E3576" w:rsidRDefault="000E3576" w:rsidP="000E3576">
      <w:pPr>
        <w:tabs>
          <w:tab w:val="left" w:pos="1304"/>
        </w:tabs>
        <w:ind w:left="851"/>
        <w:rPr>
          <w:color w:val="000000"/>
          <w:sz w:val="24"/>
          <w:szCs w:val="24"/>
          <w:lang w:val="nl-NL" w:eastAsia="el-GR"/>
        </w:rPr>
      </w:pPr>
    </w:p>
    <w:p w14:paraId="36AA3995" w14:textId="77777777" w:rsidR="000E3576" w:rsidRPr="000E3576" w:rsidRDefault="000E3576" w:rsidP="000E3576">
      <w:pPr>
        <w:tabs>
          <w:tab w:val="left" w:pos="1304"/>
        </w:tabs>
        <w:ind w:left="851"/>
        <w:rPr>
          <w:color w:val="000000"/>
          <w:sz w:val="24"/>
          <w:szCs w:val="24"/>
        </w:rPr>
      </w:pPr>
      <w:r w:rsidRPr="000E3576">
        <w:rPr>
          <w:color w:val="000000"/>
          <w:sz w:val="24"/>
          <w:szCs w:val="24"/>
        </w:rPr>
        <w:t>Paracetamol bindes ikke i væsentlig grad til plasmaproteiner.</w:t>
      </w:r>
    </w:p>
    <w:p w14:paraId="3B6FE7B0" w14:textId="77777777" w:rsidR="000E3576" w:rsidRPr="000E3576" w:rsidRDefault="000E3576" w:rsidP="000E3576">
      <w:pPr>
        <w:tabs>
          <w:tab w:val="left" w:pos="1304"/>
        </w:tabs>
        <w:ind w:left="851"/>
        <w:rPr>
          <w:color w:val="000000"/>
          <w:sz w:val="24"/>
          <w:szCs w:val="24"/>
          <w:lang w:val="de-AT" w:eastAsia="el-GR"/>
        </w:rPr>
      </w:pPr>
    </w:p>
    <w:p w14:paraId="4F182D9E" w14:textId="77777777" w:rsidR="000E3576" w:rsidRPr="000E3576" w:rsidRDefault="000E3576" w:rsidP="000E3576">
      <w:pPr>
        <w:tabs>
          <w:tab w:val="left" w:pos="1304"/>
        </w:tabs>
        <w:ind w:left="851"/>
        <w:rPr>
          <w:color w:val="000000"/>
          <w:sz w:val="24"/>
          <w:szCs w:val="24"/>
        </w:rPr>
      </w:pPr>
      <w:r w:rsidRPr="000E3576">
        <w:rPr>
          <w:color w:val="000000"/>
          <w:sz w:val="24"/>
          <w:szCs w:val="24"/>
        </w:rPr>
        <w:t>Efter infusion af 1 g paracetamol blev der observeret signifikante koncentrationer af paracetamol (ca. 1,5 mikrogram/ml) i cerebrospinalvæsken 20 minutter efter infusion og derefter.</w:t>
      </w:r>
    </w:p>
    <w:p w14:paraId="6D9AE8B4" w14:textId="77777777" w:rsidR="000E3576" w:rsidRPr="000E3576" w:rsidRDefault="000E3576" w:rsidP="000E3576">
      <w:pPr>
        <w:tabs>
          <w:tab w:val="left" w:pos="1304"/>
        </w:tabs>
        <w:ind w:left="851"/>
        <w:rPr>
          <w:color w:val="000000"/>
          <w:sz w:val="24"/>
          <w:szCs w:val="24"/>
          <w:lang w:eastAsia="el-GR"/>
        </w:rPr>
      </w:pPr>
    </w:p>
    <w:p w14:paraId="6ADE2737" w14:textId="77777777" w:rsidR="000E3576" w:rsidRPr="000E3576" w:rsidRDefault="000E3576" w:rsidP="000E3576">
      <w:pPr>
        <w:tabs>
          <w:tab w:val="left" w:pos="1304"/>
        </w:tabs>
        <w:ind w:left="851"/>
        <w:rPr>
          <w:color w:val="000000"/>
          <w:sz w:val="24"/>
          <w:szCs w:val="24"/>
        </w:rPr>
      </w:pPr>
      <w:r w:rsidRPr="000E3576">
        <w:rPr>
          <w:color w:val="000000"/>
          <w:sz w:val="24"/>
          <w:szCs w:val="24"/>
          <w:u w:val="single"/>
        </w:rPr>
        <w:t>Biotransformation</w:t>
      </w:r>
    </w:p>
    <w:p w14:paraId="1C5C8BA7" w14:textId="77777777" w:rsidR="000E3576" w:rsidRPr="000E3576" w:rsidRDefault="000E3576" w:rsidP="000E3576">
      <w:pPr>
        <w:tabs>
          <w:tab w:val="left" w:pos="1304"/>
        </w:tabs>
        <w:ind w:left="851"/>
        <w:rPr>
          <w:color w:val="000000"/>
          <w:sz w:val="24"/>
          <w:szCs w:val="24"/>
        </w:rPr>
      </w:pPr>
      <w:r w:rsidRPr="000E3576">
        <w:rPr>
          <w:color w:val="000000"/>
          <w:sz w:val="24"/>
          <w:szCs w:val="24"/>
        </w:rPr>
        <w:t>Paracetamol metaboliseres primært i leveren via to større levermekanismer: konjugering med glucuronsyre og konjugering med svovlsyre. Den sidstnævnte mekanisme mættes hurtigt ved doser, der overstiger de terapeutiske doser. En lille fraktion (mindre end 4 %) metaboliseres via cytokrom P450 til en reaktiv intermediær (N</w:t>
      </w:r>
      <w:r w:rsidRPr="000E3576">
        <w:rPr>
          <w:color w:val="000000"/>
          <w:sz w:val="24"/>
          <w:szCs w:val="24"/>
        </w:rPr>
        <w:noBreakHyphen/>
        <w:t>acetylbenzoquinonimin), som under normale anvendelsesforhold hurtigt afgiftes af reduceret glutathion og udskilles i urinen efter konjugering med cystein og mercaptursyre. Dog øges mængden af denne toksiske metabolit ved massive overdosering.</w:t>
      </w:r>
    </w:p>
    <w:p w14:paraId="256645F5" w14:textId="77777777" w:rsidR="000E3576" w:rsidRPr="000E3576" w:rsidRDefault="000E3576" w:rsidP="000E3576">
      <w:pPr>
        <w:tabs>
          <w:tab w:val="left" w:pos="1304"/>
        </w:tabs>
        <w:ind w:left="851"/>
        <w:rPr>
          <w:color w:val="000000"/>
          <w:sz w:val="24"/>
          <w:szCs w:val="24"/>
          <w:lang w:val="nl-NL" w:eastAsia="el-GR"/>
        </w:rPr>
      </w:pPr>
    </w:p>
    <w:p w14:paraId="5F969BFF" w14:textId="77777777" w:rsidR="000E3576" w:rsidRPr="000E3576" w:rsidRDefault="000E3576" w:rsidP="000E3576">
      <w:pPr>
        <w:tabs>
          <w:tab w:val="left" w:pos="1304"/>
        </w:tabs>
        <w:ind w:left="851"/>
        <w:rPr>
          <w:color w:val="000000"/>
          <w:sz w:val="24"/>
          <w:szCs w:val="24"/>
        </w:rPr>
      </w:pPr>
      <w:r w:rsidRPr="000E3576">
        <w:rPr>
          <w:color w:val="000000"/>
          <w:sz w:val="24"/>
          <w:szCs w:val="24"/>
          <w:u w:val="single"/>
        </w:rPr>
        <w:t>Elimination</w:t>
      </w:r>
    </w:p>
    <w:p w14:paraId="7749D3FE" w14:textId="77777777" w:rsidR="000E3576" w:rsidRPr="000E3576" w:rsidRDefault="000E3576" w:rsidP="000E3576">
      <w:pPr>
        <w:tabs>
          <w:tab w:val="left" w:pos="1304"/>
        </w:tabs>
        <w:ind w:left="851"/>
        <w:rPr>
          <w:color w:val="000000"/>
          <w:sz w:val="24"/>
          <w:szCs w:val="24"/>
        </w:rPr>
      </w:pPr>
      <w:r w:rsidRPr="000E3576">
        <w:rPr>
          <w:color w:val="000000"/>
          <w:sz w:val="24"/>
          <w:szCs w:val="24"/>
        </w:rPr>
        <w:t>Paracetamols metabolitter udskilles hovedsageligt i urinen. 90 % af den administrerede dosis udskilles inden for 24 timer, primært som glucuronidkonjugater (60</w:t>
      </w:r>
      <w:r w:rsidRPr="000E3576">
        <w:rPr>
          <w:color w:val="000000"/>
          <w:sz w:val="24"/>
          <w:szCs w:val="24"/>
        </w:rPr>
        <w:noBreakHyphen/>
        <w:t>80 %) og sulfatkonjugater (20</w:t>
      </w:r>
      <w:r w:rsidRPr="000E3576">
        <w:rPr>
          <w:color w:val="000000"/>
          <w:sz w:val="24"/>
          <w:szCs w:val="24"/>
        </w:rPr>
        <w:noBreakHyphen/>
        <w:t>30 %). Mindre end 5 % udskilles i uændret form. Plasmahalveringstiden er 2,7 timer, og den totale kropsclearance er 18 l/t.</w:t>
      </w:r>
    </w:p>
    <w:p w14:paraId="6656B500" w14:textId="77777777" w:rsidR="000E3576" w:rsidRPr="000E3576" w:rsidRDefault="000E3576" w:rsidP="000E3576">
      <w:pPr>
        <w:tabs>
          <w:tab w:val="left" w:pos="1304"/>
        </w:tabs>
        <w:ind w:left="851"/>
        <w:rPr>
          <w:color w:val="000000"/>
          <w:sz w:val="24"/>
          <w:szCs w:val="24"/>
          <w:lang w:eastAsia="el-GR"/>
        </w:rPr>
      </w:pPr>
    </w:p>
    <w:p w14:paraId="276AB969" w14:textId="77777777" w:rsidR="000E3576" w:rsidRPr="000E3576" w:rsidRDefault="000E3576" w:rsidP="000E3576">
      <w:pPr>
        <w:tabs>
          <w:tab w:val="left" w:pos="1304"/>
        </w:tabs>
        <w:ind w:left="851"/>
        <w:rPr>
          <w:color w:val="000000"/>
          <w:sz w:val="24"/>
          <w:szCs w:val="24"/>
          <w:u w:val="single"/>
        </w:rPr>
      </w:pPr>
      <w:r w:rsidRPr="000E3576">
        <w:rPr>
          <w:color w:val="000000"/>
          <w:sz w:val="24"/>
          <w:szCs w:val="24"/>
          <w:u w:val="single"/>
        </w:rPr>
        <w:t>Pædiatrisk population</w:t>
      </w:r>
    </w:p>
    <w:p w14:paraId="767A9E12" w14:textId="77777777" w:rsidR="000E3576" w:rsidRPr="000E3576" w:rsidRDefault="000E3576" w:rsidP="000E3576">
      <w:pPr>
        <w:tabs>
          <w:tab w:val="left" w:pos="1304"/>
        </w:tabs>
        <w:ind w:left="851"/>
        <w:rPr>
          <w:color w:val="000000"/>
          <w:sz w:val="24"/>
          <w:szCs w:val="24"/>
        </w:rPr>
      </w:pPr>
      <w:r w:rsidRPr="000E3576">
        <w:rPr>
          <w:color w:val="000000"/>
          <w:sz w:val="24"/>
          <w:szCs w:val="24"/>
        </w:rPr>
        <w:t>De farmakokinetiske parametre for paracetamol observeret hos spædbørn og børn svarer til, hvad der observeres hos voksne, med undtagelse fra plasmahalveringstiden, som er lidt kortere (1,5 til 2 timer) end hos voksne. Hos nyfødte er plasmahalveringstiden længere end hos spædbørn, dvs. omkring 3,5 timer. Nyfødte, spædbørn og børn op til 10 år udskiller signifikant mindre glucuronid og flere sulfatkonjugater end voksne.</w:t>
      </w:r>
    </w:p>
    <w:p w14:paraId="590F0C87" w14:textId="77777777" w:rsidR="000E3576" w:rsidRDefault="000E3576" w:rsidP="000E3576">
      <w:pPr>
        <w:tabs>
          <w:tab w:val="left" w:pos="1304"/>
        </w:tabs>
        <w:rPr>
          <w:color w:val="000000"/>
          <w:szCs w:val="22"/>
          <w:lang w:eastAsia="el-GR"/>
        </w:rPr>
      </w:pPr>
    </w:p>
    <w:p w14:paraId="687BB010" w14:textId="77777777" w:rsidR="000E3576" w:rsidRDefault="000E3576" w:rsidP="000E3576">
      <w:pPr>
        <w:tabs>
          <w:tab w:val="left" w:pos="1560"/>
        </w:tabs>
        <w:ind w:left="1560" w:hanging="709"/>
        <w:rPr>
          <w:i/>
          <w:color w:val="000000"/>
        </w:rPr>
      </w:pPr>
      <w:r>
        <w:rPr>
          <w:i/>
          <w:color w:val="000000"/>
        </w:rPr>
        <w:t>Tabel.</w:t>
      </w:r>
      <w:r>
        <w:rPr>
          <w:i/>
          <w:color w:val="000000"/>
        </w:rPr>
        <w:tab/>
        <w:t>Aldersrelaterede farmakokinetiske værdier (standardiseret clearance,</w:t>
      </w:r>
    </w:p>
    <w:p w14:paraId="316077C7" w14:textId="6C1E42AE" w:rsidR="000E3576" w:rsidRDefault="000E3576" w:rsidP="000E3576">
      <w:pPr>
        <w:tabs>
          <w:tab w:val="left" w:pos="1560"/>
        </w:tabs>
        <w:ind w:left="1560" w:hanging="709"/>
        <w:rPr>
          <w:i/>
          <w:iCs/>
          <w:color w:val="000000"/>
          <w:szCs w:val="22"/>
        </w:rPr>
      </w:pPr>
      <w:r>
        <w:rPr>
          <w:i/>
          <w:color w:val="000000"/>
        </w:rPr>
        <w:tab/>
        <w:t>CL</w:t>
      </w:r>
      <w:r>
        <w:rPr>
          <w:i/>
          <w:color w:val="000000"/>
          <w:vertAlign w:val="subscript"/>
        </w:rPr>
        <w:t>std</w:t>
      </w:r>
      <w:r>
        <w:rPr>
          <w:i/>
          <w:color w:val="000000"/>
        </w:rPr>
        <w:t>/F</w:t>
      </w:r>
      <w:r>
        <w:rPr>
          <w:i/>
          <w:color w:val="000000"/>
          <w:vertAlign w:val="subscript"/>
        </w:rPr>
        <w:t>oral</w:t>
      </w:r>
      <w:r>
        <w:rPr>
          <w:i/>
          <w:color w:val="000000"/>
        </w:rPr>
        <w:t xml:space="preserve"> [l.t</w:t>
      </w:r>
      <w:r>
        <w:rPr>
          <w:i/>
          <w:color w:val="000000"/>
          <w:vertAlign w:val="superscript"/>
        </w:rPr>
        <w:t>-1</w:t>
      </w:r>
      <w:r>
        <w:rPr>
          <w:i/>
          <w:color w:val="000000"/>
        </w:rPr>
        <w:t xml:space="preserve"> 70 kg]) er angivet nedenfor.</w:t>
      </w:r>
    </w:p>
    <w:p w14:paraId="5CDFD3E0" w14:textId="77777777" w:rsidR="000E3576" w:rsidRDefault="000E3576" w:rsidP="000E3576">
      <w:pPr>
        <w:tabs>
          <w:tab w:val="left" w:pos="1560"/>
        </w:tabs>
        <w:ind w:left="851"/>
        <w:jc w:val="both"/>
        <w:rPr>
          <w:color w:val="000000"/>
          <w:szCs w:val="22"/>
          <w:lang w:eastAsia="el-GR"/>
        </w:rPr>
      </w:pPr>
    </w:p>
    <w:tbl>
      <w:tblPr>
        <w:tblW w:w="3904" w:type="pct"/>
        <w:tblCellSpacing w:w="0" w:type="dxa"/>
        <w:tblInd w:w="843"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302"/>
        <w:gridCol w:w="1660"/>
        <w:gridCol w:w="2551"/>
      </w:tblGrid>
      <w:tr w:rsidR="000E3576" w14:paraId="06E679B4" w14:textId="77777777" w:rsidTr="000E3576">
        <w:trPr>
          <w:tblCellSpacing w:w="0" w:type="dxa"/>
        </w:trPr>
        <w:tc>
          <w:tcPr>
            <w:tcW w:w="2197" w:type="pct"/>
            <w:tcBorders>
              <w:top w:val="outset" w:sz="6" w:space="0" w:color="auto"/>
              <w:left w:val="outset" w:sz="6" w:space="0" w:color="auto"/>
              <w:bottom w:val="outset" w:sz="6" w:space="0" w:color="auto"/>
              <w:right w:val="outset" w:sz="6" w:space="0" w:color="auto"/>
            </w:tcBorders>
            <w:hideMark/>
          </w:tcPr>
          <w:p w14:paraId="11D01643" w14:textId="77777777" w:rsidR="000E3576" w:rsidRDefault="000E3576">
            <w:pPr>
              <w:tabs>
                <w:tab w:val="left" w:pos="1304"/>
              </w:tabs>
              <w:jc w:val="both"/>
              <w:rPr>
                <w:color w:val="000000"/>
                <w:szCs w:val="22"/>
                <w:lang w:bidi="he-IL"/>
              </w:rPr>
            </w:pPr>
            <w:r>
              <w:rPr>
                <w:i/>
                <w:color w:val="000000"/>
                <w:lang w:bidi="he-IL"/>
              </w:rPr>
              <w:t>Alder</w:t>
            </w:r>
          </w:p>
        </w:tc>
        <w:tc>
          <w:tcPr>
            <w:tcW w:w="1105" w:type="pct"/>
            <w:tcBorders>
              <w:top w:val="outset" w:sz="6" w:space="0" w:color="auto"/>
              <w:left w:val="outset" w:sz="6" w:space="0" w:color="auto"/>
              <w:bottom w:val="outset" w:sz="6" w:space="0" w:color="auto"/>
              <w:right w:val="outset" w:sz="6" w:space="0" w:color="auto"/>
            </w:tcBorders>
            <w:hideMark/>
          </w:tcPr>
          <w:p w14:paraId="76F2D2AA" w14:textId="77777777" w:rsidR="000E3576" w:rsidRDefault="000E3576">
            <w:pPr>
              <w:tabs>
                <w:tab w:val="left" w:pos="1304"/>
              </w:tabs>
              <w:jc w:val="both"/>
              <w:rPr>
                <w:color w:val="000000"/>
                <w:szCs w:val="22"/>
                <w:lang w:bidi="he-IL"/>
              </w:rPr>
            </w:pPr>
            <w:r>
              <w:rPr>
                <w:i/>
                <w:color w:val="000000"/>
                <w:lang w:bidi="he-IL"/>
              </w:rPr>
              <w:t>Vægt (kg):</w:t>
            </w:r>
          </w:p>
        </w:tc>
        <w:tc>
          <w:tcPr>
            <w:tcW w:w="1698" w:type="pct"/>
            <w:tcBorders>
              <w:top w:val="outset" w:sz="6" w:space="0" w:color="auto"/>
              <w:left w:val="outset" w:sz="6" w:space="0" w:color="auto"/>
              <w:bottom w:val="outset" w:sz="6" w:space="0" w:color="auto"/>
              <w:right w:val="outset" w:sz="6" w:space="0" w:color="auto"/>
            </w:tcBorders>
            <w:hideMark/>
          </w:tcPr>
          <w:p w14:paraId="5C88CB27" w14:textId="77777777" w:rsidR="000E3576" w:rsidRDefault="000E3576">
            <w:pPr>
              <w:tabs>
                <w:tab w:val="left" w:pos="1304"/>
              </w:tabs>
              <w:jc w:val="both"/>
              <w:rPr>
                <w:color w:val="000000"/>
                <w:szCs w:val="22"/>
                <w:lang w:bidi="he-IL"/>
              </w:rPr>
            </w:pPr>
            <w:r>
              <w:rPr>
                <w:i/>
                <w:color w:val="000000"/>
                <w:lang w:bidi="he-IL"/>
              </w:rPr>
              <w:t>CL</w:t>
            </w:r>
            <w:r>
              <w:rPr>
                <w:i/>
                <w:color w:val="000000"/>
                <w:vertAlign w:val="subscript"/>
                <w:lang w:bidi="he-IL"/>
              </w:rPr>
              <w:t>std</w:t>
            </w:r>
            <w:r>
              <w:rPr>
                <w:i/>
                <w:color w:val="000000"/>
                <w:lang w:bidi="he-IL"/>
              </w:rPr>
              <w:t>/F</w:t>
            </w:r>
            <w:r>
              <w:rPr>
                <w:i/>
                <w:color w:val="000000"/>
                <w:vertAlign w:val="subscript"/>
                <w:lang w:bidi="he-IL"/>
              </w:rPr>
              <w:t>oral</w:t>
            </w:r>
            <w:r>
              <w:rPr>
                <w:i/>
                <w:color w:val="000000"/>
                <w:lang w:bidi="he-IL"/>
              </w:rPr>
              <w:t xml:space="preserve"> (l.t</w:t>
            </w:r>
            <w:r>
              <w:rPr>
                <w:i/>
                <w:color w:val="000000"/>
                <w:vertAlign w:val="superscript"/>
                <w:lang w:bidi="he-IL"/>
              </w:rPr>
              <w:t>-1</w:t>
            </w:r>
            <w:r>
              <w:rPr>
                <w:i/>
                <w:color w:val="000000"/>
                <w:lang w:bidi="he-IL"/>
              </w:rPr>
              <w:t xml:space="preserve"> 70 kg</w:t>
            </w:r>
            <w:r>
              <w:rPr>
                <w:i/>
                <w:color w:val="000000"/>
                <w:vertAlign w:val="superscript"/>
                <w:lang w:bidi="he-IL"/>
              </w:rPr>
              <w:t>-1</w:t>
            </w:r>
            <w:r>
              <w:rPr>
                <w:i/>
                <w:color w:val="000000"/>
                <w:lang w:bidi="he-IL"/>
              </w:rPr>
              <w:t>)</w:t>
            </w:r>
          </w:p>
        </w:tc>
      </w:tr>
      <w:tr w:rsidR="000E3576" w14:paraId="5F90630D" w14:textId="77777777" w:rsidTr="000E3576">
        <w:trPr>
          <w:tblCellSpacing w:w="0" w:type="dxa"/>
        </w:trPr>
        <w:tc>
          <w:tcPr>
            <w:tcW w:w="2197" w:type="pct"/>
            <w:tcBorders>
              <w:top w:val="outset" w:sz="6" w:space="0" w:color="auto"/>
              <w:left w:val="outset" w:sz="6" w:space="0" w:color="auto"/>
              <w:bottom w:val="outset" w:sz="6" w:space="0" w:color="auto"/>
              <w:right w:val="outset" w:sz="6" w:space="0" w:color="auto"/>
            </w:tcBorders>
            <w:hideMark/>
          </w:tcPr>
          <w:p w14:paraId="52D79C65" w14:textId="77777777" w:rsidR="000E3576" w:rsidRDefault="000E3576">
            <w:pPr>
              <w:tabs>
                <w:tab w:val="left" w:pos="1304"/>
              </w:tabs>
              <w:jc w:val="both"/>
              <w:rPr>
                <w:color w:val="000000"/>
                <w:szCs w:val="22"/>
                <w:lang w:bidi="he-IL"/>
              </w:rPr>
            </w:pPr>
            <w:r>
              <w:rPr>
                <w:i/>
                <w:color w:val="000000"/>
                <w:lang w:bidi="he-IL"/>
              </w:rPr>
              <w:t>40 uger, post konceptionsalder</w:t>
            </w:r>
            <w:r>
              <w:rPr>
                <w:color w:val="000000"/>
                <w:lang w:bidi="he-IL"/>
              </w:rPr>
              <w:t xml:space="preserve"> </w:t>
            </w:r>
          </w:p>
          <w:p w14:paraId="3497BCC3" w14:textId="77777777" w:rsidR="000E3576" w:rsidRDefault="000E3576">
            <w:pPr>
              <w:tabs>
                <w:tab w:val="left" w:pos="1304"/>
              </w:tabs>
              <w:jc w:val="both"/>
              <w:rPr>
                <w:color w:val="000000"/>
                <w:szCs w:val="22"/>
                <w:lang w:bidi="he-IL"/>
              </w:rPr>
            </w:pPr>
            <w:r>
              <w:rPr>
                <w:i/>
                <w:color w:val="000000"/>
                <w:lang w:bidi="he-IL"/>
              </w:rPr>
              <w:t>3 måneder, postnatal alder</w:t>
            </w:r>
            <w:r>
              <w:rPr>
                <w:color w:val="000000"/>
                <w:lang w:bidi="he-IL"/>
              </w:rPr>
              <w:t xml:space="preserve"> </w:t>
            </w:r>
          </w:p>
          <w:p w14:paraId="3C315829" w14:textId="77777777" w:rsidR="000E3576" w:rsidRDefault="000E3576">
            <w:pPr>
              <w:tabs>
                <w:tab w:val="left" w:pos="1304"/>
              </w:tabs>
              <w:jc w:val="both"/>
              <w:rPr>
                <w:color w:val="000000"/>
                <w:szCs w:val="22"/>
                <w:lang w:bidi="he-IL"/>
              </w:rPr>
            </w:pPr>
            <w:r>
              <w:rPr>
                <w:i/>
                <w:color w:val="000000"/>
                <w:lang w:bidi="he-IL"/>
              </w:rPr>
              <w:t>6 måneder, postnatal alder</w:t>
            </w:r>
            <w:r>
              <w:rPr>
                <w:color w:val="000000"/>
                <w:lang w:bidi="he-IL"/>
              </w:rPr>
              <w:t xml:space="preserve"> </w:t>
            </w:r>
          </w:p>
          <w:p w14:paraId="4C0FF622" w14:textId="77777777" w:rsidR="000E3576" w:rsidRDefault="000E3576">
            <w:pPr>
              <w:tabs>
                <w:tab w:val="left" w:pos="1304"/>
              </w:tabs>
              <w:jc w:val="both"/>
              <w:rPr>
                <w:color w:val="000000"/>
                <w:szCs w:val="22"/>
                <w:lang w:bidi="he-IL"/>
              </w:rPr>
            </w:pPr>
            <w:r>
              <w:rPr>
                <w:i/>
                <w:color w:val="000000"/>
                <w:lang w:bidi="he-IL"/>
              </w:rPr>
              <w:t>1 år, postnatal alder</w:t>
            </w:r>
            <w:r>
              <w:rPr>
                <w:color w:val="000000"/>
                <w:lang w:bidi="he-IL"/>
              </w:rPr>
              <w:t xml:space="preserve"> </w:t>
            </w:r>
          </w:p>
          <w:p w14:paraId="1B625D02" w14:textId="77777777" w:rsidR="000E3576" w:rsidRDefault="000E3576">
            <w:pPr>
              <w:tabs>
                <w:tab w:val="left" w:pos="1304"/>
              </w:tabs>
              <w:jc w:val="both"/>
              <w:rPr>
                <w:color w:val="000000"/>
                <w:szCs w:val="22"/>
                <w:lang w:bidi="he-IL"/>
              </w:rPr>
            </w:pPr>
            <w:r>
              <w:rPr>
                <w:i/>
                <w:color w:val="000000"/>
                <w:lang w:bidi="he-IL"/>
              </w:rPr>
              <w:t>2 år, postnatal alder</w:t>
            </w:r>
            <w:r>
              <w:rPr>
                <w:color w:val="000000"/>
                <w:lang w:bidi="he-IL"/>
              </w:rPr>
              <w:t xml:space="preserve"> </w:t>
            </w:r>
          </w:p>
          <w:p w14:paraId="2796C35C" w14:textId="77777777" w:rsidR="000E3576" w:rsidRDefault="000E3576">
            <w:pPr>
              <w:tabs>
                <w:tab w:val="left" w:pos="1304"/>
              </w:tabs>
              <w:jc w:val="both"/>
              <w:rPr>
                <w:color w:val="000000"/>
                <w:szCs w:val="22"/>
                <w:lang w:bidi="he-IL"/>
              </w:rPr>
            </w:pPr>
            <w:r>
              <w:rPr>
                <w:i/>
                <w:color w:val="000000"/>
                <w:lang w:bidi="he-IL"/>
              </w:rPr>
              <w:t>5 år, postnatal alder</w:t>
            </w:r>
            <w:r>
              <w:rPr>
                <w:color w:val="000000"/>
                <w:lang w:bidi="he-IL"/>
              </w:rPr>
              <w:t xml:space="preserve"> </w:t>
            </w:r>
          </w:p>
          <w:p w14:paraId="5DD16BA6" w14:textId="77777777" w:rsidR="000E3576" w:rsidRDefault="000E3576">
            <w:pPr>
              <w:tabs>
                <w:tab w:val="left" w:pos="1304"/>
              </w:tabs>
              <w:jc w:val="both"/>
              <w:rPr>
                <w:color w:val="000000"/>
                <w:szCs w:val="22"/>
                <w:lang w:bidi="he-IL"/>
              </w:rPr>
            </w:pPr>
            <w:r>
              <w:rPr>
                <w:i/>
                <w:color w:val="000000"/>
                <w:lang w:bidi="he-IL"/>
              </w:rPr>
              <w:t>8 år, postnatal alder</w:t>
            </w:r>
          </w:p>
        </w:tc>
        <w:tc>
          <w:tcPr>
            <w:tcW w:w="1105" w:type="pct"/>
            <w:tcBorders>
              <w:top w:val="outset" w:sz="6" w:space="0" w:color="auto"/>
              <w:left w:val="outset" w:sz="6" w:space="0" w:color="auto"/>
              <w:bottom w:val="outset" w:sz="6" w:space="0" w:color="auto"/>
              <w:right w:val="outset" w:sz="6" w:space="0" w:color="auto"/>
            </w:tcBorders>
            <w:hideMark/>
          </w:tcPr>
          <w:p w14:paraId="461BA73B" w14:textId="77777777" w:rsidR="000E3576" w:rsidRDefault="000E3576">
            <w:pPr>
              <w:tabs>
                <w:tab w:val="left" w:pos="1304"/>
              </w:tabs>
              <w:jc w:val="both"/>
              <w:rPr>
                <w:color w:val="000000"/>
                <w:szCs w:val="22"/>
                <w:lang w:bidi="he-IL"/>
              </w:rPr>
            </w:pPr>
            <w:r>
              <w:rPr>
                <w:i/>
                <w:color w:val="000000"/>
                <w:lang w:bidi="he-IL"/>
              </w:rPr>
              <w:t>3,3</w:t>
            </w:r>
          </w:p>
          <w:p w14:paraId="2DEB59CD" w14:textId="77777777" w:rsidR="000E3576" w:rsidRDefault="000E3576">
            <w:pPr>
              <w:tabs>
                <w:tab w:val="left" w:pos="1304"/>
              </w:tabs>
              <w:jc w:val="both"/>
              <w:rPr>
                <w:color w:val="000000"/>
                <w:szCs w:val="22"/>
                <w:lang w:bidi="he-IL"/>
              </w:rPr>
            </w:pPr>
            <w:r>
              <w:rPr>
                <w:i/>
                <w:color w:val="000000"/>
                <w:lang w:bidi="he-IL"/>
              </w:rPr>
              <w:t>6</w:t>
            </w:r>
          </w:p>
          <w:p w14:paraId="38E0DF5F" w14:textId="77777777" w:rsidR="000E3576" w:rsidRDefault="000E3576">
            <w:pPr>
              <w:tabs>
                <w:tab w:val="left" w:pos="1304"/>
              </w:tabs>
              <w:jc w:val="both"/>
              <w:rPr>
                <w:color w:val="000000"/>
                <w:szCs w:val="22"/>
                <w:lang w:bidi="he-IL"/>
              </w:rPr>
            </w:pPr>
            <w:r>
              <w:rPr>
                <w:i/>
                <w:color w:val="000000"/>
                <w:lang w:bidi="he-IL"/>
              </w:rPr>
              <w:t>7,5</w:t>
            </w:r>
          </w:p>
          <w:p w14:paraId="25E60772" w14:textId="77777777" w:rsidR="000E3576" w:rsidRDefault="000E3576">
            <w:pPr>
              <w:tabs>
                <w:tab w:val="left" w:pos="1304"/>
              </w:tabs>
              <w:jc w:val="both"/>
              <w:rPr>
                <w:color w:val="000000"/>
                <w:szCs w:val="22"/>
                <w:lang w:bidi="he-IL"/>
              </w:rPr>
            </w:pPr>
            <w:r>
              <w:rPr>
                <w:i/>
                <w:color w:val="000000"/>
                <w:lang w:bidi="he-IL"/>
              </w:rPr>
              <w:t>10</w:t>
            </w:r>
          </w:p>
          <w:p w14:paraId="04B86248" w14:textId="77777777" w:rsidR="000E3576" w:rsidRDefault="000E3576">
            <w:pPr>
              <w:tabs>
                <w:tab w:val="left" w:pos="1304"/>
              </w:tabs>
              <w:jc w:val="both"/>
              <w:rPr>
                <w:color w:val="000000"/>
                <w:szCs w:val="22"/>
                <w:lang w:bidi="he-IL"/>
              </w:rPr>
            </w:pPr>
            <w:r>
              <w:rPr>
                <w:i/>
                <w:color w:val="000000"/>
                <w:lang w:bidi="he-IL"/>
              </w:rPr>
              <w:t>12</w:t>
            </w:r>
          </w:p>
          <w:p w14:paraId="309F0AAC" w14:textId="77777777" w:rsidR="000E3576" w:rsidRDefault="000E3576">
            <w:pPr>
              <w:tabs>
                <w:tab w:val="left" w:pos="1304"/>
              </w:tabs>
              <w:jc w:val="both"/>
              <w:rPr>
                <w:color w:val="000000"/>
                <w:szCs w:val="22"/>
                <w:lang w:bidi="he-IL"/>
              </w:rPr>
            </w:pPr>
            <w:r>
              <w:rPr>
                <w:i/>
                <w:color w:val="000000"/>
                <w:lang w:bidi="he-IL"/>
              </w:rPr>
              <w:t>20</w:t>
            </w:r>
          </w:p>
          <w:p w14:paraId="606929E5" w14:textId="77777777" w:rsidR="000E3576" w:rsidRDefault="000E3576">
            <w:pPr>
              <w:tabs>
                <w:tab w:val="left" w:pos="1304"/>
              </w:tabs>
              <w:jc w:val="both"/>
              <w:rPr>
                <w:color w:val="000000"/>
                <w:szCs w:val="22"/>
                <w:lang w:bidi="he-IL"/>
              </w:rPr>
            </w:pPr>
            <w:r>
              <w:rPr>
                <w:i/>
                <w:color w:val="000000"/>
                <w:lang w:bidi="he-IL"/>
              </w:rPr>
              <w:t>25</w:t>
            </w:r>
          </w:p>
        </w:tc>
        <w:tc>
          <w:tcPr>
            <w:tcW w:w="1698" w:type="pct"/>
            <w:tcBorders>
              <w:top w:val="outset" w:sz="6" w:space="0" w:color="auto"/>
              <w:left w:val="outset" w:sz="6" w:space="0" w:color="auto"/>
              <w:bottom w:val="outset" w:sz="6" w:space="0" w:color="auto"/>
              <w:right w:val="outset" w:sz="6" w:space="0" w:color="auto"/>
            </w:tcBorders>
            <w:hideMark/>
          </w:tcPr>
          <w:p w14:paraId="3D7925FC" w14:textId="77777777" w:rsidR="000E3576" w:rsidRDefault="000E3576">
            <w:pPr>
              <w:tabs>
                <w:tab w:val="left" w:pos="1304"/>
              </w:tabs>
              <w:jc w:val="both"/>
              <w:rPr>
                <w:color w:val="000000"/>
                <w:szCs w:val="22"/>
                <w:lang w:bidi="he-IL"/>
              </w:rPr>
            </w:pPr>
            <w:r>
              <w:rPr>
                <w:i/>
                <w:color w:val="000000"/>
                <w:lang w:bidi="he-IL"/>
              </w:rPr>
              <w:t>5,9</w:t>
            </w:r>
          </w:p>
          <w:p w14:paraId="6BB30EAF" w14:textId="77777777" w:rsidR="000E3576" w:rsidRDefault="000E3576">
            <w:pPr>
              <w:tabs>
                <w:tab w:val="left" w:pos="1304"/>
              </w:tabs>
              <w:jc w:val="both"/>
              <w:rPr>
                <w:color w:val="000000"/>
                <w:szCs w:val="22"/>
                <w:lang w:bidi="he-IL"/>
              </w:rPr>
            </w:pPr>
            <w:r>
              <w:rPr>
                <w:i/>
                <w:color w:val="000000"/>
                <w:lang w:bidi="he-IL"/>
              </w:rPr>
              <w:t>8,8</w:t>
            </w:r>
          </w:p>
          <w:p w14:paraId="4F473D1E" w14:textId="77777777" w:rsidR="000E3576" w:rsidRDefault="000E3576">
            <w:pPr>
              <w:tabs>
                <w:tab w:val="left" w:pos="1304"/>
              </w:tabs>
              <w:jc w:val="both"/>
              <w:rPr>
                <w:color w:val="000000"/>
                <w:szCs w:val="22"/>
                <w:lang w:bidi="he-IL"/>
              </w:rPr>
            </w:pPr>
            <w:r>
              <w:rPr>
                <w:i/>
                <w:color w:val="000000"/>
                <w:lang w:bidi="he-IL"/>
              </w:rPr>
              <w:t>11,1</w:t>
            </w:r>
          </w:p>
          <w:p w14:paraId="7B009750" w14:textId="77777777" w:rsidR="000E3576" w:rsidRDefault="000E3576">
            <w:pPr>
              <w:tabs>
                <w:tab w:val="left" w:pos="1304"/>
              </w:tabs>
              <w:jc w:val="both"/>
              <w:rPr>
                <w:color w:val="000000"/>
                <w:szCs w:val="22"/>
                <w:lang w:bidi="he-IL"/>
              </w:rPr>
            </w:pPr>
            <w:r>
              <w:rPr>
                <w:i/>
                <w:color w:val="000000"/>
                <w:lang w:bidi="he-IL"/>
              </w:rPr>
              <w:t>13,6</w:t>
            </w:r>
          </w:p>
          <w:p w14:paraId="60B9DC16" w14:textId="77777777" w:rsidR="000E3576" w:rsidRDefault="000E3576">
            <w:pPr>
              <w:tabs>
                <w:tab w:val="left" w:pos="1304"/>
              </w:tabs>
              <w:jc w:val="both"/>
              <w:rPr>
                <w:color w:val="000000"/>
                <w:szCs w:val="22"/>
                <w:lang w:bidi="he-IL"/>
              </w:rPr>
            </w:pPr>
            <w:r>
              <w:rPr>
                <w:i/>
                <w:color w:val="000000"/>
                <w:lang w:bidi="he-IL"/>
              </w:rPr>
              <w:t>15,6</w:t>
            </w:r>
          </w:p>
          <w:p w14:paraId="553D13EE" w14:textId="77777777" w:rsidR="000E3576" w:rsidRDefault="000E3576">
            <w:pPr>
              <w:tabs>
                <w:tab w:val="left" w:pos="1304"/>
              </w:tabs>
              <w:jc w:val="both"/>
              <w:rPr>
                <w:color w:val="000000"/>
                <w:szCs w:val="22"/>
                <w:lang w:bidi="he-IL"/>
              </w:rPr>
            </w:pPr>
            <w:r>
              <w:rPr>
                <w:i/>
                <w:color w:val="000000"/>
                <w:lang w:bidi="he-IL"/>
              </w:rPr>
              <w:t>16,3</w:t>
            </w:r>
          </w:p>
          <w:p w14:paraId="2332666F" w14:textId="77777777" w:rsidR="000E3576" w:rsidRDefault="000E3576">
            <w:pPr>
              <w:tabs>
                <w:tab w:val="left" w:pos="1304"/>
              </w:tabs>
              <w:jc w:val="both"/>
              <w:rPr>
                <w:color w:val="000000"/>
                <w:szCs w:val="22"/>
                <w:lang w:bidi="he-IL"/>
              </w:rPr>
            </w:pPr>
            <w:r>
              <w:rPr>
                <w:i/>
                <w:color w:val="000000"/>
                <w:lang w:bidi="he-IL"/>
              </w:rPr>
              <w:t>16,3</w:t>
            </w:r>
          </w:p>
        </w:tc>
      </w:tr>
    </w:tbl>
    <w:p w14:paraId="4134C270" w14:textId="7DEE7073" w:rsidR="000E3576" w:rsidRPr="000E3576" w:rsidRDefault="000E3576" w:rsidP="000E3576">
      <w:pPr>
        <w:tabs>
          <w:tab w:val="left" w:pos="1304"/>
        </w:tabs>
        <w:ind w:left="851"/>
        <w:rPr>
          <w:color w:val="000000"/>
          <w:sz w:val="20"/>
        </w:rPr>
      </w:pPr>
      <w:r w:rsidRPr="000E3576">
        <w:rPr>
          <w:color w:val="000000"/>
          <w:sz w:val="20"/>
        </w:rPr>
        <w:t>*</w:t>
      </w:r>
      <w:r>
        <w:rPr>
          <w:color w:val="000000"/>
          <w:sz w:val="20"/>
        </w:rPr>
        <w:t xml:space="preserve"> </w:t>
      </w:r>
      <w:r w:rsidRPr="000E3576">
        <w:rPr>
          <w:color w:val="000000"/>
          <w:sz w:val="20"/>
        </w:rPr>
        <w:t>CL</w:t>
      </w:r>
      <w:r w:rsidRPr="000E3576">
        <w:rPr>
          <w:color w:val="000000"/>
          <w:sz w:val="20"/>
          <w:vertAlign w:val="subscript"/>
        </w:rPr>
        <w:t>std</w:t>
      </w:r>
      <w:r w:rsidRPr="000E3576">
        <w:rPr>
          <w:color w:val="000000"/>
          <w:sz w:val="20"/>
        </w:rPr>
        <w:t xml:space="preserve"> er populationsestimatet for CL</w:t>
      </w:r>
    </w:p>
    <w:p w14:paraId="20141EED" w14:textId="77777777" w:rsidR="000E3576" w:rsidRPr="000E3576" w:rsidRDefault="000E3576" w:rsidP="000E3576">
      <w:pPr>
        <w:tabs>
          <w:tab w:val="left" w:pos="1304"/>
        </w:tabs>
        <w:ind w:left="851"/>
        <w:rPr>
          <w:i/>
          <w:iCs/>
          <w:color w:val="000000"/>
          <w:sz w:val="24"/>
          <w:szCs w:val="24"/>
          <w:lang w:eastAsia="el-GR"/>
        </w:rPr>
      </w:pPr>
    </w:p>
    <w:p w14:paraId="3EF33494" w14:textId="77777777" w:rsidR="000E3576" w:rsidRPr="000E3576" w:rsidRDefault="000E3576" w:rsidP="000E3576">
      <w:pPr>
        <w:keepNext/>
        <w:keepLines/>
        <w:tabs>
          <w:tab w:val="left" w:pos="1304"/>
        </w:tabs>
        <w:ind w:left="851"/>
        <w:rPr>
          <w:color w:val="000000"/>
          <w:sz w:val="24"/>
          <w:szCs w:val="24"/>
        </w:rPr>
      </w:pPr>
      <w:r w:rsidRPr="000E3576">
        <w:rPr>
          <w:color w:val="000000"/>
          <w:sz w:val="24"/>
          <w:szCs w:val="24"/>
          <w:u w:val="single"/>
        </w:rPr>
        <w:lastRenderedPageBreak/>
        <w:t>Særlige populationer</w:t>
      </w:r>
    </w:p>
    <w:p w14:paraId="1334DA60" w14:textId="77777777" w:rsidR="000E3576" w:rsidRPr="000E3576" w:rsidRDefault="000E3576" w:rsidP="000E3576">
      <w:pPr>
        <w:keepNext/>
        <w:keepLines/>
        <w:tabs>
          <w:tab w:val="left" w:pos="1304"/>
        </w:tabs>
        <w:ind w:left="851"/>
        <w:rPr>
          <w:color w:val="000000"/>
          <w:sz w:val="24"/>
          <w:szCs w:val="24"/>
          <w:lang w:eastAsia="el-GR"/>
        </w:rPr>
      </w:pPr>
    </w:p>
    <w:p w14:paraId="6DAA48B9" w14:textId="77777777" w:rsidR="000E3576" w:rsidRPr="000E3576" w:rsidRDefault="000E3576" w:rsidP="000E3576">
      <w:pPr>
        <w:keepNext/>
        <w:keepLines/>
        <w:tabs>
          <w:tab w:val="left" w:pos="1304"/>
        </w:tabs>
        <w:ind w:left="851"/>
        <w:rPr>
          <w:i/>
          <w:color w:val="000000"/>
          <w:sz w:val="24"/>
          <w:szCs w:val="24"/>
        </w:rPr>
      </w:pPr>
      <w:r w:rsidRPr="000E3576">
        <w:rPr>
          <w:i/>
          <w:color w:val="000000"/>
          <w:sz w:val="24"/>
          <w:szCs w:val="24"/>
        </w:rPr>
        <w:t>Nedsat nyrefunktion</w:t>
      </w:r>
    </w:p>
    <w:p w14:paraId="0C77DF12" w14:textId="77777777" w:rsidR="000E3576" w:rsidRPr="000E3576" w:rsidRDefault="000E3576" w:rsidP="000E3576">
      <w:pPr>
        <w:keepNext/>
        <w:keepLines/>
        <w:tabs>
          <w:tab w:val="left" w:pos="1304"/>
        </w:tabs>
        <w:ind w:left="851"/>
        <w:rPr>
          <w:color w:val="000000"/>
          <w:sz w:val="24"/>
          <w:szCs w:val="24"/>
        </w:rPr>
      </w:pPr>
      <w:r w:rsidRPr="000E3576">
        <w:rPr>
          <w:color w:val="000000"/>
          <w:sz w:val="24"/>
          <w:szCs w:val="24"/>
        </w:rPr>
        <w:t>Ved svært nedsat nyrefunktion (kreatininclearance 10</w:t>
      </w:r>
      <w:r w:rsidRPr="000E3576">
        <w:rPr>
          <w:color w:val="000000"/>
          <w:sz w:val="24"/>
          <w:szCs w:val="24"/>
        </w:rPr>
        <w:noBreakHyphen/>
        <w:t>30 ml/min) er eliminationen af paracetamol lidt forsinket, og eliminationshalveringstiden varierer fra 2 til 5,3 timer. For glucuronid- og sulfatkonjugater er eliminationshastigheden 3 gange langsommere hos patienter med svært nedsat nyrefunktion end hos raske forsøgspersoner. Derfor bør det minimale interval mellem hver administration forhøjes til 6 timer, når paracetamol gives til  patienter med svært nedsat nyrefunktion (kreatininclearance ≤ 30 ml/min) (se pkt. 4.2).</w:t>
      </w:r>
    </w:p>
    <w:p w14:paraId="6DB5663D" w14:textId="77777777" w:rsidR="000E3576" w:rsidRPr="000E3576" w:rsidRDefault="000E3576" w:rsidP="000E3576">
      <w:pPr>
        <w:tabs>
          <w:tab w:val="left" w:pos="1304"/>
        </w:tabs>
        <w:ind w:left="851"/>
        <w:rPr>
          <w:color w:val="000000"/>
          <w:sz w:val="24"/>
          <w:szCs w:val="24"/>
          <w:lang w:eastAsia="el-GR"/>
        </w:rPr>
      </w:pPr>
    </w:p>
    <w:p w14:paraId="632034E9" w14:textId="77777777" w:rsidR="000E3576" w:rsidRPr="000E3576" w:rsidRDefault="000E3576" w:rsidP="000E3576">
      <w:pPr>
        <w:tabs>
          <w:tab w:val="left" w:pos="1304"/>
        </w:tabs>
        <w:ind w:left="851"/>
        <w:rPr>
          <w:i/>
          <w:color w:val="000000"/>
          <w:sz w:val="24"/>
          <w:szCs w:val="24"/>
        </w:rPr>
      </w:pPr>
      <w:r w:rsidRPr="000E3576">
        <w:rPr>
          <w:i/>
          <w:color w:val="000000"/>
          <w:sz w:val="24"/>
          <w:szCs w:val="24"/>
        </w:rPr>
        <w:t>Ældre</w:t>
      </w:r>
    </w:p>
    <w:p w14:paraId="790AB10B" w14:textId="77777777" w:rsidR="000E3576" w:rsidRPr="000E3576" w:rsidRDefault="000E3576" w:rsidP="000E3576">
      <w:pPr>
        <w:tabs>
          <w:tab w:val="left" w:pos="1304"/>
        </w:tabs>
        <w:ind w:left="851"/>
        <w:rPr>
          <w:color w:val="000000"/>
          <w:sz w:val="24"/>
          <w:szCs w:val="24"/>
        </w:rPr>
      </w:pPr>
      <w:r w:rsidRPr="000E3576">
        <w:rPr>
          <w:color w:val="000000"/>
          <w:sz w:val="24"/>
          <w:szCs w:val="24"/>
        </w:rPr>
        <w:t>Farmakokinetik og metabolisme af paracetamol er uændret hos ældre. Der kræves ingen dosisjustering hos denne population.</w:t>
      </w:r>
    </w:p>
    <w:p w14:paraId="4F96A437" w14:textId="77777777" w:rsidR="009260DE" w:rsidRPr="000E3576" w:rsidRDefault="009260DE" w:rsidP="000E3576">
      <w:pPr>
        <w:tabs>
          <w:tab w:val="left" w:pos="851"/>
        </w:tabs>
        <w:ind w:left="851"/>
        <w:rPr>
          <w:sz w:val="24"/>
          <w:szCs w:val="24"/>
        </w:rPr>
      </w:pPr>
    </w:p>
    <w:p w14:paraId="6126C418"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6926F31A" w14:textId="77777777" w:rsidR="000E3576" w:rsidRPr="000E3576" w:rsidRDefault="000E3576" w:rsidP="000E3576">
      <w:pPr>
        <w:tabs>
          <w:tab w:val="left" w:pos="851"/>
        </w:tabs>
        <w:ind w:left="851"/>
        <w:rPr>
          <w:sz w:val="24"/>
          <w:szCs w:val="24"/>
        </w:rPr>
      </w:pPr>
      <w:r w:rsidRPr="000E3576">
        <w:rPr>
          <w:sz w:val="24"/>
          <w:szCs w:val="24"/>
        </w:rPr>
        <w:t>Prækliniske data viser ingen særlig risiko for mennesker ud over de oplysninger, der er anført i de øvrige afsnit af produktresuméet.</w:t>
      </w:r>
    </w:p>
    <w:p w14:paraId="16490EFB" w14:textId="77777777" w:rsidR="000E3576" w:rsidRPr="000E3576" w:rsidRDefault="000E3576" w:rsidP="000E3576">
      <w:pPr>
        <w:tabs>
          <w:tab w:val="left" w:pos="851"/>
        </w:tabs>
        <w:ind w:left="851"/>
        <w:rPr>
          <w:sz w:val="24"/>
          <w:szCs w:val="24"/>
          <w:lang w:val="nl-NL"/>
        </w:rPr>
      </w:pPr>
    </w:p>
    <w:p w14:paraId="0BD06131" w14:textId="77777777" w:rsidR="000E3576" w:rsidRPr="000E3576" w:rsidRDefault="000E3576" w:rsidP="000E3576">
      <w:pPr>
        <w:tabs>
          <w:tab w:val="left" w:pos="851"/>
        </w:tabs>
        <w:ind w:left="851"/>
        <w:rPr>
          <w:sz w:val="24"/>
          <w:szCs w:val="24"/>
        </w:rPr>
      </w:pPr>
      <w:r w:rsidRPr="000E3576">
        <w:rPr>
          <w:sz w:val="24"/>
          <w:szCs w:val="24"/>
        </w:rPr>
        <w:t>Studier af lokal tolerance af paracetamol hos rotter og kaniner viste god tolerabilitet. Udeblivelse af forsinket kontaktoverfølsomhed er blevet undersøgt hos marsvin.</w:t>
      </w:r>
    </w:p>
    <w:p w14:paraId="542D5C82" w14:textId="77777777" w:rsidR="000E3576" w:rsidRPr="000E3576" w:rsidRDefault="000E3576" w:rsidP="000E3576">
      <w:pPr>
        <w:tabs>
          <w:tab w:val="left" w:pos="851"/>
        </w:tabs>
        <w:ind w:left="851"/>
        <w:rPr>
          <w:sz w:val="24"/>
          <w:szCs w:val="24"/>
        </w:rPr>
      </w:pPr>
    </w:p>
    <w:p w14:paraId="6B42BA8B" w14:textId="77777777" w:rsidR="000E3576" w:rsidRPr="000E3576" w:rsidRDefault="000E3576" w:rsidP="000E3576">
      <w:pPr>
        <w:tabs>
          <w:tab w:val="left" w:pos="851"/>
        </w:tabs>
        <w:ind w:left="851"/>
        <w:rPr>
          <w:sz w:val="24"/>
          <w:szCs w:val="24"/>
        </w:rPr>
      </w:pPr>
      <w:r w:rsidRPr="000E3576">
        <w:rPr>
          <w:sz w:val="24"/>
          <w:szCs w:val="24"/>
        </w:rPr>
        <w:t>Der foreligger ikke konventionelle studier, hvor man har anvendt aktuelt anerkendte standarder for evaluering af reproduktions- og udviklingstoksicitet.</w:t>
      </w:r>
    </w:p>
    <w:p w14:paraId="06D78356" w14:textId="77777777" w:rsidR="009260DE" w:rsidRPr="00C84483" w:rsidRDefault="009260DE" w:rsidP="009260DE">
      <w:pPr>
        <w:tabs>
          <w:tab w:val="left" w:pos="851"/>
        </w:tabs>
        <w:ind w:left="851"/>
        <w:rPr>
          <w:sz w:val="24"/>
          <w:szCs w:val="24"/>
        </w:rPr>
      </w:pPr>
    </w:p>
    <w:p w14:paraId="14D62867" w14:textId="77777777" w:rsidR="009260DE" w:rsidRPr="00C84483" w:rsidRDefault="009260DE" w:rsidP="009260DE">
      <w:pPr>
        <w:tabs>
          <w:tab w:val="left" w:pos="851"/>
        </w:tabs>
        <w:ind w:left="851"/>
        <w:rPr>
          <w:sz w:val="24"/>
          <w:szCs w:val="24"/>
        </w:rPr>
      </w:pPr>
    </w:p>
    <w:p w14:paraId="76D8A6B2"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707FEC1A" w14:textId="77777777" w:rsidR="009260DE" w:rsidRPr="00BA09F1" w:rsidRDefault="009260DE" w:rsidP="009260DE">
      <w:pPr>
        <w:tabs>
          <w:tab w:val="left" w:pos="851"/>
        </w:tabs>
        <w:ind w:left="851"/>
        <w:rPr>
          <w:sz w:val="24"/>
          <w:szCs w:val="24"/>
        </w:rPr>
      </w:pPr>
    </w:p>
    <w:p w14:paraId="7691A1F2"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3D398F13" w14:textId="77777777" w:rsidR="005A0E1A" w:rsidRPr="005A0E1A" w:rsidRDefault="005A0E1A" w:rsidP="005A0E1A">
      <w:pPr>
        <w:tabs>
          <w:tab w:val="left" w:pos="851"/>
        </w:tabs>
        <w:ind w:left="851"/>
        <w:rPr>
          <w:sz w:val="24"/>
          <w:szCs w:val="24"/>
        </w:rPr>
      </w:pPr>
      <w:r w:rsidRPr="005A0E1A">
        <w:rPr>
          <w:sz w:val="24"/>
          <w:szCs w:val="24"/>
        </w:rPr>
        <w:t>Mannitol</w:t>
      </w:r>
    </w:p>
    <w:p w14:paraId="64328EF6" w14:textId="77777777" w:rsidR="005A0E1A" w:rsidRPr="005A0E1A" w:rsidRDefault="005A0E1A" w:rsidP="005A0E1A">
      <w:pPr>
        <w:tabs>
          <w:tab w:val="left" w:pos="851"/>
        </w:tabs>
        <w:ind w:left="851"/>
        <w:rPr>
          <w:sz w:val="24"/>
          <w:szCs w:val="24"/>
        </w:rPr>
      </w:pPr>
      <w:r w:rsidRPr="005A0E1A">
        <w:rPr>
          <w:sz w:val="24"/>
          <w:szCs w:val="24"/>
        </w:rPr>
        <w:t>Dinatriumphosphat, vandfrit</w:t>
      </w:r>
    </w:p>
    <w:p w14:paraId="02A36304" w14:textId="77777777" w:rsidR="005A0E1A" w:rsidRPr="005A0E1A" w:rsidRDefault="005A0E1A" w:rsidP="005A0E1A">
      <w:pPr>
        <w:tabs>
          <w:tab w:val="left" w:pos="851"/>
        </w:tabs>
        <w:ind w:left="851"/>
        <w:rPr>
          <w:sz w:val="24"/>
          <w:szCs w:val="24"/>
        </w:rPr>
      </w:pPr>
      <w:r w:rsidRPr="005A0E1A">
        <w:rPr>
          <w:sz w:val="24"/>
          <w:szCs w:val="24"/>
        </w:rPr>
        <w:t>Saltsyre (til pH justering)</w:t>
      </w:r>
    </w:p>
    <w:p w14:paraId="511A364B" w14:textId="77777777" w:rsidR="005A0E1A" w:rsidRPr="005A0E1A" w:rsidRDefault="005A0E1A" w:rsidP="005A0E1A">
      <w:pPr>
        <w:tabs>
          <w:tab w:val="left" w:pos="851"/>
        </w:tabs>
        <w:ind w:left="851"/>
        <w:rPr>
          <w:sz w:val="24"/>
          <w:szCs w:val="24"/>
        </w:rPr>
      </w:pPr>
      <w:r w:rsidRPr="005A0E1A">
        <w:rPr>
          <w:sz w:val="24"/>
          <w:szCs w:val="24"/>
        </w:rPr>
        <w:t>Natriumhydroxid (til pH justering)</w:t>
      </w:r>
    </w:p>
    <w:p w14:paraId="75A1AAAB" w14:textId="77777777" w:rsidR="005A0E1A" w:rsidRPr="005A0E1A" w:rsidRDefault="005A0E1A" w:rsidP="005A0E1A">
      <w:pPr>
        <w:tabs>
          <w:tab w:val="left" w:pos="851"/>
        </w:tabs>
        <w:ind w:left="851"/>
        <w:rPr>
          <w:sz w:val="24"/>
          <w:szCs w:val="24"/>
        </w:rPr>
      </w:pPr>
      <w:r w:rsidRPr="005A0E1A">
        <w:rPr>
          <w:sz w:val="24"/>
          <w:szCs w:val="24"/>
        </w:rPr>
        <w:t>Vand til injektionsvæsker</w:t>
      </w:r>
    </w:p>
    <w:p w14:paraId="047A8DB9" w14:textId="77777777" w:rsidR="009260DE" w:rsidRPr="00C84483" w:rsidRDefault="009260DE" w:rsidP="009260DE">
      <w:pPr>
        <w:tabs>
          <w:tab w:val="left" w:pos="851"/>
        </w:tabs>
        <w:ind w:left="851"/>
        <w:rPr>
          <w:sz w:val="24"/>
          <w:szCs w:val="24"/>
        </w:rPr>
      </w:pPr>
    </w:p>
    <w:p w14:paraId="6C9B9E6A"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3AED55AF" w14:textId="77777777" w:rsidR="005A0E1A" w:rsidRPr="005A0E1A" w:rsidRDefault="005A0E1A" w:rsidP="005A0E1A">
      <w:pPr>
        <w:tabs>
          <w:tab w:val="left" w:pos="851"/>
        </w:tabs>
        <w:ind w:left="851"/>
        <w:rPr>
          <w:sz w:val="24"/>
          <w:szCs w:val="24"/>
        </w:rPr>
      </w:pPr>
      <w:r w:rsidRPr="005A0E1A">
        <w:rPr>
          <w:sz w:val="24"/>
          <w:szCs w:val="24"/>
        </w:rPr>
        <w:t xml:space="preserve">Dette lægemiddel må ikke blandes med andre lægemidler end dem, der er anført under pkt. 6.6. </w:t>
      </w:r>
    </w:p>
    <w:p w14:paraId="453EB6F5" w14:textId="77777777" w:rsidR="009260DE" w:rsidRPr="00C84483" w:rsidRDefault="009260DE" w:rsidP="009260DE">
      <w:pPr>
        <w:tabs>
          <w:tab w:val="left" w:pos="851"/>
        </w:tabs>
        <w:ind w:left="851"/>
        <w:rPr>
          <w:sz w:val="24"/>
          <w:szCs w:val="24"/>
        </w:rPr>
      </w:pPr>
    </w:p>
    <w:p w14:paraId="11FDAC39"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57AEE27D" w14:textId="6FB6473E" w:rsidR="005A0E1A" w:rsidRPr="005A0E1A" w:rsidRDefault="005A0E1A" w:rsidP="005A0E1A">
      <w:pPr>
        <w:tabs>
          <w:tab w:val="left" w:pos="851"/>
        </w:tabs>
        <w:ind w:left="851"/>
        <w:rPr>
          <w:sz w:val="24"/>
          <w:szCs w:val="24"/>
        </w:rPr>
      </w:pPr>
      <w:r w:rsidRPr="005A0E1A">
        <w:rPr>
          <w:sz w:val="24"/>
          <w:szCs w:val="24"/>
        </w:rPr>
        <w:t>Uåbnet flaske: 2 år</w:t>
      </w:r>
      <w:r>
        <w:rPr>
          <w:sz w:val="24"/>
          <w:szCs w:val="24"/>
        </w:rPr>
        <w:t>.</w:t>
      </w:r>
    </w:p>
    <w:p w14:paraId="6B33BA56" w14:textId="77777777" w:rsidR="005A0E1A" w:rsidRPr="005A0E1A" w:rsidRDefault="005A0E1A" w:rsidP="005A0E1A">
      <w:pPr>
        <w:tabs>
          <w:tab w:val="left" w:pos="851"/>
        </w:tabs>
        <w:ind w:left="851"/>
        <w:rPr>
          <w:sz w:val="24"/>
          <w:szCs w:val="24"/>
        </w:rPr>
      </w:pPr>
    </w:p>
    <w:p w14:paraId="3A8068C8" w14:textId="77777777" w:rsidR="005A0E1A" w:rsidRPr="005A0E1A" w:rsidRDefault="005A0E1A" w:rsidP="005A0E1A">
      <w:pPr>
        <w:tabs>
          <w:tab w:val="left" w:pos="851"/>
        </w:tabs>
        <w:ind w:left="851"/>
        <w:rPr>
          <w:sz w:val="24"/>
          <w:szCs w:val="24"/>
        </w:rPr>
      </w:pPr>
      <w:r w:rsidRPr="005A0E1A">
        <w:rPr>
          <w:sz w:val="24"/>
          <w:szCs w:val="24"/>
        </w:rPr>
        <w:t>Ud fra et mikrobiologisk synspunkt skal præparatet anvendes med samme, medmindre metoden til åbning udelukker risikoen for mikrobiel kontaminering. Hvis opløsningen ikke anvendes med det samme, er opbevaringstider og -betingelser brugerens ansvar.</w:t>
      </w:r>
    </w:p>
    <w:p w14:paraId="6B409E17" w14:textId="77777777" w:rsidR="005A0E1A" w:rsidRPr="005A0E1A" w:rsidRDefault="005A0E1A" w:rsidP="005A0E1A">
      <w:pPr>
        <w:tabs>
          <w:tab w:val="left" w:pos="851"/>
        </w:tabs>
        <w:ind w:left="851"/>
        <w:rPr>
          <w:sz w:val="24"/>
          <w:szCs w:val="24"/>
          <w:lang w:val="nl-NL"/>
        </w:rPr>
      </w:pPr>
    </w:p>
    <w:p w14:paraId="28FDC59A" w14:textId="3ED80206" w:rsidR="005A0E1A" w:rsidRPr="005A0E1A" w:rsidRDefault="005A0E1A" w:rsidP="005A0E1A">
      <w:pPr>
        <w:tabs>
          <w:tab w:val="left" w:pos="851"/>
        </w:tabs>
        <w:ind w:left="851"/>
        <w:rPr>
          <w:sz w:val="24"/>
          <w:szCs w:val="24"/>
          <w:u w:val="single"/>
        </w:rPr>
      </w:pPr>
      <w:r w:rsidRPr="005A0E1A">
        <w:rPr>
          <w:sz w:val="24"/>
          <w:szCs w:val="24"/>
          <w:u w:val="single"/>
        </w:rPr>
        <w:t>For 50 ml beholdere</w:t>
      </w:r>
    </w:p>
    <w:p w14:paraId="2A92787E" w14:textId="77777777" w:rsidR="005A0E1A" w:rsidRPr="005A0E1A" w:rsidRDefault="005A0E1A" w:rsidP="005A0E1A">
      <w:pPr>
        <w:tabs>
          <w:tab w:val="left" w:pos="851"/>
        </w:tabs>
        <w:ind w:left="851"/>
        <w:rPr>
          <w:sz w:val="24"/>
          <w:szCs w:val="24"/>
        </w:rPr>
      </w:pPr>
      <w:r w:rsidRPr="005A0E1A">
        <w:rPr>
          <w:sz w:val="24"/>
          <w:szCs w:val="24"/>
        </w:rPr>
        <w:t>Hvis opløsningen fortyndes i 9 mg/ml (0,9 %) natriumchloridopløsning eller 50 mg/ml (5 %) glucoseopløsning, skal den anvendes straks. Hvis opløsningen ikke anvendes med det samme, må den ikke opbevares i mere end 1 time (inklusive infusionstid).</w:t>
      </w:r>
    </w:p>
    <w:p w14:paraId="579FD24B" w14:textId="7FD26B54" w:rsidR="005A0E1A" w:rsidRDefault="005A0E1A">
      <w:pPr>
        <w:rPr>
          <w:sz w:val="24"/>
          <w:szCs w:val="24"/>
        </w:rPr>
      </w:pPr>
      <w:r>
        <w:rPr>
          <w:sz w:val="24"/>
          <w:szCs w:val="24"/>
        </w:rPr>
        <w:br w:type="page"/>
      </w:r>
    </w:p>
    <w:p w14:paraId="466C7CD6" w14:textId="77777777" w:rsidR="009260DE" w:rsidRPr="00C84483" w:rsidRDefault="009260DE" w:rsidP="009260DE">
      <w:pPr>
        <w:tabs>
          <w:tab w:val="left" w:pos="851"/>
        </w:tabs>
        <w:ind w:left="851"/>
        <w:rPr>
          <w:sz w:val="24"/>
          <w:szCs w:val="24"/>
        </w:rPr>
      </w:pPr>
    </w:p>
    <w:p w14:paraId="29536EB9"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39CA21BF" w14:textId="77777777" w:rsidR="005A0E1A" w:rsidRPr="005A0E1A" w:rsidRDefault="005A0E1A" w:rsidP="005A0E1A">
      <w:pPr>
        <w:tabs>
          <w:tab w:val="left" w:pos="851"/>
        </w:tabs>
        <w:ind w:left="851"/>
        <w:rPr>
          <w:sz w:val="24"/>
          <w:szCs w:val="24"/>
        </w:rPr>
      </w:pPr>
      <w:r w:rsidRPr="005A0E1A">
        <w:rPr>
          <w:sz w:val="24"/>
          <w:szCs w:val="24"/>
        </w:rPr>
        <w:t>Må ikke opbevares ved temperaturer over 30 °C.</w:t>
      </w:r>
    </w:p>
    <w:p w14:paraId="1A7D782D" w14:textId="77777777" w:rsidR="005A0E1A" w:rsidRPr="005A0E1A" w:rsidRDefault="005A0E1A" w:rsidP="005A0E1A">
      <w:pPr>
        <w:tabs>
          <w:tab w:val="left" w:pos="851"/>
        </w:tabs>
        <w:ind w:left="851"/>
        <w:rPr>
          <w:sz w:val="24"/>
          <w:szCs w:val="24"/>
        </w:rPr>
      </w:pPr>
    </w:p>
    <w:p w14:paraId="5A781D61" w14:textId="77777777" w:rsidR="005A0E1A" w:rsidRPr="005A0E1A" w:rsidRDefault="005A0E1A" w:rsidP="005A0E1A">
      <w:pPr>
        <w:tabs>
          <w:tab w:val="left" w:pos="851"/>
        </w:tabs>
        <w:ind w:left="851"/>
        <w:rPr>
          <w:sz w:val="24"/>
          <w:szCs w:val="24"/>
        </w:rPr>
      </w:pPr>
      <w:r w:rsidRPr="005A0E1A">
        <w:rPr>
          <w:sz w:val="24"/>
          <w:szCs w:val="24"/>
        </w:rPr>
        <w:t>Må ikke opbevares i køleskab eller nedfryses.</w:t>
      </w:r>
    </w:p>
    <w:p w14:paraId="4D0BF392" w14:textId="77777777" w:rsidR="005A0E1A" w:rsidRPr="005A0E1A" w:rsidRDefault="005A0E1A" w:rsidP="005A0E1A">
      <w:pPr>
        <w:tabs>
          <w:tab w:val="left" w:pos="851"/>
        </w:tabs>
        <w:ind w:left="851"/>
        <w:rPr>
          <w:sz w:val="24"/>
          <w:szCs w:val="24"/>
        </w:rPr>
      </w:pPr>
    </w:p>
    <w:p w14:paraId="5E8C0001" w14:textId="77777777" w:rsidR="005A0E1A" w:rsidRPr="005A0E1A" w:rsidRDefault="005A0E1A" w:rsidP="005A0E1A">
      <w:pPr>
        <w:tabs>
          <w:tab w:val="left" w:pos="851"/>
        </w:tabs>
        <w:ind w:left="851"/>
        <w:rPr>
          <w:sz w:val="24"/>
          <w:szCs w:val="24"/>
        </w:rPr>
      </w:pPr>
      <w:r w:rsidRPr="005A0E1A">
        <w:rPr>
          <w:sz w:val="24"/>
          <w:szCs w:val="24"/>
        </w:rPr>
        <w:t>Opbevar den indre emballage i den metalliserede plastikpose og den ydre karton for at beskytte mod lys.</w:t>
      </w:r>
    </w:p>
    <w:p w14:paraId="3BE909A5" w14:textId="77777777" w:rsidR="005A0E1A" w:rsidRPr="005A0E1A" w:rsidRDefault="005A0E1A" w:rsidP="005A0E1A">
      <w:pPr>
        <w:tabs>
          <w:tab w:val="left" w:pos="851"/>
        </w:tabs>
        <w:ind w:left="851"/>
        <w:rPr>
          <w:sz w:val="24"/>
          <w:szCs w:val="24"/>
        </w:rPr>
      </w:pPr>
      <w:r w:rsidRPr="005A0E1A">
        <w:rPr>
          <w:sz w:val="24"/>
          <w:szCs w:val="24"/>
        </w:rPr>
        <w:t>Efter åbning af den metalliserede plastikpose skal produktet anvendes straks.</w:t>
      </w:r>
    </w:p>
    <w:p w14:paraId="1A724D40" w14:textId="77777777" w:rsidR="009260DE" w:rsidRPr="00C84483" w:rsidRDefault="009260DE" w:rsidP="009260DE">
      <w:pPr>
        <w:tabs>
          <w:tab w:val="left" w:pos="851"/>
        </w:tabs>
        <w:ind w:left="851"/>
        <w:rPr>
          <w:sz w:val="24"/>
          <w:szCs w:val="24"/>
        </w:rPr>
      </w:pPr>
    </w:p>
    <w:p w14:paraId="2E0A55F0"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612DB926" w14:textId="77777777" w:rsidR="005A0E1A" w:rsidRPr="005A0E1A" w:rsidRDefault="005A0E1A" w:rsidP="005A0E1A">
      <w:pPr>
        <w:tabs>
          <w:tab w:val="left" w:pos="851"/>
        </w:tabs>
        <w:ind w:left="851"/>
        <w:rPr>
          <w:sz w:val="24"/>
          <w:szCs w:val="24"/>
        </w:rPr>
      </w:pPr>
      <w:r w:rsidRPr="005A0E1A">
        <w:rPr>
          <w:sz w:val="24"/>
          <w:szCs w:val="24"/>
        </w:rPr>
        <w:t>50 ml og 100 ml flasker af polypropylen (plast), med en støbt plastikhætte, en gummipakning (type II) og en trækring, eller med plastikhætter med indstøbte elastomerer (dobbeltport). Hver flaske er pakket i en metalliseret beskyttende plastikpose.</w:t>
      </w:r>
    </w:p>
    <w:p w14:paraId="3224DF37" w14:textId="10DDA91B" w:rsidR="005A0E1A" w:rsidRDefault="005A0E1A" w:rsidP="005A0E1A">
      <w:pPr>
        <w:tabs>
          <w:tab w:val="left" w:pos="851"/>
        </w:tabs>
        <w:ind w:left="851"/>
        <w:rPr>
          <w:sz w:val="24"/>
          <w:szCs w:val="24"/>
        </w:rPr>
      </w:pPr>
    </w:p>
    <w:p w14:paraId="4B9416D9" w14:textId="2F2E4347" w:rsidR="005A0E1A" w:rsidRPr="005A0E1A" w:rsidRDefault="005A0E1A" w:rsidP="005A0E1A">
      <w:pPr>
        <w:tabs>
          <w:tab w:val="left" w:pos="851"/>
        </w:tabs>
        <w:ind w:left="851"/>
        <w:rPr>
          <w:sz w:val="24"/>
          <w:szCs w:val="24"/>
        </w:rPr>
      </w:pPr>
      <w:r>
        <w:rPr>
          <w:sz w:val="24"/>
          <w:szCs w:val="24"/>
        </w:rPr>
        <w:t xml:space="preserve">Pakningsstørrelser: </w:t>
      </w:r>
      <w:r w:rsidRPr="005A0E1A">
        <w:rPr>
          <w:sz w:val="24"/>
          <w:szCs w:val="24"/>
        </w:rPr>
        <w:t>1, 5, 10 og 12 flasker.</w:t>
      </w:r>
    </w:p>
    <w:p w14:paraId="0B3D62D2" w14:textId="77777777" w:rsidR="005A0E1A" w:rsidRPr="005A0E1A" w:rsidRDefault="005A0E1A" w:rsidP="005A0E1A">
      <w:pPr>
        <w:tabs>
          <w:tab w:val="left" w:pos="851"/>
        </w:tabs>
        <w:ind w:left="851"/>
        <w:rPr>
          <w:sz w:val="24"/>
          <w:szCs w:val="24"/>
          <w:lang w:val="nl-NL"/>
        </w:rPr>
      </w:pPr>
    </w:p>
    <w:p w14:paraId="4D04B98D" w14:textId="77777777" w:rsidR="005A0E1A" w:rsidRPr="005A0E1A" w:rsidRDefault="005A0E1A" w:rsidP="005A0E1A">
      <w:pPr>
        <w:tabs>
          <w:tab w:val="left" w:pos="851"/>
        </w:tabs>
        <w:ind w:left="851"/>
        <w:rPr>
          <w:sz w:val="24"/>
          <w:szCs w:val="24"/>
        </w:rPr>
      </w:pPr>
      <w:r w:rsidRPr="005A0E1A">
        <w:rPr>
          <w:sz w:val="24"/>
          <w:szCs w:val="24"/>
        </w:rPr>
        <w:t>Ikke alle pakningsstørrelser er nødvendigvis markedsført.</w:t>
      </w:r>
    </w:p>
    <w:p w14:paraId="6839CB7E" w14:textId="77777777" w:rsidR="009260DE" w:rsidRPr="00C84483" w:rsidRDefault="009260DE" w:rsidP="009260DE">
      <w:pPr>
        <w:tabs>
          <w:tab w:val="left" w:pos="851"/>
        </w:tabs>
        <w:ind w:left="851"/>
        <w:rPr>
          <w:sz w:val="24"/>
          <w:szCs w:val="24"/>
        </w:rPr>
      </w:pPr>
    </w:p>
    <w:p w14:paraId="0C407DB0"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3AF2588D" w14:textId="2EEAAB78" w:rsidR="005A0E1A" w:rsidRPr="005A0E1A" w:rsidRDefault="005A0E1A" w:rsidP="005A0E1A">
      <w:pPr>
        <w:tabs>
          <w:tab w:val="left" w:pos="851"/>
        </w:tabs>
        <w:ind w:left="851"/>
        <w:rPr>
          <w:sz w:val="24"/>
          <w:szCs w:val="24"/>
        </w:rPr>
      </w:pPr>
      <w:r w:rsidRPr="005A0E1A">
        <w:rPr>
          <w:sz w:val="24"/>
          <w:szCs w:val="24"/>
        </w:rPr>
        <w:t>Før administration skal opløsningen inspiceres visuelt for partikler og misfarvning.</w:t>
      </w:r>
    </w:p>
    <w:p w14:paraId="7E3BEB91" w14:textId="77777777" w:rsidR="005A0E1A" w:rsidRPr="005A0E1A" w:rsidRDefault="005A0E1A" w:rsidP="005A0E1A">
      <w:pPr>
        <w:tabs>
          <w:tab w:val="left" w:pos="851"/>
        </w:tabs>
        <w:ind w:left="851"/>
        <w:rPr>
          <w:sz w:val="24"/>
          <w:szCs w:val="24"/>
        </w:rPr>
      </w:pPr>
    </w:p>
    <w:p w14:paraId="5BC90B6A" w14:textId="77777777" w:rsidR="005A0E1A" w:rsidRPr="005A0E1A" w:rsidRDefault="005A0E1A" w:rsidP="005A0E1A">
      <w:pPr>
        <w:tabs>
          <w:tab w:val="left" w:pos="851"/>
        </w:tabs>
        <w:ind w:left="851"/>
        <w:rPr>
          <w:sz w:val="24"/>
          <w:szCs w:val="24"/>
        </w:rPr>
      </w:pPr>
      <w:r w:rsidRPr="005A0E1A">
        <w:rPr>
          <w:sz w:val="24"/>
          <w:szCs w:val="24"/>
        </w:rPr>
        <w:t xml:space="preserve">Kun til engangsbrug. Ikke anvendt opløsning skal kasseres. </w:t>
      </w:r>
    </w:p>
    <w:p w14:paraId="4AC7D785" w14:textId="77777777" w:rsidR="005A0E1A" w:rsidRPr="005A0E1A" w:rsidRDefault="005A0E1A" w:rsidP="005A0E1A">
      <w:pPr>
        <w:tabs>
          <w:tab w:val="left" w:pos="851"/>
        </w:tabs>
        <w:ind w:left="851"/>
        <w:rPr>
          <w:sz w:val="24"/>
          <w:szCs w:val="24"/>
        </w:rPr>
      </w:pPr>
    </w:p>
    <w:p w14:paraId="6FA3E660" w14:textId="77777777" w:rsidR="005A0E1A" w:rsidRPr="005A0E1A" w:rsidRDefault="005A0E1A" w:rsidP="005A0E1A">
      <w:pPr>
        <w:tabs>
          <w:tab w:val="left" w:pos="851"/>
        </w:tabs>
        <w:ind w:left="851"/>
        <w:rPr>
          <w:sz w:val="24"/>
          <w:szCs w:val="24"/>
        </w:rPr>
      </w:pPr>
      <w:r w:rsidRPr="005A0E1A">
        <w:rPr>
          <w:sz w:val="24"/>
          <w:szCs w:val="24"/>
        </w:rPr>
        <w:t xml:space="preserve">Den fortyndede opløsning skal inspiceres visuelt og må ikke anvendes, hvis der observeres opalescens, synlige partikler eller bundfald. </w:t>
      </w:r>
    </w:p>
    <w:p w14:paraId="7DC9E1A3" w14:textId="77777777" w:rsidR="005A0E1A" w:rsidRPr="005A0E1A" w:rsidRDefault="005A0E1A" w:rsidP="005A0E1A">
      <w:pPr>
        <w:tabs>
          <w:tab w:val="left" w:pos="851"/>
        </w:tabs>
        <w:ind w:left="851"/>
        <w:rPr>
          <w:sz w:val="24"/>
          <w:szCs w:val="24"/>
        </w:rPr>
      </w:pPr>
    </w:p>
    <w:p w14:paraId="44E238A7" w14:textId="77777777" w:rsidR="005A0E1A" w:rsidRPr="005A0E1A" w:rsidRDefault="005A0E1A" w:rsidP="005A0E1A">
      <w:pPr>
        <w:tabs>
          <w:tab w:val="left" w:pos="851"/>
        </w:tabs>
        <w:ind w:left="851"/>
        <w:rPr>
          <w:sz w:val="24"/>
          <w:szCs w:val="24"/>
        </w:rPr>
      </w:pPr>
      <w:r w:rsidRPr="005A0E1A">
        <w:rPr>
          <w:sz w:val="24"/>
          <w:szCs w:val="24"/>
        </w:rPr>
        <w:t>Ikke anvendt lægemiddel samt affald heraf skal bortskaffes i henhold til lokale retningslinjer.</w:t>
      </w:r>
    </w:p>
    <w:p w14:paraId="4464B0A9" w14:textId="77777777" w:rsidR="009260DE" w:rsidRPr="00C84483" w:rsidRDefault="009260DE" w:rsidP="000730CA">
      <w:pPr>
        <w:tabs>
          <w:tab w:val="left" w:pos="851"/>
        </w:tabs>
        <w:ind w:left="851"/>
        <w:rPr>
          <w:sz w:val="24"/>
          <w:szCs w:val="24"/>
        </w:rPr>
      </w:pPr>
    </w:p>
    <w:p w14:paraId="65DA20FA"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5429F3D7" w14:textId="77777777" w:rsidR="005A0E1A" w:rsidRPr="009919D6" w:rsidRDefault="005A0E1A" w:rsidP="005A0E1A">
      <w:pPr>
        <w:tabs>
          <w:tab w:val="left" w:pos="851"/>
        </w:tabs>
        <w:ind w:left="851"/>
        <w:rPr>
          <w:sz w:val="24"/>
          <w:szCs w:val="24"/>
        </w:rPr>
      </w:pPr>
      <w:r w:rsidRPr="009919D6">
        <w:rPr>
          <w:sz w:val="24"/>
          <w:szCs w:val="24"/>
        </w:rPr>
        <w:t>Noridem Enterprises Limited</w:t>
      </w:r>
    </w:p>
    <w:p w14:paraId="687C61EF" w14:textId="77777777" w:rsidR="005A0E1A" w:rsidRPr="005A0E1A" w:rsidRDefault="005A0E1A" w:rsidP="005A0E1A">
      <w:pPr>
        <w:tabs>
          <w:tab w:val="left" w:pos="851"/>
        </w:tabs>
        <w:ind w:left="851"/>
        <w:rPr>
          <w:sz w:val="24"/>
          <w:szCs w:val="24"/>
          <w:lang w:val="en-US"/>
        </w:rPr>
      </w:pPr>
      <w:r w:rsidRPr="005A0E1A">
        <w:rPr>
          <w:sz w:val="24"/>
          <w:szCs w:val="24"/>
          <w:lang w:val="en-US"/>
        </w:rPr>
        <w:t>Evagorou &amp; Makariou</w:t>
      </w:r>
    </w:p>
    <w:p w14:paraId="06C5FE12" w14:textId="77777777" w:rsidR="005A0E1A" w:rsidRPr="005A0E1A" w:rsidRDefault="005A0E1A" w:rsidP="005A0E1A">
      <w:pPr>
        <w:tabs>
          <w:tab w:val="left" w:pos="851"/>
        </w:tabs>
        <w:ind w:left="851"/>
        <w:rPr>
          <w:sz w:val="24"/>
          <w:szCs w:val="24"/>
          <w:lang w:val="en-US"/>
        </w:rPr>
      </w:pPr>
      <w:r w:rsidRPr="005A0E1A">
        <w:rPr>
          <w:sz w:val="24"/>
          <w:szCs w:val="24"/>
          <w:lang w:val="en-US"/>
        </w:rPr>
        <w:t>Mitsi Building 3, Office 115</w:t>
      </w:r>
    </w:p>
    <w:p w14:paraId="74B0AFC2" w14:textId="77777777" w:rsidR="005A0E1A" w:rsidRPr="005A0E1A" w:rsidRDefault="005A0E1A" w:rsidP="005A0E1A">
      <w:pPr>
        <w:tabs>
          <w:tab w:val="left" w:pos="851"/>
        </w:tabs>
        <w:ind w:left="851"/>
        <w:rPr>
          <w:sz w:val="24"/>
          <w:szCs w:val="24"/>
          <w:lang w:val="de-AT"/>
        </w:rPr>
      </w:pPr>
      <w:r w:rsidRPr="005A0E1A">
        <w:rPr>
          <w:sz w:val="24"/>
          <w:szCs w:val="24"/>
          <w:lang w:val="de-AT"/>
        </w:rPr>
        <w:t xml:space="preserve">1065 Nicosia </w:t>
      </w:r>
    </w:p>
    <w:p w14:paraId="3953A0A9" w14:textId="77777777" w:rsidR="005A0E1A" w:rsidRPr="005A0E1A" w:rsidRDefault="005A0E1A" w:rsidP="005A0E1A">
      <w:pPr>
        <w:tabs>
          <w:tab w:val="left" w:pos="851"/>
        </w:tabs>
        <w:ind w:left="851"/>
        <w:rPr>
          <w:sz w:val="24"/>
          <w:szCs w:val="24"/>
          <w:lang w:val="de-AT"/>
        </w:rPr>
      </w:pPr>
      <w:r w:rsidRPr="005A0E1A">
        <w:rPr>
          <w:sz w:val="24"/>
          <w:szCs w:val="24"/>
          <w:lang w:val="de-AT"/>
        </w:rPr>
        <w:t>Cypern</w:t>
      </w:r>
    </w:p>
    <w:p w14:paraId="58473E8C" w14:textId="77777777" w:rsidR="005A0E1A" w:rsidRPr="005A0E1A" w:rsidRDefault="005A0E1A" w:rsidP="005A0E1A">
      <w:pPr>
        <w:tabs>
          <w:tab w:val="left" w:pos="851"/>
        </w:tabs>
        <w:ind w:left="851"/>
        <w:rPr>
          <w:sz w:val="24"/>
          <w:szCs w:val="24"/>
          <w:lang w:val="de-AT"/>
        </w:rPr>
      </w:pPr>
    </w:p>
    <w:p w14:paraId="403761D1" w14:textId="77777777" w:rsidR="005A0E1A" w:rsidRPr="005A0E1A" w:rsidRDefault="005A0E1A" w:rsidP="005A0E1A">
      <w:pPr>
        <w:tabs>
          <w:tab w:val="left" w:pos="851"/>
        </w:tabs>
        <w:ind w:left="851"/>
        <w:rPr>
          <w:sz w:val="24"/>
          <w:szCs w:val="24"/>
          <w:lang w:val="de-AT"/>
        </w:rPr>
      </w:pPr>
      <w:r w:rsidRPr="005A0E1A">
        <w:rPr>
          <w:b/>
          <w:sz w:val="24"/>
          <w:szCs w:val="24"/>
          <w:lang w:val="de-AT"/>
        </w:rPr>
        <w:t>Repræsentant</w:t>
      </w:r>
    </w:p>
    <w:p w14:paraId="27B06A6A" w14:textId="77777777" w:rsidR="005A0E1A" w:rsidRPr="005A0E1A" w:rsidRDefault="005A0E1A" w:rsidP="005A0E1A">
      <w:pPr>
        <w:tabs>
          <w:tab w:val="left" w:pos="851"/>
        </w:tabs>
        <w:ind w:left="851"/>
        <w:rPr>
          <w:sz w:val="24"/>
          <w:szCs w:val="24"/>
          <w:lang w:val="sv-SE"/>
        </w:rPr>
      </w:pPr>
      <w:r w:rsidRPr="005A0E1A">
        <w:rPr>
          <w:sz w:val="24"/>
          <w:szCs w:val="24"/>
          <w:lang w:val="sv-SE"/>
        </w:rPr>
        <w:t>FrostPharma AB</w:t>
      </w:r>
    </w:p>
    <w:p w14:paraId="35EF3608" w14:textId="77777777" w:rsidR="005A0E1A" w:rsidRPr="005A0E1A" w:rsidRDefault="005A0E1A" w:rsidP="005A0E1A">
      <w:pPr>
        <w:tabs>
          <w:tab w:val="left" w:pos="851"/>
        </w:tabs>
        <w:ind w:left="851"/>
        <w:rPr>
          <w:sz w:val="24"/>
          <w:szCs w:val="24"/>
          <w:lang w:val="sv-SE"/>
        </w:rPr>
      </w:pPr>
      <w:r w:rsidRPr="005A0E1A">
        <w:rPr>
          <w:sz w:val="24"/>
          <w:szCs w:val="24"/>
          <w:lang w:val="sv-SE"/>
        </w:rPr>
        <w:t>Berga Backe 2</w:t>
      </w:r>
    </w:p>
    <w:p w14:paraId="34F89C5C" w14:textId="157D40F9" w:rsidR="005A0E1A" w:rsidRDefault="005A0E1A" w:rsidP="005A0E1A">
      <w:pPr>
        <w:tabs>
          <w:tab w:val="left" w:pos="851"/>
        </w:tabs>
        <w:ind w:left="851"/>
        <w:rPr>
          <w:sz w:val="24"/>
          <w:szCs w:val="24"/>
        </w:rPr>
      </w:pPr>
      <w:r w:rsidRPr="005A0E1A">
        <w:rPr>
          <w:sz w:val="24"/>
          <w:szCs w:val="24"/>
        </w:rPr>
        <w:t>182 53 Danderyd</w:t>
      </w:r>
    </w:p>
    <w:p w14:paraId="01325CE3" w14:textId="3FC049F1" w:rsidR="00F84404" w:rsidRPr="005A0E1A" w:rsidRDefault="00F84404" w:rsidP="005A0E1A">
      <w:pPr>
        <w:tabs>
          <w:tab w:val="left" w:pos="851"/>
        </w:tabs>
        <w:ind w:left="851"/>
        <w:rPr>
          <w:sz w:val="24"/>
          <w:szCs w:val="24"/>
        </w:rPr>
      </w:pPr>
      <w:r>
        <w:rPr>
          <w:sz w:val="24"/>
          <w:szCs w:val="24"/>
        </w:rPr>
        <w:t>Sverige</w:t>
      </w:r>
    </w:p>
    <w:p w14:paraId="02C890C5" w14:textId="77777777" w:rsidR="00641C65" w:rsidRPr="00641C65" w:rsidRDefault="00641C65" w:rsidP="009260DE">
      <w:pPr>
        <w:tabs>
          <w:tab w:val="left" w:pos="851"/>
        </w:tabs>
        <w:ind w:left="851"/>
        <w:rPr>
          <w:sz w:val="24"/>
          <w:szCs w:val="24"/>
        </w:rPr>
      </w:pPr>
    </w:p>
    <w:p w14:paraId="63667B07"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6D8AB4DA" w14:textId="18E0A85D" w:rsidR="009260DE" w:rsidRPr="00C84483" w:rsidRDefault="005A0E1A" w:rsidP="009260DE">
      <w:pPr>
        <w:tabs>
          <w:tab w:val="left" w:pos="851"/>
        </w:tabs>
        <w:ind w:left="851"/>
        <w:rPr>
          <w:sz w:val="24"/>
          <w:szCs w:val="24"/>
        </w:rPr>
      </w:pPr>
      <w:r>
        <w:rPr>
          <w:sz w:val="24"/>
          <w:szCs w:val="24"/>
        </w:rPr>
        <w:t>73641</w:t>
      </w:r>
    </w:p>
    <w:p w14:paraId="7D4902F5" w14:textId="77777777" w:rsidR="009260DE" w:rsidRPr="00C84483" w:rsidRDefault="009260DE" w:rsidP="009260DE">
      <w:pPr>
        <w:tabs>
          <w:tab w:val="left" w:pos="851"/>
        </w:tabs>
        <w:ind w:left="851"/>
        <w:jc w:val="both"/>
        <w:rPr>
          <w:sz w:val="24"/>
          <w:szCs w:val="24"/>
        </w:rPr>
      </w:pPr>
    </w:p>
    <w:p w14:paraId="75036344"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1E04280F" w14:textId="3B02A674" w:rsidR="009260DE" w:rsidRPr="00C84483" w:rsidRDefault="009919D6" w:rsidP="009260DE">
      <w:pPr>
        <w:tabs>
          <w:tab w:val="left" w:pos="851"/>
        </w:tabs>
        <w:ind w:left="851"/>
        <w:rPr>
          <w:sz w:val="24"/>
          <w:szCs w:val="24"/>
        </w:rPr>
      </w:pPr>
      <w:r>
        <w:rPr>
          <w:sz w:val="24"/>
          <w:szCs w:val="24"/>
        </w:rPr>
        <w:t>3. oktober 2025</w:t>
      </w:r>
    </w:p>
    <w:p w14:paraId="208180C6" w14:textId="77777777" w:rsidR="009260DE" w:rsidRPr="00C84483" w:rsidRDefault="009260DE" w:rsidP="009260DE">
      <w:pPr>
        <w:tabs>
          <w:tab w:val="left" w:pos="851"/>
        </w:tabs>
        <w:ind w:left="851"/>
        <w:rPr>
          <w:sz w:val="24"/>
          <w:szCs w:val="24"/>
        </w:rPr>
      </w:pPr>
    </w:p>
    <w:p w14:paraId="2335DDAF"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64864D6D" w14:textId="7BED0991" w:rsidR="009260DE" w:rsidRPr="00C84483" w:rsidRDefault="005A0E1A"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D7712" w14:textId="77777777" w:rsidR="00967146" w:rsidRDefault="00967146">
      <w:r>
        <w:separator/>
      </w:r>
    </w:p>
  </w:endnote>
  <w:endnote w:type="continuationSeparator" w:id="0">
    <w:p w14:paraId="2D1033E1" w14:textId="77777777" w:rsidR="00967146" w:rsidRDefault="0096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71299" w14:textId="77777777" w:rsidR="000259B9" w:rsidRDefault="000259B9">
    <w:pPr>
      <w:pStyle w:val="Sidefod"/>
      <w:pBdr>
        <w:bottom w:val="single" w:sz="6" w:space="1" w:color="auto"/>
      </w:pBdr>
    </w:pPr>
  </w:p>
  <w:p w14:paraId="2CB1400A" w14:textId="77777777" w:rsidR="000259B9" w:rsidRDefault="000259B9" w:rsidP="00C42586">
    <w:pPr>
      <w:pStyle w:val="Sidefod"/>
      <w:tabs>
        <w:tab w:val="clear" w:pos="4819"/>
        <w:tab w:val="left" w:pos="8505"/>
      </w:tabs>
      <w:rPr>
        <w:i/>
        <w:sz w:val="18"/>
        <w:szCs w:val="18"/>
      </w:rPr>
    </w:pPr>
  </w:p>
  <w:p w14:paraId="26F28BE9" w14:textId="24D258B3"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542D93">
      <w:rPr>
        <w:i/>
        <w:noProof/>
        <w:sz w:val="18"/>
        <w:szCs w:val="18"/>
      </w:rPr>
      <w:t>Paracetamol Noridem, infusionsvæske, opløsning 10 mg-ml</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A473D" w14:textId="77777777" w:rsidR="00967146" w:rsidRDefault="00967146">
      <w:r>
        <w:separator/>
      </w:r>
    </w:p>
  </w:footnote>
  <w:footnote w:type="continuationSeparator" w:id="0">
    <w:p w14:paraId="101434E1" w14:textId="77777777" w:rsidR="00967146" w:rsidRDefault="00967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472F0"/>
    <w:multiLevelType w:val="hybridMultilevel"/>
    <w:tmpl w:val="6DB64DB0"/>
    <w:lvl w:ilvl="0" w:tplc="FFFFFFFF">
      <w:start w:val="1"/>
      <w:numFmt w:val="bullet"/>
      <w:lvlText w:val="-"/>
      <w:legacy w:legacy="1" w:legacySpace="0" w:legacyIndent="360"/>
      <w:lvlJc w:val="left"/>
      <w:pPr>
        <w:ind w:left="360" w:hanging="360"/>
      </w:p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8D706B"/>
    <w:multiLevelType w:val="hybridMultilevel"/>
    <w:tmpl w:val="78EA1FB2"/>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7695334"/>
    <w:multiLevelType w:val="hybridMultilevel"/>
    <w:tmpl w:val="68DAE6B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29DD3AF0"/>
    <w:multiLevelType w:val="hybridMultilevel"/>
    <w:tmpl w:val="79285B84"/>
    <w:lvl w:ilvl="0" w:tplc="4230A62C">
      <w:numFmt w:val="bullet"/>
      <w:lvlText w:val="-"/>
      <w:lvlJc w:val="left"/>
      <w:pPr>
        <w:ind w:left="1211" w:hanging="360"/>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5"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7"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8"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55F97B82"/>
    <w:multiLevelType w:val="hybridMultilevel"/>
    <w:tmpl w:val="0742E8BA"/>
    <w:lvl w:ilvl="0" w:tplc="4230A62C">
      <w:numFmt w:val="bullet"/>
      <w:lvlText w:val="-"/>
      <w:lvlJc w:val="left"/>
      <w:pPr>
        <w:ind w:left="2062"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622D2C60"/>
    <w:multiLevelType w:val="hybridMultilevel"/>
    <w:tmpl w:val="4D44BE72"/>
    <w:lvl w:ilvl="0" w:tplc="FFFFFFFF">
      <w:start w:val="1"/>
      <w:numFmt w:val="bullet"/>
      <w:lvlText w:val="-"/>
      <w:lvlJc w:val="left"/>
      <w:pPr>
        <w:ind w:left="1571" w:hanging="360"/>
      </w:pPr>
      <w:rPr>
        <w:rFonts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1" w15:restartNumberingAfterBreak="0">
    <w:nsid w:val="73195604"/>
    <w:multiLevelType w:val="hybridMultilevel"/>
    <w:tmpl w:val="4FFE2412"/>
    <w:lvl w:ilvl="0" w:tplc="FFFFFFFF">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2" w15:restartNumberingAfterBreak="0">
    <w:nsid w:val="78633C3E"/>
    <w:multiLevelType w:val="hybridMultilevel"/>
    <w:tmpl w:val="CD04B43C"/>
    <w:lvl w:ilvl="0" w:tplc="FFFFFFFF">
      <w:start w:val="1"/>
      <w:numFmt w:val="bullet"/>
      <w:lvlText w:val="-"/>
      <w:legacy w:legacy="1" w:legacySpace="0" w:legacyIndent="360"/>
      <w:lvlJc w:val="left"/>
      <w:pPr>
        <w:ind w:left="360" w:hanging="360"/>
      </w:p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0C5897"/>
    <w:multiLevelType w:val="hybridMultilevel"/>
    <w:tmpl w:val="44B4407E"/>
    <w:lvl w:ilvl="0" w:tplc="FFFFFFFF">
      <w:start w:val="1"/>
      <w:numFmt w:val="bullet"/>
      <w:lvlText w:val="-"/>
      <w:legacy w:legacy="1" w:legacySpace="0" w:legacyIndent="360"/>
      <w:lvlJc w:val="left"/>
      <w:pPr>
        <w:ind w:left="360" w:hanging="360"/>
      </w:p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12"/>
  </w:num>
  <w:num w:numId="9">
    <w:abstractNumId w:val="3"/>
  </w:num>
  <w:num w:numId="10">
    <w:abstractNumId w:val="0"/>
  </w:num>
  <w:num w:numId="11">
    <w:abstractNumId w:val="10"/>
  </w:num>
  <w:num w:numId="12">
    <w:abstractNumId w:val="11"/>
  </w:num>
  <w:num w:numId="13">
    <w:abstractNumId w:val="4"/>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46"/>
    <w:rsid w:val="000259B9"/>
    <w:rsid w:val="00041491"/>
    <w:rsid w:val="00050D16"/>
    <w:rsid w:val="000730CA"/>
    <w:rsid w:val="00074F2A"/>
    <w:rsid w:val="000A1CA8"/>
    <w:rsid w:val="000A466B"/>
    <w:rsid w:val="000B058C"/>
    <w:rsid w:val="000C1B58"/>
    <w:rsid w:val="000D68B0"/>
    <w:rsid w:val="000E3576"/>
    <w:rsid w:val="000E4EE6"/>
    <w:rsid w:val="001454E2"/>
    <w:rsid w:val="00206CE8"/>
    <w:rsid w:val="0021526C"/>
    <w:rsid w:val="00283A2B"/>
    <w:rsid w:val="002B30AD"/>
    <w:rsid w:val="002C1EC0"/>
    <w:rsid w:val="002C2C01"/>
    <w:rsid w:val="003155D2"/>
    <w:rsid w:val="00381035"/>
    <w:rsid w:val="003A29AE"/>
    <w:rsid w:val="003A32D7"/>
    <w:rsid w:val="003B4074"/>
    <w:rsid w:val="003C769A"/>
    <w:rsid w:val="003D3A90"/>
    <w:rsid w:val="003F1838"/>
    <w:rsid w:val="004251C1"/>
    <w:rsid w:val="0045746C"/>
    <w:rsid w:val="0049104B"/>
    <w:rsid w:val="004A2492"/>
    <w:rsid w:val="004E3B12"/>
    <w:rsid w:val="00532310"/>
    <w:rsid w:val="005365AE"/>
    <w:rsid w:val="00542D93"/>
    <w:rsid w:val="00565F0F"/>
    <w:rsid w:val="00594A86"/>
    <w:rsid w:val="00596D86"/>
    <w:rsid w:val="005A0E1A"/>
    <w:rsid w:val="005D27BA"/>
    <w:rsid w:val="00637F5A"/>
    <w:rsid w:val="00641C65"/>
    <w:rsid w:val="006560B1"/>
    <w:rsid w:val="006756DD"/>
    <w:rsid w:val="006F718E"/>
    <w:rsid w:val="0071241E"/>
    <w:rsid w:val="00737275"/>
    <w:rsid w:val="00740EEC"/>
    <w:rsid w:val="0078011A"/>
    <w:rsid w:val="00782AF4"/>
    <w:rsid w:val="00790EE7"/>
    <w:rsid w:val="007B6649"/>
    <w:rsid w:val="0082576E"/>
    <w:rsid w:val="0089346F"/>
    <w:rsid w:val="00907F75"/>
    <w:rsid w:val="009260DE"/>
    <w:rsid w:val="00926723"/>
    <w:rsid w:val="0093258A"/>
    <w:rsid w:val="00967146"/>
    <w:rsid w:val="009919D6"/>
    <w:rsid w:val="00992DE9"/>
    <w:rsid w:val="009C7BA3"/>
    <w:rsid w:val="009D1F5A"/>
    <w:rsid w:val="00A10294"/>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EF762E"/>
    <w:rsid w:val="00F66D4F"/>
    <w:rsid w:val="00F84404"/>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FCDE5"/>
  <w15:chartTrackingRefBased/>
  <w15:docId w15:val="{8A7D1429-C2E0-453D-8383-F7F819F0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Default">
    <w:name w:val="Default"/>
    <w:rsid w:val="00542D93"/>
    <w:pPr>
      <w:autoSpaceDE w:val="0"/>
      <w:autoSpaceDN w:val="0"/>
      <w:adjustRightInd w:val="0"/>
    </w:pPr>
    <w:rPr>
      <w:color w:val="000000"/>
      <w:sz w:val="24"/>
      <w:szCs w:val="24"/>
      <w:lang w:eastAsia="el-GR"/>
    </w:rPr>
  </w:style>
  <w:style w:type="paragraph" w:styleId="Listeafsnit">
    <w:name w:val="List Paragraph"/>
    <w:basedOn w:val="Normal"/>
    <w:uiPriority w:val="34"/>
    <w:qFormat/>
    <w:rsid w:val="000C1B58"/>
    <w:pPr>
      <w:ind w:left="720"/>
      <w:contextualSpacing/>
    </w:pPr>
  </w:style>
  <w:style w:type="character" w:styleId="Hyperlink">
    <w:name w:val="Hyperlink"/>
    <w:semiHidden/>
    <w:unhideWhenUsed/>
    <w:rsid w:val="00EF76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5942">
      <w:bodyDiv w:val="1"/>
      <w:marLeft w:val="0"/>
      <w:marRight w:val="0"/>
      <w:marTop w:val="0"/>
      <w:marBottom w:val="0"/>
      <w:divBdr>
        <w:top w:val="none" w:sz="0" w:space="0" w:color="auto"/>
        <w:left w:val="none" w:sz="0" w:space="0" w:color="auto"/>
        <w:bottom w:val="none" w:sz="0" w:space="0" w:color="auto"/>
        <w:right w:val="none" w:sz="0" w:space="0" w:color="auto"/>
      </w:divBdr>
    </w:div>
    <w:div w:id="56128885">
      <w:bodyDiv w:val="1"/>
      <w:marLeft w:val="0"/>
      <w:marRight w:val="0"/>
      <w:marTop w:val="0"/>
      <w:marBottom w:val="0"/>
      <w:divBdr>
        <w:top w:val="none" w:sz="0" w:space="0" w:color="auto"/>
        <w:left w:val="none" w:sz="0" w:space="0" w:color="auto"/>
        <w:bottom w:val="none" w:sz="0" w:space="0" w:color="auto"/>
        <w:right w:val="none" w:sz="0" w:space="0" w:color="auto"/>
      </w:divBdr>
    </w:div>
    <w:div w:id="103429403">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67599056">
      <w:bodyDiv w:val="1"/>
      <w:marLeft w:val="0"/>
      <w:marRight w:val="0"/>
      <w:marTop w:val="0"/>
      <w:marBottom w:val="0"/>
      <w:divBdr>
        <w:top w:val="none" w:sz="0" w:space="0" w:color="auto"/>
        <w:left w:val="none" w:sz="0" w:space="0" w:color="auto"/>
        <w:bottom w:val="none" w:sz="0" w:space="0" w:color="auto"/>
        <w:right w:val="none" w:sz="0" w:space="0" w:color="auto"/>
      </w:divBdr>
    </w:div>
    <w:div w:id="198669761">
      <w:bodyDiv w:val="1"/>
      <w:marLeft w:val="0"/>
      <w:marRight w:val="0"/>
      <w:marTop w:val="0"/>
      <w:marBottom w:val="0"/>
      <w:divBdr>
        <w:top w:val="none" w:sz="0" w:space="0" w:color="auto"/>
        <w:left w:val="none" w:sz="0" w:space="0" w:color="auto"/>
        <w:bottom w:val="none" w:sz="0" w:space="0" w:color="auto"/>
        <w:right w:val="none" w:sz="0" w:space="0" w:color="auto"/>
      </w:divBdr>
    </w:div>
    <w:div w:id="210775043">
      <w:bodyDiv w:val="1"/>
      <w:marLeft w:val="0"/>
      <w:marRight w:val="0"/>
      <w:marTop w:val="0"/>
      <w:marBottom w:val="0"/>
      <w:divBdr>
        <w:top w:val="none" w:sz="0" w:space="0" w:color="auto"/>
        <w:left w:val="none" w:sz="0" w:space="0" w:color="auto"/>
        <w:bottom w:val="none" w:sz="0" w:space="0" w:color="auto"/>
        <w:right w:val="none" w:sz="0" w:space="0" w:color="auto"/>
      </w:divBdr>
    </w:div>
    <w:div w:id="326321907">
      <w:bodyDiv w:val="1"/>
      <w:marLeft w:val="0"/>
      <w:marRight w:val="0"/>
      <w:marTop w:val="0"/>
      <w:marBottom w:val="0"/>
      <w:divBdr>
        <w:top w:val="none" w:sz="0" w:space="0" w:color="auto"/>
        <w:left w:val="none" w:sz="0" w:space="0" w:color="auto"/>
        <w:bottom w:val="none" w:sz="0" w:space="0" w:color="auto"/>
        <w:right w:val="none" w:sz="0" w:space="0" w:color="auto"/>
      </w:divBdr>
    </w:div>
    <w:div w:id="355228534">
      <w:bodyDiv w:val="1"/>
      <w:marLeft w:val="0"/>
      <w:marRight w:val="0"/>
      <w:marTop w:val="0"/>
      <w:marBottom w:val="0"/>
      <w:divBdr>
        <w:top w:val="none" w:sz="0" w:space="0" w:color="auto"/>
        <w:left w:val="none" w:sz="0" w:space="0" w:color="auto"/>
        <w:bottom w:val="none" w:sz="0" w:space="0" w:color="auto"/>
        <w:right w:val="none" w:sz="0" w:space="0" w:color="auto"/>
      </w:divBdr>
    </w:div>
    <w:div w:id="360476537">
      <w:bodyDiv w:val="1"/>
      <w:marLeft w:val="0"/>
      <w:marRight w:val="0"/>
      <w:marTop w:val="0"/>
      <w:marBottom w:val="0"/>
      <w:divBdr>
        <w:top w:val="none" w:sz="0" w:space="0" w:color="auto"/>
        <w:left w:val="none" w:sz="0" w:space="0" w:color="auto"/>
        <w:bottom w:val="none" w:sz="0" w:space="0" w:color="auto"/>
        <w:right w:val="none" w:sz="0" w:space="0" w:color="auto"/>
      </w:divBdr>
    </w:div>
    <w:div w:id="369569328">
      <w:bodyDiv w:val="1"/>
      <w:marLeft w:val="0"/>
      <w:marRight w:val="0"/>
      <w:marTop w:val="0"/>
      <w:marBottom w:val="0"/>
      <w:divBdr>
        <w:top w:val="none" w:sz="0" w:space="0" w:color="auto"/>
        <w:left w:val="none" w:sz="0" w:space="0" w:color="auto"/>
        <w:bottom w:val="none" w:sz="0" w:space="0" w:color="auto"/>
        <w:right w:val="none" w:sz="0" w:space="0" w:color="auto"/>
      </w:divBdr>
    </w:div>
    <w:div w:id="475267634">
      <w:bodyDiv w:val="1"/>
      <w:marLeft w:val="0"/>
      <w:marRight w:val="0"/>
      <w:marTop w:val="0"/>
      <w:marBottom w:val="0"/>
      <w:divBdr>
        <w:top w:val="none" w:sz="0" w:space="0" w:color="auto"/>
        <w:left w:val="none" w:sz="0" w:space="0" w:color="auto"/>
        <w:bottom w:val="none" w:sz="0" w:space="0" w:color="auto"/>
        <w:right w:val="none" w:sz="0" w:space="0" w:color="auto"/>
      </w:divBdr>
    </w:div>
    <w:div w:id="517041556">
      <w:bodyDiv w:val="1"/>
      <w:marLeft w:val="0"/>
      <w:marRight w:val="0"/>
      <w:marTop w:val="0"/>
      <w:marBottom w:val="0"/>
      <w:divBdr>
        <w:top w:val="none" w:sz="0" w:space="0" w:color="auto"/>
        <w:left w:val="none" w:sz="0" w:space="0" w:color="auto"/>
        <w:bottom w:val="none" w:sz="0" w:space="0" w:color="auto"/>
        <w:right w:val="none" w:sz="0" w:space="0" w:color="auto"/>
      </w:divBdr>
    </w:div>
    <w:div w:id="543490391">
      <w:bodyDiv w:val="1"/>
      <w:marLeft w:val="0"/>
      <w:marRight w:val="0"/>
      <w:marTop w:val="0"/>
      <w:marBottom w:val="0"/>
      <w:divBdr>
        <w:top w:val="none" w:sz="0" w:space="0" w:color="auto"/>
        <w:left w:val="none" w:sz="0" w:space="0" w:color="auto"/>
        <w:bottom w:val="none" w:sz="0" w:space="0" w:color="auto"/>
        <w:right w:val="none" w:sz="0" w:space="0" w:color="auto"/>
      </w:divBdr>
    </w:div>
    <w:div w:id="629434849">
      <w:bodyDiv w:val="1"/>
      <w:marLeft w:val="0"/>
      <w:marRight w:val="0"/>
      <w:marTop w:val="0"/>
      <w:marBottom w:val="0"/>
      <w:divBdr>
        <w:top w:val="none" w:sz="0" w:space="0" w:color="auto"/>
        <w:left w:val="none" w:sz="0" w:space="0" w:color="auto"/>
        <w:bottom w:val="none" w:sz="0" w:space="0" w:color="auto"/>
        <w:right w:val="none" w:sz="0" w:space="0" w:color="auto"/>
      </w:divBdr>
    </w:div>
    <w:div w:id="754789051">
      <w:bodyDiv w:val="1"/>
      <w:marLeft w:val="0"/>
      <w:marRight w:val="0"/>
      <w:marTop w:val="0"/>
      <w:marBottom w:val="0"/>
      <w:divBdr>
        <w:top w:val="none" w:sz="0" w:space="0" w:color="auto"/>
        <w:left w:val="none" w:sz="0" w:space="0" w:color="auto"/>
        <w:bottom w:val="none" w:sz="0" w:space="0" w:color="auto"/>
        <w:right w:val="none" w:sz="0" w:space="0" w:color="auto"/>
      </w:divBdr>
    </w:div>
    <w:div w:id="757749873">
      <w:bodyDiv w:val="1"/>
      <w:marLeft w:val="0"/>
      <w:marRight w:val="0"/>
      <w:marTop w:val="0"/>
      <w:marBottom w:val="0"/>
      <w:divBdr>
        <w:top w:val="none" w:sz="0" w:space="0" w:color="auto"/>
        <w:left w:val="none" w:sz="0" w:space="0" w:color="auto"/>
        <w:bottom w:val="none" w:sz="0" w:space="0" w:color="auto"/>
        <w:right w:val="none" w:sz="0" w:space="0" w:color="auto"/>
      </w:divBdr>
    </w:div>
    <w:div w:id="777680009">
      <w:bodyDiv w:val="1"/>
      <w:marLeft w:val="0"/>
      <w:marRight w:val="0"/>
      <w:marTop w:val="0"/>
      <w:marBottom w:val="0"/>
      <w:divBdr>
        <w:top w:val="none" w:sz="0" w:space="0" w:color="auto"/>
        <w:left w:val="none" w:sz="0" w:space="0" w:color="auto"/>
        <w:bottom w:val="none" w:sz="0" w:space="0" w:color="auto"/>
        <w:right w:val="none" w:sz="0" w:space="0" w:color="auto"/>
      </w:divBdr>
    </w:div>
    <w:div w:id="784929158">
      <w:bodyDiv w:val="1"/>
      <w:marLeft w:val="0"/>
      <w:marRight w:val="0"/>
      <w:marTop w:val="0"/>
      <w:marBottom w:val="0"/>
      <w:divBdr>
        <w:top w:val="none" w:sz="0" w:space="0" w:color="auto"/>
        <w:left w:val="none" w:sz="0" w:space="0" w:color="auto"/>
        <w:bottom w:val="none" w:sz="0" w:space="0" w:color="auto"/>
        <w:right w:val="none" w:sz="0" w:space="0" w:color="auto"/>
      </w:divBdr>
    </w:div>
    <w:div w:id="854198142">
      <w:bodyDiv w:val="1"/>
      <w:marLeft w:val="0"/>
      <w:marRight w:val="0"/>
      <w:marTop w:val="0"/>
      <w:marBottom w:val="0"/>
      <w:divBdr>
        <w:top w:val="none" w:sz="0" w:space="0" w:color="auto"/>
        <w:left w:val="none" w:sz="0" w:space="0" w:color="auto"/>
        <w:bottom w:val="none" w:sz="0" w:space="0" w:color="auto"/>
        <w:right w:val="none" w:sz="0" w:space="0" w:color="auto"/>
      </w:divBdr>
    </w:div>
    <w:div w:id="876746204">
      <w:bodyDiv w:val="1"/>
      <w:marLeft w:val="0"/>
      <w:marRight w:val="0"/>
      <w:marTop w:val="0"/>
      <w:marBottom w:val="0"/>
      <w:divBdr>
        <w:top w:val="none" w:sz="0" w:space="0" w:color="auto"/>
        <w:left w:val="none" w:sz="0" w:space="0" w:color="auto"/>
        <w:bottom w:val="none" w:sz="0" w:space="0" w:color="auto"/>
        <w:right w:val="none" w:sz="0" w:space="0" w:color="auto"/>
      </w:divBdr>
    </w:div>
    <w:div w:id="884945131">
      <w:bodyDiv w:val="1"/>
      <w:marLeft w:val="0"/>
      <w:marRight w:val="0"/>
      <w:marTop w:val="0"/>
      <w:marBottom w:val="0"/>
      <w:divBdr>
        <w:top w:val="none" w:sz="0" w:space="0" w:color="auto"/>
        <w:left w:val="none" w:sz="0" w:space="0" w:color="auto"/>
        <w:bottom w:val="none" w:sz="0" w:space="0" w:color="auto"/>
        <w:right w:val="none" w:sz="0" w:space="0" w:color="auto"/>
      </w:divBdr>
    </w:div>
    <w:div w:id="889459397">
      <w:bodyDiv w:val="1"/>
      <w:marLeft w:val="0"/>
      <w:marRight w:val="0"/>
      <w:marTop w:val="0"/>
      <w:marBottom w:val="0"/>
      <w:divBdr>
        <w:top w:val="none" w:sz="0" w:space="0" w:color="auto"/>
        <w:left w:val="none" w:sz="0" w:space="0" w:color="auto"/>
        <w:bottom w:val="none" w:sz="0" w:space="0" w:color="auto"/>
        <w:right w:val="none" w:sz="0" w:space="0" w:color="auto"/>
      </w:divBdr>
    </w:div>
    <w:div w:id="923996793">
      <w:bodyDiv w:val="1"/>
      <w:marLeft w:val="0"/>
      <w:marRight w:val="0"/>
      <w:marTop w:val="0"/>
      <w:marBottom w:val="0"/>
      <w:divBdr>
        <w:top w:val="none" w:sz="0" w:space="0" w:color="auto"/>
        <w:left w:val="none" w:sz="0" w:space="0" w:color="auto"/>
        <w:bottom w:val="none" w:sz="0" w:space="0" w:color="auto"/>
        <w:right w:val="none" w:sz="0" w:space="0" w:color="auto"/>
      </w:divBdr>
    </w:div>
    <w:div w:id="934283594">
      <w:bodyDiv w:val="1"/>
      <w:marLeft w:val="0"/>
      <w:marRight w:val="0"/>
      <w:marTop w:val="0"/>
      <w:marBottom w:val="0"/>
      <w:divBdr>
        <w:top w:val="none" w:sz="0" w:space="0" w:color="auto"/>
        <w:left w:val="none" w:sz="0" w:space="0" w:color="auto"/>
        <w:bottom w:val="none" w:sz="0" w:space="0" w:color="auto"/>
        <w:right w:val="none" w:sz="0" w:space="0" w:color="auto"/>
      </w:divBdr>
    </w:div>
    <w:div w:id="1113092162">
      <w:bodyDiv w:val="1"/>
      <w:marLeft w:val="0"/>
      <w:marRight w:val="0"/>
      <w:marTop w:val="0"/>
      <w:marBottom w:val="0"/>
      <w:divBdr>
        <w:top w:val="none" w:sz="0" w:space="0" w:color="auto"/>
        <w:left w:val="none" w:sz="0" w:space="0" w:color="auto"/>
        <w:bottom w:val="none" w:sz="0" w:space="0" w:color="auto"/>
        <w:right w:val="none" w:sz="0" w:space="0" w:color="auto"/>
      </w:divBdr>
    </w:div>
    <w:div w:id="1128670577">
      <w:bodyDiv w:val="1"/>
      <w:marLeft w:val="0"/>
      <w:marRight w:val="0"/>
      <w:marTop w:val="0"/>
      <w:marBottom w:val="0"/>
      <w:divBdr>
        <w:top w:val="none" w:sz="0" w:space="0" w:color="auto"/>
        <w:left w:val="none" w:sz="0" w:space="0" w:color="auto"/>
        <w:bottom w:val="none" w:sz="0" w:space="0" w:color="auto"/>
        <w:right w:val="none" w:sz="0" w:space="0" w:color="auto"/>
      </w:divBdr>
    </w:div>
    <w:div w:id="1243829477">
      <w:bodyDiv w:val="1"/>
      <w:marLeft w:val="0"/>
      <w:marRight w:val="0"/>
      <w:marTop w:val="0"/>
      <w:marBottom w:val="0"/>
      <w:divBdr>
        <w:top w:val="none" w:sz="0" w:space="0" w:color="auto"/>
        <w:left w:val="none" w:sz="0" w:space="0" w:color="auto"/>
        <w:bottom w:val="none" w:sz="0" w:space="0" w:color="auto"/>
        <w:right w:val="none" w:sz="0" w:space="0" w:color="auto"/>
      </w:divBdr>
    </w:div>
    <w:div w:id="1266423312">
      <w:bodyDiv w:val="1"/>
      <w:marLeft w:val="0"/>
      <w:marRight w:val="0"/>
      <w:marTop w:val="0"/>
      <w:marBottom w:val="0"/>
      <w:divBdr>
        <w:top w:val="none" w:sz="0" w:space="0" w:color="auto"/>
        <w:left w:val="none" w:sz="0" w:space="0" w:color="auto"/>
        <w:bottom w:val="none" w:sz="0" w:space="0" w:color="auto"/>
        <w:right w:val="none" w:sz="0" w:space="0" w:color="auto"/>
      </w:divBdr>
    </w:div>
    <w:div w:id="1406948352">
      <w:bodyDiv w:val="1"/>
      <w:marLeft w:val="0"/>
      <w:marRight w:val="0"/>
      <w:marTop w:val="0"/>
      <w:marBottom w:val="0"/>
      <w:divBdr>
        <w:top w:val="none" w:sz="0" w:space="0" w:color="auto"/>
        <w:left w:val="none" w:sz="0" w:space="0" w:color="auto"/>
        <w:bottom w:val="none" w:sz="0" w:space="0" w:color="auto"/>
        <w:right w:val="none" w:sz="0" w:space="0" w:color="auto"/>
      </w:divBdr>
    </w:div>
    <w:div w:id="1468743252">
      <w:bodyDiv w:val="1"/>
      <w:marLeft w:val="0"/>
      <w:marRight w:val="0"/>
      <w:marTop w:val="0"/>
      <w:marBottom w:val="0"/>
      <w:divBdr>
        <w:top w:val="none" w:sz="0" w:space="0" w:color="auto"/>
        <w:left w:val="none" w:sz="0" w:space="0" w:color="auto"/>
        <w:bottom w:val="none" w:sz="0" w:space="0" w:color="auto"/>
        <w:right w:val="none" w:sz="0" w:space="0" w:color="auto"/>
      </w:divBdr>
    </w:div>
    <w:div w:id="1469517690">
      <w:bodyDiv w:val="1"/>
      <w:marLeft w:val="0"/>
      <w:marRight w:val="0"/>
      <w:marTop w:val="0"/>
      <w:marBottom w:val="0"/>
      <w:divBdr>
        <w:top w:val="none" w:sz="0" w:space="0" w:color="auto"/>
        <w:left w:val="none" w:sz="0" w:space="0" w:color="auto"/>
        <w:bottom w:val="none" w:sz="0" w:space="0" w:color="auto"/>
        <w:right w:val="none" w:sz="0" w:space="0" w:color="auto"/>
      </w:divBdr>
    </w:div>
    <w:div w:id="1485968108">
      <w:bodyDiv w:val="1"/>
      <w:marLeft w:val="0"/>
      <w:marRight w:val="0"/>
      <w:marTop w:val="0"/>
      <w:marBottom w:val="0"/>
      <w:divBdr>
        <w:top w:val="none" w:sz="0" w:space="0" w:color="auto"/>
        <w:left w:val="none" w:sz="0" w:space="0" w:color="auto"/>
        <w:bottom w:val="none" w:sz="0" w:space="0" w:color="auto"/>
        <w:right w:val="none" w:sz="0" w:space="0" w:color="auto"/>
      </w:divBdr>
    </w:div>
    <w:div w:id="1550343679">
      <w:bodyDiv w:val="1"/>
      <w:marLeft w:val="0"/>
      <w:marRight w:val="0"/>
      <w:marTop w:val="0"/>
      <w:marBottom w:val="0"/>
      <w:divBdr>
        <w:top w:val="none" w:sz="0" w:space="0" w:color="auto"/>
        <w:left w:val="none" w:sz="0" w:space="0" w:color="auto"/>
        <w:bottom w:val="none" w:sz="0" w:space="0" w:color="auto"/>
        <w:right w:val="none" w:sz="0" w:space="0" w:color="auto"/>
      </w:divBdr>
    </w:div>
    <w:div w:id="1648633515">
      <w:bodyDiv w:val="1"/>
      <w:marLeft w:val="0"/>
      <w:marRight w:val="0"/>
      <w:marTop w:val="0"/>
      <w:marBottom w:val="0"/>
      <w:divBdr>
        <w:top w:val="none" w:sz="0" w:space="0" w:color="auto"/>
        <w:left w:val="none" w:sz="0" w:space="0" w:color="auto"/>
        <w:bottom w:val="none" w:sz="0" w:space="0" w:color="auto"/>
        <w:right w:val="none" w:sz="0" w:space="0" w:color="auto"/>
      </w:divBdr>
    </w:div>
    <w:div w:id="1737390204">
      <w:bodyDiv w:val="1"/>
      <w:marLeft w:val="0"/>
      <w:marRight w:val="0"/>
      <w:marTop w:val="0"/>
      <w:marBottom w:val="0"/>
      <w:divBdr>
        <w:top w:val="none" w:sz="0" w:space="0" w:color="auto"/>
        <w:left w:val="none" w:sz="0" w:space="0" w:color="auto"/>
        <w:bottom w:val="none" w:sz="0" w:space="0" w:color="auto"/>
        <w:right w:val="none" w:sz="0" w:space="0" w:color="auto"/>
      </w:divBdr>
    </w:div>
    <w:div w:id="1759599139">
      <w:bodyDiv w:val="1"/>
      <w:marLeft w:val="0"/>
      <w:marRight w:val="0"/>
      <w:marTop w:val="0"/>
      <w:marBottom w:val="0"/>
      <w:divBdr>
        <w:top w:val="none" w:sz="0" w:space="0" w:color="auto"/>
        <w:left w:val="none" w:sz="0" w:space="0" w:color="auto"/>
        <w:bottom w:val="none" w:sz="0" w:space="0" w:color="auto"/>
        <w:right w:val="none" w:sz="0" w:space="0" w:color="auto"/>
      </w:divBdr>
    </w:div>
    <w:div w:id="1784226995">
      <w:bodyDiv w:val="1"/>
      <w:marLeft w:val="0"/>
      <w:marRight w:val="0"/>
      <w:marTop w:val="0"/>
      <w:marBottom w:val="0"/>
      <w:divBdr>
        <w:top w:val="none" w:sz="0" w:space="0" w:color="auto"/>
        <w:left w:val="none" w:sz="0" w:space="0" w:color="auto"/>
        <w:bottom w:val="none" w:sz="0" w:space="0" w:color="auto"/>
        <w:right w:val="none" w:sz="0" w:space="0" w:color="auto"/>
      </w:divBdr>
    </w:div>
    <w:div w:id="1801921763">
      <w:bodyDiv w:val="1"/>
      <w:marLeft w:val="0"/>
      <w:marRight w:val="0"/>
      <w:marTop w:val="0"/>
      <w:marBottom w:val="0"/>
      <w:divBdr>
        <w:top w:val="none" w:sz="0" w:space="0" w:color="auto"/>
        <w:left w:val="none" w:sz="0" w:space="0" w:color="auto"/>
        <w:bottom w:val="none" w:sz="0" w:space="0" w:color="auto"/>
        <w:right w:val="none" w:sz="0" w:space="0" w:color="auto"/>
      </w:divBdr>
    </w:div>
    <w:div w:id="1900482896">
      <w:bodyDiv w:val="1"/>
      <w:marLeft w:val="0"/>
      <w:marRight w:val="0"/>
      <w:marTop w:val="0"/>
      <w:marBottom w:val="0"/>
      <w:divBdr>
        <w:top w:val="none" w:sz="0" w:space="0" w:color="auto"/>
        <w:left w:val="none" w:sz="0" w:space="0" w:color="auto"/>
        <w:bottom w:val="none" w:sz="0" w:space="0" w:color="auto"/>
        <w:right w:val="none" w:sz="0" w:space="0" w:color="auto"/>
      </w:divBdr>
    </w:div>
    <w:div w:id="1966352612">
      <w:bodyDiv w:val="1"/>
      <w:marLeft w:val="0"/>
      <w:marRight w:val="0"/>
      <w:marTop w:val="0"/>
      <w:marBottom w:val="0"/>
      <w:divBdr>
        <w:top w:val="none" w:sz="0" w:space="0" w:color="auto"/>
        <w:left w:val="none" w:sz="0" w:space="0" w:color="auto"/>
        <w:bottom w:val="none" w:sz="0" w:space="0" w:color="auto"/>
        <w:right w:val="none" w:sz="0" w:space="0" w:color="auto"/>
      </w:divBdr>
    </w:div>
    <w:div w:id="1969780564">
      <w:bodyDiv w:val="1"/>
      <w:marLeft w:val="0"/>
      <w:marRight w:val="0"/>
      <w:marTop w:val="0"/>
      <w:marBottom w:val="0"/>
      <w:divBdr>
        <w:top w:val="none" w:sz="0" w:space="0" w:color="auto"/>
        <w:left w:val="none" w:sz="0" w:space="0" w:color="auto"/>
        <w:bottom w:val="none" w:sz="0" w:space="0" w:color="auto"/>
        <w:right w:val="none" w:sz="0" w:space="0" w:color="auto"/>
      </w:divBdr>
    </w:div>
    <w:div w:id="2068409558">
      <w:bodyDiv w:val="1"/>
      <w:marLeft w:val="0"/>
      <w:marRight w:val="0"/>
      <w:marTop w:val="0"/>
      <w:marBottom w:val="0"/>
      <w:divBdr>
        <w:top w:val="none" w:sz="0" w:space="0" w:color="auto"/>
        <w:left w:val="none" w:sz="0" w:space="0" w:color="auto"/>
        <w:bottom w:val="none" w:sz="0" w:space="0" w:color="auto"/>
        <w:right w:val="none" w:sz="0" w:space="0" w:color="auto"/>
      </w:divBdr>
    </w:div>
    <w:div w:id="209224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58</TotalTime>
  <Pages>10</Pages>
  <Words>2836</Words>
  <Characters>17820</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2025040359 mt</dc:description>
  <cp:lastModifiedBy>Hanne Thy Iversen</cp:lastModifiedBy>
  <cp:revision>11</cp:revision>
  <cp:lastPrinted>2012-08-22T08:53:00Z</cp:lastPrinted>
  <dcterms:created xsi:type="dcterms:W3CDTF">2025-10-02T11:04:00Z</dcterms:created>
  <dcterms:modified xsi:type="dcterms:W3CDTF">2025-10-02T13:02:00Z</dcterms:modified>
</cp:coreProperties>
</file>