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458" w:rsidRPr="008F49E1" w:rsidRDefault="00F63458" w:rsidP="00F63458">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79C582AA" wp14:editId="2932BC2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F63458" w:rsidRPr="00C84483" w:rsidRDefault="00F63458" w:rsidP="00F63458">
      <w:pPr>
        <w:pStyle w:val="Titel"/>
        <w:tabs>
          <w:tab w:val="right" w:pos="9356"/>
        </w:tabs>
        <w:jc w:val="left"/>
        <w:rPr>
          <w:b w:val="0"/>
          <w:szCs w:val="24"/>
          <w:lang w:eastAsia="en-US"/>
        </w:rPr>
      </w:pPr>
      <w:r w:rsidRPr="00C84483">
        <w:rPr>
          <w:b w:val="0"/>
          <w:szCs w:val="24"/>
          <w:lang w:eastAsia="en-US"/>
        </w:rPr>
        <w:tab/>
      </w:r>
      <w:r w:rsidR="00F573B2">
        <w:rPr>
          <w:szCs w:val="24"/>
        </w:rPr>
        <w:t>8</w:t>
      </w:r>
      <w:r>
        <w:rPr>
          <w:szCs w:val="24"/>
        </w:rPr>
        <w:t xml:space="preserve">. </w:t>
      </w:r>
      <w:r w:rsidR="00F573B2">
        <w:rPr>
          <w:szCs w:val="24"/>
        </w:rPr>
        <w:t>november</w:t>
      </w:r>
      <w:r>
        <w:rPr>
          <w:szCs w:val="24"/>
        </w:rPr>
        <w:t xml:space="preserve"> 20</w:t>
      </w:r>
      <w:r w:rsidR="00F573B2">
        <w:rPr>
          <w:szCs w:val="24"/>
        </w:rPr>
        <w:t>23</w:t>
      </w:r>
    </w:p>
    <w:p w:rsidR="00F63458" w:rsidRPr="00C84483" w:rsidRDefault="00F63458" w:rsidP="00F63458">
      <w:pPr>
        <w:pStyle w:val="Titel"/>
        <w:tabs>
          <w:tab w:val="left" w:pos="8222"/>
        </w:tabs>
        <w:jc w:val="left"/>
        <w:rPr>
          <w:b w:val="0"/>
          <w:szCs w:val="24"/>
        </w:rPr>
      </w:pPr>
    </w:p>
    <w:p w:rsidR="00F63458" w:rsidRPr="00C84483" w:rsidRDefault="00F63458" w:rsidP="00F63458">
      <w:pPr>
        <w:pStyle w:val="Titel"/>
        <w:jc w:val="left"/>
        <w:rPr>
          <w:b w:val="0"/>
          <w:szCs w:val="24"/>
        </w:rPr>
      </w:pPr>
    </w:p>
    <w:p w:rsidR="00F63458" w:rsidRPr="00C84483" w:rsidRDefault="00F63458" w:rsidP="00F63458">
      <w:pPr>
        <w:jc w:val="center"/>
        <w:rPr>
          <w:b/>
          <w:sz w:val="24"/>
          <w:szCs w:val="24"/>
        </w:rPr>
      </w:pPr>
      <w:r w:rsidRPr="00C84483">
        <w:rPr>
          <w:b/>
          <w:sz w:val="24"/>
          <w:szCs w:val="24"/>
        </w:rPr>
        <w:t>PRODUKTRESUMÉ</w:t>
      </w:r>
    </w:p>
    <w:p w:rsidR="00F63458" w:rsidRPr="00C84483" w:rsidRDefault="00F63458" w:rsidP="00F63458">
      <w:pPr>
        <w:jc w:val="center"/>
        <w:rPr>
          <w:b/>
          <w:sz w:val="24"/>
          <w:szCs w:val="24"/>
        </w:rPr>
      </w:pPr>
    </w:p>
    <w:p w:rsidR="00F63458" w:rsidRDefault="00F63458" w:rsidP="00F63458">
      <w:pPr>
        <w:jc w:val="center"/>
        <w:rPr>
          <w:b/>
          <w:sz w:val="24"/>
          <w:szCs w:val="24"/>
        </w:rPr>
      </w:pPr>
      <w:r w:rsidRPr="00C84483">
        <w:rPr>
          <w:b/>
          <w:sz w:val="24"/>
          <w:szCs w:val="24"/>
        </w:rPr>
        <w:t>for</w:t>
      </w:r>
    </w:p>
    <w:p w:rsidR="00F63458" w:rsidRPr="00C84483" w:rsidRDefault="00F63458" w:rsidP="00F63458">
      <w:pPr>
        <w:jc w:val="center"/>
        <w:rPr>
          <w:b/>
          <w:sz w:val="24"/>
          <w:szCs w:val="24"/>
        </w:rPr>
      </w:pPr>
    </w:p>
    <w:p w:rsidR="00F63458" w:rsidRPr="00C84483" w:rsidRDefault="00F63458" w:rsidP="00F63458">
      <w:pPr>
        <w:jc w:val="center"/>
        <w:rPr>
          <w:b/>
          <w:sz w:val="24"/>
          <w:szCs w:val="24"/>
        </w:rPr>
      </w:pPr>
      <w:r>
        <w:rPr>
          <w:b/>
          <w:sz w:val="24"/>
          <w:szCs w:val="24"/>
        </w:rPr>
        <w:t>Paracetamol "</w:t>
      </w:r>
      <w:proofErr w:type="spellStart"/>
      <w:r>
        <w:rPr>
          <w:b/>
          <w:sz w:val="24"/>
          <w:szCs w:val="24"/>
        </w:rPr>
        <w:t>Nutra</w:t>
      </w:r>
      <w:proofErr w:type="spellEnd"/>
      <w:r>
        <w:rPr>
          <w:b/>
          <w:sz w:val="24"/>
          <w:szCs w:val="24"/>
        </w:rPr>
        <w:t xml:space="preserve"> </w:t>
      </w:r>
      <w:proofErr w:type="spellStart"/>
      <w:r>
        <w:rPr>
          <w:b/>
          <w:sz w:val="24"/>
          <w:szCs w:val="24"/>
        </w:rPr>
        <w:t>Essential</w:t>
      </w:r>
      <w:proofErr w:type="spellEnd"/>
      <w:r>
        <w:rPr>
          <w:b/>
          <w:sz w:val="24"/>
          <w:szCs w:val="24"/>
        </w:rPr>
        <w:t>", tabletter</w:t>
      </w:r>
    </w:p>
    <w:p w:rsidR="00F63458" w:rsidRPr="00C84483" w:rsidRDefault="00F63458" w:rsidP="00F63458">
      <w:pPr>
        <w:jc w:val="both"/>
        <w:rPr>
          <w:sz w:val="24"/>
          <w:szCs w:val="24"/>
        </w:rPr>
      </w:pPr>
    </w:p>
    <w:p w:rsidR="00F63458" w:rsidRPr="00C84483" w:rsidRDefault="00F63458" w:rsidP="00F63458">
      <w:pPr>
        <w:jc w:val="both"/>
        <w:rPr>
          <w:sz w:val="24"/>
          <w:szCs w:val="24"/>
        </w:rPr>
      </w:pPr>
    </w:p>
    <w:p w:rsidR="00F63458" w:rsidRPr="00C84483" w:rsidRDefault="00F63458" w:rsidP="00F63458">
      <w:pPr>
        <w:tabs>
          <w:tab w:val="left" w:pos="851"/>
        </w:tabs>
        <w:ind w:left="851" w:hanging="851"/>
        <w:rPr>
          <w:b/>
          <w:sz w:val="24"/>
          <w:szCs w:val="24"/>
        </w:rPr>
      </w:pPr>
      <w:r w:rsidRPr="00C84483">
        <w:rPr>
          <w:b/>
          <w:sz w:val="24"/>
          <w:szCs w:val="24"/>
        </w:rPr>
        <w:t>0.</w:t>
      </w:r>
      <w:r w:rsidRPr="00C84483">
        <w:rPr>
          <w:b/>
          <w:sz w:val="24"/>
          <w:szCs w:val="24"/>
        </w:rPr>
        <w:tab/>
        <w:t>D.SP.NR.</w:t>
      </w:r>
    </w:p>
    <w:p w:rsidR="00F63458" w:rsidRPr="00C84483" w:rsidRDefault="00F63458" w:rsidP="00F63458">
      <w:pPr>
        <w:tabs>
          <w:tab w:val="left" w:pos="851"/>
        </w:tabs>
        <w:ind w:left="851"/>
        <w:rPr>
          <w:sz w:val="24"/>
          <w:szCs w:val="24"/>
        </w:rPr>
      </w:pPr>
      <w:r>
        <w:rPr>
          <w:sz w:val="24"/>
          <w:szCs w:val="24"/>
        </w:rPr>
        <w:t>30500</w:t>
      </w:r>
    </w:p>
    <w:p w:rsidR="00F63458" w:rsidRPr="00C84483" w:rsidRDefault="00F63458" w:rsidP="00F63458">
      <w:pPr>
        <w:tabs>
          <w:tab w:val="left" w:pos="851"/>
        </w:tabs>
        <w:ind w:left="851"/>
        <w:rPr>
          <w:sz w:val="24"/>
          <w:szCs w:val="24"/>
        </w:rPr>
      </w:pPr>
    </w:p>
    <w:p w:rsidR="00F63458" w:rsidRPr="00C84483" w:rsidRDefault="00F63458" w:rsidP="00F63458">
      <w:pPr>
        <w:tabs>
          <w:tab w:val="left" w:pos="851"/>
        </w:tabs>
        <w:ind w:left="851" w:hanging="851"/>
        <w:rPr>
          <w:b/>
          <w:sz w:val="24"/>
          <w:szCs w:val="24"/>
        </w:rPr>
      </w:pPr>
      <w:r w:rsidRPr="00C84483">
        <w:rPr>
          <w:b/>
          <w:sz w:val="24"/>
          <w:szCs w:val="24"/>
        </w:rPr>
        <w:t>1.</w:t>
      </w:r>
      <w:r w:rsidRPr="00C84483">
        <w:rPr>
          <w:b/>
          <w:sz w:val="24"/>
          <w:szCs w:val="24"/>
        </w:rPr>
        <w:tab/>
        <w:t>LÆGEMIDLETS NAVN</w:t>
      </w:r>
    </w:p>
    <w:p w:rsidR="00F63458" w:rsidRPr="00C84483" w:rsidRDefault="00F63458" w:rsidP="00F63458">
      <w:pPr>
        <w:tabs>
          <w:tab w:val="left" w:pos="851"/>
        </w:tabs>
        <w:ind w:left="851"/>
        <w:rPr>
          <w:sz w:val="24"/>
          <w:szCs w:val="24"/>
        </w:rPr>
      </w:pPr>
      <w:r>
        <w:rPr>
          <w:sz w:val="24"/>
          <w:szCs w:val="24"/>
        </w:rPr>
        <w:t>Paracetamol "</w:t>
      </w:r>
      <w:proofErr w:type="spellStart"/>
      <w:r>
        <w:rPr>
          <w:sz w:val="24"/>
          <w:szCs w:val="24"/>
        </w:rPr>
        <w:t>Nutra</w:t>
      </w:r>
      <w:proofErr w:type="spellEnd"/>
      <w:r>
        <w:rPr>
          <w:sz w:val="24"/>
          <w:szCs w:val="24"/>
        </w:rPr>
        <w:t xml:space="preserve"> </w:t>
      </w:r>
      <w:proofErr w:type="spellStart"/>
      <w:r>
        <w:rPr>
          <w:sz w:val="24"/>
          <w:szCs w:val="24"/>
        </w:rPr>
        <w:t>Essential</w:t>
      </w:r>
      <w:proofErr w:type="spellEnd"/>
      <w:r>
        <w:rPr>
          <w:sz w:val="24"/>
          <w:szCs w:val="24"/>
        </w:rPr>
        <w:t>"</w:t>
      </w:r>
    </w:p>
    <w:p w:rsidR="00F63458" w:rsidRPr="00C84483" w:rsidRDefault="00F63458" w:rsidP="00F63458">
      <w:pPr>
        <w:tabs>
          <w:tab w:val="left" w:pos="851"/>
        </w:tabs>
        <w:ind w:left="851"/>
        <w:rPr>
          <w:sz w:val="24"/>
          <w:szCs w:val="24"/>
        </w:rPr>
      </w:pPr>
    </w:p>
    <w:p w:rsidR="00F63458" w:rsidRPr="00C84483" w:rsidRDefault="00F63458" w:rsidP="00F63458">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F63458" w:rsidRDefault="00F63458" w:rsidP="00F63458">
      <w:pPr>
        <w:ind w:left="851" w:hanging="10"/>
        <w:rPr>
          <w:color w:val="000000"/>
          <w:sz w:val="24"/>
          <w:szCs w:val="24"/>
          <w:lang w:eastAsia="da-DK"/>
        </w:rPr>
      </w:pPr>
      <w:r w:rsidRPr="00840D7C">
        <w:rPr>
          <w:color w:val="000000"/>
          <w:sz w:val="24"/>
          <w:szCs w:val="24"/>
          <w:lang w:eastAsia="da-DK"/>
        </w:rPr>
        <w:t>Hver tablet indeholder 500 mg paracetamol.</w:t>
      </w:r>
    </w:p>
    <w:p w:rsidR="00F63458" w:rsidRPr="00840D7C" w:rsidRDefault="00F63458" w:rsidP="00F63458">
      <w:pPr>
        <w:ind w:left="851" w:hanging="10"/>
        <w:rPr>
          <w:color w:val="000000"/>
          <w:sz w:val="24"/>
          <w:szCs w:val="24"/>
          <w:lang w:eastAsia="da-DK"/>
        </w:rPr>
      </w:pPr>
    </w:p>
    <w:p w:rsidR="00F63458" w:rsidRPr="00006105" w:rsidRDefault="00F63458" w:rsidP="00F63458">
      <w:pPr>
        <w:ind w:left="851" w:hanging="10"/>
        <w:rPr>
          <w:color w:val="000000"/>
          <w:sz w:val="24"/>
          <w:szCs w:val="24"/>
          <w:lang w:eastAsia="da-DK"/>
        </w:rPr>
      </w:pPr>
      <w:r w:rsidRPr="00840D7C">
        <w:rPr>
          <w:color w:val="000000"/>
          <w:sz w:val="24"/>
          <w:szCs w:val="24"/>
          <w:lang w:eastAsia="da-DK"/>
        </w:rPr>
        <w:t>Alle hjælpestoffer er anført under pkt. 6.1.</w:t>
      </w:r>
    </w:p>
    <w:p w:rsidR="00F63458" w:rsidRPr="00C84483" w:rsidRDefault="00F63458" w:rsidP="00F63458">
      <w:pPr>
        <w:tabs>
          <w:tab w:val="left" w:pos="851"/>
        </w:tabs>
        <w:ind w:left="851"/>
        <w:rPr>
          <w:sz w:val="24"/>
          <w:szCs w:val="24"/>
        </w:rPr>
      </w:pPr>
    </w:p>
    <w:p w:rsidR="00F63458" w:rsidRPr="00C84483" w:rsidRDefault="00F63458" w:rsidP="00F63458">
      <w:pPr>
        <w:tabs>
          <w:tab w:val="left" w:pos="851"/>
        </w:tabs>
        <w:ind w:left="851" w:hanging="851"/>
        <w:rPr>
          <w:b/>
          <w:sz w:val="24"/>
          <w:szCs w:val="24"/>
        </w:rPr>
      </w:pPr>
      <w:r w:rsidRPr="00C84483">
        <w:rPr>
          <w:b/>
          <w:sz w:val="24"/>
          <w:szCs w:val="24"/>
        </w:rPr>
        <w:t>3.</w:t>
      </w:r>
      <w:r w:rsidRPr="00C84483">
        <w:rPr>
          <w:b/>
          <w:sz w:val="24"/>
          <w:szCs w:val="24"/>
        </w:rPr>
        <w:tab/>
        <w:t>LÆGEMIDDELFORM</w:t>
      </w:r>
    </w:p>
    <w:p w:rsidR="00F63458" w:rsidRDefault="00F63458" w:rsidP="00F63458">
      <w:pPr>
        <w:ind w:left="851" w:hanging="10"/>
        <w:rPr>
          <w:color w:val="000000"/>
          <w:sz w:val="24"/>
          <w:szCs w:val="24"/>
          <w:lang w:eastAsia="da-DK"/>
        </w:rPr>
      </w:pPr>
      <w:r>
        <w:rPr>
          <w:color w:val="000000"/>
          <w:sz w:val="24"/>
          <w:szCs w:val="24"/>
          <w:lang w:eastAsia="da-DK"/>
        </w:rPr>
        <w:t>Tabletter</w:t>
      </w:r>
    </w:p>
    <w:p w:rsidR="00F63458" w:rsidRPr="00840D7C" w:rsidRDefault="00F63458" w:rsidP="00F63458">
      <w:pPr>
        <w:ind w:left="851" w:hanging="10"/>
        <w:rPr>
          <w:color w:val="000000"/>
          <w:sz w:val="24"/>
          <w:szCs w:val="24"/>
          <w:lang w:eastAsia="da-DK"/>
        </w:rPr>
      </w:pPr>
    </w:p>
    <w:p w:rsidR="00F63458" w:rsidRDefault="00F63458" w:rsidP="00F63458">
      <w:pPr>
        <w:ind w:left="851" w:hanging="10"/>
        <w:rPr>
          <w:color w:val="000000"/>
          <w:sz w:val="24"/>
          <w:szCs w:val="24"/>
          <w:lang w:eastAsia="da-DK"/>
        </w:rPr>
      </w:pPr>
      <w:r w:rsidRPr="00840D7C">
        <w:rPr>
          <w:color w:val="000000"/>
          <w:sz w:val="24"/>
          <w:szCs w:val="24"/>
          <w:lang w:eastAsia="da-DK"/>
        </w:rPr>
        <w:t xml:space="preserve">Hvide, aflange, </w:t>
      </w:r>
      <w:proofErr w:type="spellStart"/>
      <w:r w:rsidRPr="00840D7C">
        <w:rPr>
          <w:color w:val="000000"/>
          <w:sz w:val="24"/>
          <w:szCs w:val="24"/>
          <w:lang w:eastAsia="da-DK"/>
        </w:rPr>
        <w:t>bik</w:t>
      </w:r>
      <w:r>
        <w:rPr>
          <w:color w:val="000000"/>
          <w:sz w:val="24"/>
          <w:szCs w:val="24"/>
          <w:lang w:eastAsia="da-DK"/>
        </w:rPr>
        <w:t>onvekse</w:t>
      </w:r>
      <w:proofErr w:type="spellEnd"/>
      <w:r>
        <w:rPr>
          <w:color w:val="000000"/>
          <w:sz w:val="24"/>
          <w:szCs w:val="24"/>
          <w:lang w:eastAsia="da-DK"/>
        </w:rPr>
        <w:t xml:space="preserve"> tabletter med delekærv.</w:t>
      </w:r>
    </w:p>
    <w:p w:rsidR="00F63458" w:rsidRPr="00840D7C" w:rsidRDefault="00F63458" w:rsidP="00F63458">
      <w:pPr>
        <w:ind w:left="851" w:hanging="10"/>
        <w:rPr>
          <w:color w:val="000000"/>
          <w:sz w:val="24"/>
          <w:szCs w:val="24"/>
          <w:lang w:eastAsia="da-DK"/>
        </w:rPr>
      </w:pPr>
      <w:r w:rsidRPr="00840D7C">
        <w:rPr>
          <w:color w:val="000000"/>
          <w:sz w:val="24"/>
          <w:szCs w:val="24"/>
          <w:lang w:eastAsia="da-DK"/>
        </w:rPr>
        <w:t>Tab</w:t>
      </w:r>
      <w:r>
        <w:rPr>
          <w:color w:val="000000"/>
          <w:sz w:val="24"/>
          <w:szCs w:val="24"/>
          <w:lang w:eastAsia="da-DK"/>
        </w:rPr>
        <w:t>letten måler 18,6 mm (længde)×</w:t>
      </w:r>
      <w:r w:rsidRPr="00840D7C">
        <w:rPr>
          <w:color w:val="000000"/>
          <w:sz w:val="24"/>
          <w:szCs w:val="24"/>
          <w:lang w:eastAsia="da-DK"/>
        </w:rPr>
        <w:t>8,4 mm (bredde).</w:t>
      </w:r>
    </w:p>
    <w:p w:rsidR="00F63458" w:rsidRPr="006C2074" w:rsidRDefault="00F63458" w:rsidP="00F63458">
      <w:pPr>
        <w:ind w:left="851" w:hanging="10"/>
        <w:rPr>
          <w:color w:val="000000"/>
          <w:sz w:val="24"/>
          <w:szCs w:val="24"/>
          <w:lang w:eastAsia="da-DK"/>
        </w:rPr>
      </w:pPr>
      <w:r w:rsidRPr="00840D7C">
        <w:rPr>
          <w:color w:val="000000"/>
          <w:sz w:val="24"/>
          <w:szCs w:val="24"/>
          <w:lang w:eastAsia="da-DK"/>
        </w:rPr>
        <w:t>Tabletten kan deles i to lige store doser.</w:t>
      </w:r>
    </w:p>
    <w:p w:rsidR="00F63458" w:rsidRPr="00C84483" w:rsidRDefault="00F63458" w:rsidP="00F63458">
      <w:pPr>
        <w:tabs>
          <w:tab w:val="left" w:pos="851"/>
        </w:tabs>
        <w:ind w:left="851"/>
        <w:rPr>
          <w:sz w:val="24"/>
          <w:szCs w:val="24"/>
        </w:rPr>
      </w:pPr>
    </w:p>
    <w:p w:rsidR="00F63458" w:rsidRPr="00C84483" w:rsidRDefault="00F63458" w:rsidP="00F63458">
      <w:pPr>
        <w:tabs>
          <w:tab w:val="left" w:pos="851"/>
        </w:tabs>
        <w:ind w:left="851"/>
        <w:rPr>
          <w:sz w:val="24"/>
          <w:szCs w:val="24"/>
        </w:rPr>
      </w:pPr>
    </w:p>
    <w:p w:rsidR="00F63458" w:rsidRPr="00C84483" w:rsidRDefault="00F63458" w:rsidP="00F63458">
      <w:pPr>
        <w:tabs>
          <w:tab w:val="left" w:pos="851"/>
        </w:tabs>
        <w:ind w:left="851" w:hanging="851"/>
        <w:rPr>
          <w:b/>
          <w:sz w:val="24"/>
          <w:szCs w:val="24"/>
        </w:rPr>
      </w:pPr>
      <w:r w:rsidRPr="00C84483">
        <w:rPr>
          <w:b/>
          <w:sz w:val="24"/>
          <w:szCs w:val="24"/>
        </w:rPr>
        <w:t>4.</w:t>
      </w:r>
      <w:r w:rsidRPr="00C84483">
        <w:rPr>
          <w:b/>
          <w:sz w:val="24"/>
          <w:szCs w:val="24"/>
        </w:rPr>
        <w:tab/>
        <w:t>KLINISKE OPLYSNINGER</w:t>
      </w:r>
    </w:p>
    <w:p w:rsidR="00F63458" w:rsidRPr="00C84483" w:rsidRDefault="00F63458" w:rsidP="00F63458">
      <w:pPr>
        <w:tabs>
          <w:tab w:val="left" w:pos="851"/>
        </w:tabs>
        <w:ind w:left="851"/>
        <w:rPr>
          <w:b/>
          <w:sz w:val="24"/>
          <w:szCs w:val="24"/>
        </w:rPr>
      </w:pPr>
    </w:p>
    <w:p w:rsidR="00F63458" w:rsidRPr="00C84483" w:rsidRDefault="00F63458" w:rsidP="00F63458">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F63458" w:rsidRPr="006C2074" w:rsidRDefault="00F63458" w:rsidP="00F63458">
      <w:pPr>
        <w:ind w:left="851" w:hanging="10"/>
        <w:rPr>
          <w:color w:val="000000"/>
          <w:sz w:val="24"/>
          <w:szCs w:val="24"/>
          <w:lang w:eastAsia="da-DK"/>
        </w:rPr>
      </w:pPr>
      <w:r w:rsidRPr="00840D7C">
        <w:rPr>
          <w:color w:val="000000"/>
          <w:sz w:val="24"/>
          <w:szCs w:val="24"/>
          <w:lang w:eastAsia="da-DK"/>
        </w:rPr>
        <w:t>Til behandling af smertefulde og/eller febrile tilstande, såsom mild til moderat smerte og feber i forbindelse med forkølelse og influenza, hovedpine, muskelsmerter og tandpine.</w:t>
      </w:r>
    </w:p>
    <w:p w:rsidR="00F63458" w:rsidRPr="00C84483" w:rsidRDefault="00F63458" w:rsidP="00F63458">
      <w:pPr>
        <w:tabs>
          <w:tab w:val="left" w:pos="851"/>
        </w:tabs>
        <w:ind w:left="851"/>
        <w:rPr>
          <w:sz w:val="24"/>
          <w:szCs w:val="24"/>
        </w:rPr>
      </w:pPr>
    </w:p>
    <w:p w:rsidR="00F63458" w:rsidRPr="00C84483" w:rsidRDefault="00F63458" w:rsidP="00F63458">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F573B2">
        <w:rPr>
          <w:b/>
          <w:sz w:val="24"/>
          <w:szCs w:val="24"/>
        </w:rPr>
        <w:t>administration</w:t>
      </w:r>
    </w:p>
    <w:p w:rsidR="00F63458" w:rsidRDefault="00F63458" w:rsidP="00F63458">
      <w:pPr>
        <w:ind w:left="851" w:hanging="10"/>
        <w:rPr>
          <w:color w:val="000000"/>
          <w:sz w:val="24"/>
          <w:szCs w:val="24"/>
          <w:u w:val="single"/>
          <w:lang w:eastAsia="da-DK"/>
        </w:rPr>
      </w:pPr>
    </w:p>
    <w:p w:rsidR="00F63458" w:rsidRPr="00840D7C" w:rsidRDefault="00F63458" w:rsidP="00F63458">
      <w:pPr>
        <w:ind w:left="851" w:hanging="10"/>
        <w:rPr>
          <w:b/>
          <w:color w:val="000000"/>
          <w:sz w:val="24"/>
          <w:szCs w:val="24"/>
          <w:lang w:eastAsia="da-DK"/>
        </w:rPr>
      </w:pPr>
      <w:r w:rsidRPr="00840D7C">
        <w:rPr>
          <w:b/>
          <w:color w:val="000000"/>
          <w:sz w:val="24"/>
          <w:szCs w:val="24"/>
          <w:lang w:eastAsia="da-DK"/>
        </w:rPr>
        <w:t>Dosering</w:t>
      </w:r>
    </w:p>
    <w:p w:rsidR="00F63458" w:rsidRPr="00840D7C" w:rsidRDefault="00F63458" w:rsidP="00F63458">
      <w:pPr>
        <w:ind w:left="851" w:hanging="10"/>
        <w:rPr>
          <w:color w:val="000000"/>
          <w:sz w:val="24"/>
          <w:szCs w:val="24"/>
          <w:lang w:eastAsia="da-DK"/>
        </w:rPr>
      </w:pPr>
    </w:p>
    <w:p w:rsidR="00F63458" w:rsidRPr="00840D7C" w:rsidRDefault="00F63458" w:rsidP="00F63458">
      <w:pPr>
        <w:ind w:left="851" w:hanging="10"/>
        <w:rPr>
          <w:color w:val="000000"/>
          <w:sz w:val="24"/>
          <w:szCs w:val="24"/>
          <w:u w:val="single"/>
          <w:lang w:eastAsia="da-DK"/>
        </w:rPr>
      </w:pPr>
      <w:r>
        <w:rPr>
          <w:color w:val="000000"/>
          <w:sz w:val="24"/>
          <w:szCs w:val="24"/>
          <w:u w:val="single"/>
          <w:lang w:eastAsia="da-DK"/>
        </w:rPr>
        <w:t>Voksne</w:t>
      </w:r>
    </w:p>
    <w:p w:rsidR="00F63458" w:rsidRPr="00840D7C" w:rsidRDefault="00F63458" w:rsidP="00F63458">
      <w:pPr>
        <w:ind w:left="851" w:hanging="10"/>
        <w:rPr>
          <w:color w:val="000000"/>
          <w:sz w:val="24"/>
          <w:szCs w:val="24"/>
          <w:lang w:eastAsia="da-DK"/>
        </w:rPr>
      </w:pPr>
      <w:r w:rsidRPr="00840D7C">
        <w:rPr>
          <w:color w:val="000000"/>
          <w:sz w:val="24"/>
          <w:szCs w:val="24"/>
          <w:lang w:eastAsia="da-DK"/>
        </w:rPr>
        <w:t xml:space="preserve">1-2 tabletter fire gange om dagen. Doserne skal tages med mindst 4 timers mellemrum. </w:t>
      </w:r>
    </w:p>
    <w:p w:rsidR="00F63458" w:rsidRPr="00840D7C" w:rsidRDefault="00F63458" w:rsidP="00F63458">
      <w:pPr>
        <w:ind w:left="851" w:hanging="10"/>
        <w:rPr>
          <w:color w:val="000000"/>
          <w:sz w:val="24"/>
          <w:szCs w:val="24"/>
          <w:lang w:eastAsia="da-DK"/>
        </w:rPr>
      </w:pPr>
      <w:r w:rsidRPr="00840D7C">
        <w:rPr>
          <w:color w:val="000000"/>
          <w:sz w:val="24"/>
          <w:szCs w:val="24"/>
          <w:lang w:eastAsia="da-DK"/>
        </w:rPr>
        <w:t xml:space="preserve">Doseringen må ikke overstige 4 g (8 tabletter) i døgnet. </w:t>
      </w:r>
    </w:p>
    <w:p w:rsidR="00F63458" w:rsidRDefault="00F63458" w:rsidP="00F63458">
      <w:pPr>
        <w:rPr>
          <w:color w:val="000000"/>
          <w:sz w:val="24"/>
          <w:szCs w:val="24"/>
          <w:lang w:eastAsia="da-DK"/>
        </w:rPr>
      </w:pPr>
      <w:r>
        <w:rPr>
          <w:color w:val="000000"/>
          <w:sz w:val="24"/>
          <w:szCs w:val="24"/>
          <w:lang w:eastAsia="da-DK"/>
        </w:rPr>
        <w:br w:type="page"/>
      </w:r>
    </w:p>
    <w:p w:rsidR="00F63458" w:rsidRPr="00840D7C" w:rsidRDefault="00F63458" w:rsidP="00F63458">
      <w:pPr>
        <w:ind w:left="851" w:hanging="10"/>
        <w:rPr>
          <w:color w:val="000000"/>
          <w:sz w:val="24"/>
          <w:szCs w:val="24"/>
          <w:lang w:eastAsia="da-DK"/>
        </w:rPr>
      </w:pPr>
    </w:p>
    <w:p w:rsidR="00F63458" w:rsidRPr="00840D7C" w:rsidRDefault="00F63458" w:rsidP="00F63458">
      <w:pPr>
        <w:ind w:left="851" w:hanging="10"/>
        <w:rPr>
          <w:color w:val="000000"/>
          <w:sz w:val="24"/>
          <w:szCs w:val="24"/>
          <w:u w:val="single"/>
          <w:lang w:eastAsia="da-DK"/>
        </w:rPr>
      </w:pPr>
      <w:r>
        <w:rPr>
          <w:color w:val="000000"/>
          <w:sz w:val="24"/>
          <w:szCs w:val="24"/>
          <w:u w:val="single"/>
          <w:lang w:eastAsia="da-DK"/>
        </w:rPr>
        <w:t>Pædiatrisk population</w:t>
      </w:r>
    </w:p>
    <w:p w:rsidR="00F63458" w:rsidRDefault="00F63458" w:rsidP="00F63458">
      <w:pPr>
        <w:ind w:left="851" w:hanging="10"/>
        <w:rPr>
          <w:b/>
          <w:color w:val="000000"/>
          <w:sz w:val="24"/>
          <w:szCs w:val="24"/>
          <w:lang w:eastAsia="da-DK"/>
        </w:rPr>
      </w:pPr>
      <w:r w:rsidRPr="00840D7C">
        <w:rPr>
          <w:b/>
          <w:color w:val="000000"/>
          <w:sz w:val="24"/>
          <w:szCs w:val="24"/>
          <w:lang w:eastAsia="da-DK"/>
        </w:rPr>
        <w:t>De vægtbaserede doser skal overholdes.</w:t>
      </w:r>
    </w:p>
    <w:p w:rsidR="00F63458" w:rsidRPr="00840D7C" w:rsidRDefault="00F63458" w:rsidP="00F63458">
      <w:pPr>
        <w:ind w:left="851" w:hanging="10"/>
        <w:rPr>
          <w:color w:val="000000"/>
          <w:sz w:val="24"/>
          <w:szCs w:val="24"/>
          <w:lang w:eastAsia="da-DK"/>
        </w:rPr>
      </w:pPr>
      <w:r w:rsidRPr="00840D7C">
        <w:rPr>
          <w:color w:val="000000"/>
          <w:sz w:val="24"/>
          <w:szCs w:val="24"/>
          <w:lang w:eastAsia="da-DK"/>
        </w:rPr>
        <w:t xml:space="preserve">Barnets alder i forhold til vægt er kun vejledende. </w:t>
      </w:r>
    </w:p>
    <w:p w:rsidR="00F63458" w:rsidRPr="00840D7C" w:rsidRDefault="00F63458" w:rsidP="00F63458">
      <w:pPr>
        <w:ind w:left="851" w:hanging="10"/>
        <w:rPr>
          <w:color w:val="000000"/>
          <w:sz w:val="24"/>
          <w:szCs w:val="24"/>
          <w:u w:val="single"/>
          <w:lang w:eastAsia="da-DK"/>
        </w:rPr>
      </w:pPr>
      <w:r w:rsidRPr="00840D7C">
        <w:rPr>
          <w:color w:val="000000"/>
          <w:sz w:val="24"/>
          <w:szCs w:val="24"/>
          <w:lang w:eastAsia="da-DK"/>
        </w:rPr>
        <w:t xml:space="preserve">Den anbefalede daglige dosis af paracetamol er cirka 60 mg/kg/dag, som fordeles på 4 eller 6 daglige doser, dvs. </w:t>
      </w:r>
      <w:r w:rsidRPr="00840D7C">
        <w:rPr>
          <w:color w:val="000000"/>
          <w:sz w:val="24"/>
          <w:szCs w:val="24"/>
          <w:u w:val="single"/>
          <w:lang w:eastAsia="da-DK"/>
        </w:rPr>
        <w:t>15 mg/kg hver 6. time.</w:t>
      </w:r>
    </w:p>
    <w:p w:rsidR="00F63458" w:rsidRPr="00840D7C" w:rsidRDefault="00F63458" w:rsidP="00F63458">
      <w:pPr>
        <w:ind w:left="851" w:hanging="10"/>
        <w:rPr>
          <w:color w:val="000000"/>
          <w:sz w:val="24"/>
          <w:szCs w:val="24"/>
          <w:lang w:eastAsia="da-DK"/>
        </w:rPr>
      </w:pPr>
    </w:p>
    <w:p w:rsidR="00F63458" w:rsidRPr="00840D7C" w:rsidRDefault="00F63458" w:rsidP="00F63458">
      <w:pPr>
        <w:ind w:left="851" w:hanging="10"/>
        <w:rPr>
          <w:i/>
          <w:color w:val="000000"/>
          <w:sz w:val="24"/>
          <w:szCs w:val="24"/>
          <w:lang w:eastAsia="da-DK"/>
        </w:rPr>
      </w:pPr>
      <w:r w:rsidRPr="00840D7C">
        <w:rPr>
          <w:i/>
          <w:color w:val="000000"/>
          <w:sz w:val="24"/>
          <w:szCs w:val="24"/>
          <w:lang w:eastAsia="da-DK"/>
        </w:rPr>
        <w:t>Børn 7-10 år (25-32 kg)</w:t>
      </w:r>
    </w:p>
    <w:p w:rsidR="00F63458" w:rsidRPr="00840D7C" w:rsidRDefault="00F63458" w:rsidP="00F63458">
      <w:pPr>
        <w:ind w:left="851" w:hanging="10"/>
        <w:rPr>
          <w:color w:val="000000"/>
          <w:sz w:val="24"/>
          <w:szCs w:val="24"/>
          <w:lang w:eastAsia="da-DK"/>
        </w:rPr>
      </w:pPr>
      <w:r>
        <w:rPr>
          <w:color w:val="000000"/>
          <w:sz w:val="24"/>
          <w:szCs w:val="24"/>
          <w:lang w:eastAsia="da-DK"/>
        </w:rPr>
        <w:t>½-</w:t>
      </w:r>
      <w:r w:rsidRPr="00840D7C">
        <w:rPr>
          <w:color w:val="000000"/>
          <w:sz w:val="24"/>
          <w:szCs w:val="24"/>
          <w:lang w:eastAsia="da-DK"/>
        </w:rPr>
        <w:t xml:space="preserve">1 tablet efter behov op til 4 gange </w:t>
      </w:r>
      <w:r>
        <w:rPr>
          <w:color w:val="000000"/>
          <w:sz w:val="24"/>
          <w:szCs w:val="24"/>
          <w:lang w:eastAsia="da-DK"/>
        </w:rPr>
        <w:t>daglig</w:t>
      </w:r>
    </w:p>
    <w:p w:rsidR="00F63458" w:rsidRPr="00840D7C" w:rsidRDefault="00F63458" w:rsidP="00F63458">
      <w:pPr>
        <w:ind w:left="851" w:hanging="10"/>
        <w:rPr>
          <w:color w:val="000000"/>
          <w:sz w:val="24"/>
          <w:szCs w:val="24"/>
          <w:u w:val="single"/>
          <w:lang w:eastAsia="da-DK"/>
        </w:rPr>
      </w:pPr>
    </w:p>
    <w:p w:rsidR="00F63458" w:rsidRPr="00840D7C" w:rsidRDefault="00F63458" w:rsidP="00F63458">
      <w:pPr>
        <w:ind w:left="851" w:hanging="10"/>
        <w:rPr>
          <w:i/>
          <w:color w:val="000000"/>
          <w:sz w:val="24"/>
          <w:szCs w:val="24"/>
          <w:lang w:eastAsia="da-DK"/>
        </w:rPr>
      </w:pPr>
      <w:r w:rsidRPr="00840D7C">
        <w:rPr>
          <w:i/>
          <w:color w:val="000000"/>
          <w:sz w:val="24"/>
          <w:szCs w:val="24"/>
          <w:lang w:eastAsia="da-DK"/>
        </w:rPr>
        <w:t>Børn 10-12 år (32-40 kg)</w:t>
      </w:r>
    </w:p>
    <w:p w:rsidR="00F63458" w:rsidRPr="00840D7C" w:rsidRDefault="00F63458" w:rsidP="00F63458">
      <w:pPr>
        <w:ind w:left="851" w:hanging="10"/>
        <w:rPr>
          <w:color w:val="000000"/>
          <w:sz w:val="24"/>
          <w:szCs w:val="24"/>
          <w:lang w:eastAsia="da-DK"/>
        </w:rPr>
      </w:pPr>
      <w:r w:rsidRPr="00840D7C">
        <w:rPr>
          <w:color w:val="000000"/>
          <w:sz w:val="24"/>
          <w:szCs w:val="24"/>
          <w:lang w:eastAsia="da-DK"/>
        </w:rPr>
        <w:t xml:space="preserve">1 tablet efter behov op til 4 gange </w:t>
      </w:r>
      <w:r>
        <w:rPr>
          <w:color w:val="000000"/>
          <w:sz w:val="24"/>
          <w:szCs w:val="24"/>
          <w:lang w:eastAsia="da-DK"/>
        </w:rPr>
        <w:t>daglig</w:t>
      </w:r>
    </w:p>
    <w:p w:rsidR="00F63458" w:rsidRPr="00840D7C" w:rsidRDefault="00F63458" w:rsidP="00F63458">
      <w:pPr>
        <w:ind w:left="851" w:hanging="10"/>
        <w:rPr>
          <w:color w:val="000000"/>
          <w:sz w:val="24"/>
          <w:szCs w:val="24"/>
          <w:lang w:eastAsia="da-DK"/>
        </w:rPr>
      </w:pPr>
    </w:p>
    <w:p w:rsidR="00F63458" w:rsidRPr="00840D7C" w:rsidRDefault="00F63458" w:rsidP="00F63458">
      <w:pPr>
        <w:ind w:left="851" w:hanging="10"/>
        <w:rPr>
          <w:i/>
          <w:color w:val="000000"/>
          <w:sz w:val="24"/>
          <w:szCs w:val="24"/>
          <w:lang w:eastAsia="da-DK"/>
        </w:rPr>
      </w:pPr>
      <w:r>
        <w:rPr>
          <w:i/>
          <w:color w:val="000000"/>
          <w:sz w:val="24"/>
          <w:szCs w:val="24"/>
          <w:lang w:eastAsia="da-DK"/>
        </w:rPr>
        <w:t>Unge 12-15 år (41-50 kg)</w:t>
      </w:r>
    </w:p>
    <w:p w:rsidR="00F63458" w:rsidRPr="00840D7C" w:rsidRDefault="00F63458" w:rsidP="00F63458">
      <w:pPr>
        <w:ind w:left="851" w:hanging="10"/>
        <w:rPr>
          <w:color w:val="000000"/>
          <w:sz w:val="24"/>
          <w:szCs w:val="24"/>
          <w:lang w:eastAsia="da-DK"/>
        </w:rPr>
      </w:pPr>
      <w:r w:rsidRPr="00840D7C">
        <w:rPr>
          <w:color w:val="000000"/>
          <w:sz w:val="24"/>
          <w:szCs w:val="24"/>
          <w:lang w:eastAsia="da-DK"/>
        </w:rPr>
        <w:t>1</w:t>
      </w:r>
      <w:r>
        <w:rPr>
          <w:color w:val="000000"/>
          <w:sz w:val="24"/>
          <w:szCs w:val="24"/>
          <w:lang w:eastAsia="da-DK"/>
        </w:rPr>
        <w:t>-</w:t>
      </w:r>
      <w:r w:rsidRPr="00840D7C">
        <w:rPr>
          <w:color w:val="000000"/>
          <w:sz w:val="24"/>
          <w:szCs w:val="24"/>
          <w:lang w:eastAsia="da-DK"/>
        </w:rPr>
        <w:t xml:space="preserve">1 ½ tablet efter behov op til 4 gange </w:t>
      </w:r>
      <w:r>
        <w:rPr>
          <w:color w:val="000000"/>
          <w:sz w:val="24"/>
          <w:szCs w:val="24"/>
          <w:lang w:eastAsia="da-DK"/>
        </w:rPr>
        <w:t>daglig</w:t>
      </w:r>
    </w:p>
    <w:p w:rsidR="00F63458" w:rsidRPr="00840D7C" w:rsidRDefault="00F63458" w:rsidP="00F63458">
      <w:pPr>
        <w:ind w:left="851" w:hanging="10"/>
        <w:rPr>
          <w:color w:val="000000"/>
          <w:sz w:val="24"/>
          <w:szCs w:val="24"/>
          <w:lang w:eastAsia="da-DK"/>
        </w:rPr>
      </w:pPr>
    </w:p>
    <w:p w:rsidR="00F63458" w:rsidRPr="00840D7C" w:rsidRDefault="00F63458" w:rsidP="00F63458">
      <w:pPr>
        <w:ind w:left="851" w:hanging="10"/>
        <w:rPr>
          <w:i/>
          <w:color w:val="000000"/>
          <w:sz w:val="24"/>
          <w:szCs w:val="24"/>
          <w:lang w:eastAsia="da-DK"/>
        </w:rPr>
      </w:pPr>
      <w:r>
        <w:rPr>
          <w:i/>
          <w:color w:val="000000"/>
          <w:sz w:val="24"/>
          <w:szCs w:val="24"/>
          <w:lang w:eastAsia="da-DK"/>
        </w:rPr>
        <w:t>Unge 16-18 år (&gt; 50 kg)</w:t>
      </w:r>
    </w:p>
    <w:p w:rsidR="00F63458" w:rsidRPr="00840D7C" w:rsidRDefault="00F63458" w:rsidP="00F63458">
      <w:pPr>
        <w:ind w:left="851" w:hanging="10"/>
        <w:rPr>
          <w:color w:val="000000"/>
          <w:sz w:val="24"/>
          <w:szCs w:val="24"/>
          <w:lang w:eastAsia="da-DK"/>
        </w:rPr>
      </w:pPr>
      <w:r>
        <w:rPr>
          <w:color w:val="000000"/>
          <w:sz w:val="24"/>
          <w:szCs w:val="24"/>
          <w:lang w:eastAsia="da-DK"/>
        </w:rPr>
        <w:t>S</w:t>
      </w:r>
      <w:r w:rsidRPr="00840D7C">
        <w:rPr>
          <w:color w:val="000000"/>
          <w:sz w:val="24"/>
          <w:szCs w:val="24"/>
          <w:lang w:eastAsia="da-DK"/>
        </w:rPr>
        <w:t xml:space="preserve">om voksne. </w:t>
      </w:r>
    </w:p>
    <w:p w:rsidR="00F63458" w:rsidRPr="00840D7C" w:rsidRDefault="00F63458" w:rsidP="00F63458">
      <w:pPr>
        <w:ind w:left="851" w:hanging="10"/>
        <w:rPr>
          <w:color w:val="000000"/>
          <w:sz w:val="24"/>
          <w:szCs w:val="24"/>
          <w:lang w:eastAsia="da-DK"/>
        </w:rPr>
      </w:pPr>
    </w:p>
    <w:p w:rsidR="00F63458" w:rsidRPr="00840D7C" w:rsidRDefault="00F63458" w:rsidP="00F63458">
      <w:pPr>
        <w:ind w:left="851" w:hanging="10"/>
        <w:rPr>
          <w:color w:val="000000"/>
          <w:sz w:val="24"/>
          <w:szCs w:val="24"/>
          <w:lang w:eastAsia="da-DK"/>
        </w:rPr>
      </w:pPr>
      <w:r w:rsidRPr="00840D7C">
        <w:rPr>
          <w:color w:val="000000"/>
          <w:sz w:val="24"/>
          <w:szCs w:val="24"/>
          <w:u w:val="single"/>
          <w:lang w:eastAsia="da-DK"/>
        </w:rPr>
        <w:t>Nedsat nyrefunktion</w:t>
      </w:r>
    </w:p>
    <w:p w:rsidR="00F63458" w:rsidRPr="00840D7C" w:rsidRDefault="00F63458" w:rsidP="00F63458">
      <w:pPr>
        <w:ind w:left="851" w:hanging="10"/>
        <w:rPr>
          <w:color w:val="000000"/>
          <w:sz w:val="24"/>
          <w:szCs w:val="24"/>
          <w:lang w:eastAsia="da-DK"/>
        </w:rPr>
      </w:pPr>
      <w:r w:rsidRPr="00840D7C">
        <w:rPr>
          <w:color w:val="000000"/>
          <w:sz w:val="24"/>
          <w:szCs w:val="24"/>
          <w:lang w:eastAsia="da-DK"/>
        </w:rPr>
        <w:t xml:space="preserve">Når paracetamol gives til patienter med nedsat nyrefunktion, anbefales det at reducere dosis og øge </w:t>
      </w:r>
      <w:proofErr w:type="gramStart"/>
      <w:r>
        <w:rPr>
          <w:color w:val="000000"/>
          <w:sz w:val="24"/>
          <w:szCs w:val="24"/>
          <w:lang w:eastAsia="da-DK"/>
        </w:rPr>
        <w:t>minimum intervallet</w:t>
      </w:r>
      <w:proofErr w:type="gramEnd"/>
      <w:r w:rsidRPr="00840D7C">
        <w:rPr>
          <w:color w:val="000000"/>
          <w:sz w:val="24"/>
          <w:szCs w:val="24"/>
          <w:lang w:eastAsia="da-DK"/>
        </w:rPr>
        <w:t xml:space="preserve"> mellem </w:t>
      </w:r>
      <w:r>
        <w:rPr>
          <w:color w:val="000000"/>
          <w:sz w:val="24"/>
          <w:szCs w:val="24"/>
          <w:lang w:eastAsia="da-DK"/>
        </w:rPr>
        <w:t>hver administration</w:t>
      </w:r>
      <w:r w:rsidRPr="00840D7C">
        <w:rPr>
          <w:color w:val="000000"/>
          <w:sz w:val="24"/>
          <w:szCs w:val="24"/>
          <w:lang w:eastAsia="da-DK"/>
        </w:rPr>
        <w:t xml:space="preserve"> til mindst 6 timer.</w:t>
      </w:r>
    </w:p>
    <w:p w:rsidR="00F63458" w:rsidRPr="00840D7C" w:rsidRDefault="00F63458" w:rsidP="00F63458">
      <w:pPr>
        <w:ind w:left="851" w:hanging="10"/>
        <w:rPr>
          <w:color w:val="000000"/>
          <w:sz w:val="24"/>
          <w:szCs w:val="24"/>
          <w:lang w:eastAsia="da-DK"/>
        </w:rPr>
      </w:pPr>
    </w:p>
    <w:tbl>
      <w:tblPr>
        <w:tblW w:w="5133" w:type="dxa"/>
        <w:tblInd w:w="994" w:type="dxa"/>
        <w:tblCellMar>
          <w:top w:w="7" w:type="dxa"/>
          <w:left w:w="106" w:type="dxa"/>
          <w:right w:w="115" w:type="dxa"/>
        </w:tblCellMar>
        <w:tblLook w:val="04A0" w:firstRow="1" w:lastRow="0" w:firstColumn="1" w:lastColumn="0" w:noHBand="0" w:noVBand="1"/>
      </w:tblPr>
      <w:tblGrid>
        <w:gridCol w:w="2829"/>
        <w:gridCol w:w="2304"/>
      </w:tblGrid>
      <w:tr w:rsidR="00F63458" w:rsidRPr="00840D7C" w:rsidTr="003B4BCE">
        <w:trPr>
          <w:trHeight w:val="264"/>
        </w:trPr>
        <w:tc>
          <w:tcPr>
            <w:tcW w:w="2829" w:type="dxa"/>
            <w:tcBorders>
              <w:top w:val="single" w:sz="4" w:space="0" w:color="000000"/>
              <w:left w:val="single" w:sz="4" w:space="0" w:color="000000"/>
              <w:bottom w:val="single" w:sz="4" w:space="0" w:color="000000"/>
              <w:right w:val="single" w:sz="4" w:space="0" w:color="000000"/>
            </w:tcBorders>
          </w:tcPr>
          <w:p w:rsidR="00F63458" w:rsidRPr="00840D7C" w:rsidRDefault="00F63458" w:rsidP="003B4BCE">
            <w:pPr>
              <w:ind w:left="171" w:hanging="10"/>
              <w:rPr>
                <w:b/>
                <w:color w:val="000000"/>
                <w:sz w:val="24"/>
                <w:szCs w:val="24"/>
                <w:lang w:eastAsia="da-DK"/>
              </w:rPr>
            </w:pPr>
            <w:proofErr w:type="spellStart"/>
            <w:r w:rsidRPr="00840D7C">
              <w:rPr>
                <w:b/>
                <w:color w:val="000000"/>
                <w:sz w:val="24"/>
                <w:szCs w:val="24"/>
                <w:lang w:eastAsia="da-DK"/>
              </w:rPr>
              <w:t>Glomerulær</w:t>
            </w:r>
            <w:proofErr w:type="spellEnd"/>
            <w:r w:rsidRPr="00840D7C">
              <w:rPr>
                <w:b/>
                <w:color w:val="000000"/>
                <w:sz w:val="24"/>
                <w:szCs w:val="24"/>
                <w:lang w:eastAsia="da-DK"/>
              </w:rPr>
              <w:t xml:space="preserve"> filtration</w:t>
            </w:r>
          </w:p>
        </w:tc>
        <w:tc>
          <w:tcPr>
            <w:tcW w:w="2304" w:type="dxa"/>
            <w:tcBorders>
              <w:top w:val="single" w:sz="4" w:space="0" w:color="000000"/>
              <w:left w:val="single" w:sz="4" w:space="0" w:color="000000"/>
              <w:bottom w:val="single" w:sz="4" w:space="0" w:color="000000"/>
              <w:right w:val="single" w:sz="4" w:space="0" w:color="000000"/>
            </w:tcBorders>
          </w:tcPr>
          <w:p w:rsidR="00F63458" w:rsidRPr="00840D7C" w:rsidRDefault="00F63458" w:rsidP="003B4BCE">
            <w:pPr>
              <w:ind w:left="66" w:hanging="10"/>
              <w:rPr>
                <w:b/>
                <w:color w:val="000000"/>
                <w:sz w:val="24"/>
                <w:szCs w:val="24"/>
                <w:lang w:eastAsia="da-DK"/>
              </w:rPr>
            </w:pPr>
            <w:r>
              <w:rPr>
                <w:b/>
                <w:color w:val="000000"/>
                <w:sz w:val="24"/>
                <w:szCs w:val="24"/>
                <w:lang w:eastAsia="da-DK"/>
              </w:rPr>
              <w:t>Dosis</w:t>
            </w:r>
          </w:p>
        </w:tc>
      </w:tr>
      <w:tr w:rsidR="00F63458" w:rsidRPr="00840D7C" w:rsidTr="003B4BCE">
        <w:trPr>
          <w:trHeight w:val="262"/>
        </w:trPr>
        <w:tc>
          <w:tcPr>
            <w:tcW w:w="2829" w:type="dxa"/>
            <w:tcBorders>
              <w:top w:val="single" w:sz="4" w:space="0" w:color="000000"/>
              <w:left w:val="single" w:sz="4" w:space="0" w:color="000000"/>
              <w:bottom w:val="single" w:sz="4" w:space="0" w:color="000000"/>
              <w:right w:val="single" w:sz="4" w:space="0" w:color="000000"/>
            </w:tcBorders>
          </w:tcPr>
          <w:p w:rsidR="00F63458" w:rsidRPr="00840D7C" w:rsidRDefault="00F63458" w:rsidP="003B4BCE">
            <w:pPr>
              <w:ind w:left="171" w:hanging="10"/>
              <w:rPr>
                <w:color w:val="000000"/>
                <w:sz w:val="24"/>
                <w:szCs w:val="24"/>
                <w:lang w:eastAsia="da-DK"/>
              </w:rPr>
            </w:pPr>
            <w:r w:rsidRPr="00840D7C">
              <w:rPr>
                <w:color w:val="000000"/>
                <w:sz w:val="24"/>
                <w:szCs w:val="24"/>
                <w:lang w:eastAsia="da-DK"/>
              </w:rPr>
              <w:t xml:space="preserve">10-50 ml/min. </w:t>
            </w:r>
          </w:p>
        </w:tc>
        <w:tc>
          <w:tcPr>
            <w:tcW w:w="2304" w:type="dxa"/>
            <w:tcBorders>
              <w:top w:val="single" w:sz="4" w:space="0" w:color="000000"/>
              <w:left w:val="single" w:sz="4" w:space="0" w:color="000000"/>
              <w:bottom w:val="single" w:sz="4" w:space="0" w:color="000000"/>
              <w:right w:val="single" w:sz="4" w:space="0" w:color="000000"/>
            </w:tcBorders>
          </w:tcPr>
          <w:p w:rsidR="00F63458" w:rsidRPr="00840D7C" w:rsidRDefault="00F63458" w:rsidP="003B4BCE">
            <w:pPr>
              <w:ind w:left="66" w:hanging="10"/>
              <w:rPr>
                <w:color w:val="000000"/>
                <w:sz w:val="24"/>
                <w:szCs w:val="24"/>
                <w:lang w:eastAsia="da-DK"/>
              </w:rPr>
            </w:pPr>
            <w:r w:rsidRPr="00840D7C">
              <w:rPr>
                <w:color w:val="000000"/>
                <w:sz w:val="24"/>
                <w:szCs w:val="24"/>
                <w:lang w:eastAsia="da-DK"/>
              </w:rPr>
              <w:t xml:space="preserve">500 mg hver 6. time </w:t>
            </w:r>
          </w:p>
        </w:tc>
      </w:tr>
      <w:tr w:rsidR="00F63458" w:rsidRPr="00840D7C" w:rsidTr="003B4BCE">
        <w:trPr>
          <w:trHeight w:val="264"/>
        </w:trPr>
        <w:tc>
          <w:tcPr>
            <w:tcW w:w="2829" w:type="dxa"/>
            <w:tcBorders>
              <w:top w:val="single" w:sz="4" w:space="0" w:color="000000"/>
              <w:left w:val="single" w:sz="4" w:space="0" w:color="000000"/>
              <w:bottom w:val="single" w:sz="4" w:space="0" w:color="000000"/>
              <w:right w:val="single" w:sz="4" w:space="0" w:color="000000"/>
            </w:tcBorders>
          </w:tcPr>
          <w:p w:rsidR="00F63458" w:rsidRPr="00840D7C" w:rsidRDefault="00F63458" w:rsidP="003B4BCE">
            <w:pPr>
              <w:ind w:left="171" w:hanging="10"/>
              <w:rPr>
                <w:color w:val="000000"/>
                <w:sz w:val="24"/>
                <w:szCs w:val="24"/>
                <w:lang w:eastAsia="da-DK"/>
              </w:rPr>
            </w:pPr>
            <w:r w:rsidRPr="00840D7C">
              <w:rPr>
                <w:color w:val="000000"/>
                <w:sz w:val="24"/>
                <w:szCs w:val="24"/>
                <w:lang w:eastAsia="da-DK"/>
              </w:rPr>
              <w:t xml:space="preserve">&lt;10ml/min. </w:t>
            </w:r>
          </w:p>
        </w:tc>
        <w:tc>
          <w:tcPr>
            <w:tcW w:w="2304" w:type="dxa"/>
            <w:tcBorders>
              <w:top w:val="single" w:sz="4" w:space="0" w:color="000000"/>
              <w:left w:val="single" w:sz="4" w:space="0" w:color="000000"/>
              <w:bottom w:val="single" w:sz="4" w:space="0" w:color="000000"/>
              <w:right w:val="single" w:sz="4" w:space="0" w:color="000000"/>
            </w:tcBorders>
          </w:tcPr>
          <w:p w:rsidR="00F63458" w:rsidRPr="00840D7C" w:rsidRDefault="00F63458" w:rsidP="003B4BCE">
            <w:pPr>
              <w:ind w:left="66" w:hanging="10"/>
              <w:rPr>
                <w:color w:val="000000"/>
                <w:sz w:val="24"/>
                <w:szCs w:val="24"/>
                <w:lang w:eastAsia="da-DK"/>
              </w:rPr>
            </w:pPr>
            <w:r w:rsidRPr="00840D7C">
              <w:rPr>
                <w:color w:val="000000"/>
                <w:sz w:val="24"/>
                <w:szCs w:val="24"/>
                <w:lang w:eastAsia="da-DK"/>
              </w:rPr>
              <w:t xml:space="preserve">500 mg hver 8. time </w:t>
            </w:r>
          </w:p>
        </w:tc>
      </w:tr>
    </w:tbl>
    <w:p w:rsidR="00F63458" w:rsidRPr="00840D7C" w:rsidRDefault="00F63458" w:rsidP="00F63458">
      <w:pPr>
        <w:ind w:left="851" w:hanging="10"/>
        <w:rPr>
          <w:color w:val="000000"/>
          <w:sz w:val="24"/>
          <w:szCs w:val="24"/>
          <w:lang w:eastAsia="da-DK"/>
        </w:rPr>
      </w:pPr>
    </w:p>
    <w:p w:rsidR="00F63458" w:rsidRPr="00840D7C" w:rsidRDefault="00F63458" w:rsidP="00F63458">
      <w:pPr>
        <w:ind w:left="851" w:hanging="10"/>
        <w:rPr>
          <w:color w:val="000000"/>
          <w:sz w:val="24"/>
          <w:szCs w:val="24"/>
          <w:lang w:eastAsia="da-DK"/>
        </w:rPr>
      </w:pPr>
      <w:r w:rsidRPr="00840D7C">
        <w:rPr>
          <w:color w:val="000000"/>
          <w:sz w:val="24"/>
          <w:szCs w:val="24"/>
          <w:u w:val="single"/>
          <w:lang w:eastAsia="da-DK"/>
        </w:rPr>
        <w:t>Nedsat leverfunktion</w:t>
      </w:r>
    </w:p>
    <w:p w:rsidR="00F63458" w:rsidRPr="00840D7C" w:rsidRDefault="00F63458" w:rsidP="00F63458">
      <w:pPr>
        <w:ind w:left="851" w:hanging="10"/>
        <w:rPr>
          <w:color w:val="000000"/>
          <w:sz w:val="24"/>
          <w:szCs w:val="24"/>
          <w:lang w:eastAsia="da-DK"/>
        </w:rPr>
      </w:pPr>
      <w:r w:rsidRPr="00840D7C">
        <w:rPr>
          <w:color w:val="000000"/>
          <w:sz w:val="24"/>
          <w:szCs w:val="24"/>
          <w:lang w:eastAsia="da-DK"/>
        </w:rPr>
        <w:t>Hos patienter med nedsat leverfunktion eller Gilberts syndrom kan det være nødvendigt at reducere dosis eller forlænge dosisintervallet.</w:t>
      </w:r>
    </w:p>
    <w:p w:rsidR="00F63458" w:rsidRPr="00840D7C" w:rsidRDefault="00F63458" w:rsidP="00F63458">
      <w:pPr>
        <w:ind w:left="851" w:hanging="10"/>
        <w:rPr>
          <w:b/>
          <w:bCs/>
          <w:color w:val="000000"/>
          <w:sz w:val="24"/>
          <w:szCs w:val="24"/>
          <w:lang w:eastAsia="da-DK"/>
        </w:rPr>
      </w:pPr>
      <w:r w:rsidRPr="00840D7C">
        <w:rPr>
          <w:b/>
          <w:color w:val="000000"/>
          <w:sz w:val="24"/>
          <w:szCs w:val="24"/>
          <w:lang w:eastAsia="da-DK"/>
        </w:rPr>
        <w:t>Den daglige dosis bør ikke overstige 2 g/dag, medmindre lægen har anvist det.</w:t>
      </w:r>
    </w:p>
    <w:p w:rsidR="00F63458" w:rsidRPr="00840D7C" w:rsidRDefault="00F63458" w:rsidP="00F63458">
      <w:pPr>
        <w:ind w:left="851" w:hanging="10"/>
        <w:rPr>
          <w:color w:val="000000"/>
          <w:sz w:val="24"/>
          <w:szCs w:val="24"/>
          <w:lang w:eastAsia="da-DK"/>
        </w:rPr>
      </w:pPr>
    </w:p>
    <w:p w:rsidR="00F63458" w:rsidRPr="00840D7C" w:rsidRDefault="00F63458" w:rsidP="00F63458">
      <w:pPr>
        <w:ind w:left="851" w:hanging="10"/>
        <w:rPr>
          <w:color w:val="000000"/>
          <w:sz w:val="24"/>
          <w:szCs w:val="24"/>
          <w:lang w:eastAsia="da-DK"/>
        </w:rPr>
      </w:pPr>
      <w:r w:rsidRPr="00840D7C">
        <w:rPr>
          <w:color w:val="000000"/>
          <w:sz w:val="24"/>
          <w:szCs w:val="24"/>
          <w:u w:val="single"/>
          <w:lang w:eastAsia="da-DK"/>
        </w:rPr>
        <w:t>Ældre</w:t>
      </w:r>
    </w:p>
    <w:p w:rsidR="00F63458" w:rsidRPr="00840D7C" w:rsidRDefault="00F63458" w:rsidP="00F63458">
      <w:pPr>
        <w:ind w:left="851" w:hanging="10"/>
        <w:rPr>
          <w:color w:val="000000"/>
          <w:sz w:val="24"/>
          <w:szCs w:val="24"/>
          <w:lang w:eastAsia="da-DK"/>
        </w:rPr>
      </w:pPr>
      <w:r>
        <w:rPr>
          <w:color w:val="000000"/>
          <w:sz w:val="24"/>
          <w:szCs w:val="24"/>
          <w:lang w:eastAsia="da-DK"/>
        </w:rPr>
        <w:t>Erfaring</w:t>
      </w:r>
      <w:r w:rsidRPr="00840D7C">
        <w:rPr>
          <w:color w:val="000000"/>
          <w:sz w:val="24"/>
          <w:szCs w:val="24"/>
          <w:lang w:eastAsia="da-DK"/>
        </w:rPr>
        <w:t xml:space="preserve"> har vist, at den normale dosis til voksne er velegnet. Hos svage, immobile ældre kan det dog være hensigtsmæssigt at reducere dosis eller dosisintervallet (se pkt. 4.4).</w:t>
      </w:r>
    </w:p>
    <w:p w:rsidR="00F63458" w:rsidRPr="00840D7C" w:rsidRDefault="00F63458" w:rsidP="00F63458">
      <w:pPr>
        <w:ind w:left="851" w:hanging="10"/>
        <w:rPr>
          <w:color w:val="000000"/>
          <w:sz w:val="24"/>
          <w:szCs w:val="24"/>
          <w:lang w:eastAsia="da-DK"/>
        </w:rPr>
      </w:pPr>
      <w:r w:rsidRPr="00840D7C">
        <w:rPr>
          <w:color w:val="000000"/>
          <w:sz w:val="24"/>
          <w:szCs w:val="24"/>
          <w:lang w:eastAsia="da-DK"/>
        </w:rPr>
        <w:t>Den laveste</w:t>
      </w:r>
      <w:r>
        <w:rPr>
          <w:color w:val="000000"/>
          <w:sz w:val="24"/>
          <w:szCs w:val="24"/>
          <w:lang w:eastAsia="da-DK"/>
        </w:rPr>
        <w:t>,</w:t>
      </w:r>
      <w:r w:rsidRPr="00840D7C">
        <w:rPr>
          <w:color w:val="000000"/>
          <w:sz w:val="24"/>
          <w:szCs w:val="24"/>
          <w:lang w:eastAsia="da-DK"/>
        </w:rPr>
        <w:t xml:space="preserve"> effektive dosis bør anvendes.</w:t>
      </w:r>
    </w:p>
    <w:p w:rsidR="00F63458" w:rsidRPr="00840D7C" w:rsidRDefault="00F63458" w:rsidP="00F63458">
      <w:pPr>
        <w:ind w:left="851" w:hanging="10"/>
        <w:rPr>
          <w:color w:val="000000"/>
          <w:sz w:val="24"/>
          <w:szCs w:val="24"/>
          <w:lang w:eastAsia="da-DK"/>
        </w:rPr>
      </w:pPr>
    </w:p>
    <w:p w:rsidR="00F63458" w:rsidRPr="00840D7C" w:rsidRDefault="00F63458" w:rsidP="00F63458">
      <w:pPr>
        <w:ind w:left="851" w:hanging="10"/>
        <w:rPr>
          <w:b/>
          <w:color w:val="000000"/>
          <w:sz w:val="24"/>
          <w:szCs w:val="24"/>
          <w:lang w:eastAsia="da-DK"/>
        </w:rPr>
      </w:pPr>
      <w:r w:rsidRPr="00840D7C">
        <w:rPr>
          <w:b/>
          <w:color w:val="000000"/>
          <w:sz w:val="24"/>
          <w:szCs w:val="24"/>
          <w:lang w:eastAsia="da-DK"/>
        </w:rPr>
        <w:t>Administration</w:t>
      </w:r>
    </w:p>
    <w:p w:rsidR="00F63458" w:rsidRPr="00840D7C" w:rsidRDefault="00F63458" w:rsidP="00F63458">
      <w:pPr>
        <w:keepNext/>
        <w:keepLines/>
        <w:ind w:left="851" w:hanging="10"/>
        <w:outlineLvl w:val="2"/>
        <w:rPr>
          <w:color w:val="000000"/>
          <w:sz w:val="24"/>
          <w:szCs w:val="24"/>
          <w:lang w:eastAsia="da-DK"/>
        </w:rPr>
      </w:pPr>
      <w:r w:rsidRPr="00840D7C">
        <w:rPr>
          <w:color w:val="000000"/>
          <w:sz w:val="24"/>
          <w:szCs w:val="24"/>
          <w:lang w:eastAsia="da-DK"/>
        </w:rPr>
        <w:t xml:space="preserve">Oral. </w:t>
      </w:r>
    </w:p>
    <w:p w:rsidR="00F63458" w:rsidRPr="0089142A" w:rsidRDefault="00F63458" w:rsidP="00F63458">
      <w:pPr>
        <w:keepNext/>
        <w:keepLines/>
        <w:ind w:left="851" w:hanging="10"/>
        <w:outlineLvl w:val="2"/>
        <w:rPr>
          <w:color w:val="000000"/>
          <w:sz w:val="24"/>
          <w:szCs w:val="24"/>
          <w:lang w:eastAsia="da-DK"/>
        </w:rPr>
      </w:pPr>
      <w:r w:rsidRPr="00840D7C">
        <w:rPr>
          <w:color w:val="000000"/>
          <w:sz w:val="24"/>
          <w:szCs w:val="24"/>
          <w:lang w:eastAsia="da-DK"/>
        </w:rPr>
        <w:t>Tabletterne kan synkes med vand.</w:t>
      </w:r>
    </w:p>
    <w:p w:rsidR="00F63458" w:rsidRPr="00C84483" w:rsidRDefault="00F63458" w:rsidP="00F63458">
      <w:pPr>
        <w:tabs>
          <w:tab w:val="left" w:pos="851"/>
        </w:tabs>
        <w:ind w:left="851"/>
        <w:rPr>
          <w:sz w:val="24"/>
          <w:szCs w:val="24"/>
        </w:rPr>
      </w:pPr>
    </w:p>
    <w:p w:rsidR="00F63458" w:rsidRPr="00C84483" w:rsidRDefault="00F63458" w:rsidP="00F63458">
      <w:pPr>
        <w:tabs>
          <w:tab w:val="left" w:pos="851"/>
        </w:tabs>
        <w:ind w:left="851" w:hanging="851"/>
        <w:rPr>
          <w:b/>
          <w:sz w:val="24"/>
          <w:szCs w:val="24"/>
        </w:rPr>
      </w:pPr>
      <w:r w:rsidRPr="00C84483">
        <w:rPr>
          <w:b/>
          <w:sz w:val="24"/>
          <w:szCs w:val="24"/>
        </w:rPr>
        <w:t>4.3</w:t>
      </w:r>
      <w:r w:rsidRPr="00C84483">
        <w:rPr>
          <w:b/>
          <w:sz w:val="24"/>
          <w:szCs w:val="24"/>
        </w:rPr>
        <w:tab/>
        <w:t>Kontraindikationer</w:t>
      </w:r>
    </w:p>
    <w:p w:rsidR="00F63458" w:rsidRPr="00E63F70" w:rsidRDefault="00F63458" w:rsidP="00F63458">
      <w:pPr>
        <w:ind w:left="851" w:hanging="10"/>
        <w:rPr>
          <w:color w:val="000000"/>
          <w:sz w:val="24"/>
          <w:szCs w:val="24"/>
          <w:lang w:eastAsia="da-DK"/>
        </w:rPr>
      </w:pPr>
      <w:r w:rsidRPr="00840D7C">
        <w:rPr>
          <w:color w:val="000000"/>
          <w:sz w:val="24"/>
          <w:szCs w:val="24"/>
          <w:lang w:eastAsia="da-DK"/>
        </w:rPr>
        <w:t xml:space="preserve">Overfølsomhed over paracetamol, </w:t>
      </w:r>
      <w:proofErr w:type="spellStart"/>
      <w:r w:rsidRPr="00840D7C">
        <w:rPr>
          <w:color w:val="000000"/>
          <w:sz w:val="24"/>
          <w:szCs w:val="24"/>
          <w:lang w:eastAsia="da-DK"/>
        </w:rPr>
        <w:t>propacetamolhydrochlorid</w:t>
      </w:r>
      <w:proofErr w:type="spellEnd"/>
      <w:r w:rsidRPr="00840D7C">
        <w:rPr>
          <w:color w:val="000000"/>
          <w:sz w:val="24"/>
          <w:szCs w:val="24"/>
          <w:lang w:eastAsia="da-DK"/>
        </w:rPr>
        <w:t xml:space="preserve"> (pro-drug af paracetamol) eller over for et eller flere af hjælpestofferne anført i punkt. 6.1.</w:t>
      </w:r>
    </w:p>
    <w:p w:rsidR="00F63458" w:rsidRPr="00C84483" w:rsidRDefault="00F63458" w:rsidP="00F63458">
      <w:pPr>
        <w:tabs>
          <w:tab w:val="left" w:pos="851"/>
        </w:tabs>
        <w:ind w:left="851"/>
        <w:rPr>
          <w:sz w:val="24"/>
          <w:szCs w:val="24"/>
        </w:rPr>
      </w:pPr>
    </w:p>
    <w:p w:rsidR="00F63458" w:rsidRPr="00C84483" w:rsidRDefault="00F63458" w:rsidP="00F63458">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F63458" w:rsidRDefault="00F63458" w:rsidP="00F63458">
      <w:pPr>
        <w:ind w:left="851" w:hanging="10"/>
        <w:rPr>
          <w:color w:val="000000"/>
          <w:sz w:val="24"/>
          <w:szCs w:val="24"/>
          <w:lang w:eastAsia="da-DK"/>
        </w:rPr>
      </w:pPr>
      <w:r>
        <w:rPr>
          <w:color w:val="000000"/>
          <w:sz w:val="24"/>
          <w:szCs w:val="24"/>
          <w:lang w:eastAsia="da-DK"/>
        </w:rPr>
        <w:t>Indeholder paracetamol.</w:t>
      </w:r>
    </w:p>
    <w:p w:rsidR="00F63458" w:rsidRDefault="00F63458" w:rsidP="00F63458">
      <w:pPr>
        <w:ind w:left="851" w:hanging="10"/>
        <w:rPr>
          <w:color w:val="000000"/>
          <w:sz w:val="24"/>
          <w:szCs w:val="24"/>
          <w:lang w:eastAsia="da-DK"/>
        </w:rPr>
      </w:pPr>
      <w:r w:rsidRPr="00840D7C">
        <w:rPr>
          <w:color w:val="000000"/>
          <w:sz w:val="24"/>
          <w:szCs w:val="24"/>
          <w:lang w:eastAsia="da-DK"/>
        </w:rPr>
        <w:t>Må ikke bruges sammen med andre lægemidl</w:t>
      </w:r>
      <w:r>
        <w:rPr>
          <w:color w:val="000000"/>
          <w:sz w:val="24"/>
          <w:szCs w:val="24"/>
          <w:lang w:eastAsia="da-DK"/>
        </w:rPr>
        <w:t>er, der indeholder paracetamol.</w:t>
      </w:r>
    </w:p>
    <w:p w:rsidR="00F63458" w:rsidRDefault="00F63458" w:rsidP="00F63458">
      <w:pPr>
        <w:ind w:left="851" w:hanging="10"/>
        <w:rPr>
          <w:color w:val="000000"/>
          <w:sz w:val="24"/>
          <w:szCs w:val="24"/>
          <w:lang w:eastAsia="da-DK"/>
        </w:rPr>
      </w:pPr>
      <w:r w:rsidRPr="00840D7C">
        <w:rPr>
          <w:color w:val="000000"/>
          <w:sz w:val="24"/>
          <w:szCs w:val="24"/>
          <w:lang w:eastAsia="da-DK"/>
        </w:rPr>
        <w:t xml:space="preserve">Samtidig brug af andre lægemidler med paracetamol kan resultere i </w:t>
      </w:r>
      <w:r>
        <w:rPr>
          <w:color w:val="000000"/>
          <w:sz w:val="24"/>
          <w:szCs w:val="24"/>
          <w:lang w:eastAsia="da-DK"/>
        </w:rPr>
        <w:t>en overdosis.</w:t>
      </w:r>
    </w:p>
    <w:p w:rsidR="00F63458" w:rsidRPr="00840D7C" w:rsidRDefault="00F63458" w:rsidP="00F63458">
      <w:pPr>
        <w:ind w:left="851" w:hanging="10"/>
        <w:rPr>
          <w:color w:val="000000"/>
          <w:sz w:val="24"/>
          <w:szCs w:val="24"/>
          <w:lang w:eastAsia="da-DK"/>
        </w:rPr>
      </w:pPr>
      <w:r w:rsidRPr="00840D7C">
        <w:rPr>
          <w:color w:val="000000"/>
          <w:sz w:val="24"/>
          <w:szCs w:val="24"/>
          <w:lang w:eastAsia="da-DK"/>
        </w:rPr>
        <w:t>Overdosering af paracetamol kan forårsage leversvigt, som kan medføre levertransplantation eller død.</w:t>
      </w:r>
    </w:p>
    <w:p w:rsidR="00F63458" w:rsidRPr="00840D7C" w:rsidRDefault="00F63458" w:rsidP="00F63458">
      <w:pPr>
        <w:ind w:left="851" w:hanging="10"/>
        <w:rPr>
          <w:color w:val="000000"/>
          <w:sz w:val="24"/>
          <w:szCs w:val="24"/>
          <w:lang w:eastAsia="da-DK"/>
        </w:rPr>
      </w:pPr>
    </w:p>
    <w:p w:rsidR="00F63458" w:rsidRPr="00840D7C" w:rsidRDefault="00F63458" w:rsidP="00F63458">
      <w:pPr>
        <w:ind w:left="851" w:hanging="10"/>
        <w:rPr>
          <w:color w:val="000000"/>
          <w:sz w:val="24"/>
          <w:szCs w:val="24"/>
          <w:lang w:eastAsia="da-DK"/>
        </w:rPr>
      </w:pPr>
      <w:r w:rsidRPr="00840D7C">
        <w:rPr>
          <w:color w:val="000000"/>
          <w:sz w:val="24"/>
          <w:szCs w:val="24"/>
          <w:lang w:eastAsia="da-DK"/>
        </w:rPr>
        <w:t>Den angivne dosis må ikke overskrides.</w:t>
      </w:r>
    </w:p>
    <w:p w:rsidR="00F63458" w:rsidRPr="00840D7C" w:rsidRDefault="00F63458" w:rsidP="00F63458">
      <w:pPr>
        <w:ind w:left="851" w:hanging="10"/>
        <w:rPr>
          <w:color w:val="000000"/>
          <w:sz w:val="24"/>
          <w:szCs w:val="24"/>
          <w:lang w:eastAsia="da-DK"/>
        </w:rPr>
      </w:pPr>
    </w:p>
    <w:p w:rsidR="00F63458" w:rsidRPr="00840D7C" w:rsidRDefault="00F63458" w:rsidP="00F63458">
      <w:pPr>
        <w:ind w:left="851" w:hanging="10"/>
        <w:rPr>
          <w:color w:val="000000"/>
          <w:sz w:val="24"/>
          <w:szCs w:val="24"/>
          <w:lang w:eastAsia="da-DK"/>
        </w:rPr>
      </w:pPr>
      <w:r w:rsidRPr="00840D7C">
        <w:rPr>
          <w:color w:val="000000"/>
          <w:sz w:val="24"/>
          <w:szCs w:val="24"/>
          <w:lang w:eastAsia="da-DK"/>
        </w:rPr>
        <w:t>Den maksimale</w:t>
      </w:r>
      <w:r>
        <w:rPr>
          <w:color w:val="000000"/>
          <w:sz w:val="24"/>
          <w:szCs w:val="24"/>
          <w:lang w:eastAsia="da-DK"/>
        </w:rPr>
        <w:t>,</w:t>
      </w:r>
      <w:r w:rsidRPr="00840D7C">
        <w:rPr>
          <w:color w:val="000000"/>
          <w:sz w:val="24"/>
          <w:szCs w:val="24"/>
          <w:lang w:eastAsia="da-DK"/>
        </w:rPr>
        <w:t xml:space="preserve"> daglige paracetamoldosis (4 g/dag) må ikke overskrides.</w:t>
      </w:r>
    </w:p>
    <w:p w:rsidR="00F63458" w:rsidRPr="00840D7C" w:rsidRDefault="00F63458" w:rsidP="00F63458">
      <w:pPr>
        <w:ind w:left="851" w:hanging="10"/>
        <w:rPr>
          <w:color w:val="000000"/>
          <w:sz w:val="24"/>
          <w:szCs w:val="24"/>
          <w:lang w:eastAsia="da-DK"/>
        </w:rPr>
      </w:pPr>
      <w:r w:rsidRPr="00840D7C">
        <w:rPr>
          <w:color w:val="000000"/>
          <w:sz w:val="24"/>
          <w:szCs w:val="24"/>
          <w:lang w:eastAsia="da-DK"/>
        </w:rPr>
        <w:t>Indtagelse af større doser paracetamol kan føre til leverskade hos patienter med risikofaktorer, herunder:</w:t>
      </w:r>
    </w:p>
    <w:p w:rsidR="00F63458" w:rsidRPr="00840D7C" w:rsidRDefault="00F63458" w:rsidP="00F63458">
      <w:pPr>
        <w:ind w:left="1134" w:hanging="293"/>
        <w:rPr>
          <w:color w:val="000000"/>
          <w:sz w:val="24"/>
          <w:szCs w:val="24"/>
          <w:lang w:eastAsia="da-DK"/>
        </w:rPr>
      </w:pPr>
      <w:r w:rsidRPr="00840D7C">
        <w:rPr>
          <w:color w:val="000000"/>
          <w:sz w:val="24"/>
          <w:szCs w:val="24"/>
          <w:lang w:eastAsia="da-DK"/>
        </w:rPr>
        <w:t>-</w:t>
      </w:r>
      <w:r w:rsidRPr="00840D7C">
        <w:rPr>
          <w:color w:val="000000"/>
          <w:sz w:val="24"/>
          <w:szCs w:val="24"/>
          <w:lang w:eastAsia="da-DK"/>
        </w:rPr>
        <w:tab/>
        <w:t>regelmæssig indtagelse af store mængder alkohol</w:t>
      </w:r>
    </w:p>
    <w:p w:rsidR="00F63458" w:rsidRPr="00840D7C" w:rsidRDefault="00F63458" w:rsidP="00F63458">
      <w:pPr>
        <w:ind w:left="1134" w:hanging="293"/>
        <w:rPr>
          <w:color w:val="000000"/>
          <w:sz w:val="24"/>
          <w:szCs w:val="24"/>
          <w:lang w:eastAsia="da-DK"/>
        </w:rPr>
      </w:pPr>
      <w:r w:rsidRPr="00840D7C">
        <w:rPr>
          <w:color w:val="000000"/>
          <w:sz w:val="24"/>
          <w:szCs w:val="24"/>
          <w:lang w:eastAsia="da-DK"/>
        </w:rPr>
        <w:t>-</w:t>
      </w:r>
      <w:r w:rsidRPr="00840D7C">
        <w:rPr>
          <w:color w:val="000000"/>
          <w:sz w:val="24"/>
          <w:szCs w:val="24"/>
          <w:lang w:eastAsia="da-DK"/>
        </w:rPr>
        <w:tab/>
        <w:t xml:space="preserve">tilstande med </w:t>
      </w:r>
      <w:proofErr w:type="spellStart"/>
      <w:r w:rsidRPr="00840D7C">
        <w:rPr>
          <w:color w:val="000000"/>
          <w:sz w:val="24"/>
          <w:szCs w:val="24"/>
          <w:lang w:eastAsia="da-DK"/>
        </w:rPr>
        <w:t>glutathiondepletering</w:t>
      </w:r>
      <w:proofErr w:type="spellEnd"/>
      <w:r w:rsidRPr="00840D7C">
        <w:rPr>
          <w:color w:val="000000"/>
          <w:sz w:val="24"/>
          <w:szCs w:val="24"/>
          <w:lang w:eastAsia="da-DK"/>
        </w:rPr>
        <w:t>, f.eks. spiseforstyrrelser eller underernæring</w:t>
      </w:r>
    </w:p>
    <w:p w:rsidR="00F63458" w:rsidRPr="00840D7C" w:rsidRDefault="00F63458" w:rsidP="00F63458">
      <w:pPr>
        <w:ind w:left="1134" w:hanging="293"/>
        <w:rPr>
          <w:color w:val="000000"/>
          <w:sz w:val="24"/>
          <w:szCs w:val="24"/>
          <w:lang w:eastAsia="da-DK"/>
        </w:rPr>
      </w:pPr>
      <w:r w:rsidRPr="00840D7C">
        <w:rPr>
          <w:color w:val="000000"/>
          <w:sz w:val="24"/>
          <w:szCs w:val="24"/>
          <w:lang w:eastAsia="da-DK"/>
        </w:rPr>
        <w:t>-</w:t>
      </w:r>
      <w:r w:rsidRPr="00840D7C">
        <w:rPr>
          <w:color w:val="000000"/>
          <w:sz w:val="24"/>
          <w:szCs w:val="24"/>
          <w:lang w:eastAsia="da-DK"/>
        </w:rPr>
        <w:tab/>
        <w:t xml:space="preserve">samtidig langvarig behandling med lægemidler, der inducerer leverenzymer, såsom </w:t>
      </w:r>
      <w:proofErr w:type="spellStart"/>
      <w:r w:rsidRPr="00840D7C">
        <w:rPr>
          <w:color w:val="000000"/>
          <w:sz w:val="24"/>
          <w:szCs w:val="24"/>
          <w:lang w:eastAsia="da-DK"/>
        </w:rPr>
        <w:t>carbamazepin</w:t>
      </w:r>
      <w:proofErr w:type="spellEnd"/>
      <w:r w:rsidRPr="00840D7C">
        <w:rPr>
          <w:color w:val="000000"/>
          <w:sz w:val="24"/>
          <w:szCs w:val="24"/>
          <w:lang w:eastAsia="da-DK"/>
        </w:rPr>
        <w:t xml:space="preserve">, </w:t>
      </w:r>
      <w:proofErr w:type="spellStart"/>
      <w:r w:rsidRPr="00840D7C">
        <w:rPr>
          <w:color w:val="000000"/>
          <w:sz w:val="24"/>
          <w:szCs w:val="24"/>
          <w:lang w:eastAsia="da-DK"/>
        </w:rPr>
        <w:t>phenytoin</w:t>
      </w:r>
      <w:proofErr w:type="spellEnd"/>
      <w:r w:rsidRPr="00840D7C">
        <w:rPr>
          <w:color w:val="000000"/>
          <w:sz w:val="24"/>
          <w:szCs w:val="24"/>
          <w:lang w:eastAsia="da-DK"/>
        </w:rPr>
        <w:t xml:space="preserve">, </w:t>
      </w:r>
      <w:proofErr w:type="spellStart"/>
      <w:r w:rsidRPr="00840D7C">
        <w:rPr>
          <w:color w:val="000000"/>
          <w:sz w:val="24"/>
          <w:szCs w:val="24"/>
          <w:lang w:eastAsia="da-DK"/>
        </w:rPr>
        <w:t>primidon</w:t>
      </w:r>
      <w:proofErr w:type="spellEnd"/>
      <w:r w:rsidRPr="00840D7C">
        <w:rPr>
          <w:color w:val="000000"/>
          <w:sz w:val="24"/>
          <w:szCs w:val="24"/>
          <w:lang w:eastAsia="da-DK"/>
        </w:rPr>
        <w:t xml:space="preserve">, </w:t>
      </w:r>
      <w:proofErr w:type="spellStart"/>
      <w:r w:rsidRPr="00840D7C">
        <w:rPr>
          <w:color w:val="000000"/>
          <w:sz w:val="24"/>
          <w:szCs w:val="24"/>
          <w:lang w:eastAsia="da-DK"/>
        </w:rPr>
        <w:t>rifampicin</w:t>
      </w:r>
      <w:proofErr w:type="spellEnd"/>
      <w:r w:rsidRPr="00840D7C">
        <w:rPr>
          <w:color w:val="000000"/>
          <w:sz w:val="24"/>
          <w:szCs w:val="24"/>
          <w:lang w:eastAsia="da-DK"/>
        </w:rPr>
        <w:t xml:space="preserve"> eller perikon (se pkt. 4.5).</w:t>
      </w:r>
    </w:p>
    <w:p w:rsidR="00F63458" w:rsidRPr="00840D7C" w:rsidRDefault="00F63458" w:rsidP="00F63458">
      <w:pPr>
        <w:ind w:left="851" w:hanging="10"/>
        <w:rPr>
          <w:color w:val="000000"/>
          <w:sz w:val="24"/>
          <w:szCs w:val="24"/>
          <w:lang w:eastAsia="da-DK"/>
        </w:rPr>
      </w:pPr>
    </w:p>
    <w:p w:rsidR="00F63458" w:rsidRPr="00840D7C" w:rsidRDefault="00F63458" w:rsidP="00F63458">
      <w:pPr>
        <w:ind w:left="851" w:hanging="10"/>
        <w:rPr>
          <w:color w:val="000000"/>
          <w:sz w:val="24"/>
          <w:szCs w:val="24"/>
          <w:lang w:eastAsia="da-DK"/>
        </w:rPr>
      </w:pPr>
      <w:r w:rsidRPr="00840D7C">
        <w:rPr>
          <w:color w:val="000000"/>
          <w:sz w:val="24"/>
          <w:szCs w:val="24"/>
          <w:lang w:eastAsia="da-DK"/>
        </w:rPr>
        <w:t>Den daglige dosis bør ikke overstige 60 mg/kg/dag (højst 2 g/dag) i følgende situationer:</w:t>
      </w:r>
    </w:p>
    <w:p w:rsidR="00F63458" w:rsidRPr="00840D7C" w:rsidRDefault="00F63458" w:rsidP="00F63458">
      <w:pPr>
        <w:ind w:left="1134" w:hanging="293"/>
        <w:rPr>
          <w:color w:val="000000"/>
          <w:sz w:val="24"/>
          <w:szCs w:val="24"/>
          <w:lang w:eastAsia="da-DK"/>
        </w:rPr>
      </w:pPr>
      <w:r w:rsidRPr="00840D7C">
        <w:rPr>
          <w:color w:val="000000"/>
          <w:sz w:val="24"/>
          <w:szCs w:val="24"/>
          <w:lang w:eastAsia="da-DK"/>
        </w:rPr>
        <w:t>-</w:t>
      </w:r>
      <w:r w:rsidRPr="00840D7C">
        <w:rPr>
          <w:color w:val="000000"/>
          <w:sz w:val="24"/>
          <w:szCs w:val="24"/>
          <w:lang w:eastAsia="da-DK"/>
        </w:rPr>
        <w:tab/>
        <w:t>mild til moderat leverinsufficiens, Gilberts syndrom (familiær, ikke-</w:t>
      </w:r>
      <w:proofErr w:type="spellStart"/>
      <w:r w:rsidRPr="00840D7C">
        <w:rPr>
          <w:color w:val="000000"/>
          <w:sz w:val="24"/>
          <w:szCs w:val="24"/>
          <w:lang w:eastAsia="da-DK"/>
        </w:rPr>
        <w:t>hæmolytisk</w:t>
      </w:r>
      <w:proofErr w:type="spellEnd"/>
      <w:r w:rsidRPr="00840D7C">
        <w:rPr>
          <w:color w:val="000000"/>
          <w:sz w:val="24"/>
          <w:szCs w:val="24"/>
          <w:lang w:eastAsia="da-DK"/>
        </w:rPr>
        <w:t xml:space="preserve"> gulsot)</w:t>
      </w:r>
    </w:p>
    <w:p w:rsidR="00F63458" w:rsidRPr="00840D7C" w:rsidRDefault="00F63458" w:rsidP="00F63458">
      <w:pPr>
        <w:ind w:left="1134" w:hanging="293"/>
        <w:rPr>
          <w:color w:val="000000"/>
          <w:sz w:val="24"/>
          <w:szCs w:val="24"/>
          <w:lang w:eastAsia="da-DK"/>
        </w:rPr>
      </w:pPr>
      <w:r w:rsidRPr="00840D7C">
        <w:rPr>
          <w:color w:val="000000"/>
          <w:sz w:val="24"/>
          <w:szCs w:val="24"/>
          <w:lang w:eastAsia="da-DK"/>
        </w:rPr>
        <w:t>-</w:t>
      </w:r>
      <w:r w:rsidRPr="00840D7C">
        <w:rPr>
          <w:color w:val="000000"/>
          <w:sz w:val="24"/>
          <w:szCs w:val="24"/>
          <w:lang w:eastAsia="da-DK"/>
        </w:rPr>
        <w:tab/>
        <w:t>dehydrering</w:t>
      </w:r>
    </w:p>
    <w:p w:rsidR="00F63458" w:rsidRPr="00840D7C" w:rsidRDefault="00F63458" w:rsidP="00F63458">
      <w:pPr>
        <w:ind w:left="1134" w:hanging="293"/>
        <w:rPr>
          <w:color w:val="000000"/>
          <w:sz w:val="24"/>
          <w:szCs w:val="24"/>
          <w:lang w:eastAsia="da-DK"/>
        </w:rPr>
      </w:pPr>
      <w:r w:rsidRPr="00840D7C">
        <w:rPr>
          <w:color w:val="000000"/>
          <w:sz w:val="24"/>
          <w:szCs w:val="24"/>
          <w:lang w:eastAsia="da-DK"/>
        </w:rPr>
        <w:t>-</w:t>
      </w:r>
      <w:r w:rsidRPr="00840D7C">
        <w:rPr>
          <w:color w:val="000000"/>
          <w:sz w:val="24"/>
          <w:szCs w:val="24"/>
          <w:lang w:eastAsia="da-DK"/>
        </w:rPr>
        <w:tab/>
        <w:t>kronisk underernæring</w:t>
      </w:r>
    </w:p>
    <w:p w:rsidR="00F63458" w:rsidRPr="00840D7C" w:rsidRDefault="00F63458" w:rsidP="00F63458">
      <w:pPr>
        <w:ind w:left="1134" w:hanging="293"/>
        <w:rPr>
          <w:color w:val="000000"/>
          <w:sz w:val="24"/>
          <w:szCs w:val="24"/>
          <w:lang w:eastAsia="da-DK"/>
        </w:rPr>
      </w:pPr>
      <w:r w:rsidRPr="00840D7C">
        <w:rPr>
          <w:color w:val="000000"/>
          <w:sz w:val="24"/>
          <w:szCs w:val="24"/>
          <w:lang w:eastAsia="da-DK"/>
        </w:rPr>
        <w:t>-</w:t>
      </w:r>
      <w:r w:rsidRPr="00840D7C">
        <w:rPr>
          <w:color w:val="000000"/>
          <w:sz w:val="24"/>
          <w:szCs w:val="24"/>
          <w:lang w:eastAsia="da-DK"/>
        </w:rPr>
        <w:tab/>
        <w:t xml:space="preserve">kronisk alkoholisme </w:t>
      </w:r>
    </w:p>
    <w:p w:rsidR="00F63458" w:rsidRPr="00840D7C" w:rsidRDefault="00F63458" w:rsidP="00F63458">
      <w:pPr>
        <w:ind w:left="1134" w:hanging="293"/>
        <w:rPr>
          <w:color w:val="000000"/>
          <w:sz w:val="24"/>
          <w:szCs w:val="24"/>
          <w:lang w:eastAsia="da-DK"/>
        </w:rPr>
      </w:pPr>
      <w:r w:rsidRPr="00840D7C">
        <w:rPr>
          <w:color w:val="000000"/>
          <w:sz w:val="24"/>
          <w:szCs w:val="24"/>
          <w:lang w:eastAsia="da-DK"/>
        </w:rPr>
        <w:t>-</w:t>
      </w:r>
      <w:r w:rsidRPr="00840D7C">
        <w:rPr>
          <w:color w:val="000000"/>
          <w:sz w:val="24"/>
          <w:szCs w:val="24"/>
          <w:lang w:eastAsia="da-DK"/>
        </w:rPr>
        <w:tab/>
        <w:t>vægt under 50 kg</w:t>
      </w:r>
    </w:p>
    <w:p w:rsidR="00F63458" w:rsidRPr="00840D7C" w:rsidRDefault="00F63458" w:rsidP="00F63458">
      <w:pPr>
        <w:ind w:left="1134" w:hanging="293"/>
        <w:rPr>
          <w:color w:val="000000"/>
          <w:sz w:val="24"/>
          <w:szCs w:val="24"/>
          <w:lang w:eastAsia="da-DK"/>
        </w:rPr>
      </w:pPr>
    </w:p>
    <w:p w:rsidR="00F63458" w:rsidRPr="00840D7C" w:rsidRDefault="00F63458" w:rsidP="00F63458">
      <w:pPr>
        <w:ind w:left="851" w:hanging="10"/>
        <w:rPr>
          <w:color w:val="000000"/>
          <w:sz w:val="24"/>
          <w:szCs w:val="24"/>
          <w:lang w:eastAsia="da-DK"/>
        </w:rPr>
      </w:pPr>
      <w:r w:rsidRPr="00840D7C">
        <w:rPr>
          <w:color w:val="000000"/>
          <w:sz w:val="24"/>
          <w:szCs w:val="24"/>
          <w:lang w:eastAsia="da-DK"/>
        </w:rPr>
        <w:t>Paracetamol bør administreres med forsigtighed i følgende situationer:</w:t>
      </w:r>
    </w:p>
    <w:p w:rsidR="00F63458" w:rsidRPr="00840D7C" w:rsidRDefault="00F63458" w:rsidP="00F63458">
      <w:pPr>
        <w:numPr>
          <w:ilvl w:val="0"/>
          <w:numId w:val="6"/>
        </w:numPr>
        <w:ind w:left="1134" w:hanging="293"/>
        <w:rPr>
          <w:color w:val="000000"/>
          <w:sz w:val="24"/>
          <w:szCs w:val="24"/>
          <w:lang w:eastAsia="da-DK"/>
        </w:rPr>
      </w:pPr>
      <w:r w:rsidRPr="00840D7C">
        <w:rPr>
          <w:color w:val="000000"/>
          <w:sz w:val="24"/>
          <w:szCs w:val="24"/>
          <w:lang w:eastAsia="da-DK"/>
        </w:rPr>
        <w:t>Leverinsufficiens</w:t>
      </w:r>
    </w:p>
    <w:p w:rsidR="00F63458" w:rsidRPr="00840D7C" w:rsidRDefault="00F63458" w:rsidP="00F63458">
      <w:pPr>
        <w:numPr>
          <w:ilvl w:val="0"/>
          <w:numId w:val="6"/>
        </w:numPr>
        <w:ind w:left="1134" w:hanging="293"/>
        <w:rPr>
          <w:color w:val="000000"/>
          <w:sz w:val="24"/>
          <w:szCs w:val="24"/>
          <w:lang w:eastAsia="da-DK"/>
        </w:rPr>
      </w:pPr>
      <w:r w:rsidRPr="00840D7C">
        <w:rPr>
          <w:color w:val="000000"/>
          <w:sz w:val="24"/>
          <w:szCs w:val="24"/>
          <w:lang w:eastAsia="da-DK"/>
        </w:rPr>
        <w:t>Kronisk alkoholisme</w:t>
      </w:r>
    </w:p>
    <w:p w:rsidR="00F63458" w:rsidRPr="00840D7C" w:rsidRDefault="00F63458" w:rsidP="00F63458">
      <w:pPr>
        <w:numPr>
          <w:ilvl w:val="0"/>
          <w:numId w:val="6"/>
        </w:numPr>
        <w:ind w:left="1134" w:hanging="293"/>
        <w:rPr>
          <w:color w:val="000000"/>
          <w:sz w:val="24"/>
          <w:szCs w:val="24"/>
          <w:lang w:eastAsia="da-DK"/>
        </w:rPr>
      </w:pPr>
      <w:r w:rsidRPr="00840D7C">
        <w:rPr>
          <w:color w:val="000000"/>
          <w:sz w:val="24"/>
          <w:szCs w:val="24"/>
          <w:lang w:eastAsia="da-DK"/>
        </w:rPr>
        <w:t xml:space="preserve">Nyreinsufficiens (GFR </w:t>
      </w:r>
      <w:r w:rsidRPr="00840D7C">
        <w:rPr>
          <w:color w:val="000000"/>
          <w:sz w:val="24"/>
          <w:szCs w:val="24"/>
          <w:cs/>
          <w:lang w:eastAsia="da-DK"/>
        </w:rPr>
        <w:t xml:space="preserve">≤ </w:t>
      </w:r>
      <w:r w:rsidRPr="00840D7C">
        <w:rPr>
          <w:color w:val="000000"/>
          <w:sz w:val="24"/>
          <w:szCs w:val="24"/>
          <w:lang w:eastAsia="da-DK"/>
        </w:rPr>
        <w:t>50 ml/min.)</w:t>
      </w:r>
    </w:p>
    <w:p w:rsidR="00F63458" w:rsidRPr="00840D7C" w:rsidRDefault="00F63458" w:rsidP="00F63458">
      <w:pPr>
        <w:numPr>
          <w:ilvl w:val="0"/>
          <w:numId w:val="6"/>
        </w:numPr>
        <w:ind w:left="1134" w:hanging="293"/>
        <w:rPr>
          <w:color w:val="000000"/>
          <w:sz w:val="24"/>
          <w:szCs w:val="24"/>
          <w:lang w:eastAsia="da-DK"/>
        </w:rPr>
      </w:pPr>
      <w:r w:rsidRPr="00840D7C">
        <w:rPr>
          <w:color w:val="000000"/>
          <w:sz w:val="24"/>
          <w:szCs w:val="24"/>
          <w:lang w:eastAsia="da-DK"/>
        </w:rPr>
        <w:t>Gilberts syndrom (familiær, ikke-</w:t>
      </w:r>
      <w:proofErr w:type="spellStart"/>
      <w:r w:rsidRPr="00840D7C">
        <w:rPr>
          <w:color w:val="000000"/>
          <w:sz w:val="24"/>
          <w:szCs w:val="24"/>
          <w:lang w:eastAsia="da-DK"/>
        </w:rPr>
        <w:t>hæmolytisk</w:t>
      </w:r>
      <w:proofErr w:type="spellEnd"/>
      <w:r w:rsidRPr="00840D7C">
        <w:rPr>
          <w:color w:val="000000"/>
          <w:sz w:val="24"/>
          <w:szCs w:val="24"/>
          <w:lang w:eastAsia="da-DK"/>
        </w:rPr>
        <w:t xml:space="preserve"> gulsot)</w:t>
      </w:r>
    </w:p>
    <w:p w:rsidR="00F63458" w:rsidRPr="00840D7C" w:rsidRDefault="00F63458" w:rsidP="00F63458">
      <w:pPr>
        <w:numPr>
          <w:ilvl w:val="0"/>
          <w:numId w:val="6"/>
        </w:numPr>
        <w:ind w:left="1134" w:hanging="293"/>
        <w:rPr>
          <w:color w:val="000000"/>
          <w:sz w:val="24"/>
          <w:szCs w:val="24"/>
          <w:lang w:eastAsia="da-DK"/>
        </w:rPr>
      </w:pPr>
      <w:r w:rsidRPr="00840D7C">
        <w:rPr>
          <w:color w:val="000000"/>
          <w:sz w:val="24"/>
          <w:szCs w:val="24"/>
          <w:lang w:eastAsia="da-DK"/>
        </w:rPr>
        <w:t>Samtidig behandling med lægemidler, der påvirker leverfunktionen</w:t>
      </w:r>
    </w:p>
    <w:p w:rsidR="00F63458" w:rsidRPr="00840D7C" w:rsidRDefault="00F63458" w:rsidP="00F63458">
      <w:pPr>
        <w:numPr>
          <w:ilvl w:val="0"/>
          <w:numId w:val="6"/>
        </w:numPr>
        <w:ind w:left="1134" w:hanging="293"/>
        <w:rPr>
          <w:color w:val="000000"/>
          <w:sz w:val="24"/>
          <w:szCs w:val="24"/>
          <w:lang w:eastAsia="da-DK"/>
        </w:rPr>
      </w:pPr>
      <w:r w:rsidRPr="00840D7C">
        <w:rPr>
          <w:color w:val="000000"/>
          <w:sz w:val="24"/>
          <w:szCs w:val="24"/>
          <w:lang w:eastAsia="da-DK"/>
        </w:rPr>
        <w:t>Glucose-6-phosphatdehydrogenasemangel</w:t>
      </w:r>
    </w:p>
    <w:p w:rsidR="00F63458" w:rsidRPr="00840D7C" w:rsidRDefault="00F63458" w:rsidP="00F63458">
      <w:pPr>
        <w:numPr>
          <w:ilvl w:val="0"/>
          <w:numId w:val="6"/>
        </w:numPr>
        <w:ind w:left="1134" w:hanging="293"/>
        <w:rPr>
          <w:color w:val="000000"/>
          <w:sz w:val="24"/>
          <w:szCs w:val="24"/>
          <w:lang w:eastAsia="da-DK"/>
        </w:rPr>
      </w:pPr>
      <w:proofErr w:type="spellStart"/>
      <w:r w:rsidRPr="00840D7C">
        <w:rPr>
          <w:color w:val="000000"/>
          <w:sz w:val="24"/>
          <w:szCs w:val="24"/>
          <w:lang w:eastAsia="da-DK"/>
        </w:rPr>
        <w:t>Hæmolytisk</w:t>
      </w:r>
      <w:proofErr w:type="spellEnd"/>
      <w:r w:rsidRPr="00840D7C">
        <w:rPr>
          <w:color w:val="000000"/>
          <w:sz w:val="24"/>
          <w:szCs w:val="24"/>
          <w:lang w:eastAsia="da-DK"/>
        </w:rPr>
        <w:t xml:space="preserve"> anæmi</w:t>
      </w:r>
    </w:p>
    <w:p w:rsidR="00F63458" w:rsidRPr="00840D7C" w:rsidRDefault="00F63458" w:rsidP="00F63458">
      <w:pPr>
        <w:numPr>
          <w:ilvl w:val="0"/>
          <w:numId w:val="6"/>
        </w:numPr>
        <w:ind w:left="1134" w:hanging="293"/>
        <w:rPr>
          <w:color w:val="000000"/>
          <w:sz w:val="24"/>
          <w:szCs w:val="24"/>
          <w:lang w:eastAsia="da-DK"/>
        </w:rPr>
      </w:pPr>
      <w:proofErr w:type="spellStart"/>
      <w:r w:rsidRPr="00840D7C">
        <w:rPr>
          <w:color w:val="000000"/>
          <w:sz w:val="24"/>
          <w:szCs w:val="24"/>
          <w:lang w:eastAsia="da-DK"/>
        </w:rPr>
        <w:t>Glutathionmangel</w:t>
      </w:r>
      <w:proofErr w:type="spellEnd"/>
    </w:p>
    <w:p w:rsidR="00F63458" w:rsidRPr="00840D7C" w:rsidRDefault="00F63458" w:rsidP="00F63458">
      <w:pPr>
        <w:numPr>
          <w:ilvl w:val="0"/>
          <w:numId w:val="6"/>
        </w:numPr>
        <w:ind w:left="1134" w:hanging="293"/>
        <w:rPr>
          <w:color w:val="000000"/>
          <w:sz w:val="24"/>
          <w:szCs w:val="24"/>
          <w:lang w:eastAsia="da-DK"/>
        </w:rPr>
      </w:pPr>
      <w:r w:rsidRPr="00840D7C">
        <w:rPr>
          <w:color w:val="000000"/>
          <w:sz w:val="24"/>
          <w:szCs w:val="24"/>
          <w:lang w:eastAsia="da-DK"/>
        </w:rPr>
        <w:t>Dehydrering</w:t>
      </w:r>
    </w:p>
    <w:p w:rsidR="00F63458" w:rsidRPr="00840D7C" w:rsidRDefault="00F63458" w:rsidP="00F63458">
      <w:pPr>
        <w:numPr>
          <w:ilvl w:val="0"/>
          <w:numId w:val="6"/>
        </w:numPr>
        <w:ind w:left="1134" w:hanging="293"/>
        <w:rPr>
          <w:color w:val="000000"/>
          <w:sz w:val="24"/>
          <w:szCs w:val="24"/>
          <w:lang w:eastAsia="da-DK"/>
        </w:rPr>
      </w:pPr>
      <w:r w:rsidRPr="00840D7C">
        <w:rPr>
          <w:color w:val="000000"/>
          <w:sz w:val="24"/>
          <w:szCs w:val="24"/>
          <w:lang w:eastAsia="da-DK"/>
        </w:rPr>
        <w:t>Kronisk underernæring</w:t>
      </w:r>
    </w:p>
    <w:p w:rsidR="00F63458" w:rsidRPr="00840D7C" w:rsidRDefault="00F63458" w:rsidP="00F63458">
      <w:pPr>
        <w:numPr>
          <w:ilvl w:val="0"/>
          <w:numId w:val="6"/>
        </w:numPr>
        <w:ind w:left="1134" w:hanging="293"/>
        <w:rPr>
          <w:color w:val="000000"/>
          <w:sz w:val="24"/>
          <w:szCs w:val="24"/>
          <w:lang w:eastAsia="da-DK"/>
        </w:rPr>
      </w:pPr>
      <w:r w:rsidRPr="00840D7C">
        <w:rPr>
          <w:color w:val="000000"/>
          <w:sz w:val="24"/>
          <w:szCs w:val="24"/>
          <w:lang w:eastAsia="da-DK"/>
        </w:rPr>
        <w:t>Vægt under 50 kg</w:t>
      </w:r>
    </w:p>
    <w:p w:rsidR="00F63458" w:rsidRPr="00840D7C" w:rsidRDefault="00F63458" w:rsidP="00F63458">
      <w:pPr>
        <w:numPr>
          <w:ilvl w:val="0"/>
          <w:numId w:val="6"/>
        </w:numPr>
        <w:ind w:left="1134" w:hanging="293"/>
        <w:rPr>
          <w:color w:val="000000"/>
          <w:sz w:val="24"/>
          <w:szCs w:val="24"/>
          <w:lang w:eastAsia="da-DK"/>
        </w:rPr>
      </w:pPr>
      <w:r w:rsidRPr="00840D7C">
        <w:rPr>
          <w:color w:val="000000"/>
          <w:sz w:val="24"/>
          <w:szCs w:val="24"/>
          <w:lang w:eastAsia="da-DK"/>
        </w:rPr>
        <w:t>Ældre</w:t>
      </w:r>
    </w:p>
    <w:p w:rsidR="00F63458" w:rsidRPr="00840D7C" w:rsidRDefault="00F63458" w:rsidP="00F63458">
      <w:pPr>
        <w:numPr>
          <w:ilvl w:val="0"/>
          <w:numId w:val="6"/>
        </w:numPr>
        <w:ind w:left="1134" w:hanging="293"/>
        <w:rPr>
          <w:color w:val="000000"/>
          <w:sz w:val="24"/>
          <w:szCs w:val="24"/>
          <w:lang w:eastAsia="da-DK"/>
        </w:rPr>
      </w:pPr>
      <w:r w:rsidRPr="00840D7C">
        <w:rPr>
          <w:color w:val="000000"/>
          <w:sz w:val="24"/>
          <w:szCs w:val="24"/>
          <w:lang w:eastAsia="da-DK"/>
        </w:rPr>
        <w:t>Hjerte- eller lungesygdomme</w:t>
      </w:r>
    </w:p>
    <w:p w:rsidR="00F63458" w:rsidRPr="00840D7C" w:rsidRDefault="00F63458" w:rsidP="00F63458">
      <w:pPr>
        <w:numPr>
          <w:ilvl w:val="0"/>
          <w:numId w:val="6"/>
        </w:numPr>
        <w:ind w:left="1134" w:hanging="293"/>
        <w:rPr>
          <w:color w:val="000000"/>
          <w:sz w:val="24"/>
          <w:szCs w:val="24"/>
          <w:lang w:eastAsia="da-DK"/>
        </w:rPr>
      </w:pPr>
      <w:r w:rsidRPr="00840D7C">
        <w:rPr>
          <w:color w:val="000000"/>
          <w:sz w:val="24"/>
          <w:szCs w:val="24"/>
          <w:lang w:eastAsia="da-DK"/>
        </w:rPr>
        <w:t>Astmapatienter, der er følsomme over for acetylsalicylsyre</w:t>
      </w:r>
    </w:p>
    <w:p w:rsidR="00F63458" w:rsidRPr="00840D7C" w:rsidRDefault="00F63458" w:rsidP="00F63458">
      <w:pPr>
        <w:ind w:left="1134" w:hanging="293"/>
        <w:rPr>
          <w:color w:val="000000"/>
          <w:sz w:val="24"/>
          <w:szCs w:val="24"/>
          <w:lang w:eastAsia="da-DK"/>
        </w:rPr>
      </w:pPr>
    </w:p>
    <w:p w:rsidR="00F573B2" w:rsidRDefault="00F573B2" w:rsidP="00F573B2">
      <w:pPr>
        <w:ind w:left="851" w:hanging="10"/>
        <w:rPr>
          <w:color w:val="000000"/>
          <w:sz w:val="24"/>
          <w:szCs w:val="24"/>
          <w:lang w:eastAsia="da-DK"/>
        </w:rPr>
      </w:pPr>
      <w:r>
        <w:rPr>
          <w:color w:val="000000"/>
          <w:sz w:val="24"/>
          <w:szCs w:val="24"/>
          <w:lang w:eastAsia="da-DK"/>
        </w:rPr>
        <w:t xml:space="preserve">Forsigtighed tilrådes, når paracetamol gives samtidigt med </w:t>
      </w:r>
      <w:proofErr w:type="spellStart"/>
      <w:r>
        <w:rPr>
          <w:color w:val="000000"/>
          <w:sz w:val="24"/>
          <w:szCs w:val="24"/>
          <w:lang w:eastAsia="da-DK"/>
        </w:rPr>
        <w:t>flucloxacillin</w:t>
      </w:r>
      <w:proofErr w:type="spellEnd"/>
      <w:r>
        <w:rPr>
          <w:color w:val="000000"/>
          <w:sz w:val="24"/>
          <w:szCs w:val="24"/>
          <w:lang w:eastAsia="da-DK"/>
        </w:rPr>
        <w:t xml:space="preserve"> på grund af den forhøjede risiko for metabolisk </w:t>
      </w:r>
      <w:proofErr w:type="spellStart"/>
      <w:r>
        <w:rPr>
          <w:color w:val="000000"/>
          <w:sz w:val="24"/>
          <w:szCs w:val="24"/>
          <w:lang w:eastAsia="da-DK"/>
        </w:rPr>
        <w:t>acidose</w:t>
      </w:r>
      <w:proofErr w:type="spellEnd"/>
      <w:r>
        <w:rPr>
          <w:color w:val="000000"/>
          <w:sz w:val="24"/>
          <w:szCs w:val="24"/>
          <w:lang w:eastAsia="da-DK"/>
        </w:rPr>
        <w:t xml:space="preserve"> med højt anion-</w:t>
      </w:r>
      <w:proofErr w:type="spellStart"/>
      <w:r>
        <w:rPr>
          <w:color w:val="000000"/>
          <w:sz w:val="24"/>
          <w:szCs w:val="24"/>
          <w:lang w:eastAsia="da-DK"/>
        </w:rPr>
        <w:t>gap</w:t>
      </w:r>
      <w:proofErr w:type="spellEnd"/>
      <w:r>
        <w:rPr>
          <w:color w:val="000000"/>
          <w:sz w:val="24"/>
          <w:szCs w:val="24"/>
          <w:lang w:eastAsia="da-DK"/>
        </w:rPr>
        <w:t xml:space="preserve"> (HAGMA), særligt for patienter med svært nedsat nyrefunktion, sepsis, fejlernæring og andre kilder til </w:t>
      </w:r>
      <w:proofErr w:type="spellStart"/>
      <w:r>
        <w:rPr>
          <w:color w:val="000000"/>
          <w:sz w:val="24"/>
          <w:szCs w:val="24"/>
          <w:lang w:eastAsia="da-DK"/>
        </w:rPr>
        <w:t>glutathionmangel</w:t>
      </w:r>
      <w:proofErr w:type="spellEnd"/>
      <w:r>
        <w:rPr>
          <w:color w:val="000000"/>
          <w:sz w:val="24"/>
          <w:szCs w:val="24"/>
          <w:lang w:eastAsia="da-DK"/>
        </w:rPr>
        <w:t xml:space="preserve"> (f.eks. kronisk alkoholisme), så vel som for dem, der anvender maksimale daglige doser af paracetamol. Tæt monitorering anbefales herunder måling af 5-oxoprolin i urinen.</w:t>
      </w:r>
    </w:p>
    <w:p w:rsidR="00F573B2" w:rsidRDefault="00F573B2" w:rsidP="00F63458">
      <w:pPr>
        <w:ind w:left="851" w:hanging="10"/>
        <w:rPr>
          <w:color w:val="000000"/>
          <w:sz w:val="24"/>
          <w:szCs w:val="24"/>
          <w:lang w:eastAsia="da-DK"/>
        </w:rPr>
      </w:pPr>
    </w:p>
    <w:p w:rsidR="00F63458" w:rsidRPr="00840D7C" w:rsidRDefault="00F63458" w:rsidP="00F63458">
      <w:pPr>
        <w:ind w:left="851" w:hanging="10"/>
        <w:rPr>
          <w:color w:val="000000"/>
          <w:sz w:val="24"/>
          <w:szCs w:val="24"/>
          <w:lang w:eastAsia="da-DK"/>
        </w:rPr>
      </w:pPr>
      <w:r w:rsidRPr="00840D7C">
        <w:rPr>
          <w:color w:val="000000"/>
          <w:sz w:val="24"/>
          <w:szCs w:val="24"/>
          <w:lang w:eastAsia="da-DK"/>
        </w:rPr>
        <w:t>Der er indberettet meget sjældne tilfælde af alvorlige hudreaktioner, herunder Stevens-</w:t>
      </w:r>
      <w:proofErr w:type="spellStart"/>
      <w:r w:rsidRPr="00840D7C">
        <w:rPr>
          <w:color w:val="000000"/>
          <w:sz w:val="24"/>
          <w:szCs w:val="24"/>
          <w:lang w:eastAsia="da-DK"/>
        </w:rPr>
        <w:t>Johnson</w:t>
      </w:r>
      <w:r>
        <w:rPr>
          <w:color w:val="000000"/>
          <w:sz w:val="24"/>
          <w:szCs w:val="24"/>
          <w:lang w:eastAsia="da-DK"/>
        </w:rPr>
        <w:t>'</w:t>
      </w:r>
      <w:r w:rsidRPr="00840D7C">
        <w:rPr>
          <w:color w:val="000000"/>
          <w:sz w:val="24"/>
          <w:szCs w:val="24"/>
          <w:lang w:eastAsia="da-DK"/>
        </w:rPr>
        <w:t>s</w:t>
      </w:r>
      <w:proofErr w:type="spellEnd"/>
      <w:r w:rsidRPr="00840D7C">
        <w:rPr>
          <w:color w:val="000000"/>
          <w:sz w:val="24"/>
          <w:szCs w:val="24"/>
          <w:lang w:eastAsia="da-DK"/>
        </w:rPr>
        <w:t xml:space="preserve"> syndrom og toksisk </w:t>
      </w:r>
      <w:proofErr w:type="spellStart"/>
      <w:r w:rsidRPr="00840D7C">
        <w:rPr>
          <w:color w:val="000000"/>
          <w:sz w:val="24"/>
          <w:szCs w:val="24"/>
          <w:lang w:eastAsia="da-DK"/>
        </w:rPr>
        <w:t>epidermal</w:t>
      </w:r>
      <w:proofErr w:type="spellEnd"/>
      <w:r w:rsidRPr="00840D7C">
        <w:rPr>
          <w:color w:val="000000"/>
          <w:sz w:val="24"/>
          <w:szCs w:val="24"/>
          <w:lang w:eastAsia="da-DK"/>
        </w:rPr>
        <w:t xml:space="preserve"> </w:t>
      </w:r>
      <w:proofErr w:type="spellStart"/>
      <w:r w:rsidRPr="00840D7C">
        <w:rPr>
          <w:color w:val="000000"/>
          <w:sz w:val="24"/>
          <w:szCs w:val="24"/>
          <w:lang w:eastAsia="da-DK"/>
        </w:rPr>
        <w:t>nekrolyse</w:t>
      </w:r>
      <w:proofErr w:type="spellEnd"/>
      <w:r w:rsidRPr="00840D7C">
        <w:rPr>
          <w:color w:val="000000"/>
          <w:sz w:val="24"/>
          <w:szCs w:val="24"/>
          <w:lang w:eastAsia="da-DK"/>
        </w:rPr>
        <w:t xml:space="preserve">, i forbindelse med paracetamol (se pkt. 4.8). Disse </w:t>
      </w:r>
      <w:r>
        <w:rPr>
          <w:color w:val="000000"/>
          <w:sz w:val="24"/>
          <w:szCs w:val="24"/>
          <w:lang w:eastAsia="da-DK"/>
        </w:rPr>
        <w:t>alvorlige</w:t>
      </w:r>
      <w:r w:rsidRPr="00840D7C">
        <w:rPr>
          <w:color w:val="000000"/>
          <w:sz w:val="24"/>
          <w:szCs w:val="24"/>
          <w:lang w:eastAsia="da-DK"/>
        </w:rPr>
        <w:t xml:space="preserve"> overfølsomhedsreaktioner er potentielt livstruende. Paracetamol bør seponeres ved første fremkomst af hududslæt, slimhindelæsioner eller andre tegn på overfølsomhed.</w:t>
      </w:r>
    </w:p>
    <w:p w:rsidR="00F63458" w:rsidRPr="00840D7C" w:rsidRDefault="00F63458" w:rsidP="00F63458">
      <w:pPr>
        <w:ind w:left="851" w:hanging="10"/>
        <w:rPr>
          <w:color w:val="000000"/>
          <w:sz w:val="24"/>
          <w:szCs w:val="24"/>
          <w:lang w:eastAsia="da-DK"/>
        </w:rPr>
      </w:pPr>
    </w:p>
    <w:p w:rsidR="00F63458" w:rsidRPr="00B6023E" w:rsidRDefault="00F63458" w:rsidP="00F63458">
      <w:pPr>
        <w:ind w:left="851" w:hanging="10"/>
        <w:rPr>
          <w:color w:val="000000"/>
          <w:sz w:val="24"/>
          <w:szCs w:val="24"/>
          <w:lang w:eastAsia="da-DK"/>
        </w:rPr>
      </w:pPr>
      <w:r w:rsidRPr="00840D7C">
        <w:rPr>
          <w:color w:val="000000"/>
          <w:sz w:val="24"/>
          <w:szCs w:val="24"/>
          <w:lang w:eastAsia="da-DK"/>
        </w:rPr>
        <w:t>Den kliniske situation skal revurderes i tilfælde af vedvarende smerter i mere end 5 dage eller feber i mere end 3 dage eller ved fremkomst eller forværring af andre symptomer.</w:t>
      </w:r>
    </w:p>
    <w:p w:rsidR="00F63458" w:rsidRPr="00C84483" w:rsidRDefault="00F63458" w:rsidP="00F63458">
      <w:pPr>
        <w:tabs>
          <w:tab w:val="left" w:pos="851"/>
        </w:tabs>
        <w:ind w:left="851"/>
        <w:rPr>
          <w:sz w:val="24"/>
          <w:szCs w:val="24"/>
        </w:rPr>
      </w:pPr>
    </w:p>
    <w:p w:rsidR="00F63458" w:rsidRPr="00C84483" w:rsidRDefault="00F63458" w:rsidP="00F63458">
      <w:pPr>
        <w:tabs>
          <w:tab w:val="left" w:pos="851"/>
        </w:tabs>
        <w:ind w:left="851" w:hanging="851"/>
        <w:rPr>
          <w:b/>
          <w:sz w:val="24"/>
          <w:szCs w:val="24"/>
        </w:rPr>
      </w:pPr>
      <w:r w:rsidRPr="00C84483">
        <w:rPr>
          <w:b/>
          <w:sz w:val="24"/>
          <w:szCs w:val="24"/>
        </w:rPr>
        <w:lastRenderedPageBreak/>
        <w:t>4.5</w:t>
      </w:r>
      <w:r w:rsidRPr="00C84483">
        <w:rPr>
          <w:b/>
          <w:sz w:val="24"/>
          <w:szCs w:val="24"/>
        </w:rPr>
        <w:tab/>
        <w:t>Interaktion med andre lægemidler og andre former for interaktion</w:t>
      </w:r>
    </w:p>
    <w:p w:rsidR="00F63458" w:rsidRPr="00840D7C" w:rsidRDefault="00F63458" w:rsidP="00F63458">
      <w:pPr>
        <w:ind w:left="851" w:hanging="10"/>
        <w:rPr>
          <w:color w:val="000000"/>
          <w:sz w:val="24"/>
          <w:szCs w:val="24"/>
          <w:lang w:eastAsia="da-DK"/>
        </w:rPr>
      </w:pPr>
    </w:p>
    <w:p w:rsidR="00F63458" w:rsidRPr="00840D7C" w:rsidRDefault="00F63458" w:rsidP="00F63458">
      <w:pPr>
        <w:ind w:left="851" w:hanging="10"/>
        <w:rPr>
          <w:color w:val="000000"/>
          <w:sz w:val="24"/>
          <w:szCs w:val="24"/>
          <w:u w:val="single"/>
          <w:lang w:eastAsia="da-DK"/>
        </w:rPr>
      </w:pPr>
      <w:proofErr w:type="spellStart"/>
      <w:r>
        <w:rPr>
          <w:color w:val="000000"/>
          <w:sz w:val="24"/>
          <w:szCs w:val="24"/>
          <w:u w:val="single"/>
          <w:lang w:eastAsia="da-DK"/>
        </w:rPr>
        <w:t>Farmakodynamiske</w:t>
      </w:r>
      <w:proofErr w:type="spellEnd"/>
      <w:r>
        <w:rPr>
          <w:color w:val="000000"/>
          <w:sz w:val="24"/>
          <w:szCs w:val="24"/>
          <w:u w:val="single"/>
          <w:lang w:eastAsia="da-DK"/>
        </w:rPr>
        <w:t xml:space="preserve"> interaktioner</w:t>
      </w:r>
    </w:p>
    <w:p w:rsidR="00F63458" w:rsidRPr="00840D7C" w:rsidRDefault="00F63458" w:rsidP="00F63458">
      <w:pPr>
        <w:ind w:left="851" w:hanging="10"/>
        <w:rPr>
          <w:color w:val="000000"/>
          <w:sz w:val="24"/>
          <w:szCs w:val="24"/>
          <w:lang w:eastAsia="da-DK"/>
        </w:rPr>
      </w:pPr>
      <w:r w:rsidRPr="00840D7C">
        <w:rPr>
          <w:color w:val="000000"/>
          <w:sz w:val="24"/>
          <w:szCs w:val="24"/>
          <w:lang w:eastAsia="da-DK"/>
        </w:rPr>
        <w:t xml:space="preserve">Regelmæssig brug af paracetamol kan forstærke den antikoagulerende virkning af </w:t>
      </w:r>
      <w:proofErr w:type="spellStart"/>
      <w:r w:rsidRPr="00840D7C">
        <w:rPr>
          <w:color w:val="000000"/>
          <w:sz w:val="24"/>
          <w:szCs w:val="24"/>
          <w:lang w:eastAsia="da-DK"/>
        </w:rPr>
        <w:t>warfarin</w:t>
      </w:r>
      <w:proofErr w:type="spellEnd"/>
      <w:r w:rsidRPr="00840D7C">
        <w:rPr>
          <w:color w:val="000000"/>
          <w:sz w:val="24"/>
          <w:szCs w:val="24"/>
          <w:lang w:eastAsia="da-DK"/>
        </w:rPr>
        <w:t xml:space="preserve"> og andre </w:t>
      </w:r>
      <w:proofErr w:type="spellStart"/>
      <w:r w:rsidRPr="00840D7C">
        <w:rPr>
          <w:color w:val="000000"/>
          <w:sz w:val="24"/>
          <w:szCs w:val="24"/>
          <w:lang w:eastAsia="da-DK"/>
        </w:rPr>
        <w:t>coumariner</w:t>
      </w:r>
      <w:proofErr w:type="spellEnd"/>
      <w:r w:rsidRPr="00840D7C">
        <w:rPr>
          <w:color w:val="000000"/>
          <w:sz w:val="24"/>
          <w:szCs w:val="24"/>
          <w:lang w:eastAsia="da-DK"/>
        </w:rPr>
        <w:t xml:space="preserve"> og øge risikoen for blødning. Denne virkning kan allerede indtræde efter 3 dage med daglige doser på 2.000 mg. Lejlighedsvise doser har ingen betydelig indvirkning på blødningstendensen. INR-værdierne bør kontrolleres oftere under og efter samtidig behandling.</w:t>
      </w:r>
    </w:p>
    <w:p w:rsidR="00F63458" w:rsidRPr="00840D7C" w:rsidRDefault="00F63458" w:rsidP="00F63458">
      <w:pPr>
        <w:ind w:left="851" w:hanging="10"/>
        <w:rPr>
          <w:color w:val="000000"/>
          <w:sz w:val="24"/>
          <w:szCs w:val="24"/>
          <w:lang w:eastAsia="da-DK"/>
        </w:rPr>
      </w:pPr>
    </w:p>
    <w:p w:rsidR="00F63458" w:rsidRPr="00840D7C" w:rsidRDefault="00F63458" w:rsidP="00F63458">
      <w:pPr>
        <w:ind w:left="851" w:hanging="10"/>
        <w:rPr>
          <w:color w:val="000000"/>
          <w:sz w:val="24"/>
          <w:szCs w:val="24"/>
          <w:u w:val="single"/>
          <w:lang w:eastAsia="da-DK"/>
        </w:rPr>
      </w:pPr>
      <w:proofErr w:type="spellStart"/>
      <w:r w:rsidRPr="00840D7C">
        <w:rPr>
          <w:color w:val="000000"/>
          <w:sz w:val="24"/>
          <w:szCs w:val="24"/>
          <w:u w:val="single"/>
          <w:lang w:eastAsia="da-DK"/>
        </w:rPr>
        <w:t>Farmakokinetiske</w:t>
      </w:r>
      <w:proofErr w:type="spellEnd"/>
      <w:r w:rsidRPr="00840D7C">
        <w:rPr>
          <w:color w:val="000000"/>
          <w:sz w:val="24"/>
          <w:szCs w:val="24"/>
          <w:u w:val="single"/>
          <w:lang w:eastAsia="da-DK"/>
        </w:rPr>
        <w:t xml:space="preserve"> interaktioner</w:t>
      </w:r>
    </w:p>
    <w:p w:rsidR="00F63458" w:rsidRPr="00840D7C" w:rsidRDefault="00F63458" w:rsidP="00F63458">
      <w:pPr>
        <w:ind w:left="851" w:hanging="10"/>
        <w:rPr>
          <w:color w:val="000000"/>
          <w:sz w:val="24"/>
          <w:szCs w:val="24"/>
          <w:lang w:eastAsia="da-DK"/>
        </w:rPr>
      </w:pPr>
      <w:r w:rsidRPr="00840D7C">
        <w:rPr>
          <w:color w:val="000000"/>
          <w:sz w:val="24"/>
          <w:szCs w:val="24"/>
          <w:lang w:eastAsia="da-DK"/>
        </w:rPr>
        <w:t xml:space="preserve">Samtidig indtagelse af lægemidler, der fremmer mavetømningen, såsom </w:t>
      </w:r>
      <w:proofErr w:type="spellStart"/>
      <w:r w:rsidRPr="00840D7C">
        <w:rPr>
          <w:color w:val="000000"/>
          <w:sz w:val="24"/>
          <w:szCs w:val="24"/>
          <w:lang w:eastAsia="da-DK"/>
        </w:rPr>
        <w:t>metoclopramid</w:t>
      </w:r>
      <w:proofErr w:type="spellEnd"/>
      <w:r w:rsidRPr="00840D7C">
        <w:rPr>
          <w:color w:val="000000"/>
          <w:sz w:val="24"/>
          <w:szCs w:val="24"/>
          <w:lang w:eastAsia="da-DK"/>
        </w:rPr>
        <w:t xml:space="preserve"> eller </w:t>
      </w:r>
      <w:proofErr w:type="spellStart"/>
      <w:r w:rsidRPr="00840D7C">
        <w:rPr>
          <w:color w:val="000000"/>
          <w:sz w:val="24"/>
          <w:szCs w:val="24"/>
          <w:lang w:eastAsia="da-DK"/>
        </w:rPr>
        <w:t>domperidon</w:t>
      </w:r>
      <w:proofErr w:type="spellEnd"/>
      <w:r w:rsidRPr="00840D7C">
        <w:rPr>
          <w:color w:val="000000"/>
          <w:sz w:val="24"/>
          <w:szCs w:val="24"/>
          <w:lang w:eastAsia="da-DK"/>
        </w:rPr>
        <w:t>, fremmer absorptionen af paracetamol, så virkningen indtræder hurtigere.</w:t>
      </w:r>
    </w:p>
    <w:p w:rsidR="00F63458" w:rsidRPr="00840D7C" w:rsidRDefault="00F63458" w:rsidP="00F63458">
      <w:pPr>
        <w:ind w:left="851" w:hanging="10"/>
        <w:rPr>
          <w:color w:val="000000"/>
          <w:sz w:val="24"/>
          <w:szCs w:val="24"/>
          <w:lang w:eastAsia="da-DK"/>
        </w:rPr>
      </w:pPr>
    </w:p>
    <w:p w:rsidR="00F63458" w:rsidRPr="00840D7C" w:rsidRDefault="00F63458" w:rsidP="00F63458">
      <w:pPr>
        <w:ind w:left="851" w:hanging="10"/>
        <w:rPr>
          <w:color w:val="000000"/>
          <w:sz w:val="24"/>
          <w:szCs w:val="24"/>
          <w:lang w:eastAsia="da-DK"/>
        </w:rPr>
      </w:pPr>
      <w:r w:rsidRPr="00840D7C">
        <w:rPr>
          <w:color w:val="000000"/>
          <w:sz w:val="24"/>
          <w:szCs w:val="24"/>
          <w:lang w:eastAsia="da-DK"/>
        </w:rPr>
        <w:t xml:space="preserve">Samtidig indtagelse af lægemidler, der sinker mavetømningen (såsom </w:t>
      </w:r>
      <w:proofErr w:type="spellStart"/>
      <w:r w:rsidRPr="00840D7C">
        <w:rPr>
          <w:color w:val="000000"/>
          <w:sz w:val="24"/>
          <w:szCs w:val="24"/>
          <w:lang w:eastAsia="da-DK"/>
        </w:rPr>
        <w:t>exenatid</w:t>
      </w:r>
      <w:proofErr w:type="spellEnd"/>
      <w:r w:rsidRPr="00840D7C">
        <w:rPr>
          <w:color w:val="000000"/>
          <w:sz w:val="24"/>
          <w:szCs w:val="24"/>
          <w:lang w:eastAsia="da-DK"/>
        </w:rPr>
        <w:t>), kan sinke absorptionen af paracetamol, så virkningen er længere om at indtræde.</w:t>
      </w:r>
    </w:p>
    <w:p w:rsidR="00F63458" w:rsidRPr="00840D7C" w:rsidRDefault="00F63458" w:rsidP="00F63458">
      <w:pPr>
        <w:ind w:left="851" w:hanging="10"/>
        <w:rPr>
          <w:color w:val="000000"/>
          <w:sz w:val="24"/>
          <w:szCs w:val="24"/>
          <w:lang w:eastAsia="da-DK"/>
        </w:rPr>
      </w:pPr>
    </w:p>
    <w:p w:rsidR="00F63458" w:rsidRPr="00840D7C" w:rsidRDefault="00F63458" w:rsidP="00F63458">
      <w:pPr>
        <w:ind w:left="851" w:hanging="10"/>
        <w:rPr>
          <w:color w:val="000000"/>
          <w:sz w:val="24"/>
          <w:szCs w:val="24"/>
          <w:lang w:eastAsia="da-DK"/>
        </w:rPr>
      </w:pPr>
      <w:proofErr w:type="spellStart"/>
      <w:r w:rsidRPr="00840D7C">
        <w:rPr>
          <w:color w:val="000000"/>
          <w:sz w:val="24"/>
          <w:szCs w:val="24"/>
          <w:lang w:eastAsia="da-DK"/>
        </w:rPr>
        <w:t>Cholestyramin</w:t>
      </w:r>
      <w:proofErr w:type="spellEnd"/>
      <w:r w:rsidRPr="00840D7C">
        <w:rPr>
          <w:color w:val="000000"/>
          <w:sz w:val="24"/>
          <w:szCs w:val="24"/>
          <w:lang w:eastAsia="da-DK"/>
        </w:rPr>
        <w:t xml:space="preserve"> reducerer absorptionen af paracetamol. For at opnå maksimal analgetisk virkning bør der ikke administreres </w:t>
      </w:r>
      <w:proofErr w:type="spellStart"/>
      <w:r w:rsidRPr="00840D7C">
        <w:rPr>
          <w:color w:val="000000"/>
          <w:sz w:val="24"/>
          <w:szCs w:val="24"/>
          <w:lang w:eastAsia="da-DK"/>
        </w:rPr>
        <w:t>cholestyramin</w:t>
      </w:r>
      <w:proofErr w:type="spellEnd"/>
      <w:r w:rsidRPr="00840D7C">
        <w:rPr>
          <w:color w:val="000000"/>
          <w:sz w:val="24"/>
          <w:szCs w:val="24"/>
          <w:lang w:eastAsia="da-DK"/>
        </w:rPr>
        <w:t xml:space="preserve"> i den første time efter administration af paracetamol.</w:t>
      </w:r>
    </w:p>
    <w:p w:rsidR="00F63458" w:rsidRPr="00840D7C" w:rsidRDefault="00F63458" w:rsidP="00F63458">
      <w:pPr>
        <w:ind w:left="851" w:hanging="10"/>
        <w:rPr>
          <w:color w:val="000000"/>
          <w:sz w:val="24"/>
          <w:szCs w:val="24"/>
          <w:lang w:eastAsia="da-DK"/>
        </w:rPr>
      </w:pPr>
    </w:p>
    <w:p w:rsidR="00F63458" w:rsidRPr="00840D7C" w:rsidRDefault="00F63458" w:rsidP="00F63458">
      <w:pPr>
        <w:ind w:left="851" w:hanging="10"/>
        <w:rPr>
          <w:color w:val="000000"/>
          <w:sz w:val="24"/>
          <w:szCs w:val="24"/>
          <w:lang w:eastAsia="da-DK"/>
        </w:rPr>
      </w:pPr>
      <w:proofErr w:type="spellStart"/>
      <w:r w:rsidRPr="00840D7C">
        <w:rPr>
          <w:color w:val="000000"/>
          <w:sz w:val="24"/>
          <w:szCs w:val="24"/>
          <w:lang w:eastAsia="da-DK"/>
        </w:rPr>
        <w:t>Isoniazid</w:t>
      </w:r>
      <w:proofErr w:type="spellEnd"/>
      <w:r w:rsidRPr="00840D7C">
        <w:rPr>
          <w:color w:val="000000"/>
          <w:sz w:val="24"/>
          <w:szCs w:val="24"/>
          <w:lang w:eastAsia="da-DK"/>
        </w:rPr>
        <w:t xml:space="preserve"> påvirker farmakokinetikken af paracetamol med potentielt øget levertoksicitet til følge.</w:t>
      </w:r>
    </w:p>
    <w:p w:rsidR="00F63458" w:rsidRPr="00840D7C" w:rsidRDefault="00F63458" w:rsidP="00F63458">
      <w:pPr>
        <w:ind w:left="851" w:hanging="10"/>
        <w:rPr>
          <w:color w:val="000000"/>
          <w:sz w:val="24"/>
          <w:szCs w:val="24"/>
          <w:lang w:eastAsia="da-DK"/>
        </w:rPr>
      </w:pPr>
    </w:p>
    <w:p w:rsidR="00F63458" w:rsidRPr="00840D7C" w:rsidRDefault="00F63458" w:rsidP="00F63458">
      <w:pPr>
        <w:ind w:left="851" w:hanging="10"/>
        <w:rPr>
          <w:color w:val="000000"/>
          <w:sz w:val="24"/>
          <w:szCs w:val="24"/>
          <w:lang w:eastAsia="da-DK"/>
        </w:rPr>
      </w:pPr>
      <w:proofErr w:type="spellStart"/>
      <w:r w:rsidRPr="00840D7C">
        <w:rPr>
          <w:color w:val="000000"/>
          <w:sz w:val="24"/>
          <w:szCs w:val="24"/>
          <w:lang w:eastAsia="da-DK"/>
        </w:rPr>
        <w:t>Probenecid</w:t>
      </w:r>
      <w:proofErr w:type="spellEnd"/>
      <w:r w:rsidRPr="00840D7C">
        <w:rPr>
          <w:color w:val="000000"/>
          <w:sz w:val="24"/>
          <w:szCs w:val="24"/>
          <w:lang w:eastAsia="da-DK"/>
        </w:rPr>
        <w:t xml:space="preserve"> hæmmer paracetamols binding til </w:t>
      </w:r>
      <w:proofErr w:type="spellStart"/>
      <w:r w:rsidRPr="00840D7C">
        <w:rPr>
          <w:color w:val="000000"/>
          <w:sz w:val="24"/>
          <w:szCs w:val="24"/>
          <w:lang w:eastAsia="da-DK"/>
        </w:rPr>
        <w:t>glukuronsyre</w:t>
      </w:r>
      <w:proofErr w:type="spellEnd"/>
      <w:r w:rsidRPr="00840D7C">
        <w:rPr>
          <w:color w:val="000000"/>
          <w:sz w:val="24"/>
          <w:szCs w:val="24"/>
          <w:lang w:eastAsia="da-DK"/>
        </w:rPr>
        <w:t xml:space="preserve">, hvilket bevirker, at paracetamols </w:t>
      </w:r>
      <w:proofErr w:type="spellStart"/>
      <w:r w:rsidRPr="00840D7C">
        <w:rPr>
          <w:color w:val="000000"/>
          <w:sz w:val="24"/>
          <w:szCs w:val="24"/>
          <w:lang w:eastAsia="da-DK"/>
        </w:rPr>
        <w:t>clearance</w:t>
      </w:r>
      <w:proofErr w:type="spellEnd"/>
      <w:r w:rsidRPr="00840D7C">
        <w:rPr>
          <w:color w:val="000000"/>
          <w:sz w:val="24"/>
          <w:szCs w:val="24"/>
          <w:lang w:eastAsia="da-DK"/>
        </w:rPr>
        <w:t xml:space="preserve"> reduceres med en faktor på cirka 2. Hos patienter i samtidig behandling med </w:t>
      </w:r>
      <w:proofErr w:type="spellStart"/>
      <w:r w:rsidRPr="00840D7C">
        <w:rPr>
          <w:color w:val="000000"/>
          <w:sz w:val="24"/>
          <w:szCs w:val="24"/>
          <w:lang w:eastAsia="da-DK"/>
        </w:rPr>
        <w:t>probenecid</w:t>
      </w:r>
      <w:proofErr w:type="spellEnd"/>
      <w:r w:rsidRPr="00840D7C">
        <w:rPr>
          <w:color w:val="000000"/>
          <w:sz w:val="24"/>
          <w:szCs w:val="24"/>
          <w:lang w:eastAsia="da-DK"/>
        </w:rPr>
        <w:t xml:space="preserve"> bør paracetamoldosis reduceres.</w:t>
      </w:r>
    </w:p>
    <w:p w:rsidR="00F63458" w:rsidRPr="00840D7C" w:rsidRDefault="00F63458" w:rsidP="00F63458">
      <w:pPr>
        <w:ind w:left="851" w:hanging="10"/>
        <w:rPr>
          <w:color w:val="000000"/>
          <w:sz w:val="24"/>
          <w:szCs w:val="24"/>
          <w:lang w:eastAsia="da-DK"/>
        </w:rPr>
      </w:pPr>
    </w:p>
    <w:p w:rsidR="00F63458" w:rsidRPr="00840D7C" w:rsidRDefault="00F63458" w:rsidP="00F63458">
      <w:pPr>
        <w:ind w:left="851" w:hanging="10"/>
        <w:rPr>
          <w:color w:val="000000"/>
          <w:sz w:val="24"/>
          <w:szCs w:val="24"/>
          <w:lang w:eastAsia="da-DK"/>
        </w:rPr>
      </w:pPr>
      <w:r w:rsidRPr="00840D7C">
        <w:rPr>
          <w:color w:val="000000"/>
          <w:sz w:val="24"/>
          <w:szCs w:val="24"/>
          <w:lang w:eastAsia="da-DK"/>
        </w:rPr>
        <w:t xml:space="preserve">Brug af lægemidler, der inducerer leverenzymer, såsom </w:t>
      </w:r>
      <w:proofErr w:type="spellStart"/>
      <w:r w:rsidRPr="00840D7C">
        <w:rPr>
          <w:color w:val="000000"/>
          <w:sz w:val="24"/>
          <w:szCs w:val="24"/>
          <w:lang w:eastAsia="da-DK"/>
        </w:rPr>
        <w:t>carbamazepin</w:t>
      </w:r>
      <w:proofErr w:type="spellEnd"/>
      <w:r w:rsidRPr="00840D7C">
        <w:rPr>
          <w:color w:val="000000"/>
          <w:sz w:val="24"/>
          <w:szCs w:val="24"/>
          <w:lang w:eastAsia="da-DK"/>
        </w:rPr>
        <w:t xml:space="preserve">, </w:t>
      </w:r>
      <w:proofErr w:type="spellStart"/>
      <w:r w:rsidRPr="00840D7C">
        <w:rPr>
          <w:color w:val="000000"/>
          <w:sz w:val="24"/>
          <w:szCs w:val="24"/>
          <w:lang w:eastAsia="da-DK"/>
        </w:rPr>
        <w:t>phenytoin</w:t>
      </w:r>
      <w:proofErr w:type="spellEnd"/>
      <w:r w:rsidRPr="00840D7C">
        <w:rPr>
          <w:color w:val="000000"/>
          <w:sz w:val="24"/>
          <w:szCs w:val="24"/>
          <w:lang w:eastAsia="da-DK"/>
        </w:rPr>
        <w:t xml:space="preserve">, </w:t>
      </w:r>
      <w:proofErr w:type="spellStart"/>
      <w:r w:rsidRPr="00840D7C">
        <w:rPr>
          <w:color w:val="000000"/>
          <w:sz w:val="24"/>
          <w:szCs w:val="24"/>
          <w:lang w:eastAsia="da-DK"/>
        </w:rPr>
        <w:t>phenobarbital</w:t>
      </w:r>
      <w:proofErr w:type="spellEnd"/>
      <w:r w:rsidRPr="00840D7C">
        <w:rPr>
          <w:color w:val="000000"/>
          <w:sz w:val="24"/>
          <w:szCs w:val="24"/>
          <w:lang w:eastAsia="da-DK"/>
        </w:rPr>
        <w:t xml:space="preserve">, </w:t>
      </w:r>
      <w:proofErr w:type="spellStart"/>
      <w:r w:rsidRPr="00840D7C">
        <w:rPr>
          <w:color w:val="000000"/>
          <w:sz w:val="24"/>
          <w:szCs w:val="24"/>
          <w:lang w:eastAsia="da-DK"/>
        </w:rPr>
        <w:t>rifampicin</w:t>
      </w:r>
      <w:proofErr w:type="spellEnd"/>
      <w:r w:rsidRPr="00840D7C">
        <w:rPr>
          <w:color w:val="000000"/>
          <w:sz w:val="24"/>
          <w:szCs w:val="24"/>
          <w:lang w:eastAsia="da-DK"/>
        </w:rPr>
        <w:t xml:space="preserve"> og perikon (</w:t>
      </w:r>
      <w:proofErr w:type="spellStart"/>
      <w:r w:rsidRPr="00840D7C">
        <w:rPr>
          <w:i/>
          <w:color w:val="000000"/>
          <w:sz w:val="24"/>
          <w:szCs w:val="24"/>
          <w:lang w:eastAsia="da-DK"/>
        </w:rPr>
        <w:t>Hypericum</w:t>
      </w:r>
      <w:proofErr w:type="spellEnd"/>
      <w:r w:rsidRPr="00840D7C">
        <w:rPr>
          <w:i/>
          <w:color w:val="000000"/>
          <w:sz w:val="24"/>
          <w:szCs w:val="24"/>
          <w:lang w:eastAsia="da-DK"/>
        </w:rPr>
        <w:t xml:space="preserve"> </w:t>
      </w:r>
      <w:proofErr w:type="spellStart"/>
      <w:r w:rsidRPr="00840D7C">
        <w:rPr>
          <w:i/>
          <w:color w:val="000000"/>
          <w:sz w:val="24"/>
          <w:szCs w:val="24"/>
          <w:lang w:eastAsia="da-DK"/>
        </w:rPr>
        <w:t>perforatum</w:t>
      </w:r>
      <w:proofErr w:type="spellEnd"/>
      <w:r w:rsidRPr="00840D7C">
        <w:rPr>
          <w:color w:val="000000"/>
          <w:sz w:val="24"/>
          <w:szCs w:val="24"/>
          <w:lang w:eastAsia="da-DK"/>
        </w:rPr>
        <w:t xml:space="preserve">), kan øge paracetamols </w:t>
      </w:r>
      <w:proofErr w:type="spellStart"/>
      <w:r w:rsidRPr="00840D7C">
        <w:rPr>
          <w:color w:val="000000"/>
          <w:sz w:val="24"/>
          <w:szCs w:val="24"/>
          <w:lang w:eastAsia="da-DK"/>
        </w:rPr>
        <w:t>hepatotoksicitet</w:t>
      </w:r>
      <w:proofErr w:type="spellEnd"/>
      <w:r w:rsidRPr="00840D7C">
        <w:rPr>
          <w:color w:val="000000"/>
          <w:sz w:val="24"/>
          <w:szCs w:val="24"/>
          <w:lang w:eastAsia="da-DK"/>
        </w:rPr>
        <w:t xml:space="preserve"> som følge af øget og hurtigere dannelse af toksiske metabolitter. Der bør derfor udvises forsigtighed i tilfælde af samtidig brug af enzyminducerende lægemidler.</w:t>
      </w:r>
    </w:p>
    <w:p w:rsidR="00F63458" w:rsidRPr="00840D7C" w:rsidRDefault="00F63458" w:rsidP="00F63458">
      <w:pPr>
        <w:ind w:left="851" w:hanging="10"/>
        <w:rPr>
          <w:color w:val="000000"/>
          <w:sz w:val="24"/>
          <w:szCs w:val="24"/>
          <w:lang w:eastAsia="da-DK"/>
        </w:rPr>
      </w:pPr>
    </w:p>
    <w:p w:rsidR="00F63458" w:rsidRPr="00840D7C" w:rsidRDefault="00F63458" w:rsidP="00F63458">
      <w:pPr>
        <w:ind w:left="851" w:hanging="10"/>
        <w:rPr>
          <w:color w:val="000000"/>
          <w:sz w:val="24"/>
          <w:szCs w:val="24"/>
          <w:lang w:eastAsia="da-DK"/>
        </w:rPr>
      </w:pPr>
      <w:r w:rsidRPr="00840D7C">
        <w:rPr>
          <w:color w:val="000000"/>
          <w:sz w:val="24"/>
          <w:szCs w:val="24"/>
          <w:lang w:eastAsia="da-DK"/>
        </w:rPr>
        <w:t xml:space="preserve">Paracetamol kan påvirke </w:t>
      </w:r>
      <w:proofErr w:type="spellStart"/>
      <w:r w:rsidRPr="00840D7C">
        <w:rPr>
          <w:color w:val="000000"/>
          <w:sz w:val="24"/>
          <w:szCs w:val="24"/>
          <w:lang w:eastAsia="da-DK"/>
        </w:rPr>
        <w:t>chloramphenicols</w:t>
      </w:r>
      <w:proofErr w:type="spellEnd"/>
      <w:r w:rsidRPr="00840D7C">
        <w:rPr>
          <w:color w:val="000000"/>
          <w:sz w:val="24"/>
          <w:szCs w:val="24"/>
          <w:lang w:eastAsia="da-DK"/>
        </w:rPr>
        <w:t xml:space="preserve"> farmakokinetik. Det anbefales at monitorere plasmaniveauet af </w:t>
      </w:r>
      <w:proofErr w:type="spellStart"/>
      <w:r w:rsidRPr="00840D7C">
        <w:rPr>
          <w:color w:val="000000"/>
          <w:sz w:val="24"/>
          <w:szCs w:val="24"/>
          <w:lang w:eastAsia="da-DK"/>
        </w:rPr>
        <w:t>chloramphenicol</w:t>
      </w:r>
      <w:proofErr w:type="spellEnd"/>
      <w:r w:rsidRPr="00840D7C">
        <w:rPr>
          <w:color w:val="000000"/>
          <w:sz w:val="24"/>
          <w:szCs w:val="24"/>
          <w:lang w:eastAsia="da-DK"/>
        </w:rPr>
        <w:t xml:space="preserve"> i tilfælde af samtidig behandling med paracetamol og </w:t>
      </w:r>
      <w:proofErr w:type="spellStart"/>
      <w:r w:rsidRPr="00840D7C">
        <w:rPr>
          <w:color w:val="000000"/>
          <w:sz w:val="24"/>
          <w:szCs w:val="24"/>
          <w:lang w:eastAsia="da-DK"/>
        </w:rPr>
        <w:t>chloramphenicol</w:t>
      </w:r>
      <w:proofErr w:type="spellEnd"/>
      <w:r w:rsidRPr="00840D7C">
        <w:rPr>
          <w:color w:val="000000"/>
          <w:sz w:val="24"/>
          <w:szCs w:val="24"/>
          <w:lang w:eastAsia="da-DK"/>
        </w:rPr>
        <w:t>-injektioner.</w:t>
      </w:r>
    </w:p>
    <w:p w:rsidR="00F63458" w:rsidRPr="00840D7C" w:rsidRDefault="00F63458" w:rsidP="00F63458">
      <w:pPr>
        <w:ind w:left="851" w:hanging="10"/>
        <w:rPr>
          <w:color w:val="000000"/>
          <w:sz w:val="24"/>
          <w:szCs w:val="24"/>
          <w:lang w:eastAsia="da-DK"/>
        </w:rPr>
      </w:pPr>
    </w:p>
    <w:p w:rsidR="00F63458" w:rsidRPr="00840D7C" w:rsidRDefault="00F63458" w:rsidP="00F63458">
      <w:pPr>
        <w:ind w:left="851" w:hanging="10"/>
        <w:rPr>
          <w:color w:val="000000"/>
          <w:sz w:val="24"/>
          <w:szCs w:val="24"/>
          <w:lang w:eastAsia="da-DK"/>
        </w:rPr>
      </w:pPr>
      <w:r w:rsidRPr="00840D7C">
        <w:rPr>
          <w:color w:val="000000"/>
          <w:sz w:val="24"/>
          <w:szCs w:val="24"/>
          <w:lang w:eastAsia="da-DK"/>
        </w:rPr>
        <w:t xml:space="preserve">Virkningen af </w:t>
      </w:r>
      <w:proofErr w:type="spellStart"/>
      <w:r w:rsidRPr="00840D7C">
        <w:rPr>
          <w:color w:val="000000"/>
          <w:sz w:val="24"/>
          <w:szCs w:val="24"/>
          <w:lang w:eastAsia="da-DK"/>
        </w:rPr>
        <w:t>diuretika</w:t>
      </w:r>
      <w:proofErr w:type="spellEnd"/>
      <w:r w:rsidRPr="00840D7C">
        <w:rPr>
          <w:color w:val="000000"/>
          <w:sz w:val="24"/>
          <w:szCs w:val="24"/>
          <w:lang w:eastAsia="da-DK"/>
        </w:rPr>
        <w:t xml:space="preserve"> kan være nedsat, da paracetamol kan reducere den </w:t>
      </w:r>
      <w:proofErr w:type="spellStart"/>
      <w:r w:rsidRPr="00840D7C">
        <w:rPr>
          <w:color w:val="000000"/>
          <w:sz w:val="24"/>
          <w:szCs w:val="24"/>
          <w:lang w:eastAsia="da-DK"/>
        </w:rPr>
        <w:t>renale</w:t>
      </w:r>
      <w:proofErr w:type="spellEnd"/>
      <w:r w:rsidRPr="00840D7C">
        <w:rPr>
          <w:color w:val="000000"/>
          <w:sz w:val="24"/>
          <w:szCs w:val="24"/>
          <w:lang w:eastAsia="da-DK"/>
        </w:rPr>
        <w:t xml:space="preserve"> </w:t>
      </w:r>
      <w:proofErr w:type="spellStart"/>
      <w:r w:rsidRPr="00840D7C">
        <w:rPr>
          <w:color w:val="000000"/>
          <w:sz w:val="24"/>
          <w:szCs w:val="24"/>
          <w:lang w:eastAsia="da-DK"/>
        </w:rPr>
        <w:t>prostaglandinudskillelse</w:t>
      </w:r>
      <w:proofErr w:type="spellEnd"/>
      <w:r w:rsidRPr="00840D7C">
        <w:rPr>
          <w:color w:val="000000"/>
          <w:sz w:val="24"/>
          <w:szCs w:val="24"/>
          <w:lang w:eastAsia="da-DK"/>
        </w:rPr>
        <w:t xml:space="preserve"> og </w:t>
      </w:r>
      <w:proofErr w:type="spellStart"/>
      <w:r w:rsidRPr="00840D7C">
        <w:rPr>
          <w:color w:val="000000"/>
          <w:sz w:val="24"/>
          <w:szCs w:val="24"/>
          <w:lang w:eastAsia="da-DK"/>
        </w:rPr>
        <w:t>plasmareninaktiviteten</w:t>
      </w:r>
      <w:proofErr w:type="spellEnd"/>
      <w:r w:rsidRPr="00840D7C">
        <w:rPr>
          <w:color w:val="000000"/>
          <w:sz w:val="24"/>
          <w:szCs w:val="24"/>
          <w:lang w:eastAsia="da-DK"/>
        </w:rPr>
        <w:t>.</w:t>
      </w:r>
    </w:p>
    <w:p w:rsidR="00F63458" w:rsidRPr="00840D7C" w:rsidRDefault="00F63458" w:rsidP="00F63458">
      <w:pPr>
        <w:ind w:left="851" w:hanging="10"/>
        <w:rPr>
          <w:color w:val="000000"/>
          <w:sz w:val="24"/>
          <w:szCs w:val="24"/>
          <w:lang w:eastAsia="da-DK"/>
        </w:rPr>
      </w:pPr>
    </w:p>
    <w:p w:rsidR="00F63458" w:rsidRPr="00840D7C" w:rsidRDefault="00F63458" w:rsidP="00F63458">
      <w:pPr>
        <w:ind w:left="851" w:hanging="10"/>
        <w:rPr>
          <w:color w:val="000000"/>
          <w:sz w:val="24"/>
          <w:szCs w:val="24"/>
          <w:lang w:eastAsia="da-DK"/>
        </w:rPr>
      </w:pPr>
      <w:r w:rsidRPr="00840D7C">
        <w:rPr>
          <w:color w:val="000000"/>
          <w:sz w:val="24"/>
          <w:szCs w:val="24"/>
          <w:lang w:eastAsia="da-DK"/>
        </w:rPr>
        <w:t xml:space="preserve">Paracetamol reducerer </w:t>
      </w:r>
      <w:proofErr w:type="spellStart"/>
      <w:r w:rsidRPr="00840D7C">
        <w:rPr>
          <w:color w:val="000000"/>
          <w:sz w:val="24"/>
          <w:szCs w:val="24"/>
          <w:lang w:eastAsia="da-DK"/>
        </w:rPr>
        <w:t>lamotrigins</w:t>
      </w:r>
      <w:proofErr w:type="spellEnd"/>
      <w:r w:rsidRPr="00840D7C">
        <w:rPr>
          <w:color w:val="000000"/>
          <w:sz w:val="24"/>
          <w:szCs w:val="24"/>
          <w:lang w:eastAsia="da-DK"/>
        </w:rPr>
        <w:t xml:space="preserve"> areal under kurven (20 %) og halveringstid (15 %) med mulig hæmning af dets virkning som følge af mulig induktion af dets </w:t>
      </w:r>
      <w:proofErr w:type="spellStart"/>
      <w:r w:rsidRPr="00840D7C">
        <w:rPr>
          <w:color w:val="000000"/>
          <w:sz w:val="24"/>
          <w:szCs w:val="24"/>
          <w:lang w:eastAsia="da-DK"/>
        </w:rPr>
        <w:t>hepatiske</w:t>
      </w:r>
      <w:proofErr w:type="spellEnd"/>
      <w:r w:rsidRPr="00840D7C">
        <w:rPr>
          <w:color w:val="000000"/>
          <w:sz w:val="24"/>
          <w:szCs w:val="24"/>
          <w:lang w:eastAsia="da-DK"/>
        </w:rPr>
        <w:t xml:space="preserve"> metabolisme.</w:t>
      </w:r>
    </w:p>
    <w:p w:rsidR="00F63458" w:rsidRPr="00840D7C" w:rsidRDefault="00F63458" w:rsidP="00F63458">
      <w:pPr>
        <w:ind w:left="851" w:hanging="10"/>
        <w:rPr>
          <w:color w:val="000000"/>
          <w:sz w:val="24"/>
          <w:szCs w:val="24"/>
          <w:lang w:eastAsia="da-DK"/>
        </w:rPr>
      </w:pPr>
    </w:p>
    <w:p w:rsidR="00F63458" w:rsidRPr="00840D7C" w:rsidRDefault="00F63458" w:rsidP="00F63458">
      <w:pPr>
        <w:ind w:left="851" w:hanging="10"/>
        <w:rPr>
          <w:color w:val="000000"/>
          <w:sz w:val="24"/>
          <w:szCs w:val="24"/>
          <w:lang w:eastAsia="da-DK"/>
        </w:rPr>
      </w:pPr>
      <w:proofErr w:type="spellStart"/>
      <w:r w:rsidRPr="00840D7C">
        <w:rPr>
          <w:color w:val="000000"/>
          <w:sz w:val="24"/>
          <w:szCs w:val="24"/>
          <w:lang w:eastAsia="da-DK"/>
        </w:rPr>
        <w:t>Propanolol</w:t>
      </w:r>
      <w:proofErr w:type="spellEnd"/>
      <w:r w:rsidRPr="00840D7C">
        <w:rPr>
          <w:color w:val="000000"/>
          <w:sz w:val="24"/>
          <w:szCs w:val="24"/>
          <w:lang w:eastAsia="da-DK"/>
        </w:rPr>
        <w:t xml:space="preserve"> hæmmer det enzymsystem, som er ansvarligt for </w:t>
      </w:r>
      <w:proofErr w:type="spellStart"/>
      <w:r w:rsidRPr="00840D7C">
        <w:rPr>
          <w:color w:val="000000"/>
          <w:sz w:val="24"/>
          <w:szCs w:val="24"/>
          <w:lang w:eastAsia="da-DK"/>
        </w:rPr>
        <w:t>glukuronidering</w:t>
      </w:r>
      <w:proofErr w:type="spellEnd"/>
      <w:r w:rsidRPr="00840D7C">
        <w:rPr>
          <w:color w:val="000000"/>
          <w:sz w:val="24"/>
          <w:szCs w:val="24"/>
          <w:lang w:eastAsia="da-DK"/>
        </w:rPr>
        <w:t xml:space="preserve"> og oxidering af paracetamol. Det kan derfor øge paracetamols virkning.</w:t>
      </w:r>
    </w:p>
    <w:p w:rsidR="00F63458" w:rsidRPr="00840D7C" w:rsidRDefault="00F63458" w:rsidP="00F63458">
      <w:pPr>
        <w:ind w:left="851" w:hanging="10"/>
        <w:rPr>
          <w:color w:val="000000"/>
          <w:sz w:val="24"/>
          <w:szCs w:val="24"/>
          <w:lang w:eastAsia="da-DK"/>
        </w:rPr>
      </w:pPr>
    </w:p>
    <w:p w:rsidR="00F63458" w:rsidRDefault="00F63458" w:rsidP="00F63458">
      <w:pPr>
        <w:ind w:left="851" w:hanging="10"/>
        <w:rPr>
          <w:color w:val="000000"/>
          <w:sz w:val="24"/>
          <w:szCs w:val="24"/>
          <w:lang w:eastAsia="da-DK"/>
        </w:rPr>
      </w:pPr>
      <w:proofErr w:type="spellStart"/>
      <w:r w:rsidRPr="00840D7C">
        <w:rPr>
          <w:color w:val="000000"/>
          <w:sz w:val="24"/>
          <w:szCs w:val="24"/>
          <w:lang w:eastAsia="da-DK"/>
        </w:rPr>
        <w:t>Ethylalkohol</w:t>
      </w:r>
      <w:proofErr w:type="spellEnd"/>
      <w:r w:rsidRPr="00840D7C">
        <w:rPr>
          <w:color w:val="000000"/>
          <w:sz w:val="24"/>
          <w:szCs w:val="24"/>
          <w:lang w:eastAsia="da-DK"/>
        </w:rPr>
        <w:t xml:space="preserve"> forstærker paracetamols toksicitet </w:t>
      </w:r>
      <w:r>
        <w:rPr>
          <w:color w:val="000000"/>
          <w:sz w:val="24"/>
          <w:szCs w:val="24"/>
          <w:lang w:eastAsia="da-DK"/>
        </w:rPr>
        <w:t>ved</w:t>
      </w:r>
      <w:r w:rsidRPr="00840D7C">
        <w:rPr>
          <w:color w:val="000000"/>
          <w:sz w:val="24"/>
          <w:szCs w:val="24"/>
          <w:lang w:eastAsia="da-DK"/>
        </w:rPr>
        <w:t xml:space="preserve"> mulig induktion af den </w:t>
      </w:r>
      <w:proofErr w:type="spellStart"/>
      <w:r w:rsidRPr="00840D7C">
        <w:rPr>
          <w:color w:val="000000"/>
          <w:sz w:val="24"/>
          <w:szCs w:val="24"/>
          <w:lang w:eastAsia="da-DK"/>
        </w:rPr>
        <w:t>hepatiske</w:t>
      </w:r>
      <w:proofErr w:type="spellEnd"/>
      <w:r w:rsidRPr="00840D7C">
        <w:rPr>
          <w:color w:val="000000"/>
          <w:sz w:val="24"/>
          <w:szCs w:val="24"/>
          <w:lang w:eastAsia="da-DK"/>
        </w:rPr>
        <w:t xml:space="preserve"> produktion af </w:t>
      </w:r>
      <w:proofErr w:type="spellStart"/>
      <w:r w:rsidRPr="00840D7C">
        <w:rPr>
          <w:color w:val="000000"/>
          <w:sz w:val="24"/>
          <w:szCs w:val="24"/>
          <w:lang w:eastAsia="da-DK"/>
        </w:rPr>
        <w:t>hepatotoksiske</w:t>
      </w:r>
      <w:proofErr w:type="spellEnd"/>
      <w:r w:rsidRPr="00840D7C">
        <w:rPr>
          <w:color w:val="000000"/>
          <w:sz w:val="24"/>
          <w:szCs w:val="24"/>
          <w:lang w:eastAsia="da-DK"/>
        </w:rPr>
        <w:t xml:space="preserve"> paracetamolmetabolitter (se pkt. 4.4).</w:t>
      </w:r>
    </w:p>
    <w:p w:rsidR="00F573B2" w:rsidRDefault="00F573B2" w:rsidP="00F63458">
      <w:pPr>
        <w:ind w:left="851" w:hanging="10"/>
        <w:rPr>
          <w:color w:val="000000"/>
          <w:sz w:val="24"/>
          <w:szCs w:val="24"/>
          <w:lang w:eastAsia="da-DK"/>
        </w:rPr>
      </w:pPr>
    </w:p>
    <w:p w:rsidR="00F573B2" w:rsidRPr="00840D7C" w:rsidRDefault="00F573B2" w:rsidP="00F573B2">
      <w:pPr>
        <w:ind w:left="851" w:hanging="10"/>
        <w:rPr>
          <w:color w:val="000000"/>
          <w:sz w:val="24"/>
          <w:szCs w:val="24"/>
          <w:lang w:eastAsia="da-DK"/>
        </w:rPr>
      </w:pPr>
      <w:r>
        <w:rPr>
          <w:color w:val="000000"/>
          <w:sz w:val="24"/>
          <w:szCs w:val="24"/>
          <w:lang w:eastAsia="da-DK"/>
        </w:rPr>
        <w:lastRenderedPageBreak/>
        <w:t xml:space="preserve">Der bør udvises forsigtighed, når paracetamol anvendes samtidig med </w:t>
      </w:r>
      <w:proofErr w:type="spellStart"/>
      <w:r>
        <w:rPr>
          <w:color w:val="000000"/>
          <w:sz w:val="24"/>
          <w:szCs w:val="24"/>
          <w:lang w:eastAsia="da-DK"/>
        </w:rPr>
        <w:t>flucloxacillin</w:t>
      </w:r>
      <w:proofErr w:type="spellEnd"/>
      <w:r>
        <w:rPr>
          <w:color w:val="000000"/>
          <w:sz w:val="24"/>
          <w:szCs w:val="24"/>
          <w:lang w:eastAsia="da-DK"/>
        </w:rPr>
        <w:t xml:space="preserve">, idet samtidig brug kan være forbundet med metabolisk </w:t>
      </w:r>
      <w:proofErr w:type="spellStart"/>
      <w:r>
        <w:rPr>
          <w:color w:val="000000"/>
          <w:sz w:val="24"/>
          <w:szCs w:val="24"/>
          <w:lang w:eastAsia="da-DK"/>
        </w:rPr>
        <w:t>acidose</w:t>
      </w:r>
      <w:proofErr w:type="spellEnd"/>
      <w:r>
        <w:rPr>
          <w:color w:val="000000"/>
          <w:sz w:val="24"/>
          <w:szCs w:val="24"/>
          <w:lang w:eastAsia="da-DK"/>
        </w:rPr>
        <w:t xml:space="preserve"> med højt anion-</w:t>
      </w:r>
      <w:proofErr w:type="spellStart"/>
      <w:r>
        <w:rPr>
          <w:color w:val="000000"/>
          <w:sz w:val="24"/>
          <w:szCs w:val="24"/>
          <w:lang w:eastAsia="da-DK"/>
        </w:rPr>
        <w:t>gap</w:t>
      </w:r>
      <w:proofErr w:type="spellEnd"/>
      <w:r>
        <w:rPr>
          <w:color w:val="000000"/>
          <w:sz w:val="24"/>
          <w:szCs w:val="24"/>
          <w:lang w:eastAsia="da-DK"/>
        </w:rPr>
        <w:t>, særligt hos patienter med risikofaktorer (se afsnit 4.4).</w:t>
      </w:r>
    </w:p>
    <w:p w:rsidR="00F63458" w:rsidRPr="00840D7C" w:rsidRDefault="00F63458" w:rsidP="00F63458">
      <w:pPr>
        <w:ind w:left="851" w:hanging="10"/>
        <w:rPr>
          <w:color w:val="000000"/>
          <w:sz w:val="24"/>
          <w:szCs w:val="24"/>
          <w:lang w:eastAsia="da-DK"/>
        </w:rPr>
      </w:pPr>
    </w:p>
    <w:p w:rsidR="00F63458" w:rsidRPr="00840D7C" w:rsidRDefault="00F63458" w:rsidP="00F63458">
      <w:pPr>
        <w:ind w:left="851" w:hanging="10"/>
        <w:rPr>
          <w:color w:val="000000"/>
          <w:sz w:val="24"/>
          <w:szCs w:val="24"/>
          <w:u w:val="single"/>
          <w:lang w:eastAsia="da-DK"/>
        </w:rPr>
      </w:pPr>
      <w:r w:rsidRPr="00840D7C">
        <w:rPr>
          <w:color w:val="000000"/>
          <w:sz w:val="24"/>
          <w:szCs w:val="24"/>
          <w:u w:val="single"/>
          <w:lang w:eastAsia="da-DK"/>
        </w:rPr>
        <w:t>Interferens med screening</w:t>
      </w:r>
    </w:p>
    <w:p w:rsidR="00F63458" w:rsidRPr="00210DA4" w:rsidRDefault="00F63458" w:rsidP="00F63458">
      <w:pPr>
        <w:ind w:left="851" w:hanging="10"/>
        <w:rPr>
          <w:color w:val="000000"/>
          <w:sz w:val="24"/>
          <w:szCs w:val="24"/>
          <w:lang w:eastAsia="da-DK"/>
        </w:rPr>
      </w:pPr>
      <w:r w:rsidRPr="00840D7C">
        <w:rPr>
          <w:color w:val="000000"/>
          <w:sz w:val="24"/>
          <w:szCs w:val="24"/>
          <w:lang w:eastAsia="da-DK"/>
        </w:rPr>
        <w:t xml:space="preserve">Paracetamol kan påvirke resultaterne af urinsyre- og </w:t>
      </w:r>
      <w:proofErr w:type="spellStart"/>
      <w:r w:rsidRPr="00840D7C">
        <w:rPr>
          <w:color w:val="000000"/>
          <w:sz w:val="24"/>
          <w:szCs w:val="24"/>
          <w:lang w:eastAsia="da-DK"/>
        </w:rPr>
        <w:t>glucoseanalyser</w:t>
      </w:r>
      <w:proofErr w:type="spellEnd"/>
      <w:r w:rsidRPr="00840D7C">
        <w:rPr>
          <w:color w:val="000000"/>
          <w:sz w:val="24"/>
          <w:szCs w:val="24"/>
          <w:lang w:eastAsia="da-DK"/>
        </w:rPr>
        <w:t>.</w:t>
      </w:r>
    </w:p>
    <w:p w:rsidR="00F63458" w:rsidRPr="00C84483" w:rsidRDefault="00F63458" w:rsidP="00F63458">
      <w:pPr>
        <w:tabs>
          <w:tab w:val="left" w:pos="851"/>
        </w:tabs>
        <w:ind w:left="851"/>
        <w:rPr>
          <w:sz w:val="24"/>
          <w:szCs w:val="24"/>
        </w:rPr>
      </w:pPr>
    </w:p>
    <w:p w:rsidR="00F63458" w:rsidRPr="00C84483" w:rsidRDefault="00F63458" w:rsidP="00F63458">
      <w:pPr>
        <w:tabs>
          <w:tab w:val="left" w:pos="851"/>
        </w:tabs>
        <w:ind w:left="851" w:hanging="851"/>
        <w:rPr>
          <w:b/>
          <w:sz w:val="24"/>
          <w:szCs w:val="24"/>
        </w:rPr>
      </w:pPr>
      <w:r w:rsidRPr="00C84483">
        <w:rPr>
          <w:b/>
          <w:sz w:val="24"/>
          <w:szCs w:val="24"/>
        </w:rPr>
        <w:t>4.6</w:t>
      </w:r>
      <w:r w:rsidRPr="00C84483">
        <w:rPr>
          <w:b/>
          <w:sz w:val="24"/>
          <w:szCs w:val="24"/>
        </w:rPr>
        <w:tab/>
      </w:r>
      <w:r w:rsidR="00F573B2">
        <w:rPr>
          <w:b/>
          <w:sz w:val="24"/>
          <w:szCs w:val="24"/>
        </w:rPr>
        <w:t>Fertilitet, g</w:t>
      </w:r>
      <w:r w:rsidRPr="00C84483">
        <w:rPr>
          <w:b/>
          <w:sz w:val="24"/>
          <w:szCs w:val="24"/>
        </w:rPr>
        <w:t>raviditet og amning</w:t>
      </w:r>
    </w:p>
    <w:p w:rsidR="00F63458" w:rsidRPr="00840D7C" w:rsidRDefault="00F63458" w:rsidP="00F63458">
      <w:pPr>
        <w:ind w:left="851" w:hanging="10"/>
        <w:rPr>
          <w:b/>
          <w:color w:val="000000"/>
          <w:sz w:val="24"/>
          <w:szCs w:val="24"/>
          <w:lang w:eastAsia="da-DK"/>
        </w:rPr>
      </w:pPr>
    </w:p>
    <w:p w:rsidR="00F573B2" w:rsidRDefault="00F573B2" w:rsidP="00F573B2">
      <w:pPr>
        <w:keepNext/>
        <w:keepLines/>
        <w:ind w:left="851" w:hanging="10"/>
        <w:outlineLvl w:val="2"/>
        <w:rPr>
          <w:color w:val="000000"/>
          <w:sz w:val="24"/>
          <w:szCs w:val="24"/>
          <w:u w:val="single"/>
          <w:lang w:eastAsia="da-DK"/>
        </w:rPr>
      </w:pPr>
      <w:r>
        <w:rPr>
          <w:color w:val="000000"/>
          <w:sz w:val="24"/>
          <w:szCs w:val="24"/>
          <w:u w:val="single"/>
          <w:lang w:eastAsia="da-DK"/>
        </w:rPr>
        <w:t>Graviditet</w:t>
      </w:r>
    </w:p>
    <w:p w:rsidR="00F573B2" w:rsidRDefault="00F573B2" w:rsidP="00F573B2">
      <w:pPr>
        <w:autoSpaceDE w:val="0"/>
        <w:autoSpaceDN w:val="0"/>
        <w:adjustRightInd w:val="0"/>
        <w:ind w:left="851" w:hanging="10"/>
        <w:rPr>
          <w:color w:val="000000"/>
          <w:sz w:val="24"/>
          <w:szCs w:val="24"/>
          <w:lang w:eastAsia="da-DK"/>
        </w:rPr>
      </w:pPr>
      <w:r>
        <w:rPr>
          <w:color w:val="000000"/>
          <w:sz w:val="24"/>
          <w:szCs w:val="24"/>
          <w:lang w:eastAsia="da-DK"/>
        </w:rPr>
        <w:t xml:space="preserve">En stor mængde data fra anvendelse af paracetamol hos et stort antal gravide kvinder indikerer ingen misdannelser eller </w:t>
      </w:r>
      <w:proofErr w:type="spellStart"/>
      <w:r>
        <w:rPr>
          <w:color w:val="000000"/>
          <w:sz w:val="24"/>
          <w:szCs w:val="24"/>
          <w:lang w:eastAsia="da-DK"/>
        </w:rPr>
        <w:t>føtal</w:t>
      </w:r>
      <w:proofErr w:type="spellEnd"/>
      <w:r>
        <w:rPr>
          <w:color w:val="000000"/>
          <w:sz w:val="24"/>
          <w:szCs w:val="24"/>
          <w:lang w:eastAsia="da-DK"/>
        </w:rPr>
        <w:t xml:space="preserve">/neonatal toksicitet. Epidemiologiske studier af den neurologiske udvikling hos børn, der eksponeres for paracetamol i uterus, viser </w:t>
      </w:r>
      <w:proofErr w:type="spellStart"/>
      <w:r>
        <w:rPr>
          <w:color w:val="000000"/>
          <w:sz w:val="24"/>
          <w:szCs w:val="24"/>
          <w:lang w:eastAsia="da-DK"/>
        </w:rPr>
        <w:t>inkonklusive</w:t>
      </w:r>
      <w:proofErr w:type="spellEnd"/>
      <w:r>
        <w:rPr>
          <w:color w:val="000000"/>
          <w:sz w:val="24"/>
          <w:szCs w:val="24"/>
          <w:lang w:eastAsia="da-DK"/>
        </w:rPr>
        <w:t xml:space="preserve"> resultater. Paracetamol kan anvendes under graviditet, hvis det er klinisk indiceret, men det bør anvendes i den laveste effektive dosis i kortest mulig tid og med laveste mulige hyppighed. </w:t>
      </w:r>
    </w:p>
    <w:p w:rsidR="00F63458" w:rsidRPr="00840D7C" w:rsidRDefault="00F63458" w:rsidP="00F63458">
      <w:pPr>
        <w:ind w:left="851" w:hanging="10"/>
        <w:rPr>
          <w:color w:val="000000"/>
          <w:sz w:val="24"/>
          <w:szCs w:val="24"/>
          <w:lang w:eastAsia="da-DK"/>
        </w:rPr>
      </w:pPr>
    </w:p>
    <w:p w:rsidR="00F63458" w:rsidRPr="00840D7C" w:rsidRDefault="00F63458" w:rsidP="00F63458">
      <w:pPr>
        <w:keepNext/>
        <w:keepLines/>
        <w:ind w:left="851" w:hanging="10"/>
        <w:outlineLvl w:val="2"/>
        <w:rPr>
          <w:color w:val="000000"/>
          <w:sz w:val="24"/>
          <w:szCs w:val="24"/>
          <w:u w:val="single"/>
          <w:lang w:eastAsia="da-DK"/>
        </w:rPr>
      </w:pPr>
      <w:r w:rsidRPr="00840D7C">
        <w:rPr>
          <w:color w:val="000000"/>
          <w:sz w:val="24"/>
          <w:szCs w:val="24"/>
          <w:u w:val="single"/>
          <w:lang w:eastAsia="da-DK"/>
        </w:rPr>
        <w:t>Amning</w:t>
      </w:r>
    </w:p>
    <w:p w:rsidR="00F63458" w:rsidRPr="007B2164" w:rsidRDefault="00F63458" w:rsidP="00F63458">
      <w:pPr>
        <w:ind w:left="851" w:hanging="10"/>
        <w:rPr>
          <w:color w:val="000000"/>
          <w:sz w:val="24"/>
          <w:szCs w:val="24"/>
          <w:lang w:eastAsia="da-DK"/>
        </w:rPr>
      </w:pPr>
      <w:r w:rsidRPr="00840D7C">
        <w:rPr>
          <w:color w:val="000000"/>
          <w:sz w:val="24"/>
          <w:szCs w:val="24"/>
          <w:lang w:eastAsia="da-DK"/>
        </w:rPr>
        <w:t>Selvom der er målt maksimale koncentrationer på 10 til 15 g/ml (66,2 til 99,</w:t>
      </w:r>
      <w:r>
        <w:rPr>
          <w:color w:val="000000"/>
          <w:sz w:val="24"/>
          <w:szCs w:val="24"/>
          <w:lang w:eastAsia="da-DK"/>
        </w:rPr>
        <w:t xml:space="preserve">3 </w:t>
      </w:r>
      <w:r w:rsidRPr="00840D7C">
        <w:rPr>
          <w:color w:val="000000"/>
          <w:sz w:val="24"/>
          <w:szCs w:val="24"/>
          <w:lang w:eastAsia="da-DK"/>
        </w:rPr>
        <w:t>mol/l) 1 til 2 timer efter administration af en enkeltdosis på 650 mg hos moderen, blev der ikke fundet paracetamol eller metabolitter deraf i det ammede spædbarns urin. Halveringstiden i modermælk er 1,35 til 3,5 timer. Der er ikke rapporteret om bivirkninger hos børn. Paracetamol kan anvendes hos kvinder, der ammer, men den anbefalede dosis må ikke overskrides. Der skal udvises forsigtighed i tilfælde af langvarig brug.</w:t>
      </w:r>
    </w:p>
    <w:p w:rsidR="00F63458" w:rsidRPr="00C84483" w:rsidRDefault="00F63458" w:rsidP="00F63458">
      <w:pPr>
        <w:tabs>
          <w:tab w:val="left" w:pos="851"/>
        </w:tabs>
        <w:ind w:left="851"/>
        <w:rPr>
          <w:sz w:val="24"/>
          <w:szCs w:val="24"/>
        </w:rPr>
      </w:pPr>
    </w:p>
    <w:p w:rsidR="00F63458" w:rsidRPr="00C84483" w:rsidRDefault="00F63458" w:rsidP="00F63458">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F573B2">
        <w:rPr>
          <w:b/>
          <w:sz w:val="24"/>
          <w:szCs w:val="24"/>
        </w:rPr>
        <w:t>og</w:t>
      </w:r>
      <w:r w:rsidRPr="00C84483">
        <w:rPr>
          <w:b/>
          <w:sz w:val="24"/>
          <w:szCs w:val="24"/>
        </w:rPr>
        <w:t xml:space="preserve"> betjene maskiner</w:t>
      </w:r>
    </w:p>
    <w:p w:rsidR="00F63458" w:rsidRDefault="00F63458" w:rsidP="00F63458">
      <w:pPr>
        <w:ind w:left="851" w:hanging="10"/>
        <w:rPr>
          <w:color w:val="000000"/>
          <w:sz w:val="24"/>
          <w:szCs w:val="24"/>
          <w:lang w:eastAsia="da-DK"/>
        </w:rPr>
      </w:pPr>
      <w:r>
        <w:rPr>
          <w:color w:val="000000"/>
          <w:sz w:val="24"/>
          <w:szCs w:val="24"/>
          <w:lang w:eastAsia="da-DK"/>
        </w:rPr>
        <w:t>Ikke mærkning.</w:t>
      </w:r>
    </w:p>
    <w:p w:rsidR="00F63458" w:rsidRPr="000224A5" w:rsidRDefault="00F63458" w:rsidP="00F63458">
      <w:pPr>
        <w:ind w:left="851" w:hanging="10"/>
        <w:rPr>
          <w:color w:val="000000"/>
          <w:sz w:val="24"/>
          <w:szCs w:val="24"/>
          <w:lang w:eastAsia="da-DK"/>
        </w:rPr>
      </w:pPr>
      <w:r w:rsidRPr="00840D7C">
        <w:rPr>
          <w:color w:val="000000"/>
          <w:sz w:val="24"/>
          <w:szCs w:val="24"/>
          <w:lang w:eastAsia="da-DK"/>
        </w:rPr>
        <w:t xml:space="preserve">Der er ikke </w:t>
      </w:r>
      <w:r>
        <w:rPr>
          <w:color w:val="000000"/>
          <w:sz w:val="24"/>
          <w:szCs w:val="24"/>
          <w:lang w:eastAsia="da-DK"/>
        </w:rPr>
        <w:t>beskrevet</w:t>
      </w:r>
      <w:r w:rsidRPr="00840D7C">
        <w:rPr>
          <w:color w:val="000000"/>
          <w:sz w:val="24"/>
          <w:szCs w:val="24"/>
          <w:lang w:eastAsia="da-DK"/>
        </w:rPr>
        <w:t xml:space="preserve"> nogen virkninger.</w:t>
      </w:r>
    </w:p>
    <w:p w:rsidR="00F63458" w:rsidRPr="00C84483" w:rsidRDefault="00F63458" w:rsidP="00F63458">
      <w:pPr>
        <w:tabs>
          <w:tab w:val="left" w:pos="851"/>
        </w:tabs>
        <w:ind w:left="851"/>
        <w:rPr>
          <w:sz w:val="24"/>
          <w:szCs w:val="24"/>
        </w:rPr>
      </w:pPr>
    </w:p>
    <w:p w:rsidR="00F63458" w:rsidRPr="00C84483" w:rsidRDefault="00F63458" w:rsidP="00F63458">
      <w:pPr>
        <w:tabs>
          <w:tab w:val="left" w:pos="851"/>
        </w:tabs>
        <w:ind w:left="851" w:hanging="851"/>
        <w:rPr>
          <w:b/>
          <w:sz w:val="24"/>
          <w:szCs w:val="24"/>
        </w:rPr>
      </w:pPr>
      <w:r w:rsidRPr="00C84483">
        <w:rPr>
          <w:b/>
          <w:sz w:val="24"/>
          <w:szCs w:val="24"/>
        </w:rPr>
        <w:t>4.8</w:t>
      </w:r>
      <w:r w:rsidRPr="00C84483">
        <w:rPr>
          <w:b/>
          <w:sz w:val="24"/>
          <w:szCs w:val="24"/>
        </w:rPr>
        <w:tab/>
        <w:t>Bivirkninger</w:t>
      </w:r>
    </w:p>
    <w:p w:rsidR="00F63458" w:rsidRPr="00840D7C" w:rsidRDefault="00F63458" w:rsidP="00F63458">
      <w:pPr>
        <w:ind w:left="851" w:hanging="10"/>
        <w:rPr>
          <w:snapToGrid w:val="0"/>
          <w:color w:val="000000"/>
          <w:sz w:val="24"/>
          <w:szCs w:val="24"/>
          <w:lang w:eastAsia="da-DK"/>
        </w:rPr>
      </w:pPr>
      <w:r w:rsidRPr="00840D7C">
        <w:rPr>
          <w:color w:val="000000"/>
          <w:sz w:val="24"/>
          <w:szCs w:val="24"/>
          <w:lang w:eastAsia="da-DK"/>
        </w:rPr>
        <w:t>Bivirkninger er sjældne ved almindelige terapeutiske doser.</w:t>
      </w:r>
    </w:p>
    <w:p w:rsidR="00F63458" w:rsidRPr="00840D7C" w:rsidRDefault="00F63458" w:rsidP="00F63458">
      <w:pPr>
        <w:ind w:left="851" w:hanging="10"/>
        <w:rPr>
          <w:snapToGrid w:val="0"/>
          <w:color w:val="000000"/>
          <w:sz w:val="24"/>
          <w:szCs w:val="24"/>
          <w:lang w:eastAsia="da-DK"/>
        </w:rPr>
      </w:pPr>
    </w:p>
    <w:p w:rsidR="00F63458" w:rsidRPr="00840D7C" w:rsidRDefault="00F63458" w:rsidP="00F63458">
      <w:pPr>
        <w:ind w:left="851" w:hanging="10"/>
        <w:rPr>
          <w:snapToGrid w:val="0"/>
          <w:color w:val="000000"/>
          <w:sz w:val="24"/>
          <w:szCs w:val="24"/>
          <w:lang w:eastAsia="da-DK"/>
        </w:rPr>
      </w:pPr>
      <w:r w:rsidRPr="00840D7C">
        <w:rPr>
          <w:color w:val="000000"/>
          <w:sz w:val="24"/>
          <w:szCs w:val="24"/>
          <w:lang w:eastAsia="da-DK"/>
        </w:rPr>
        <w:t xml:space="preserve">Der er i sjældne tilfælde rapporteret om leverskade ved brug af paracetamol i terapeutiske doser. Hos patienter, der har leverskade i anamnesen eller som bruger paracetamol i kombination med visse andre midler, der skader leveren (såsom alkohol), skal der imidlertid tages højde for risikoen for leverskade. </w:t>
      </w:r>
    </w:p>
    <w:p w:rsidR="00F63458" w:rsidRPr="00840D7C" w:rsidRDefault="00F63458" w:rsidP="00F63458">
      <w:pPr>
        <w:ind w:left="851" w:hanging="10"/>
        <w:rPr>
          <w:snapToGrid w:val="0"/>
          <w:color w:val="000000"/>
          <w:sz w:val="24"/>
          <w:szCs w:val="24"/>
          <w:lang w:eastAsia="da-DK"/>
        </w:rPr>
      </w:pPr>
    </w:p>
    <w:p w:rsidR="00F63458" w:rsidRPr="00840D7C" w:rsidRDefault="00F63458" w:rsidP="00F63458">
      <w:pPr>
        <w:ind w:left="851" w:hanging="10"/>
        <w:rPr>
          <w:snapToGrid w:val="0"/>
          <w:color w:val="000000"/>
          <w:sz w:val="24"/>
          <w:szCs w:val="24"/>
          <w:lang w:eastAsia="da-DK"/>
        </w:rPr>
      </w:pPr>
      <w:r w:rsidRPr="00840D7C">
        <w:rPr>
          <w:color w:val="000000"/>
          <w:sz w:val="24"/>
          <w:szCs w:val="24"/>
          <w:lang w:eastAsia="da-DK"/>
        </w:rPr>
        <w:t>Bivirkninger er angivet nedenfor efter systemorganklasse og hyppighed. H</w:t>
      </w:r>
      <w:r>
        <w:rPr>
          <w:color w:val="000000"/>
          <w:sz w:val="24"/>
          <w:szCs w:val="24"/>
          <w:lang w:eastAsia="da-DK"/>
        </w:rPr>
        <w:t>yppighederne er defineret som: M</w:t>
      </w:r>
      <w:r w:rsidRPr="00840D7C">
        <w:rPr>
          <w:color w:val="000000"/>
          <w:sz w:val="24"/>
          <w:szCs w:val="24"/>
          <w:lang w:eastAsia="da-DK"/>
        </w:rPr>
        <w:t>eget almindelig (</w:t>
      </w:r>
      <w:r w:rsidRPr="00840D7C">
        <w:rPr>
          <w:color w:val="000000"/>
          <w:sz w:val="24"/>
          <w:szCs w:val="24"/>
          <w:cs/>
          <w:lang w:eastAsia="da-DK"/>
        </w:rPr>
        <w:t xml:space="preserve">≥ </w:t>
      </w:r>
      <w:r w:rsidRPr="00840D7C">
        <w:rPr>
          <w:color w:val="000000"/>
          <w:sz w:val="24"/>
          <w:szCs w:val="24"/>
          <w:lang w:eastAsia="da-DK"/>
        </w:rPr>
        <w:t>1/10), almindelig (</w:t>
      </w:r>
      <w:r w:rsidRPr="00840D7C">
        <w:rPr>
          <w:color w:val="000000"/>
          <w:sz w:val="24"/>
          <w:szCs w:val="24"/>
          <w:cs/>
          <w:lang w:eastAsia="da-DK"/>
        </w:rPr>
        <w:t xml:space="preserve">≥ </w:t>
      </w:r>
      <w:r w:rsidRPr="00840D7C">
        <w:rPr>
          <w:color w:val="000000"/>
          <w:sz w:val="24"/>
          <w:szCs w:val="24"/>
          <w:lang w:eastAsia="da-DK"/>
        </w:rPr>
        <w:t>1/100 til &lt; 1/10), ikke almindelig (</w:t>
      </w:r>
      <w:r w:rsidRPr="00840D7C">
        <w:rPr>
          <w:color w:val="000000"/>
          <w:sz w:val="24"/>
          <w:szCs w:val="24"/>
          <w:cs/>
          <w:lang w:eastAsia="da-DK"/>
        </w:rPr>
        <w:t xml:space="preserve">≥ </w:t>
      </w:r>
      <w:r w:rsidRPr="00840D7C">
        <w:rPr>
          <w:color w:val="000000"/>
          <w:sz w:val="24"/>
          <w:szCs w:val="24"/>
          <w:lang w:eastAsia="da-DK"/>
        </w:rPr>
        <w:t>1/1.000 til &lt; 1/100), sjælden (</w:t>
      </w:r>
      <w:r w:rsidRPr="00840D7C">
        <w:rPr>
          <w:color w:val="000000"/>
          <w:sz w:val="24"/>
          <w:szCs w:val="24"/>
          <w:cs/>
          <w:lang w:eastAsia="da-DK"/>
        </w:rPr>
        <w:t xml:space="preserve">≥ </w:t>
      </w:r>
      <w:r w:rsidRPr="00840D7C">
        <w:rPr>
          <w:color w:val="000000"/>
          <w:sz w:val="24"/>
          <w:szCs w:val="24"/>
          <w:lang w:eastAsia="da-DK"/>
        </w:rPr>
        <w:t>1/10.000 til &lt; 1/1.000), meget sjælden (&lt; 1/10.000), ikke kendt (kan ikke estimeres ud fra forhåndenværende data).</w:t>
      </w:r>
    </w:p>
    <w:p w:rsidR="00F63458" w:rsidRPr="00840D7C" w:rsidRDefault="00F63458" w:rsidP="00F63458">
      <w:pPr>
        <w:ind w:left="851" w:hanging="10"/>
        <w:rPr>
          <w:snapToGrid w:val="0"/>
          <w:color w:val="000000"/>
          <w:sz w:val="24"/>
          <w:szCs w:val="24"/>
          <w:lang w:eastAsia="da-DK"/>
        </w:rPr>
      </w:pP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2838"/>
        <w:gridCol w:w="3969"/>
      </w:tblGrid>
      <w:tr w:rsidR="00F63458" w:rsidRPr="00840D7C" w:rsidTr="003B4BCE">
        <w:tc>
          <w:tcPr>
            <w:tcW w:w="2124" w:type="dxa"/>
          </w:tcPr>
          <w:p w:rsidR="00F63458" w:rsidRPr="00840D7C" w:rsidRDefault="00F63458" w:rsidP="003B4BCE">
            <w:pPr>
              <w:ind w:left="34" w:hanging="10"/>
              <w:rPr>
                <w:snapToGrid w:val="0"/>
                <w:color w:val="000000"/>
                <w:sz w:val="24"/>
                <w:szCs w:val="24"/>
                <w:lang w:eastAsia="da-DK"/>
              </w:rPr>
            </w:pPr>
            <w:r w:rsidRPr="00840D7C">
              <w:rPr>
                <w:color w:val="000000"/>
                <w:sz w:val="24"/>
                <w:szCs w:val="24"/>
                <w:lang w:eastAsia="da-DK"/>
              </w:rPr>
              <w:t>Hyppighed</w:t>
            </w:r>
          </w:p>
        </w:tc>
        <w:tc>
          <w:tcPr>
            <w:tcW w:w="2838" w:type="dxa"/>
          </w:tcPr>
          <w:p w:rsidR="00F63458" w:rsidRPr="00840D7C" w:rsidRDefault="00F63458" w:rsidP="003B4BCE">
            <w:pPr>
              <w:ind w:left="36" w:hanging="10"/>
              <w:rPr>
                <w:snapToGrid w:val="0"/>
                <w:color w:val="000000"/>
                <w:sz w:val="24"/>
                <w:szCs w:val="24"/>
                <w:lang w:eastAsia="da-DK"/>
              </w:rPr>
            </w:pPr>
            <w:r w:rsidRPr="00840D7C">
              <w:rPr>
                <w:color w:val="000000"/>
                <w:sz w:val="24"/>
                <w:szCs w:val="24"/>
                <w:lang w:eastAsia="da-DK"/>
              </w:rPr>
              <w:t>System</w:t>
            </w:r>
          </w:p>
        </w:tc>
        <w:tc>
          <w:tcPr>
            <w:tcW w:w="3969" w:type="dxa"/>
          </w:tcPr>
          <w:p w:rsidR="00F63458" w:rsidRPr="00840D7C" w:rsidRDefault="00F63458" w:rsidP="003B4BCE">
            <w:pPr>
              <w:ind w:left="33" w:hanging="10"/>
              <w:rPr>
                <w:snapToGrid w:val="0"/>
                <w:color w:val="000000"/>
                <w:sz w:val="24"/>
                <w:szCs w:val="24"/>
                <w:lang w:eastAsia="da-DK"/>
              </w:rPr>
            </w:pPr>
            <w:r w:rsidRPr="00840D7C">
              <w:rPr>
                <w:color w:val="000000"/>
                <w:sz w:val="24"/>
                <w:szCs w:val="24"/>
                <w:lang w:eastAsia="da-DK"/>
              </w:rPr>
              <w:t>Symptomer</w:t>
            </w:r>
          </w:p>
        </w:tc>
      </w:tr>
      <w:tr w:rsidR="00F63458" w:rsidRPr="00840D7C" w:rsidTr="003B4BCE">
        <w:tc>
          <w:tcPr>
            <w:tcW w:w="2124" w:type="dxa"/>
            <w:vMerge w:val="restart"/>
          </w:tcPr>
          <w:p w:rsidR="00F63458" w:rsidRPr="00840D7C" w:rsidRDefault="00F63458" w:rsidP="003B4BCE">
            <w:pPr>
              <w:ind w:left="34" w:hanging="10"/>
              <w:rPr>
                <w:snapToGrid w:val="0"/>
                <w:color w:val="000000"/>
                <w:sz w:val="24"/>
                <w:szCs w:val="24"/>
                <w:lang w:eastAsia="da-DK"/>
              </w:rPr>
            </w:pPr>
            <w:r w:rsidRPr="00840D7C">
              <w:rPr>
                <w:color w:val="000000"/>
                <w:sz w:val="24"/>
                <w:szCs w:val="24"/>
                <w:lang w:eastAsia="da-DK"/>
              </w:rPr>
              <w:t>Sjælden</w:t>
            </w:r>
          </w:p>
          <w:p w:rsidR="00F63458" w:rsidRPr="00840D7C" w:rsidRDefault="00F63458" w:rsidP="003B4BCE">
            <w:pPr>
              <w:ind w:left="34" w:hanging="10"/>
              <w:rPr>
                <w:snapToGrid w:val="0"/>
                <w:color w:val="000000"/>
                <w:sz w:val="24"/>
                <w:szCs w:val="24"/>
                <w:lang w:eastAsia="da-DK"/>
              </w:rPr>
            </w:pPr>
            <w:r w:rsidRPr="00840D7C">
              <w:rPr>
                <w:color w:val="000000"/>
                <w:sz w:val="24"/>
                <w:szCs w:val="24"/>
                <w:lang w:eastAsia="da-DK"/>
              </w:rPr>
              <w:t>(</w:t>
            </w:r>
            <w:r w:rsidRPr="00840D7C">
              <w:rPr>
                <w:color w:val="000000"/>
                <w:sz w:val="24"/>
                <w:szCs w:val="24"/>
                <w:cs/>
                <w:lang w:eastAsia="da-DK"/>
              </w:rPr>
              <w:t>≥</w:t>
            </w:r>
            <w:r w:rsidRPr="00840D7C">
              <w:rPr>
                <w:color w:val="000000"/>
                <w:sz w:val="24"/>
                <w:szCs w:val="24"/>
                <w:lang w:eastAsia="da-DK"/>
              </w:rPr>
              <w:t xml:space="preserve">1/10.000 </w:t>
            </w:r>
            <w:r w:rsidRPr="00840D7C">
              <w:rPr>
                <w:color w:val="000000"/>
                <w:sz w:val="24"/>
                <w:szCs w:val="24"/>
                <w:cs/>
                <w:lang w:eastAsia="da-DK"/>
              </w:rPr>
              <w:t xml:space="preserve">– </w:t>
            </w:r>
          </w:p>
          <w:p w:rsidR="00F63458" w:rsidRPr="00840D7C" w:rsidRDefault="00F63458" w:rsidP="003B4BCE">
            <w:pPr>
              <w:ind w:left="34" w:hanging="10"/>
              <w:rPr>
                <w:snapToGrid w:val="0"/>
                <w:color w:val="000000"/>
                <w:sz w:val="24"/>
                <w:szCs w:val="24"/>
                <w:lang w:eastAsia="da-DK"/>
              </w:rPr>
            </w:pPr>
            <w:r w:rsidRPr="00840D7C">
              <w:rPr>
                <w:color w:val="000000"/>
                <w:sz w:val="24"/>
                <w:szCs w:val="24"/>
                <w:lang w:eastAsia="da-DK"/>
              </w:rPr>
              <w:t>&lt; 1/1.000)</w:t>
            </w:r>
          </w:p>
        </w:tc>
        <w:tc>
          <w:tcPr>
            <w:tcW w:w="2838" w:type="dxa"/>
          </w:tcPr>
          <w:p w:rsidR="00F63458" w:rsidRPr="00840D7C" w:rsidRDefault="00F63458" w:rsidP="003B4BCE">
            <w:pPr>
              <w:ind w:left="36" w:hanging="10"/>
              <w:rPr>
                <w:snapToGrid w:val="0"/>
                <w:color w:val="000000"/>
                <w:sz w:val="24"/>
                <w:szCs w:val="24"/>
                <w:lang w:eastAsia="da-DK"/>
              </w:rPr>
            </w:pPr>
            <w:r w:rsidRPr="00840D7C">
              <w:rPr>
                <w:color w:val="000000"/>
                <w:sz w:val="24"/>
                <w:szCs w:val="24"/>
                <w:lang w:eastAsia="da-DK"/>
              </w:rPr>
              <w:t>Blod og lymfesystem</w:t>
            </w:r>
          </w:p>
        </w:tc>
        <w:tc>
          <w:tcPr>
            <w:tcW w:w="3969" w:type="dxa"/>
          </w:tcPr>
          <w:p w:rsidR="00F63458" w:rsidRPr="00840D7C" w:rsidRDefault="00F63458" w:rsidP="003B4BCE">
            <w:pPr>
              <w:ind w:left="33" w:hanging="10"/>
              <w:rPr>
                <w:snapToGrid w:val="0"/>
                <w:color w:val="000000"/>
                <w:sz w:val="24"/>
                <w:szCs w:val="24"/>
                <w:lang w:eastAsia="da-DK"/>
              </w:rPr>
            </w:pPr>
            <w:proofErr w:type="spellStart"/>
            <w:r w:rsidRPr="00840D7C">
              <w:rPr>
                <w:color w:val="000000"/>
                <w:sz w:val="24"/>
                <w:szCs w:val="24"/>
                <w:lang w:eastAsia="da-DK"/>
              </w:rPr>
              <w:t>Trombocytforstyrrelser</w:t>
            </w:r>
            <w:proofErr w:type="spellEnd"/>
            <w:r w:rsidRPr="00840D7C">
              <w:rPr>
                <w:color w:val="000000"/>
                <w:sz w:val="24"/>
                <w:szCs w:val="24"/>
                <w:lang w:eastAsia="da-DK"/>
              </w:rPr>
              <w:t xml:space="preserve">, stamcelleforstyrrelser, </w:t>
            </w:r>
            <w:proofErr w:type="spellStart"/>
            <w:r w:rsidRPr="00840D7C">
              <w:rPr>
                <w:color w:val="000000"/>
                <w:sz w:val="24"/>
                <w:szCs w:val="24"/>
                <w:lang w:eastAsia="da-DK"/>
              </w:rPr>
              <w:t>agranulocytose</w:t>
            </w:r>
            <w:proofErr w:type="spellEnd"/>
            <w:r w:rsidRPr="00840D7C">
              <w:rPr>
                <w:color w:val="000000"/>
                <w:sz w:val="24"/>
                <w:szCs w:val="24"/>
                <w:lang w:eastAsia="da-DK"/>
              </w:rPr>
              <w:t xml:space="preserve">, </w:t>
            </w:r>
            <w:proofErr w:type="spellStart"/>
            <w:r w:rsidRPr="00840D7C">
              <w:rPr>
                <w:color w:val="000000"/>
                <w:sz w:val="24"/>
                <w:szCs w:val="24"/>
                <w:lang w:eastAsia="da-DK"/>
              </w:rPr>
              <w:t>leukopeni</w:t>
            </w:r>
            <w:proofErr w:type="spellEnd"/>
            <w:r w:rsidRPr="00840D7C">
              <w:rPr>
                <w:color w:val="000000"/>
                <w:sz w:val="24"/>
                <w:szCs w:val="24"/>
                <w:lang w:eastAsia="da-DK"/>
              </w:rPr>
              <w:t xml:space="preserve">, </w:t>
            </w:r>
            <w:proofErr w:type="spellStart"/>
            <w:r w:rsidRPr="00840D7C">
              <w:rPr>
                <w:color w:val="000000"/>
                <w:sz w:val="24"/>
                <w:szCs w:val="24"/>
                <w:lang w:eastAsia="da-DK"/>
              </w:rPr>
              <w:t>trombocytopeni</w:t>
            </w:r>
            <w:proofErr w:type="spellEnd"/>
            <w:r w:rsidRPr="00840D7C">
              <w:rPr>
                <w:color w:val="000000"/>
                <w:sz w:val="24"/>
                <w:szCs w:val="24"/>
                <w:lang w:eastAsia="da-DK"/>
              </w:rPr>
              <w:t xml:space="preserve">, </w:t>
            </w:r>
            <w:proofErr w:type="spellStart"/>
            <w:r w:rsidRPr="00840D7C">
              <w:rPr>
                <w:color w:val="000000"/>
                <w:sz w:val="24"/>
                <w:szCs w:val="24"/>
                <w:lang w:eastAsia="da-DK"/>
              </w:rPr>
              <w:t>hæmolytisk</w:t>
            </w:r>
            <w:proofErr w:type="spellEnd"/>
            <w:r w:rsidRPr="00840D7C">
              <w:rPr>
                <w:color w:val="000000"/>
                <w:sz w:val="24"/>
                <w:szCs w:val="24"/>
                <w:lang w:eastAsia="da-DK"/>
              </w:rPr>
              <w:t xml:space="preserve"> anæmi, </w:t>
            </w:r>
            <w:proofErr w:type="spellStart"/>
            <w:r w:rsidRPr="00840D7C">
              <w:rPr>
                <w:color w:val="000000"/>
                <w:sz w:val="24"/>
                <w:szCs w:val="24"/>
                <w:lang w:eastAsia="da-DK"/>
              </w:rPr>
              <w:t>pancytopeni</w:t>
            </w:r>
            <w:proofErr w:type="spellEnd"/>
          </w:p>
        </w:tc>
      </w:tr>
      <w:tr w:rsidR="00F63458" w:rsidRPr="00840D7C" w:rsidTr="003B4BCE">
        <w:tc>
          <w:tcPr>
            <w:tcW w:w="2124" w:type="dxa"/>
            <w:vMerge/>
          </w:tcPr>
          <w:p w:rsidR="00F63458" w:rsidRPr="00840D7C" w:rsidRDefault="00F63458" w:rsidP="003B4BCE">
            <w:pPr>
              <w:ind w:left="34" w:hanging="10"/>
              <w:rPr>
                <w:snapToGrid w:val="0"/>
                <w:color w:val="000000"/>
                <w:sz w:val="24"/>
                <w:szCs w:val="24"/>
                <w:lang w:eastAsia="da-DK"/>
              </w:rPr>
            </w:pPr>
          </w:p>
        </w:tc>
        <w:tc>
          <w:tcPr>
            <w:tcW w:w="2838" w:type="dxa"/>
          </w:tcPr>
          <w:p w:rsidR="00F63458" w:rsidRPr="00840D7C" w:rsidRDefault="00F63458" w:rsidP="003B4BCE">
            <w:pPr>
              <w:ind w:left="36" w:hanging="10"/>
              <w:rPr>
                <w:snapToGrid w:val="0"/>
                <w:color w:val="000000"/>
                <w:sz w:val="24"/>
                <w:szCs w:val="24"/>
                <w:lang w:eastAsia="da-DK"/>
              </w:rPr>
            </w:pPr>
            <w:r w:rsidRPr="00840D7C">
              <w:rPr>
                <w:color w:val="000000"/>
                <w:sz w:val="24"/>
                <w:szCs w:val="24"/>
                <w:lang w:eastAsia="da-DK"/>
              </w:rPr>
              <w:t xml:space="preserve">Immunsystemet </w:t>
            </w:r>
          </w:p>
        </w:tc>
        <w:tc>
          <w:tcPr>
            <w:tcW w:w="3969" w:type="dxa"/>
          </w:tcPr>
          <w:p w:rsidR="00F63458" w:rsidRPr="00840D7C" w:rsidRDefault="00F63458" w:rsidP="003B4BCE">
            <w:pPr>
              <w:ind w:left="33" w:hanging="10"/>
              <w:rPr>
                <w:snapToGrid w:val="0"/>
                <w:color w:val="000000"/>
                <w:sz w:val="24"/>
                <w:szCs w:val="24"/>
                <w:lang w:eastAsia="da-DK"/>
              </w:rPr>
            </w:pPr>
            <w:r w:rsidRPr="00840D7C">
              <w:rPr>
                <w:color w:val="000000"/>
                <w:sz w:val="24"/>
                <w:szCs w:val="24"/>
                <w:lang w:eastAsia="da-DK"/>
              </w:rPr>
              <w:t xml:space="preserve">Allergier (eksklusive </w:t>
            </w:r>
            <w:proofErr w:type="spellStart"/>
            <w:r w:rsidRPr="00840D7C">
              <w:rPr>
                <w:color w:val="000000"/>
                <w:sz w:val="24"/>
                <w:szCs w:val="24"/>
                <w:lang w:eastAsia="da-DK"/>
              </w:rPr>
              <w:t>angioødem</w:t>
            </w:r>
            <w:proofErr w:type="spellEnd"/>
            <w:r w:rsidRPr="00840D7C">
              <w:rPr>
                <w:color w:val="000000"/>
                <w:sz w:val="24"/>
                <w:szCs w:val="24"/>
                <w:lang w:eastAsia="da-DK"/>
              </w:rPr>
              <w:t>)</w:t>
            </w:r>
          </w:p>
        </w:tc>
      </w:tr>
      <w:tr w:rsidR="00F63458" w:rsidRPr="00840D7C" w:rsidTr="003B4BCE">
        <w:tc>
          <w:tcPr>
            <w:tcW w:w="2124" w:type="dxa"/>
            <w:vMerge/>
          </w:tcPr>
          <w:p w:rsidR="00F63458" w:rsidRPr="00840D7C" w:rsidRDefault="00F63458" w:rsidP="003B4BCE">
            <w:pPr>
              <w:ind w:left="34" w:hanging="10"/>
              <w:rPr>
                <w:snapToGrid w:val="0"/>
                <w:color w:val="000000"/>
                <w:sz w:val="24"/>
                <w:szCs w:val="24"/>
                <w:lang w:eastAsia="da-DK"/>
              </w:rPr>
            </w:pPr>
          </w:p>
        </w:tc>
        <w:tc>
          <w:tcPr>
            <w:tcW w:w="2838" w:type="dxa"/>
          </w:tcPr>
          <w:p w:rsidR="00F63458" w:rsidRPr="00840D7C" w:rsidRDefault="00F63458" w:rsidP="003B4BCE">
            <w:pPr>
              <w:ind w:left="36" w:hanging="10"/>
              <w:rPr>
                <w:snapToGrid w:val="0"/>
                <w:color w:val="000000"/>
                <w:sz w:val="24"/>
                <w:szCs w:val="24"/>
                <w:lang w:eastAsia="da-DK"/>
              </w:rPr>
            </w:pPr>
            <w:r w:rsidRPr="00840D7C">
              <w:rPr>
                <w:color w:val="000000"/>
                <w:sz w:val="24"/>
                <w:szCs w:val="24"/>
                <w:lang w:eastAsia="da-DK"/>
              </w:rPr>
              <w:t>Psykiske forstyrrelser</w:t>
            </w:r>
          </w:p>
        </w:tc>
        <w:tc>
          <w:tcPr>
            <w:tcW w:w="3969" w:type="dxa"/>
          </w:tcPr>
          <w:p w:rsidR="00F63458" w:rsidRPr="00840D7C" w:rsidRDefault="00F63458" w:rsidP="003B4BCE">
            <w:pPr>
              <w:ind w:left="33" w:hanging="10"/>
              <w:rPr>
                <w:snapToGrid w:val="0"/>
                <w:color w:val="000000"/>
                <w:sz w:val="24"/>
                <w:szCs w:val="24"/>
                <w:lang w:eastAsia="da-DK"/>
              </w:rPr>
            </w:pPr>
            <w:r w:rsidRPr="00840D7C">
              <w:rPr>
                <w:color w:val="000000"/>
                <w:sz w:val="24"/>
                <w:szCs w:val="24"/>
                <w:lang w:eastAsia="da-DK"/>
              </w:rPr>
              <w:t>Depression (uspecificeret), forvirring, hallucinationer</w:t>
            </w:r>
          </w:p>
        </w:tc>
      </w:tr>
      <w:tr w:rsidR="00F63458" w:rsidRPr="00840D7C" w:rsidTr="003B4BCE">
        <w:tc>
          <w:tcPr>
            <w:tcW w:w="2124" w:type="dxa"/>
            <w:vMerge/>
          </w:tcPr>
          <w:p w:rsidR="00F63458" w:rsidRPr="00840D7C" w:rsidRDefault="00F63458" w:rsidP="003B4BCE">
            <w:pPr>
              <w:ind w:left="34" w:hanging="10"/>
              <w:rPr>
                <w:snapToGrid w:val="0"/>
                <w:color w:val="000000"/>
                <w:sz w:val="24"/>
                <w:szCs w:val="24"/>
                <w:lang w:eastAsia="da-DK"/>
              </w:rPr>
            </w:pPr>
          </w:p>
        </w:tc>
        <w:tc>
          <w:tcPr>
            <w:tcW w:w="2838" w:type="dxa"/>
          </w:tcPr>
          <w:p w:rsidR="00F63458" w:rsidRPr="00840D7C" w:rsidRDefault="00F63458" w:rsidP="003B4BCE">
            <w:pPr>
              <w:ind w:left="36" w:hanging="10"/>
              <w:rPr>
                <w:snapToGrid w:val="0"/>
                <w:color w:val="000000"/>
                <w:sz w:val="24"/>
                <w:szCs w:val="24"/>
                <w:lang w:eastAsia="da-DK"/>
              </w:rPr>
            </w:pPr>
            <w:r w:rsidRPr="00840D7C">
              <w:rPr>
                <w:color w:val="000000"/>
                <w:sz w:val="24"/>
                <w:szCs w:val="24"/>
                <w:lang w:eastAsia="da-DK"/>
              </w:rPr>
              <w:t>Nervesystemet</w:t>
            </w:r>
          </w:p>
        </w:tc>
        <w:tc>
          <w:tcPr>
            <w:tcW w:w="3969" w:type="dxa"/>
          </w:tcPr>
          <w:p w:rsidR="00F63458" w:rsidRPr="00840D7C" w:rsidRDefault="00F63458" w:rsidP="003B4BCE">
            <w:pPr>
              <w:ind w:left="33" w:hanging="10"/>
              <w:rPr>
                <w:snapToGrid w:val="0"/>
                <w:color w:val="000000"/>
                <w:sz w:val="24"/>
                <w:szCs w:val="24"/>
                <w:lang w:eastAsia="da-DK"/>
              </w:rPr>
            </w:pPr>
            <w:proofErr w:type="spellStart"/>
            <w:r w:rsidRPr="00840D7C">
              <w:rPr>
                <w:color w:val="000000"/>
                <w:sz w:val="24"/>
                <w:szCs w:val="24"/>
                <w:lang w:eastAsia="da-DK"/>
              </w:rPr>
              <w:t>Tremor</w:t>
            </w:r>
            <w:proofErr w:type="spellEnd"/>
            <w:r w:rsidRPr="00840D7C">
              <w:rPr>
                <w:color w:val="000000"/>
                <w:sz w:val="24"/>
                <w:szCs w:val="24"/>
                <w:lang w:eastAsia="da-DK"/>
              </w:rPr>
              <w:t xml:space="preserve"> (uspecificeret), hovedpine (uspecificeret)</w:t>
            </w:r>
          </w:p>
        </w:tc>
      </w:tr>
      <w:tr w:rsidR="00F63458" w:rsidRPr="00840D7C" w:rsidTr="003B4BCE">
        <w:tc>
          <w:tcPr>
            <w:tcW w:w="2124" w:type="dxa"/>
            <w:vMerge/>
          </w:tcPr>
          <w:p w:rsidR="00F63458" w:rsidRPr="00840D7C" w:rsidRDefault="00F63458" w:rsidP="003B4BCE">
            <w:pPr>
              <w:ind w:left="34" w:hanging="10"/>
              <w:rPr>
                <w:snapToGrid w:val="0"/>
                <w:color w:val="000000"/>
                <w:sz w:val="24"/>
                <w:szCs w:val="24"/>
                <w:lang w:eastAsia="da-DK"/>
              </w:rPr>
            </w:pPr>
          </w:p>
        </w:tc>
        <w:tc>
          <w:tcPr>
            <w:tcW w:w="2838" w:type="dxa"/>
          </w:tcPr>
          <w:p w:rsidR="00F63458" w:rsidRPr="00840D7C" w:rsidRDefault="00F63458" w:rsidP="003B4BCE">
            <w:pPr>
              <w:ind w:left="36" w:hanging="10"/>
              <w:rPr>
                <w:snapToGrid w:val="0"/>
                <w:color w:val="000000"/>
                <w:sz w:val="24"/>
                <w:szCs w:val="24"/>
                <w:lang w:eastAsia="da-DK"/>
              </w:rPr>
            </w:pPr>
            <w:r w:rsidRPr="00840D7C">
              <w:rPr>
                <w:color w:val="000000"/>
                <w:sz w:val="24"/>
                <w:szCs w:val="24"/>
                <w:lang w:eastAsia="da-DK"/>
              </w:rPr>
              <w:t>Øjne</w:t>
            </w:r>
          </w:p>
        </w:tc>
        <w:tc>
          <w:tcPr>
            <w:tcW w:w="3969" w:type="dxa"/>
          </w:tcPr>
          <w:p w:rsidR="00F63458" w:rsidRPr="00840D7C" w:rsidRDefault="00F63458" w:rsidP="003B4BCE">
            <w:pPr>
              <w:ind w:left="33" w:hanging="10"/>
              <w:rPr>
                <w:snapToGrid w:val="0"/>
                <w:color w:val="000000"/>
                <w:sz w:val="24"/>
                <w:szCs w:val="24"/>
                <w:lang w:eastAsia="da-DK"/>
              </w:rPr>
            </w:pPr>
            <w:r w:rsidRPr="00840D7C">
              <w:rPr>
                <w:color w:val="000000"/>
                <w:sz w:val="24"/>
                <w:szCs w:val="24"/>
                <w:lang w:eastAsia="da-DK"/>
              </w:rPr>
              <w:t>Synsforstyrrelser</w:t>
            </w:r>
          </w:p>
        </w:tc>
      </w:tr>
      <w:tr w:rsidR="00F63458" w:rsidRPr="00840D7C" w:rsidTr="003B4BCE">
        <w:tc>
          <w:tcPr>
            <w:tcW w:w="2124" w:type="dxa"/>
            <w:vMerge/>
          </w:tcPr>
          <w:p w:rsidR="00F63458" w:rsidRPr="00840D7C" w:rsidRDefault="00F63458" w:rsidP="003B4BCE">
            <w:pPr>
              <w:ind w:left="34" w:hanging="10"/>
              <w:rPr>
                <w:snapToGrid w:val="0"/>
                <w:color w:val="000000"/>
                <w:sz w:val="24"/>
                <w:szCs w:val="24"/>
                <w:lang w:eastAsia="da-DK"/>
              </w:rPr>
            </w:pPr>
          </w:p>
        </w:tc>
        <w:tc>
          <w:tcPr>
            <w:tcW w:w="2838" w:type="dxa"/>
          </w:tcPr>
          <w:p w:rsidR="00F63458" w:rsidRPr="00840D7C" w:rsidRDefault="00F63458" w:rsidP="003B4BCE">
            <w:pPr>
              <w:ind w:left="36" w:hanging="10"/>
              <w:rPr>
                <w:snapToGrid w:val="0"/>
                <w:color w:val="000000"/>
                <w:sz w:val="24"/>
                <w:szCs w:val="24"/>
                <w:lang w:eastAsia="da-DK"/>
              </w:rPr>
            </w:pPr>
            <w:proofErr w:type="spellStart"/>
            <w:r w:rsidRPr="00840D7C">
              <w:rPr>
                <w:color w:val="000000"/>
                <w:sz w:val="24"/>
                <w:szCs w:val="24"/>
                <w:lang w:eastAsia="da-DK"/>
              </w:rPr>
              <w:t>Vaskulære</w:t>
            </w:r>
            <w:proofErr w:type="spellEnd"/>
            <w:r w:rsidRPr="00840D7C">
              <w:rPr>
                <w:color w:val="000000"/>
                <w:sz w:val="24"/>
                <w:szCs w:val="24"/>
                <w:lang w:eastAsia="da-DK"/>
              </w:rPr>
              <w:t xml:space="preserve"> sygdomme</w:t>
            </w:r>
          </w:p>
        </w:tc>
        <w:tc>
          <w:tcPr>
            <w:tcW w:w="3969" w:type="dxa"/>
          </w:tcPr>
          <w:p w:rsidR="00F63458" w:rsidRPr="00840D7C" w:rsidRDefault="00F63458" w:rsidP="003B4BCE">
            <w:pPr>
              <w:ind w:left="33" w:hanging="10"/>
              <w:rPr>
                <w:snapToGrid w:val="0"/>
                <w:color w:val="000000"/>
                <w:sz w:val="24"/>
                <w:szCs w:val="24"/>
                <w:lang w:eastAsia="da-DK"/>
              </w:rPr>
            </w:pPr>
            <w:r w:rsidRPr="00840D7C">
              <w:rPr>
                <w:color w:val="000000"/>
                <w:sz w:val="24"/>
                <w:szCs w:val="24"/>
                <w:lang w:eastAsia="da-DK"/>
              </w:rPr>
              <w:t>Hypotension</w:t>
            </w:r>
          </w:p>
        </w:tc>
      </w:tr>
      <w:tr w:rsidR="00F63458" w:rsidRPr="00840D7C" w:rsidTr="003B4BCE">
        <w:tc>
          <w:tcPr>
            <w:tcW w:w="2124" w:type="dxa"/>
            <w:vMerge/>
          </w:tcPr>
          <w:p w:rsidR="00F63458" w:rsidRPr="00840D7C" w:rsidRDefault="00F63458" w:rsidP="003B4BCE">
            <w:pPr>
              <w:ind w:left="34" w:hanging="10"/>
              <w:rPr>
                <w:snapToGrid w:val="0"/>
                <w:color w:val="000000"/>
                <w:sz w:val="24"/>
                <w:szCs w:val="24"/>
                <w:lang w:eastAsia="da-DK"/>
              </w:rPr>
            </w:pPr>
          </w:p>
        </w:tc>
        <w:tc>
          <w:tcPr>
            <w:tcW w:w="2838" w:type="dxa"/>
          </w:tcPr>
          <w:p w:rsidR="00F63458" w:rsidRPr="00840D7C" w:rsidRDefault="00F63458" w:rsidP="003B4BCE">
            <w:pPr>
              <w:ind w:left="36" w:hanging="10"/>
              <w:rPr>
                <w:snapToGrid w:val="0"/>
                <w:color w:val="000000"/>
                <w:sz w:val="24"/>
                <w:szCs w:val="24"/>
                <w:lang w:eastAsia="da-DK"/>
              </w:rPr>
            </w:pPr>
            <w:r w:rsidRPr="00840D7C">
              <w:rPr>
                <w:color w:val="000000"/>
                <w:sz w:val="24"/>
                <w:szCs w:val="24"/>
                <w:lang w:eastAsia="da-DK"/>
              </w:rPr>
              <w:t>Mave-tarm-kanalen</w:t>
            </w:r>
          </w:p>
        </w:tc>
        <w:tc>
          <w:tcPr>
            <w:tcW w:w="3969" w:type="dxa"/>
          </w:tcPr>
          <w:p w:rsidR="00F63458" w:rsidRPr="00840D7C" w:rsidRDefault="00F63458" w:rsidP="003B4BCE">
            <w:pPr>
              <w:ind w:left="33" w:hanging="10"/>
              <w:rPr>
                <w:snapToGrid w:val="0"/>
                <w:color w:val="000000"/>
                <w:sz w:val="24"/>
                <w:szCs w:val="24"/>
                <w:lang w:eastAsia="da-DK"/>
              </w:rPr>
            </w:pPr>
            <w:proofErr w:type="spellStart"/>
            <w:r w:rsidRPr="00840D7C">
              <w:rPr>
                <w:color w:val="000000"/>
                <w:sz w:val="24"/>
                <w:szCs w:val="24"/>
                <w:lang w:eastAsia="da-DK"/>
              </w:rPr>
              <w:t>Hæmoragi</w:t>
            </w:r>
            <w:proofErr w:type="spellEnd"/>
            <w:r w:rsidRPr="00840D7C">
              <w:rPr>
                <w:color w:val="000000"/>
                <w:sz w:val="24"/>
                <w:szCs w:val="24"/>
                <w:lang w:eastAsia="da-DK"/>
              </w:rPr>
              <w:t xml:space="preserve"> (uspecificeret), mavesmerter (uspecificeret), diarré (uspecificeret), kvalme, opkastning</w:t>
            </w:r>
          </w:p>
        </w:tc>
      </w:tr>
      <w:tr w:rsidR="00F63458" w:rsidRPr="00840D7C" w:rsidTr="003B4BCE">
        <w:tc>
          <w:tcPr>
            <w:tcW w:w="2124" w:type="dxa"/>
            <w:vMerge/>
          </w:tcPr>
          <w:p w:rsidR="00F63458" w:rsidRPr="00840D7C" w:rsidRDefault="00F63458" w:rsidP="003B4BCE">
            <w:pPr>
              <w:ind w:left="34" w:hanging="10"/>
              <w:rPr>
                <w:snapToGrid w:val="0"/>
                <w:color w:val="000000"/>
                <w:sz w:val="24"/>
                <w:szCs w:val="24"/>
                <w:lang w:eastAsia="da-DK"/>
              </w:rPr>
            </w:pPr>
          </w:p>
        </w:tc>
        <w:tc>
          <w:tcPr>
            <w:tcW w:w="2838" w:type="dxa"/>
          </w:tcPr>
          <w:p w:rsidR="00F63458" w:rsidRPr="00840D7C" w:rsidRDefault="00F63458" w:rsidP="003B4BCE">
            <w:pPr>
              <w:ind w:left="36" w:hanging="10"/>
              <w:rPr>
                <w:snapToGrid w:val="0"/>
                <w:color w:val="000000"/>
                <w:sz w:val="24"/>
                <w:szCs w:val="24"/>
                <w:lang w:eastAsia="da-DK"/>
              </w:rPr>
            </w:pPr>
            <w:r w:rsidRPr="00840D7C">
              <w:rPr>
                <w:color w:val="000000"/>
                <w:sz w:val="24"/>
                <w:szCs w:val="24"/>
                <w:lang w:eastAsia="da-DK"/>
              </w:rPr>
              <w:t>Lever og galdeveje</w:t>
            </w:r>
          </w:p>
        </w:tc>
        <w:tc>
          <w:tcPr>
            <w:tcW w:w="3969" w:type="dxa"/>
          </w:tcPr>
          <w:p w:rsidR="00F63458" w:rsidRPr="00840D7C" w:rsidRDefault="00F63458" w:rsidP="003B4BCE">
            <w:pPr>
              <w:ind w:left="33" w:hanging="10"/>
              <w:rPr>
                <w:snapToGrid w:val="0"/>
                <w:color w:val="000000"/>
                <w:sz w:val="24"/>
                <w:szCs w:val="24"/>
                <w:lang w:eastAsia="da-DK"/>
              </w:rPr>
            </w:pPr>
            <w:r w:rsidRPr="00840D7C">
              <w:rPr>
                <w:color w:val="000000"/>
                <w:sz w:val="24"/>
                <w:szCs w:val="24"/>
                <w:lang w:eastAsia="da-DK"/>
              </w:rPr>
              <w:t>Abnorm leverfunktion, leversvigt, levernekrose, gulsot</w:t>
            </w:r>
          </w:p>
        </w:tc>
      </w:tr>
      <w:tr w:rsidR="00F63458" w:rsidRPr="00840D7C" w:rsidTr="003B4BCE">
        <w:tc>
          <w:tcPr>
            <w:tcW w:w="2124" w:type="dxa"/>
            <w:vMerge/>
          </w:tcPr>
          <w:p w:rsidR="00F63458" w:rsidRPr="00840D7C" w:rsidRDefault="00F63458" w:rsidP="003B4BCE">
            <w:pPr>
              <w:ind w:left="34" w:hanging="10"/>
              <w:rPr>
                <w:snapToGrid w:val="0"/>
                <w:color w:val="000000"/>
                <w:sz w:val="24"/>
                <w:szCs w:val="24"/>
                <w:lang w:eastAsia="da-DK"/>
              </w:rPr>
            </w:pPr>
          </w:p>
        </w:tc>
        <w:tc>
          <w:tcPr>
            <w:tcW w:w="2838" w:type="dxa"/>
          </w:tcPr>
          <w:p w:rsidR="00F63458" w:rsidRPr="00840D7C" w:rsidRDefault="00F63458" w:rsidP="003B4BCE">
            <w:pPr>
              <w:ind w:left="36" w:hanging="10"/>
              <w:rPr>
                <w:snapToGrid w:val="0"/>
                <w:color w:val="000000"/>
                <w:sz w:val="24"/>
                <w:szCs w:val="24"/>
                <w:lang w:eastAsia="da-DK"/>
              </w:rPr>
            </w:pPr>
            <w:r w:rsidRPr="00840D7C">
              <w:rPr>
                <w:color w:val="000000"/>
                <w:sz w:val="24"/>
                <w:szCs w:val="24"/>
                <w:lang w:eastAsia="da-DK"/>
              </w:rPr>
              <w:t>Hud og subkutane væv</w:t>
            </w:r>
          </w:p>
        </w:tc>
        <w:tc>
          <w:tcPr>
            <w:tcW w:w="3969" w:type="dxa"/>
          </w:tcPr>
          <w:p w:rsidR="00F63458" w:rsidRPr="00840D7C" w:rsidRDefault="00F63458" w:rsidP="003B4BCE">
            <w:pPr>
              <w:ind w:left="33" w:hanging="10"/>
              <w:rPr>
                <w:snapToGrid w:val="0"/>
                <w:color w:val="000000"/>
                <w:sz w:val="24"/>
                <w:szCs w:val="24"/>
                <w:lang w:eastAsia="da-DK"/>
              </w:rPr>
            </w:pPr>
            <w:proofErr w:type="spellStart"/>
            <w:r w:rsidRPr="00840D7C">
              <w:rPr>
                <w:color w:val="000000"/>
                <w:sz w:val="24"/>
                <w:szCs w:val="24"/>
                <w:lang w:eastAsia="da-DK"/>
              </w:rPr>
              <w:t>Pruritus</w:t>
            </w:r>
            <w:proofErr w:type="spellEnd"/>
            <w:r w:rsidRPr="00840D7C">
              <w:rPr>
                <w:color w:val="000000"/>
                <w:sz w:val="24"/>
                <w:szCs w:val="24"/>
                <w:lang w:eastAsia="da-DK"/>
              </w:rPr>
              <w:t xml:space="preserve">, udslæt, </w:t>
            </w:r>
            <w:proofErr w:type="spellStart"/>
            <w:r w:rsidRPr="00840D7C">
              <w:rPr>
                <w:color w:val="000000"/>
                <w:sz w:val="24"/>
                <w:szCs w:val="24"/>
                <w:lang w:eastAsia="da-DK"/>
              </w:rPr>
              <w:t>angioødem</w:t>
            </w:r>
            <w:proofErr w:type="spellEnd"/>
            <w:r w:rsidRPr="00840D7C">
              <w:rPr>
                <w:color w:val="000000"/>
                <w:sz w:val="24"/>
                <w:szCs w:val="24"/>
                <w:lang w:eastAsia="da-DK"/>
              </w:rPr>
              <w:t xml:space="preserve">, </w:t>
            </w:r>
            <w:proofErr w:type="spellStart"/>
            <w:r w:rsidRPr="00840D7C">
              <w:rPr>
                <w:color w:val="000000"/>
                <w:sz w:val="24"/>
                <w:szCs w:val="24"/>
                <w:lang w:eastAsia="da-DK"/>
              </w:rPr>
              <w:t>urticaria</w:t>
            </w:r>
            <w:proofErr w:type="spellEnd"/>
            <w:r w:rsidRPr="00840D7C">
              <w:rPr>
                <w:color w:val="000000"/>
                <w:sz w:val="24"/>
                <w:szCs w:val="24"/>
                <w:lang w:eastAsia="da-DK"/>
              </w:rPr>
              <w:t xml:space="preserve">, øget svedtendens, </w:t>
            </w:r>
            <w:proofErr w:type="spellStart"/>
            <w:r w:rsidRPr="00840D7C">
              <w:rPr>
                <w:color w:val="000000"/>
                <w:sz w:val="24"/>
                <w:szCs w:val="24"/>
                <w:lang w:eastAsia="da-DK"/>
              </w:rPr>
              <w:t>purpura</w:t>
            </w:r>
            <w:proofErr w:type="spellEnd"/>
          </w:p>
        </w:tc>
      </w:tr>
      <w:tr w:rsidR="00F63458" w:rsidRPr="00840D7C" w:rsidTr="003B4BCE">
        <w:tc>
          <w:tcPr>
            <w:tcW w:w="2124" w:type="dxa"/>
            <w:vMerge/>
          </w:tcPr>
          <w:p w:rsidR="00F63458" w:rsidRPr="00840D7C" w:rsidRDefault="00F63458" w:rsidP="003B4BCE">
            <w:pPr>
              <w:ind w:left="34" w:hanging="10"/>
              <w:rPr>
                <w:snapToGrid w:val="0"/>
                <w:color w:val="000000"/>
                <w:sz w:val="24"/>
                <w:szCs w:val="24"/>
                <w:lang w:eastAsia="da-DK"/>
              </w:rPr>
            </w:pPr>
          </w:p>
        </w:tc>
        <w:tc>
          <w:tcPr>
            <w:tcW w:w="2838" w:type="dxa"/>
          </w:tcPr>
          <w:p w:rsidR="00F63458" w:rsidRPr="00840D7C" w:rsidRDefault="00F63458" w:rsidP="003B4BCE">
            <w:pPr>
              <w:ind w:left="36" w:hanging="10"/>
              <w:rPr>
                <w:snapToGrid w:val="0"/>
                <w:color w:val="000000"/>
                <w:sz w:val="24"/>
                <w:szCs w:val="24"/>
                <w:lang w:eastAsia="da-DK"/>
              </w:rPr>
            </w:pPr>
            <w:r w:rsidRPr="00840D7C">
              <w:rPr>
                <w:color w:val="000000"/>
                <w:sz w:val="24"/>
                <w:szCs w:val="24"/>
                <w:lang w:eastAsia="da-DK"/>
              </w:rPr>
              <w:t>Almene symptomer og reaktioner på administrationsstedet</w:t>
            </w:r>
          </w:p>
        </w:tc>
        <w:tc>
          <w:tcPr>
            <w:tcW w:w="3969" w:type="dxa"/>
          </w:tcPr>
          <w:p w:rsidR="00F63458" w:rsidRPr="00840D7C" w:rsidRDefault="00F63458" w:rsidP="003B4BCE">
            <w:pPr>
              <w:ind w:left="33" w:hanging="10"/>
              <w:rPr>
                <w:snapToGrid w:val="0"/>
                <w:color w:val="000000"/>
                <w:sz w:val="24"/>
                <w:szCs w:val="24"/>
                <w:lang w:eastAsia="da-DK"/>
              </w:rPr>
            </w:pPr>
            <w:r w:rsidRPr="00840D7C">
              <w:rPr>
                <w:color w:val="000000"/>
                <w:sz w:val="24"/>
                <w:szCs w:val="24"/>
                <w:lang w:eastAsia="da-DK"/>
              </w:rPr>
              <w:t xml:space="preserve">Ødem, </w:t>
            </w:r>
            <w:proofErr w:type="spellStart"/>
            <w:r w:rsidRPr="00840D7C">
              <w:rPr>
                <w:color w:val="000000"/>
                <w:sz w:val="24"/>
                <w:szCs w:val="24"/>
                <w:lang w:eastAsia="da-DK"/>
              </w:rPr>
              <w:t>hypertermi</w:t>
            </w:r>
            <w:proofErr w:type="spellEnd"/>
          </w:p>
        </w:tc>
      </w:tr>
      <w:tr w:rsidR="00F63458" w:rsidRPr="00840D7C" w:rsidTr="003B4BCE">
        <w:tc>
          <w:tcPr>
            <w:tcW w:w="2124" w:type="dxa"/>
            <w:vMerge w:val="restart"/>
          </w:tcPr>
          <w:p w:rsidR="00F63458" w:rsidRPr="00840D7C" w:rsidRDefault="00F63458" w:rsidP="003B4BCE">
            <w:pPr>
              <w:ind w:left="34" w:hanging="10"/>
              <w:rPr>
                <w:snapToGrid w:val="0"/>
                <w:color w:val="000000"/>
                <w:sz w:val="24"/>
                <w:szCs w:val="24"/>
                <w:lang w:eastAsia="da-DK"/>
              </w:rPr>
            </w:pPr>
            <w:r w:rsidRPr="00840D7C">
              <w:rPr>
                <w:color w:val="000000"/>
                <w:sz w:val="24"/>
                <w:szCs w:val="24"/>
                <w:lang w:eastAsia="da-DK"/>
              </w:rPr>
              <w:t>Meget sjælden</w:t>
            </w:r>
          </w:p>
          <w:p w:rsidR="00F63458" w:rsidRPr="00840D7C" w:rsidRDefault="00F63458" w:rsidP="003B4BCE">
            <w:pPr>
              <w:ind w:left="34" w:hanging="10"/>
              <w:rPr>
                <w:snapToGrid w:val="0"/>
                <w:color w:val="000000"/>
                <w:sz w:val="24"/>
                <w:szCs w:val="24"/>
                <w:lang w:eastAsia="da-DK"/>
              </w:rPr>
            </w:pPr>
            <w:r w:rsidRPr="00840D7C">
              <w:rPr>
                <w:color w:val="000000"/>
                <w:sz w:val="24"/>
                <w:szCs w:val="24"/>
                <w:lang w:eastAsia="da-DK"/>
              </w:rPr>
              <w:t>(&lt; 10.000)</w:t>
            </w:r>
          </w:p>
        </w:tc>
        <w:tc>
          <w:tcPr>
            <w:tcW w:w="2838" w:type="dxa"/>
          </w:tcPr>
          <w:p w:rsidR="00F63458" w:rsidRPr="00840D7C" w:rsidRDefault="00F63458" w:rsidP="003B4BCE">
            <w:pPr>
              <w:ind w:left="36" w:hanging="10"/>
              <w:rPr>
                <w:snapToGrid w:val="0"/>
                <w:color w:val="000000"/>
                <w:sz w:val="24"/>
                <w:szCs w:val="24"/>
                <w:lang w:eastAsia="da-DK"/>
              </w:rPr>
            </w:pPr>
            <w:r w:rsidRPr="00840D7C">
              <w:rPr>
                <w:color w:val="000000"/>
                <w:sz w:val="24"/>
                <w:szCs w:val="24"/>
                <w:lang w:eastAsia="da-DK"/>
              </w:rPr>
              <w:t>Immunsystemet</w:t>
            </w:r>
          </w:p>
        </w:tc>
        <w:tc>
          <w:tcPr>
            <w:tcW w:w="3969" w:type="dxa"/>
          </w:tcPr>
          <w:p w:rsidR="00F63458" w:rsidRPr="00840D7C" w:rsidRDefault="00F63458" w:rsidP="003B4BCE">
            <w:pPr>
              <w:ind w:left="33" w:hanging="10"/>
              <w:rPr>
                <w:snapToGrid w:val="0"/>
                <w:color w:val="000000"/>
                <w:sz w:val="24"/>
                <w:szCs w:val="24"/>
                <w:lang w:eastAsia="da-DK"/>
              </w:rPr>
            </w:pPr>
            <w:proofErr w:type="spellStart"/>
            <w:r w:rsidRPr="00840D7C">
              <w:rPr>
                <w:color w:val="000000"/>
                <w:sz w:val="24"/>
                <w:szCs w:val="24"/>
                <w:lang w:eastAsia="da-DK"/>
              </w:rPr>
              <w:t>Anafylaktisk</w:t>
            </w:r>
            <w:proofErr w:type="spellEnd"/>
            <w:r w:rsidRPr="00840D7C">
              <w:rPr>
                <w:color w:val="000000"/>
                <w:sz w:val="24"/>
                <w:szCs w:val="24"/>
                <w:lang w:eastAsia="da-DK"/>
              </w:rPr>
              <w:t xml:space="preserve"> </w:t>
            </w:r>
            <w:proofErr w:type="spellStart"/>
            <w:r w:rsidRPr="00840D7C">
              <w:rPr>
                <w:color w:val="000000"/>
                <w:sz w:val="24"/>
                <w:szCs w:val="24"/>
                <w:lang w:eastAsia="da-DK"/>
              </w:rPr>
              <w:t>shock</w:t>
            </w:r>
            <w:proofErr w:type="spellEnd"/>
            <w:r w:rsidRPr="00840D7C">
              <w:rPr>
                <w:color w:val="000000"/>
                <w:sz w:val="24"/>
                <w:szCs w:val="24"/>
                <w:lang w:eastAsia="da-DK"/>
              </w:rPr>
              <w:t xml:space="preserve">, overfølsomhedsreaktion (der kræver </w:t>
            </w:r>
            <w:proofErr w:type="spellStart"/>
            <w:r w:rsidRPr="00840D7C">
              <w:rPr>
                <w:color w:val="000000"/>
                <w:sz w:val="24"/>
                <w:szCs w:val="24"/>
                <w:lang w:eastAsia="da-DK"/>
              </w:rPr>
              <w:t>seponering</w:t>
            </w:r>
            <w:proofErr w:type="spellEnd"/>
            <w:r w:rsidRPr="00840D7C">
              <w:rPr>
                <w:color w:val="000000"/>
                <w:sz w:val="24"/>
                <w:szCs w:val="24"/>
                <w:lang w:eastAsia="da-DK"/>
              </w:rPr>
              <w:t xml:space="preserve"> af behandlingen)</w:t>
            </w:r>
          </w:p>
        </w:tc>
      </w:tr>
      <w:tr w:rsidR="00F63458" w:rsidRPr="00840D7C" w:rsidTr="003B4BCE">
        <w:tc>
          <w:tcPr>
            <w:tcW w:w="2124" w:type="dxa"/>
            <w:vMerge/>
          </w:tcPr>
          <w:p w:rsidR="00F63458" w:rsidRPr="00840D7C" w:rsidRDefault="00F63458" w:rsidP="003B4BCE">
            <w:pPr>
              <w:ind w:left="34" w:hanging="10"/>
              <w:rPr>
                <w:snapToGrid w:val="0"/>
                <w:color w:val="000000"/>
                <w:sz w:val="24"/>
                <w:szCs w:val="24"/>
                <w:lang w:eastAsia="da-DK"/>
              </w:rPr>
            </w:pPr>
          </w:p>
        </w:tc>
        <w:tc>
          <w:tcPr>
            <w:tcW w:w="2838" w:type="dxa"/>
          </w:tcPr>
          <w:p w:rsidR="00F63458" w:rsidRPr="00840D7C" w:rsidRDefault="00F63458" w:rsidP="003B4BCE">
            <w:pPr>
              <w:ind w:left="36" w:hanging="10"/>
              <w:rPr>
                <w:snapToGrid w:val="0"/>
                <w:color w:val="000000"/>
                <w:sz w:val="24"/>
                <w:szCs w:val="24"/>
                <w:lang w:eastAsia="da-DK"/>
              </w:rPr>
            </w:pPr>
            <w:r w:rsidRPr="00840D7C">
              <w:rPr>
                <w:color w:val="000000"/>
                <w:sz w:val="24"/>
                <w:szCs w:val="24"/>
                <w:lang w:eastAsia="da-DK"/>
              </w:rPr>
              <w:t>Metabolisme og ernæring</w:t>
            </w:r>
          </w:p>
        </w:tc>
        <w:tc>
          <w:tcPr>
            <w:tcW w:w="3969" w:type="dxa"/>
          </w:tcPr>
          <w:p w:rsidR="00F63458" w:rsidRPr="00840D7C" w:rsidRDefault="00F63458" w:rsidP="003B4BCE">
            <w:pPr>
              <w:ind w:left="33" w:hanging="10"/>
              <w:rPr>
                <w:snapToGrid w:val="0"/>
                <w:color w:val="000000"/>
                <w:sz w:val="24"/>
                <w:szCs w:val="24"/>
                <w:lang w:eastAsia="da-DK"/>
              </w:rPr>
            </w:pPr>
            <w:r w:rsidRPr="00840D7C">
              <w:rPr>
                <w:color w:val="000000"/>
                <w:sz w:val="24"/>
                <w:szCs w:val="24"/>
                <w:lang w:eastAsia="da-DK"/>
              </w:rPr>
              <w:t>Hypoglykæmi</w:t>
            </w:r>
          </w:p>
        </w:tc>
      </w:tr>
      <w:tr w:rsidR="00F63458" w:rsidRPr="00840D7C" w:rsidTr="003B4BCE">
        <w:tc>
          <w:tcPr>
            <w:tcW w:w="2124" w:type="dxa"/>
            <w:vMerge/>
          </w:tcPr>
          <w:p w:rsidR="00F63458" w:rsidRPr="00840D7C" w:rsidRDefault="00F63458" w:rsidP="003B4BCE">
            <w:pPr>
              <w:ind w:left="34" w:hanging="10"/>
              <w:rPr>
                <w:snapToGrid w:val="0"/>
                <w:color w:val="000000"/>
                <w:sz w:val="24"/>
                <w:szCs w:val="24"/>
                <w:lang w:eastAsia="da-DK"/>
              </w:rPr>
            </w:pPr>
          </w:p>
        </w:tc>
        <w:tc>
          <w:tcPr>
            <w:tcW w:w="2838" w:type="dxa"/>
          </w:tcPr>
          <w:p w:rsidR="00F63458" w:rsidRPr="00840D7C" w:rsidRDefault="00F63458" w:rsidP="003B4BCE">
            <w:pPr>
              <w:ind w:left="36" w:hanging="10"/>
              <w:rPr>
                <w:snapToGrid w:val="0"/>
                <w:color w:val="000000"/>
                <w:sz w:val="24"/>
                <w:szCs w:val="24"/>
                <w:lang w:eastAsia="da-DK"/>
              </w:rPr>
            </w:pPr>
            <w:r w:rsidRPr="00840D7C">
              <w:rPr>
                <w:color w:val="000000"/>
                <w:sz w:val="24"/>
                <w:szCs w:val="24"/>
                <w:lang w:eastAsia="da-DK"/>
              </w:rPr>
              <w:t xml:space="preserve">Luftveje, thorax og </w:t>
            </w:r>
            <w:proofErr w:type="spellStart"/>
            <w:r w:rsidRPr="00840D7C">
              <w:rPr>
                <w:color w:val="000000"/>
                <w:sz w:val="24"/>
                <w:szCs w:val="24"/>
                <w:lang w:eastAsia="da-DK"/>
              </w:rPr>
              <w:t>mediastinum</w:t>
            </w:r>
            <w:proofErr w:type="spellEnd"/>
          </w:p>
        </w:tc>
        <w:tc>
          <w:tcPr>
            <w:tcW w:w="3969" w:type="dxa"/>
          </w:tcPr>
          <w:p w:rsidR="00F63458" w:rsidRPr="00840D7C" w:rsidRDefault="00F63458" w:rsidP="003B4BCE">
            <w:pPr>
              <w:ind w:left="33" w:hanging="10"/>
              <w:rPr>
                <w:snapToGrid w:val="0"/>
                <w:color w:val="000000"/>
                <w:sz w:val="24"/>
                <w:szCs w:val="24"/>
                <w:lang w:eastAsia="da-DK"/>
              </w:rPr>
            </w:pPr>
            <w:proofErr w:type="spellStart"/>
            <w:r w:rsidRPr="00840D7C">
              <w:rPr>
                <w:color w:val="000000"/>
                <w:sz w:val="24"/>
                <w:szCs w:val="24"/>
                <w:lang w:eastAsia="da-DK"/>
              </w:rPr>
              <w:t>Bronkospasmer</w:t>
            </w:r>
            <w:proofErr w:type="spellEnd"/>
          </w:p>
        </w:tc>
      </w:tr>
      <w:tr w:rsidR="00F63458" w:rsidRPr="00840D7C" w:rsidTr="003B4BCE">
        <w:tc>
          <w:tcPr>
            <w:tcW w:w="2124" w:type="dxa"/>
            <w:vMerge/>
          </w:tcPr>
          <w:p w:rsidR="00F63458" w:rsidRPr="00840D7C" w:rsidRDefault="00F63458" w:rsidP="003B4BCE">
            <w:pPr>
              <w:ind w:left="34" w:hanging="10"/>
              <w:rPr>
                <w:snapToGrid w:val="0"/>
                <w:color w:val="000000"/>
                <w:sz w:val="24"/>
                <w:szCs w:val="24"/>
                <w:lang w:eastAsia="da-DK"/>
              </w:rPr>
            </w:pPr>
          </w:p>
        </w:tc>
        <w:tc>
          <w:tcPr>
            <w:tcW w:w="2838" w:type="dxa"/>
          </w:tcPr>
          <w:p w:rsidR="00F63458" w:rsidRPr="00840D7C" w:rsidRDefault="00F63458" w:rsidP="003B4BCE">
            <w:pPr>
              <w:ind w:left="36" w:hanging="10"/>
              <w:rPr>
                <w:snapToGrid w:val="0"/>
                <w:color w:val="000000"/>
                <w:sz w:val="24"/>
                <w:szCs w:val="24"/>
                <w:lang w:eastAsia="da-DK"/>
              </w:rPr>
            </w:pPr>
            <w:r w:rsidRPr="00840D7C">
              <w:rPr>
                <w:color w:val="000000"/>
                <w:sz w:val="24"/>
                <w:szCs w:val="24"/>
                <w:lang w:eastAsia="da-DK"/>
              </w:rPr>
              <w:t>Lever og galdeveje</w:t>
            </w:r>
          </w:p>
        </w:tc>
        <w:tc>
          <w:tcPr>
            <w:tcW w:w="3969" w:type="dxa"/>
          </w:tcPr>
          <w:p w:rsidR="00F63458" w:rsidRPr="00840D7C" w:rsidRDefault="00F63458" w:rsidP="003B4BCE">
            <w:pPr>
              <w:ind w:left="33" w:hanging="10"/>
              <w:rPr>
                <w:snapToGrid w:val="0"/>
                <w:color w:val="000000"/>
                <w:sz w:val="24"/>
                <w:szCs w:val="24"/>
                <w:lang w:eastAsia="da-DK"/>
              </w:rPr>
            </w:pPr>
            <w:proofErr w:type="spellStart"/>
            <w:r w:rsidRPr="00840D7C">
              <w:rPr>
                <w:color w:val="000000"/>
                <w:sz w:val="24"/>
                <w:szCs w:val="24"/>
                <w:lang w:eastAsia="da-DK"/>
              </w:rPr>
              <w:t>Hepatotoksicitet</w:t>
            </w:r>
            <w:proofErr w:type="spellEnd"/>
          </w:p>
        </w:tc>
      </w:tr>
      <w:tr w:rsidR="00F63458" w:rsidRPr="00840D7C" w:rsidTr="003B4BCE">
        <w:tc>
          <w:tcPr>
            <w:tcW w:w="2124" w:type="dxa"/>
            <w:vMerge/>
          </w:tcPr>
          <w:p w:rsidR="00F63458" w:rsidRPr="00840D7C" w:rsidRDefault="00F63458" w:rsidP="003B4BCE">
            <w:pPr>
              <w:ind w:left="34" w:hanging="10"/>
              <w:rPr>
                <w:snapToGrid w:val="0"/>
                <w:color w:val="000000"/>
                <w:sz w:val="24"/>
                <w:szCs w:val="24"/>
                <w:lang w:eastAsia="da-DK"/>
              </w:rPr>
            </w:pPr>
          </w:p>
        </w:tc>
        <w:tc>
          <w:tcPr>
            <w:tcW w:w="2838" w:type="dxa"/>
          </w:tcPr>
          <w:p w:rsidR="00F63458" w:rsidRPr="00840D7C" w:rsidRDefault="00F63458" w:rsidP="003B4BCE">
            <w:pPr>
              <w:ind w:left="36" w:hanging="10"/>
              <w:rPr>
                <w:snapToGrid w:val="0"/>
                <w:color w:val="000000"/>
                <w:sz w:val="24"/>
                <w:szCs w:val="24"/>
                <w:lang w:eastAsia="da-DK"/>
              </w:rPr>
            </w:pPr>
            <w:r w:rsidRPr="00840D7C">
              <w:rPr>
                <w:color w:val="000000"/>
                <w:sz w:val="24"/>
                <w:szCs w:val="24"/>
                <w:lang w:eastAsia="da-DK"/>
              </w:rPr>
              <w:t>Hud og subkutane væv</w:t>
            </w:r>
          </w:p>
        </w:tc>
        <w:tc>
          <w:tcPr>
            <w:tcW w:w="3969" w:type="dxa"/>
          </w:tcPr>
          <w:p w:rsidR="00F63458" w:rsidRPr="00840D7C" w:rsidRDefault="00F63458" w:rsidP="003B4BCE">
            <w:pPr>
              <w:ind w:left="33" w:hanging="10"/>
              <w:rPr>
                <w:snapToGrid w:val="0"/>
                <w:color w:val="000000"/>
                <w:sz w:val="24"/>
                <w:szCs w:val="24"/>
                <w:lang w:eastAsia="da-DK"/>
              </w:rPr>
            </w:pPr>
            <w:r w:rsidRPr="00840D7C">
              <w:rPr>
                <w:color w:val="000000"/>
                <w:sz w:val="24"/>
                <w:szCs w:val="24"/>
                <w:lang w:eastAsia="da-DK"/>
              </w:rPr>
              <w:t>Der er rapporteret om meget sjældne tilfælde af alvorlige hudreaktioner (Stevens-</w:t>
            </w:r>
            <w:proofErr w:type="spellStart"/>
            <w:r w:rsidRPr="00840D7C">
              <w:rPr>
                <w:color w:val="000000"/>
                <w:sz w:val="24"/>
                <w:szCs w:val="24"/>
                <w:lang w:eastAsia="da-DK"/>
              </w:rPr>
              <w:t>Johnson</w:t>
            </w:r>
            <w:r>
              <w:rPr>
                <w:color w:val="000000"/>
                <w:sz w:val="24"/>
                <w:szCs w:val="24"/>
                <w:lang w:eastAsia="da-DK"/>
              </w:rPr>
              <w:t>'</w:t>
            </w:r>
            <w:r w:rsidRPr="00840D7C">
              <w:rPr>
                <w:color w:val="000000"/>
                <w:sz w:val="24"/>
                <w:szCs w:val="24"/>
                <w:lang w:eastAsia="da-DK"/>
              </w:rPr>
              <w:t>s</w:t>
            </w:r>
            <w:proofErr w:type="spellEnd"/>
            <w:r w:rsidRPr="00840D7C">
              <w:rPr>
                <w:color w:val="000000"/>
                <w:sz w:val="24"/>
                <w:szCs w:val="24"/>
                <w:lang w:eastAsia="da-DK"/>
              </w:rPr>
              <w:t xml:space="preserve"> syndrom, toksisk </w:t>
            </w:r>
            <w:proofErr w:type="spellStart"/>
            <w:r w:rsidRPr="00840D7C">
              <w:rPr>
                <w:color w:val="000000"/>
                <w:sz w:val="24"/>
                <w:szCs w:val="24"/>
                <w:lang w:eastAsia="da-DK"/>
              </w:rPr>
              <w:t>epidermal</w:t>
            </w:r>
            <w:proofErr w:type="spellEnd"/>
            <w:r w:rsidRPr="00840D7C">
              <w:rPr>
                <w:color w:val="000000"/>
                <w:sz w:val="24"/>
                <w:szCs w:val="24"/>
                <w:lang w:eastAsia="da-DK"/>
              </w:rPr>
              <w:t xml:space="preserve"> </w:t>
            </w:r>
            <w:proofErr w:type="spellStart"/>
            <w:r w:rsidRPr="00840D7C">
              <w:rPr>
                <w:color w:val="000000"/>
                <w:sz w:val="24"/>
                <w:szCs w:val="24"/>
                <w:lang w:eastAsia="da-DK"/>
              </w:rPr>
              <w:t>nekrolyse</w:t>
            </w:r>
            <w:proofErr w:type="spellEnd"/>
            <w:r w:rsidRPr="00840D7C">
              <w:rPr>
                <w:color w:val="000000"/>
                <w:sz w:val="24"/>
                <w:szCs w:val="24"/>
                <w:lang w:eastAsia="da-DK"/>
              </w:rPr>
              <w:t>).</w:t>
            </w:r>
          </w:p>
        </w:tc>
      </w:tr>
      <w:tr w:rsidR="00F63458" w:rsidRPr="00840D7C" w:rsidTr="003B4BCE">
        <w:tc>
          <w:tcPr>
            <w:tcW w:w="2124" w:type="dxa"/>
            <w:vMerge/>
          </w:tcPr>
          <w:p w:rsidR="00F63458" w:rsidRPr="00840D7C" w:rsidRDefault="00F63458" w:rsidP="003B4BCE">
            <w:pPr>
              <w:ind w:left="34" w:hanging="10"/>
              <w:rPr>
                <w:snapToGrid w:val="0"/>
                <w:color w:val="000000"/>
                <w:sz w:val="24"/>
                <w:szCs w:val="24"/>
                <w:lang w:eastAsia="da-DK"/>
              </w:rPr>
            </w:pPr>
          </w:p>
        </w:tc>
        <w:tc>
          <w:tcPr>
            <w:tcW w:w="2838" w:type="dxa"/>
          </w:tcPr>
          <w:p w:rsidR="00F63458" w:rsidRPr="00840D7C" w:rsidRDefault="00F63458" w:rsidP="003B4BCE">
            <w:pPr>
              <w:ind w:left="36" w:hanging="10"/>
              <w:rPr>
                <w:snapToGrid w:val="0"/>
                <w:color w:val="000000"/>
                <w:sz w:val="24"/>
                <w:szCs w:val="24"/>
                <w:lang w:eastAsia="da-DK"/>
              </w:rPr>
            </w:pPr>
            <w:r w:rsidRPr="00840D7C">
              <w:rPr>
                <w:color w:val="000000"/>
                <w:sz w:val="24"/>
                <w:szCs w:val="24"/>
                <w:lang w:eastAsia="da-DK"/>
              </w:rPr>
              <w:t>Nyrer og urinveje</w:t>
            </w:r>
          </w:p>
        </w:tc>
        <w:tc>
          <w:tcPr>
            <w:tcW w:w="3969" w:type="dxa"/>
          </w:tcPr>
          <w:p w:rsidR="00F63458" w:rsidRPr="00840D7C" w:rsidRDefault="00F63458" w:rsidP="003B4BCE">
            <w:pPr>
              <w:ind w:left="33" w:hanging="10"/>
              <w:rPr>
                <w:snapToGrid w:val="0"/>
                <w:color w:val="000000"/>
                <w:sz w:val="24"/>
                <w:szCs w:val="24"/>
                <w:lang w:eastAsia="da-DK"/>
              </w:rPr>
            </w:pPr>
            <w:r w:rsidRPr="00840D7C">
              <w:rPr>
                <w:color w:val="000000"/>
                <w:sz w:val="24"/>
                <w:szCs w:val="24"/>
                <w:lang w:eastAsia="da-DK"/>
              </w:rPr>
              <w:t xml:space="preserve">Steril </w:t>
            </w:r>
            <w:proofErr w:type="spellStart"/>
            <w:r w:rsidRPr="00840D7C">
              <w:rPr>
                <w:color w:val="000000"/>
                <w:sz w:val="24"/>
                <w:szCs w:val="24"/>
                <w:lang w:eastAsia="da-DK"/>
              </w:rPr>
              <w:t>pyuri</w:t>
            </w:r>
            <w:proofErr w:type="spellEnd"/>
            <w:r w:rsidRPr="00840D7C">
              <w:rPr>
                <w:color w:val="000000"/>
                <w:sz w:val="24"/>
                <w:szCs w:val="24"/>
                <w:lang w:eastAsia="da-DK"/>
              </w:rPr>
              <w:t xml:space="preserve"> (pus i urinen) og </w:t>
            </w:r>
            <w:proofErr w:type="spellStart"/>
            <w:r w:rsidRPr="00840D7C">
              <w:rPr>
                <w:color w:val="000000"/>
                <w:sz w:val="24"/>
                <w:szCs w:val="24"/>
                <w:lang w:eastAsia="da-DK"/>
              </w:rPr>
              <w:t>renale</w:t>
            </w:r>
            <w:proofErr w:type="spellEnd"/>
            <w:r w:rsidRPr="00840D7C">
              <w:rPr>
                <w:color w:val="000000"/>
                <w:sz w:val="24"/>
                <w:szCs w:val="24"/>
                <w:lang w:eastAsia="da-DK"/>
              </w:rPr>
              <w:t xml:space="preserve"> bivirkninger</w:t>
            </w:r>
          </w:p>
        </w:tc>
      </w:tr>
      <w:tr w:rsidR="00F63458" w:rsidRPr="00840D7C" w:rsidTr="003B4BCE">
        <w:tc>
          <w:tcPr>
            <w:tcW w:w="2124" w:type="dxa"/>
            <w:vMerge/>
          </w:tcPr>
          <w:p w:rsidR="00F63458" w:rsidRPr="00840D7C" w:rsidRDefault="00F63458" w:rsidP="003B4BCE">
            <w:pPr>
              <w:ind w:left="34" w:hanging="10"/>
              <w:rPr>
                <w:snapToGrid w:val="0"/>
                <w:color w:val="000000"/>
                <w:sz w:val="24"/>
                <w:szCs w:val="24"/>
                <w:lang w:eastAsia="da-DK"/>
              </w:rPr>
            </w:pPr>
          </w:p>
        </w:tc>
        <w:tc>
          <w:tcPr>
            <w:tcW w:w="2838" w:type="dxa"/>
          </w:tcPr>
          <w:p w:rsidR="00F63458" w:rsidRPr="00840D7C" w:rsidRDefault="00F63458" w:rsidP="003B4BCE">
            <w:pPr>
              <w:ind w:left="36" w:hanging="10"/>
              <w:rPr>
                <w:snapToGrid w:val="0"/>
                <w:color w:val="000000"/>
                <w:sz w:val="24"/>
                <w:szCs w:val="24"/>
                <w:lang w:eastAsia="da-DK"/>
              </w:rPr>
            </w:pPr>
            <w:r w:rsidRPr="00840D7C">
              <w:rPr>
                <w:color w:val="000000"/>
                <w:sz w:val="24"/>
                <w:szCs w:val="24"/>
                <w:lang w:eastAsia="da-DK"/>
              </w:rPr>
              <w:t>Almene symptomer og reaktioner på administrationsstedet</w:t>
            </w:r>
          </w:p>
        </w:tc>
        <w:tc>
          <w:tcPr>
            <w:tcW w:w="3969" w:type="dxa"/>
          </w:tcPr>
          <w:p w:rsidR="00F63458" w:rsidRPr="00840D7C" w:rsidRDefault="00F63458" w:rsidP="003B4BCE">
            <w:pPr>
              <w:ind w:left="33" w:hanging="10"/>
              <w:rPr>
                <w:snapToGrid w:val="0"/>
                <w:color w:val="000000"/>
                <w:sz w:val="24"/>
                <w:szCs w:val="24"/>
                <w:lang w:eastAsia="da-DK"/>
              </w:rPr>
            </w:pPr>
            <w:r w:rsidRPr="00840D7C">
              <w:rPr>
                <w:color w:val="000000"/>
                <w:sz w:val="24"/>
                <w:szCs w:val="24"/>
                <w:lang w:eastAsia="da-DK"/>
              </w:rPr>
              <w:t xml:space="preserve">Svimmelhed (eksklusive </w:t>
            </w:r>
            <w:proofErr w:type="spellStart"/>
            <w:r w:rsidRPr="00840D7C">
              <w:rPr>
                <w:color w:val="000000"/>
                <w:sz w:val="24"/>
                <w:szCs w:val="24"/>
                <w:lang w:eastAsia="da-DK"/>
              </w:rPr>
              <w:t>vertigo</w:t>
            </w:r>
            <w:proofErr w:type="spellEnd"/>
            <w:r w:rsidRPr="00840D7C">
              <w:rPr>
                <w:color w:val="000000"/>
                <w:sz w:val="24"/>
                <w:szCs w:val="24"/>
                <w:lang w:eastAsia="da-DK"/>
              </w:rPr>
              <w:t xml:space="preserve">), utilpashed, </w:t>
            </w:r>
            <w:proofErr w:type="spellStart"/>
            <w:r w:rsidRPr="00840D7C">
              <w:rPr>
                <w:color w:val="000000"/>
                <w:sz w:val="24"/>
                <w:szCs w:val="24"/>
                <w:lang w:eastAsia="da-DK"/>
              </w:rPr>
              <w:t>sedering</w:t>
            </w:r>
            <w:proofErr w:type="spellEnd"/>
            <w:r w:rsidRPr="00840D7C">
              <w:rPr>
                <w:color w:val="000000"/>
                <w:sz w:val="24"/>
                <w:szCs w:val="24"/>
                <w:lang w:eastAsia="da-DK"/>
              </w:rPr>
              <w:t>, lægemiddelinteraktioner (uspecificeret)</w:t>
            </w:r>
          </w:p>
        </w:tc>
      </w:tr>
    </w:tbl>
    <w:p w:rsidR="00F63458" w:rsidRPr="00840D7C" w:rsidRDefault="00F63458" w:rsidP="00F63458">
      <w:pPr>
        <w:ind w:left="851" w:hanging="10"/>
        <w:rPr>
          <w:snapToGrid w:val="0"/>
          <w:color w:val="000000"/>
          <w:sz w:val="24"/>
          <w:szCs w:val="24"/>
          <w:lang w:eastAsia="da-DK"/>
        </w:rPr>
      </w:pPr>
    </w:p>
    <w:p w:rsidR="00F63458" w:rsidRPr="00840D7C" w:rsidRDefault="00F63458" w:rsidP="00F63458">
      <w:pPr>
        <w:ind w:left="851" w:hanging="10"/>
        <w:rPr>
          <w:color w:val="000000"/>
          <w:sz w:val="24"/>
          <w:szCs w:val="24"/>
          <w:lang w:eastAsia="da-DK"/>
        </w:rPr>
      </w:pPr>
      <w:r w:rsidRPr="00840D7C">
        <w:rPr>
          <w:color w:val="000000"/>
          <w:sz w:val="24"/>
          <w:szCs w:val="24"/>
          <w:lang w:eastAsia="da-DK"/>
        </w:rPr>
        <w:t xml:space="preserve">Der er lejlighedsvist rapporteret om </w:t>
      </w:r>
      <w:proofErr w:type="spellStart"/>
      <w:r w:rsidRPr="00840D7C">
        <w:rPr>
          <w:color w:val="000000"/>
          <w:sz w:val="24"/>
          <w:szCs w:val="24"/>
          <w:lang w:eastAsia="da-DK"/>
        </w:rPr>
        <w:t>interstitiel</w:t>
      </w:r>
      <w:proofErr w:type="spellEnd"/>
      <w:r w:rsidRPr="00840D7C">
        <w:rPr>
          <w:color w:val="000000"/>
          <w:sz w:val="24"/>
          <w:szCs w:val="24"/>
          <w:lang w:eastAsia="da-DK"/>
        </w:rPr>
        <w:t xml:space="preserve"> </w:t>
      </w:r>
      <w:proofErr w:type="spellStart"/>
      <w:r w:rsidRPr="00840D7C">
        <w:rPr>
          <w:color w:val="000000"/>
          <w:sz w:val="24"/>
          <w:szCs w:val="24"/>
          <w:lang w:eastAsia="da-DK"/>
        </w:rPr>
        <w:t>nefritis</w:t>
      </w:r>
      <w:proofErr w:type="spellEnd"/>
      <w:r w:rsidRPr="00840D7C">
        <w:rPr>
          <w:color w:val="000000"/>
          <w:sz w:val="24"/>
          <w:szCs w:val="24"/>
          <w:lang w:eastAsia="da-DK"/>
        </w:rPr>
        <w:t xml:space="preserve"> efter langvarig brug af høje doser. Der er rapporteret om tilfælde af </w:t>
      </w:r>
      <w:proofErr w:type="spellStart"/>
      <w:r w:rsidRPr="00840D7C">
        <w:rPr>
          <w:color w:val="000000"/>
          <w:sz w:val="24"/>
          <w:szCs w:val="24"/>
          <w:lang w:eastAsia="da-DK"/>
        </w:rPr>
        <w:t>erythema</w:t>
      </w:r>
      <w:proofErr w:type="spellEnd"/>
      <w:r w:rsidRPr="00840D7C">
        <w:rPr>
          <w:color w:val="000000"/>
          <w:sz w:val="24"/>
          <w:szCs w:val="24"/>
          <w:lang w:eastAsia="da-DK"/>
        </w:rPr>
        <w:t xml:space="preserve"> </w:t>
      </w:r>
      <w:proofErr w:type="spellStart"/>
      <w:r w:rsidRPr="00840D7C">
        <w:rPr>
          <w:color w:val="000000"/>
          <w:sz w:val="24"/>
          <w:szCs w:val="24"/>
          <w:lang w:eastAsia="da-DK"/>
        </w:rPr>
        <w:t>multifome</w:t>
      </w:r>
      <w:proofErr w:type="spellEnd"/>
      <w:r w:rsidRPr="00840D7C">
        <w:rPr>
          <w:color w:val="000000"/>
          <w:sz w:val="24"/>
          <w:szCs w:val="24"/>
          <w:lang w:eastAsia="da-DK"/>
        </w:rPr>
        <w:t xml:space="preserve">, </w:t>
      </w:r>
      <w:proofErr w:type="spellStart"/>
      <w:r w:rsidRPr="00840D7C">
        <w:rPr>
          <w:color w:val="000000"/>
          <w:sz w:val="24"/>
          <w:szCs w:val="24"/>
          <w:lang w:eastAsia="da-DK"/>
        </w:rPr>
        <w:t>larynxødem</w:t>
      </w:r>
      <w:proofErr w:type="spellEnd"/>
      <w:r w:rsidRPr="00840D7C">
        <w:rPr>
          <w:color w:val="000000"/>
          <w:sz w:val="24"/>
          <w:szCs w:val="24"/>
          <w:lang w:eastAsia="da-DK"/>
        </w:rPr>
        <w:t xml:space="preserve">, anæmi, leverforandringer og hepatitis, nyreforandringer (svær nyreinsufficiens, hæmaturi, </w:t>
      </w:r>
      <w:proofErr w:type="spellStart"/>
      <w:r w:rsidRPr="00840D7C">
        <w:rPr>
          <w:color w:val="000000"/>
          <w:sz w:val="24"/>
          <w:szCs w:val="24"/>
          <w:lang w:eastAsia="da-DK"/>
        </w:rPr>
        <w:t>anurese</w:t>
      </w:r>
      <w:proofErr w:type="spellEnd"/>
      <w:r w:rsidRPr="00840D7C">
        <w:rPr>
          <w:color w:val="000000"/>
          <w:sz w:val="24"/>
          <w:szCs w:val="24"/>
          <w:lang w:eastAsia="da-DK"/>
        </w:rPr>
        <w:t xml:space="preserve">) og </w:t>
      </w:r>
      <w:proofErr w:type="spellStart"/>
      <w:r w:rsidRPr="00840D7C">
        <w:rPr>
          <w:color w:val="000000"/>
          <w:sz w:val="24"/>
          <w:szCs w:val="24"/>
          <w:lang w:eastAsia="da-DK"/>
        </w:rPr>
        <w:t>vertigo</w:t>
      </w:r>
      <w:proofErr w:type="spellEnd"/>
      <w:r w:rsidRPr="00840D7C">
        <w:rPr>
          <w:color w:val="000000"/>
          <w:sz w:val="24"/>
          <w:szCs w:val="24"/>
          <w:lang w:eastAsia="da-DK"/>
        </w:rPr>
        <w:t xml:space="preserve">. </w:t>
      </w:r>
    </w:p>
    <w:p w:rsidR="00F63458" w:rsidRPr="00840D7C" w:rsidRDefault="00F63458" w:rsidP="00F63458">
      <w:pPr>
        <w:tabs>
          <w:tab w:val="left" w:pos="567"/>
        </w:tabs>
        <w:autoSpaceDE w:val="0"/>
        <w:autoSpaceDN w:val="0"/>
        <w:adjustRightInd w:val="0"/>
        <w:ind w:left="851" w:hanging="10"/>
        <w:rPr>
          <w:color w:val="000000"/>
          <w:sz w:val="24"/>
          <w:szCs w:val="24"/>
          <w:u w:val="single"/>
          <w:lang w:eastAsia="da-DK"/>
        </w:rPr>
      </w:pPr>
    </w:p>
    <w:p w:rsidR="00F63458" w:rsidRDefault="00F63458" w:rsidP="00F63458">
      <w:pPr>
        <w:autoSpaceDE w:val="0"/>
        <w:autoSpaceDN w:val="0"/>
        <w:ind w:left="851"/>
        <w:rPr>
          <w:sz w:val="24"/>
          <w:szCs w:val="24"/>
          <w:u w:val="single"/>
          <w:lang w:eastAsia="da-DK"/>
        </w:rPr>
      </w:pPr>
      <w:r>
        <w:rPr>
          <w:sz w:val="24"/>
          <w:szCs w:val="24"/>
          <w:u w:val="single"/>
          <w:lang w:eastAsia="da-DK"/>
        </w:rPr>
        <w:t>Indberetning af formodede bivirkninger</w:t>
      </w:r>
    </w:p>
    <w:p w:rsidR="00F63458" w:rsidRDefault="00F63458" w:rsidP="00F63458">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 xml:space="preserve">-forholdet for lægemidlet. </w:t>
      </w:r>
      <w:r w:rsidR="004A7D6E">
        <w:rPr>
          <w:sz w:val="24"/>
          <w:szCs w:val="24"/>
          <w:lang w:eastAsia="da-DK"/>
        </w:rPr>
        <w:t>S</w:t>
      </w:r>
      <w:r>
        <w:rPr>
          <w:sz w:val="24"/>
          <w:szCs w:val="24"/>
          <w:lang w:eastAsia="da-DK"/>
        </w:rPr>
        <w:t>undhedsperson</w:t>
      </w:r>
      <w:r w:rsidR="004A7D6E">
        <w:rPr>
          <w:sz w:val="24"/>
          <w:szCs w:val="24"/>
          <w:lang w:eastAsia="da-DK"/>
        </w:rPr>
        <w:t xml:space="preserve">er </w:t>
      </w:r>
      <w:r>
        <w:rPr>
          <w:sz w:val="24"/>
          <w:szCs w:val="24"/>
          <w:lang w:eastAsia="da-DK"/>
        </w:rPr>
        <w:t>anmodes om at indberette alle formodede bivirkninger via:</w:t>
      </w:r>
    </w:p>
    <w:p w:rsidR="00F63458" w:rsidRDefault="00F63458" w:rsidP="00F63458">
      <w:pPr>
        <w:ind w:left="851"/>
        <w:rPr>
          <w:sz w:val="24"/>
          <w:szCs w:val="24"/>
          <w:lang w:eastAsia="da-DK"/>
        </w:rPr>
      </w:pPr>
    </w:p>
    <w:p w:rsidR="00F63458" w:rsidRDefault="00F63458" w:rsidP="00F63458">
      <w:pPr>
        <w:ind w:left="851"/>
        <w:rPr>
          <w:sz w:val="24"/>
          <w:szCs w:val="24"/>
          <w:lang w:eastAsia="da-DK"/>
        </w:rPr>
      </w:pPr>
      <w:r>
        <w:rPr>
          <w:sz w:val="24"/>
          <w:szCs w:val="24"/>
          <w:lang w:eastAsia="da-DK"/>
        </w:rPr>
        <w:t>Lægemiddelstyrelsen</w:t>
      </w:r>
    </w:p>
    <w:p w:rsidR="00F63458" w:rsidRDefault="00F63458" w:rsidP="00F63458">
      <w:pPr>
        <w:ind w:left="851"/>
        <w:rPr>
          <w:sz w:val="24"/>
          <w:szCs w:val="24"/>
          <w:lang w:eastAsia="da-DK"/>
        </w:rPr>
      </w:pPr>
      <w:r>
        <w:rPr>
          <w:sz w:val="24"/>
          <w:szCs w:val="24"/>
          <w:lang w:eastAsia="da-DK"/>
        </w:rPr>
        <w:t>Axel Heides Gade 1</w:t>
      </w:r>
    </w:p>
    <w:p w:rsidR="00F63458" w:rsidRDefault="00F63458" w:rsidP="00F63458">
      <w:pPr>
        <w:ind w:left="851"/>
        <w:rPr>
          <w:sz w:val="24"/>
          <w:szCs w:val="24"/>
          <w:lang w:eastAsia="da-DK"/>
        </w:rPr>
      </w:pPr>
      <w:r>
        <w:rPr>
          <w:sz w:val="24"/>
          <w:szCs w:val="24"/>
          <w:lang w:eastAsia="da-DK"/>
        </w:rPr>
        <w:t>DK-2300 København S</w:t>
      </w:r>
    </w:p>
    <w:p w:rsidR="00F63458" w:rsidRPr="004A7D6E" w:rsidRDefault="00F63458" w:rsidP="00F63458">
      <w:pPr>
        <w:ind w:left="851"/>
        <w:rPr>
          <w:sz w:val="24"/>
          <w:szCs w:val="24"/>
          <w:lang w:eastAsia="da-DK"/>
        </w:rPr>
      </w:pPr>
      <w:r w:rsidRPr="004A7D6E">
        <w:rPr>
          <w:sz w:val="24"/>
          <w:szCs w:val="24"/>
          <w:lang w:eastAsia="da-DK"/>
        </w:rPr>
        <w:t xml:space="preserve">Websted: </w:t>
      </w:r>
      <w:r w:rsidRPr="004A7D6E">
        <w:rPr>
          <w:sz w:val="24"/>
          <w:lang w:eastAsia="da-DK"/>
        </w:rPr>
        <w:t>www.meldenbivirkning.dk</w:t>
      </w:r>
    </w:p>
    <w:p w:rsidR="00F63458" w:rsidRPr="004A7D6E" w:rsidRDefault="00F63458" w:rsidP="00F63458">
      <w:pPr>
        <w:pStyle w:val="Sidehoved"/>
        <w:tabs>
          <w:tab w:val="left" w:pos="851"/>
        </w:tabs>
        <w:ind w:left="851"/>
        <w:rPr>
          <w:szCs w:val="24"/>
        </w:rPr>
      </w:pPr>
    </w:p>
    <w:p w:rsidR="00F63458" w:rsidRPr="00C84483" w:rsidRDefault="00F63458" w:rsidP="00F63458">
      <w:pPr>
        <w:tabs>
          <w:tab w:val="left" w:pos="851"/>
        </w:tabs>
        <w:ind w:left="851" w:hanging="851"/>
        <w:rPr>
          <w:b/>
          <w:sz w:val="24"/>
          <w:szCs w:val="24"/>
        </w:rPr>
      </w:pPr>
      <w:r w:rsidRPr="00C84483">
        <w:rPr>
          <w:b/>
          <w:sz w:val="24"/>
          <w:szCs w:val="24"/>
        </w:rPr>
        <w:t>4.9</w:t>
      </w:r>
      <w:r w:rsidRPr="00C84483">
        <w:rPr>
          <w:b/>
          <w:sz w:val="24"/>
          <w:szCs w:val="24"/>
        </w:rPr>
        <w:tab/>
        <w:t>Overdosering</w:t>
      </w:r>
    </w:p>
    <w:p w:rsidR="00F63458" w:rsidRPr="00631E62" w:rsidRDefault="00F63458" w:rsidP="00F63458">
      <w:pPr>
        <w:ind w:left="851" w:hanging="10"/>
        <w:rPr>
          <w:color w:val="000000"/>
          <w:sz w:val="24"/>
          <w:szCs w:val="24"/>
          <w:lang w:eastAsia="da-DK"/>
        </w:rPr>
      </w:pPr>
      <w:r w:rsidRPr="00631E62">
        <w:rPr>
          <w:color w:val="000000"/>
          <w:sz w:val="24"/>
          <w:szCs w:val="24"/>
          <w:lang w:eastAsia="da-DK"/>
        </w:rPr>
        <w:t>Overdosering af paracetamol kan resultere i leverskade, som kan være fatal.</w:t>
      </w:r>
    </w:p>
    <w:p w:rsidR="00F63458" w:rsidRPr="00631E62" w:rsidRDefault="00F63458" w:rsidP="00F63458">
      <w:pPr>
        <w:ind w:left="851" w:hanging="10"/>
        <w:rPr>
          <w:color w:val="000000"/>
          <w:sz w:val="24"/>
          <w:szCs w:val="24"/>
          <w:lang w:eastAsia="da-DK"/>
        </w:rPr>
      </w:pPr>
      <w:r w:rsidRPr="00631E62">
        <w:rPr>
          <w:color w:val="000000"/>
          <w:sz w:val="24"/>
          <w:szCs w:val="24"/>
          <w:lang w:eastAsia="da-DK"/>
        </w:rPr>
        <w:lastRenderedPageBreak/>
        <w:t>Symptomerne opstår som regel i løbet af de første 24 timer og kan omfatte: kvalme, opkastning, anoreksi, bleghed og mavesmerter; men patienterne kan også være asymptomatiske.</w:t>
      </w:r>
    </w:p>
    <w:p w:rsidR="00F63458" w:rsidRPr="00631E62" w:rsidRDefault="00F63458" w:rsidP="00F63458">
      <w:pPr>
        <w:ind w:left="851" w:hanging="10"/>
        <w:rPr>
          <w:color w:val="000000"/>
          <w:sz w:val="24"/>
          <w:szCs w:val="24"/>
          <w:lang w:eastAsia="da-DK"/>
        </w:rPr>
      </w:pPr>
      <w:r w:rsidRPr="00631E62">
        <w:rPr>
          <w:color w:val="000000"/>
          <w:sz w:val="24"/>
          <w:szCs w:val="24"/>
          <w:lang w:eastAsia="da-DK"/>
        </w:rPr>
        <w:t xml:space="preserve">Overdosering af paracetamol kan forårsage levercellenekrose, der sandsynligvis inducerer komplet og irreversibel nekrose, hvilket resulterer i </w:t>
      </w:r>
      <w:proofErr w:type="spellStart"/>
      <w:r w:rsidRPr="00631E62">
        <w:rPr>
          <w:color w:val="000000"/>
          <w:sz w:val="24"/>
          <w:szCs w:val="24"/>
          <w:lang w:eastAsia="da-DK"/>
        </w:rPr>
        <w:t>hepatocellulær</w:t>
      </w:r>
      <w:proofErr w:type="spellEnd"/>
      <w:r w:rsidRPr="00631E62">
        <w:rPr>
          <w:color w:val="000000"/>
          <w:sz w:val="24"/>
          <w:szCs w:val="24"/>
          <w:lang w:eastAsia="da-DK"/>
        </w:rPr>
        <w:t xml:space="preserve"> insufficiens, metabolisk </w:t>
      </w:r>
      <w:proofErr w:type="spellStart"/>
      <w:r w:rsidRPr="00631E62">
        <w:rPr>
          <w:color w:val="000000"/>
          <w:sz w:val="24"/>
          <w:szCs w:val="24"/>
          <w:lang w:eastAsia="da-DK"/>
        </w:rPr>
        <w:t>acidose</w:t>
      </w:r>
      <w:proofErr w:type="spellEnd"/>
      <w:r w:rsidRPr="00631E62">
        <w:rPr>
          <w:color w:val="000000"/>
          <w:sz w:val="24"/>
          <w:szCs w:val="24"/>
          <w:lang w:eastAsia="da-DK"/>
        </w:rPr>
        <w:t xml:space="preserve"> og encefalopati, som kan føre til koma og død. På samme tid ses der øgede niveauer af </w:t>
      </w:r>
      <w:proofErr w:type="spellStart"/>
      <w:r w:rsidRPr="00631E62">
        <w:rPr>
          <w:color w:val="000000"/>
          <w:sz w:val="24"/>
          <w:szCs w:val="24"/>
          <w:lang w:eastAsia="da-DK"/>
        </w:rPr>
        <w:t>levertransaminaser</w:t>
      </w:r>
      <w:proofErr w:type="spellEnd"/>
      <w:r w:rsidRPr="00631E62">
        <w:rPr>
          <w:color w:val="000000"/>
          <w:sz w:val="24"/>
          <w:szCs w:val="24"/>
          <w:lang w:eastAsia="da-DK"/>
        </w:rPr>
        <w:t xml:space="preserve"> (ASAT, ALAT), </w:t>
      </w:r>
      <w:proofErr w:type="spellStart"/>
      <w:r w:rsidRPr="00631E62">
        <w:rPr>
          <w:color w:val="000000"/>
          <w:sz w:val="24"/>
          <w:szCs w:val="24"/>
          <w:lang w:eastAsia="da-DK"/>
        </w:rPr>
        <w:t>laktatdehydrogenase</w:t>
      </w:r>
      <w:proofErr w:type="spellEnd"/>
      <w:r w:rsidRPr="00631E62">
        <w:rPr>
          <w:color w:val="000000"/>
          <w:sz w:val="24"/>
          <w:szCs w:val="24"/>
          <w:lang w:eastAsia="da-DK"/>
        </w:rPr>
        <w:t xml:space="preserve"> og bilirubin sammen med øgede </w:t>
      </w:r>
      <w:proofErr w:type="spellStart"/>
      <w:r w:rsidRPr="00631E62">
        <w:rPr>
          <w:color w:val="000000"/>
          <w:sz w:val="24"/>
          <w:szCs w:val="24"/>
          <w:lang w:eastAsia="da-DK"/>
        </w:rPr>
        <w:t>protrombinniveauer</w:t>
      </w:r>
      <w:proofErr w:type="spellEnd"/>
      <w:r w:rsidRPr="00631E62">
        <w:rPr>
          <w:color w:val="000000"/>
          <w:sz w:val="24"/>
          <w:szCs w:val="24"/>
          <w:lang w:eastAsia="da-DK"/>
        </w:rPr>
        <w:t>, som indtræder 12-48 timer efter administration.</w:t>
      </w:r>
    </w:p>
    <w:p w:rsidR="00F63458" w:rsidRDefault="00F63458" w:rsidP="00F573B2">
      <w:pPr>
        <w:ind w:left="851" w:hanging="10"/>
        <w:rPr>
          <w:color w:val="000000"/>
          <w:sz w:val="24"/>
          <w:szCs w:val="24"/>
          <w:lang w:eastAsia="da-DK"/>
        </w:rPr>
      </w:pPr>
      <w:r w:rsidRPr="00631E62">
        <w:rPr>
          <w:color w:val="000000"/>
          <w:sz w:val="24"/>
          <w:szCs w:val="24"/>
          <w:lang w:eastAsia="da-DK"/>
        </w:rPr>
        <w:t>Leverskade er sandsynlig hos patienter, der har taget paracetamol i højere mængder en</w:t>
      </w:r>
      <w:r>
        <w:rPr>
          <w:color w:val="000000"/>
          <w:sz w:val="24"/>
          <w:szCs w:val="24"/>
          <w:lang w:eastAsia="da-DK"/>
        </w:rPr>
        <w:t>d</w:t>
      </w:r>
      <w:r w:rsidRPr="00631E62">
        <w:rPr>
          <w:color w:val="000000"/>
          <w:sz w:val="24"/>
          <w:szCs w:val="24"/>
          <w:lang w:eastAsia="da-DK"/>
        </w:rPr>
        <w:t xml:space="preserve"> anbefalet. Man mener, at for store mængder af toksiske metabolitter bliver irreversibelt bundet til levervæv.</w:t>
      </w:r>
    </w:p>
    <w:p w:rsidR="00F63458" w:rsidRPr="00631E62" w:rsidRDefault="00F63458" w:rsidP="00F63458">
      <w:pPr>
        <w:ind w:left="851" w:hanging="10"/>
        <w:rPr>
          <w:color w:val="000000"/>
          <w:sz w:val="24"/>
          <w:szCs w:val="24"/>
          <w:lang w:eastAsia="da-DK"/>
        </w:rPr>
      </w:pPr>
    </w:p>
    <w:p w:rsidR="00F63458" w:rsidRPr="00631E62" w:rsidRDefault="00F63458" w:rsidP="00F63458">
      <w:pPr>
        <w:ind w:left="851" w:hanging="10"/>
        <w:rPr>
          <w:color w:val="000000"/>
          <w:sz w:val="24"/>
          <w:szCs w:val="24"/>
          <w:lang w:eastAsia="da-DK"/>
        </w:rPr>
      </w:pPr>
      <w:r w:rsidRPr="00631E62">
        <w:rPr>
          <w:color w:val="000000"/>
          <w:sz w:val="24"/>
          <w:szCs w:val="24"/>
          <w:lang w:eastAsia="da-DK"/>
        </w:rPr>
        <w:t xml:space="preserve">Nogle patienter kan have en øget risiko for leverskade som følge af paracetamoltoksicitet. </w:t>
      </w:r>
    </w:p>
    <w:p w:rsidR="00F63458" w:rsidRPr="00631E62" w:rsidRDefault="00F63458" w:rsidP="00F63458">
      <w:pPr>
        <w:ind w:left="851" w:hanging="10"/>
        <w:rPr>
          <w:color w:val="000000"/>
          <w:sz w:val="24"/>
          <w:szCs w:val="24"/>
          <w:lang w:eastAsia="da-DK"/>
        </w:rPr>
      </w:pPr>
      <w:r w:rsidRPr="00631E62">
        <w:rPr>
          <w:color w:val="000000"/>
          <w:sz w:val="24"/>
          <w:szCs w:val="24"/>
          <w:lang w:eastAsia="da-DK"/>
        </w:rPr>
        <w:t>Risikofaktorerne omfatter:</w:t>
      </w:r>
    </w:p>
    <w:p w:rsidR="00F63458" w:rsidRPr="00631E62" w:rsidRDefault="00F63458" w:rsidP="00F63458">
      <w:pPr>
        <w:numPr>
          <w:ilvl w:val="0"/>
          <w:numId w:val="7"/>
        </w:numPr>
        <w:ind w:left="1134" w:hanging="293"/>
        <w:rPr>
          <w:color w:val="000000"/>
          <w:sz w:val="24"/>
          <w:szCs w:val="24"/>
          <w:lang w:eastAsia="da-DK"/>
        </w:rPr>
      </w:pPr>
      <w:r w:rsidRPr="00631E62">
        <w:rPr>
          <w:color w:val="000000"/>
          <w:sz w:val="24"/>
          <w:szCs w:val="24"/>
          <w:lang w:eastAsia="da-DK"/>
        </w:rPr>
        <w:t>Patienter med leversygdom</w:t>
      </w:r>
    </w:p>
    <w:p w:rsidR="00F63458" w:rsidRPr="00631E62" w:rsidRDefault="00F63458" w:rsidP="00F63458">
      <w:pPr>
        <w:numPr>
          <w:ilvl w:val="0"/>
          <w:numId w:val="7"/>
        </w:numPr>
        <w:ind w:left="1134" w:hanging="293"/>
        <w:rPr>
          <w:color w:val="000000"/>
          <w:sz w:val="24"/>
          <w:szCs w:val="24"/>
          <w:lang w:eastAsia="da-DK"/>
        </w:rPr>
      </w:pPr>
      <w:r w:rsidRPr="00631E62">
        <w:rPr>
          <w:color w:val="000000"/>
          <w:sz w:val="24"/>
          <w:szCs w:val="24"/>
          <w:lang w:eastAsia="da-DK"/>
        </w:rPr>
        <w:t>Ældre patienter</w:t>
      </w:r>
    </w:p>
    <w:p w:rsidR="00F63458" w:rsidRPr="00631E62" w:rsidRDefault="00F63458" w:rsidP="00F63458">
      <w:pPr>
        <w:numPr>
          <w:ilvl w:val="0"/>
          <w:numId w:val="7"/>
        </w:numPr>
        <w:ind w:left="1134" w:hanging="293"/>
        <w:rPr>
          <w:color w:val="000000"/>
          <w:sz w:val="24"/>
          <w:szCs w:val="24"/>
          <w:lang w:eastAsia="da-DK"/>
        </w:rPr>
      </w:pPr>
      <w:r w:rsidRPr="00631E62">
        <w:rPr>
          <w:color w:val="000000"/>
          <w:sz w:val="24"/>
          <w:szCs w:val="24"/>
          <w:lang w:eastAsia="da-DK"/>
        </w:rPr>
        <w:t>Små børn</w:t>
      </w:r>
    </w:p>
    <w:p w:rsidR="00F63458" w:rsidRPr="00631E62" w:rsidRDefault="00F63458" w:rsidP="00F63458">
      <w:pPr>
        <w:numPr>
          <w:ilvl w:val="0"/>
          <w:numId w:val="7"/>
        </w:numPr>
        <w:ind w:left="1134" w:hanging="293"/>
        <w:rPr>
          <w:color w:val="000000"/>
          <w:sz w:val="24"/>
          <w:szCs w:val="24"/>
          <w:lang w:eastAsia="da-DK"/>
        </w:rPr>
      </w:pPr>
      <w:r w:rsidRPr="00631E62">
        <w:rPr>
          <w:color w:val="000000"/>
          <w:sz w:val="24"/>
          <w:szCs w:val="24"/>
          <w:lang w:eastAsia="da-DK"/>
        </w:rPr>
        <w:t xml:space="preserve">Patienter, der får langvarig behandling med </w:t>
      </w:r>
      <w:proofErr w:type="spellStart"/>
      <w:r w:rsidRPr="00631E62">
        <w:rPr>
          <w:color w:val="000000"/>
          <w:sz w:val="24"/>
          <w:szCs w:val="24"/>
          <w:lang w:eastAsia="da-DK"/>
        </w:rPr>
        <w:t>carbamazepin</w:t>
      </w:r>
      <w:proofErr w:type="spellEnd"/>
      <w:r w:rsidRPr="00631E62">
        <w:rPr>
          <w:color w:val="000000"/>
          <w:sz w:val="24"/>
          <w:szCs w:val="24"/>
          <w:lang w:eastAsia="da-DK"/>
        </w:rPr>
        <w:t xml:space="preserve">, </w:t>
      </w:r>
      <w:proofErr w:type="spellStart"/>
      <w:r w:rsidRPr="00631E62">
        <w:rPr>
          <w:color w:val="000000"/>
          <w:sz w:val="24"/>
          <w:szCs w:val="24"/>
          <w:lang w:eastAsia="da-DK"/>
        </w:rPr>
        <w:t>phenobarbiton</w:t>
      </w:r>
      <w:proofErr w:type="spellEnd"/>
      <w:r w:rsidRPr="00631E62">
        <w:rPr>
          <w:color w:val="000000"/>
          <w:sz w:val="24"/>
          <w:szCs w:val="24"/>
          <w:lang w:eastAsia="da-DK"/>
        </w:rPr>
        <w:t xml:space="preserve">, </w:t>
      </w:r>
      <w:proofErr w:type="spellStart"/>
      <w:r w:rsidRPr="00631E62">
        <w:rPr>
          <w:color w:val="000000"/>
          <w:sz w:val="24"/>
          <w:szCs w:val="24"/>
          <w:lang w:eastAsia="da-DK"/>
        </w:rPr>
        <w:t>phenytoin</w:t>
      </w:r>
      <w:proofErr w:type="spellEnd"/>
      <w:r w:rsidRPr="00631E62">
        <w:rPr>
          <w:color w:val="000000"/>
          <w:sz w:val="24"/>
          <w:szCs w:val="24"/>
          <w:lang w:eastAsia="da-DK"/>
        </w:rPr>
        <w:t xml:space="preserve">, </w:t>
      </w:r>
      <w:proofErr w:type="spellStart"/>
      <w:r w:rsidRPr="00631E62">
        <w:rPr>
          <w:color w:val="000000"/>
          <w:sz w:val="24"/>
          <w:szCs w:val="24"/>
          <w:lang w:eastAsia="da-DK"/>
        </w:rPr>
        <w:t>primodon</w:t>
      </w:r>
      <w:proofErr w:type="spellEnd"/>
      <w:r w:rsidRPr="00631E62">
        <w:rPr>
          <w:color w:val="000000"/>
          <w:sz w:val="24"/>
          <w:szCs w:val="24"/>
          <w:lang w:eastAsia="da-DK"/>
        </w:rPr>
        <w:t xml:space="preserve">, </w:t>
      </w:r>
      <w:proofErr w:type="spellStart"/>
      <w:r w:rsidRPr="00631E62">
        <w:rPr>
          <w:color w:val="000000"/>
          <w:sz w:val="24"/>
          <w:szCs w:val="24"/>
          <w:lang w:eastAsia="da-DK"/>
        </w:rPr>
        <w:t>rifampicin</w:t>
      </w:r>
      <w:proofErr w:type="spellEnd"/>
      <w:r w:rsidRPr="00631E62">
        <w:rPr>
          <w:color w:val="000000"/>
          <w:sz w:val="24"/>
          <w:szCs w:val="24"/>
          <w:lang w:eastAsia="da-DK"/>
        </w:rPr>
        <w:t>, perikon eller andre lægemidler, der inducerer leverenzymer.</w:t>
      </w:r>
    </w:p>
    <w:p w:rsidR="00F63458" w:rsidRPr="00631E62" w:rsidRDefault="00F63458" w:rsidP="00F63458">
      <w:pPr>
        <w:numPr>
          <w:ilvl w:val="0"/>
          <w:numId w:val="7"/>
        </w:numPr>
        <w:ind w:left="1134" w:hanging="293"/>
        <w:rPr>
          <w:color w:val="000000"/>
          <w:sz w:val="24"/>
          <w:szCs w:val="24"/>
          <w:lang w:eastAsia="da-DK"/>
        </w:rPr>
      </w:pPr>
      <w:r w:rsidRPr="00631E62">
        <w:rPr>
          <w:color w:val="000000"/>
          <w:sz w:val="24"/>
          <w:szCs w:val="24"/>
          <w:lang w:eastAsia="da-DK"/>
        </w:rPr>
        <w:t>Patienter, der regelmæssigt drikker større mængder alkohol end anbefalet</w:t>
      </w:r>
    </w:p>
    <w:p w:rsidR="00F63458" w:rsidRPr="00631E62" w:rsidRDefault="00F63458" w:rsidP="00F63458">
      <w:pPr>
        <w:numPr>
          <w:ilvl w:val="0"/>
          <w:numId w:val="7"/>
        </w:numPr>
        <w:ind w:left="1134" w:hanging="293"/>
        <w:rPr>
          <w:color w:val="000000"/>
          <w:sz w:val="24"/>
          <w:szCs w:val="24"/>
          <w:lang w:eastAsia="da-DK"/>
        </w:rPr>
      </w:pPr>
      <w:r w:rsidRPr="00631E62">
        <w:rPr>
          <w:color w:val="000000"/>
          <w:sz w:val="24"/>
          <w:szCs w:val="24"/>
          <w:lang w:eastAsia="da-DK"/>
        </w:rPr>
        <w:t xml:space="preserve">Patienter med </w:t>
      </w:r>
      <w:proofErr w:type="spellStart"/>
      <w:r w:rsidRPr="00631E62">
        <w:rPr>
          <w:color w:val="000000"/>
          <w:sz w:val="24"/>
          <w:szCs w:val="24"/>
          <w:lang w:eastAsia="da-DK"/>
        </w:rPr>
        <w:t>glutathiondepletering</w:t>
      </w:r>
      <w:proofErr w:type="spellEnd"/>
      <w:r w:rsidRPr="00631E62">
        <w:rPr>
          <w:color w:val="000000"/>
          <w:sz w:val="24"/>
          <w:szCs w:val="24"/>
          <w:lang w:eastAsia="da-DK"/>
        </w:rPr>
        <w:t xml:space="preserve">, f.eks. spiseforstyrrelser, cystisk fibrose, hiv-infektion, underernæring, </w:t>
      </w:r>
      <w:proofErr w:type="spellStart"/>
      <w:r w:rsidRPr="00631E62">
        <w:rPr>
          <w:color w:val="000000"/>
          <w:sz w:val="24"/>
          <w:szCs w:val="24"/>
          <w:lang w:eastAsia="da-DK"/>
        </w:rPr>
        <w:t>kakeksi</w:t>
      </w:r>
      <w:proofErr w:type="spellEnd"/>
    </w:p>
    <w:p w:rsidR="00F63458" w:rsidRPr="00631E62" w:rsidRDefault="00F63458" w:rsidP="00F63458">
      <w:pPr>
        <w:ind w:left="851" w:hanging="10"/>
        <w:rPr>
          <w:color w:val="000000"/>
          <w:sz w:val="24"/>
          <w:szCs w:val="24"/>
          <w:lang w:eastAsia="da-DK"/>
        </w:rPr>
      </w:pPr>
    </w:p>
    <w:p w:rsidR="00F63458" w:rsidRPr="00631E62" w:rsidRDefault="00F63458" w:rsidP="00F63458">
      <w:pPr>
        <w:ind w:left="851" w:hanging="10"/>
        <w:rPr>
          <w:color w:val="000000"/>
          <w:sz w:val="24"/>
          <w:szCs w:val="24"/>
          <w:lang w:eastAsia="da-DK"/>
        </w:rPr>
      </w:pPr>
      <w:r w:rsidRPr="00631E62">
        <w:rPr>
          <w:color w:val="000000"/>
          <w:sz w:val="24"/>
          <w:szCs w:val="24"/>
          <w:lang w:eastAsia="da-DK"/>
        </w:rPr>
        <w:t xml:space="preserve">Der kan også udvikles akut nyresvigt med akut </w:t>
      </w:r>
      <w:proofErr w:type="spellStart"/>
      <w:r w:rsidRPr="00631E62">
        <w:rPr>
          <w:color w:val="000000"/>
          <w:sz w:val="24"/>
          <w:szCs w:val="24"/>
          <w:lang w:eastAsia="da-DK"/>
        </w:rPr>
        <w:t>tubulær</w:t>
      </w:r>
      <w:proofErr w:type="spellEnd"/>
      <w:r w:rsidRPr="00631E62">
        <w:rPr>
          <w:color w:val="000000"/>
          <w:sz w:val="24"/>
          <w:szCs w:val="24"/>
          <w:lang w:eastAsia="da-DK"/>
        </w:rPr>
        <w:t xml:space="preserve"> nekrose.</w:t>
      </w:r>
    </w:p>
    <w:p w:rsidR="00F63458" w:rsidRPr="00631E62" w:rsidRDefault="00F63458" w:rsidP="00F63458">
      <w:pPr>
        <w:ind w:left="851" w:hanging="10"/>
        <w:rPr>
          <w:color w:val="000000"/>
          <w:sz w:val="24"/>
          <w:szCs w:val="24"/>
          <w:lang w:eastAsia="da-DK"/>
        </w:rPr>
      </w:pPr>
      <w:r w:rsidRPr="00631E62">
        <w:rPr>
          <w:color w:val="000000"/>
          <w:sz w:val="24"/>
          <w:szCs w:val="24"/>
          <w:lang w:eastAsia="da-DK"/>
        </w:rPr>
        <w:t xml:space="preserve">Der er også rapporteret om hjerterytmeforstyrrelser og </w:t>
      </w:r>
      <w:proofErr w:type="spellStart"/>
      <w:r w:rsidRPr="00631E62">
        <w:rPr>
          <w:color w:val="000000"/>
          <w:sz w:val="24"/>
          <w:szCs w:val="24"/>
          <w:lang w:eastAsia="da-DK"/>
        </w:rPr>
        <w:t>pancreatitis</w:t>
      </w:r>
      <w:proofErr w:type="spellEnd"/>
      <w:r w:rsidRPr="00631E62">
        <w:rPr>
          <w:color w:val="000000"/>
          <w:sz w:val="24"/>
          <w:szCs w:val="24"/>
          <w:lang w:eastAsia="da-DK"/>
        </w:rPr>
        <w:t>.</w:t>
      </w:r>
    </w:p>
    <w:p w:rsidR="00F63458" w:rsidRPr="00631E62" w:rsidRDefault="00F63458" w:rsidP="00F63458">
      <w:pPr>
        <w:ind w:left="851" w:hanging="10"/>
        <w:rPr>
          <w:color w:val="000000"/>
          <w:sz w:val="24"/>
          <w:szCs w:val="24"/>
          <w:lang w:eastAsia="da-DK"/>
        </w:rPr>
      </w:pPr>
    </w:p>
    <w:p w:rsidR="00F63458" w:rsidRPr="00631E62" w:rsidRDefault="00F63458" w:rsidP="00F63458">
      <w:pPr>
        <w:ind w:left="851" w:hanging="10"/>
        <w:rPr>
          <w:color w:val="000000"/>
          <w:sz w:val="24"/>
          <w:szCs w:val="24"/>
          <w:lang w:eastAsia="da-DK"/>
        </w:rPr>
      </w:pPr>
      <w:r w:rsidRPr="00631E62">
        <w:rPr>
          <w:color w:val="000000"/>
          <w:sz w:val="24"/>
          <w:szCs w:val="24"/>
          <w:u w:val="single"/>
          <w:lang w:eastAsia="da-DK"/>
        </w:rPr>
        <w:t>Nødprocedure</w:t>
      </w:r>
    </w:p>
    <w:p w:rsidR="00F63458" w:rsidRPr="00631E62" w:rsidRDefault="00F63458" w:rsidP="00F63458">
      <w:pPr>
        <w:ind w:left="851" w:hanging="10"/>
        <w:rPr>
          <w:color w:val="000000"/>
          <w:sz w:val="24"/>
          <w:szCs w:val="24"/>
          <w:lang w:eastAsia="da-DK"/>
        </w:rPr>
      </w:pPr>
      <w:r w:rsidRPr="00631E62">
        <w:rPr>
          <w:color w:val="000000"/>
          <w:sz w:val="24"/>
          <w:szCs w:val="24"/>
          <w:lang w:eastAsia="da-DK"/>
        </w:rPr>
        <w:t>Øjeblikkelig indlæggelse på hospital.</w:t>
      </w:r>
    </w:p>
    <w:p w:rsidR="00F63458" w:rsidRPr="00631E62" w:rsidRDefault="00F63458" w:rsidP="00F63458">
      <w:pPr>
        <w:ind w:left="851" w:hanging="10"/>
        <w:rPr>
          <w:color w:val="000000"/>
          <w:sz w:val="24"/>
          <w:szCs w:val="24"/>
          <w:lang w:eastAsia="da-DK"/>
        </w:rPr>
      </w:pPr>
    </w:p>
    <w:p w:rsidR="00F63458" w:rsidRPr="00631E62" w:rsidRDefault="00F63458" w:rsidP="00F63458">
      <w:pPr>
        <w:ind w:left="851" w:hanging="10"/>
        <w:rPr>
          <w:color w:val="000000"/>
          <w:sz w:val="24"/>
          <w:szCs w:val="24"/>
          <w:lang w:eastAsia="da-DK"/>
        </w:rPr>
      </w:pPr>
      <w:r w:rsidRPr="00631E62">
        <w:rPr>
          <w:color w:val="000000"/>
          <w:sz w:val="24"/>
          <w:szCs w:val="24"/>
          <w:lang w:eastAsia="da-DK"/>
        </w:rPr>
        <w:t>Blodprøvetagning med henblik på bestemmelse af den indledende plasmakoncentration af paracetamol. I tilfælde af en enkelt akut overdosis bør plasmakoncentrationen af paracetamol måles 4 timer efter indtagelse.</w:t>
      </w:r>
    </w:p>
    <w:p w:rsidR="00F63458" w:rsidRPr="00631E62" w:rsidRDefault="00F63458" w:rsidP="00F63458">
      <w:pPr>
        <w:ind w:left="851" w:hanging="10"/>
        <w:rPr>
          <w:color w:val="000000"/>
          <w:sz w:val="24"/>
          <w:szCs w:val="24"/>
          <w:lang w:eastAsia="da-DK"/>
        </w:rPr>
      </w:pPr>
    </w:p>
    <w:p w:rsidR="00F63458" w:rsidRPr="00631E62" w:rsidRDefault="00F63458" w:rsidP="00F63458">
      <w:pPr>
        <w:ind w:left="851" w:hanging="10"/>
        <w:rPr>
          <w:color w:val="000000"/>
          <w:sz w:val="24"/>
          <w:szCs w:val="24"/>
          <w:lang w:eastAsia="da-DK"/>
        </w:rPr>
      </w:pPr>
      <w:r w:rsidRPr="00631E62">
        <w:rPr>
          <w:color w:val="000000"/>
          <w:sz w:val="24"/>
          <w:szCs w:val="24"/>
          <w:lang w:eastAsia="da-DK"/>
        </w:rPr>
        <w:t xml:space="preserve">Hvis overdoseringen af paracetamol har fundet sted inden for den sidste time, bør det overvejes at administrere aktivt kul. </w:t>
      </w:r>
    </w:p>
    <w:p w:rsidR="00F63458" w:rsidRPr="00631E62" w:rsidRDefault="00F63458" w:rsidP="00F63458">
      <w:pPr>
        <w:ind w:left="851" w:hanging="10"/>
        <w:rPr>
          <w:color w:val="000000"/>
          <w:sz w:val="24"/>
          <w:szCs w:val="24"/>
          <w:lang w:eastAsia="da-DK"/>
        </w:rPr>
      </w:pPr>
      <w:proofErr w:type="spellStart"/>
      <w:r w:rsidRPr="00631E62">
        <w:rPr>
          <w:color w:val="000000"/>
          <w:sz w:val="24"/>
          <w:szCs w:val="24"/>
          <w:lang w:eastAsia="da-DK"/>
        </w:rPr>
        <w:t>Antidoten</w:t>
      </w:r>
      <w:proofErr w:type="spellEnd"/>
      <w:r w:rsidRPr="00631E62">
        <w:rPr>
          <w:color w:val="000000"/>
          <w:sz w:val="24"/>
          <w:szCs w:val="24"/>
          <w:lang w:eastAsia="da-DK"/>
        </w:rPr>
        <w:t xml:space="preserve"> N-</w:t>
      </w:r>
      <w:proofErr w:type="spellStart"/>
      <w:r w:rsidRPr="00631E62">
        <w:rPr>
          <w:color w:val="000000"/>
          <w:sz w:val="24"/>
          <w:szCs w:val="24"/>
          <w:lang w:eastAsia="da-DK"/>
        </w:rPr>
        <w:t>acetylcystein</w:t>
      </w:r>
      <w:proofErr w:type="spellEnd"/>
      <w:r w:rsidRPr="00631E62">
        <w:rPr>
          <w:color w:val="000000"/>
          <w:sz w:val="24"/>
          <w:szCs w:val="24"/>
          <w:lang w:eastAsia="da-DK"/>
        </w:rPr>
        <w:t xml:space="preserve"> bør administreres intravenøst så hurtigt som muligt i overensstemmelse med nationale retningslinjer for behandling.</w:t>
      </w:r>
    </w:p>
    <w:p w:rsidR="00F63458" w:rsidRPr="00631E62" w:rsidRDefault="00F63458" w:rsidP="00F63458">
      <w:pPr>
        <w:ind w:left="851" w:hanging="10"/>
        <w:rPr>
          <w:color w:val="000000"/>
          <w:sz w:val="24"/>
          <w:szCs w:val="24"/>
          <w:lang w:eastAsia="da-DK"/>
        </w:rPr>
      </w:pPr>
    </w:p>
    <w:p w:rsidR="00F63458" w:rsidRPr="00B02ADF" w:rsidRDefault="00F63458" w:rsidP="00F63458">
      <w:pPr>
        <w:ind w:left="851" w:hanging="10"/>
        <w:rPr>
          <w:color w:val="000000"/>
          <w:sz w:val="24"/>
          <w:szCs w:val="24"/>
          <w:lang w:eastAsia="da-DK"/>
        </w:rPr>
      </w:pPr>
      <w:r w:rsidRPr="00631E62">
        <w:rPr>
          <w:color w:val="000000"/>
          <w:sz w:val="24"/>
          <w:szCs w:val="24"/>
          <w:lang w:eastAsia="da-DK"/>
        </w:rPr>
        <w:t>Der bør iværksættes symptomatisk behandling.</w:t>
      </w:r>
    </w:p>
    <w:p w:rsidR="00F63458" w:rsidRPr="00C84483" w:rsidRDefault="00F63458" w:rsidP="00F63458">
      <w:pPr>
        <w:tabs>
          <w:tab w:val="left" w:pos="851"/>
        </w:tabs>
        <w:ind w:left="851"/>
        <w:rPr>
          <w:sz w:val="24"/>
          <w:szCs w:val="24"/>
        </w:rPr>
      </w:pPr>
    </w:p>
    <w:p w:rsidR="00F63458" w:rsidRPr="00C84483" w:rsidRDefault="00F63458" w:rsidP="00F63458">
      <w:pPr>
        <w:tabs>
          <w:tab w:val="left" w:pos="851"/>
        </w:tabs>
        <w:ind w:left="851" w:hanging="851"/>
        <w:rPr>
          <w:b/>
          <w:sz w:val="24"/>
          <w:szCs w:val="24"/>
        </w:rPr>
      </w:pPr>
      <w:r w:rsidRPr="00C84483">
        <w:rPr>
          <w:b/>
          <w:sz w:val="24"/>
          <w:szCs w:val="24"/>
        </w:rPr>
        <w:t>4.10</w:t>
      </w:r>
      <w:r w:rsidRPr="00C84483">
        <w:rPr>
          <w:b/>
          <w:sz w:val="24"/>
          <w:szCs w:val="24"/>
        </w:rPr>
        <w:tab/>
        <w:t>Udlevering</w:t>
      </w:r>
    </w:p>
    <w:p w:rsidR="00F63458" w:rsidRDefault="00F63458" w:rsidP="00F63458">
      <w:pPr>
        <w:tabs>
          <w:tab w:val="left" w:pos="851"/>
        </w:tabs>
        <w:ind w:left="851"/>
        <w:rPr>
          <w:sz w:val="24"/>
          <w:szCs w:val="24"/>
        </w:rPr>
      </w:pPr>
      <w:r w:rsidRPr="00631E62">
        <w:rPr>
          <w:sz w:val="24"/>
          <w:szCs w:val="24"/>
        </w:rPr>
        <w:t>Pakn</w:t>
      </w:r>
      <w:r>
        <w:rPr>
          <w:sz w:val="24"/>
          <w:szCs w:val="24"/>
        </w:rPr>
        <w:t xml:space="preserve">inger indeholdende højst 10 </w:t>
      </w:r>
      <w:proofErr w:type="spellStart"/>
      <w:r>
        <w:rPr>
          <w:sz w:val="24"/>
          <w:szCs w:val="24"/>
        </w:rPr>
        <w:t>stk</w:t>
      </w:r>
      <w:proofErr w:type="spellEnd"/>
      <w:r>
        <w:rPr>
          <w:sz w:val="24"/>
          <w:szCs w:val="24"/>
        </w:rPr>
        <w:t>: HX18.</w:t>
      </w:r>
    </w:p>
    <w:p w:rsidR="00F63458" w:rsidRPr="00631E62" w:rsidRDefault="00F63458" w:rsidP="00F63458">
      <w:pPr>
        <w:tabs>
          <w:tab w:val="left" w:pos="851"/>
        </w:tabs>
        <w:ind w:left="851"/>
        <w:rPr>
          <w:sz w:val="24"/>
          <w:szCs w:val="24"/>
        </w:rPr>
      </w:pPr>
      <w:r w:rsidRPr="00631E62">
        <w:rPr>
          <w:sz w:val="24"/>
          <w:szCs w:val="24"/>
        </w:rPr>
        <w:t>Pakn</w:t>
      </w:r>
      <w:r>
        <w:rPr>
          <w:sz w:val="24"/>
          <w:szCs w:val="24"/>
        </w:rPr>
        <w:t xml:space="preserve">inger indeholdende højst 20 </w:t>
      </w:r>
      <w:proofErr w:type="spellStart"/>
      <w:r>
        <w:rPr>
          <w:sz w:val="24"/>
          <w:szCs w:val="24"/>
        </w:rPr>
        <w:t>stk</w:t>
      </w:r>
      <w:proofErr w:type="spellEnd"/>
      <w:r>
        <w:rPr>
          <w:sz w:val="24"/>
          <w:szCs w:val="24"/>
        </w:rPr>
        <w:t>: HA18.</w:t>
      </w:r>
    </w:p>
    <w:p w:rsidR="00F63458" w:rsidRPr="00631E62" w:rsidRDefault="00F63458" w:rsidP="00F63458">
      <w:pPr>
        <w:tabs>
          <w:tab w:val="left" w:pos="851"/>
        </w:tabs>
        <w:ind w:left="851"/>
        <w:rPr>
          <w:sz w:val="24"/>
          <w:szCs w:val="24"/>
        </w:rPr>
      </w:pPr>
      <w:r>
        <w:rPr>
          <w:sz w:val="24"/>
          <w:szCs w:val="24"/>
        </w:rPr>
        <w:t>Ingen øvre grænse: B.</w:t>
      </w:r>
    </w:p>
    <w:p w:rsidR="00F63458" w:rsidRPr="00C84483" w:rsidRDefault="00F63458" w:rsidP="00F63458">
      <w:pPr>
        <w:tabs>
          <w:tab w:val="left" w:pos="851"/>
        </w:tabs>
        <w:ind w:left="851"/>
        <w:rPr>
          <w:sz w:val="24"/>
          <w:szCs w:val="24"/>
        </w:rPr>
      </w:pPr>
    </w:p>
    <w:p w:rsidR="00F63458" w:rsidRPr="00C84483" w:rsidRDefault="00F63458" w:rsidP="00F63458">
      <w:pPr>
        <w:tabs>
          <w:tab w:val="left" w:pos="851"/>
        </w:tabs>
        <w:ind w:left="851"/>
        <w:rPr>
          <w:sz w:val="24"/>
          <w:szCs w:val="24"/>
        </w:rPr>
      </w:pPr>
    </w:p>
    <w:p w:rsidR="00F573B2" w:rsidRPr="00F573B2" w:rsidRDefault="00F63458" w:rsidP="00F573B2">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F63458" w:rsidRPr="00C84483" w:rsidRDefault="00F63458" w:rsidP="00F63458">
      <w:pPr>
        <w:tabs>
          <w:tab w:val="left" w:pos="851"/>
        </w:tabs>
        <w:ind w:left="851"/>
        <w:rPr>
          <w:sz w:val="24"/>
          <w:szCs w:val="24"/>
        </w:rPr>
      </w:pPr>
    </w:p>
    <w:p w:rsidR="00F63458" w:rsidRDefault="00F63458" w:rsidP="00F63458">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F573B2" w:rsidRPr="00C84483" w:rsidRDefault="00F573B2" w:rsidP="00F573B2">
      <w:pPr>
        <w:tabs>
          <w:tab w:val="num" w:pos="851"/>
        </w:tabs>
        <w:ind w:left="841"/>
        <w:rPr>
          <w:b/>
          <w:sz w:val="24"/>
          <w:szCs w:val="24"/>
        </w:rPr>
      </w:pPr>
      <w:r>
        <w:rPr>
          <w:b/>
          <w:sz w:val="24"/>
          <w:szCs w:val="24"/>
        </w:rPr>
        <w:tab/>
      </w:r>
      <w:proofErr w:type="spellStart"/>
      <w:r>
        <w:rPr>
          <w:sz w:val="24"/>
          <w:szCs w:val="24"/>
        </w:rPr>
        <w:t>Farmakot</w:t>
      </w:r>
      <w:r w:rsidRPr="00F573B2">
        <w:rPr>
          <w:sz w:val="24"/>
          <w:szCs w:val="24"/>
        </w:rPr>
        <w:t>erapeutisk</w:t>
      </w:r>
      <w:proofErr w:type="spellEnd"/>
      <w:r w:rsidRPr="00F573B2">
        <w:rPr>
          <w:sz w:val="24"/>
          <w:szCs w:val="24"/>
        </w:rPr>
        <w:t xml:space="preserve"> klassifikation:</w:t>
      </w:r>
      <w:r>
        <w:rPr>
          <w:b/>
          <w:sz w:val="24"/>
          <w:szCs w:val="24"/>
        </w:rPr>
        <w:t xml:space="preserve"> </w:t>
      </w:r>
      <w:r>
        <w:rPr>
          <w:sz w:val="24"/>
          <w:szCs w:val="24"/>
        </w:rPr>
        <w:t>A</w:t>
      </w:r>
      <w:r w:rsidRPr="00631E62">
        <w:rPr>
          <w:color w:val="000000"/>
          <w:sz w:val="24"/>
          <w:szCs w:val="24"/>
          <w:lang w:eastAsia="da-DK"/>
        </w:rPr>
        <w:t xml:space="preserve">ndre </w:t>
      </w:r>
      <w:proofErr w:type="spellStart"/>
      <w:r w:rsidRPr="00631E62">
        <w:rPr>
          <w:color w:val="000000"/>
          <w:sz w:val="24"/>
          <w:szCs w:val="24"/>
          <w:lang w:eastAsia="da-DK"/>
        </w:rPr>
        <w:t>analgetika</w:t>
      </w:r>
      <w:proofErr w:type="spellEnd"/>
      <w:r w:rsidRPr="00631E62">
        <w:rPr>
          <w:color w:val="000000"/>
          <w:sz w:val="24"/>
          <w:szCs w:val="24"/>
          <w:lang w:eastAsia="da-DK"/>
        </w:rPr>
        <w:t xml:space="preserve"> og </w:t>
      </w:r>
      <w:proofErr w:type="spellStart"/>
      <w:r w:rsidRPr="00631E62">
        <w:rPr>
          <w:color w:val="000000"/>
          <w:sz w:val="24"/>
          <w:szCs w:val="24"/>
          <w:lang w:eastAsia="da-DK"/>
        </w:rPr>
        <w:t>antipyretika</w:t>
      </w:r>
      <w:proofErr w:type="spellEnd"/>
      <w:r w:rsidRPr="00631E62">
        <w:rPr>
          <w:color w:val="000000"/>
          <w:sz w:val="24"/>
          <w:szCs w:val="24"/>
          <w:lang w:eastAsia="da-DK"/>
        </w:rPr>
        <w:t xml:space="preserve">: </w:t>
      </w:r>
      <w:r>
        <w:rPr>
          <w:color w:val="000000"/>
          <w:sz w:val="24"/>
          <w:szCs w:val="24"/>
          <w:lang w:eastAsia="da-DK"/>
        </w:rPr>
        <w:t xml:space="preserve">Anilider, </w:t>
      </w:r>
      <w:r w:rsidRPr="00631E62">
        <w:rPr>
          <w:color w:val="000000"/>
          <w:sz w:val="24"/>
          <w:szCs w:val="24"/>
          <w:lang w:eastAsia="da-DK"/>
        </w:rPr>
        <w:t>ATC-kode: N02BE</w:t>
      </w:r>
      <w:r>
        <w:rPr>
          <w:color w:val="000000"/>
          <w:sz w:val="24"/>
          <w:szCs w:val="24"/>
          <w:lang w:eastAsia="da-DK"/>
        </w:rPr>
        <w:t>01.</w:t>
      </w:r>
    </w:p>
    <w:p w:rsidR="00F63458" w:rsidRPr="00631E62" w:rsidRDefault="00F63458" w:rsidP="00F63458">
      <w:pPr>
        <w:ind w:left="851" w:right="1375" w:hanging="10"/>
        <w:rPr>
          <w:i/>
          <w:color w:val="000000"/>
          <w:sz w:val="24"/>
          <w:szCs w:val="24"/>
          <w:lang w:eastAsia="da-DK"/>
        </w:rPr>
      </w:pPr>
    </w:p>
    <w:p w:rsidR="00F63458" w:rsidRPr="00631E62" w:rsidRDefault="00F63458" w:rsidP="00F63458">
      <w:pPr>
        <w:ind w:left="851" w:hanging="10"/>
        <w:rPr>
          <w:i/>
          <w:color w:val="000000"/>
          <w:sz w:val="24"/>
          <w:szCs w:val="24"/>
          <w:lang w:eastAsia="da-DK"/>
        </w:rPr>
      </w:pPr>
      <w:r w:rsidRPr="00631E62">
        <w:rPr>
          <w:color w:val="000000"/>
          <w:sz w:val="24"/>
          <w:szCs w:val="24"/>
          <w:lang w:eastAsia="da-DK"/>
        </w:rPr>
        <w:t xml:space="preserve">Paracetamol er et </w:t>
      </w:r>
      <w:proofErr w:type="spellStart"/>
      <w:r w:rsidRPr="00631E62">
        <w:rPr>
          <w:color w:val="000000"/>
          <w:sz w:val="24"/>
          <w:szCs w:val="24"/>
          <w:lang w:eastAsia="da-DK"/>
        </w:rPr>
        <w:t>analgetikum</w:t>
      </w:r>
      <w:proofErr w:type="spellEnd"/>
      <w:r w:rsidRPr="00631E62">
        <w:rPr>
          <w:color w:val="000000"/>
          <w:sz w:val="24"/>
          <w:szCs w:val="24"/>
          <w:lang w:eastAsia="da-DK"/>
        </w:rPr>
        <w:t xml:space="preserve">, som også har </w:t>
      </w:r>
      <w:proofErr w:type="spellStart"/>
      <w:r w:rsidRPr="00631E62">
        <w:rPr>
          <w:color w:val="000000"/>
          <w:sz w:val="24"/>
          <w:szCs w:val="24"/>
          <w:lang w:eastAsia="da-DK"/>
        </w:rPr>
        <w:t>antipyretiske</w:t>
      </w:r>
      <w:proofErr w:type="spellEnd"/>
      <w:r w:rsidRPr="00631E62">
        <w:rPr>
          <w:color w:val="000000"/>
          <w:sz w:val="24"/>
          <w:szCs w:val="24"/>
          <w:lang w:eastAsia="da-DK"/>
        </w:rPr>
        <w:t xml:space="preserve"> egenskaber.</w:t>
      </w:r>
    </w:p>
    <w:p w:rsidR="00F63458" w:rsidRPr="00631E62" w:rsidRDefault="00F63458" w:rsidP="00F63458">
      <w:pPr>
        <w:ind w:left="851" w:hanging="10"/>
        <w:rPr>
          <w:color w:val="000000"/>
          <w:sz w:val="24"/>
          <w:szCs w:val="24"/>
          <w:lang w:eastAsia="da-DK"/>
        </w:rPr>
      </w:pPr>
    </w:p>
    <w:p w:rsidR="00F63458" w:rsidRPr="00631E62" w:rsidRDefault="00F63458" w:rsidP="00F63458">
      <w:pPr>
        <w:ind w:left="851" w:hanging="10"/>
        <w:rPr>
          <w:color w:val="000000"/>
          <w:sz w:val="24"/>
          <w:szCs w:val="24"/>
          <w:lang w:eastAsia="da-DK"/>
        </w:rPr>
      </w:pPr>
      <w:r w:rsidRPr="00631E62">
        <w:rPr>
          <w:color w:val="000000"/>
          <w:sz w:val="24"/>
          <w:szCs w:val="24"/>
          <w:lang w:eastAsia="da-DK"/>
        </w:rPr>
        <w:t>Paracetamols nøjagtige virkningsmekanisme er ikke blevet fuldstændigt belyst, men man ved, at det virker på centralnervesystemniveau og i mindre grad ved at blokere genereringen af smerteimpulser på perifert niveau.</w:t>
      </w:r>
    </w:p>
    <w:p w:rsidR="00F63458" w:rsidRPr="00631E62" w:rsidRDefault="00F63458" w:rsidP="00F63458">
      <w:pPr>
        <w:ind w:left="851" w:hanging="10"/>
        <w:rPr>
          <w:color w:val="000000"/>
          <w:sz w:val="24"/>
          <w:szCs w:val="24"/>
          <w:lang w:eastAsia="da-DK"/>
        </w:rPr>
      </w:pPr>
    </w:p>
    <w:p w:rsidR="00F63458" w:rsidRPr="00631E62" w:rsidRDefault="00F63458" w:rsidP="00F63458">
      <w:pPr>
        <w:ind w:left="851" w:hanging="10"/>
        <w:rPr>
          <w:color w:val="000000"/>
          <w:sz w:val="24"/>
          <w:szCs w:val="24"/>
          <w:lang w:eastAsia="da-DK"/>
        </w:rPr>
      </w:pPr>
      <w:r w:rsidRPr="00631E62">
        <w:rPr>
          <w:color w:val="000000"/>
          <w:sz w:val="24"/>
          <w:szCs w:val="24"/>
          <w:lang w:eastAsia="da-DK"/>
        </w:rPr>
        <w:t xml:space="preserve">Det formodes, at paracetamol øger smertetærsklen, hvilket hæmmer </w:t>
      </w:r>
      <w:proofErr w:type="spellStart"/>
      <w:r w:rsidRPr="00631E62">
        <w:rPr>
          <w:color w:val="000000"/>
          <w:sz w:val="24"/>
          <w:szCs w:val="24"/>
          <w:lang w:eastAsia="da-DK"/>
        </w:rPr>
        <w:t>prostaglandinsyntesen</w:t>
      </w:r>
      <w:proofErr w:type="spellEnd"/>
      <w:r w:rsidRPr="00631E62">
        <w:rPr>
          <w:color w:val="000000"/>
          <w:sz w:val="24"/>
          <w:szCs w:val="24"/>
          <w:lang w:eastAsia="da-DK"/>
        </w:rPr>
        <w:t xml:space="preserve">, ved at blokere </w:t>
      </w:r>
      <w:proofErr w:type="spellStart"/>
      <w:r w:rsidRPr="00631E62">
        <w:rPr>
          <w:color w:val="000000"/>
          <w:sz w:val="24"/>
          <w:szCs w:val="24"/>
          <w:lang w:eastAsia="da-DK"/>
        </w:rPr>
        <w:t>cyclooxygenaser</w:t>
      </w:r>
      <w:proofErr w:type="spellEnd"/>
      <w:r w:rsidRPr="00631E62">
        <w:rPr>
          <w:color w:val="000000"/>
          <w:sz w:val="24"/>
          <w:szCs w:val="24"/>
          <w:lang w:eastAsia="da-DK"/>
        </w:rPr>
        <w:t xml:space="preserve"> i centralnervesystemet (specifikt COX-3). Paracetamol hæmmer imidlertid ikke </w:t>
      </w:r>
      <w:proofErr w:type="spellStart"/>
      <w:r w:rsidRPr="00631E62">
        <w:rPr>
          <w:color w:val="000000"/>
          <w:sz w:val="24"/>
          <w:szCs w:val="24"/>
          <w:lang w:eastAsia="da-DK"/>
        </w:rPr>
        <w:t>cyclooxygenaser</w:t>
      </w:r>
      <w:proofErr w:type="spellEnd"/>
      <w:r w:rsidRPr="00631E62">
        <w:rPr>
          <w:color w:val="000000"/>
          <w:sz w:val="24"/>
          <w:szCs w:val="24"/>
          <w:lang w:eastAsia="da-DK"/>
        </w:rPr>
        <w:t xml:space="preserve"> i perifere væv i betydelig grad.</w:t>
      </w:r>
    </w:p>
    <w:p w:rsidR="00F63458" w:rsidRPr="00631E62" w:rsidRDefault="00F63458" w:rsidP="00F63458">
      <w:pPr>
        <w:ind w:left="851" w:hanging="10"/>
        <w:rPr>
          <w:color w:val="000000"/>
          <w:sz w:val="24"/>
          <w:szCs w:val="24"/>
          <w:lang w:eastAsia="da-DK"/>
        </w:rPr>
      </w:pPr>
    </w:p>
    <w:p w:rsidR="00F63458" w:rsidRPr="00631E62" w:rsidRDefault="00F63458" w:rsidP="00F63458">
      <w:pPr>
        <w:ind w:left="851" w:hanging="10"/>
        <w:rPr>
          <w:color w:val="000000"/>
          <w:sz w:val="24"/>
          <w:szCs w:val="24"/>
          <w:lang w:eastAsia="da-DK"/>
        </w:rPr>
      </w:pPr>
      <w:r w:rsidRPr="00631E62">
        <w:rPr>
          <w:color w:val="000000"/>
          <w:sz w:val="24"/>
          <w:szCs w:val="24"/>
          <w:lang w:eastAsia="da-DK"/>
        </w:rPr>
        <w:t xml:space="preserve">Paracetamol stimulerer aktiviteten i de nedadgående </w:t>
      </w:r>
      <w:proofErr w:type="spellStart"/>
      <w:r w:rsidRPr="00631E62">
        <w:rPr>
          <w:color w:val="000000"/>
          <w:sz w:val="24"/>
          <w:szCs w:val="24"/>
          <w:lang w:eastAsia="da-DK"/>
        </w:rPr>
        <w:t>serotonerge</w:t>
      </w:r>
      <w:proofErr w:type="spellEnd"/>
      <w:r w:rsidRPr="00631E62">
        <w:rPr>
          <w:color w:val="000000"/>
          <w:sz w:val="24"/>
          <w:szCs w:val="24"/>
          <w:lang w:eastAsia="da-DK"/>
        </w:rPr>
        <w:t xml:space="preserve"> baner, som blokerer overførselsvejene for </w:t>
      </w:r>
      <w:proofErr w:type="spellStart"/>
      <w:r w:rsidRPr="00631E62">
        <w:rPr>
          <w:color w:val="000000"/>
          <w:sz w:val="24"/>
          <w:szCs w:val="24"/>
          <w:lang w:eastAsia="da-DK"/>
        </w:rPr>
        <w:t>nociceptive</w:t>
      </w:r>
      <w:proofErr w:type="spellEnd"/>
      <w:r w:rsidRPr="00631E62">
        <w:rPr>
          <w:color w:val="000000"/>
          <w:sz w:val="24"/>
          <w:szCs w:val="24"/>
          <w:lang w:eastAsia="da-DK"/>
        </w:rPr>
        <w:t xml:space="preserve"> signaler til rygmarven fra perifere væv. Derfor tyder visse forsøgsdata på, at intraspinal administration af antagonister af forskellige serotoninreceptor-undertyper kan ophæve paracetamols</w:t>
      </w:r>
      <w:r w:rsidRPr="00631E62" w:rsidDel="00473E61">
        <w:rPr>
          <w:color w:val="000000"/>
          <w:sz w:val="24"/>
          <w:szCs w:val="24"/>
          <w:lang w:eastAsia="da-DK"/>
        </w:rPr>
        <w:t xml:space="preserve"> </w:t>
      </w:r>
      <w:proofErr w:type="spellStart"/>
      <w:r w:rsidRPr="00631E62">
        <w:rPr>
          <w:color w:val="000000"/>
          <w:sz w:val="24"/>
          <w:szCs w:val="24"/>
          <w:lang w:eastAsia="da-DK"/>
        </w:rPr>
        <w:t>antinociceptive</w:t>
      </w:r>
      <w:proofErr w:type="spellEnd"/>
      <w:r w:rsidRPr="00631E62">
        <w:rPr>
          <w:color w:val="000000"/>
          <w:sz w:val="24"/>
          <w:szCs w:val="24"/>
          <w:lang w:eastAsia="da-DK"/>
        </w:rPr>
        <w:t xml:space="preserve"> virkning.</w:t>
      </w:r>
    </w:p>
    <w:p w:rsidR="00F63458" w:rsidRPr="00631E62" w:rsidRDefault="00F63458" w:rsidP="00F63458">
      <w:pPr>
        <w:ind w:left="851" w:hanging="10"/>
        <w:rPr>
          <w:color w:val="000000"/>
          <w:sz w:val="24"/>
          <w:szCs w:val="24"/>
          <w:lang w:eastAsia="da-DK"/>
        </w:rPr>
      </w:pPr>
    </w:p>
    <w:p w:rsidR="00F63458" w:rsidRPr="00EE548F" w:rsidRDefault="00F63458" w:rsidP="00F63458">
      <w:pPr>
        <w:ind w:left="851" w:hanging="10"/>
        <w:rPr>
          <w:color w:val="000000"/>
          <w:sz w:val="24"/>
          <w:szCs w:val="24"/>
          <w:lang w:eastAsia="da-DK"/>
        </w:rPr>
      </w:pPr>
      <w:r w:rsidRPr="00631E62">
        <w:rPr>
          <w:color w:val="000000"/>
          <w:sz w:val="24"/>
          <w:szCs w:val="24"/>
          <w:lang w:eastAsia="da-DK"/>
        </w:rPr>
        <w:t xml:space="preserve">Den </w:t>
      </w:r>
      <w:proofErr w:type="spellStart"/>
      <w:r w:rsidRPr="00631E62">
        <w:rPr>
          <w:color w:val="000000"/>
          <w:sz w:val="24"/>
          <w:szCs w:val="24"/>
          <w:lang w:eastAsia="da-DK"/>
        </w:rPr>
        <w:t>antipyretiske</w:t>
      </w:r>
      <w:proofErr w:type="spellEnd"/>
      <w:r w:rsidRPr="00631E62">
        <w:rPr>
          <w:color w:val="000000"/>
          <w:sz w:val="24"/>
          <w:szCs w:val="24"/>
          <w:lang w:eastAsia="da-DK"/>
        </w:rPr>
        <w:t xml:space="preserve"> virkning er relateret til hæmning af PGE</w:t>
      </w:r>
      <w:r w:rsidRPr="00631E62">
        <w:rPr>
          <w:color w:val="000000"/>
          <w:sz w:val="24"/>
          <w:szCs w:val="24"/>
          <w:vertAlign w:val="subscript"/>
          <w:lang w:eastAsia="da-DK"/>
        </w:rPr>
        <w:t>1</w:t>
      </w:r>
      <w:r w:rsidRPr="00631E62">
        <w:rPr>
          <w:color w:val="000000"/>
          <w:sz w:val="24"/>
          <w:szCs w:val="24"/>
          <w:lang w:eastAsia="da-DK"/>
        </w:rPr>
        <w:t xml:space="preserve">-syntesen i </w:t>
      </w:r>
      <w:proofErr w:type="spellStart"/>
      <w:r w:rsidRPr="00631E62">
        <w:rPr>
          <w:color w:val="000000"/>
          <w:sz w:val="24"/>
          <w:szCs w:val="24"/>
          <w:lang w:eastAsia="da-DK"/>
        </w:rPr>
        <w:t>hypothalamus</w:t>
      </w:r>
      <w:proofErr w:type="spellEnd"/>
      <w:r w:rsidRPr="00631E62">
        <w:rPr>
          <w:color w:val="000000"/>
          <w:sz w:val="24"/>
          <w:szCs w:val="24"/>
          <w:lang w:eastAsia="da-DK"/>
        </w:rPr>
        <w:t>, det fysiologisk koordinerende organ i termoreguleringsprocessen.</w:t>
      </w:r>
    </w:p>
    <w:p w:rsidR="00F63458" w:rsidRPr="00C84483" w:rsidRDefault="00F63458" w:rsidP="00F63458">
      <w:pPr>
        <w:tabs>
          <w:tab w:val="left" w:pos="851"/>
        </w:tabs>
        <w:ind w:left="851"/>
        <w:rPr>
          <w:sz w:val="24"/>
          <w:szCs w:val="24"/>
        </w:rPr>
      </w:pPr>
    </w:p>
    <w:p w:rsidR="00F63458" w:rsidRPr="00C84483" w:rsidRDefault="00F63458" w:rsidP="00F63458">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F63458" w:rsidRPr="00631E62" w:rsidRDefault="00F63458" w:rsidP="00F63458">
      <w:pPr>
        <w:ind w:left="851" w:hanging="10"/>
        <w:rPr>
          <w:color w:val="000000"/>
          <w:sz w:val="24"/>
          <w:szCs w:val="24"/>
          <w:lang w:eastAsia="da-DK"/>
        </w:rPr>
      </w:pPr>
      <w:r w:rsidRPr="00631E62">
        <w:rPr>
          <w:color w:val="000000"/>
          <w:sz w:val="24"/>
          <w:szCs w:val="24"/>
          <w:lang w:eastAsia="da-DK"/>
        </w:rPr>
        <w:t xml:space="preserve">Ved oral administration </w:t>
      </w:r>
      <w:r>
        <w:rPr>
          <w:color w:val="000000"/>
          <w:sz w:val="24"/>
          <w:szCs w:val="24"/>
          <w:lang w:eastAsia="da-DK"/>
        </w:rPr>
        <w:t>er biotilgængeligheden 75-85 %.</w:t>
      </w:r>
    </w:p>
    <w:p w:rsidR="00F63458" w:rsidRPr="00631E62" w:rsidRDefault="00F63458" w:rsidP="00F63458">
      <w:pPr>
        <w:ind w:left="851" w:hanging="10"/>
        <w:rPr>
          <w:color w:val="000000"/>
          <w:sz w:val="24"/>
          <w:szCs w:val="24"/>
          <w:lang w:eastAsia="da-DK"/>
        </w:rPr>
      </w:pPr>
    </w:p>
    <w:p w:rsidR="00F63458" w:rsidRPr="00631E62" w:rsidRDefault="00F63458" w:rsidP="00F63458">
      <w:pPr>
        <w:ind w:left="851" w:hanging="10"/>
        <w:rPr>
          <w:color w:val="000000"/>
          <w:sz w:val="24"/>
          <w:szCs w:val="24"/>
          <w:lang w:eastAsia="da-DK"/>
        </w:rPr>
      </w:pPr>
      <w:r w:rsidRPr="00631E62">
        <w:rPr>
          <w:color w:val="000000"/>
          <w:sz w:val="24"/>
          <w:szCs w:val="24"/>
          <w:lang w:eastAsia="da-DK"/>
        </w:rPr>
        <w:t>Absorptionen er omfattende og hurtig. Den maksimale plasmakoncentration nås inden for 0,5-2 timer, afhængigt af lægemiddelformen. Plasmaproteinbindingsgraden er 10 %.</w:t>
      </w:r>
    </w:p>
    <w:p w:rsidR="00F63458" w:rsidRPr="00631E62" w:rsidRDefault="00F63458" w:rsidP="00F63458">
      <w:pPr>
        <w:ind w:left="851" w:hanging="10"/>
        <w:rPr>
          <w:color w:val="000000"/>
          <w:sz w:val="24"/>
          <w:szCs w:val="24"/>
          <w:lang w:eastAsia="da-DK"/>
        </w:rPr>
      </w:pPr>
    </w:p>
    <w:p w:rsidR="00F63458" w:rsidRPr="00631E62" w:rsidRDefault="00F63458" w:rsidP="00F63458">
      <w:pPr>
        <w:ind w:left="851" w:hanging="10"/>
        <w:rPr>
          <w:color w:val="000000"/>
          <w:sz w:val="24"/>
          <w:szCs w:val="24"/>
          <w:lang w:eastAsia="da-DK"/>
        </w:rPr>
      </w:pPr>
      <w:r w:rsidRPr="00631E62">
        <w:rPr>
          <w:color w:val="000000"/>
          <w:sz w:val="24"/>
          <w:szCs w:val="24"/>
          <w:lang w:eastAsia="da-DK"/>
        </w:rPr>
        <w:t xml:space="preserve">Den maksimale virkning opnås efter 1 til 3 timer, og virkningen varer i 3 til 4 timer. Paracetamol gennemgår </w:t>
      </w:r>
      <w:proofErr w:type="spellStart"/>
      <w:r>
        <w:rPr>
          <w:color w:val="000000"/>
          <w:sz w:val="24"/>
          <w:szCs w:val="24"/>
          <w:lang w:eastAsia="da-DK"/>
        </w:rPr>
        <w:t>hepatisk</w:t>
      </w:r>
      <w:proofErr w:type="spellEnd"/>
      <w:r>
        <w:rPr>
          <w:color w:val="000000"/>
          <w:sz w:val="24"/>
          <w:szCs w:val="24"/>
          <w:lang w:eastAsia="da-DK"/>
        </w:rPr>
        <w:t xml:space="preserve"> </w:t>
      </w:r>
      <w:proofErr w:type="spellStart"/>
      <w:r w:rsidRPr="00631E62">
        <w:rPr>
          <w:color w:val="000000"/>
          <w:sz w:val="24"/>
          <w:szCs w:val="24"/>
          <w:lang w:eastAsia="da-DK"/>
        </w:rPr>
        <w:t>first</w:t>
      </w:r>
      <w:proofErr w:type="spellEnd"/>
      <w:r w:rsidRPr="00631E62">
        <w:rPr>
          <w:color w:val="000000"/>
          <w:sz w:val="24"/>
          <w:szCs w:val="24"/>
          <w:lang w:eastAsia="da-DK"/>
        </w:rPr>
        <w:t xml:space="preserve"> </w:t>
      </w:r>
      <w:proofErr w:type="spellStart"/>
      <w:r w:rsidRPr="00631E62">
        <w:rPr>
          <w:color w:val="000000"/>
          <w:sz w:val="24"/>
          <w:szCs w:val="24"/>
          <w:lang w:eastAsia="da-DK"/>
        </w:rPr>
        <w:t>pass</w:t>
      </w:r>
      <w:proofErr w:type="spellEnd"/>
      <w:r w:rsidRPr="00631E62">
        <w:rPr>
          <w:color w:val="000000"/>
          <w:sz w:val="24"/>
          <w:szCs w:val="24"/>
          <w:lang w:eastAsia="da-DK"/>
        </w:rPr>
        <w:t xml:space="preserve">-metabolisme efter lineær kinetik. Lineariteten forsvinder imidlertid ved administration af doser over 2 g. Paracetamol </w:t>
      </w:r>
      <w:proofErr w:type="spellStart"/>
      <w:r w:rsidRPr="00631E62">
        <w:rPr>
          <w:color w:val="000000"/>
          <w:sz w:val="24"/>
          <w:szCs w:val="24"/>
          <w:lang w:eastAsia="da-DK"/>
        </w:rPr>
        <w:t>metaboliseres</w:t>
      </w:r>
      <w:proofErr w:type="spellEnd"/>
      <w:r w:rsidRPr="00631E62">
        <w:rPr>
          <w:color w:val="000000"/>
          <w:sz w:val="24"/>
          <w:szCs w:val="24"/>
          <w:lang w:eastAsia="da-DK"/>
        </w:rPr>
        <w:t xml:space="preserve"> i høj grad i leveren (90-95 %), elimineres primært via urinen som et </w:t>
      </w:r>
      <w:proofErr w:type="spellStart"/>
      <w:r w:rsidRPr="00631E62">
        <w:rPr>
          <w:color w:val="000000"/>
          <w:sz w:val="24"/>
          <w:szCs w:val="24"/>
          <w:lang w:eastAsia="da-DK"/>
        </w:rPr>
        <w:t>konjugat</w:t>
      </w:r>
      <w:proofErr w:type="spellEnd"/>
      <w:r w:rsidRPr="00631E62">
        <w:rPr>
          <w:color w:val="000000"/>
          <w:sz w:val="24"/>
          <w:szCs w:val="24"/>
          <w:lang w:eastAsia="da-DK"/>
        </w:rPr>
        <w:t xml:space="preserve"> med </w:t>
      </w:r>
      <w:proofErr w:type="spellStart"/>
      <w:r w:rsidRPr="00631E62">
        <w:rPr>
          <w:color w:val="000000"/>
          <w:sz w:val="24"/>
          <w:szCs w:val="24"/>
          <w:lang w:eastAsia="da-DK"/>
        </w:rPr>
        <w:t>glukuronsyre</w:t>
      </w:r>
      <w:proofErr w:type="spellEnd"/>
      <w:r w:rsidRPr="00631E62">
        <w:rPr>
          <w:color w:val="000000"/>
          <w:sz w:val="24"/>
          <w:szCs w:val="24"/>
          <w:lang w:eastAsia="da-DK"/>
        </w:rPr>
        <w:t xml:space="preserve"> og i mindre grad med svovlsyre og </w:t>
      </w:r>
      <w:proofErr w:type="spellStart"/>
      <w:r w:rsidRPr="00631E62">
        <w:rPr>
          <w:color w:val="000000"/>
          <w:sz w:val="24"/>
          <w:szCs w:val="24"/>
          <w:lang w:eastAsia="da-DK"/>
        </w:rPr>
        <w:t>cystein</w:t>
      </w:r>
      <w:proofErr w:type="spellEnd"/>
      <w:r w:rsidRPr="00631E62">
        <w:rPr>
          <w:color w:val="000000"/>
          <w:sz w:val="24"/>
          <w:szCs w:val="24"/>
          <w:lang w:eastAsia="da-DK"/>
        </w:rPr>
        <w:t xml:space="preserve">; mindre end 5 % udskilles uforandret. Halveringstiden er 1,5-3 timer (stiger i tilfælde af overdosering og hos patienter med nedsat leverfunktion, ældre og børn). Høje doser kan mætte </w:t>
      </w:r>
      <w:r>
        <w:rPr>
          <w:color w:val="000000"/>
          <w:sz w:val="24"/>
          <w:szCs w:val="24"/>
          <w:lang w:eastAsia="da-DK"/>
        </w:rPr>
        <w:t>regulære</w:t>
      </w:r>
      <w:r w:rsidRPr="00631E62">
        <w:rPr>
          <w:color w:val="000000"/>
          <w:sz w:val="24"/>
          <w:szCs w:val="24"/>
          <w:lang w:eastAsia="da-DK"/>
        </w:rPr>
        <w:t xml:space="preserve"> </w:t>
      </w:r>
      <w:proofErr w:type="spellStart"/>
      <w:r w:rsidRPr="00631E62">
        <w:rPr>
          <w:color w:val="000000"/>
          <w:sz w:val="24"/>
          <w:szCs w:val="24"/>
          <w:lang w:eastAsia="da-DK"/>
        </w:rPr>
        <w:t>hepatiske</w:t>
      </w:r>
      <w:proofErr w:type="spellEnd"/>
      <w:r w:rsidRPr="00631E62">
        <w:rPr>
          <w:color w:val="000000"/>
          <w:sz w:val="24"/>
          <w:szCs w:val="24"/>
          <w:lang w:eastAsia="da-DK"/>
        </w:rPr>
        <w:t xml:space="preserve"> metabolismemekanismer, hvilket betyder, at der anvendes alternative </w:t>
      </w:r>
      <w:proofErr w:type="spellStart"/>
      <w:r w:rsidRPr="00631E62">
        <w:rPr>
          <w:color w:val="000000"/>
          <w:sz w:val="24"/>
          <w:szCs w:val="24"/>
          <w:lang w:eastAsia="da-DK"/>
        </w:rPr>
        <w:t>metaboliseringsveje</w:t>
      </w:r>
      <w:proofErr w:type="spellEnd"/>
      <w:r w:rsidRPr="00631E62">
        <w:rPr>
          <w:color w:val="000000"/>
          <w:sz w:val="24"/>
          <w:szCs w:val="24"/>
          <w:lang w:eastAsia="da-DK"/>
        </w:rPr>
        <w:t xml:space="preserve">, som giver anledning til </w:t>
      </w:r>
      <w:proofErr w:type="spellStart"/>
      <w:r w:rsidRPr="00631E62">
        <w:rPr>
          <w:color w:val="000000"/>
          <w:sz w:val="24"/>
          <w:szCs w:val="24"/>
          <w:lang w:eastAsia="da-DK"/>
        </w:rPr>
        <w:t>hepatotoksiske</w:t>
      </w:r>
      <w:proofErr w:type="spellEnd"/>
      <w:r w:rsidRPr="00631E62">
        <w:rPr>
          <w:color w:val="000000"/>
          <w:sz w:val="24"/>
          <w:szCs w:val="24"/>
          <w:lang w:eastAsia="da-DK"/>
        </w:rPr>
        <w:t xml:space="preserve"> og muligvis </w:t>
      </w:r>
      <w:proofErr w:type="spellStart"/>
      <w:r w:rsidRPr="00631E62">
        <w:rPr>
          <w:color w:val="000000"/>
          <w:sz w:val="24"/>
          <w:szCs w:val="24"/>
          <w:lang w:eastAsia="da-DK"/>
        </w:rPr>
        <w:t>nefrotoksiske</w:t>
      </w:r>
      <w:proofErr w:type="spellEnd"/>
      <w:r w:rsidRPr="00631E62">
        <w:rPr>
          <w:color w:val="000000"/>
          <w:sz w:val="24"/>
          <w:szCs w:val="24"/>
          <w:lang w:eastAsia="da-DK"/>
        </w:rPr>
        <w:t xml:space="preserve"> metabolitter via </w:t>
      </w:r>
      <w:proofErr w:type="spellStart"/>
      <w:r w:rsidRPr="00631E62">
        <w:rPr>
          <w:color w:val="000000"/>
          <w:sz w:val="24"/>
          <w:szCs w:val="24"/>
          <w:lang w:eastAsia="da-DK"/>
        </w:rPr>
        <w:t>glutathiondepletering</w:t>
      </w:r>
      <w:proofErr w:type="spellEnd"/>
      <w:r w:rsidRPr="00631E62">
        <w:rPr>
          <w:color w:val="000000"/>
          <w:sz w:val="24"/>
          <w:szCs w:val="24"/>
          <w:lang w:eastAsia="da-DK"/>
        </w:rPr>
        <w:t xml:space="preserve">. </w:t>
      </w:r>
    </w:p>
    <w:p w:rsidR="00F63458" w:rsidRPr="00631E62" w:rsidRDefault="00F63458" w:rsidP="00F63458">
      <w:pPr>
        <w:ind w:left="851" w:hanging="10"/>
        <w:rPr>
          <w:color w:val="000000"/>
          <w:sz w:val="24"/>
          <w:szCs w:val="24"/>
          <w:lang w:eastAsia="da-DK"/>
        </w:rPr>
      </w:pPr>
    </w:p>
    <w:p w:rsidR="00F63458" w:rsidRPr="00631E62" w:rsidRDefault="00F63458" w:rsidP="00F63458">
      <w:pPr>
        <w:ind w:left="851" w:hanging="10"/>
        <w:rPr>
          <w:color w:val="000000"/>
          <w:sz w:val="24"/>
          <w:szCs w:val="24"/>
          <w:lang w:eastAsia="da-DK"/>
        </w:rPr>
      </w:pPr>
      <w:proofErr w:type="spellStart"/>
      <w:r w:rsidRPr="00631E62">
        <w:rPr>
          <w:color w:val="000000"/>
          <w:sz w:val="24"/>
          <w:szCs w:val="24"/>
          <w:u w:val="single"/>
          <w:lang w:eastAsia="da-DK"/>
        </w:rPr>
        <w:t>Fysiopatologiske</w:t>
      </w:r>
      <w:proofErr w:type="spellEnd"/>
      <w:r w:rsidRPr="00631E62">
        <w:rPr>
          <w:color w:val="000000"/>
          <w:sz w:val="24"/>
          <w:szCs w:val="24"/>
          <w:u w:val="single"/>
          <w:lang w:eastAsia="da-DK"/>
        </w:rPr>
        <w:t xml:space="preserve"> variationer</w:t>
      </w:r>
    </w:p>
    <w:p w:rsidR="00F63458" w:rsidRPr="00631E62" w:rsidRDefault="00F63458" w:rsidP="00F63458">
      <w:pPr>
        <w:ind w:left="851" w:hanging="10"/>
        <w:rPr>
          <w:color w:val="000000"/>
          <w:sz w:val="24"/>
          <w:szCs w:val="24"/>
          <w:lang w:eastAsia="da-DK"/>
        </w:rPr>
      </w:pPr>
      <w:r>
        <w:rPr>
          <w:color w:val="000000"/>
          <w:sz w:val="24"/>
          <w:szCs w:val="24"/>
          <w:lang w:eastAsia="da-DK"/>
        </w:rPr>
        <w:t>Nyresvigt: I</w:t>
      </w:r>
      <w:r w:rsidRPr="00631E62">
        <w:rPr>
          <w:color w:val="000000"/>
          <w:sz w:val="24"/>
          <w:szCs w:val="24"/>
          <w:lang w:eastAsia="da-DK"/>
        </w:rPr>
        <w:t xml:space="preserve"> tilfælde af svært nyresvigt (</w:t>
      </w:r>
      <w:proofErr w:type="spellStart"/>
      <w:r w:rsidRPr="00631E62">
        <w:rPr>
          <w:color w:val="000000"/>
          <w:sz w:val="24"/>
          <w:szCs w:val="24"/>
          <w:lang w:eastAsia="da-DK"/>
        </w:rPr>
        <w:t>kreatininclearance</w:t>
      </w:r>
      <w:proofErr w:type="spellEnd"/>
      <w:r w:rsidRPr="00631E62">
        <w:rPr>
          <w:color w:val="000000"/>
          <w:sz w:val="24"/>
          <w:szCs w:val="24"/>
          <w:lang w:eastAsia="da-DK"/>
        </w:rPr>
        <w:t xml:space="preserve"> under 10 ml/min) elimineres paracetamol og dets metabolitter langsommere.</w:t>
      </w:r>
    </w:p>
    <w:p w:rsidR="00F63458" w:rsidRPr="00631E62" w:rsidRDefault="00F63458" w:rsidP="00F63458">
      <w:pPr>
        <w:ind w:left="851" w:hanging="10"/>
        <w:rPr>
          <w:color w:val="000000"/>
          <w:sz w:val="24"/>
          <w:szCs w:val="24"/>
          <w:lang w:eastAsia="da-DK"/>
        </w:rPr>
      </w:pPr>
    </w:p>
    <w:p w:rsidR="00F63458" w:rsidRPr="00B762F4" w:rsidRDefault="00F63458" w:rsidP="00F63458">
      <w:pPr>
        <w:ind w:left="851" w:hanging="10"/>
        <w:rPr>
          <w:color w:val="000000"/>
          <w:sz w:val="24"/>
          <w:szCs w:val="24"/>
          <w:lang w:eastAsia="da-DK"/>
        </w:rPr>
      </w:pPr>
      <w:r>
        <w:rPr>
          <w:color w:val="000000"/>
          <w:sz w:val="24"/>
          <w:szCs w:val="24"/>
          <w:lang w:eastAsia="da-DK"/>
        </w:rPr>
        <w:t>Ældre patienter: K</w:t>
      </w:r>
      <w:r w:rsidRPr="00631E62">
        <w:rPr>
          <w:color w:val="000000"/>
          <w:sz w:val="24"/>
          <w:szCs w:val="24"/>
          <w:lang w:eastAsia="da-DK"/>
        </w:rPr>
        <w:t>onjugationskapaciteten er ikke ændret. Der er set øget eliminationshalveringstid for paracetamol.</w:t>
      </w:r>
    </w:p>
    <w:p w:rsidR="00F63458" w:rsidRPr="00C84483" w:rsidRDefault="00F63458" w:rsidP="00F63458">
      <w:pPr>
        <w:tabs>
          <w:tab w:val="left" w:pos="851"/>
        </w:tabs>
        <w:ind w:left="851"/>
        <w:rPr>
          <w:sz w:val="24"/>
          <w:szCs w:val="24"/>
        </w:rPr>
      </w:pPr>
    </w:p>
    <w:p w:rsidR="00F63458" w:rsidRPr="00C84483" w:rsidRDefault="00F63458" w:rsidP="00F63458">
      <w:pPr>
        <w:tabs>
          <w:tab w:val="left" w:pos="851"/>
        </w:tabs>
        <w:ind w:left="851" w:hanging="851"/>
        <w:rPr>
          <w:b/>
          <w:sz w:val="24"/>
          <w:szCs w:val="24"/>
        </w:rPr>
      </w:pPr>
      <w:r w:rsidRPr="00C84483">
        <w:rPr>
          <w:b/>
          <w:sz w:val="24"/>
          <w:szCs w:val="24"/>
        </w:rPr>
        <w:t>5.3</w:t>
      </w:r>
      <w:r w:rsidRPr="00C84483">
        <w:rPr>
          <w:b/>
          <w:sz w:val="24"/>
          <w:szCs w:val="24"/>
        </w:rPr>
        <w:tab/>
      </w:r>
      <w:r w:rsidR="00F573B2">
        <w:rPr>
          <w:b/>
          <w:sz w:val="24"/>
          <w:szCs w:val="24"/>
        </w:rPr>
        <w:t>Non-</w:t>
      </w:r>
      <w:r w:rsidRPr="00C84483">
        <w:rPr>
          <w:b/>
          <w:sz w:val="24"/>
          <w:szCs w:val="24"/>
        </w:rPr>
        <w:t>kliniske sikkerhedsdata</w:t>
      </w:r>
    </w:p>
    <w:p w:rsidR="00F573B2" w:rsidRDefault="00F573B2" w:rsidP="00F573B2">
      <w:pPr>
        <w:ind w:left="851" w:hanging="10"/>
        <w:rPr>
          <w:color w:val="000000"/>
          <w:sz w:val="24"/>
          <w:szCs w:val="24"/>
          <w:lang w:eastAsia="da-DK"/>
        </w:rPr>
      </w:pPr>
      <w:r>
        <w:rPr>
          <w:color w:val="000000"/>
          <w:sz w:val="24"/>
          <w:szCs w:val="24"/>
          <w:lang w:eastAsia="da-DK"/>
        </w:rPr>
        <w:t>Der foreligger ikke konventionelle studier, hvor man har anvendt aktuelt anerkendte standarder for evaluering af reproduktions- og udviklingstoksicitet.</w:t>
      </w:r>
    </w:p>
    <w:p w:rsidR="00F573B2" w:rsidRDefault="00F573B2" w:rsidP="00F63458">
      <w:pPr>
        <w:ind w:left="851" w:hanging="10"/>
        <w:rPr>
          <w:color w:val="000000"/>
          <w:sz w:val="24"/>
          <w:szCs w:val="24"/>
          <w:lang w:eastAsia="da-DK"/>
        </w:rPr>
      </w:pPr>
    </w:p>
    <w:p w:rsidR="00F63458" w:rsidRPr="00631E62" w:rsidRDefault="00F63458" w:rsidP="00F63458">
      <w:pPr>
        <w:ind w:left="851" w:hanging="10"/>
        <w:rPr>
          <w:color w:val="000000"/>
          <w:sz w:val="24"/>
          <w:szCs w:val="24"/>
          <w:lang w:eastAsia="da-DK"/>
        </w:rPr>
      </w:pPr>
      <w:r w:rsidRPr="00631E62">
        <w:rPr>
          <w:color w:val="000000"/>
          <w:sz w:val="24"/>
          <w:szCs w:val="24"/>
          <w:lang w:eastAsia="da-DK"/>
        </w:rPr>
        <w:t xml:space="preserve">Paracetamol i terapeutiske doser udviser ingen toksiske virkninger, og kun i meget høje doser forårsager det </w:t>
      </w:r>
      <w:proofErr w:type="spellStart"/>
      <w:r w:rsidRPr="00631E62">
        <w:rPr>
          <w:color w:val="000000"/>
          <w:sz w:val="24"/>
          <w:szCs w:val="24"/>
          <w:lang w:eastAsia="da-DK"/>
        </w:rPr>
        <w:t>hepatisk</w:t>
      </w:r>
      <w:proofErr w:type="spellEnd"/>
      <w:r w:rsidRPr="00631E62">
        <w:rPr>
          <w:color w:val="000000"/>
          <w:sz w:val="24"/>
          <w:szCs w:val="24"/>
          <w:lang w:eastAsia="da-DK"/>
        </w:rPr>
        <w:t xml:space="preserve"> </w:t>
      </w:r>
      <w:proofErr w:type="spellStart"/>
      <w:r w:rsidRPr="00631E62">
        <w:rPr>
          <w:color w:val="000000"/>
          <w:sz w:val="24"/>
          <w:szCs w:val="24"/>
          <w:lang w:eastAsia="da-DK"/>
        </w:rPr>
        <w:t>centrolobulær</w:t>
      </w:r>
      <w:proofErr w:type="spellEnd"/>
      <w:r w:rsidRPr="00631E62">
        <w:rPr>
          <w:color w:val="000000"/>
          <w:sz w:val="24"/>
          <w:szCs w:val="24"/>
          <w:lang w:eastAsia="da-DK"/>
        </w:rPr>
        <w:t xml:space="preserve"> nekrose. Meget høje niveauer af paracetamol forårsager også </w:t>
      </w:r>
      <w:proofErr w:type="spellStart"/>
      <w:r w:rsidRPr="00631E62">
        <w:rPr>
          <w:color w:val="000000"/>
          <w:sz w:val="24"/>
          <w:szCs w:val="24"/>
          <w:lang w:eastAsia="da-DK"/>
        </w:rPr>
        <w:t>methemoglobinæmi</w:t>
      </w:r>
      <w:proofErr w:type="spellEnd"/>
      <w:r w:rsidRPr="00631E62">
        <w:rPr>
          <w:color w:val="000000"/>
          <w:sz w:val="24"/>
          <w:szCs w:val="24"/>
          <w:lang w:eastAsia="da-DK"/>
        </w:rPr>
        <w:t xml:space="preserve"> og </w:t>
      </w:r>
      <w:proofErr w:type="spellStart"/>
      <w:r w:rsidRPr="00631E62">
        <w:rPr>
          <w:color w:val="000000"/>
          <w:sz w:val="24"/>
          <w:szCs w:val="24"/>
          <w:lang w:eastAsia="da-DK"/>
        </w:rPr>
        <w:t>oksidativ</w:t>
      </w:r>
      <w:proofErr w:type="spellEnd"/>
      <w:r w:rsidRPr="00631E62">
        <w:rPr>
          <w:color w:val="000000"/>
          <w:sz w:val="24"/>
          <w:szCs w:val="24"/>
          <w:lang w:eastAsia="da-DK"/>
        </w:rPr>
        <w:t xml:space="preserve"> </w:t>
      </w:r>
      <w:proofErr w:type="spellStart"/>
      <w:r w:rsidRPr="00631E62">
        <w:rPr>
          <w:color w:val="000000"/>
          <w:sz w:val="24"/>
          <w:szCs w:val="24"/>
          <w:lang w:eastAsia="da-DK"/>
        </w:rPr>
        <w:t>hæmolyse</w:t>
      </w:r>
      <w:proofErr w:type="spellEnd"/>
      <w:r w:rsidRPr="00631E62">
        <w:rPr>
          <w:color w:val="000000"/>
          <w:sz w:val="24"/>
          <w:szCs w:val="24"/>
          <w:lang w:eastAsia="da-DK"/>
        </w:rPr>
        <w:t xml:space="preserve"> hos hunde og katte og i meget sjældne tilfælde hos mennesker.</w:t>
      </w:r>
    </w:p>
    <w:p w:rsidR="00F63458" w:rsidRPr="00631E62" w:rsidRDefault="00F63458" w:rsidP="00F63458">
      <w:pPr>
        <w:ind w:left="851" w:hanging="10"/>
        <w:rPr>
          <w:color w:val="000000"/>
          <w:sz w:val="24"/>
          <w:szCs w:val="24"/>
          <w:lang w:eastAsia="da-DK"/>
        </w:rPr>
      </w:pPr>
    </w:p>
    <w:p w:rsidR="00F63458" w:rsidRPr="00631E62" w:rsidRDefault="00F63458" w:rsidP="00F63458">
      <w:pPr>
        <w:ind w:left="851" w:hanging="10"/>
        <w:rPr>
          <w:color w:val="000000"/>
          <w:sz w:val="24"/>
          <w:szCs w:val="24"/>
          <w:lang w:eastAsia="da-DK"/>
        </w:rPr>
      </w:pPr>
      <w:r w:rsidRPr="00631E62">
        <w:rPr>
          <w:color w:val="000000"/>
          <w:sz w:val="24"/>
          <w:szCs w:val="24"/>
          <w:lang w:eastAsia="da-DK"/>
        </w:rPr>
        <w:t xml:space="preserve">Der er set </w:t>
      </w:r>
      <w:proofErr w:type="spellStart"/>
      <w:r w:rsidRPr="00631E62">
        <w:rPr>
          <w:color w:val="000000"/>
          <w:sz w:val="24"/>
          <w:szCs w:val="24"/>
          <w:lang w:eastAsia="da-DK"/>
        </w:rPr>
        <w:t>gastrointestinale</w:t>
      </w:r>
      <w:proofErr w:type="spellEnd"/>
      <w:r w:rsidRPr="00631E62">
        <w:rPr>
          <w:color w:val="000000"/>
          <w:sz w:val="24"/>
          <w:szCs w:val="24"/>
          <w:lang w:eastAsia="da-DK"/>
        </w:rPr>
        <w:t xml:space="preserve"> læsioner, ændringer i blodtal, degeneration af leveren og </w:t>
      </w:r>
      <w:proofErr w:type="spellStart"/>
      <w:r w:rsidRPr="00631E62">
        <w:rPr>
          <w:color w:val="000000"/>
          <w:sz w:val="24"/>
          <w:szCs w:val="24"/>
          <w:lang w:eastAsia="da-DK"/>
        </w:rPr>
        <w:t>renal</w:t>
      </w:r>
      <w:proofErr w:type="spellEnd"/>
      <w:r w:rsidRPr="00631E62">
        <w:rPr>
          <w:color w:val="000000"/>
          <w:sz w:val="24"/>
          <w:szCs w:val="24"/>
          <w:lang w:eastAsia="da-DK"/>
        </w:rPr>
        <w:t xml:space="preserve"> </w:t>
      </w:r>
      <w:proofErr w:type="spellStart"/>
      <w:r w:rsidRPr="00631E62">
        <w:rPr>
          <w:color w:val="000000"/>
          <w:sz w:val="24"/>
          <w:szCs w:val="24"/>
          <w:lang w:eastAsia="da-DK"/>
        </w:rPr>
        <w:t>parenkymal</w:t>
      </w:r>
      <w:proofErr w:type="spellEnd"/>
      <w:r w:rsidRPr="00631E62">
        <w:rPr>
          <w:color w:val="000000"/>
          <w:sz w:val="24"/>
          <w:szCs w:val="24"/>
          <w:lang w:eastAsia="da-DK"/>
        </w:rPr>
        <w:t xml:space="preserve"> sygdom, inklusive nekrose, i studier af kronisk, subkronisk og akut toksicitet hos rotter og mus. Årsagerne til disse forandringer er blevet tilskrevet virkningsmekanismen på den ene side og paracetamols metabolisme på den anden. Det er også set hos mennesker, at metabolitterne tilsyneladende forårsager toksiske virkninger og tilhørende forandringer i organer. </w:t>
      </w:r>
    </w:p>
    <w:p w:rsidR="00F63458" w:rsidRPr="00631E62" w:rsidRDefault="00F63458" w:rsidP="00F63458">
      <w:pPr>
        <w:ind w:left="851" w:hanging="10"/>
        <w:rPr>
          <w:color w:val="000000"/>
          <w:sz w:val="24"/>
          <w:szCs w:val="24"/>
          <w:lang w:eastAsia="da-DK"/>
        </w:rPr>
      </w:pPr>
    </w:p>
    <w:p w:rsidR="00F63458" w:rsidRPr="00631E62" w:rsidRDefault="00F63458" w:rsidP="00F63458">
      <w:pPr>
        <w:ind w:left="851" w:hanging="10"/>
        <w:rPr>
          <w:color w:val="000000"/>
          <w:sz w:val="24"/>
          <w:szCs w:val="24"/>
          <w:lang w:eastAsia="da-DK"/>
        </w:rPr>
      </w:pPr>
      <w:r w:rsidRPr="00631E62">
        <w:rPr>
          <w:color w:val="000000"/>
          <w:sz w:val="24"/>
          <w:szCs w:val="24"/>
          <w:lang w:eastAsia="da-DK"/>
        </w:rPr>
        <w:t xml:space="preserve">Derudover er der i meget sjældne tilfælde beskrevet reversibel kronisk aggressiv hepatitis under længerevarende brug (f.eks. 1 år) </w:t>
      </w:r>
      <w:r>
        <w:rPr>
          <w:color w:val="000000"/>
          <w:sz w:val="24"/>
          <w:szCs w:val="24"/>
          <w:lang w:eastAsia="da-DK"/>
        </w:rPr>
        <w:t>med</w:t>
      </w:r>
      <w:r w:rsidRPr="00631E62">
        <w:rPr>
          <w:color w:val="000000"/>
          <w:sz w:val="24"/>
          <w:szCs w:val="24"/>
          <w:lang w:eastAsia="da-DK"/>
        </w:rPr>
        <w:t xml:space="preserve"> terapeutiske doser. I tilfælde af subtoksiske doser kan tegn på </w:t>
      </w:r>
      <w:proofErr w:type="spellStart"/>
      <w:r w:rsidRPr="00631E62">
        <w:rPr>
          <w:color w:val="000000"/>
          <w:sz w:val="24"/>
          <w:szCs w:val="24"/>
          <w:lang w:eastAsia="da-DK"/>
        </w:rPr>
        <w:t>intoksikation</w:t>
      </w:r>
      <w:proofErr w:type="spellEnd"/>
      <w:r w:rsidRPr="00631E62">
        <w:rPr>
          <w:color w:val="000000"/>
          <w:sz w:val="24"/>
          <w:szCs w:val="24"/>
          <w:lang w:eastAsia="da-DK"/>
        </w:rPr>
        <w:t xml:space="preserve"> indtræde 3 uger efter behandling. Derfor må paracetamol ikke tages i lange perioder og i høje doser. </w:t>
      </w:r>
    </w:p>
    <w:p w:rsidR="00F63458" w:rsidRPr="00631E62" w:rsidRDefault="00F63458" w:rsidP="00F63458">
      <w:pPr>
        <w:ind w:left="851" w:hanging="10"/>
        <w:rPr>
          <w:color w:val="000000"/>
          <w:sz w:val="24"/>
          <w:szCs w:val="24"/>
          <w:lang w:eastAsia="da-DK"/>
        </w:rPr>
      </w:pPr>
    </w:p>
    <w:p w:rsidR="00F63458" w:rsidRPr="00631E62" w:rsidRDefault="00F63458" w:rsidP="00F63458">
      <w:pPr>
        <w:ind w:left="851" w:hanging="10"/>
        <w:rPr>
          <w:color w:val="000000"/>
          <w:sz w:val="24"/>
          <w:szCs w:val="24"/>
          <w:lang w:eastAsia="da-DK"/>
        </w:rPr>
      </w:pPr>
      <w:r w:rsidRPr="00631E62">
        <w:rPr>
          <w:color w:val="000000"/>
          <w:sz w:val="24"/>
          <w:szCs w:val="24"/>
          <w:lang w:eastAsia="da-DK"/>
        </w:rPr>
        <w:t>Yderligere undersøgelser viste ingen evidens for en relevant genotoksisk risiko ved paracetamol i terapeutiske doser; dvs. i ikke-toksiske doser.</w:t>
      </w:r>
    </w:p>
    <w:p w:rsidR="00F63458" w:rsidRPr="00631E62" w:rsidRDefault="00F63458" w:rsidP="00F63458">
      <w:pPr>
        <w:ind w:left="851" w:hanging="10"/>
        <w:rPr>
          <w:color w:val="000000"/>
          <w:sz w:val="24"/>
          <w:szCs w:val="24"/>
          <w:lang w:eastAsia="da-DK"/>
        </w:rPr>
      </w:pPr>
    </w:p>
    <w:p w:rsidR="00F63458" w:rsidRPr="00631E62" w:rsidRDefault="00F63458" w:rsidP="00F63458">
      <w:pPr>
        <w:ind w:left="851" w:hanging="10"/>
        <w:rPr>
          <w:color w:val="000000"/>
          <w:sz w:val="24"/>
          <w:szCs w:val="24"/>
          <w:lang w:eastAsia="da-DK"/>
        </w:rPr>
      </w:pPr>
      <w:r w:rsidRPr="00631E62">
        <w:rPr>
          <w:color w:val="000000"/>
          <w:sz w:val="24"/>
          <w:szCs w:val="24"/>
          <w:lang w:eastAsia="da-DK"/>
        </w:rPr>
        <w:t>Langvarige studier med rotter og mus med ikke-</w:t>
      </w:r>
      <w:proofErr w:type="spellStart"/>
      <w:r w:rsidRPr="00631E62">
        <w:rPr>
          <w:color w:val="000000"/>
          <w:sz w:val="24"/>
          <w:szCs w:val="24"/>
          <w:lang w:eastAsia="da-DK"/>
        </w:rPr>
        <w:t>hepatotoksiske</w:t>
      </w:r>
      <w:proofErr w:type="spellEnd"/>
      <w:r w:rsidRPr="00631E62">
        <w:rPr>
          <w:color w:val="000000"/>
          <w:sz w:val="24"/>
          <w:szCs w:val="24"/>
          <w:lang w:eastAsia="da-DK"/>
        </w:rPr>
        <w:t xml:space="preserve"> doser af paracetamol</w:t>
      </w:r>
      <w:r>
        <w:rPr>
          <w:color w:val="000000"/>
          <w:sz w:val="24"/>
          <w:szCs w:val="24"/>
          <w:lang w:eastAsia="da-DK"/>
        </w:rPr>
        <w:t xml:space="preserve"> </w:t>
      </w:r>
      <w:r w:rsidRPr="00631E62">
        <w:rPr>
          <w:color w:val="000000"/>
          <w:sz w:val="24"/>
          <w:szCs w:val="24"/>
          <w:lang w:eastAsia="da-DK"/>
        </w:rPr>
        <w:t>viste ingen evidens for tumorer.</w:t>
      </w:r>
    </w:p>
    <w:p w:rsidR="00F63458" w:rsidRPr="00631E62" w:rsidRDefault="00F63458" w:rsidP="00F63458">
      <w:pPr>
        <w:ind w:left="851" w:hanging="10"/>
        <w:rPr>
          <w:color w:val="000000"/>
          <w:sz w:val="24"/>
          <w:szCs w:val="24"/>
          <w:lang w:eastAsia="da-DK"/>
        </w:rPr>
      </w:pPr>
    </w:p>
    <w:p w:rsidR="00F63458" w:rsidRPr="008B647B" w:rsidRDefault="00F63458" w:rsidP="00F63458">
      <w:pPr>
        <w:ind w:left="851" w:hanging="10"/>
        <w:rPr>
          <w:color w:val="000000"/>
          <w:sz w:val="24"/>
          <w:szCs w:val="24"/>
          <w:u w:val="single"/>
          <w:lang w:eastAsia="da-DK"/>
        </w:rPr>
      </w:pPr>
      <w:r w:rsidRPr="008B647B">
        <w:rPr>
          <w:color w:val="000000"/>
          <w:sz w:val="24"/>
          <w:szCs w:val="24"/>
          <w:u w:val="single"/>
          <w:lang w:eastAsia="da-DK"/>
        </w:rPr>
        <w:t>Fertilitet</w:t>
      </w:r>
    </w:p>
    <w:p w:rsidR="00F63458" w:rsidRPr="008B647B" w:rsidRDefault="00F63458" w:rsidP="00F63458">
      <w:pPr>
        <w:ind w:left="851" w:hanging="10"/>
        <w:rPr>
          <w:color w:val="000000"/>
          <w:sz w:val="24"/>
          <w:szCs w:val="24"/>
          <w:lang w:eastAsia="da-DK"/>
        </w:rPr>
      </w:pPr>
      <w:r>
        <w:rPr>
          <w:color w:val="000000"/>
          <w:sz w:val="24"/>
          <w:szCs w:val="24"/>
          <w:lang w:eastAsia="da-DK"/>
        </w:rPr>
        <w:t>K</w:t>
      </w:r>
      <w:r w:rsidRPr="00631E62">
        <w:rPr>
          <w:color w:val="000000"/>
          <w:sz w:val="24"/>
          <w:szCs w:val="24"/>
          <w:lang w:eastAsia="da-DK"/>
        </w:rPr>
        <w:t xml:space="preserve">roniske toksicitetsstudier hos dyr viste, at høje doser af paracetamol forårsager </w:t>
      </w:r>
      <w:proofErr w:type="spellStart"/>
      <w:r w:rsidRPr="00631E62">
        <w:rPr>
          <w:color w:val="000000"/>
          <w:sz w:val="24"/>
          <w:szCs w:val="24"/>
          <w:lang w:eastAsia="da-DK"/>
        </w:rPr>
        <w:t>testikulær</w:t>
      </w:r>
      <w:proofErr w:type="spellEnd"/>
      <w:r w:rsidRPr="00631E62">
        <w:rPr>
          <w:color w:val="000000"/>
          <w:sz w:val="24"/>
          <w:szCs w:val="24"/>
          <w:lang w:eastAsia="da-DK"/>
        </w:rPr>
        <w:t xml:space="preserve"> atrofi og hæmning af </w:t>
      </w:r>
      <w:proofErr w:type="spellStart"/>
      <w:r w:rsidRPr="00631E62">
        <w:rPr>
          <w:color w:val="000000"/>
          <w:sz w:val="24"/>
          <w:szCs w:val="24"/>
          <w:lang w:eastAsia="da-DK"/>
        </w:rPr>
        <w:t>spermatogenesen</w:t>
      </w:r>
      <w:proofErr w:type="spellEnd"/>
      <w:r w:rsidRPr="00631E62">
        <w:rPr>
          <w:color w:val="000000"/>
          <w:sz w:val="24"/>
          <w:szCs w:val="24"/>
          <w:lang w:eastAsia="da-DK"/>
        </w:rPr>
        <w:t>; betydningen af dette fund for mennesker er ikke kendt.</w:t>
      </w:r>
    </w:p>
    <w:p w:rsidR="00F63458" w:rsidRPr="00C84483" w:rsidRDefault="00F63458" w:rsidP="00F63458">
      <w:pPr>
        <w:tabs>
          <w:tab w:val="left" w:pos="851"/>
        </w:tabs>
        <w:ind w:left="851"/>
        <w:rPr>
          <w:sz w:val="24"/>
          <w:szCs w:val="24"/>
        </w:rPr>
      </w:pPr>
    </w:p>
    <w:p w:rsidR="00F63458" w:rsidRPr="00C84483" w:rsidRDefault="00F63458" w:rsidP="00F63458">
      <w:pPr>
        <w:tabs>
          <w:tab w:val="left" w:pos="851"/>
        </w:tabs>
        <w:ind w:left="851"/>
        <w:rPr>
          <w:sz w:val="24"/>
          <w:szCs w:val="24"/>
        </w:rPr>
      </w:pPr>
    </w:p>
    <w:p w:rsidR="00F63458" w:rsidRPr="00C84483" w:rsidRDefault="00F63458" w:rsidP="00F63458">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F63458" w:rsidRPr="00BA09F1" w:rsidRDefault="00F63458" w:rsidP="00F63458">
      <w:pPr>
        <w:tabs>
          <w:tab w:val="left" w:pos="851"/>
        </w:tabs>
        <w:ind w:left="851"/>
        <w:rPr>
          <w:sz w:val="24"/>
          <w:szCs w:val="24"/>
        </w:rPr>
      </w:pPr>
    </w:p>
    <w:p w:rsidR="00F63458" w:rsidRPr="00C84483" w:rsidRDefault="00F63458" w:rsidP="00F63458">
      <w:pPr>
        <w:tabs>
          <w:tab w:val="left" w:pos="851"/>
        </w:tabs>
        <w:ind w:left="851" w:hanging="851"/>
        <w:rPr>
          <w:b/>
          <w:sz w:val="24"/>
          <w:szCs w:val="24"/>
        </w:rPr>
      </w:pPr>
      <w:r w:rsidRPr="00C84483">
        <w:rPr>
          <w:b/>
          <w:sz w:val="24"/>
          <w:szCs w:val="24"/>
        </w:rPr>
        <w:t>6.1</w:t>
      </w:r>
      <w:r w:rsidRPr="00C84483">
        <w:rPr>
          <w:b/>
          <w:sz w:val="24"/>
          <w:szCs w:val="24"/>
        </w:rPr>
        <w:tab/>
        <w:t>Hjælpestoffer</w:t>
      </w:r>
    </w:p>
    <w:p w:rsidR="00F63458" w:rsidRPr="00631E62" w:rsidRDefault="00F63458" w:rsidP="00F63458">
      <w:pPr>
        <w:ind w:left="851" w:hanging="10"/>
        <w:rPr>
          <w:color w:val="000000"/>
          <w:sz w:val="24"/>
          <w:szCs w:val="24"/>
          <w:lang w:eastAsia="da-DK"/>
        </w:rPr>
      </w:pPr>
      <w:r>
        <w:rPr>
          <w:color w:val="000000"/>
          <w:sz w:val="24"/>
          <w:szCs w:val="24"/>
          <w:lang w:eastAsia="da-DK"/>
        </w:rPr>
        <w:t xml:space="preserve">Majsstivelse, </w:t>
      </w:r>
      <w:proofErr w:type="spellStart"/>
      <w:r>
        <w:rPr>
          <w:color w:val="000000"/>
          <w:sz w:val="24"/>
          <w:szCs w:val="24"/>
          <w:lang w:eastAsia="da-DK"/>
        </w:rPr>
        <w:t>pregelatineret</w:t>
      </w:r>
      <w:proofErr w:type="spellEnd"/>
    </w:p>
    <w:p w:rsidR="00F63458" w:rsidRPr="00631E62" w:rsidRDefault="00F63458" w:rsidP="00F63458">
      <w:pPr>
        <w:ind w:left="851" w:hanging="10"/>
        <w:rPr>
          <w:color w:val="000000"/>
          <w:sz w:val="24"/>
          <w:szCs w:val="24"/>
          <w:lang w:eastAsia="da-DK"/>
        </w:rPr>
      </w:pPr>
      <w:r w:rsidRPr="00631E62">
        <w:rPr>
          <w:color w:val="000000"/>
          <w:sz w:val="24"/>
          <w:szCs w:val="24"/>
          <w:lang w:eastAsia="da-DK"/>
        </w:rPr>
        <w:t>Stearinsyre</w:t>
      </w:r>
    </w:p>
    <w:p w:rsidR="00F63458" w:rsidRPr="00631E62" w:rsidRDefault="00F63458" w:rsidP="00F63458">
      <w:pPr>
        <w:ind w:left="851" w:hanging="10"/>
        <w:rPr>
          <w:color w:val="000000"/>
          <w:sz w:val="24"/>
          <w:szCs w:val="24"/>
          <w:lang w:eastAsia="da-DK"/>
        </w:rPr>
      </w:pPr>
      <w:proofErr w:type="spellStart"/>
      <w:r w:rsidRPr="00631E62">
        <w:rPr>
          <w:color w:val="000000"/>
          <w:sz w:val="24"/>
          <w:szCs w:val="24"/>
          <w:lang w:eastAsia="da-DK"/>
        </w:rPr>
        <w:t>Povidon</w:t>
      </w:r>
      <w:proofErr w:type="spellEnd"/>
    </w:p>
    <w:p w:rsidR="00F63458" w:rsidRPr="00631E62" w:rsidRDefault="00F63458" w:rsidP="00F63458">
      <w:pPr>
        <w:ind w:left="851" w:hanging="10"/>
        <w:rPr>
          <w:color w:val="000000"/>
          <w:sz w:val="24"/>
          <w:szCs w:val="24"/>
          <w:lang w:eastAsia="da-DK"/>
        </w:rPr>
      </w:pPr>
      <w:proofErr w:type="spellStart"/>
      <w:r w:rsidRPr="00631E62">
        <w:rPr>
          <w:color w:val="000000"/>
          <w:sz w:val="24"/>
          <w:szCs w:val="24"/>
          <w:lang w:eastAsia="da-DK"/>
        </w:rPr>
        <w:t>Crospovidon</w:t>
      </w:r>
      <w:proofErr w:type="spellEnd"/>
    </w:p>
    <w:p w:rsidR="00F63458" w:rsidRPr="00631E62" w:rsidRDefault="00F63458" w:rsidP="00F63458">
      <w:pPr>
        <w:ind w:left="851" w:hanging="10"/>
        <w:rPr>
          <w:color w:val="000000"/>
          <w:sz w:val="24"/>
          <w:szCs w:val="24"/>
          <w:lang w:eastAsia="da-DK"/>
        </w:rPr>
      </w:pPr>
      <w:r w:rsidRPr="00631E62">
        <w:rPr>
          <w:color w:val="000000"/>
          <w:sz w:val="24"/>
          <w:szCs w:val="24"/>
          <w:lang w:eastAsia="da-DK"/>
        </w:rPr>
        <w:t>Mikrokrystallinsk cellulose</w:t>
      </w:r>
    </w:p>
    <w:p w:rsidR="00F63458" w:rsidRPr="00DA74A3" w:rsidRDefault="00F63458" w:rsidP="00F63458">
      <w:pPr>
        <w:ind w:left="851" w:hanging="10"/>
        <w:rPr>
          <w:color w:val="000000"/>
          <w:sz w:val="24"/>
          <w:szCs w:val="24"/>
          <w:lang w:eastAsia="da-DK"/>
        </w:rPr>
      </w:pPr>
      <w:proofErr w:type="spellStart"/>
      <w:r w:rsidRPr="00631E62">
        <w:rPr>
          <w:color w:val="000000"/>
          <w:sz w:val="24"/>
          <w:szCs w:val="24"/>
          <w:lang w:eastAsia="da-DK"/>
        </w:rPr>
        <w:t>Magnesiumstearat</w:t>
      </w:r>
      <w:proofErr w:type="spellEnd"/>
    </w:p>
    <w:p w:rsidR="00F63458" w:rsidRPr="00C84483" w:rsidRDefault="00F63458" w:rsidP="00F63458">
      <w:pPr>
        <w:tabs>
          <w:tab w:val="left" w:pos="851"/>
        </w:tabs>
        <w:ind w:left="851"/>
        <w:rPr>
          <w:sz w:val="24"/>
          <w:szCs w:val="24"/>
        </w:rPr>
      </w:pPr>
    </w:p>
    <w:p w:rsidR="00F63458" w:rsidRPr="00C84483" w:rsidRDefault="00F63458" w:rsidP="00F63458">
      <w:pPr>
        <w:tabs>
          <w:tab w:val="left" w:pos="851"/>
        </w:tabs>
        <w:ind w:left="851" w:hanging="851"/>
        <w:rPr>
          <w:b/>
          <w:sz w:val="24"/>
          <w:szCs w:val="24"/>
        </w:rPr>
      </w:pPr>
      <w:r w:rsidRPr="00C84483">
        <w:rPr>
          <w:b/>
          <w:sz w:val="24"/>
          <w:szCs w:val="24"/>
        </w:rPr>
        <w:t>6.2</w:t>
      </w:r>
      <w:r w:rsidRPr="00C84483">
        <w:rPr>
          <w:b/>
          <w:sz w:val="24"/>
          <w:szCs w:val="24"/>
        </w:rPr>
        <w:tab/>
        <w:t>Uforligeligheder</w:t>
      </w:r>
    </w:p>
    <w:p w:rsidR="00F63458" w:rsidRPr="001B540E" w:rsidRDefault="00F63458" w:rsidP="00F63458">
      <w:pPr>
        <w:ind w:left="851" w:hanging="10"/>
        <w:rPr>
          <w:color w:val="000000"/>
          <w:sz w:val="24"/>
          <w:szCs w:val="24"/>
          <w:lang w:eastAsia="da-DK"/>
        </w:rPr>
      </w:pPr>
      <w:r w:rsidRPr="00631E62">
        <w:rPr>
          <w:color w:val="000000"/>
          <w:sz w:val="24"/>
          <w:szCs w:val="24"/>
          <w:lang w:eastAsia="da-DK"/>
        </w:rPr>
        <w:t>Ikke relevant</w:t>
      </w:r>
      <w:r>
        <w:rPr>
          <w:color w:val="000000"/>
          <w:sz w:val="24"/>
          <w:szCs w:val="24"/>
          <w:lang w:eastAsia="da-DK"/>
        </w:rPr>
        <w:t>.</w:t>
      </w:r>
    </w:p>
    <w:p w:rsidR="00F63458" w:rsidRPr="00C84483" w:rsidRDefault="00F63458" w:rsidP="00F63458">
      <w:pPr>
        <w:tabs>
          <w:tab w:val="left" w:pos="851"/>
        </w:tabs>
        <w:ind w:left="851"/>
        <w:rPr>
          <w:sz w:val="24"/>
          <w:szCs w:val="24"/>
        </w:rPr>
      </w:pPr>
    </w:p>
    <w:p w:rsidR="00F63458" w:rsidRPr="00C84483" w:rsidRDefault="00F63458" w:rsidP="00F63458">
      <w:pPr>
        <w:tabs>
          <w:tab w:val="left" w:pos="851"/>
        </w:tabs>
        <w:ind w:left="851" w:hanging="851"/>
        <w:rPr>
          <w:b/>
          <w:sz w:val="24"/>
          <w:szCs w:val="24"/>
        </w:rPr>
      </w:pPr>
      <w:r w:rsidRPr="00C84483">
        <w:rPr>
          <w:b/>
          <w:sz w:val="24"/>
          <w:szCs w:val="24"/>
        </w:rPr>
        <w:t>6.3</w:t>
      </w:r>
      <w:r w:rsidRPr="00C84483">
        <w:rPr>
          <w:b/>
          <w:sz w:val="24"/>
          <w:szCs w:val="24"/>
        </w:rPr>
        <w:tab/>
        <w:t>Opbevaringstid</w:t>
      </w:r>
    </w:p>
    <w:p w:rsidR="00F63458" w:rsidRPr="00C84483" w:rsidRDefault="00F63458" w:rsidP="00F63458">
      <w:pPr>
        <w:ind w:left="851" w:hanging="10"/>
        <w:rPr>
          <w:sz w:val="24"/>
          <w:szCs w:val="24"/>
        </w:rPr>
      </w:pPr>
      <w:r>
        <w:rPr>
          <w:color w:val="000000"/>
          <w:sz w:val="24"/>
          <w:szCs w:val="24"/>
          <w:lang w:eastAsia="da-DK"/>
        </w:rPr>
        <w:t>5 år.</w:t>
      </w:r>
      <w:r w:rsidRPr="00C84483">
        <w:rPr>
          <w:sz w:val="24"/>
          <w:szCs w:val="24"/>
        </w:rPr>
        <w:t xml:space="preserve"> </w:t>
      </w:r>
    </w:p>
    <w:p w:rsidR="00F63458" w:rsidRPr="00C84483" w:rsidRDefault="00F63458" w:rsidP="00F63458">
      <w:pPr>
        <w:tabs>
          <w:tab w:val="left" w:pos="851"/>
        </w:tabs>
        <w:ind w:left="851"/>
        <w:rPr>
          <w:sz w:val="24"/>
          <w:szCs w:val="24"/>
        </w:rPr>
      </w:pPr>
    </w:p>
    <w:p w:rsidR="00F63458" w:rsidRPr="00C84483" w:rsidRDefault="00F63458" w:rsidP="00F63458">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F63458" w:rsidRPr="001B540E" w:rsidRDefault="00F63458" w:rsidP="00F63458">
      <w:pPr>
        <w:ind w:left="851" w:hanging="10"/>
        <w:rPr>
          <w:color w:val="000000"/>
          <w:sz w:val="24"/>
          <w:szCs w:val="24"/>
          <w:lang w:eastAsia="da-DK"/>
        </w:rPr>
      </w:pPr>
      <w:r w:rsidRPr="002F1727">
        <w:rPr>
          <w:color w:val="000000"/>
          <w:sz w:val="24"/>
          <w:szCs w:val="24"/>
          <w:lang w:eastAsia="da-DK"/>
        </w:rPr>
        <w:t>Dette lægemiddel kræver ingen særlige forholdsregler vedrørende opbevaringen.</w:t>
      </w:r>
    </w:p>
    <w:p w:rsidR="00F63458" w:rsidRPr="00C84483" w:rsidRDefault="00F63458" w:rsidP="00F63458">
      <w:pPr>
        <w:tabs>
          <w:tab w:val="left" w:pos="851"/>
        </w:tabs>
        <w:ind w:left="851"/>
        <w:rPr>
          <w:sz w:val="24"/>
          <w:szCs w:val="24"/>
        </w:rPr>
      </w:pPr>
    </w:p>
    <w:p w:rsidR="00F63458" w:rsidRPr="00C84483" w:rsidRDefault="00F63458" w:rsidP="00F63458">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F63458" w:rsidRDefault="00F63458" w:rsidP="00F63458">
      <w:pPr>
        <w:ind w:left="851" w:hanging="10"/>
        <w:rPr>
          <w:color w:val="000000"/>
          <w:sz w:val="24"/>
          <w:szCs w:val="24"/>
          <w:lang w:eastAsia="da-DK"/>
        </w:rPr>
      </w:pPr>
      <w:r>
        <w:rPr>
          <w:color w:val="000000"/>
          <w:sz w:val="24"/>
          <w:szCs w:val="24"/>
          <w:lang w:eastAsia="da-DK"/>
        </w:rPr>
        <w:t>A</w:t>
      </w:r>
      <w:r w:rsidRPr="002F1727">
        <w:rPr>
          <w:color w:val="000000"/>
          <w:sz w:val="24"/>
          <w:szCs w:val="24"/>
          <w:lang w:eastAsia="da-DK"/>
        </w:rPr>
        <w:t>luminium-PVC/</w:t>
      </w:r>
      <w:proofErr w:type="gramStart"/>
      <w:r w:rsidRPr="002F1727">
        <w:rPr>
          <w:color w:val="000000"/>
          <w:sz w:val="24"/>
          <w:szCs w:val="24"/>
          <w:lang w:eastAsia="da-DK"/>
        </w:rPr>
        <w:t xml:space="preserve">PVDC </w:t>
      </w:r>
      <w:r>
        <w:rPr>
          <w:color w:val="000000"/>
          <w:sz w:val="24"/>
          <w:szCs w:val="24"/>
          <w:lang w:eastAsia="da-DK"/>
        </w:rPr>
        <w:t>b</w:t>
      </w:r>
      <w:r w:rsidRPr="002F1727">
        <w:rPr>
          <w:color w:val="000000"/>
          <w:sz w:val="24"/>
          <w:szCs w:val="24"/>
          <w:lang w:eastAsia="da-DK"/>
        </w:rPr>
        <w:t>listerpakning</w:t>
      </w:r>
      <w:proofErr w:type="gramEnd"/>
    </w:p>
    <w:p w:rsidR="00F63458" w:rsidRDefault="00F63458" w:rsidP="00F63458">
      <w:pPr>
        <w:ind w:left="851" w:hanging="10"/>
        <w:rPr>
          <w:color w:val="000000"/>
          <w:sz w:val="24"/>
          <w:szCs w:val="24"/>
          <w:lang w:eastAsia="da-DK"/>
        </w:rPr>
      </w:pPr>
    </w:p>
    <w:p w:rsidR="00F63458" w:rsidRPr="002F1727" w:rsidRDefault="00F63458" w:rsidP="00F63458">
      <w:pPr>
        <w:ind w:left="851" w:hanging="10"/>
        <w:rPr>
          <w:color w:val="000000"/>
          <w:sz w:val="24"/>
          <w:szCs w:val="24"/>
          <w:lang w:eastAsia="da-DK"/>
        </w:rPr>
      </w:pPr>
      <w:r>
        <w:rPr>
          <w:color w:val="000000"/>
          <w:sz w:val="24"/>
          <w:szCs w:val="24"/>
          <w:lang w:eastAsia="da-DK"/>
        </w:rPr>
        <w:t xml:space="preserve">Pakningsstørrelser: </w:t>
      </w:r>
      <w:r w:rsidRPr="002F1727">
        <w:rPr>
          <w:color w:val="000000"/>
          <w:sz w:val="24"/>
          <w:szCs w:val="24"/>
          <w:lang w:eastAsia="da-DK"/>
        </w:rPr>
        <w:t>10, 20, 30, 4</w:t>
      </w:r>
      <w:r>
        <w:rPr>
          <w:color w:val="000000"/>
          <w:sz w:val="24"/>
          <w:szCs w:val="24"/>
          <w:lang w:eastAsia="da-DK"/>
        </w:rPr>
        <w:t>8, 96, 98, 100 og 300 stk.</w:t>
      </w:r>
    </w:p>
    <w:p w:rsidR="00F63458" w:rsidRPr="00E65D53" w:rsidRDefault="00F63458" w:rsidP="00F63458">
      <w:pPr>
        <w:ind w:left="851" w:hanging="10"/>
        <w:rPr>
          <w:color w:val="000000"/>
          <w:sz w:val="24"/>
          <w:szCs w:val="24"/>
          <w:lang w:eastAsia="da-DK"/>
        </w:rPr>
      </w:pPr>
      <w:r w:rsidRPr="002F1727">
        <w:rPr>
          <w:color w:val="000000"/>
          <w:sz w:val="24"/>
          <w:szCs w:val="24"/>
          <w:lang w:eastAsia="da-DK"/>
        </w:rPr>
        <w:t>Ikke alle pakningsstørrelser er nødvendigvis markedsført.</w:t>
      </w:r>
    </w:p>
    <w:p w:rsidR="00F63458" w:rsidRDefault="00F63458" w:rsidP="00F63458">
      <w:pPr>
        <w:tabs>
          <w:tab w:val="left" w:pos="851"/>
        </w:tabs>
        <w:ind w:left="851"/>
        <w:rPr>
          <w:sz w:val="24"/>
          <w:szCs w:val="24"/>
        </w:rPr>
      </w:pPr>
    </w:p>
    <w:p w:rsidR="00451F9D" w:rsidRPr="00C84483" w:rsidRDefault="00451F9D" w:rsidP="00F63458">
      <w:pPr>
        <w:tabs>
          <w:tab w:val="left" w:pos="851"/>
        </w:tabs>
        <w:ind w:left="851"/>
        <w:rPr>
          <w:sz w:val="24"/>
          <w:szCs w:val="24"/>
        </w:rPr>
      </w:pPr>
    </w:p>
    <w:p w:rsidR="00F63458" w:rsidRPr="00C84483" w:rsidRDefault="00F63458" w:rsidP="00F63458">
      <w:pPr>
        <w:tabs>
          <w:tab w:val="left" w:pos="851"/>
        </w:tabs>
        <w:ind w:left="851" w:hanging="851"/>
        <w:rPr>
          <w:b/>
          <w:sz w:val="24"/>
          <w:szCs w:val="24"/>
        </w:rPr>
      </w:pPr>
      <w:r w:rsidRPr="00C84483">
        <w:rPr>
          <w:b/>
          <w:sz w:val="24"/>
          <w:szCs w:val="24"/>
        </w:rPr>
        <w:lastRenderedPageBreak/>
        <w:t>6.6</w:t>
      </w:r>
      <w:r w:rsidRPr="00C84483">
        <w:rPr>
          <w:b/>
          <w:sz w:val="24"/>
          <w:szCs w:val="24"/>
        </w:rPr>
        <w:tab/>
        <w:t xml:space="preserve">Regler for </w:t>
      </w:r>
      <w:r w:rsidR="00F573B2">
        <w:rPr>
          <w:b/>
          <w:sz w:val="24"/>
          <w:szCs w:val="24"/>
        </w:rPr>
        <w:t>bortskaffelse</w:t>
      </w:r>
      <w:r w:rsidRPr="00C84483">
        <w:rPr>
          <w:b/>
          <w:sz w:val="24"/>
          <w:szCs w:val="24"/>
        </w:rPr>
        <w:t xml:space="preserve"> og anden håndtering</w:t>
      </w:r>
    </w:p>
    <w:p w:rsidR="00F63458" w:rsidRPr="00C84483" w:rsidRDefault="00F63458" w:rsidP="00F63458">
      <w:pPr>
        <w:keepNext/>
        <w:keepLines/>
        <w:ind w:left="851" w:hanging="10"/>
        <w:outlineLvl w:val="0"/>
        <w:rPr>
          <w:sz w:val="24"/>
          <w:szCs w:val="24"/>
        </w:rPr>
      </w:pPr>
      <w:r w:rsidRPr="002F1727">
        <w:rPr>
          <w:color w:val="000000"/>
          <w:sz w:val="24"/>
          <w:szCs w:val="24"/>
          <w:lang w:eastAsia="da-DK"/>
        </w:rPr>
        <w:t>Ikke anvendt lægemiddel samt affald heraf skal bortskaffes i he</w:t>
      </w:r>
      <w:r>
        <w:rPr>
          <w:color w:val="000000"/>
          <w:sz w:val="24"/>
          <w:szCs w:val="24"/>
          <w:lang w:eastAsia="da-DK"/>
        </w:rPr>
        <w:t>nhold til lokale retningslinjer.</w:t>
      </w:r>
      <w:r w:rsidRPr="00C84483">
        <w:rPr>
          <w:sz w:val="24"/>
          <w:szCs w:val="24"/>
        </w:rPr>
        <w:t xml:space="preserve"> </w:t>
      </w:r>
    </w:p>
    <w:p w:rsidR="00F63458" w:rsidRPr="00C84483" w:rsidRDefault="00F63458" w:rsidP="00F63458">
      <w:pPr>
        <w:tabs>
          <w:tab w:val="left" w:pos="851"/>
        </w:tabs>
        <w:ind w:left="851"/>
        <w:jc w:val="both"/>
        <w:rPr>
          <w:sz w:val="24"/>
          <w:szCs w:val="24"/>
        </w:rPr>
      </w:pPr>
    </w:p>
    <w:p w:rsidR="00F63458" w:rsidRPr="00C84483" w:rsidRDefault="00F63458" w:rsidP="00F63458">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F63458" w:rsidRPr="002F1727" w:rsidRDefault="00F63458" w:rsidP="00F63458">
      <w:pPr>
        <w:ind w:left="851" w:hanging="10"/>
        <w:rPr>
          <w:color w:val="000000"/>
          <w:sz w:val="24"/>
          <w:szCs w:val="24"/>
          <w:lang w:eastAsia="da-DK"/>
        </w:rPr>
      </w:pPr>
      <w:proofErr w:type="spellStart"/>
      <w:r w:rsidRPr="002F1727">
        <w:rPr>
          <w:color w:val="000000"/>
          <w:sz w:val="24"/>
          <w:szCs w:val="24"/>
          <w:lang w:eastAsia="da-DK"/>
        </w:rPr>
        <w:t>Nutra</w:t>
      </w:r>
      <w:proofErr w:type="spellEnd"/>
      <w:r w:rsidRPr="002F1727">
        <w:rPr>
          <w:color w:val="000000"/>
          <w:sz w:val="24"/>
          <w:szCs w:val="24"/>
          <w:lang w:eastAsia="da-DK"/>
        </w:rPr>
        <w:t xml:space="preserve"> </w:t>
      </w:r>
      <w:proofErr w:type="spellStart"/>
      <w:r w:rsidRPr="002F1727">
        <w:rPr>
          <w:color w:val="000000"/>
          <w:sz w:val="24"/>
          <w:szCs w:val="24"/>
          <w:lang w:eastAsia="da-DK"/>
        </w:rPr>
        <w:t>Essential</w:t>
      </w:r>
      <w:proofErr w:type="spellEnd"/>
      <w:r w:rsidRPr="002F1727">
        <w:rPr>
          <w:color w:val="000000"/>
          <w:sz w:val="24"/>
          <w:szCs w:val="24"/>
          <w:lang w:eastAsia="da-DK"/>
        </w:rPr>
        <w:t>, OTC, S.L.</w:t>
      </w:r>
    </w:p>
    <w:p w:rsidR="00F63458" w:rsidRDefault="00F63458" w:rsidP="00F63458">
      <w:pPr>
        <w:ind w:left="851" w:hanging="10"/>
        <w:rPr>
          <w:color w:val="000000"/>
          <w:sz w:val="24"/>
          <w:szCs w:val="24"/>
          <w:lang w:val="es-ES" w:eastAsia="da-DK"/>
        </w:rPr>
      </w:pPr>
      <w:r w:rsidRPr="002F1727">
        <w:rPr>
          <w:color w:val="000000"/>
          <w:sz w:val="24"/>
          <w:szCs w:val="24"/>
          <w:lang w:val="es-ES" w:eastAsia="da-DK"/>
        </w:rPr>
        <w:t>C</w:t>
      </w:r>
      <w:r>
        <w:rPr>
          <w:color w:val="000000"/>
          <w:sz w:val="24"/>
          <w:szCs w:val="24"/>
          <w:lang w:val="es-ES" w:eastAsia="da-DK"/>
        </w:rPr>
        <w:t>alle</w:t>
      </w:r>
      <w:r w:rsidRPr="002F1727">
        <w:rPr>
          <w:color w:val="000000"/>
          <w:sz w:val="24"/>
          <w:szCs w:val="24"/>
          <w:lang w:val="es-ES" w:eastAsia="da-DK"/>
        </w:rPr>
        <w:t xml:space="preserve"> La Granja 1</w:t>
      </w:r>
    </w:p>
    <w:p w:rsidR="00F63458" w:rsidRPr="002F1727" w:rsidRDefault="00F63458" w:rsidP="00F63458">
      <w:pPr>
        <w:ind w:left="851" w:hanging="10"/>
        <w:rPr>
          <w:color w:val="000000"/>
          <w:sz w:val="24"/>
          <w:szCs w:val="24"/>
          <w:lang w:val="es-ES" w:eastAsia="da-DK"/>
        </w:rPr>
      </w:pPr>
      <w:r w:rsidRPr="002F1727">
        <w:rPr>
          <w:color w:val="000000"/>
          <w:sz w:val="24"/>
          <w:szCs w:val="24"/>
          <w:lang w:val="es-ES" w:eastAsia="da-DK"/>
        </w:rPr>
        <w:t>28108</w:t>
      </w:r>
      <w:r>
        <w:rPr>
          <w:color w:val="000000"/>
          <w:sz w:val="24"/>
          <w:szCs w:val="24"/>
          <w:lang w:val="es-ES" w:eastAsia="da-DK"/>
        </w:rPr>
        <w:t xml:space="preserve"> </w:t>
      </w:r>
      <w:r w:rsidRPr="002F1727">
        <w:rPr>
          <w:color w:val="000000"/>
          <w:sz w:val="24"/>
          <w:szCs w:val="24"/>
          <w:lang w:val="es-ES" w:eastAsia="da-DK"/>
        </w:rPr>
        <w:t>Alcobendas, Madrid</w:t>
      </w:r>
    </w:p>
    <w:p w:rsidR="00F63458" w:rsidRPr="004A7D6E" w:rsidRDefault="00F63458" w:rsidP="00F63458">
      <w:pPr>
        <w:ind w:left="851" w:hanging="10"/>
        <w:rPr>
          <w:color w:val="000000"/>
          <w:sz w:val="24"/>
          <w:szCs w:val="24"/>
          <w:lang w:eastAsia="da-DK"/>
        </w:rPr>
      </w:pPr>
      <w:r w:rsidRPr="004A7D6E">
        <w:rPr>
          <w:color w:val="000000"/>
          <w:sz w:val="24"/>
          <w:szCs w:val="24"/>
          <w:lang w:eastAsia="da-DK"/>
        </w:rPr>
        <w:t>Spanien</w:t>
      </w:r>
    </w:p>
    <w:p w:rsidR="00F63458" w:rsidRPr="004A7D6E" w:rsidRDefault="00F63458" w:rsidP="00F63458">
      <w:pPr>
        <w:tabs>
          <w:tab w:val="left" w:pos="851"/>
        </w:tabs>
        <w:ind w:left="851"/>
        <w:rPr>
          <w:sz w:val="24"/>
          <w:szCs w:val="24"/>
        </w:rPr>
      </w:pPr>
    </w:p>
    <w:p w:rsidR="00F63458" w:rsidRPr="00C84483" w:rsidRDefault="00F63458" w:rsidP="00F63458">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451F9D">
        <w:rPr>
          <w:b/>
          <w:sz w:val="24"/>
          <w:szCs w:val="24"/>
        </w:rPr>
        <w:t>-</w:t>
      </w:r>
      <w:r w:rsidRPr="00C84483">
        <w:rPr>
          <w:b/>
          <w:sz w:val="24"/>
          <w:szCs w:val="24"/>
        </w:rPr>
        <w:t>NUMRE)</w:t>
      </w:r>
    </w:p>
    <w:p w:rsidR="00F63458" w:rsidRDefault="00F63458" w:rsidP="00451F9D">
      <w:pPr>
        <w:tabs>
          <w:tab w:val="left" w:pos="851"/>
        </w:tabs>
        <w:ind w:left="851"/>
        <w:rPr>
          <w:sz w:val="24"/>
          <w:szCs w:val="24"/>
        </w:rPr>
      </w:pPr>
      <w:r>
        <w:rPr>
          <w:sz w:val="24"/>
          <w:szCs w:val="24"/>
        </w:rPr>
        <w:t>58572</w:t>
      </w:r>
    </w:p>
    <w:p w:rsidR="00F63458" w:rsidRPr="00C84483" w:rsidRDefault="00F63458" w:rsidP="00F63458">
      <w:pPr>
        <w:tabs>
          <w:tab w:val="left" w:pos="851"/>
        </w:tabs>
        <w:ind w:left="851"/>
        <w:jc w:val="both"/>
        <w:rPr>
          <w:sz w:val="24"/>
          <w:szCs w:val="24"/>
        </w:rPr>
      </w:pPr>
    </w:p>
    <w:p w:rsidR="00F63458" w:rsidRPr="00C84483" w:rsidRDefault="00F63458" w:rsidP="00F63458">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F63458" w:rsidRPr="00C84483" w:rsidRDefault="00F63458" w:rsidP="00F63458">
      <w:pPr>
        <w:tabs>
          <w:tab w:val="left" w:pos="851"/>
        </w:tabs>
        <w:ind w:left="851"/>
        <w:rPr>
          <w:sz w:val="24"/>
          <w:szCs w:val="24"/>
        </w:rPr>
      </w:pPr>
      <w:r>
        <w:rPr>
          <w:sz w:val="24"/>
          <w:szCs w:val="24"/>
        </w:rPr>
        <w:t>9. marts 2018</w:t>
      </w:r>
    </w:p>
    <w:p w:rsidR="00F63458" w:rsidRPr="00C84483" w:rsidRDefault="00F63458" w:rsidP="00F63458">
      <w:pPr>
        <w:tabs>
          <w:tab w:val="left" w:pos="851"/>
        </w:tabs>
        <w:ind w:left="851"/>
        <w:rPr>
          <w:sz w:val="24"/>
          <w:szCs w:val="24"/>
        </w:rPr>
      </w:pPr>
    </w:p>
    <w:p w:rsidR="00F63458" w:rsidRPr="00C84483" w:rsidRDefault="00F63458" w:rsidP="00F63458">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F63458" w:rsidRPr="00C84483" w:rsidRDefault="00451F9D" w:rsidP="00F63458">
      <w:pPr>
        <w:tabs>
          <w:tab w:val="left" w:pos="851"/>
        </w:tabs>
        <w:ind w:left="851"/>
        <w:rPr>
          <w:sz w:val="24"/>
          <w:szCs w:val="24"/>
        </w:rPr>
      </w:pPr>
      <w:r>
        <w:rPr>
          <w:sz w:val="24"/>
          <w:szCs w:val="24"/>
        </w:rPr>
        <w:t>8. november 2023</w:t>
      </w:r>
    </w:p>
    <w:p w:rsidR="00F63458" w:rsidRPr="00CF24E8" w:rsidRDefault="00F63458" w:rsidP="00F63458"/>
    <w:p w:rsidR="00F63458" w:rsidRPr="00C11D50" w:rsidRDefault="00F63458" w:rsidP="00F63458"/>
    <w:p w:rsidR="009260DE" w:rsidRPr="00F63458" w:rsidRDefault="009260DE" w:rsidP="00F63458"/>
    <w:sectPr w:rsidR="009260DE" w:rsidRPr="00F63458"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458" w:rsidRDefault="00F63458">
      <w:r>
        <w:separator/>
      </w:r>
    </w:p>
  </w:endnote>
  <w:endnote w:type="continuationSeparator" w:id="0">
    <w:p w:rsidR="00F63458" w:rsidRDefault="00F63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A7D6E">
      <w:rPr>
        <w:i/>
        <w:noProof/>
        <w:sz w:val="18"/>
        <w:szCs w:val="18"/>
      </w:rPr>
      <w:t>Paracetamol Nutra Essential, tabletter 500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458" w:rsidRDefault="00F63458">
      <w:r>
        <w:separator/>
      </w:r>
    </w:p>
  </w:footnote>
  <w:footnote w:type="continuationSeparator" w:id="0">
    <w:p w:rsidR="00F63458" w:rsidRDefault="00F63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E2F2636"/>
    <w:multiLevelType w:val="hybridMultilevel"/>
    <w:tmpl w:val="641CE7EE"/>
    <w:lvl w:ilvl="0" w:tplc="04060001">
      <w:start w:val="1"/>
      <w:numFmt w:val="bullet"/>
      <w:lvlText w:val=""/>
      <w:lvlJc w:val="left"/>
      <w:pPr>
        <w:ind w:left="502" w:hanging="360"/>
      </w:pPr>
      <w:rPr>
        <w:rFonts w:ascii="Symbol" w:hAnsi="Symbol" w:hint="default"/>
        <w:b/>
        <w:i w:val="0"/>
        <w:strike w:val="0"/>
        <w:dstrike w:val="0"/>
        <w:color w:val="000000"/>
        <w:sz w:val="22"/>
        <w:u w:val="none" w:color="000000"/>
        <w:vertAlign w:val="baseline"/>
      </w:rPr>
    </w:lvl>
    <w:lvl w:ilvl="1" w:tplc="FFFFFFFF" w:tentative="1">
      <w:start w:val="1"/>
      <w:numFmt w:val="bullet"/>
      <w:lvlText w:val="o"/>
      <w:lvlJc w:val="left"/>
      <w:pPr>
        <w:ind w:left="1222" w:hanging="360"/>
      </w:pPr>
      <w:rPr>
        <w:rFonts w:ascii="Courier New" w:hAnsi="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9996A22"/>
    <w:multiLevelType w:val="hybridMultilevel"/>
    <w:tmpl w:val="C0087DCA"/>
    <w:lvl w:ilvl="0" w:tplc="FFFFFFFF">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hint="default"/>
      </w:rPr>
    </w:lvl>
    <w:lvl w:ilvl="8" w:tplc="FFFFFFFF" w:tentative="1">
      <w:start w:val="1"/>
      <w:numFmt w:val="bullet"/>
      <w:lvlText w:val=""/>
      <w:lvlJc w:val="left"/>
      <w:pPr>
        <w:ind w:left="654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458"/>
    <w:rsid w:val="000259B9"/>
    <w:rsid w:val="00041491"/>
    <w:rsid w:val="00050D16"/>
    <w:rsid w:val="00074F2A"/>
    <w:rsid w:val="000A1CA8"/>
    <w:rsid w:val="000A466B"/>
    <w:rsid w:val="000B058C"/>
    <w:rsid w:val="000E4EE6"/>
    <w:rsid w:val="00104215"/>
    <w:rsid w:val="001454E2"/>
    <w:rsid w:val="00206CE8"/>
    <w:rsid w:val="0021526C"/>
    <w:rsid w:val="00283A2B"/>
    <w:rsid w:val="002B30AD"/>
    <w:rsid w:val="002C2C01"/>
    <w:rsid w:val="003A29AE"/>
    <w:rsid w:val="003A32D7"/>
    <w:rsid w:val="003B4074"/>
    <w:rsid w:val="003C769A"/>
    <w:rsid w:val="003F1838"/>
    <w:rsid w:val="004479CD"/>
    <w:rsid w:val="00451F9D"/>
    <w:rsid w:val="0045746C"/>
    <w:rsid w:val="0049104B"/>
    <w:rsid w:val="004A7D6E"/>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573B2"/>
    <w:rsid w:val="00F63458"/>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43981"/>
  <w15:chartTrackingRefBased/>
  <w15:docId w15:val="{466DF430-9656-4D0D-AB04-8E1FA709D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7318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085885500">
      <w:bodyDiv w:val="1"/>
      <w:marLeft w:val="0"/>
      <w:marRight w:val="0"/>
      <w:marTop w:val="0"/>
      <w:marBottom w:val="0"/>
      <w:divBdr>
        <w:top w:val="none" w:sz="0" w:space="0" w:color="auto"/>
        <w:left w:val="none" w:sz="0" w:space="0" w:color="auto"/>
        <w:bottom w:val="none" w:sz="0" w:space="0" w:color="auto"/>
        <w:right w:val="none" w:sz="0" w:space="0" w:color="auto"/>
      </w:divBdr>
    </w:div>
    <w:div w:id="1539775057">
      <w:bodyDiv w:val="1"/>
      <w:marLeft w:val="0"/>
      <w:marRight w:val="0"/>
      <w:marTop w:val="0"/>
      <w:marBottom w:val="0"/>
      <w:divBdr>
        <w:top w:val="none" w:sz="0" w:space="0" w:color="auto"/>
        <w:left w:val="none" w:sz="0" w:space="0" w:color="auto"/>
        <w:bottom w:val="none" w:sz="0" w:space="0" w:color="auto"/>
        <w:right w:val="none" w:sz="0" w:space="0" w:color="auto"/>
      </w:divBdr>
    </w:div>
    <w:div w:id="196038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11</TotalTime>
  <Pages>10</Pages>
  <Words>2455</Words>
  <Characters>16729</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2021101159 2022053177_x000d_
SmPC pkt. 4.4, 4.5, 4.6, 4,8, 5.3 og overskrifter iht. QRD</dc:description>
  <cp:lastModifiedBy>Betty Winther Andersen</cp:lastModifiedBy>
  <cp:revision>4</cp:revision>
  <cp:lastPrinted>2012-08-22T08:53:00Z</cp:lastPrinted>
  <dcterms:created xsi:type="dcterms:W3CDTF">2023-11-06T09:57:00Z</dcterms:created>
  <dcterms:modified xsi:type="dcterms:W3CDTF">2023-11-08T09:39:00Z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