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DFB" w:rsidRPr="008F49E1" w:rsidRDefault="00762DFB" w:rsidP="00762DFB">
      <w:pPr>
        <w:rPr>
          <w:sz w:val="24"/>
          <w:szCs w:val="24"/>
        </w:rPr>
      </w:pPr>
      <w:r w:rsidRPr="008F49E1">
        <w:rPr>
          <w:noProof/>
          <w:sz w:val="24"/>
          <w:szCs w:val="24"/>
          <w:lang w:eastAsia="da-DK"/>
        </w:rPr>
        <w:drawing>
          <wp:inline distT="0" distB="0" distL="0" distR="0" wp14:anchorId="7B82B0C2" wp14:editId="5FC3FDA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45A82" w:rsidRDefault="00762DFB" w:rsidP="00FC794A">
      <w:pPr>
        <w:pStyle w:val="Titel"/>
        <w:tabs>
          <w:tab w:val="right" w:pos="9356"/>
        </w:tabs>
        <w:jc w:val="left"/>
        <w:rPr>
          <w:b w:val="0"/>
          <w:szCs w:val="24"/>
        </w:rPr>
      </w:pPr>
      <w:r w:rsidRPr="00730AC1">
        <w:rPr>
          <w:b w:val="0"/>
          <w:szCs w:val="24"/>
          <w:lang w:eastAsia="en-US"/>
        </w:rPr>
        <w:tab/>
      </w:r>
      <w:r w:rsidR="00FC794A">
        <w:rPr>
          <w:szCs w:val="24"/>
        </w:rPr>
        <w:t>2</w:t>
      </w:r>
      <w:r w:rsidR="00BC18C7">
        <w:rPr>
          <w:szCs w:val="24"/>
        </w:rPr>
        <w:t>1</w:t>
      </w:r>
      <w:r w:rsidR="00FC794A">
        <w:rPr>
          <w:szCs w:val="24"/>
        </w:rPr>
        <w:t>.</w:t>
      </w:r>
      <w:r w:rsidR="00BC18C7">
        <w:rPr>
          <w:szCs w:val="24"/>
        </w:rPr>
        <w:t>09</w:t>
      </w:r>
      <w:r w:rsidR="00FC794A">
        <w:rPr>
          <w:szCs w:val="24"/>
        </w:rPr>
        <w:t xml:space="preserve"> 202</w:t>
      </w:r>
      <w:r w:rsidR="00BC18C7">
        <w:rPr>
          <w:szCs w:val="24"/>
        </w:rPr>
        <w:t>1</w:t>
      </w:r>
    </w:p>
    <w:p w:rsidR="00762DFB" w:rsidRPr="00730AC1" w:rsidRDefault="00762DFB" w:rsidP="00762DFB">
      <w:pPr>
        <w:pStyle w:val="Titel"/>
        <w:jc w:val="left"/>
        <w:rPr>
          <w:b w:val="0"/>
          <w:szCs w:val="24"/>
        </w:rPr>
      </w:pPr>
    </w:p>
    <w:p w:rsidR="00762DFB" w:rsidRPr="00730AC1" w:rsidRDefault="00762DFB" w:rsidP="00762DFB">
      <w:pPr>
        <w:jc w:val="center"/>
        <w:rPr>
          <w:b/>
          <w:sz w:val="24"/>
          <w:szCs w:val="24"/>
        </w:rPr>
      </w:pPr>
      <w:r w:rsidRPr="00730AC1">
        <w:rPr>
          <w:b/>
          <w:sz w:val="24"/>
          <w:szCs w:val="24"/>
        </w:rPr>
        <w:t>PRODUKTRESUMÉ</w:t>
      </w:r>
    </w:p>
    <w:p w:rsidR="00762DFB" w:rsidRPr="00730AC1" w:rsidRDefault="00762DFB" w:rsidP="00762DFB">
      <w:pPr>
        <w:jc w:val="center"/>
        <w:rPr>
          <w:b/>
          <w:sz w:val="24"/>
          <w:szCs w:val="24"/>
        </w:rPr>
      </w:pPr>
    </w:p>
    <w:p w:rsidR="00762DFB" w:rsidRPr="00730AC1" w:rsidRDefault="00762DFB" w:rsidP="00762DFB">
      <w:pPr>
        <w:jc w:val="center"/>
        <w:rPr>
          <w:b/>
          <w:sz w:val="24"/>
          <w:szCs w:val="24"/>
        </w:rPr>
      </w:pPr>
      <w:r w:rsidRPr="00730AC1">
        <w:rPr>
          <w:b/>
          <w:sz w:val="24"/>
          <w:szCs w:val="24"/>
        </w:rPr>
        <w:t>for</w:t>
      </w:r>
    </w:p>
    <w:p w:rsidR="00762DFB" w:rsidRPr="00730AC1" w:rsidRDefault="00762DFB" w:rsidP="00762DFB">
      <w:pPr>
        <w:jc w:val="center"/>
        <w:rPr>
          <w:b/>
          <w:sz w:val="24"/>
          <w:szCs w:val="24"/>
        </w:rPr>
      </w:pPr>
    </w:p>
    <w:p w:rsidR="00762DFB" w:rsidRPr="00730AC1" w:rsidRDefault="00762DFB" w:rsidP="00762DFB">
      <w:pPr>
        <w:jc w:val="center"/>
        <w:rPr>
          <w:b/>
          <w:sz w:val="24"/>
          <w:szCs w:val="24"/>
        </w:rPr>
      </w:pPr>
      <w:r w:rsidRPr="00730AC1">
        <w:rPr>
          <w:b/>
          <w:sz w:val="24"/>
          <w:szCs w:val="24"/>
        </w:rPr>
        <w:t xml:space="preserve">Paracetamol </w:t>
      </w:r>
      <w:r>
        <w:rPr>
          <w:b/>
          <w:sz w:val="24"/>
          <w:szCs w:val="24"/>
        </w:rPr>
        <w:t>"</w:t>
      </w:r>
      <w:proofErr w:type="spellStart"/>
      <w:r w:rsidRPr="00730AC1">
        <w:rPr>
          <w:b/>
          <w:sz w:val="24"/>
          <w:szCs w:val="24"/>
        </w:rPr>
        <w:t>Orifarm</w:t>
      </w:r>
      <w:proofErr w:type="spellEnd"/>
      <w:r>
        <w:rPr>
          <w:b/>
          <w:sz w:val="24"/>
          <w:szCs w:val="24"/>
        </w:rPr>
        <w:t>"</w:t>
      </w:r>
      <w:r w:rsidRPr="00730AC1">
        <w:rPr>
          <w:b/>
          <w:sz w:val="24"/>
          <w:szCs w:val="24"/>
        </w:rPr>
        <w:t>, filmovertrukne tabletter</w:t>
      </w:r>
    </w:p>
    <w:p w:rsidR="00762DFB" w:rsidRPr="00730AC1" w:rsidRDefault="00762DFB" w:rsidP="00762DFB">
      <w:pPr>
        <w:jc w:val="both"/>
        <w:rPr>
          <w:sz w:val="24"/>
          <w:szCs w:val="24"/>
        </w:rPr>
      </w:pPr>
    </w:p>
    <w:p w:rsidR="00762DFB" w:rsidRPr="00730AC1" w:rsidRDefault="00762DFB" w:rsidP="00762DFB">
      <w:pPr>
        <w:ind w:left="851" w:hanging="851"/>
        <w:jc w:val="both"/>
        <w:rPr>
          <w:sz w:val="24"/>
          <w:szCs w:val="24"/>
        </w:rPr>
      </w:pPr>
    </w:p>
    <w:p w:rsidR="00762DFB" w:rsidRPr="00730AC1" w:rsidRDefault="00762DFB" w:rsidP="00762DFB">
      <w:pPr>
        <w:ind w:left="851" w:hanging="851"/>
        <w:rPr>
          <w:b/>
          <w:sz w:val="24"/>
          <w:szCs w:val="24"/>
        </w:rPr>
      </w:pPr>
      <w:r w:rsidRPr="00730AC1">
        <w:rPr>
          <w:b/>
          <w:sz w:val="24"/>
          <w:szCs w:val="24"/>
        </w:rPr>
        <w:t>0.</w:t>
      </w:r>
      <w:r w:rsidRPr="00730AC1">
        <w:rPr>
          <w:b/>
          <w:sz w:val="24"/>
          <w:szCs w:val="24"/>
        </w:rPr>
        <w:tab/>
        <w:t>D.SP.NR.</w:t>
      </w:r>
    </w:p>
    <w:p w:rsidR="00762DFB" w:rsidRPr="00730AC1" w:rsidRDefault="00762DFB" w:rsidP="00762DFB">
      <w:pPr>
        <w:ind w:left="851" w:hanging="851"/>
        <w:rPr>
          <w:sz w:val="24"/>
          <w:szCs w:val="24"/>
        </w:rPr>
      </w:pPr>
      <w:r w:rsidRPr="00730AC1">
        <w:rPr>
          <w:sz w:val="24"/>
          <w:szCs w:val="24"/>
        </w:rPr>
        <w:tab/>
        <w:t>28627</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1.</w:t>
      </w:r>
      <w:r w:rsidRPr="00730AC1">
        <w:rPr>
          <w:b/>
          <w:sz w:val="24"/>
          <w:szCs w:val="24"/>
        </w:rPr>
        <w:tab/>
        <w:t>LÆGEMIDLETS NAVN</w:t>
      </w:r>
    </w:p>
    <w:p w:rsidR="00762DFB" w:rsidRPr="00730AC1" w:rsidRDefault="00762DFB" w:rsidP="00762DFB">
      <w:pPr>
        <w:ind w:left="851"/>
        <w:rPr>
          <w:sz w:val="24"/>
          <w:szCs w:val="24"/>
        </w:rPr>
      </w:pPr>
      <w:r w:rsidRPr="00730AC1">
        <w:rPr>
          <w:sz w:val="24"/>
          <w:szCs w:val="24"/>
        </w:rPr>
        <w:t xml:space="preserve">Paracetamol </w:t>
      </w:r>
      <w:r>
        <w:rPr>
          <w:sz w:val="24"/>
          <w:szCs w:val="24"/>
        </w:rPr>
        <w:t>"</w:t>
      </w:r>
      <w:proofErr w:type="spellStart"/>
      <w:r w:rsidRPr="00730AC1">
        <w:rPr>
          <w:sz w:val="24"/>
          <w:szCs w:val="24"/>
        </w:rPr>
        <w:t>Orifarm</w:t>
      </w:r>
      <w:proofErr w:type="spellEnd"/>
      <w:r>
        <w:rPr>
          <w:sz w:val="24"/>
          <w:szCs w:val="24"/>
        </w:rPr>
        <w:t>"</w:t>
      </w:r>
    </w:p>
    <w:p w:rsidR="00762DFB" w:rsidRPr="00730AC1" w:rsidRDefault="00762DFB" w:rsidP="00762DFB">
      <w:pPr>
        <w:ind w:left="851" w:hanging="851"/>
        <w:rPr>
          <w:sz w:val="24"/>
          <w:szCs w:val="24"/>
        </w:rPr>
      </w:pPr>
      <w:r w:rsidRPr="00730AC1">
        <w:rPr>
          <w:sz w:val="24"/>
          <w:szCs w:val="24"/>
        </w:rPr>
        <w:tab/>
      </w:r>
    </w:p>
    <w:p w:rsidR="00762DFB" w:rsidRPr="00730AC1" w:rsidRDefault="00762DFB" w:rsidP="00762DFB">
      <w:pPr>
        <w:ind w:left="851" w:hanging="851"/>
        <w:rPr>
          <w:b/>
          <w:sz w:val="24"/>
          <w:szCs w:val="24"/>
        </w:rPr>
      </w:pPr>
      <w:r w:rsidRPr="00730AC1">
        <w:rPr>
          <w:b/>
          <w:sz w:val="24"/>
          <w:szCs w:val="24"/>
        </w:rPr>
        <w:t>2.</w:t>
      </w:r>
      <w:r w:rsidRPr="00730AC1">
        <w:rPr>
          <w:b/>
          <w:sz w:val="24"/>
          <w:szCs w:val="24"/>
        </w:rPr>
        <w:tab/>
        <w:t>KVALITATIV OG KVA</w:t>
      </w:r>
      <w:bookmarkStart w:id="0" w:name="_GoBack"/>
      <w:bookmarkEnd w:id="0"/>
      <w:r w:rsidRPr="00730AC1">
        <w:rPr>
          <w:b/>
          <w:sz w:val="24"/>
          <w:szCs w:val="24"/>
        </w:rPr>
        <w:t>NTITATIV SAMMENSÆTNING</w:t>
      </w:r>
    </w:p>
    <w:p w:rsidR="00762DFB" w:rsidRPr="00730AC1" w:rsidRDefault="00762DFB" w:rsidP="00762DFB">
      <w:pPr>
        <w:ind w:left="851"/>
        <w:rPr>
          <w:sz w:val="24"/>
          <w:szCs w:val="24"/>
        </w:rPr>
      </w:pPr>
      <w:r w:rsidRPr="00730AC1">
        <w:rPr>
          <w:sz w:val="24"/>
          <w:szCs w:val="24"/>
        </w:rPr>
        <w:t>Hver tablet indeholder 500 mg paracetamol</w:t>
      </w:r>
      <w:r>
        <w:rPr>
          <w:sz w:val="24"/>
          <w:szCs w:val="24"/>
        </w:rPr>
        <w:t>.</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Alle hjælpestoffer er anført under pkt. 6.1.</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3.</w:t>
      </w:r>
      <w:r w:rsidRPr="00730AC1">
        <w:rPr>
          <w:b/>
          <w:sz w:val="24"/>
          <w:szCs w:val="24"/>
        </w:rPr>
        <w:tab/>
        <w:t>LÆGEMIDDELFORM</w:t>
      </w:r>
    </w:p>
    <w:p w:rsidR="00762DFB" w:rsidRPr="00730AC1" w:rsidRDefault="00762DFB" w:rsidP="00762DFB">
      <w:pPr>
        <w:ind w:left="851"/>
        <w:rPr>
          <w:sz w:val="24"/>
          <w:szCs w:val="24"/>
        </w:rPr>
      </w:pPr>
      <w:r>
        <w:rPr>
          <w:sz w:val="24"/>
          <w:szCs w:val="24"/>
        </w:rPr>
        <w:t>Filmovertrukne tabletter</w:t>
      </w:r>
    </w:p>
    <w:p w:rsidR="00762DFB" w:rsidRPr="00730AC1" w:rsidRDefault="00762DFB" w:rsidP="00762DFB">
      <w:pPr>
        <w:ind w:left="851"/>
        <w:rPr>
          <w:sz w:val="24"/>
          <w:szCs w:val="24"/>
        </w:rPr>
      </w:pPr>
    </w:p>
    <w:p w:rsidR="00762DFB" w:rsidRPr="00730AC1" w:rsidRDefault="00762DFB" w:rsidP="00762DFB">
      <w:pPr>
        <w:ind w:left="851"/>
        <w:rPr>
          <w:sz w:val="24"/>
          <w:szCs w:val="24"/>
          <w:vertAlign w:val="subscript"/>
        </w:rPr>
      </w:pPr>
      <w:r w:rsidRPr="00730AC1">
        <w:rPr>
          <w:sz w:val="24"/>
          <w:szCs w:val="24"/>
        </w:rPr>
        <w:t>Hvid til råhvid</w:t>
      </w:r>
      <w:r>
        <w:rPr>
          <w:sz w:val="24"/>
          <w:szCs w:val="24"/>
        </w:rPr>
        <w:t>,</w:t>
      </w:r>
      <w:r w:rsidRPr="00730AC1">
        <w:rPr>
          <w:sz w:val="24"/>
          <w:szCs w:val="24"/>
        </w:rPr>
        <w:t xml:space="preserve"> filmovertrukke</w:t>
      </w:r>
      <w:r>
        <w:rPr>
          <w:sz w:val="24"/>
          <w:szCs w:val="24"/>
        </w:rPr>
        <w:t>t</w:t>
      </w:r>
      <w:r w:rsidRPr="00730AC1">
        <w:rPr>
          <w:sz w:val="24"/>
          <w:szCs w:val="24"/>
        </w:rPr>
        <w:t xml:space="preserve"> tablet (17</w:t>
      </w:r>
      <w:r>
        <w:rPr>
          <w:sz w:val="24"/>
          <w:szCs w:val="24"/>
        </w:rPr>
        <w:t>×</w:t>
      </w:r>
      <w:r w:rsidRPr="00730AC1">
        <w:rPr>
          <w:sz w:val="24"/>
          <w:szCs w:val="24"/>
        </w:rPr>
        <w:t>7,2</w:t>
      </w:r>
      <w:r>
        <w:rPr>
          <w:sz w:val="24"/>
          <w:szCs w:val="24"/>
        </w:rPr>
        <w:t xml:space="preserve"> </w:t>
      </w:r>
      <w:r w:rsidRPr="00730AC1">
        <w:rPr>
          <w:sz w:val="24"/>
          <w:szCs w:val="24"/>
        </w:rPr>
        <w:t>mm), mærket "PARA500</w:t>
      </w:r>
      <w:r>
        <w:rPr>
          <w:sz w:val="24"/>
          <w:szCs w:val="24"/>
        </w:rPr>
        <w:t>"</w:t>
      </w:r>
      <w:r w:rsidRPr="00730AC1">
        <w:rPr>
          <w:sz w:val="24"/>
          <w:szCs w:val="24"/>
        </w:rPr>
        <w:t xml:space="preserve"> på den ene side og med delekærv på den anden side. </w:t>
      </w:r>
    </w:p>
    <w:p w:rsidR="007B4708" w:rsidRDefault="007B4708" w:rsidP="00762DFB">
      <w:pPr>
        <w:ind w:left="851"/>
        <w:rPr>
          <w:sz w:val="24"/>
          <w:szCs w:val="24"/>
        </w:rPr>
      </w:pPr>
    </w:p>
    <w:p w:rsidR="00762DFB" w:rsidRPr="00730AC1" w:rsidRDefault="00762DFB" w:rsidP="00762DFB">
      <w:pPr>
        <w:ind w:left="851"/>
        <w:rPr>
          <w:sz w:val="24"/>
          <w:szCs w:val="24"/>
        </w:rPr>
      </w:pPr>
      <w:r w:rsidRPr="00730AC1">
        <w:rPr>
          <w:sz w:val="24"/>
          <w:szCs w:val="24"/>
        </w:rPr>
        <w:t>Tabletten kan deles i to lige store doser.</w:t>
      </w:r>
    </w:p>
    <w:p w:rsidR="00762DFB" w:rsidRPr="00730AC1" w:rsidRDefault="00762DFB" w:rsidP="00762DFB">
      <w:pPr>
        <w:ind w:left="851"/>
        <w:rPr>
          <w:sz w:val="24"/>
          <w:szCs w:val="24"/>
        </w:rPr>
      </w:pP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4.</w:t>
      </w:r>
      <w:r w:rsidRPr="00730AC1">
        <w:rPr>
          <w:b/>
          <w:sz w:val="24"/>
          <w:szCs w:val="24"/>
        </w:rPr>
        <w:tab/>
        <w:t>KLINISKE OPLYSNINGER</w:t>
      </w:r>
    </w:p>
    <w:p w:rsidR="00762DFB" w:rsidRPr="00730AC1" w:rsidRDefault="00762DFB" w:rsidP="00762DFB">
      <w:pPr>
        <w:ind w:left="851" w:hanging="851"/>
        <w:rPr>
          <w:b/>
          <w:sz w:val="24"/>
          <w:szCs w:val="24"/>
        </w:rPr>
      </w:pPr>
    </w:p>
    <w:p w:rsidR="00762DFB" w:rsidRPr="00730AC1" w:rsidRDefault="00762DFB" w:rsidP="00762DFB">
      <w:pPr>
        <w:ind w:left="851" w:hanging="851"/>
        <w:rPr>
          <w:b/>
          <w:sz w:val="24"/>
          <w:szCs w:val="24"/>
          <w:u w:val="single"/>
        </w:rPr>
      </w:pPr>
      <w:r w:rsidRPr="00730AC1">
        <w:rPr>
          <w:b/>
          <w:sz w:val="24"/>
          <w:szCs w:val="24"/>
        </w:rPr>
        <w:t>4.1</w:t>
      </w:r>
      <w:r w:rsidRPr="00730AC1">
        <w:rPr>
          <w:b/>
          <w:sz w:val="24"/>
          <w:szCs w:val="24"/>
        </w:rPr>
        <w:tab/>
        <w:t>Terapeutiske indikationer</w:t>
      </w:r>
    </w:p>
    <w:p w:rsidR="00762DFB" w:rsidRPr="00730AC1" w:rsidRDefault="00762DFB" w:rsidP="00762DFB">
      <w:pPr>
        <w:ind w:left="851"/>
        <w:rPr>
          <w:sz w:val="24"/>
          <w:szCs w:val="24"/>
        </w:rPr>
      </w:pPr>
      <w:r w:rsidRPr="00730AC1">
        <w:rPr>
          <w:sz w:val="24"/>
          <w:szCs w:val="24"/>
        </w:rPr>
        <w:t>Symptomatisk behandling af mild til moderat smerte og feber.</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4.2</w:t>
      </w:r>
      <w:r w:rsidRPr="00730AC1">
        <w:rPr>
          <w:b/>
          <w:sz w:val="24"/>
          <w:szCs w:val="24"/>
        </w:rPr>
        <w:tab/>
        <w:t>Dosering og indgivelsesmåde</w:t>
      </w:r>
    </w:p>
    <w:p w:rsidR="00762DFB" w:rsidRDefault="00762DFB" w:rsidP="00762DFB">
      <w:pPr>
        <w:ind w:left="851"/>
        <w:rPr>
          <w:sz w:val="24"/>
          <w:szCs w:val="24"/>
        </w:rPr>
      </w:pPr>
    </w:p>
    <w:p w:rsidR="00762DFB" w:rsidRDefault="00762DFB" w:rsidP="00762DFB">
      <w:pPr>
        <w:ind w:left="851"/>
        <w:rPr>
          <w:sz w:val="24"/>
          <w:szCs w:val="24"/>
        </w:rPr>
      </w:pPr>
      <w:r>
        <w:rPr>
          <w:b/>
          <w:sz w:val="24"/>
          <w:szCs w:val="24"/>
        </w:rPr>
        <w:t>Dosering</w:t>
      </w:r>
    </w:p>
    <w:p w:rsidR="00762DFB" w:rsidRPr="001E5158" w:rsidRDefault="00762DFB" w:rsidP="00762DFB">
      <w:pPr>
        <w:ind w:left="851"/>
        <w:rPr>
          <w:sz w:val="24"/>
          <w:szCs w:val="24"/>
        </w:rPr>
      </w:pPr>
    </w:p>
    <w:p w:rsidR="007B4708" w:rsidRDefault="007B4708" w:rsidP="007B4708">
      <w:pPr>
        <w:ind w:left="851"/>
        <w:rPr>
          <w:sz w:val="24"/>
          <w:szCs w:val="24"/>
        </w:rPr>
      </w:pPr>
      <w:r w:rsidRPr="00254634">
        <w:rPr>
          <w:sz w:val="24"/>
          <w:szCs w:val="24"/>
        </w:rPr>
        <w:t>Den maksimale døgndosis må ikke overskrides. Bør anvendes i laveste effektive dosis i kortest mulig tid.</w:t>
      </w:r>
    </w:p>
    <w:p w:rsidR="007B4708" w:rsidRPr="001E5158" w:rsidRDefault="007B4708" w:rsidP="007B4708">
      <w:pPr>
        <w:ind w:left="851"/>
        <w:rPr>
          <w:sz w:val="24"/>
          <w:szCs w:val="24"/>
        </w:rPr>
      </w:pPr>
    </w:p>
    <w:p w:rsidR="007B4708" w:rsidRPr="00254634" w:rsidRDefault="007B4708" w:rsidP="007B4708">
      <w:pPr>
        <w:ind w:left="851"/>
        <w:rPr>
          <w:sz w:val="24"/>
          <w:szCs w:val="24"/>
          <w:u w:val="single"/>
        </w:rPr>
      </w:pPr>
      <w:r w:rsidRPr="00254634">
        <w:rPr>
          <w:sz w:val="24"/>
          <w:szCs w:val="24"/>
          <w:u w:val="single"/>
        </w:rPr>
        <w:t xml:space="preserve">Voksne </w:t>
      </w:r>
      <w:r w:rsidRPr="00254634">
        <w:rPr>
          <w:spacing w:val="-3"/>
          <w:szCs w:val="24"/>
          <w:u w:val="single"/>
        </w:rPr>
        <w:t>(inkl. ældre) og børn på 12 år og derover (min. 40 kg)</w:t>
      </w:r>
    </w:p>
    <w:p w:rsidR="00762DFB" w:rsidRPr="00730AC1" w:rsidRDefault="00762DFB" w:rsidP="00762DFB">
      <w:pPr>
        <w:ind w:left="851"/>
        <w:rPr>
          <w:sz w:val="24"/>
          <w:szCs w:val="24"/>
        </w:rPr>
      </w:pPr>
      <w:r w:rsidRPr="00730AC1">
        <w:rPr>
          <w:sz w:val="24"/>
          <w:szCs w:val="24"/>
        </w:rPr>
        <w:t xml:space="preserve">1000 mg 3-4 gange </w:t>
      </w:r>
      <w:r>
        <w:rPr>
          <w:sz w:val="24"/>
          <w:szCs w:val="24"/>
        </w:rPr>
        <w:t>daglig</w:t>
      </w:r>
      <w:r w:rsidRPr="00730AC1">
        <w:rPr>
          <w:sz w:val="24"/>
          <w:szCs w:val="24"/>
        </w:rPr>
        <w:t xml:space="preserve">. Den maksimale daglige dosis er 4 g. I visse tilfælde kan 500 mg 3-4 gange </w:t>
      </w:r>
      <w:r>
        <w:rPr>
          <w:sz w:val="24"/>
          <w:szCs w:val="24"/>
        </w:rPr>
        <w:t>daglig</w:t>
      </w:r>
      <w:r w:rsidRPr="00730AC1">
        <w:rPr>
          <w:sz w:val="24"/>
          <w:szCs w:val="24"/>
        </w:rPr>
        <w:t xml:space="preserve"> være tilstrækkeligt.</w:t>
      </w:r>
    </w:p>
    <w:p w:rsidR="00762DFB" w:rsidRPr="00730AC1" w:rsidRDefault="00762DFB" w:rsidP="00762DFB">
      <w:pPr>
        <w:ind w:left="851"/>
        <w:rPr>
          <w:sz w:val="24"/>
          <w:szCs w:val="24"/>
        </w:rPr>
      </w:pPr>
    </w:p>
    <w:p w:rsidR="00762DFB" w:rsidRDefault="00762DFB" w:rsidP="00762DFB">
      <w:pPr>
        <w:rPr>
          <w:sz w:val="24"/>
          <w:szCs w:val="24"/>
          <w:u w:val="single"/>
        </w:rPr>
      </w:pPr>
      <w:r>
        <w:rPr>
          <w:sz w:val="24"/>
          <w:szCs w:val="24"/>
          <w:u w:val="single"/>
        </w:rPr>
        <w:br w:type="page"/>
      </w:r>
    </w:p>
    <w:p w:rsidR="00762DFB" w:rsidRPr="001E5158" w:rsidRDefault="00762DFB" w:rsidP="00762DFB">
      <w:pPr>
        <w:ind w:left="851"/>
        <w:rPr>
          <w:sz w:val="24"/>
          <w:szCs w:val="24"/>
          <w:u w:val="single"/>
        </w:rPr>
      </w:pPr>
      <w:r>
        <w:rPr>
          <w:sz w:val="24"/>
          <w:szCs w:val="24"/>
          <w:u w:val="single"/>
        </w:rPr>
        <w:lastRenderedPageBreak/>
        <w:t>Pædiatrisk population</w:t>
      </w:r>
    </w:p>
    <w:p w:rsidR="00762DFB" w:rsidRPr="00730AC1" w:rsidRDefault="00762DFB" w:rsidP="00762DFB">
      <w:pPr>
        <w:ind w:left="851"/>
        <w:rPr>
          <w:sz w:val="24"/>
          <w:szCs w:val="24"/>
        </w:rPr>
      </w:pPr>
      <w:r w:rsidRPr="00730AC1">
        <w:rPr>
          <w:sz w:val="24"/>
          <w:szCs w:val="24"/>
        </w:rPr>
        <w:t>Den anbefalede daglige dosis er 10-15 mg/kg 3-4 gange om dagen, se tabellen nedenfor.</w:t>
      </w:r>
    </w:p>
    <w:p w:rsidR="00762DFB" w:rsidRPr="005E72AC" w:rsidRDefault="00762DFB" w:rsidP="00762DFB">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1432"/>
        <w:gridCol w:w="4819"/>
      </w:tblGrid>
      <w:tr w:rsidR="00762DFB" w:rsidRPr="00730AC1" w:rsidTr="003B4BCE">
        <w:trPr>
          <w:trHeight w:val="306"/>
        </w:trPr>
        <w:tc>
          <w:tcPr>
            <w:tcW w:w="2537" w:type="dxa"/>
            <w:tcBorders>
              <w:top w:val="single" w:sz="4" w:space="0" w:color="auto"/>
              <w:left w:val="single" w:sz="4" w:space="0" w:color="auto"/>
              <w:bottom w:val="single" w:sz="4" w:space="0" w:color="auto"/>
              <w:right w:val="single" w:sz="4" w:space="0" w:color="auto"/>
            </w:tcBorders>
            <w:shd w:val="clear" w:color="auto" w:fill="E6E6E6"/>
            <w:hideMark/>
          </w:tcPr>
          <w:p w:rsidR="00762DFB" w:rsidRPr="00730AC1" w:rsidRDefault="00762DFB" w:rsidP="003B4BCE">
            <w:pPr>
              <w:rPr>
                <w:sz w:val="24"/>
                <w:szCs w:val="24"/>
              </w:rPr>
            </w:pPr>
            <w:r w:rsidRPr="00730AC1">
              <w:rPr>
                <w:sz w:val="24"/>
                <w:szCs w:val="24"/>
              </w:rPr>
              <w:t xml:space="preserve">Kropsvægt </w:t>
            </w:r>
          </w:p>
        </w:tc>
        <w:tc>
          <w:tcPr>
            <w:tcW w:w="1432" w:type="dxa"/>
            <w:tcBorders>
              <w:top w:val="single" w:sz="4" w:space="0" w:color="auto"/>
              <w:left w:val="single" w:sz="4" w:space="0" w:color="auto"/>
              <w:bottom w:val="single" w:sz="4" w:space="0" w:color="auto"/>
              <w:right w:val="single" w:sz="4" w:space="0" w:color="auto"/>
            </w:tcBorders>
            <w:shd w:val="clear" w:color="auto" w:fill="E6E6E6"/>
          </w:tcPr>
          <w:p w:rsidR="00762DFB" w:rsidRPr="00730AC1" w:rsidRDefault="00762DFB" w:rsidP="003B4BCE">
            <w:pPr>
              <w:rPr>
                <w:sz w:val="24"/>
                <w:szCs w:val="24"/>
              </w:rPr>
            </w:pPr>
            <w:r w:rsidRPr="00730AC1">
              <w:rPr>
                <w:sz w:val="24"/>
                <w:szCs w:val="24"/>
              </w:rPr>
              <w:t>Alder</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rsidR="00762DFB" w:rsidRPr="00730AC1" w:rsidRDefault="00762DFB" w:rsidP="003B4BCE">
            <w:pPr>
              <w:rPr>
                <w:sz w:val="24"/>
                <w:szCs w:val="24"/>
              </w:rPr>
            </w:pPr>
            <w:r w:rsidRPr="00730AC1">
              <w:rPr>
                <w:sz w:val="24"/>
                <w:szCs w:val="24"/>
              </w:rPr>
              <w:t>Dosis</w:t>
            </w:r>
          </w:p>
        </w:tc>
      </w:tr>
      <w:tr w:rsidR="00762DFB" w:rsidRPr="00730AC1" w:rsidTr="003B4BCE">
        <w:trPr>
          <w:trHeight w:val="458"/>
        </w:trPr>
        <w:tc>
          <w:tcPr>
            <w:tcW w:w="2537"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15-25 kg</w:t>
            </w:r>
          </w:p>
        </w:tc>
        <w:tc>
          <w:tcPr>
            <w:tcW w:w="1432"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sidRPr="00730AC1">
              <w:rPr>
                <w:sz w:val="24"/>
                <w:szCs w:val="24"/>
              </w:rPr>
              <w:t>3-7 år</w:t>
            </w:r>
          </w:p>
        </w:tc>
        <w:tc>
          <w:tcPr>
            <w:tcW w:w="4819"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sidRPr="00730AC1">
              <w:rPr>
                <w:sz w:val="24"/>
                <w:szCs w:val="24"/>
              </w:rPr>
              <w:t xml:space="preserve">250 mg paracetamol 3-4 gange </w:t>
            </w:r>
            <w:r>
              <w:rPr>
                <w:sz w:val="24"/>
                <w:szCs w:val="24"/>
              </w:rPr>
              <w:t>daglig</w:t>
            </w:r>
          </w:p>
        </w:tc>
      </w:tr>
      <w:tr w:rsidR="00762DFB" w:rsidRPr="00730AC1" w:rsidTr="003B4BCE">
        <w:trPr>
          <w:trHeight w:val="425"/>
        </w:trPr>
        <w:tc>
          <w:tcPr>
            <w:tcW w:w="2537"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25-40 kg</w:t>
            </w:r>
          </w:p>
        </w:tc>
        <w:tc>
          <w:tcPr>
            <w:tcW w:w="1432"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sidRPr="00730AC1">
              <w:rPr>
                <w:sz w:val="24"/>
                <w:szCs w:val="24"/>
              </w:rPr>
              <w:t>7-12 år</w:t>
            </w:r>
          </w:p>
        </w:tc>
        <w:tc>
          <w:tcPr>
            <w:tcW w:w="4819"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Pr>
                <w:sz w:val="24"/>
                <w:szCs w:val="24"/>
              </w:rPr>
              <w:t>250-</w:t>
            </w:r>
            <w:r w:rsidRPr="00730AC1">
              <w:rPr>
                <w:sz w:val="24"/>
                <w:szCs w:val="24"/>
              </w:rPr>
              <w:t xml:space="preserve">500 mg paracetamol 3-4 gange </w:t>
            </w:r>
            <w:r>
              <w:rPr>
                <w:sz w:val="24"/>
                <w:szCs w:val="24"/>
              </w:rPr>
              <w:t>daglig</w:t>
            </w:r>
          </w:p>
        </w:tc>
      </w:tr>
      <w:tr w:rsidR="00762DFB" w:rsidRPr="00730AC1" w:rsidTr="003B4BCE">
        <w:trPr>
          <w:trHeight w:val="444"/>
        </w:trPr>
        <w:tc>
          <w:tcPr>
            <w:tcW w:w="2537"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&gt; 40 kg</w:t>
            </w:r>
          </w:p>
        </w:tc>
        <w:tc>
          <w:tcPr>
            <w:tcW w:w="1432"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sidRPr="00730AC1">
              <w:rPr>
                <w:sz w:val="24"/>
                <w:szCs w:val="24"/>
              </w:rPr>
              <w:t>&gt; 12 år</w:t>
            </w:r>
          </w:p>
        </w:tc>
        <w:tc>
          <w:tcPr>
            <w:tcW w:w="4819" w:type="dxa"/>
            <w:tcBorders>
              <w:top w:val="single" w:sz="4" w:space="0" w:color="auto"/>
              <w:left w:val="single" w:sz="4" w:space="0" w:color="auto"/>
              <w:bottom w:val="single" w:sz="4" w:space="0" w:color="auto"/>
              <w:right w:val="single" w:sz="4" w:space="0" w:color="auto"/>
            </w:tcBorders>
          </w:tcPr>
          <w:p w:rsidR="00762DFB" w:rsidRPr="00730AC1" w:rsidRDefault="00762DFB" w:rsidP="003B4BCE">
            <w:pPr>
              <w:rPr>
                <w:sz w:val="24"/>
                <w:szCs w:val="24"/>
              </w:rPr>
            </w:pPr>
            <w:r w:rsidRPr="00730AC1">
              <w:rPr>
                <w:sz w:val="24"/>
                <w:szCs w:val="24"/>
              </w:rPr>
              <w:t xml:space="preserve">500-1000 mg paracetamol 3-4 gange </w:t>
            </w:r>
            <w:r>
              <w:rPr>
                <w:sz w:val="24"/>
                <w:szCs w:val="24"/>
              </w:rPr>
              <w:t>daglig</w:t>
            </w:r>
          </w:p>
        </w:tc>
      </w:tr>
    </w:tbl>
    <w:p w:rsidR="00762DFB" w:rsidRPr="00730AC1" w:rsidRDefault="00762DFB" w:rsidP="00762DFB">
      <w:pPr>
        <w:ind w:left="851"/>
        <w:rPr>
          <w:sz w:val="24"/>
          <w:szCs w:val="24"/>
        </w:rPr>
      </w:pPr>
    </w:p>
    <w:p w:rsidR="00762DFB" w:rsidRPr="00730AC1" w:rsidRDefault="00762DFB" w:rsidP="00762DFB">
      <w:pPr>
        <w:ind w:left="851"/>
        <w:rPr>
          <w:b/>
          <w:sz w:val="24"/>
          <w:szCs w:val="24"/>
        </w:rPr>
      </w:pPr>
      <w:r w:rsidRPr="00730AC1">
        <w:rPr>
          <w:b/>
          <w:sz w:val="24"/>
          <w:szCs w:val="24"/>
        </w:rPr>
        <w:t>Specielle grupper af patienter</w:t>
      </w:r>
    </w:p>
    <w:p w:rsidR="00762DFB" w:rsidRPr="00730AC1" w:rsidRDefault="00762DFB" w:rsidP="00762DFB">
      <w:pPr>
        <w:ind w:left="851"/>
        <w:rPr>
          <w:sz w:val="24"/>
          <w:szCs w:val="24"/>
          <w:u w:val="single"/>
        </w:rPr>
      </w:pPr>
    </w:p>
    <w:p w:rsidR="00762DFB" w:rsidRPr="00730AC1" w:rsidRDefault="00762DFB" w:rsidP="00762DFB">
      <w:pPr>
        <w:ind w:left="851"/>
        <w:rPr>
          <w:sz w:val="24"/>
          <w:szCs w:val="24"/>
          <w:u w:val="single"/>
        </w:rPr>
      </w:pPr>
      <w:r w:rsidRPr="00730AC1">
        <w:rPr>
          <w:sz w:val="24"/>
          <w:szCs w:val="24"/>
          <w:u w:val="single"/>
        </w:rPr>
        <w:t>Nedsat lever- eller nyrefunktion</w:t>
      </w:r>
    </w:p>
    <w:p w:rsidR="00762DFB" w:rsidRPr="00730AC1" w:rsidRDefault="00762DFB" w:rsidP="00762DFB">
      <w:pPr>
        <w:ind w:left="851"/>
        <w:rPr>
          <w:sz w:val="24"/>
          <w:szCs w:val="24"/>
        </w:rPr>
      </w:pPr>
      <w:r w:rsidRPr="00730AC1">
        <w:rPr>
          <w:sz w:val="24"/>
          <w:szCs w:val="24"/>
        </w:rPr>
        <w:t>Hos patienter med nedsat lever- eller nyrefunktion eller Gilberts syndrom skal dosis reduceres eller doseringsintervallet forlænges.</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Hos patienter med nyreinsufficiens,</w:t>
      </w:r>
      <w:r>
        <w:rPr>
          <w:sz w:val="24"/>
          <w:szCs w:val="24"/>
        </w:rPr>
        <w:t xml:space="preserve"> skal dosis reduceres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694"/>
      </w:tblGrid>
      <w:tr w:rsidR="00762DFB" w:rsidRPr="00730AC1" w:rsidTr="003B4BCE">
        <w:tc>
          <w:tcPr>
            <w:tcW w:w="2551"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proofErr w:type="spellStart"/>
            <w:r w:rsidRPr="00730AC1">
              <w:rPr>
                <w:sz w:val="24"/>
                <w:szCs w:val="24"/>
              </w:rPr>
              <w:t>Glomerulær</w:t>
            </w:r>
            <w:proofErr w:type="spellEnd"/>
            <w:r w:rsidRPr="00730AC1">
              <w:rPr>
                <w:sz w:val="24"/>
                <w:szCs w:val="24"/>
              </w:rPr>
              <w:t xml:space="preserve"> filtration</w:t>
            </w:r>
          </w:p>
        </w:tc>
        <w:tc>
          <w:tcPr>
            <w:tcW w:w="2694"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Dosis</w:t>
            </w:r>
          </w:p>
        </w:tc>
      </w:tr>
      <w:tr w:rsidR="00762DFB" w:rsidRPr="00730AC1" w:rsidTr="003B4BCE">
        <w:tc>
          <w:tcPr>
            <w:tcW w:w="2551"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10-50 ml/min</w:t>
            </w:r>
          </w:p>
        </w:tc>
        <w:tc>
          <w:tcPr>
            <w:tcW w:w="2694"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500 mg hver 6. time</w:t>
            </w:r>
          </w:p>
        </w:tc>
      </w:tr>
      <w:tr w:rsidR="00762DFB" w:rsidRPr="00730AC1" w:rsidTr="003B4BCE">
        <w:tc>
          <w:tcPr>
            <w:tcW w:w="2551"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&lt; 10 ml/min</w:t>
            </w:r>
          </w:p>
        </w:tc>
        <w:tc>
          <w:tcPr>
            <w:tcW w:w="2694" w:type="dxa"/>
            <w:tcBorders>
              <w:top w:val="single" w:sz="4" w:space="0" w:color="auto"/>
              <w:left w:val="single" w:sz="4" w:space="0" w:color="auto"/>
              <w:bottom w:val="single" w:sz="4" w:space="0" w:color="auto"/>
              <w:right w:val="single" w:sz="4" w:space="0" w:color="auto"/>
            </w:tcBorders>
            <w:hideMark/>
          </w:tcPr>
          <w:p w:rsidR="00762DFB" w:rsidRPr="00730AC1" w:rsidRDefault="00762DFB" w:rsidP="003B4BCE">
            <w:pPr>
              <w:rPr>
                <w:sz w:val="24"/>
                <w:szCs w:val="24"/>
              </w:rPr>
            </w:pPr>
            <w:r w:rsidRPr="00730AC1">
              <w:rPr>
                <w:sz w:val="24"/>
                <w:szCs w:val="24"/>
              </w:rPr>
              <w:t>500 mg hver 8. time</w:t>
            </w:r>
          </w:p>
        </w:tc>
      </w:tr>
    </w:tbl>
    <w:p w:rsidR="00762DFB" w:rsidRPr="00730AC1" w:rsidRDefault="00762DFB" w:rsidP="00762DFB">
      <w:pPr>
        <w:ind w:left="851"/>
        <w:rPr>
          <w:sz w:val="24"/>
          <w:szCs w:val="24"/>
        </w:rPr>
      </w:pPr>
    </w:p>
    <w:p w:rsidR="00762DFB" w:rsidRPr="00730AC1" w:rsidRDefault="00762DFB" w:rsidP="00762DFB">
      <w:pPr>
        <w:ind w:left="851"/>
        <w:rPr>
          <w:i/>
          <w:sz w:val="24"/>
          <w:szCs w:val="24"/>
          <w:u w:val="single"/>
        </w:rPr>
      </w:pPr>
      <w:r w:rsidRPr="00730AC1">
        <w:rPr>
          <w:sz w:val="24"/>
          <w:szCs w:val="24"/>
          <w:u w:val="single"/>
        </w:rPr>
        <w:t>Børn og unge med lav kropsvægt</w:t>
      </w:r>
    </w:p>
    <w:p w:rsidR="00762DFB" w:rsidRPr="00730AC1" w:rsidRDefault="00762DFB" w:rsidP="00762DFB">
      <w:pPr>
        <w:ind w:left="851"/>
        <w:rPr>
          <w:sz w:val="24"/>
          <w:szCs w:val="24"/>
        </w:rPr>
      </w:pPr>
      <w:r w:rsidRPr="00730AC1">
        <w:rPr>
          <w:sz w:val="24"/>
          <w:szCs w:val="24"/>
        </w:rPr>
        <w:t xml:space="preserve">Paracetamol </w:t>
      </w:r>
      <w:r>
        <w:rPr>
          <w:sz w:val="24"/>
          <w:szCs w:val="24"/>
        </w:rPr>
        <w:t>"</w:t>
      </w:r>
      <w:proofErr w:type="spellStart"/>
      <w:r>
        <w:rPr>
          <w:sz w:val="24"/>
          <w:szCs w:val="24"/>
        </w:rPr>
        <w:t>Orifarm</w:t>
      </w:r>
      <w:proofErr w:type="spellEnd"/>
      <w:r>
        <w:rPr>
          <w:sz w:val="24"/>
          <w:szCs w:val="24"/>
        </w:rPr>
        <w:t>"</w:t>
      </w:r>
      <w:r w:rsidRPr="00730AC1">
        <w:rPr>
          <w:sz w:val="24"/>
          <w:szCs w:val="24"/>
        </w:rPr>
        <w:t xml:space="preserve"> anbefales ikke til brug hos børn under 3 år eller under 15 kg kropsvægt, da doseringsstyrken ikke er egnet til denne aldersgruppe. Der er andre mere passende doseringsstyrker og/eller formuleringer til rådighed for børn med lav kropsvægt eller for børn som ikke kan sluge en tablet.</w:t>
      </w:r>
    </w:p>
    <w:p w:rsidR="00762DFB" w:rsidRPr="00730AC1" w:rsidRDefault="00762DFB" w:rsidP="00762DFB">
      <w:pPr>
        <w:ind w:left="851"/>
        <w:rPr>
          <w:sz w:val="24"/>
          <w:szCs w:val="24"/>
        </w:rPr>
      </w:pPr>
    </w:p>
    <w:p w:rsidR="00762DFB" w:rsidRPr="001E5158" w:rsidRDefault="00762DFB" w:rsidP="00762DFB">
      <w:pPr>
        <w:ind w:left="851"/>
        <w:rPr>
          <w:b/>
          <w:sz w:val="24"/>
          <w:szCs w:val="24"/>
        </w:rPr>
      </w:pPr>
      <w:r>
        <w:rPr>
          <w:b/>
          <w:sz w:val="24"/>
          <w:szCs w:val="24"/>
        </w:rPr>
        <w:t>Administration</w:t>
      </w:r>
    </w:p>
    <w:p w:rsidR="00762DFB" w:rsidRPr="00730AC1" w:rsidRDefault="00762DFB" w:rsidP="00762DFB">
      <w:pPr>
        <w:ind w:left="851"/>
        <w:rPr>
          <w:sz w:val="24"/>
          <w:szCs w:val="24"/>
        </w:rPr>
      </w:pPr>
      <w:r w:rsidRPr="00730AC1">
        <w:rPr>
          <w:sz w:val="24"/>
          <w:szCs w:val="24"/>
        </w:rPr>
        <w:t>Oral anvendelse.</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4.3</w:t>
      </w:r>
      <w:r w:rsidRPr="00730AC1">
        <w:rPr>
          <w:b/>
          <w:sz w:val="24"/>
          <w:szCs w:val="24"/>
        </w:rPr>
        <w:tab/>
        <w:t>Kontraindikationer</w:t>
      </w:r>
    </w:p>
    <w:p w:rsidR="00762DFB" w:rsidRPr="00730AC1" w:rsidRDefault="00762DFB" w:rsidP="00762DFB">
      <w:pPr>
        <w:numPr>
          <w:ilvl w:val="0"/>
          <w:numId w:val="6"/>
        </w:numPr>
        <w:ind w:left="1134" w:hanging="283"/>
        <w:rPr>
          <w:sz w:val="24"/>
          <w:szCs w:val="24"/>
        </w:rPr>
      </w:pPr>
      <w:r w:rsidRPr="00730AC1">
        <w:rPr>
          <w:sz w:val="24"/>
          <w:szCs w:val="24"/>
        </w:rPr>
        <w:t xml:space="preserve">Overfølsomhed over for </w:t>
      </w:r>
      <w:r>
        <w:rPr>
          <w:sz w:val="24"/>
          <w:szCs w:val="24"/>
        </w:rPr>
        <w:t>det aktive stof</w:t>
      </w:r>
      <w:r w:rsidRPr="00730AC1">
        <w:rPr>
          <w:sz w:val="24"/>
          <w:szCs w:val="24"/>
        </w:rPr>
        <w:t xml:space="preserve"> eller over for et e</w:t>
      </w:r>
      <w:r>
        <w:rPr>
          <w:sz w:val="24"/>
          <w:szCs w:val="24"/>
        </w:rPr>
        <w:t>ller flere af hjælpestofferne anført i pkt. 6.1.</w:t>
      </w:r>
    </w:p>
    <w:p w:rsidR="00762DFB" w:rsidRPr="00730AC1" w:rsidRDefault="00762DFB" w:rsidP="00762DFB">
      <w:pPr>
        <w:numPr>
          <w:ilvl w:val="0"/>
          <w:numId w:val="6"/>
        </w:numPr>
        <w:ind w:left="1134" w:hanging="283"/>
        <w:rPr>
          <w:sz w:val="24"/>
          <w:szCs w:val="24"/>
        </w:rPr>
      </w:pPr>
      <w:r w:rsidRPr="00730AC1">
        <w:rPr>
          <w:sz w:val="24"/>
          <w:szCs w:val="24"/>
        </w:rPr>
        <w:t>Alvorlig leverinsufficiens.</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4.4</w:t>
      </w:r>
      <w:r w:rsidRPr="00730AC1">
        <w:rPr>
          <w:b/>
          <w:sz w:val="24"/>
          <w:szCs w:val="24"/>
        </w:rPr>
        <w:tab/>
        <w:t>Særlige advarsler og forsigtighedsregler vedrørende brugen</w:t>
      </w:r>
    </w:p>
    <w:p w:rsidR="00762DFB" w:rsidRPr="00730AC1" w:rsidRDefault="00762DFB" w:rsidP="00762DFB">
      <w:pPr>
        <w:ind w:left="851"/>
        <w:rPr>
          <w:sz w:val="24"/>
          <w:szCs w:val="24"/>
        </w:rPr>
      </w:pPr>
      <w:r w:rsidRPr="00730AC1">
        <w:rPr>
          <w:sz w:val="24"/>
          <w:szCs w:val="24"/>
        </w:rPr>
        <w:t>I tilfælde af høj feber, tegn på sekundær infektion eller vedvarende symptomer ud over 3 dage, skal en læge konsulteres.</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Generelt må lægemidler, der indeholder paracetamol, kun tages i nogle få dage uden en læges eller tandlæges konsultation og ikke ved høje doser.</w:t>
      </w:r>
    </w:p>
    <w:p w:rsidR="00762DFB" w:rsidRPr="00730AC1" w:rsidRDefault="00762DFB" w:rsidP="00762DFB">
      <w:pPr>
        <w:ind w:left="851"/>
        <w:rPr>
          <w:sz w:val="24"/>
          <w:szCs w:val="24"/>
        </w:rPr>
      </w:pPr>
    </w:p>
    <w:p w:rsidR="00137014" w:rsidRDefault="00137014" w:rsidP="00137014">
      <w:pPr>
        <w:ind w:left="851"/>
        <w:rPr>
          <w:sz w:val="24"/>
          <w:szCs w:val="24"/>
        </w:rPr>
      </w:pPr>
      <w:r w:rsidRPr="005B0685">
        <w:rPr>
          <w:sz w:val="24"/>
          <w:szCs w:val="24"/>
        </w:rPr>
        <w:t xml:space="preserve">Der bør udvises forsigtighed hos astmapatienter, der er følsomme over for acetylsalicylsyre, idet der er rapporteret milde reaktioner med </w:t>
      </w:r>
      <w:proofErr w:type="spellStart"/>
      <w:r w:rsidRPr="005B0685">
        <w:rPr>
          <w:sz w:val="24"/>
          <w:szCs w:val="24"/>
        </w:rPr>
        <w:t>bronkospasme</w:t>
      </w:r>
      <w:proofErr w:type="spellEnd"/>
      <w:r>
        <w:rPr>
          <w:sz w:val="24"/>
          <w:szCs w:val="24"/>
        </w:rPr>
        <w:t xml:space="preserve"> ved behandling med</w:t>
      </w:r>
      <w:r w:rsidRPr="005B0685">
        <w:rPr>
          <w:sz w:val="24"/>
          <w:szCs w:val="24"/>
        </w:rPr>
        <w:t xml:space="preserve"> paracetamol (krydsreaktion).</w:t>
      </w:r>
    </w:p>
    <w:p w:rsidR="00137014" w:rsidRPr="00FC794A" w:rsidRDefault="00137014" w:rsidP="00137014">
      <w:pPr>
        <w:ind w:left="851"/>
        <w:rPr>
          <w:sz w:val="24"/>
          <w:szCs w:val="24"/>
        </w:rPr>
      </w:pPr>
    </w:p>
    <w:p w:rsidR="00137014" w:rsidRPr="00730AC1" w:rsidRDefault="00137014" w:rsidP="00137014">
      <w:pPr>
        <w:ind w:left="851"/>
        <w:rPr>
          <w:sz w:val="24"/>
          <w:szCs w:val="24"/>
        </w:rPr>
      </w:pPr>
      <w:r w:rsidRPr="00730AC1">
        <w:rPr>
          <w:sz w:val="24"/>
          <w:szCs w:val="24"/>
        </w:rPr>
        <w:t>Patienter skal rådgives om ikke samtidigt at tage andre lægemidler, som indeholder paracetamol.</w:t>
      </w:r>
      <w:r>
        <w:rPr>
          <w:sz w:val="24"/>
          <w:szCs w:val="24"/>
        </w:rPr>
        <w:t xml:space="preserve"> </w:t>
      </w:r>
      <w:r w:rsidRPr="00254634">
        <w:rPr>
          <w:sz w:val="24"/>
          <w:szCs w:val="24"/>
        </w:rPr>
        <w:t>Samtidig brug med andre lægemidler, der også indeholder paracetamol kan føre til en overdosis.</w:t>
      </w:r>
    </w:p>
    <w:p w:rsidR="00137014" w:rsidRPr="00730AC1" w:rsidRDefault="00137014" w:rsidP="00137014">
      <w:pPr>
        <w:ind w:left="851"/>
        <w:rPr>
          <w:sz w:val="24"/>
          <w:szCs w:val="24"/>
        </w:rPr>
      </w:pPr>
    </w:p>
    <w:p w:rsidR="00137014" w:rsidRDefault="00137014" w:rsidP="00137014">
      <w:pPr>
        <w:ind w:left="851"/>
        <w:rPr>
          <w:sz w:val="24"/>
          <w:szCs w:val="24"/>
        </w:rPr>
      </w:pPr>
      <w:r w:rsidRPr="00254634">
        <w:rPr>
          <w:sz w:val="24"/>
          <w:szCs w:val="24"/>
        </w:rPr>
        <w:lastRenderedPageBreak/>
        <w:t>Overdosis med paracetamol kan medføre leversvigt, der kan kræve levertransplantation eller medføre død.</w:t>
      </w:r>
    </w:p>
    <w:p w:rsidR="00137014" w:rsidRDefault="00137014" w:rsidP="00137014">
      <w:pPr>
        <w:ind w:left="851"/>
        <w:rPr>
          <w:sz w:val="24"/>
          <w:szCs w:val="24"/>
        </w:rPr>
      </w:pPr>
    </w:p>
    <w:p w:rsidR="00137014" w:rsidRDefault="00137014" w:rsidP="00137014">
      <w:pPr>
        <w:ind w:left="851"/>
        <w:rPr>
          <w:sz w:val="24"/>
          <w:szCs w:val="24"/>
        </w:rPr>
      </w:pPr>
      <w:r w:rsidRPr="00254634">
        <w:rPr>
          <w:sz w:val="24"/>
          <w:szCs w:val="24"/>
        </w:rPr>
        <w:t xml:space="preserve">En underliggende leversygdom kan øge risikoen for paracetamol-relateret leverskade. Patienter, der er diagnosticeret med lever- eller nyreinsufficiens skal søge lægehjælp før de anvender </w:t>
      </w:r>
      <w:r>
        <w:rPr>
          <w:sz w:val="24"/>
          <w:szCs w:val="24"/>
        </w:rPr>
        <w:t>paracetamol</w:t>
      </w:r>
      <w:r w:rsidRPr="00254634">
        <w:rPr>
          <w:sz w:val="24"/>
          <w:szCs w:val="24"/>
        </w:rPr>
        <w:t>.</w:t>
      </w:r>
    </w:p>
    <w:p w:rsidR="00137014" w:rsidRPr="00730AC1" w:rsidRDefault="00137014" w:rsidP="00137014">
      <w:pPr>
        <w:ind w:left="851"/>
        <w:rPr>
          <w:sz w:val="24"/>
          <w:szCs w:val="24"/>
        </w:rPr>
      </w:pPr>
    </w:p>
    <w:p w:rsidR="00137014" w:rsidRDefault="00137014" w:rsidP="00137014">
      <w:pPr>
        <w:ind w:left="851"/>
        <w:rPr>
          <w:sz w:val="24"/>
          <w:szCs w:val="24"/>
        </w:rPr>
      </w:pPr>
      <w:r w:rsidRPr="00730AC1">
        <w:rPr>
          <w:sz w:val="24"/>
          <w:szCs w:val="24"/>
        </w:rPr>
        <w:t xml:space="preserve">Der bør udvises forsigtighed, når paracetamol gives til patienter med svær nyre- eller leverinsufficiens eller svær </w:t>
      </w:r>
      <w:proofErr w:type="spellStart"/>
      <w:r w:rsidRPr="00730AC1">
        <w:rPr>
          <w:sz w:val="24"/>
          <w:szCs w:val="24"/>
        </w:rPr>
        <w:t>hæmolytisk</w:t>
      </w:r>
      <w:proofErr w:type="spellEnd"/>
      <w:r w:rsidRPr="00730AC1">
        <w:rPr>
          <w:sz w:val="24"/>
          <w:szCs w:val="24"/>
        </w:rPr>
        <w:t xml:space="preserve"> anæmi. Risikoen for overdosering er større ved patienter med ikke-</w:t>
      </w:r>
      <w:proofErr w:type="spellStart"/>
      <w:r w:rsidRPr="00730AC1">
        <w:rPr>
          <w:sz w:val="24"/>
          <w:szCs w:val="24"/>
        </w:rPr>
        <w:t>cirrotisk</w:t>
      </w:r>
      <w:proofErr w:type="spellEnd"/>
      <w:r w:rsidRPr="00730AC1">
        <w:rPr>
          <w:sz w:val="24"/>
          <w:szCs w:val="24"/>
        </w:rPr>
        <w:t xml:space="preserve"> alkoholisk leversygdom. Hos patienter med alkoholmisbrug skal dosis reduceres. I sådanne tilfælde må den daglige dosis ikke overskride </w:t>
      </w:r>
      <w:smartTag w:uri="urn:schemas-microsoft-com:office:smarttags" w:element="metricconverter">
        <w:smartTagPr>
          <w:attr w:name="ProductID" w:val="2 gram"/>
        </w:smartTagPr>
        <w:r w:rsidRPr="00730AC1">
          <w:rPr>
            <w:sz w:val="24"/>
            <w:szCs w:val="24"/>
          </w:rPr>
          <w:t>2 gram</w:t>
        </w:r>
      </w:smartTag>
      <w:r>
        <w:rPr>
          <w:sz w:val="24"/>
          <w:szCs w:val="24"/>
        </w:rPr>
        <w:t>.</w:t>
      </w:r>
    </w:p>
    <w:p w:rsidR="00137014" w:rsidRPr="00730AC1" w:rsidRDefault="00137014" w:rsidP="00137014">
      <w:pPr>
        <w:ind w:left="851"/>
        <w:rPr>
          <w:sz w:val="24"/>
          <w:szCs w:val="24"/>
        </w:rPr>
      </w:pPr>
    </w:p>
    <w:p w:rsidR="00137014" w:rsidRDefault="00137014" w:rsidP="00137014">
      <w:pPr>
        <w:ind w:left="851"/>
        <w:rPr>
          <w:sz w:val="24"/>
          <w:szCs w:val="24"/>
        </w:rPr>
      </w:pPr>
      <w:r w:rsidRPr="00730AC1">
        <w:rPr>
          <w:sz w:val="24"/>
          <w:szCs w:val="24"/>
        </w:rPr>
        <w:t xml:space="preserve">Der bør udvises forsigtighed, når paracetamol anvendes i kombination med CYP3A4-induktorer eller anvendelse af stoffer, som inducerer leverenzymer (f.eks. </w:t>
      </w:r>
      <w:proofErr w:type="spellStart"/>
      <w:r w:rsidRPr="00730AC1">
        <w:rPr>
          <w:sz w:val="24"/>
          <w:szCs w:val="24"/>
        </w:rPr>
        <w:t>rifampicin</w:t>
      </w:r>
      <w:proofErr w:type="spellEnd"/>
      <w:r w:rsidRPr="00730AC1">
        <w:rPr>
          <w:sz w:val="24"/>
          <w:szCs w:val="24"/>
        </w:rPr>
        <w:t xml:space="preserve">, </w:t>
      </w:r>
      <w:proofErr w:type="spellStart"/>
      <w:r w:rsidRPr="00730AC1">
        <w:rPr>
          <w:sz w:val="24"/>
          <w:szCs w:val="24"/>
        </w:rPr>
        <w:t>cimetidin</w:t>
      </w:r>
      <w:proofErr w:type="spellEnd"/>
      <w:r w:rsidRPr="00730AC1">
        <w:rPr>
          <w:sz w:val="24"/>
          <w:szCs w:val="24"/>
        </w:rPr>
        <w:t xml:space="preserve">, </w:t>
      </w:r>
      <w:proofErr w:type="spellStart"/>
      <w:r w:rsidRPr="00730AC1">
        <w:rPr>
          <w:sz w:val="24"/>
          <w:szCs w:val="24"/>
        </w:rPr>
        <w:t>antiepileptika</w:t>
      </w:r>
      <w:proofErr w:type="spellEnd"/>
      <w:r w:rsidRPr="00730AC1">
        <w:rPr>
          <w:sz w:val="24"/>
          <w:szCs w:val="24"/>
        </w:rPr>
        <w:t xml:space="preserve"> som f.eks. </w:t>
      </w:r>
      <w:proofErr w:type="spellStart"/>
      <w:r w:rsidRPr="00730AC1">
        <w:rPr>
          <w:sz w:val="24"/>
          <w:szCs w:val="24"/>
        </w:rPr>
        <w:t>gluthetimide</w:t>
      </w:r>
      <w:proofErr w:type="spellEnd"/>
      <w:r w:rsidRPr="00730AC1">
        <w:rPr>
          <w:sz w:val="24"/>
          <w:szCs w:val="24"/>
        </w:rPr>
        <w:t xml:space="preserve">, </w:t>
      </w:r>
      <w:proofErr w:type="spellStart"/>
      <w:r w:rsidRPr="00730AC1">
        <w:rPr>
          <w:sz w:val="24"/>
          <w:szCs w:val="24"/>
        </w:rPr>
        <w:t>fenobarbital</w:t>
      </w:r>
      <w:proofErr w:type="spellEnd"/>
      <w:r w:rsidRPr="00730AC1">
        <w:rPr>
          <w:sz w:val="24"/>
          <w:szCs w:val="24"/>
        </w:rPr>
        <w:t xml:space="preserve">, </w:t>
      </w:r>
      <w:proofErr w:type="spellStart"/>
      <w:r w:rsidRPr="00730AC1">
        <w:rPr>
          <w:sz w:val="24"/>
          <w:szCs w:val="24"/>
        </w:rPr>
        <w:t>carbamazepin</w:t>
      </w:r>
      <w:proofErr w:type="spellEnd"/>
      <w:r w:rsidRPr="00730AC1">
        <w:rPr>
          <w:sz w:val="24"/>
          <w:szCs w:val="24"/>
        </w:rPr>
        <w:t>).</w:t>
      </w:r>
    </w:p>
    <w:p w:rsidR="00137014" w:rsidRDefault="00137014" w:rsidP="00137014">
      <w:pPr>
        <w:ind w:left="851"/>
        <w:rPr>
          <w:sz w:val="24"/>
          <w:szCs w:val="24"/>
        </w:rPr>
      </w:pPr>
    </w:p>
    <w:p w:rsidR="00137014" w:rsidRPr="00730AC1" w:rsidRDefault="00137014" w:rsidP="00137014">
      <w:pPr>
        <w:ind w:left="851"/>
        <w:rPr>
          <w:sz w:val="24"/>
          <w:szCs w:val="24"/>
        </w:rPr>
      </w:pPr>
      <w:r w:rsidRPr="00254634">
        <w:rPr>
          <w:sz w:val="24"/>
          <w:szCs w:val="24"/>
        </w:rPr>
        <w:t xml:space="preserve">Tilfælde af nedsat leverfunktion/leversvigt ved maksimale terapeutiske doser af paracetamol er rapporteret hos patienter med underskud af </w:t>
      </w:r>
      <w:proofErr w:type="spellStart"/>
      <w:r w:rsidRPr="00254634">
        <w:rPr>
          <w:sz w:val="24"/>
          <w:szCs w:val="24"/>
        </w:rPr>
        <w:t>glutathion</w:t>
      </w:r>
      <w:proofErr w:type="spellEnd"/>
      <w:r w:rsidRPr="00254634">
        <w:rPr>
          <w:sz w:val="24"/>
          <w:szCs w:val="24"/>
        </w:rPr>
        <w:t>, såsom hos patienter, der er kraftigt fejlernærede, har anoreksi, lavt BMI, er kroniske alkoholmisbrugere eller har sepsis. Hos sådanne patienter frarådes vedvarende brug og maksimale doser på grund af risiko for toksiske leverreaktioner, og paracetamol bør anvendes i laveste effektive dosis.</w:t>
      </w:r>
    </w:p>
    <w:p w:rsidR="00137014" w:rsidRPr="004B1C13" w:rsidRDefault="00137014" w:rsidP="00137014">
      <w:pPr>
        <w:ind w:left="851"/>
        <w:rPr>
          <w:sz w:val="24"/>
          <w:szCs w:val="24"/>
        </w:rPr>
      </w:pPr>
    </w:p>
    <w:p w:rsidR="00137014" w:rsidRPr="004B1C13" w:rsidRDefault="00137014" w:rsidP="00137014">
      <w:pPr>
        <w:ind w:left="851"/>
        <w:rPr>
          <w:sz w:val="24"/>
          <w:szCs w:val="24"/>
        </w:rPr>
      </w:pPr>
      <w:r w:rsidRPr="004B1C13">
        <w:rPr>
          <w:sz w:val="24"/>
          <w:szCs w:val="24"/>
        </w:rPr>
        <w:t xml:space="preserve">Hos patienter med underskud af </w:t>
      </w:r>
      <w:proofErr w:type="spellStart"/>
      <w:r w:rsidRPr="004B1C13">
        <w:rPr>
          <w:sz w:val="24"/>
          <w:szCs w:val="24"/>
        </w:rPr>
        <w:t>glutathion</w:t>
      </w:r>
      <w:proofErr w:type="spellEnd"/>
      <w:r w:rsidRPr="004B1C13">
        <w:rPr>
          <w:sz w:val="24"/>
          <w:szCs w:val="24"/>
        </w:rPr>
        <w:t xml:space="preserve"> kan brugen af paracetamol øge risikoen for metabolisk </w:t>
      </w:r>
      <w:proofErr w:type="spellStart"/>
      <w:r w:rsidRPr="004B1C13">
        <w:rPr>
          <w:sz w:val="24"/>
          <w:szCs w:val="24"/>
        </w:rPr>
        <w:t>acidose</w:t>
      </w:r>
      <w:proofErr w:type="spellEnd"/>
      <w:r w:rsidRPr="004B1C13">
        <w:rPr>
          <w:sz w:val="24"/>
          <w:szCs w:val="24"/>
        </w:rPr>
        <w:t xml:space="preserve">. </w:t>
      </w:r>
    </w:p>
    <w:p w:rsidR="00762DFB" w:rsidRPr="004B1C13"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Efter langvarig, ukorrekt brug af </w:t>
      </w:r>
      <w:proofErr w:type="spellStart"/>
      <w:r w:rsidRPr="00730AC1">
        <w:rPr>
          <w:sz w:val="24"/>
          <w:szCs w:val="24"/>
        </w:rPr>
        <w:t>analgetika</w:t>
      </w:r>
      <w:proofErr w:type="spellEnd"/>
      <w:r w:rsidRPr="00730AC1">
        <w:rPr>
          <w:sz w:val="24"/>
          <w:szCs w:val="24"/>
        </w:rPr>
        <w:t xml:space="preserve"> ved høj dosis, kan der opstå hovedpine, som ikke må behandles med højere doser af lægemidlet.</w:t>
      </w:r>
    </w:p>
    <w:p w:rsidR="00762DFB" w:rsidRPr="00730AC1" w:rsidRDefault="00762DFB" w:rsidP="00762DFB">
      <w:pPr>
        <w:ind w:left="851"/>
        <w:rPr>
          <w:sz w:val="24"/>
          <w:szCs w:val="24"/>
        </w:rPr>
      </w:pPr>
      <w:r w:rsidRPr="00730AC1">
        <w:rPr>
          <w:sz w:val="24"/>
          <w:szCs w:val="24"/>
        </w:rPr>
        <w:t xml:space="preserve">Generelt kan vanemæssig indtagelse af </w:t>
      </w:r>
      <w:proofErr w:type="spellStart"/>
      <w:r w:rsidRPr="00730AC1">
        <w:rPr>
          <w:sz w:val="24"/>
          <w:szCs w:val="24"/>
        </w:rPr>
        <w:t>analgetika</w:t>
      </w:r>
      <w:proofErr w:type="spellEnd"/>
      <w:r w:rsidRPr="00730AC1">
        <w:rPr>
          <w:sz w:val="24"/>
          <w:szCs w:val="24"/>
        </w:rPr>
        <w:t xml:space="preserve">, særligt i kombination med flere analgetiske stoffer, føre til permanent nyreskade med risiko for nyresvigt (analgetisk </w:t>
      </w:r>
      <w:proofErr w:type="spellStart"/>
      <w:r w:rsidRPr="00730AC1">
        <w:rPr>
          <w:sz w:val="24"/>
          <w:szCs w:val="24"/>
        </w:rPr>
        <w:t>nefropati</w:t>
      </w:r>
      <w:proofErr w:type="spellEnd"/>
      <w:r w:rsidRPr="00730AC1">
        <w:rPr>
          <w:sz w:val="24"/>
          <w:szCs w:val="24"/>
        </w:rPr>
        <w:t>).</w:t>
      </w:r>
    </w:p>
    <w:p w:rsidR="00762DFB" w:rsidRPr="00730AC1" w:rsidRDefault="00762DFB" w:rsidP="00762DFB">
      <w:pPr>
        <w:ind w:left="851"/>
        <w:rPr>
          <w:sz w:val="24"/>
          <w:szCs w:val="24"/>
        </w:rPr>
      </w:pPr>
      <w:r w:rsidRPr="00730AC1">
        <w:rPr>
          <w:sz w:val="24"/>
          <w:szCs w:val="24"/>
        </w:rPr>
        <w:t xml:space="preserve">Langvarig eller hyppig anvendelse frarådes. Hvis der tages flere daglige doser i én administration, kan det beskadige leveren; i sådanne tilfælde opstår der ikke bevidstløshed. Der skal imidlertid straks søges lægehjælp. Langvarig brug undtagen under medicinsk opsyn, kan være skadeligt. Hos børn, der behandles med 60 mg/kg paracetamol </w:t>
      </w:r>
      <w:r>
        <w:rPr>
          <w:sz w:val="24"/>
          <w:szCs w:val="24"/>
        </w:rPr>
        <w:t>daglig</w:t>
      </w:r>
      <w:r w:rsidRPr="00730AC1">
        <w:rPr>
          <w:sz w:val="24"/>
          <w:szCs w:val="24"/>
        </w:rPr>
        <w:t xml:space="preserve">, er kombinationen med et andet </w:t>
      </w:r>
      <w:proofErr w:type="spellStart"/>
      <w:r w:rsidRPr="00730AC1">
        <w:rPr>
          <w:sz w:val="24"/>
          <w:szCs w:val="24"/>
        </w:rPr>
        <w:t>antipyretisk</w:t>
      </w:r>
      <w:proofErr w:type="spellEnd"/>
      <w:r w:rsidRPr="00730AC1">
        <w:rPr>
          <w:sz w:val="24"/>
          <w:szCs w:val="24"/>
        </w:rPr>
        <w:t xml:space="preserve"> lægemiddel ikke berettiget undtagen hvis midlet er virksomt.</w:t>
      </w:r>
    </w:p>
    <w:p w:rsidR="00762DFB" w:rsidRPr="00730AC1" w:rsidRDefault="00762DFB" w:rsidP="00762DFB">
      <w:pPr>
        <w:ind w:left="851"/>
        <w:rPr>
          <w:sz w:val="24"/>
          <w:szCs w:val="24"/>
        </w:rPr>
      </w:pPr>
      <w:r w:rsidRPr="00730AC1">
        <w:rPr>
          <w:sz w:val="24"/>
          <w:szCs w:val="24"/>
        </w:rPr>
        <w:t xml:space="preserve">Pludselig </w:t>
      </w:r>
      <w:proofErr w:type="spellStart"/>
      <w:r w:rsidRPr="00730AC1">
        <w:rPr>
          <w:sz w:val="24"/>
          <w:szCs w:val="24"/>
        </w:rPr>
        <w:t>seponering</w:t>
      </w:r>
      <w:proofErr w:type="spellEnd"/>
      <w:r w:rsidRPr="00730AC1">
        <w:rPr>
          <w:sz w:val="24"/>
          <w:szCs w:val="24"/>
        </w:rPr>
        <w:t xml:space="preserve"> efter langvarig, forkert anvendelse af </w:t>
      </w:r>
      <w:proofErr w:type="spellStart"/>
      <w:r w:rsidRPr="00730AC1">
        <w:rPr>
          <w:sz w:val="24"/>
          <w:szCs w:val="24"/>
        </w:rPr>
        <w:t>analgetika</w:t>
      </w:r>
      <w:proofErr w:type="spellEnd"/>
      <w:r w:rsidRPr="00730AC1">
        <w:rPr>
          <w:sz w:val="24"/>
          <w:szCs w:val="24"/>
        </w:rPr>
        <w:t xml:space="preserve"> ved høje doser kan føre til hovedpine, træthed, muskelsmerter, nervøsitet og autonome symptomer. Disse abstinenssymptomer forsvinder efter nogle få dage. Indtil dette tidspunkt skal yderligere indtagelse af </w:t>
      </w:r>
      <w:proofErr w:type="spellStart"/>
      <w:r w:rsidRPr="00730AC1">
        <w:rPr>
          <w:sz w:val="24"/>
          <w:szCs w:val="24"/>
        </w:rPr>
        <w:t>analgetika</w:t>
      </w:r>
      <w:proofErr w:type="spellEnd"/>
      <w:r w:rsidRPr="00730AC1">
        <w:rPr>
          <w:sz w:val="24"/>
          <w:szCs w:val="24"/>
        </w:rPr>
        <w:t xml:space="preserve"> undgås og ikke påbegyndes igen uden lægelig rådgivning.</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4.5</w:t>
      </w:r>
      <w:r w:rsidRPr="00730AC1">
        <w:rPr>
          <w:b/>
          <w:sz w:val="24"/>
          <w:szCs w:val="24"/>
        </w:rPr>
        <w:tab/>
        <w:t>Interaktion med andre lægemidler og andre former for interaktion</w:t>
      </w:r>
    </w:p>
    <w:p w:rsidR="00762DFB" w:rsidRDefault="00762DFB" w:rsidP="00762DFB">
      <w:pPr>
        <w:ind w:left="851"/>
        <w:rPr>
          <w:sz w:val="24"/>
          <w:szCs w:val="24"/>
        </w:rPr>
      </w:pPr>
      <w:r w:rsidRPr="00730AC1">
        <w:rPr>
          <w:sz w:val="24"/>
          <w:szCs w:val="24"/>
        </w:rPr>
        <w:t xml:space="preserve">Den </w:t>
      </w:r>
      <w:proofErr w:type="spellStart"/>
      <w:r w:rsidRPr="00730AC1">
        <w:rPr>
          <w:sz w:val="24"/>
          <w:szCs w:val="24"/>
        </w:rPr>
        <w:t>antikoagulative</w:t>
      </w:r>
      <w:proofErr w:type="spellEnd"/>
      <w:r w:rsidRPr="00730AC1">
        <w:rPr>
          <w:sz w:val="24"/>
          <w:szCs w:val="24"/>
        </w:rPr>
        <w:t xml:space="preserve"> effekt af </w:t>
      </w:r>
      <w:proofErr w:type="spellStart"/>
      <w:r w:rsidRPr="00730AC1">
        <w:rPr>
          <w:sz w:val="24"/>
          <w:szCs w:val="24"/>
        </w:rPr>
        <w:t>warfarin</w:t>
      </w:r>
      <w:proofErr w:type="spellEnd"/>
      <w:r w:rsidRPr="00730AC1">
        <w:rPr>
          <w:sz w:val="24"/>
          <w:szCs w:val="24"/>
        </w:rPr>
        <w:t xml:space="preserve"> og andre </w:t>
      </w:r>
      <w:proofErr w:type="spellStart"/>
      <w:r w:rsidRPr="00730AC1">
        <w:rPr>
          <w:sz w:val="24"/>
          <w:szCs w:val="24"/>
        </w:rPr>
        <w:t>coumariner</w:t>
      </w:r>
      <w:proofErr w:type="spellEnd"/>
      <w:r w:rsidRPr="00730AC1">
        <w:rPr>
          <w:sz w:val="24"/>
          <w:szCs w:val="24"/>
        </w:rPr>
        <w:t xml:space="preserve"> kan øges ved langvarigt regelmæssigt </w:t>
      </w:r>
      <w:r>
        <w:rPr>
          <w:sz w:val="24"/>
          <w:szCs w:val="24"/>
        </w:rPr>
        <w:t>daglig</w:t>
      </w:r>
      <w:r w:rsidRPr="00730AC1">
        <w:rPr>
          <w:sz w:val="24"/>
          <w:szCs w:val="24"/>
        </w:rPr>
        <w:t xml:space="preserve"> indtag af paracetamol, hvilket øger risikoen for blødninger. Interaktionen afhænger af dosis, men kan forekomme allerede ved daglige doser på</w:t>
      </w:r>
    </w:p>
    <w:p w:rsidR="00762DFB" w:rsidRPr="00730AC1" w:rsidRDefault="00762DFB" w:rsidP="00762DFB">
      <w:pPr>
        <w:ind w:left="851"/>
        <w:rPr>
          <w:sz w:val="24"/>
          <w:szCs w:val="24"/>
        </w:rPr>
      </w:pPr>
      <w:r w:rsidRPr="00730AC1">
        <w:rPr>
          <w:sz w:val="24"/>
          <w:szCs w:val="24"/>
        </w:rPr>
        <w:t>1,5</w:t>
      </w:r>
      <w:r>
        <w:rPr>
          <w:sz w:val="24"/>
          <w:szCs w:val="24"/>
        </w:rPr>
        <w:t>-</w:t>
      </w:r>
      <w:r w:rsidRPr="00730AC1">
        <w:rPr>
          <w:sz w:val="24"/>
          <w:szCs w:val="24"/>
        </w:rPr>
        <w:t xml:space="preserve">2 g. Lejlighedsvis indtag har ingen signifikant effekt. </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Samtidig brug af paracetamol og AZT (</w:t>
      </w:r>
      <w:proofErr w:type="spellStart"/>
      <w:r w:rsidRPr="00730AC1">
        <w:rPr>
          <w:sz w:val="24"/>
          <w:szCs w:val="24"/>
        </w:rPr>
        <w:t>zidovudin</w:t>
      </w:r>
      <w:proofErr w:type="spellEnd"/>
      <w:r w:rsidRPr="00730AC1">
        <w:rPr>
          <w:sz w:val="24"/>
          <w:szCs w:val="24"/>
        </w:rPr>
        <w:t xml:space="preserve">) øger disponering for </w:t>
      </w:r>
      <w:proofErr w:type="spellStart"/>
      <w:r w:rsidRPr="00730AC1">
        <w:rPr>
          <w:sz w:val="24"/>
          <w:szCs w:val="24"/>
        </w:rPr>
        <w:t>neutropeni</w:t>
      </w:r>
      <w:proofErr w:type="spellEnd"/>
      <w:r w:rsidRPr="00730AC1">
        <w:rPr>
          <w:sz w:val="24"/>
          <w:szCs w:val="24"/>
        </w:rPr>
        <w:t>. Lægemidlet bør derfor kun administreres sammen med AZT efter lægens anvisning.</w:t>
      </w:r>
    </w:p>
    <w:p w:rsidR="00762DFB" w:rsidRPr="00730AC1" w:rsidRDefault="00762DFB" w:rsidP="00762DFB">
      <w:pPr>
        <w:ind w:left="851"/>
        <w:rPr>
          <w:sz w:val="24"/>
          <w:szCs w:val="24"/>
        </w:rPr>
      </w:pPr>
      <w:r w:rsidRPr="00730AC1">
        <w:rPr>
          <w:sz w:val="24"/>
          <w:szCs w:val="24"/>
        </w:rPr>
        <w:t xml:space="preserve">Samtidig indtagelse af lægemidler, der accelererer ventrikeltømning, såsom </w:t>
      </w:r>
      <w:proofErr w:type="spellStart"/>
      <w:r w:rsidRPr="00730AC1">
        <w:rPr>
          <w:sz w:val="24"/>
          <w:szCs w:val="24"/>
        </w:rPr>
        <w:t>metoclopramid</w:t>
      </w:r>
      <w:proofErr w:type="spellEnd"/>
      <w:r w:rsidRPr="00730AC1">
        <w:rPr>
          <w:sz w:val="24"/>
          <w:szCs w:val="24"/>
        </w:rPr>
        <w:t>, accelererer absorptionen og starten af paracetamols virkning.</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Samtidig indtagelse af lægemidler, der sænker ventrikeltømning kan forsinke absorptionen og starten af paracetamols virkning.</w:t>
      </w:r>
    </w:p>
    <w:p w:rsidR="00762DFB" w:rsidRPr="00730AC1" w:rsidRDefault="00762DFB" w:rsidP="00762DFB">
      <w:pPr>
        <w:ind w:left="851"/>
        <w:rPr>
          <w:sz w:val="24"/>
          <w:szCs w:val="24"/>
        </w:rPr>
      </w:pPr>
      <w:proofErr w:type="spellStart"/>
      <w:r w:rsidRPr="00730AC1">
        <w:rPr>
          <w:sz w:val="24"/>
          <w:szCs w:val="24"/>
        </w:rPr>
        <w:t>Metoclopramid</w:t>
      </w:r>
      <w:proofErr w:type="spellEnd"/>
      <w:r w:rsidRPr="00730AC1">
        <w:rPr>
          <w:sz w:val="24"/>
          <w:szCs w:val="24"/>
        </w:rPr>
        <w:t xml:space="preserve"> og </w:t>
      </w:r>
      <w:proofErr w:type="spellStart"/>
      <w:r w:rsidRPr="00730AC1">
        <w:rPr>
          <w:sz w:val="24"/>
          <w:szCs w:val="24"/>
        </w:rPr>
        <w:t>domperidon</w:t>
      </w:r>
      <w:proofErr w:type="spellEnd"/>
      <w:r w:rsidRPr="00730AC1">
        <w:rPr>
          <w:sz w:val="24"/>
          <w:szCs w:val="24"/>
        </w:rPr>
        <w:t xml:space="preserve"> kan øge absorptionshastigheden af paracetamol. </w:t>
      </w:r>
      <w:proofErr w:type="spellStart"/>
      <w:r w:rsidRPr="00730AC1">
        <w:rPr>
          <w:sz w:val="24"/>
          <w:szCs w:val="24"/>
        </w:rPr>
        <w:t>Colestyramin</w:t>
      </w:r>
      <w:proofErr w:type="spellEnd"/>
      <w:r w:rsidRPr="00730AC1">
        <w:rPr>
          <w:sz w:val="24"/>
          <w:szCs w:val="24"/>
        </w:rPr>
        <w:t xml:space="preserve"> nedsætter absorptionen af paracetamol. Der skal mindst være en time mellem indtagelsen af henholdsvis </w:t>
      </w:r>
      <w:proofErr w:type="spellStart"/>
      <w:r w:rsidRPr="00730AC1">
        <w:rPr>
          <w:sz w:val="24"/>
          <w:szCs w:val="24"/>
        </w:rPr>
        <w:t>colestyramin</w:t>
      </w:r>
      <w:proofErr w:type="spellEnd"/>
      <w:r w:rsidRPr="00730AC1">
        <w:rPr>
          <w:sz w:val="24"/>
          <w:szCs w:val="24"/>
        </w:rPr>
        <w:t xml:space="preserve"> og paracetamol.</w:t>
      </w:r>
    </w:p>
    <w:p w:rsidR="00762DFB" w:rsidRPr="00730AC1" w:rsidRDefault="00762DFB" w:rsidP="00762DFB">
      <w:pPr>
        <w:ind w:left="851"/>
        <w:rPr>
          <w:sz w:val="24"/>
          <w:szCs w:val="24"/>
        </w:rPr>
      </w:pPr>
    </w:p>
    <w:p w:rsidR="00762DFB" w:rsidRPr="00730AC1" w:rsidRDefault="00762DFB" w:rsidP="00762DFB">
      <w:pPr>
        <w:ind w:left="851"/>
        <w:rPr>
          <w:sz w:val="24"/>
          <w:szCs w:val="24"/>
        </w:rPr>
      </w:pPr>
      <w:proofErr w:type="spellStart"/>
      <w:r w:rsidRPr="00730AC1">
        <w:rPr>
          <w:sz w:val="24"/>
          <w:szCs w:val="24"/>
        </w:rPr>
        <w:t>Probenecid</w:t>
      </w:r>
      <w:proofErr w:type="spellEnd"/>
      <w:r w:rsidRPr="00730AC1">
        <w:rPr>
          <w:sz w:val="24"/>
          <w:szCs w:val="24"/>
        </w:rPr>
        <w:t xml:space="preserve"> halverer næsten </w:t>
      </w:r>
      <w:proofErr w:type="spellStart"/>
      <w:r w:rsidRPr="00730AC1">
        <w:rPr>
          <w:sz w:val="24"/>
          <w:szCs w:val="24"/>
        </w:rPr>
        <w:t>paracetamolclearance</w:t>
      </w:r>
      <w:proofErr w:type="spellEnd"/>
      <w:r w:rsidRPr="00730AC1">
        <w:rPr>
          <w:sz w:val="24"/>
          <w:szCs w:val="24"/>
        </w:rPr>
        <w:t xml:space="preserve">. Ved samtidig behandling med </w:t>
      </w:r>
      <w:proofErr w:type="spellStart"/>
      <w:r w:rsidRPr="00730AC1">
        <w:rPr>
          <w:sz w:val="24"/>
          <w:szCs w:val="24"/>
        </w:rPr>
        <w:t>probenecid</w:t>
      </w:r>
      <w:proofErr w:type="spellEnd"/>
      <w:r w:rsidRPr="00730AC1">
        <w:rPr>
          <w:sz w:val="24"/>
          <w:szCs w:val="24"/>
        </w:rPr>
        <w:t xml:space="preserve"> kan paracetamoldosis derfor halveres.</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Alkoholmisbrug øger risikoen for paracetamolforgiftning.</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Enzyminducerende lægemidler, såsom </w:t>
      </w:r>
      <w:proofErr w:type="spellStart"/>
      <w:r w:rsidRPr="00730AC1">
        <w:rPr>
          <w:sz w:val="24"/>
          <w:szCs w:val="24"/>
        </w:rPr>
        <w:t>rifampicin</w:t>
      </w:r>
      <w:proofErr w:type="spellEnd"/>
      <w:r w:rsidRPr="00730AC1">
        <w:rPr>
          <w:sz w:val="24"/>
          <w:szCs w:val="24"/>
        </w:rPr>
        <w:t>, visse antiepileptiske lægemidler, prikbladet perikum, kan give anledning til reducerede plasmakoncentrationer og reducere paracetamols virkning. Endvidere forventes risikoen for leverskade at være større hos patienter, der behandles samtidig med enzyminduktorer og den maksimale terapeutiske dosis af paracetamol.</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Paracetamol kan påvirke plasmakoncentrationen af </w:t>
      </w:r>
      <w:proofErr w:type="spellStart"/>
      <w:r w:rsidRPr="00730AC1">
        <w:rPr>
          <w:sz w:val="24"/>
          <w:szCs w:val="24"/>
        </w:rPr>
        <w:t>chloramphenicol</w:t>
      </w:r>
      <w:proofErr w:type="spellEnd"/>
      <w:r w:rsidRPr="00730AC1">
        <w:rPr>
          <w:sz w:val="24"/>
          <w:szCs w:val="24"/>
        </w:rPr>
        <w:t xml:space="preserve">. Det anbefales at overvåge plasmakoncentrationen under injektionsbehandling med </w:t>
      </w:r>
      <w:proofErr w:type="spellStart"/>
      <w:r w:rsidRPr="00730AC1">
        <w:rPr>
          <w:sz w:val="24"/>
          <w:szCs w:val="24"/>
        </w:rPr>
        <w:t>chloramphenicol</w:t>
      </w:r>
      <w:proofErr w:type="spellEnd"/>
      <w:r w:rsidRPr="00730AC1">
        <w:rPr>
          <w:sz w:val="24"/>
          <w:szCs w:val="24"/>
        </w:rPr>
        <w:t xml:space="preserve">. </w:t>
      </w:r>
    </w:p>
    <w:p w:rsidR="00762DFB" w:rsidRPr="00730AC1" w:rsidRDefault="00762DFB" w:rsidP="00762DFB">
      <w:pPr>
        <w:ind w:left="851"/>
        <w:rPr>
          <w:sz w:val="24"/>
          <w:szCs w:val="24"/>
        </w:rPr>
      </w:pPr>
    </w:p>
    <w:p w:rsidR="00762DFB" w:rsidRPr="00A9003B" w:rsidRDefault="00762DFB" w:rsidP="00762DFB">
      <w:pPr>
        <w:ind w:left="851"/>
        <w:rPr>
          <w:sz w:val="24"/>
          <w:szCs w:val="24"/>
          <w:u w:val="single"/>
        </w:rPr>
      </w:pPr>
      <w:r w:rsidRPr="00A9003B">
        <w:rPr>
          <w:sz w:val="24"/>
          <w:szCs w:val="24"/>
          <w:u w:val="single"/>
        </w:rPr>
        <w:t>Effekter på laboratorieprøver</w:t>
      </w:r>
    </w:p>
    <w:p w:rsidR="00762DFB" w:rsidRPr="00730AC1" w:rsidRDefault="00762DFB" w:rsidP="00762DFB">
      <w:pPr>
        <w:ind w:left="851"/>
        <w:rPr>
          <w:sz w:val="24"/>
          <w:szCs w:val="24"/>
        </w:rPr>
      </w:pPr>
      <w:r w:rsidRPr="00730AC1">
        <w:rPr>
          <w:sz w:val="24"/>
          <w:szCs w:val="24"/>
        </w:rPr>
        <w:t>Indtagelse af paracetamol kan påvirke urinsyreprøver lavet ved hjælp af tungsten-fosforsyre-metoden og blodsukkerprøver udført efter glukose-oxidase-</w:t>
      </w:r>
      <w:proofErr w:type="spellStart"/>
      <w:r w:rsidRPr="00730AC1">
        <w:rPr>
          <w:sz w:val="24"/>
          <w:szCs w:val="24"/>
        </w:rPr>
        <w:t>peroxidase</w:t>
      </w:r>
      <w:proofErr w:type="spellEnd"/>
      <w:r w:rsidRPr="00730AC1">
        <w:rPr>
          <w:sz w:val="24"/>
          <w:szCs w:val="24"/>
        </w:rPr>
        <w:t xml:space="preserve">-metoden. </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4.6</w:t>
      </w:r>
      <w:r w:rsidRPr="00730AC1">
        <w:rPr>
          <w:b/>
          <w:sz w:val="24"/>
          <w:szCs w:val="24"/>
        </w:rPr>
        <w:tab/>
        <w:t>Graviditet og amning</w:t>
      </w:r>
    </w:p>
    <w:p w:rsidR="00762DFB" w:rsidRPr="00730AC1" w:rsidRDefault="00762DFB" w:rsidP="00762DFB">
      <w:pPr>
        <w:ind w:left="851"/>
        <w:rPr>
          <w:sz w:val="24"/>
          <w:szCs w:val="24"/>
        </w:rPr>
      </w:pPr>
    </w:p>
    <w:p w:rsidR="00762DFB" w:rsidRPr="00A9003B" w:rsidRDefault="00762DFB" w:rsidP="00762DFB">
      <w:pPr>
        <w:ind w:left="851"/>
        <w:rPr>
          <w:sz w:val="24"/>
          <w:szCs w:val="24"/>
          <w:u w:val="single"/>
        </w:rPr>
      </w:pPr>
      <w:r w:rsidRPr="00A9003B">
        <w:rPr>
          <w:sz w:val="24"/>
          <w:szCs w:val="24"/>
          <w:u w:val="single"/>
        </w:rPr>
        <w:t>Graviditet</w:t>
      </w:r>
    </w:p>
    <w:p w:rsidR="00762DFB" w:rsidRPr="00C416AD" w:rsidRDefault="00762DFB" w:rsidP="00762DFB">
      <w:pPr>
        <w:ind w:left="851"/>
        <w:rPr>
          <w:sz w:val="24"/>
          <w:szCs w:val="24"/>
        </w:rPr>
      </w:pPr>
      <w:r w:rsidRPr="0059618C">
        <w:rPr>
          <w:sz w:val="24"/>
          <w:szCs w:val="24"/>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sidRPr="0059618C">
        <w:rPr>
          <w:sz w:val="24"/>
          <w:szCs w:val="24"/>
        </w:rPr>
        <w:t>inkonklusive</w:t>
      </w:r>
      <w:proofErr w:type="spellEnd"/>
      <w:r w:rsidRPr="0059618C">
        <w:rPr>
          <w:sz w:val="24"/>
          <w:szCs w:val="24"/>
        </w:rPr>
        <w:t xml:space="preserve"> resultater. Paracetamol kan anvendes under graviditet, hvis det er klinisk indiceret, men bør tages i den laveste effektive dosis, så kort tid som muligt og med lavest mulige hyppighed.</w:t>
      </w:r>
    </w:p>
    <w:p w:rsidR="00762DFB" w:rsidRPr="00681DE9" w:rsidRDefault="00762DFB" w:rsidP="00762DFB">
      <w:pPr>
        <w:ind w:left="851"/>
        <w:rPr>
          <w:sz w:val="24"/>
          <w:szCs w:val="24"/>
        </w:rPr>
      </w:pPr>
    </w:p>
    <w:p w:rsidR="00762DFB" w:rsidRPr="00A9003B" w:rsidRDefault="00762DFB" w:rsidP="00762DFB">
      <w:pPr>
        <w:ind w:left="851"/>
        <w:rPr>
          <w:sz w:val="24"/>
          <w:szCs w:val="24"/>
          <w:u w:val="single"/>
        </w:rPr>
      </w:pPr>
      <w:r w:rsidRPr="00A9003B">
        <w:rPr>
          <w:sz w:val="24"/>
          <w:szCs w:val="24"/>
          <w:u w:val="single"/>
        </w:rPr>
        <w:t>Amning</w:t>
      </w:r>
    </w:p>
    <w:p w:rsidR="00137014" w:rsidRPr="00730AC1" w:rsidRDefault="00137014" w:rsidP="00137014">
      <w:pPr>
        <w:ind w:left="851"/>
        <w:rPr>
          <w:sz w:val="24"/>
          <w:szCs w:val="24"/>
        </w:rPr>
      </w:pPr>
      <w:r>
        <w:rPr>
          <w:sz w:val="24"/>
          <w:szCs w:val="24"/>
        </w:rPr>
        <w:t>P</w:t>
      </w:r>
      <w:r w:rsidRPr="00730AC1">
        <w:rPr>
          <w:sz w:val="24"/>
          <w:szCs w:val="24"/>
        </w:rPr>
        <w:t xml:space="preserve">aracetamol </w:t>
      </w:r>
      <w:r>
        <w:rPr>
          <w:sz w:val="24"/>
          <w:szCs w:val="24"/>
        </w:rPr>
        <w:t xml:space="preserve">udskilles </w:t>
      </w:r>
      <w:r w:rsidRPr="00730AC1">
        <w:rPr>
          <w:sz w:val="24"/>
          <w:szCs w:val="24"/>
        </w:rPr>
        <w:t>i modermælk</w:t>
      </w:r>
      <w:r>
        <w:rPr>
          <w:sz w:val="24"/>
          <w:szCs w:val="24"/>
        </w:rPr>
        <w:t xml:space="preserve">, </w:t>
      </w:r>
      <w:r w:rsidRPr="00254634">
        <w:rPr>
          <w:sz w:val="24"/>
          <w:szCs w:val="24"/>
        </w:rPr>
        <w:t>men ikke i klinisk signifikante mængder ved anbefalede doser</w:t>
      </w:r>
      <w:r w:rsidRPr="00730AC1">
        <w:rPr>
          <w:sz w:val="24"/>
          <w:szCs w:val="24"/>
        </w:rPr>
        <w:t xml:space="preserve">. </w:t>
      </w:r>
      <w:r w:rsidRPr="00254634">
        <w:rPr>
          <w:sz w:val="24"/>
          <w:szCs w:val="24"/>
        </w:rPr>
        <w:t>I henhold til tilgængelig, publiceret data er amning ikke kontraindiceret.</w:t>
      </w:r>
      <w:r>
        <w:rPr>
          <w:sz w:val="24"/>
          <w:szCs w:val="24"/>
        </w:rPr>
        <w:t xml:space="preserve"> </w:t>
      </w:r>
      <w:r w:rsidRPr="00730AC1">
        <w:rPr>
          <w:sz w:val="24"/>
          <w:szCs w:val="24"/>
        </w:rPr>
        <w:t>De terapeutiske doser af dette lægemiddel må anvendes til ammende kvinder.</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4.7</w:t>
      </w:r>
      <w:r w:rsidRPr="00730AC1">
        <w:rPr>
          <w:b/>
          <w:sz w:val="24"/>
          <w:szCs w:val="24"/>
        </w:rPr>
        <w:tab/>
        <w:t>Virkninger på evnen til at føre motorkøretøj eller betjene maskiner</w:t>
      </w:r>
    </w:p>
    <w:p w:rsidR="00762DFB" w:rsidRPr="00730AC1" w:rsidRDefault="00762DFB" w:rsidP="00762DFB">
      <w:pPr>
        <w:ind w:left="851"/>
        <w:rPr>
          <w:sz w:val="24"/>
          <w:szCs w:val="24"/>
        </w:rPr>
      </w:pPr>
      <w:r w:rsidRPr="00730AC1">
        <w:rPr>
          <w:sz w:val="24"/>
          <w:szCs w:val="24"/>
        </w:rPr>
        <w:t>Ikke mærkning.</w:t>
      </w:r>
    </w:p>
    <w:p w:rsidR="00762DFB" w:rsidRPr="00730AC1" w:rsidRDefault="00762DFB" w:rsidP="00762DFB">
      <w:pPr>
        <w:ind w:left="851"/>
        <w:rPr>
          <w:sz w:val="24"/>
          <w:szCs w:val="24"/>
        </w:rPr>
      </w:pPr>
      <w:r w:rsidRPr="00730AC1">
        <w:rPr>
          <w:sz w:val="24"/>
          <w:szCs w:val="24"/>
        </w:rPr>
        <w:t>Paracetamol påvirker ikke evnen til at føre motorkøretøj eller betjene maskiner. Der er ikke foretaget undersøgelser af indflydelsen på evnen til at føre motorkøretøj eller betjene maskiner.</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4.8</w:t>
      </w:r>
      <w:r w:rsidRPr="00730AC1">
        <w:rPr>
          <w:b/>
          <w:sz w:val="24"/>
          <w:szCs w:val="24"/>
        </w:rPr>
        <w:tab/>
        <w:t>Bivirkninger</w:t>
      </w:r>
    </w:p>
    <w:p w:rsidR="00762DFB" w:rsidRPr="00730AC1" w:rsidRDefault="00762DFB" w:rsidP="00762DFB">
      <w:pPr>
        <w:ind w:left="851"/>
        <w:rPr>
          <w:sz w:val="24"/>
          <w:szCs w:val="24"/>
        </w:rPr>
      </w:pPr>
      <w:r w:rsidRPr="00730AC1">
        <w:rPr>
          <w:sz w:val="24"/>
          <w:szCs w:val="24"/>
        </w:rPr>
        <w:t>I de enkelte hyppighedsgrupper angives bivirkningerne i rækkefølge efter faldende alvorlighed.</w:t>
      </w:r>
    </w:p>
    <w:p w:rsidR="00E43BD9" w:rsidRDefault="00E43BD9">
      <w:pPr>
        <w:rPr>
          <w:sz w:val="24"/>
          <w:szCs w:val="24"/>
        </w:rPr>
      </w:pPr>
      <w:r>
        <w:rPr>
          <w:sz w:val="24"/>
          <w:szCs w:val="24"/>
        </w:rPr>
        <w:br w:type="page"/>
      </w:r>
    </w:p>
    <w:p w:rsidR="00762DFB" w:rsidRDefault="00762DFB" w:rsidP="00762DFB">
      <w:pPr>
        <w:ind w:left="851"/>
        <w:rPr>
          <w:sz w:val="24"/>
          <w:szCs w:val="24"/>
        </w:rPr>
      </w:pPr>
    </w:p>
    <w:tbl>
      <w:tblPr>
        <w:tblStyle w:val="Tabel-Gitter"/>
        <w:tblW w:w="8901" w:type="dxa"/>
        <w:tblInd w:w="846" w:type="dxa"/>
        <w:tblLayout w:type="fixed"/>
        <w:tblLook w:val="04A0" w:firstRow="1" w:lastRow="0" w:firstColumn="1" w:lastColumn="0" w:noHBand="0" w:noVBand="1"/>
      </w:tblPr>
      <w:tblGrid>
        <w:gridCol w:w="3373"/>
        <w:gridCol w:w="5528"/>
      </w:tblGrid>
      <w:tr w:rsidR="00762DFB" w:rsidRPr="00730AC1" w:rsidTr="003B4BCE">
        <w:tc>
          <w:tcPr>
            <w:tcW w:w="3373" w:type="dxa"/>
          </w:tcPr>
          <w:p w:rsidR="00762DFB" w:rsidRPr="00730AC1" w:rsidRDefault="00762DFB" w:rsidP="003B4BCE">
            <w:pPr>
              <w:rPr>
                <w:b/>
                <w:sz w:val="24"/>
                <w:szCs w:val="24"/>
              </w:rPr>
            </w:pPr>
            <w:r>
              <w:rPr>
                <w:b/>
                <w:sz w:val="24"/>
                <w:szCs w:val="24"/>
              </w:rPr>
              <w:t>B</w:t>
            </w:r>
            <w:r w:rsidRPr="00730AC1">
              <w:rPr>
                <w:b/>
                <w:sz w:val="24"/>
                <w:szCs w:val="24"/>
              </w:rPr>
              <w:t>lod og lymfe</w:t>
            </w:r>
            <w:r>
              <w:rPr>
                <w:b/>
                <w:sz w:val="24"/>
                <w:szCs w:val="24"/>
              </w:rPr>
              <w:t>system</w:t>
            </w:r>
          </w:p>
          <w:p w:rsidR="00762DFB" w:rsidRPr="00730AC1" w:rsidRDefault="00762DFB" w:rsidP="003B4BCE">
            <w:pPr>
              <w:rPr>
                <w:sz w:val="24"/>
                <w:szCs w:val="24"/>
              </w:rPr>
            </w:pPr>
            <w:r w:rsidRPr="00730AC1">
              <w:rPr>
                <w:sz w:val="24"/>
                <w:szCs w:val="24"/>
              </w:rPr>
              <w:t>Meget sjælden (&lt;1/10.000)</w:t>
            </w:r>
          </w:p>
        </w:tc>
        <w:tc>
          <w:tcPr>
            <w:tcW w:w="5528" w:type="dxa"/>
          </w:tcPr>
          <w:p w:rsidR="00762DFB" w:rsidRPr="00730AC1" w:rsidRDefault="00762DFB" w:rsidP="003B4BCE">
            <w:pPr>
              <w:rPr>
                <w:sz w:val="24"/>
                <w:szCs w:val="24"/>
              </w:rPr>
            </w:pPr>
          </w:p>
          <w:p w:rsidR="00762DFB" w:rsidRPr="00730AC1" w:rsidRDefault="00762DFB" w:rsidP="003B4BCE">
            <w:pPr>
              <w:rPr>
                <w:sz w:val="24"/>
                <w:szCs w:val="24"/>
              </w:rPr>
            </w:pPr>
            <w:proofErr w:type="spellStart"/>
            <w:r>
              <w:rPr>
                <w:sz w:val="24"/>
                <w:szCs w:val="24"/>
              </w:rPr>
              <w:t>T</w:t>
            </w:r>
            <w:r w:rsidRPr="00730AC1">
              <w:rPr>
                <w:sz w:val="24"/>
                <w:szCs w:val="24"/>
              </w:rPr>
              <w:t>rombocytopeni</w:t>
            </w:r>
            <w:proofErr w:type="spellEnd"/>
            <w:r>
              <w:rPr>
                <w:sz w:val="24"/>
                <w:szCs w:val="24"/>
              </w:rPr>
              <w:t xml:space="preserve">, </w:t>
            </w:r>
            <w:proofErr w:type="spellStart"/>
            <w:r w:rsidRPr="00916A5F">
              <w:rPr>
                <w:bCs/>
                <w:sz w:val="24"/>
                <w:szCs w:val="24"/>
              </w:rPr>
              <w:t>leukopeni</w:t>
            </w:r>
            <w:proofErr w:type="spellEnd"/>
            <w:r>
              <w:rPr>
                <w:bCs/>
                <w:sz w:val="24"/>
                <w:szCs w:val="24"/>
              </w:rPr>
              <w:t xml:space="preserve">, </w:t>
            </w:r>
            <w:proofErr w:type="spellStart"/>
            <w:r w:rsidRPr="00916A5F">
              <w:rPr>
                <w:bCs/>
                <w:sz w:val="24"/>
                <w:szCs w:val="24"/>
              </w:rPr>
              <w:t>hæmolytisk</w:t>
            </w:r>
            <w:proofErr w:type="spellEnd"/>
            <w:r w:rsidRPr="00916A5F">
              <w:rPr>
                <w:bCs/>
                <w:sz w:val="24"/>
                <w:szCs w:val="24"/>
              </w:rPr>
              <w:t xml:space="preserve"> anæmi</w:t>
            </w:r>
            <w:r>
              <w:rPr>
                <w:bCs/>
                <w:sz w:val="24"/>
                <w:szCs w:val="24"/>
              </w:rPr>
              <w:t xml:space="preserve">, </w:t>
            </w:r>
            <w:proofErr w:type="spellStart"/>
            <w:r>
              <w:rPr>
                <w:sz w:val="24"/>
                <w:szCs w:val="24"/>
              </w:rPr>
              <w:t>neutropeni</w:t>
            </w:r>
            <w:proofErr w:type="spellEnd"/>
            <w:r>
              <w:rPr>
                <w:sz w:val="24"/>
                <w:szCs w:val="24"/>
              </w:rPr>
              <w:t>/</w:t>
            </w:r>
            <w:proofErr w:type="spellStart"/>
            <w:r w:rsidRPr="00916A5F">
              <w:rPr>
                <w:bCs/>
                <w:sz w:val="24"/>
                <w:szCs w:val="24"/>
              </w:rPr>
              <w:t>agranulocytose</w:t>
            </w:r>
            <w:proofErr w:type="spellEnd"/>
            <w:r>
              <w:rPr>
                <w:bCs/>
                <w:sz w:val="24"/>
                <w:szCs w:val="24"/>
              </w:rPr>
              <w:t>.</w:t>
            </w:r>
          </w:p>
          <w:p w:rsidR="00762DFB" w:rsidRPr="00730AC1" w:rsidRDefault="00762DFB" w:rsidP="003B4BCE">
            <w:pPr>
              <w:rPr>
                <w:sz w:val="24"/>
                <w:szCs w:val="24"/>
              </w:rPr>
            </w:pPr>
          </w:p>
        </w:tc>
      </w:tr>
      <w:tr w:rsidR="00762DFB" w:rsidRPr="00730AC1" w:rsidTr="003B4BCE">
        <w:tc>
          <w:tcPr>
            <w:tcW w:w="3260" w:type="dxa"/>
          </w:tcPr>
          <w:p w:rsidR="00762DFB" w:rsidRPr="00730AC1" w:rsidRDefault="00762DFB" w:rsidP="003B4BCE">
            <w:pPr>
              <w:rPr>
                <w:sz w:val="24"/>
                <w:szCs w:val="24"/>
              </w:rPr>
            </w:pPr>
            <w:r w:rsidRPr="00730AC1">
              <w:rPr>
                <w:b/>
                <w:sz w:val="24"/>
                <w:szCs w:val="24"/>
              </w:rPr>
              <w:t>Immunsystemet</w:t>
            </w:r>
            <w:r w:rsidRPr="00730AC1">
              <w:rPr>
                <w:sz w:val="24"/>
                <w:szCs w:val="24"/>
              </w:rPr>
              <w:t xml:space="preserve"> </w:t>
            </w:r>
          </w:p>
          <w:p w:rsidR="00762DFB" w:rsidRPr="00730AC1" w:rsidRDefault="00762DFB" w:rsidP="003B4BCE">
            <w:pPr>
              <w:rPr>
                <w:sz w:val="24"/>
                <w:szCs w:val="24"/>
              </w:rPr>
            </w:pPr>
            <w:r w:rsidRPr="00730AC1">
              <w:rPr>
                <w:sz w:val="24"/>
                <w:szCs w:val="24"/>
              </w:rPr>
              <w:t>Meget sjælden (&lt;1/10.000)</w:t>
            </w:r>
          </w:p>
        </w:tc>
        <w:tc>
          <w:tcPr>
            <w:tcW w:w="5528" w:type="dxa"/>
          </w:tcPr>
          <w:p w:rsidR="00762DFB" w:rsidRPr="00730AC1" w:rsidRDefault="00762DFB" w:rsidP="003B4BCE">
            <w:pPr>
              <w:rPr>
                <w:sz w:val="24"/>
                <w:szCs w:val="24"/>
              </w:rPr>
            </w:pPr>
          </w:p>
          <w:p w:rsidR="00762DFB" w:rsidRDefault="00762DFB" w:rsidP="003B4BCE">
            <w:pPr>
              <w:rPr>
                <w:sz w:val="24"/>
                <w:szCs w:val="24"/>
              </w:rPr>
            </w:pPr>
            <w:proofErr w:type="spellStart"/>
            <w:r w:rsidRPr="00730AC1">
              <w:rPr>
                <w:sz w:val="24"/>
                <w:szCs w:val="24"/>
              </w:rPr>
              <w:t>Anafylaktiske</w:t>
            </w:r>
            <w:proofErr w:type="spellEnd"/>
            <w:r w:rsidRPr="00730AC1">
              <w:rPr>
                <w:sz w:val="24"/>
                <w:szCs w:val="24"/>
              </w:rPr>
              <w:t xml:space="preserve"> reaktioner.</w:t>
            </w:r>
          </w:p>
          <w:p w:rsidR="00762DFB" w:rsidRPr="00730AC1" w:rsidRDefault="00762DFB" w:rsidP="003B4BCE">
            <w:pPr>
              <w:rPr>
                <w:sz w:val="24"/>
                <w:szCs w:val="24"/>
              </w:rPr>
            </w:pPr>
          </w:p>
        </w:tc>
      </w:tr>
      <w:tr w:rsidR="00762DFB" w:rsidRPr="00730AC1" w:rsidTr="003B4BCE">
        <w:tc>
          <w:tcPr>
            <w:tcW w:w="3373" w:type="dxa"/>
          </w:tcPr>
          <w:p w:rsidR="00762DFB" w:rsidRDefault="00762DFB" w:rsidP="003B4BCE">
            <w:pPr>
              <w:rPr>
                <w:b/>
                <w:sz w:val="24"/>
                <w:szCs w:val="24"/>
              </w:rPr>
            </w:pPr>
            <w:r w:rsidRPr="000D6C40">
              <w:rPr>
                <w:b/>
                <w:sz w:val="24"/>
                <w:szCs w:val="24"/>
              </w:rPr>
              <w:t xml:space="preserve">Luftveje, thorax og </w:t>
            </w:r>
            <w:proofErr w:type="spellStart"/>
            <w:r w:rsidRPr="000D6C40">
              <w:rPr>
                <w:b/>
                <w:sz w:val="24"/>
                <w:szCs w:val="24"/>
              </w:rPr>
              <w:t>mediastinum</w:t>
            </w:r>
            <w:proofErr w:type="spellEnd"/>
          </w:p>
          <w:p w:rsidR="00762DFB" w:rsidRPr="00730AC1" w:rsidRDefault="00762DFB" w:rsidP="003B4BCE">
            <w:pPr>
              <w:rPr>
                <w:b/>
                <w:sz w:val="24"/>
                <w:szCs w:val="24"/>
              </w:rPr>
            </w:pPr>
            <w:r w:rsidRPr="00730AC1">
              <w:rPr>
                <w:sz w:val="24"/>
                <w:szCs w:val="24"/>
              </w:rPr>
              <w:t>Meget sjælden (&lt;1/10.000)</w:t>
            </w:r>
            <w:r>
              <w:rPr>
                <w:b/>
                <w:noProof/>
              </w:rPr>
              <w:t xml:space="preserve">  </w:t>
            </w:r>
          </w:p>
        </w:tc>
        <w:tc>
          <w:tcPr>
            <w:tcW w:w="5528" w:type="dxa"/>
          </w:tcPr>
          <w:p w:rsidR="00762DFB" w:rsidRDefault="00762DFB" w:rsidP="003B4BCE">
            <w:pPr>
              <w:rPr>
                <w:sz w:val="24"/>
                <w:szCs w:val="24"/>
              </w:rPr>
            </w:pPr>
          </w:p>
          <w:p w:rsidR="00762DFB" w:rsidRDefault="00762DFB" w:rsidP="003B4BCE">
            <w:pPr>
              <w:rPr>
                <w:sz w:val="24"/>
                <w:szCs w:val="24"/>
              </w:rPr>
            </w:pPr>
          </w:p>
          <w:p w:rsidR="00762DFB" w:rsidRDefault="00762DFB" w:rsidP="003B4BCE">
            <w:pPr>
              <w:rPr>
                <w:sz w:val="24"/>
                <w:szCs w:val="24"/>
              </w:rPr>
            </w:pPr>
            <w:proofErr w:type="spellStart"/>
            <w:r w:rsidRPr="00916A5F">
              <w:rPr>
                <w:sz w:val="24"/>
                <w:szCs w:val="24"/>
              </w:rPr>
              <w:t>Bronkospasmer</w:t>
            </w:r>
            <w:proofErr w:type="spellEnd"/>
            <w:r>
              <w:rPr>
                <w:sz w:val="24"/>
                <w:szCs w:val="24"/>
              </w:rPr>
              <w:t xml:space="preserve"> (se pkt. 4.4).</w:t>
            </w:r>
          </w:p>
          <w:p w:rsidR="00762DFB" w:rsidRPr="00730AC1" w:rsidRDefault="00762DFB" w:rsidP="003B4BCE">
            <w:pPr>
              <w:rPr>
                <w:sz w:val="24"/>
                <w:szCs w:val="24"/>
              </w:rPr>
            </w:pPr>
          </w:p>
        </w:tc>
      </w:tr>
      <w:tr w:rsidR="00762DFB" w:rsidRPr="00730AC1" w:rsidTr="003B4BCE">
        <w:tc>
          <w:tcPr>
            <w:tcW w:w="3373" w:type="dxa"/>
          </w:tcPr>
          <w:p w:rsidR="00762DFB" w:rsidRPr="00730AC1" w:rsidRDefault="00762DFB" w:rsidP="003B4BCE">
            <w:pPr>
              <w:rPr>
                <w:sz w:val="24"/>
                <w:szCs w:val="24"/>
              </w:rPr>
            </w:pPr>
            <w:r w:rsidRPr="00730AC1">
              <w:rPr>
                <w:b/>
                <w:sz w:val="24"/>
                <w:szCs w:val="24"/>
              </w:rPr>
              <w:t>Lever og galdeveje</w:t>
            </w:r>
          </w:p>
          <w:p w:rsidR="00762DFB" w:rsidRDefault="00762DFB" w:rsidP="003B4BCE">
            <w:pPr>
              <w:rPr>
                <w:sz w:val="24"/>
                <w:szCs w:val="24"/>
              </w:rPr>
            </w:pPr>
            <w:r w:rsidRPr="00730AC1">
              <w:rPr>
                <w:sz w:val="24"/>
                <w:szCs w:val="24"/>
              </w:rPr>
              <w:t>Sjælden (</w:t>
            </w:r>
            <w:r w:rsidRPr="00730AC1">
              <w:rPr>
                <w:sz w:val="24"/>
                <w:szCs w:val="24"/>
              </w:rPr>
              <w:sym w:font="Symbol" w:char="00B3"/>
            </w:r>
            <w:r w:rsidRPr="00730AC1">
              <w:rPr>
                <w:sz w:val="24"/>
                <w:szCs w:val="24"/>
              </w:rPr>
              <w:t>1/10.000 til &lt;1/1.000)</w:t>
            </w:r>
          </w:p>
          <w:p w:rsidR="00762DFB" w:rsidRDefault="00762DFB" w:rsidP="003B4BCE">
            <w:pPr>
              <w:rPr>
                <w:sz w:val="24"/>
                <w:szCs w:val="24"/>
              </w:rPr>
            </w:pPr>
          </w:p>
          <w:p w:rsidR="00762DFB" w:rsidRPr="00730AC1" w:rsidRDefault="00762DFB" w:rsidP="003B4BCE">
            <w:pPr>
              <w:rPr>
                <w:sz w:val="24"/>
                <w:szCs w:val="24"/>
              </w:rPr>
            </w:pPr>
            <w:r w:rsidRPr="00AC10D3">
              <w:rPr>
                <w:sz w:val="24"/>
                <w:szCs w:val="24"/>
              </w:rPr>
              <w:t>Meget sjælden (</w:t>
            </w:r>
            <w:r w:rsidRPr="00AC10D3">
              <w:rPr>
                <w:rFonts w:ascii="Symbol" w:hAnsi="Symbol"/>
                <w:sz w:val="24"/>
                <w:szCs w:val="24"/>
              </w:rPr>
              <w:t></w:t>
            </w:r>
            <w:r w:rsidRPr="00AC10D3">
              <w:rPr>
                <w:sz w:val="24"/>
                <w:szCs w:val="24"/>
              </w:rPr>
              <w:t>1/10.000)</w:t>
            </w:r>
          </w:p>
        </w:tc>
        <w:tc>
          <w:tcPr>
            <w:tcW w:w="5528" w:type="dxa"/>
          </w:tcPr>
          <w:p w:rsidR="00762DFB" w:rsidRPr="00730AC1" w:rsidRDefault="00762DFB" w:rsidP="003B4BCE">
            <w:pPr>
              <w:rPr>
                <w:sz w:val="24"/>
                <w:szCs w:val="24"/>
              </w:rPr>
            </w:pPr>
          </w:p>
          <w:p w:rsidR="00762DFB" w:rsidRDefault="00762DFB" w:rsidP="003B4BCE">
            <w:pPr>
              <w:rPr>
                <w:sz w:val="24"/>
                <w:szCs w:val="24"/>
              </w:rPr>
            </w:pPr>
            <w:r w:rsidRPr="00730AC1">
              <w:rPr>
                <w:sz w:val="24"/>
                <w:szCs w:val="24"/>
              </w:rPr>
              <w:t xml:space="preserve">Forøget </w:t>
            </w:r>
            <w:proofErr w:type="spellStart"/>
            <w:r w:rsidRPr="00730AC1">
              <w:rPr>
                <w:sz w:val="24"/>
                <w:szCs w:val="24"/>
              </w:rPr>
              <w:t>levertransaminaser</w:t>
            </w:r>
            <w:proofErr w:type="spellEnd"/>
            <w:r>
              <w:rPr>
                <w:sz w:val="24"/>
                <w:szCs w:val="24"/>
              </w:rPr>
              <w:t>.</w:t>
            </w:r>
          </w:p>
          <w:p w:rsidR="00762DFB" w:rsidRDefault="00762DFB" w:rsidP="003B4BCE">
            <w:pPr>
              <w:pStyle w:val="Titel"/>
              <w:jc w:val="left"/>
              <w:rPr>
                <w:b w:val="0"/>
                <w:noProof/>
                <w:szCs w:val="24"/>
              </w:rPr>
            </w:pPr>
          </w:p>
          <w:p w:rsidR="00762DFB" w:rsidRDefault="00762DFB" w:rsidP="003B4BCE">
            <w:pPr>
              <w:pStyle w:val="Titel"/>
              <w:jc w:val="left"/>
              <w:rPr>
                <w:b w:val="0"/>
                <w:noProof/>
                <w:szCs w:val="24"/>
              </w:rPr>
            </w:pPr>
            <w:r>
              <w:rPr>
                <w:b w:val="0"/>
                <w:noProof/>
                <w:szCs w:val="24"/>
              </w:rPr>
              <w:t>Hepatisk dysfunktion.</w:t>
            </w:r>
          </w:p>
          <w:p w:rsidR="00762DFB" w:rsidRPr="00730AC1" w:rsidRDefault="00762DFB" w:rsidP="003B4BCE">
            <w:pPr>
              <w:rPr>
                <w:sz w:val="24"/>
                <w:szCs w:val="24"/>
              </w:rPr>
            </w:pPr>
          </w:p>
        </w:tc>
      </w:tr>
      <w:tr w:rsidR="00762DFB" w:rsidRPr="00730AC1" w:rsidTr="003B4BCE">
        <w:tc>
          <w:tcPr>
            <w:tcW w:w="3373" w:type="dxa"/>
          </w:tcPr>
          <w:p w:rsidR="00762DFB" w:rsidRPr="00730AC1" w:rsidRDefault="00762DFB" w:rsidP="003B4BCE">
            <w:pPr>
              <w:rPr>
                <w:b/>
                <w:sz w:val="24"/>
                <w:szCs w:val="24"/>
              </w:rPr>
            </w:pPr>
            <w:r w:rsidRPr="00730AC1">
              <w:rPr>
                <w:b/>
                <w:sz w:val="24"/>
                <w:szCs w:val="24"/>
              </w:rPr>
              <w:t xml:space="preserve">Hud og subkutane </w:t>
            </w:r>
            <w:r>
              <w:rPr>
                <w:b/>
                <w:sz w:val="24"/>
                <w:szCs w:val="24"/>
              </w:rPr>
              <w:t>væv</w:t>
            </w:r>
          </w:p>
          <w:p w:rsidR="00762DFB" w:rsidRDefault="00762DFB" w:rsidP="003B4BCE">
            <w:pPr>
              <w:rPr>
                <w:sz w:val="24"/>
                <w:szCs w:val="24"/>
              </w:rPr>
            </w:pPr>
            <w:r w:rsidRPr="00730AC1">
              <w:rPr>
                <w:sz w:val="24"/>
                <w:szCs w:val="24"/>
              </w:rPr>
              <w:t>Sjælden (</w:t>
            </w:r>
            <w:r w:rsidRPr="00730AC1">
              <w:rPr>
                <w:sz w:val="24"/>
                <w:szCs w:val="24"/>
              </w:rPr>
              <w:sym w:font="Symbol" w:char="00B3"/>
            </w:r>
            <w:r w:rsidRPr="00730AC1">
              <w:rPr>
                <w:sz w:val="24"/>
                <w:szCs w:val="24"/>
              </w:rPr>
              <w:t>1/10.000 til &lt;1/1.000)</w:t>
            </w:r>
          </w:p>
          <w:p w:rsidR="00762DFB" w:rsidRDefault="00762DFB" w:rsidP="003B4BCE">
            <w:pPr>
              <w:rPr>
                <w:sz w:val="24"/>
                <w:szCs w:val="24"/>
              </w:rPr>
            </w:pPr>
          </w:p>
          <w:p w:rsidR="00762DFB" w:rsidRPr="00D51B61" w:rsidRDefault="00762DFB" w:rsidP="003B4BCE">
            <w:pPr>
              <w:rPr>
                <w:sz w:val="24"/>
                <w:szCs w:val="24"/>
              </w:rPr>
            </w:pPr>
            <w:r w:rsidRPr="000D6C40">
              <w:rPr>
                <w:sz w:val="24"/>
                <w:szCs w:val="24"/>
              </w:rPr>
              <w:t>Meget sjælden (</w:t>
            </w:r>
            <w:r w:rsidRPr="000D6C40">
              <w:rPr>
                <w:rFonts w:ascii="Symbol" w:hAnsi="Symbol"/>
                <w:sz w:val="24"/>
                <w:szCs w:val="24"/>
              </w:rPr>
              <w:t></w:t>
            </w:r>
            <w:r w:rsidRPr="000D6C40">
              <w:rPr>
                <w:sz w:val="24"/>
                <w:szCs w:val="24"/>
              </w:rPr>
              <w:t>1/10.000)</w:t>
            </w:r>
          </w:p>
        </w:tc>
        <w:tc>
          <w:tcPr>
            <w:tcW w:w="5528" w:type="dxa"/>
          </w:tcPr>
          <w:p w:rsidR="00762DFB" w:rsidRPr="00730AC1" w:rsidRDefault="00762DFB" w:rsidP="003B4BCE">
            <w:pPr>
              <w:rPr>
                <w:sz w:val="24"/>
                <w:szCs w:val="24"/>
              </w:rPr>
            </w:pPr>
          </w:p>
          <w:p w:rsidR="00762DFB" w:rsidRDefault="00762DFB" w:rsidP="003B4BCE">
            <w:pPr>
              <w:rPr>
                <w:sz w:val="24"/>
                <w:szCs w:val="24"/>
              </w:rPr>
            </w:pPr>
            <w:proofErr w:type="spellStart"/>
            <w:r>
              <w:rPr>
                <w:sz w:val="24"/>
                <w:szCs w:val="24"/>
              </w:rPr>
              <w:t>Eksantem</w:t>
            </w:r>
            <w:proofErr w:type="spellEnd"/>
            <w:r w:rsidRPr="00730AC1">
              <w:rPr>
                <w:sz w:val="24"/>
                <w:szCs w:val="24"/>
              </w:rPr>
              <w:t>, nældefeber</w:t>
            </w:r>
            <w:r>
              <w:rPr>
                <w:sz w:val="24"/>
                <w:szCs w:val="24"/>
              </w:rPr>
              <w:t>.</w:t>
            </w:r>
          </w:p>
          <w:p w:rsidR="00762DFB" w:rsidRDefault="00762DFB" w:rsidP="003B4BCE">
            <w:pPr>
              <w:rPr>
                <w:sz w:val="24"/>
                <w:szCs w:val="24"/>
              </w:rPr>
            </w:pPr>
          </w:p>
          <w:p w:rsidR="00762DFB" w:rsidRDefault="00762DFB" w:rsidP="003B4BCE">
            <w:pPr>
              <w:rPr>
                <w:bCs/>
                <w:sz w:val="24"/>
                <w:szCs w:val="24"/>
              </w:rPr>
            </w:pPr>
            <w:proofErr w:type="spellStart"/>
            <w:r>
              <w:rPr>
                <w:sz w:val="24"/>
                <w:szCs w:val="24"/>
              </w:rPr>
              <w:t>Angioødem</w:t>
            </w:r>
            <w:proofErr w:type="spellEnd"/>
            <w:r>
              <w:rPr>
                <w:sz w:val="24"/>
                <w:szCs w:val="24"/>
              </w:rPr>
              <w:t>, a</w:t>
            </w:r>
            <w:r w:rsidRPr="00916A5F">
              <w:rPr>
                <w:sz w:val="24"/>
                <w:szCs w:val="24"/>
              </w:rPr>
              <w:t xml:space="preserve">llergisk </w:t>
            </w:r>
            <w:proofErr w:type="spellStart"/>
            <w:r w:rsidRPr="00916A5F">
              <w:rPr>
                <w:sz w:val="24"/>
                <w:szCs w:val="24"/>
              </w:rPr>
              <w:t>dermatitis</w:t>
            </w:r>
            <w:proofErr w:type="spellEnd"/>
            <w:r w:rsidRPr="00916A5F">
              <w:rPr>
                <w:sz w:val="24"/>
                <w:szCs w:val="24"/>
              </w:rPr>
              <w:t xml:space="preserve"> (overfølsomhedsreaktioner)</w:t>
            </w:r>
            <w:r>
              <w:rPr>
                <w:sz w:val="24"/>
                <w:szCs w:val="24"/>
              </w:rPr>
              <w:t>,</w:t>
            </w:r>
            <w:r w:rsidRPr="00916A5F">
              <w:rPr>
                <w:bCs/>
                <w:sz w:val="24"/>
                <w:szCs w:val="24"/>
              </w:rPr>
              <w:t xml:space="preserve"> Stevens-</w:t>
            </w:r>
            <w:proofErr w:type="spellStart"/>
            <w:r w:rsidRPr="00916A5F">
              <w:rPr>
                <w:bCs/>
                <w:sz w:val="24"/>
                <w:szCs w:val="24"/>
              </w:rPr>
              <w:t>Johnson</w:t>
            </w:r>
            <w:r>
              <w:rPr>
                <w:bCs/>
                <w:sz w:val="24"/>
                <w:szCs w:val="24"/>
              </w:rPr>
              <w:t>'s</w:t>
            </w:r>
            <w:proofErr w:type="spellEnd"/>
            <w:r w:rsidRPr="00916A5F">
              <w:rPr>
                <w:bCs/>
                <w:sz w:val="24"/>
                <w:szCs w:val="24"/>
              </w:rPr>
              <w:t xml:space="preserve"> syndrom</w:t>
            </w:r>
            <w:r>
              <w:rPr>
                <w:bCs/>
                <w:sz w:val="24"/>
                <w:szCs w:val="24"/>
              </w:rPr>
              <w:t xml:space="preserve">, </w:t>
            </w:r>
            <w:r>
              <w:rPr>
                <w:noProof/>
                <w:szCs w:val="24"/>
              </w:rPr>
              <w:t>toksisk epidermal nekrolyse</w:t>
            </w:r>
            <w:r w:rsidRPr="00916A5F">
              <w:rPr>
                <w:bCs/>
                <w:sz w:val="24"/>
                <w:szCs w:val="24"/>
              </w:rPr>
              <w:t>.</w:t>
            </w:r>
          </w:p>
          <w:p w:rsidR="00762DFB" w:rsidRPr="00730AC1" w:rsidRDefault="00762DFB" w:rsidP="003B4BCE">
            <w:pPr>
              <w:rPr>
                <w:sz w:val="24"/>
                <w:szCs w:val="24"/>
              </w:rPr>
            </w:pPr>
          </w:p>
        </w:tc>
      </w:tr>
      <w:tr w:rsidR="00762DFB" w:rsidRPr="00730AC1" w:rsidTr="003B4BCE">
        <w:tc>
          <w:tcPr>
            <w:tcW w:w="3373" w:type="dxa"/>
          </w:tcPr>
          <w:p w:rsidR="00762DFB" w:rsidRPr="00730AC1" w:rsidRDefault="00762DFB" w:rsidP="003B4BCE">
            <w:pPr>
              <w:rPr>
                <w:b/>
                <w:sz w:val="24"/>
                <w:szCs w:val="24"/>
              </w:rPr>
            </w:pPr>
            <w:r w:rsidRPr="00730AC1">
              <w:rPr>
                <w:b/>
                <w:sz w:val="24"/>
                <w:szCs w:val="24"/>
              </w:rPr>
              <w:t>Nyrer og urinveje</w:t>
            </w:r>
          </w:p>
          <w:p w:rsidR="00762DFB" w:rsidRPr="00730AC1" w:rsidRDefault="00762DFB" w:rsidP="003B4BCE">
            <w:pPr>
              <w:rPr>
                <w:sz w:val="24"/>
                <w:szCs w:val="24"/>
              </w:rPr>
            </w:pPr>
            <w:r w:rsidRPr="00E30B7F">
              <w:rPr>
                <w:sz w:val="24"/>
                <w:szCs w:val="24"/>
              </w:rPr>
              <w:t>Meget sjælden (</w:t>
            </w:r>
            <w:r w:rsidRPr="00E30B7F">
              <w:rPr>
                <w:rFonts w:ascii="Symbol" w:hAnsi="Symbol"/>
                <w:sz w:val="24"/>
                <w:szCs w:val="24"/>
              </w:rPr>
              <w:t></w:t>
            </w:r>
            <w:r w:rsidRPr="00E30B7F">
              <w:rPr>
                <w:sz w:val="24"/>
                <w:szCs w:val="24"/>
              </w:rPr>
              <w:t>1/10.000)</w:t>
            </w:r>
          </w:p>
        </w:tc>
        <w:tc>
          <w:tcPr>
            <w:tcW w:w="5528" w:type="dxa"/>
          </w:tcPr>
          <w:p w:rsidR="00762DFB" w:rsidRPr="00730AC1" w:rsidRDefault="00762DFB" w:rsidP="003B4BCE">
            <w:pPr>
              <w:rPr>
                <w:i/>
                <w:sz w:val="24"/>
                <w:szCs w:val="24"/>
              </w:rPr>
            </w:pPr>
          </w:p>
          <w:p w:rsidR="00762DFB" w:rsidRDefault="00762DFB" w:rsidP="003B4BCE">
            <w:pPr>
              <w:rPr>
                <w:sz w:val="24"/>
                <w:szCs w:val="24"/>
              </w:rPr>
            </w:pPr>
            <w:r w:rsidRPr="00916A5F">
              <w:rPr>
                <w:sz w:val="24"/>
                <w:szCs w:val="24"/>
              </w:rPr>
              <w:t>Ved langtidsbehandling kan muligheden for nyreskade ikke udelukkes (se pkt. 4.4).</w:t>
            </w:r>
          </w:p>
          <w:p w:rsidR="00762DFB" w:rsidRPr="00730AC1" w:rsidRDefault="00762DFB" w:rsidP="003B4BCE">
            <w:pPr>
              <w:rPr>
                <w:sz w:val="24"/>
                <w:szCs w:val="24"/>
              </w:rPr>
            </w:pPr>
          </w:p>
        </w:tc>
      </w:tr>
    </w:tbl>
    <w:p w:rsidR="00762DFB" w:rsidRDefault="00762DFB" w:rsidP="00762DFB">
      <w:pPr>
        <w:ind w:left="851"/>
        <w:rPr>
          <w:sz w:val="24"/>
          <w:szCs w:val="24"/>
        </w:rPr>
      </w:pPr>
    </w:p>
    <w:p w:rsidR="00762DFB" w:rsidRDefault="00762DFB" w:rsidP="00762DFB">
      <w:pPr>
        <w:ind w:left="851"/>
        <w:jc w:val="both"/>
        <w:rPr>
          <w:spacing w:val="-3"/>
          <w:sz w:val="24"/>
          <w:szCs w:val="24"/>
        </w:rPr>
      </w:pPr>
      <w:r w:rsidRPr="00916A5F">
        <w:rPr>
          <w:spacing w:val="-3"/>
          <w:sz w:val="24"/>
          <w:szCs w:val="24"/>
        </w:rPr>
        <w:t xml:space="preserve">Der har været rapporter om </w:t>
      </w:r>
      <w:r>
        <w:rPr>
          <w:spacing w:val="-3"/>
          <w:sz w:val="24"/>
          <w:szCs w:val="24"/>
        </w:rPr>
        <w:t xml:space="preserve">meget </w:t>
      </w:r>
      <w:r w:rsidRPr="00916A5F">
        <w:rPr>
          <w:spacing w:val="-3"/>
          <w:sz w:val="24"/>
          <w:szCs w:val="24"/>
        </w:rPr>
        <w:t>sjældne tilfælde af alvorlige hudreaktioner</w:t>
      </w:r>
      <w:r>
        <w:rPr>
          <w:spacing w:val="-3"/>
          <w:sz w:val="24"/>
          <w:szCs w:val="24"/>
        </w:rPr>
        <w:t>.</w:t>
      </w:r>
    </w:p>
    <w:p w:rsidR="00762DFB" w:rsidRDefault="00762DFB" w:rsidP="00762DFB">
      <w:pPr>
        <w:ind w:left="851"/>
        <w:jc w:val="both"/>
        <w:rPr>
          <w:spacing w:val="-3"/>
          <w:sz w:val="24"/>
          <w:szCs w:val="24"/>
        </w:rPr>
      </w:pPr>
    </w:p>
    <w:p w:rsidR="00762DFB" w:rsidRPr="00672E52" w:rsidRDefault="00762DFB" w:rsidP="00762DFB">
      <w:pPr>
        <w:ind w:left="851"/>
        <w:rPr>
          <w:color w:val="000000"/>
          <w:sz w:val="24"/>
          <w:szCs w:val="24"/>
          <w:lang w:eastAsia="da-DK"/>
        </w:rPr>
      </w:pPr>
      <w:r w:rsidRPr="00672E52">
        <w:rPr>
          <w:color w:val="000000"/>
          <w:sz w:val="24"/>
          <w:szCs w:val="24"/>
          <w:lang w:eastAsia="da-DK"/>
        </w:rPr>
        <w:t xml:space="preserve">Leverskade er </w:t>
      </w:r>
      <w:r>
        <w:rPr>
          <w:color w:val="000000"/>
          <w:sz w:val="24"/>
          <w:szCs w:val="24"/>
          <w:lang w:eastAsia="da-DK"/>
        </w:rPr>
        <w:t xml:space="preserve">opstået </w:t>
      </w:r>
      <w:r w:rsidRPr="00672E52">
        <w:rPr>
          <w:color w:val="000000"/>
          <w:sz w:val="24"/>
          <w:szCs w:val="24"/>
          <w:lang w:eastAsia="da-DK"/>
        </w:rPr>
        <w:t xml:space="preserve">efter </w:t>
      </w:r>
      <w:r>
        <w:rPr>
          <w:color w:val="000000"/>
          <w:sz w:val="24"/>
          <w:szCs w:val="24"/>
          <w:lang w:eastAsia="da-DK"/>
        </w:rPr>
        <w:t>anvendelse af paracetamol i forbindelse med alkoholmisbrug.</w:t>
      </w:r>
    </w:p>
    <w:p w:rsidR="00762DFB" w:rsidRPr="00672E52" w:rsidRDefault="00762DFB" w:rsidP="00762DFB">
      <w:pPr>
        <w:autoSpaceDE w:val="0"/>
        <w:autoSpaceDN w:val="0"/>
        <w:adjustRightInd w:val="0"/>
        <w:ind w:left="851"/>
        <w:rPr>
          <w:color w:val="000000"/>
          <w:sz w:val="24"/>
          <w:szCs w:val="24"/>
          <w:highlight w:val="yellow"/>
          <w:u w:val="single"/>
          <w:lang w:eastAsia="da-DK"/>
        </w:rPr>
      </w:pPr>
    </w:p>
    <w:p w:rsidR="00762DFB" w:rsidRPr="00672E52" w:rsidRDefault="00762DFB" w:rsidP="00762DFB">
      <w:pPr>
        <w:autoSpaceDE w:val="0"/>
        <w:autoSpaceDN w:val="0"/>
        <w:adjustRightInd w:val="0"/>
        <w:ind w:left="851"/>
        <w:rPr>
          <w:color w:val="000000"/>
          <w:sz w:val="24"/>
          <w:szCs w:val="24"/>
          <w:u w:val="single"/>
          <w:lang w:eastAsia="da-DK"/>
        </w:rPr>
      </w:pPr>
      <w:r w:rsidRPr="00672E52">
        <w:rPr>
          <w:noProof/>
          <w:sz w:val="24"/>
          <w:szCs w:val="24"/>
          <w:u w:val="single"/>
        </w:rPr>
        <w:t>Pædiatrisk</w:t>
      </w:r>
      <w:r w:rsidRPr="00672E52">
        <w:rPr>
          <w:color w:val="000000"/>
          <w:sz w:val="24"/>
          <w:szCs w:val="24"/>
          <w:u w:val="single"/>
          <w:lang w:eastAsia="da-DK"/>
        </w:rPr>
        <w:t xml:space="preserve"> population </w:t>
      </w:r>
    </w:p>
    <w:p w:rsidR="00762DFB" w:rsidRPr="00916A5F" w:rsidRDefault="00762DFB" w:rsidP="00762DFB">
      <w:pPr>
        <w:ind w:left="851"/>
        <w:rPr>
          <w:sz w:val="24"/>
          <w:szCs w:val="24"/>
        </w:rPr>
      </w:pPr>
      <w:r w:rsidRPr="00916A5F">
        <w:rPr>
          <w:sz w:val="24"/>
          <w:szCs w:val="24"/>
        </w:rPr>
        <w:t>Frekvens, type og alvorlighed af bivirkninger hos børn forventes at være det samme som hos voksne.</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Paracetamol er blevet anvendt i stort omfang, og der er sjældent rapporteret om bivirkninger. Bivirkninger er almindeligvis associeret med overdosis. </w:t>
      </w:r>
      <w:proofErr w:type="spellStart"/>
      <w:r w:rsidRPr="00730AC1">
        <w:rPr>
          <w:sz w:val="24"/>
          <w:szCs w:val="24"/>
        </w:rPr>
        <w:t>Nefrotoksiske</w:t>
      </w:r>
      <w:proofErr w:type="spellEnd"/>
      <w:r w:rsidRPr="00730AC1">
        <w:rPr>
          <w:sz w:val="24"/>
          <w:szCs w:val="24"/>
        </w:rPr>
        <w:t xml:space="preserve"> bivirkninger er ikke-almindelige og er ikke set i forbindelse med terapeutiske doser, undtagen efter længerevarende anvendelse.</w:t>
      </w:r>
    </w:p>
    <w:p w:rsidR="00762DFB" w:rsidRPr="00730AC1" w:rsidRDefault="00762DFB" w:rsidP="00762DFB">
      <w:pPr>
        <w:ind w:left="851"/>
        <w:rPr>
          <w:sz w:val="24"/>
          <w:szCs w:val="24"/>
        </w:rPr>
      </w:pPr>
    </w:p>
    <w:p w:rsidR="00762DFB" w:rsidRPr="008F49E1" w:rsidRDefault="00762DFB" w:rsidP="00762DF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62DFB" w:rsidRPr="008F49E1" w:rsidRDefault="00762DFB" w:rsidP="00762DF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43BD9">
        <w:rPr>
          <w:sz w:val="24"/>
          <w:szCs w:val="24"/>
          <w:lang w:eastAsia="da-DK"/>
        </w:rPr>
        <w:t>S</w:t>
      </w:r>
      <w:r w:rsidRPr="008F49E1">
        <w:rPr>
          <w:sz w:val="24"/>
          <w:szCs w:val="24"/>
          <w:lang w:eastAsia="da-DK"/>
        </w:rPr>
        <w:t>undhedsperson</w:t>
      </w:r>
      <w:r w:rsidR="00E43BD9">
        <w:rPr>
          <w:sz w:val="24"/>
          <w:szCs w:val="24"/>
          <w:lang w:eastAsia="da-DK"/>
        </w:rPr>
        <w:t>er</w:t>
      </w:r>
      <w:r w:rsidRPr="008F49E1">
        <w:rPr>
          <w:sz w:val="24"/>
          <w:szCs w:val="24"/>
          <w:lang w:eastAsia="da-DK"/>
        </w:rPr>
        <w:t xml:space="preserve"> anmodes om at indberette alle formodede bivirkninger via:</w:t>
      </w:r>
    </w:p>
    <w:p w:rsidR="00762DFB" w:rsidRPr="008F49E1" w:rsidRDefault="00762DFB" w:rsidP="00762DFB">
      <w:pPr>
        <w:ind w:left="851"/>
        <w:rPr>
          <w:sz w:val="24"/>
          <w:szCs w:val="24"/>
          <w:lang w:eastAsia="da-DK"/>
        </w:rPr>
      </w:pPr>
    </w:p>
    <w:p w:rsidR="00762DFB" w:rsidRPr="007A276A" w:rsidRDefault="00762DFB" w:rsidP="00762DFB">
      <w:pPr>
        <w:ind w:left="851"/>
        <w:rPr>
          <w:sz w:val="24"/>
          <w:szCs w:val="24"/>
          <w:lang w:eastAsia="da-DK"/>
        </w:rPr>
      </w:pPr>
      <w:r w:rsidRPr="007A276A">
        <w:rPr>
          <w:sz w:val="24"/>
          <w:szCs w:val="24"/>
          <w:lang w:eastAsia="da-DK"/>
        </w:rPr>
        <w:t>Lægemiddelstyrelsen</w:t>
      </w:r>
    </w:p>
    <w:p w:rsidR="00762DFB" w:rsidRPr="007A276A" w:rsidRDefault="00762DFB" w:rsidP="00762DFB">
      <w:pPr>
        <w:ind w:left="851"/>
        <w:rPr>
          <w:sz w:val="24"/>
          <w:szCs w:val="24"/>
          <w:lang w:eastAsia="da-DK"/>
        </w:rPr>
      </w:pPr>
      <w:r w:rsidRPr="007A276A">
        <w:rPr>
          <w:sz w:val="24"/>
          <w:szCs w:val="24"/>
          <w:lang w:eastAsia="da-DK"/>
        </w:rPr>
        <w:t>Axel Heides Gade 1</w:t>
      </w:r>
    </w:p>
    <w:p w:rsidR="00762DFB" w:rsidRPr="007A276A" w:rsidRDefault="00762DFB" w:rsidP="00762DFB">
      <w:pPr>
        <w:ind w:left="851"/>
        <w:rPr>
          <w:sz w:val="24"/>
          <w:szCs w:val="24"/>
          <w:lang w:eastAsia="da-DK"/>
        </w:rPr>
      </w:pPr>
      <w:r w:rsidRPr="007A276A">
        <w:rPr>
          <w:sz w:val="24"/>
          <w:szCs w:val="24"/>
          <w:lang w:eastAsia="da-DK"/>
        </w:rPr>
        <w:t>DK-2300 København S</w:t>
      </w:r>
    </w:p>
    <w:p w:rsidR="00762DFB" w:rsidRPr="00664907" w:rsidRDefault="00762DFB" w:rsidP="00762DFB">
      <w:pPr>
        <w:ind w:left="851"/>
        <w:rPr>
          <w:sz w:val="24"/>
          <w:szCs w:val="24"/>
          <w:lang w:eastAsia="da-DK"/>
        </w:rPr>
      </w:pPr>
      <w:r w:rsidRPr="00664907">
        <w:rPr>
          <w:sz w:val="24"/>
          <w:szCs w:val="24"/>
          <w:lang w:eastAsia="da-DK"/>
        </w:rPr>
        <w:t xml:space="preserve">Websted: </w:t>
      </w:r>
      <w:r w:rsidRPr="00664907">
        <w:rPr>
          <w:sz w:val="24"/>
          <w:lang w:eastAsia="da-DK"/>
        </w:rPr>
        <w:t>www.meldenbivirkning.dk</w:t>
      </w:r>
    </w:p>
    <w:p w:rsidR="00762DFB" w:rsidRPr="00664907" w:rsidRDefault="00762DFB" w:rsidP="00762DFB">
      <w:pPr>
        <w:pStyle w:val="Sidehoved"/>
        <w:tabs>
          <w:tab w:val="clear" w:pos="4819"/>
          <w:tab w:val="clear" w:pos="9638"/>
        </w:tabs>
        <w:ind w:left="851" w:hanging="851"/>
        <w:rPr>
          <w:szCs w:val="24"/>
        </w:rPr>
      </w:pPr>
    </w:p>
    <w:p w:rsidR="00762DFB" w:rsidRPr="00730AC1" w:rsidRDefault="00762DFB" w:rsidP="00762DFB">
      <w:pPr>
        <w:ind w:left="851" w:hanging="851"/>
        <w:rPr>
          <w:b/>
          <w:sz w:val="24"/>
          <w:szCs w:val="24"/>
        </w:rPr>
      </w:pPr>
      <w:r w:rsidRPr="00730AC1">
        <w:rPr>
          <w:b/>
          <w:sz w:val="24"/>
          <w:szCs w:val="24"/>
        </w:rPr>
        <w:t>4.9</w:t>
      </w:r>
      <w:r w:rsidRPr="00730AC1">
        <w:rPr>
          <w:b/>
          <w:sz w:val="24"/>
          <w:szCs w:val="24"/>
        </w:rPr>
        <w:tab/>
        <w:t>Overdosering</w:t>
      </w:r>
    </w:p>
    <w:p w:rsidR="00762DFB" w:rsidRPr="00730AC1" w:rsidRDefault="00762DFB" w:rsidP="00762DFB">
      <w:pPr>
        <w:ind w:left="851"/>
        <w:rPr>
          <w:sz w:val="24"/>
          <w:szCs w:val="24"/>
        </w:rPr>
      </w:pPr>
      <w:r w:rsidRPr="00730AC1">
        <w:rPr>
          <w:sz w:val="24"/>
          <w:szCs w:val="24"/>
        </w:rPr>
        <w:t>Der er risiko for forgiftning, særligt hos ældre patienter, hos små børn, hos patienter med leversygdom, i tilfælde med kronisk alkoholisme og hos patienter, der lider af kronisk fejlernæring. Overdosering kan være fatal.</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Der er risiko for leverskade hos voksne, som har taget </w:t>
      </w:r>
      <w:smartTag w:uri="urn:schemas-microsoft-com:office:smarttags" w:element="metricconverter">
        <w:smartTagPr>
          <w:attr w:name="ProductID" w:val="10 g"/>
        </w:smartTagPr>
        <w:r w:rsidRPr="00730AC1">
          <w:rPr>
            <w:sz w:val="24"/>
            <w:szCs w:val="24"/>
          </w:rPr>
          <w:t>10 g</w:t>
        </w:r>
      </w:smartTag>
      <w:r w:rsidRPr="00730AC1">
        <w:rPr>
          <w:sz w:val="24"/>
          <w:szCs w:val="24"/>
        </w:rPr>
        <w:t xml:space="preserve"> paracetamol eller mere. Indtagelse af </w:t>
      </w:r>
      <w:smartTag w:uri="urn:schemas-microsoft-com:office:smarttags" w:element="metricconverter">
        <w:smartTagPr>
          <w:attr w:name="ProductID" w:val="5 g"/>
        </w:smartTagPr>
        <w:r w:rsidRPr="00730AC1">
          <w:rPr>
            <w:sz w:val="24"/>
            <w:szCs w:val="24"/>
          </w:rPr>
          <w:t>5 g</w:t>
        </w:r>
      </w:smartTag>
      <w:r w:rsidRPr="00730AC1">
        <w:rPr>
          <w:sz w:val="24"/>
          <w:szCs w:val="24"/>
        </w:rPr>
        <w:t xml:space="preserve"> paracetamol eller mere kan forårsage leverskade, hvis patienten har risikofaktorer (se nedenfor).</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For store mængder toksisk metabolit (afgiftes hurtigt af </w:t>
      </w:r>
      <w:proofErr w:type="spellStart"/>
      <w:r w:rsidRPr="00730AC1">
        <w:rPr>
          <w:sz w:val="24"/>
          <w:szCs w:val="24"/>
        </w:rPr>
        <w:t>glutathion</w:t>
      </w:r>
      <w:proofErr w:type="spellEnd"/>
      <w:r w:rsidRPr="00730AC1">
        <w:rPr>
          <w:sz w:val="24"/>
          <w:szCs w:val="24"/>
        </w:rPr>
        <w:t xml:space="preserve"> ved indtagelse af normale doser af paracetamol) anses for uigenkaldeligt at binde sig til levervævet.</w:t>
      </w:r>
    </w:p>
    <w:p w:rsidR="00762DFB" w:rsidRPr="00730AC1" w:rsidRDefault="00762DFB" w:rsidP="00762DFB">
      <w:pPr>
        <w:ind w:left="851"/>
        <w:rPr>
          <w:sz w:val="24"/>
          <w:szCs w:val="24"/>
        </w:rPr>
      </w:pPr>
    </w:p>
    <w:p w:rsidR="00762DFB" w:rsidRDefault="00762DFB" w:rsidP="00762DFB">
      <w:pPr>
        <w:ind w:left="851"/>
        <w:rPr>
          <w:sz w:val="24"/>
          <w:szCs w:val="24"/>
          <w:u w:val="single"/>
        </w:rPr>
      </w:pPr>
      <w:r>
        <w:rPr>
          <w:sz w:val="24"/>
          <w:szCs w:val="24"/>
          <w:u w:val="single"/>
        </w:rPr>
        <w:t>Risikofaktorer</w:t>
      </w:r>
    </w:p>
    <w:p w:rsidR="00762DFB" w:rsidRDefault="00762DFB" w:rsidP="00762DFB">
      <w:pPr>
        <w:ind w:left="851"/>
        <w:rPr>
          <w:sz w:val="24"/>
          <w:szCs w:val="24"/>
        </w:rPr>
      </w:pPr>
      <w:r w:rsidRPr="00730AC1">
        <w:rPr>
          <w:sz w:val="24"/>
          <w:szCs w:val="24"/>
        </w:rPr>
        <w:t xml:space="preserve">Hvis patienten </w:t>
      </w:r>
    </w:p>
    <w:p w:rsidR="00762DFB" w:rsidRPr="00730AC1" w:rsidRDefault="00762DFB" w:rsidP="00762DFB">
      <w:pPr>
        <w:ind w:left="851"/>
        <w:rPr>
          <w:sz w:val="24"/>
          <w:szCs w:val="24"/>
        </w:rPr>
      </w:pPr>
    </w:p>
    <w:p w:rsidR="00762DFB" w:rsidRPr="00730AC1" w:rsidRDefault="00762DFB" w:rsidP="00762DFB">
      <w:pPr>
        <w:numPr>
          <w:ilvl w:val="0"/>
          <w:numId w:val="7"/>
        </w:numPr>
        <w:ind w:left="1134" w:hanging="283"/>
        <w:rPr>
          <w:sz w:val="24"/>
          <w:szCs w:val="24"/>
        </w:rPr>
      </w:pPr>
      <w:r w:rsidRPr="00730AC1">
        <w:rPr>
          <w:sz w:val="24"/>
          <w:szCs w:val="24"/>
        </w:rPr>
        <w:t xml:space="preserve">er i langtidsbehandling med </w:t>
      </w:r>
      <w:proofErr w:type="spellStart"/>
      <w:r w:rsidRPr="00730AC1">
        <w:rPr>
          <w:sz w:val="24"/>
          <w:szCs w:val="24"/>
        </w:rPr>
        <w:t>carbamazepin</w:t>
      </w:r>
      <w:proofErr w:type="spellEnd"/>
      <w:r w:rsidRPr="00730AC1">
        <w:rPr>
          <w:sz w:val="24"/>
          <w:szCs w:val="24"/>
        </w:rPr>
        <w:t xml:space="preserve">, </w:t>
      </w:r>
      <w:proofErr w:type="spellStart"/>
      <w:r w:rsidRPr="00730AC1">
        <w:rPr>
          <w:sz w:val="24"/>
          <w:szCs w:val="24"/>
        </w:rPr>
        <w:t>phenobarbiton</w:t>
      </w:r>
      <w:proofErr w:type="spellEnd"/>
      <w:r w:rsidRPr="00730AC1">
        <w:rPr>
          <w:sz w:val="24"/>
          <w:szCs w:val="24"/>
        </w:rPr>
        <w:t xml:space="preserve">, </w:t>
      </w:r>
      <w:proofErr w:type="spellStart"/>
      <w:r w:rsidRPr="00730AC1">
        <w:rPr>
          <w:sz w:val="24"/>
          <w:szCs w:val="24"/>
        </w:rPr>
        <w:t>phenytoin</w:t>
      </w:r>
      <w:proofErr w:type="spellEnd"/>
      <w:r w:rsidRPr="00730AC1">
        <w:rPr>
          <w:sz w:val="24"/>
          <w:szCs w:val="24"/>
        </w:rPr>
        <w:t xml:space="preserve">, </w:t>
      </w:r>
      <w:proofErr w:type="spellStart"/>
      <w:r w:rsidRPr="00730AC1">
        <w:rPr>
          <w:sz w:val="24"/>
          <w:szCs w:val="24"/>
        </w:rPr>
        <w:t>primidone</w:t>
      </w:r>
      <w:proofErr w:type="spellEnd"/>
      <w:r w:rsidRPr="00730AC1">
        <w:rPr>
          <w:sz w:val="24"/>
          <w:szCs w:val="24"/>
        </w:rPr>
        <w:t xml:space="preserve">, </w:t>
      </w:r>
      <w:proofErr w:type="spellStart"/>
      <w:r w:rsidRPr="00730AC1">
        <w:rPr>
          <w:sz w:val="24"/>
          <w:szCs w:val="24"/>
        </w:rPr>
        <w:t>rifampicin</w:t>
      </w:r>
      <w:proofErr w:type="spellEnd"/>
      <w:r w:rsidRPr="00730AC1">
        <w:rPr>
          <w:sz w:val="24"/>
          <w:szCs w:val="24"/>
        </w:rPr>
        <w:t xml:space="preserve">, prikbladet perikum eller andre lægemidler, som inducerer leverenzymer, </w:t>
      </w:r>
    </w:p>
    <w:p w:rsidR="00762DFB" w:rsidRPr="00730AC1" w:rsidRDefault="00762DFB" w:rsidP="00762DFB">
      <w:pPr>
        <w:ind w:left="1134" w:hanging="283"/>
        <w:rPr>
          <w:sz w:val="24"/>
          <w:szCs w:val="24"/>
        </w:rPr>
      </w:pPr>
    </w:p>
    <w:p w:rsidR="00762DFB" w:rsidRPr="00730AC1" w:rsidRDefault="00762DFB" w:rsidP="00762DFB">
      <w:pPr>
        <w:ind w:left="1134" w:hanging="283"/>
        <w:rPr>
          <w:sz w:val="24"/>
          <w:szCs w:val="24"/>
        </w:rPr>
      </w:pPr>
      <w:r w:rsidRPr="00730AC1">
        <w:rPr>
          <w:sz w:val="24"/>
          <w:szCs w:val="24"/>
        </w:rPr>
        <w:t>eller</w:t>
      </w:r>
    </w:p>
    <w:p w:rsidR="00762DFB" w:rsidRPr="00730AC1" w:rsidRDefault="00762DFB" w:rsidP="00762DFB">
      <w:pPr>
        <w:ind w:left="1134" w:hanging="283"/>
        <w:rPr>
          <w:sz w:val="24"/>
          <w:szCs w:val="24"/>
        </w:rPr>
      </w:pPr>
    </w:p>
    <w:p w:rsidR="00762DFB" w:rsidRPr="00730AC1" w:rsidRDefault="00762DFB" w:rsidP="00762DFB">
      <w:pPr>
        <w:numPr>
          <w:ilvl w:val="0"/>
          <w:numId w:val="7"/>
        </w:numPr>
        <w:ind w:left="1134" w:hanging="283"/>
        <w:rPr>
          <w:sz w:val="24"/>
          <w:szCs w:val="24"/>
        </w:rPr>
      </w:pPr>
      <w:r w:rsidRPr="00730AC1">
        <w:rPr>
          <w:sz w:val="24"/>
          <w:szCs w:val="24"/>
        </w:rPr>
        <w:t>jævnligt konsumerer alkohol ud over det anbefalede indtag,</w:t>
      </w:r>
    </w:p>
    <w:p w:rsidR="00762DFB" w:rsidRPr="00730AC1" w:rsidRDefault="00762DFB" w:rsidP="00762DFB">
      <w:pPr>
        <w:ind w:left="1134" w:hanging="283"/>
        <w:rPr>
          <w:sz w:val="24"/>
          <w:szCs w:val="24"/>
        </w:rPr>
      </w:pPr>
    </w:p>
    <w:p w:rsidR="00762DFB" w:rsidRPr="00730AC1" w:rsidRDefault="00762DFB" w:rsidP="00762DFB">
      <w:pPr>
        <w:ind w:left="1134" w:hanging="283"/>
        <w:rPr>
          <w:sz w:val="24"/>
          <w:szCs w:val="24"/>
        </w:rPr>
      </w:pPr>
      <w:r w:rsidRPr="00730AC1">
        <w:rPr>
          <w:sz w:val="24"/>
          <w:szCs w:val="24"/>
        </w:rPr>
        <w:t>eller</w:t>
      </w:r>
    </w:p>
    <w:p w:rsidR="00762DFB" w:rsidRPr="00730AC1" w:rsidRDefault="00762DFB" w:rsidP="00762DFB">
      <w:pPr>
        <w:ind w:left="1134" w:hanging="283"/>
        <w:rPr>
          <w:sz w:val="24"/>
          <w:szCs w:val="24"/>
        </w:rPr>
      </w:pPr>
    </w:p>
    <w:p w:rsidR="00762DFB" w:rsidRPr="00730AC1" w:rsidRDefault="00762DFB" w:rsidP="00762DFB">
      <w:pPr>
        <w:numPr>
          <w:ilvl w:val="0"/>
          <w:numId w:val="7"/>
        </w:numPr>
        <w:ind w:left="1134" w:hanging="283"/>
        <w:rPr>
          <w:sz w:val="24"/>
          <w:szCs w:val="24"/>
        </w:rPr>
      </w:pPr>
      <w:r w:rsidRPr="00730AC1">
        <w:rPr>
          <w:sz w:val="24"/>
          <w:szCs w:val="24"/>
        </w:rPr>
        <w:t xml:space="preserve">sandsynligvis har </w:t>
      </w:r>
      <w:proofErr w:type="spellStart"/>
      <w:r w:rsidRPr="00730AC1">
        <w:rPr>
          <w:sz w:val="24"/>
          <w:szCs w:val="24"/>
        </w:rPr>
        <w:t>glutathionmangel</w:t>
      </w:r>
      <w:proofErr w:type="spellEnd"/>
      <w:r w:rsidRPr="00730AC1">
        <w:rPr>
          <w:sz w:val="24"/>
          <w:szCs w:val="24"/>
        </w:rPr>
        <w:t xml:space="preserve">, f.eks. pga. spiseforstyrrelser, cystisk fibrose, HIV- infektioner, underernæring, </w:t>
      </w:r>
      <w:proofErr w:type="spellStart"/>
      <w:r w:rsidRPr="00730AC1">
        <w:rPr>
          <w:sz w:val="24"/>
          <w:szCs w:val="24"/>
        </w:rPr>
        <w:t>kakeksi</w:t>
      </w:r>
      <w:proofErr w:type="spellEnd"/>
      <w:r w:rsidRPr="00730AC1">
        <w:rPr>
          <w:sz w:val="24"/>
          <w:szCs w:val="24"/>
        </w:rPr>
        <w:t>.</w:t>
      </w:r>
    </w:p>
    <w:p w:rsidR="00762DFB" w:rsidRPr="00730AC1" w:rsidRDefault="00762DFB" w:rsidP="00762DFB">
      <w:pPr>
        <w:ind w:left="851"/>
        <w:rPr>
          <w:sz w:val="24"/>
          <w:szCs w:val="24"/>
        </w:rPr>
      </w:pPr>
    </w:p>
    <w:p w:rsidR="00762DFB" w:rsidRPr="006433B6" w:rsidRDefault="00762DFB" w:rsidP="00762DFB">
      <w:pPr>
        <w:ind w:left="851"/>
        <w:rPr>
          <w:sz w:val="24"/>
          <w:szCs w:val="24"/>
          <w:u w:val="single"/>
        </w:rPr>
      </w:pPr>
      <w:r>
        <w:rPr>
          <w:sz w:val="24"/>
          <w:szCs w:val="24"/>
          <w:u w:val="single"/>
        </w:rPr>
        <w:t>Symptomer</w:t>
      </w:r>
    </w:p>
    <w:p w:rsidR="00137014" w:rsidRPr="00730AC1" w:rsidRDefault="00137014" w:rsidP="00137014">
      <w:pPr>
        <w:ind w:left="851"/>
        <w:rPr>
          <w:sz w:val="24"/>
          <w:szCs w:val="24"/>
        </w:rPr>
      </w:pPr>
      <w:r w:rsidRPr="00730AC1">
        <w:rPr>
          <w:sz w:val="24"/>
          <w:szCs w:val="24"/>
        </w:rPr>
        <w:t>Symptomer på overdosering af paracetamol inden for de første 24 timer omfatter</w:t>
      </w:r>
      <w:r w:rsidRPr="00730AC1">
        <w:rPr>
          <w:i/>
          <w:sz w:val="24"/>
          <w:szCs w:val="24"/>
        </w:rPr>
        <w:t xml:space="preserve"> </w:t>
      </w:r>
      <w:r w:rsidRPr="00730AC1">
        <w:rPr>
          <w:sz w:val="24"/>
          <w:szCs w:val="24"/>
        </w:rPr>
        <w:t>bleghed, kvalme, opkastning, anoreksi og mavesmerter. Leverskader kan opstå 12 til 48 timer efter indtagelse</w:t>
      </w:r>
      <w:r>
        <w:rPr>
          <w:sz w:val="24"/>
          <w:szCs w:val="24"/>
        </w:rPr>
        <w:t xml:space="preserve"> og have nået sit </w:t>
      </w:r>
      <w:proofErr w:type="spellStart"/>
      <w:r>
        <w:rPr>
          <w:sz w:val="24"/>
          <w:szCs w:val="24"/>
        </w:rPr>
        <w:t>maksumuminden</w:t>
      </w:r>
      <w:proofErr w:type="spellEnd"/>
      <w:r>
        <w:rPr>
          <w:sz w:val="24"/>
          <w:szCs w:val="24"/>
        </w:rPr>
        <w:t xml:space="preserve"> for 4-6 dage</w:t>
      </w:r>
      <w:r w:rsidRPr="00730AC1">
        <w:rPr>
          <w:sz w:val="24"/>
          <w:szCs w:val="24"/>
        </w:rPr>
        <w:t>. Abnormiteter af glukose</w:t>
      </w:r>
      <w:r w:rsidR="00CD0883">
        <w:rPr>
          <w:sz w:val="24"/>
          <w:szCs w:val="24"/>
        </w:rPr>
        <w:softHyphen/>
      </w:r>
      <w:r w:rsidRPr="00730AC1">
        <w:rPr>
          <w:sz w:val="24"/>
          <w:szCs w:val="24"/>
        </w:rPr>
        <w:t xml:space="preserve">metabolisme og metabolisk </w:t>
      </w:r>
      <w:proofErr w:type="spellStart"/>
      <w:r w:rsidRPr="00730AC1">
        <w:rPr>
          <w:sz w:val="24"/>
          <w:szCs w:val="24"/>
        </w:rPr>
        <w:t>acidose</w:t>
      </w:r>
      <w:proofErr w:type="spellEnd"/>
      <w:r w:rsidRPr="00730AC1">
        <w:rPr>
          <w:sz w:val="24"/>
          <w:szCs w:val="24"/>
        </w:rPr>
        <w:t xml:space="preserve"> kan forekomme. Ved alvorlig forgiftning kan leversvigt resultere i </w:t>
      </w:r>
      <w:proofErr w:type="spellStart"/>
      <w:r w:rsidRPr="00730AC1">
        <w:rPr>
          <w:sz w:val="24"/>
          <w:szCs w:val="24"/>
        </w:rPr>
        <w:t>encephalopati</w:t>
      </w:r>
      <w:proofErr w:type="spellEnd"/>
      <w:r w:rsidRPr="00730AC1">
        <w:rPr>
          <w:sz w:val="24"/>
          <w:szCs w:val="24"/>
        </w:rPr>
        <w:t xml:space="preserve">, </w:t>
      </w:r>
      <w:proofErr w:type="spellStart"/>
      <w:r w:rsidRPr="00730AC1">
        <w:rPr>
          <w:sz w:val="24"/>
          <w:szCs w:val="24"/>
        </w:rPr>
        <w:t>hæmorrhagi</w:t>
      </w:r>
      <w:proofErr w:type="spellEnd"/>
      <w:r w:rsidRPr="00730AC1">
        <w:rPr>
          <w:sz w:val="24"/>
          <w:szCs w:val="24"/>
        </w:rPr>
        <w:t xml:space="preserve">, hypoglykæmi, cerebralt ødem og dødsfald. Akut nyresvigt med akut </w:t>
      </w:r>
      <w:proofErr w:type="spellStart"/>
      <w:r w:rsidRPr="00730AC1">
        <w:rPr>
          <w:sz w:val="24"/>
          <w:szCs w:val="24"/>
        </w:rPr>
        <w:t>tubulær</w:t>
      </w:r>
      <w:proofErr w:type="spellEnd"/>
      <w:r w:rsidRPr="00730AC1">
        <w:rPr>
          <w:sz w:val="24"/>
          <w:szCs w:val="24"/>
        </w:rPr>
        <w:t xml:space="preserve"> nekrose, kraftigt indikeret af hæmaturi med lændesmerter og </w:t>
      </w:r>
      <w:proofErr w:type="spellStart"/>
      <w:r w:rsidRPr="00730AC1">
        <w:rPr>
          <w:sz w:val="24"/>
          <w:szCs w:val="24"/>
        </w:rPr>
        <w:t>proteinuri</w:t>
      </w:r>
      <w:proofErr w:type="spellEnd"/>
      <w:r w:rsidRPr="00730AC1">
        <w:rPr>
          <w:sz w:val="24"/>
          <w:szCs w:val="24"/>
        </w:rPr>
        <w:t xml:space="preserve">, kan udvikles i stedet for en alvorlig leverskade. Der er set </w:t>
      </w:r>
      <w:proofErr w:type="spellStart"/>
      <w:r w:rsidRPr="00730AC1">
        <w:rPr>
          <w:sz w:val="24"/>
          <w:szCs w:val="24"/>
        </w:rPr>
        <w:t>hjertearytmi</w:t>
      </w:r>
      <w:proofErr w:type="spellEnd"/>
      <w:r w:rsidRPr="00730AC1">
        <w:rPr>
          <w:sz w:val="24"/>
          <w:szCs w:val="24"/>
        </w:rPr>
        <w:t xml:space="preserve">. </w:t>
      </w:r>
    </w:p>
    <w:p w:rsidR="00762DFB" w:rsidRPr="00730AC1" w:rsidRDefault="00762DFB" w:rsidP="00762DFB">
      <w:pPr>
        <w:ind w:left="851"/>
        <w:rPr>
          <w:sz w:val="24"/>
          <w:szCs w:val="24"/>
        </w:rPr>
      </w:pPr>
    </w:p>
    <w:p w:rsidR="00762DFB" w:rsidRPr="006433B6" w:rsidRDefault="00762DFB" w:rsidP="00762DFB">
      <w:pPr>
        <w:ind w:left="851"/>
        <w:rPr>
          <w:sz w:val="24"/>
          <w:szCs w:val="24"/>
          <w:u w:val="single"/>
        </w:rPr>
      </w:pPr>
      <w:r w:rsidRPr="006433B6">
        <w:rPr>
          <w:sz w:val="24"/>
          <w:szCs w:val="24"/>
          <w:u w:val="single"/>
        </w:rPr>
        <w:t>Behandling af overdosering</w:t>
      </w:r>
    </w:p>
    <w:p w:rsidR="00762DFB" w:rsidRPr="00730AC1" w:rsidRDefault="00762DFB" w:rsidP="00762DFB">
      <w:pPr>
        <w:ind w:left="851"/>
        <w:rPr>
          <w:sz w:val="24"/>
          <w:szCs w:val="24"/>
        </w:rPr>
      </w:pPr>
      <w:r w:rsidRPr="00730AC1">
        <w:rPr>
          <w:sz w:val="24"/>
          <w:szCs w:val="24"/>
        </w:rPr>
        <w:t>En paracetamoloverdosering kræver omgående behandling. På trods af manglende signifikante tidlige symptomer skal patienter hospitalsindlægges akut med henblik på straks at komme under lægebehandling. Symptomerne kan være begrænsede til kvalme eller opkast og giver muligvis ikke et retvisende billede af overdoseringens alvor eller risikoen for organskader. Behandling skal ske i overensstemmelse med de gældende retningslinjer for behandling af overdosering.</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Behandling med aktivt kul bør overvejes, hvis overdoseringen er taget inden for en time. Koncentrationen af paracetamol i plasma skal måles 4 timer eller mere efter indtagelse (tidligere målinger af koncentrationen er upålidelige). Behandling med N-</w:t>
      </w:r>
      <w:proofErr w:type="spellStart"/>
      <w:r w:rsidRPr="00730AC1">
        <w:rPr>
          <w:sz w:val="24"/>
          <w:szCs w:val="24"/>
        </w:rPr>
        <w:t>acetylcystein</w:t>
      </w:r>
      <w:proofErr w:type="spellEnd"/>
      <w:r w:rsidRPr="00730AC1">
        <w:rPr>
          <w:sz w:val="24"/>
          <w:szCs w:val="24"/>
        </w:rPr>
        <w:t xml:space="preserve"> kan anvendes i op til 24 timer efter indtagelse af paracetamol, men den maksimale beskyttelseseffekt opnås op til 8 timer efter indtagelse. </w:t>
      </w:r>
      <w:proofErr w:type="spellStart"/>
      <w:r w:rsidRPr="00730AC1">
        <w:rPr>
          <w:sz w:val="24"/>
          <w:szCs w:val="24"/>
        </w:rPr>
        <w:t>Antidotens</w:t>
      </w:r>
      <w:proofErr w:type="spellEnd"/>
      <w:r w:rsidRPr="00730AC1">
        <w:rPr>
          <w:sz w:val="24"/>
          <w:szCs w:val="24"/>
        </w:rPr>
        <w:t xml:space="preserve"> effekt aftager kraftigt herefter. Patienten kan behandles intravenøst med N-</w:t>
      </w:r>
      <w:proofErr w:type="spellStart"/>
      <w:r w:rsidRPr="00730AC1">
        <w:rPr>
          <w:sz w:val="24"/>
          <w:szCs w:val="24"/>
        </w:rPr>
        <w:t>acetylcystein</w:t>
      </w:r>
      <w:proofErr w:type="spellEnd"/>
      <w:r w:rsidRPr="00730AC1">
        <w:rPr>
          <w:sz w:val="24"/>
          <w:szCs w:val="24"/>
        </w:rPr>
        <w:t xml:space="preserve"> i overensstemmelse med det gældende doseringsskema. Hvis opkastning ikke er et problem kan oral indgivelse af </w:t>
      </w:r>
      <w:proofErr w:type="spellStart"/>
      <w:r w:rsidRPr="00730AC1">
        <w:rPr>
          <w:sz w:val="24"/>
          <w:szCs w:val="24"/>
        </w:rPr>
        <w:t>methionin</w:t>
      </w:r>
      <w:proofErr w:type="spellEnd"/>
      <w:r w:rsidRPr="00730AC1">
        <w:rPr>
          <w:sz w:val="24"/>
          <w:szCs w:val="24"/>
        </w:rPr>
        <w:t xml:space="preserve"> være et passende alternativ i afsides beliggende områder (uden hospital). Behandling af patienter, der har alvorlig </w:t>
      </w:r>
      <w:proofErr w:type="spellStart"/>
      <w:r w:rsidRPr="00730AC1">
        <w:rPr>
          <w:sz w:val="24"/>
          <w:szCs w:val="24"/>
        </w:rPr>
        <w:t>hepatisk</w:t>
      </w:r>
      <w:proofErr w:type="spellEnd"/>
      <w:r w:rsidRPr="00730AC1">
        <w:rPr>
          <w:sz w:val="24"/>
          <w:szCs w:val="24"/>
        </w:rPr>
        <w:t xml:space="preserve"> funktionssvigt 24 timer efter indtagelse, skal drøftes med Giftlinjen eller en leverafdeling. Dialyse kan reducere plasmaets paracetamolkoncentration.</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4.10</w:t>
      </w:r>
      <w:r w:rsidRPr="00730AC1">
        <w:rPr>
          <w:b/>
          <w:sz w:val="24"/>
          <w:szCs w:val="24"/>
        </w:rPr>
        <w:tab/>
        <w:t>Udlevering</w:t>
      </w:r>
    </w:p>
    <w:p w:rsidR="00762DFB" w:rsidRPr="00730AC1" w:rsidRDefault="00762DFB" w:rsidP="00681DE9">
      <w:pPr>
        <w:ind w:left="851"/>
        <w:rPr>
          <w:sz w:val="24"/>
          <w:szCs w:val="24"/>
        </w:rPr>
      </w:pPr>
      <w:r w:rsidRPr="00730AC1">
        <w:rPr>
          <w:sz w:val="24"/>
          <w:szCs w:val="24"/>
        </w:rPr>
        <w:t>HX18: Pakninger indeholdende højst 10 stk.</w:t>
      </w:r>
    </w:p>
    <w:p w:rsidR="00762DFB" w:rsidRPr="00730AC1" w:rsidRDefault="00762DFB" w:rsidP="00681DE9">
      <w:pPr>
        <w:ind w:left="851"/>
        <w:rPr>
          <w:sz w:val="24"/>
          <w:szCs w:val="24"/>
        </w:rPr>
      </w:pPr>
      <w:r w:rsidRPr="00730AC1">
        <w:rPr>
          <w:sz w:val="24"/>
          <w:szCs w:val="24"/>
        </w:rPr>
        <w:t>HA18: Pakninger indeholdende højst 20 stk.</w:t>
      </w:r>
    </w:p>
    <w:p w:rsidR="00762DFB" w:rsidRPr="00730AC1" w:rsidRDefault="00762DFB" w:rsidP="00681DE9">
      <w:pPr>
        <w:ind w:left="851"/>
        <w:rPr>
          <w:sz w:val="24"/>
          <w:szCs w:val="24"/>
        </w:rPr>
      </w:pPr>
      <w:r w:rsidRPr="00730AC1">
        <w:rPr>
          <w:sz w:val="24"/>
          <w:szCs w:val="24"/>
        </w:rPr>
        <w:t>B: Ingen øvre grænse.</w:t>
      </w:r>
    </w:p>
    <w:p w:rsidR="00762DFB" w:rsidRPr="00730AC1" w:rsidRDefault="00762DFB" w:rsidP="00762DFB">
      <w:pPr>
        <w:ind w:left="851" w:hanging="851"/>
        <w:rPr>
          <w:sz w:val="24"/>
          <w:szCs w:val="24"/>
        </w:rPr>
      </w:pP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5.</w:t>
      </w:r>
      <w:r w:rsidRPr="00730AC1">
        <w:rPr>
          <w:b/>
          <w:sz w:val="24"/>
          <w:szCs w:val="24"/>
        </w:rPr>
        <w:tab/>
        <w:t>FARMAKOLOGISKE EGENSKABER</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5.0</w:t>
      </w:r>
      <w:r w:rsidRPr="00730AC1">
        <w:rPr>
          <w:b/>
          <w:sz w:val="24"/>
          <w:szCs w:val="24"/>
        </w:rPr>
        <w:tab/>
        <w:t>Terapeutisk klassifikation</w:t>
      </w:r>
    </w:p>
    <w:p w:rsidR="00762DFB" w:rsidRPr="00730AC1" w:rsidRDefault="00762DFB" w:rsidP="00762DFB">
      <w:pPr>
        <w:ind w:left="851"/>
        <w:rPr>
          <w:sz w:val="24"/>
          <w:szCs w:val="24"/>
        </w:rPr>
      </w:pPr>
      <w:r w:rsidRPr="00730AC1">
        <w:rPr>
          <w:sz w:val="24"/>
          <w:szCs w:val="24"/>
        </w:rPr>
        <w:t>ATC-kode: N</w:t>
      </w:r>
      <w:r>
        <w:rPr>
          <w:sz w:val="24"/>
          <w:szCs w:val="24"/>
        </w:rPr>
        <w:t xml:space="preserve"> </w:t>
      </w:r>
      <w:r w:rsidRPr="00730AC1">
        <w:rPr>
          <w:sz w:val="24"/>
          <w:szCs w:val="24"/>
        </w:rPr>
        <w:t>02</w:t>
      </w:r>
      <w:r>
        <w:rPr>
          <w:sz w:val="24"/>
          <w:szCs w:val="24"/>
        </w:rPr>
        <w:t xml:space="preserve"> </w:t>
      </w:r>
      <w:r w:rsidRPr="00730AC1">
        <w:rPr>
          <w:sz w:val="24"/>
          <w:szCs w:val="24"/>
        </w:rPr>
        <w:t>BE</w:t>
      </w:r>
      <w:r>
        <w:rPr>
          <w:sz w:val="24"/>
          <w:szCs w:val="24"/>
        </w:rPr>
        <w:t xml:space="preserve"> </w:t>
      </w:r>
      <w:r w:rsidRPr="00730AC1">
        <w:rPr>
          <w:sz w:val="24"/>
          <w:szCs w:val="24"/>
        </w:rPr>
        <w:t xml:space="preserve">01. </w:t>
      </w:r>
      <w:proofErr w:type="spellStart"/>
      <w:r w:rsidRPr="00730AC1">
        <w:rPr>
          <w:sz w:val="24"/>
          <w:szCs w:val="24"/>
        </w:rPr>
        <w:t>Analgetika</w:t>
      </w:r>
      <w:proofErr w:type="spellEnd"/>
      <w:r w:rsidRPr="00730AC1">
        <w:rPr>
          <w:sz w:val="24"/>
          <w:szCs w:val="24"/>
        </w:rPr>
        <w:t xml:space="preserve">, andre </w:t>
      </w:r>
      <w:proofErr w:type="spellStart"/>
      <w:r w:rsidRPr="00730AC1">
        <w:rPr>
          <w:sz w:val="24"/>
          <w:szCs w:val="24"/>
        </w:rPr>
        <w:t>analgetika</w:t>
      </w:r>
      <w:proofErr w:type="spellEnd"/>
      <w:r w:rsidRPr="00730AC1">
        <w:rPr>
          <w:sz w:val="24"/>
          <w:szCs w:val="24"/>
        </w:rPr>
        <w:t xml:space="preserve"> og </w:t>
      </w:r>
      <w:proofErr w:type="spellStart"/>
      <w:r w:rsidRPr="00730AC1">
        <w:rPr>
          <w:sz w:val="24"/>
          <w:szCs w:val="24"/>
        </w:rPr>
        <w:t>antipyretika</w:t>
      </w:r>
      <w:proofErr w:type="spellEnd"/>
      <w:r w:rsidRPr="00730AC1">
        <w:rPr>
          <w:sz w:val="24"/>
          <w:szCs w:val="24"/>
        </w:rPr>
        <w:t>, anilider.</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5.1</w:t>
      </w:r>
      <w:r w:rsidRPr="00730AC1">
        <w:rPr>
          <w:b/>
          <w:sz w:val="24"/>
          <w:szCs w:val="24"/>
        </w:rPr>
        <w:tab/>
      </w:r>
      <w:proofErr w:type="spellStart"/>
      <w:r w:rsidRPr="00730AC1">
        <w:rPr>
          <w:b/>
          <w:sz w:val="24"/>
          <w:szCs w:val="24"/>
        </w:rPr>
        <w:t>Farmakodynamiske</w:t>
      </w:r>
      <w:proofErr w:type="spellEnd"/>
      <w:r w:rsidRPr="00730AC1">
        <w:rPr>
          <w:b/>
          <w:sz w:val="24"/>
          <w:szCs w:val="24"/>
        </w:rPr>
        <w:t xml:space="preserve"> egenskaber</w:t>
      </w:r>
    </w:p>
    <w:p w:rsidR="00762DFB" w:rsidRPr="00730AC1" w:rsidRDefault="00762DFB" w:rsidP="00762DFB">
      <w:pPr>
        <w:ind w:left="851"/>
        <w:rPr>
          <w:sz w:val="24"/>
          <w:szCs w:val="24"/>
        </w:rPr>
      </w:pPr>
      <w:r w:rsidRPr="00730AC1">
        <w:rPr>
          <w:sz w:val="24"/>
          <w:szCs w:val="24"/>
        </w:rPr>
        <w:t xml:space="preserve">Paracetamol er et </w:t>
      </w:r>
      <w:proofErr w:type="spellStart"/>
      <w:r w:rsidRPr="00730AC1">
        <w:rPr>
          <w:sz w:val="24"/>
          <w:szCs w:val="24"/>
        </w:rPr>
        <w:t>antipyretikum</w:t>
      </w:r>
      <w:proofErr w:type="spellEnd"/>
      <w:r w:rsidRPr="00730AC1">
        <w:rPr>
          <w:sz w:val="24"/>
          <w:szCs w:val="24"/>
        </w:rPr>
        <w:t xml:space="preserve"> og </w:t>
      </w:r>
      <w:proofErr w:type="spellStart"/>
      <w:r w:rsidRPr="00730AC1">
        <w:rPr>
          <w:sz w:val="24"/>
          <w:szCs w:val="24"/>
        </w:rPr>
        <w:t>analgetikum</w:t>
      </w:r>
      <w:proofErr w:type="spellEnd"/>
      <w:r w:rsidRPr="00730AC1">
        <w:rPr>
          <w:sz w:val="24"/>
          <w:szCs w:val="24"/>
        </w:rPr>
        <w:t xml:space="preserve">. Paracetamol opnår sin </w:t>
      </w:r>
      <w:proofErr w:type="spellStart"/>
      <w:r w:rsidRPr="00730AC1">
        <w:rPr>
          <w:sz w:val="24"/>
          <w:szCs w:val="24"/>
        </w:rPr>
        <w:t>antipyretiske</w:t>
      </w:r>
      <w:proofErr w:type="spellEnd"/>
      <w:r w:rsidRPr="00730AC1">
        <w:rPr>
          <w:sz w:val="24"/>
          <w:szCs w:val="24"/>
        </w:rPr>
        <w:t xml:space="preserve"> virkning ved at påvirke det </w:t>
      </w:r>
      <w:proofErr w:type="spellStart"/>
      <w:r w:rsidRPr="00730AC1">
        <w:rPr>
          <w:sz w:val="24"/>
          <w:szCs w:val="24"/>
        </w:rPr>
        <w:t>hypothalamiske</w:t>
      </w:r>
      <w:proofErr w:type="spellEnd"/>
      <w:r w:rsidRPr="00730AC1">
        <w:rPr>
          <w:sz w:val="24"/>
          <w:szCs w:val="24"/>
        </w:rPr>
        <w:t xml:space="preserve"> varmereguleringscenter og analgetiske virkning ved at hæve smertetærsklen. Paracetamols analgetiske og </w:t>
      </w:r>
      <w:proofErr w:type="spellStart"/>
      <w:r w:rsidRPr="00730AC1">
        <w:rPr>
          <w:sz w:val="24"/>
          <w:szCs w:val="24"/>
        </w:rPr>
        <w:t>antipyretiske</w:t>
      </w:r>
      <w:proofErr w:type="spellEnd"/>
      <w:r w:rsidRPr="00730AC1">
        <w:rPr>
          <w:sz w:val="24"/>
          <w:szCs w:val="24"/>
        </w:rPr>
        <w:t xml:space="preserve"> virkning ligner aspirin, men har ingen praktiske antiinflammatoriske egenskaber.</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Paracetamol opnår sin analgetiske virkning ved at hæmme </w:t>
      </w:r>
      <w:proofErr w:type="spellStart"/>
      <w:r w:rsidRPr="00730AC1">
        <w:rPr>
          <w:sz w:val="24"/>
          <w:szCs w:val="24"/>
        </w:rPr>
        <w:t>prostaglandinsyntesen</w:t>
      </w:r>
      <w:proofErr w:type="spellEnd"/>
      <w:r w:rsidRPr="00730AC1">
        <w:rPr>
          <w:sz w:val="24"/>
          <w:szCs w:val="24"/>
        </w:rPr>
        <w:t xml:space="preserve">. </w:t>
      </w:r>
      <w:proofErr w:type="spellStart"/>
      <w:r w:rsidRPr="00730AC1">
        <w:rPr>
          <w:sz w:val="24"/>
          <w:szCs w:val="24"/>
        </w:rPr>
        <w:t>Prostaglandin</w:t>
      </w:r>
      <w:proofErr w:type="spellEnd"/>
      <w:r w:rsidRPr="00730AC1">
        <w:rPr>
          <w:sz w:val="24"/>
          <w:szCs w:val="24"/>
        </w:rPr>
        <w:t xml:space="preserve"> sensibiliserer smertereceptorer over for mekanisk stimulation eller andre kemiske </w:t>
      </w:r>
      <w:proofErr w:type="spellStart"/>
      <w:r w:rsidRPr="00730AC1">
        <w:rPr>
          <w:sz w:val="24"/>
          <w:szCs w:val="24"/>
        </w:rPr>
        <w:t>mediatorer</w:t>
      </w:r>
      <w:proofErr w:type="spellEnd"/>
      <w:r w:rsidRPr="00730AC1">
        <w:rPr>
          <w:sz w:val="24"/>
          <w:szCs w:val="24"/>
        </w:rPr>
        <w:t xml:space="preserve">. Paracetamol sænker kropstemperaturen hos patienter med feber, men sænker sjældent den normale kropstemperatur. Det skyldes ligeledes den hæmmende virkning på </w:t>
      </w:r>
      <w:proofErr w:type="spellStart"/>
      <w:r w:rsidRPr="00730AC1">
        <w:rPr>
          <w:sz w:val="24"/>
          <w:szCs w:val="24"/>
        </w:rPr>
        <w:t>prostaglandinsyntesen</w:t>
      </w:r>
      <w:proofErr w:type="spellEnd"/>
      <w:r w:rsidRPr="00730AC1">
        <w:rPr>
          <w:sz w:val="24"/>
          <w:szCs w:val="24"/>
        </w:rPr>
        <w:t xml:space="preserve"> og -udskillelsen. Lægemidlet får også </w:t>
      </w:r>
      <w:proofErr w:type="spellStart"/>
      <w:r w:rsidRPr="00730AC1">
        <w:rPr>
          <w:sz w:val="24"/>
          <w:szCs w:val="24"/>
        </w:rPr>
        <w:t>hypothalamus</w:t>
      </w:r>
      <w:proofErr w:type="spellEnd"/>
      <w:r w:rsidRPr="00730AC1">
        <w:rPr>
          <w:sz w:val="24"/>
          <w:szCs w:val="24"/>
        </w:rPr>
        <w:t xml:space="preserve"> til at producere </w:t>
      </w:r>
      <w:proofErr w:type="spellStart"/>
      <w:r w:rsidRPr="00730AC1">
        <w:rPr>
          <w:sz w:val="24"/>
          <w:szCs w:val="24"/>
        </w:rPr>
        <w:t>antipyretica</w:t>
      </w:r>
      <w:proofErr w:type="spellEnd"/>
      <w:r w:rsidRPr="00730AC1">
        <w:rPr>
          <w:sz w:val="24"/>
          <w:szCs w:val="24"/>
        </w:rPr>
        <w:t xml:space="preserve">, idet varmeafledningen øges som følge af vasodilatation og øget perifer blodcirkulation. </w:t>
      </w:r>
    </w:p>
    <w:p w:rsidR="00762DFB" w:rsidRPr="00730AC1" w:rsidRDefault="00762DFB" w:rsidP="00762DFB">
      <w:pPr>
        <w:ind w:left="851"/>
        <w:rPr>
          <w:sz w:val="24"/>
          <w:szCs w:val="24"/>
        </w:rPr>
      </w:pPr>
    </w:p>
    <w:p w:rsidR="00762DFB" w:rsidRPr="00730AC1" w:rsidRDefault="00762DFB" w:rsidP="00762DFB">
      <w:pPr>
        <w:ind w:left="851"/>
        <w:rPr>
          <w:sz w:val="24"/>
          <w:szCs w:val="24"/>
        </w:rPr>
      </w:pPr>
      <w:r w:rsidRPr="00730AC1">
        <w:rPr>
          <w:sz w:val="24"/>
          <w:szCs w:val="24"/>
        </w:rPr>
        <w:t xml:space="preserve">Paracetamol tåles generelt godt af patienter med overfølsomhed over for acetylsalicylsyre. </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5.2</w:t>
      </w:r>
      <w:r w:rsidRPr="00730AC1">
        <w:rPr>
          <w:b/>
          <w:sz w:val="24"/>
          <w:szCs w:val="24"/>
        </w:rPr>
        <w:tab/>
      </w:r>
      <w:proofErr w:type="spellStart"/>
      <w:r w:rsidRPr="00730AC1">
        <w:rPr>
          <w:b/>
          <w:sz w:val="24"/>
          <w:szCs w:val="24"/>
        </w:rPr>
        <w:t>Farmakokinetiske</w:t>
      </w:r>
      <w:proofErr w:type="spellEnd"/>
      <w:r w:rsidRPr="00730AC1">
        <w:rPr>
          <w:b/>
          <w:sz w:val="24"/>
          <w:szCs w:val="24"/>
        </w:rPr>
        <w:t xml:space="preserve"> egenskaber</w:t>
      </w:r>
    </w:p>
    <w:p w:rsidR="00762DFB" w:rsidRPr="00730AC1" w:rsidRDefault="00762DFB" w:rsidP="00762DFB">
      <w:pPr>
        <w:ind w:left="851"/>
        <w:rPr>
          <w:sz w:val="24"/>
          <w:szCs w:val="24"/>
        </w:rPr>
      </w:pPr>
      <w:r w:rsidRPr="00730AC1">
        <w:rPr>
          <w:sz w:val="24"/>
          <w:szCs w:val="24"/>
        </w:rPr>
        <w:t xml:space="preserve">Paracetamol absorberes hurtigt og næsten komplet fra fordøjelseskanalen. Maksimal plasmakoncentration opnås efter 30 minutter til to timer efter oral indtagelse. Paracetamol </w:t>
      </w:r>
      <w:proofErr w:type="spellStart"/>
      <w:r w:rsidRPr="00730AC1">
        <w:rPr>
          <w:sz w:val="24"/>
          <w:szCs w:val="24"/>
        </w:rPr>
        <w:t>metaboliseres</w:t>
      </w:r>
      <w:proofErr w:type="spellEnd"/>
      <w:r w:rsidRPr="00730AC1">
        <w:rPr>
          <w:sz w:val="24"/>
          <w:szCs w:val="24"/>
        </w:rPr>
        <w:t xml:space="preserve"> i leveren og udskilles i urinen primært som </w:t>
      </w:r>
      <w:proofErr w:type="spellStart"/>
      <w:r w:rsidRPr="00730AC1">
        <w:rPr>
          <w:sz w:val="24"/>
          <w:szCs w:val="24"/>
        </w:rPr>
        <w:t>glucuronid</w:t>
      </w:r>
      <w:proofErr w:type="spellEnd"/>
      <w:r w:rsidRPr="00730AC1">
        <w:rPr>
          <w:sz w:val="24"/>
          <w:szCs w:val="24"/>
        </w:rPr>
        <w:t xml:space="preserve">- og </w:t>
      </w:r>
      <w:proofErr w:type="spellStart"/>
      <w:r w:rsidRPr="00730AC1">
        <w:rPr>
          <w:sz w:val="24"/>
          <w:szCs w:val="24"/>
        </w:rPr>
        <w:t>sulfatkonjugater</w:t>
      </w:r>
      <w:proofErr w:type="spellEnd"/>
      <w:r w:rsidRPr="00730AC1">
        <w:rPr>
          <w:sz w:val="24"/>
          <w:szCs w:val="24"/>
        </w:rPr>
        <w:t xml:space="preserve"> med ca. 10 % som </w:t>
      </w:r>
      <w:proofErr w:type="spellStart"/>
      <w:r w:rsidRPr="00730AC1">
        <w:rPr>
          <w:sz w:val="24"/>
          <w:szCs w:val="24"/>
        </w:rPr>
        <w:t>glutathionkonjugater</w:t>
      </w:r>
      <w:proofErr w:type="spellEnd"/>
      <w:r w:rsidRPr="00730AC1">
        <w:rPr>
          <w:sz w:val="24"/>
          <w:szCs w:val="24"/>
        </w:rPr>
        <w:t>. Mindre end 5 % udskilles som paracetamol i uændret form. Halveringstiden varierer fra ca. 1-4 timer. Plasmaproteinbindingen er ubetydelig ved normale terapeutiske koncentrationer, men afhænger dog af doseringen.</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5.3</w:t>
      </w:r>
      <w:r w:rsidRPr="00730AC1">
        <w:rPr>
          <w:b/>
          <w:sz w:val="24"/>
          <w:szCs w:val="24"/>
        </w:rPr>
        <w:tab/>
        <w:t>Prækliniske sikkerhedsdata</w:t>
      </w:r>
    </w:p>
    <w:p w:rsidR="00762DFB" w:rsidRPr="00730AC1" w:rsidRDefault="00762DFB" w:rsidP="00762DFB">
      <w:pPr>
        <w:ind w:left="851"/>
        <w:rPr>
          <w:sz w:val="24"/>
          <w:szCs w:val="24"/>
        </w:rPr>
      </w:pPr>
      <w:r w:rsidRPr="00730AC1">
        <w:rPr>
          <w:sz w:val="24"/>
          <w:szCs w:val="24"/>
        </w:rPr>
        <w:t xml:space="preserve">Ved undersøgelser af akut, subkronisk og kronisk toksicitet som følge af paracetamol i rotter og mus er der observeret </w:t>
      </w:r>
      <w:proofErr w:type="spellStart"/>
      <w:r w:rsidRPr="00730AC1">
        <w:rPr>
          <w:sz w:val="24"/>
          <w:szCs w:val="24"/>
        </w:rPr>
        <w:t>gastrointestinale</w:t>
      </w:r>
      <w:proofErr w:type="spellEnd"/>
      <w:r w:rsidRPr="00730AC1">
        <w:rPr>
          <w:sz w:val="24"/>
          <w:szCs w:val="24"/>
        </w:rPr>
        <w:t xml:space="preserve"> læsioner, ændringer i blodbilledet, degeneration af lever- og </w:t>
      </w:r>
      <w:proofErr w:type="spellStart"/>
      <w:r w:rsidRPr="00730AC1">
        <w:rPr>
          <w:sz w:val="24"/>
          <w:szCs w:val="24"/>
        </w:rPr>
        <w:t>nyreparenchymet</w:t>
      </w:r>
      <w:proofErr w:type="spellEnd"/>
      <w:r w:rsidRPr="00730AC1">
        <w:rPr>
          <w:sz w:val="24"/>
          <w:szCs w:val="24"/>
        </w:rPr>
        <w:t xml:space="preserve"> og </w:t>
      </w:r>
      <w:proofErr w:type="spellStart"/>
      <w:r w:rsidRPr="00730AC1">
        <w:rPr>
          <w:sz w:val="24"/>
          <w:szCs w:val="24"/>
        </w:rPr>
        <w:t>nekroser</w:t>
      </w:r>
      <w:proofErr w:type="spellEnd"/>
      <w:r w:rsidRPr="00730AC1">
        <w:rPr>
          <w:sz w:val="24"/>
          <w:szCs w:val="24"/>
        </w:rPr>
        <w:t>. Disse ændringer skyldes på den ene side virkningsmekanismen og på den anden side paracetamols metabolisme. Omfattende undersøgelser viste ikke tegn på relevant genotoksisk risiko i terapeutiske, dvs. ikke-toksiske doser af paracetamol.</w:t>
      </w:r>
    </w:p>
    <w:p w:rsidR="00762DFB" w:rsidRPr="00730AC1" w:rsidRDefault="00762DFB" w:rsidP="00762DFB">
      <w:pPr>
        <w:ind w:left="851"/>
        <w:rPr>
          <w:sz w:val="24"/>
          <w:szCs w:val="24"/>
        </w:rPr>
      </w:pPr>
      <w:r w:rsidRPr="00730AC1">
        <w:rPr>
          <w:sz w:val="24"/>
          <w:szCs w:val="24"/>
        </w:rPr>
        <w:t>Langtidsstudier af rotter og mus har ikke påvist relevant karcinogen effekt ved ikke-</w:t>
      </w:r>
      <w:proofErr w:type="spellStart"/>
      <w:r w:rsidRPr="00730AC1">
        <w:rPr>
          <w:sz w:val="24"/>
          <w:szCs w:val="24"/>
        </w:rPr>
        <w:t>hepatotoksiske</w:t>
      </w:r>
      <w:proofErr w:type="spellEnd"/>
      <w:r w:rsidRPr="00730AC1">
        <w:rPr>
          <w:sz w:val="24"/>
          <w:szCs w:val="24"/>
        </w:rPr>
        <w:t xml:space="preserve"> doser af paracetamol.</w:t>
      </w:r>
    </w:p>
    <w:p w:rsidR="00762DFB" w:rsidRPr="00730AC1" w:rsidRDefault="00762DFB" w:rsidP="00762DFB">
      <w:pPr>
        <w:ind w:left="851"/>
        <w:rPr>
          <w:sz w:val="24"/>
          <w:szCs w:val="24"/>
        </w:rPr>
      </w:pPr>
      <w:r w:rsidRPr="00730AC1">
        <w:rPr>
          <w:sz w:val="24"/>
          <w:szCs w:val="24"/>
        </w:rPr>
        <w:t>Paracetamol passerer placenta.</w:t>
      </w:r>
    </w:p>
    <w:p w:rsidR="00762DFB" w:rsidRPr="000D4F4E" w:rsidRDefault="00762DFB" w:rsidP="00762DFB">
      <w:pPr>
        <w:ind w:left="851"/>
        <w:rPr>
          <w:sz w:val="24"/>
          <w:szCs w:val="24"/>
        </w:rPr>
      </w:pPr>
      <w:r w:rsidRPr="00C71AD6">
        <w:rPr>
          <w:sz w:val="24"/>
          <w:szCs w:val="24"/>
        </w:rPr>
        <w:t>Der foreligger ikke konventionelle studier, hvor man har anvendt aktuelt anerkendte standarder for evaluering af reproduktions- og udviklingstoksicitet.</w:t>
      </w:r>
    </w:p>
    <w:p w:rsidR="00762DFB" w:rsidRDefault="00762DFB" w:rsidP="00762DFB">
      <w:pPr>
        <w:rPr>
          <w:sz w:val="24"/>
          <w:szCs w:val="24"/>
        </w:rPr>
      </w:pP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6.</w:t>
      </w:r>
      <w:r w:rsidRPr="00730AC1">
        <w:rPr>
          <w:b/>
          <w:sz w:val="24"/>
          <w:szCs w:val="24"/>
        </w:rPr>
        <w:tab/>
        <w:t>FARMACEUTISKE OPLYSNINGER</w:t>
      </w:r>
    </w:p>
    <w:p w:rsidR="00762DFB" w:rsidRPr="00730AC1" w:rsidRDefault="00762DFB" w:rsidP="00762DFB">
      <w:pPr>
        <w:ind w:left="851" w:hanging="851"/>
        <w:rPr>
          <w:b/>
          <w:sz w:val="24"/>
          <w:szCs w:val="24"/>
        </w:rPr>
      </w:pPr>
    </w:p>
    <w:p w:rsidR="00762DFB" w:rsidRPr="00730AC1" w:rsidRDefault="00762DFB" w:rsidP="00762DFB">
      <w:pPr>
        <w:ind w:left="851" w:hanging="851"/>
        <w:rPr>
          <w:b/>
          <w:sz w:val="24"/>
          <w:szCs w:val="24"/>
        </w:rPr>
      </w:pPr>
      <w:r w:rsidRPr="00730AC1">
        <w:rPr>
          <w:b/>
          <w:sz w:val="24"/>
          <w:szCs w:val="24"/>
        </w:rPr>
        <w:t>6.1</w:t>
      </w:r>
      <w:r w:rsidRPr="00730AC1">
        <w:rPr>
          <w:b/>
          <w:sz w:val="24"/>
          <w:szCs w:val="24"/>
        </w:rPr>
        <w:tab/>
        <w:t>Hjælpestoffer</w:t>
      </w:r>
    </w:p>
    <w:p w:rsidR="00762DFB" w:rsidRPr="00730AC1" w:rsidRDefault="00762DFB" w:rsidP="00762DFB">
      <w:pPr>
        <w:ind w:left="851"/>
        <w:rPr>
          <w:sz w:val="24"/>
          <w:szCs w:val="24"/>
        </w:rPr>
      </w:pPr>
      <w:r w:rsidRPr="00730AC1">
        <w:rPr>
          <w:sz w:val="24"/>
          <w:szCs w:val="24"/>
        </w:rPr>
        <w:t>Prægelatiniseret stivelse</w:t>
      </w:r>
    </w:p>
    <w:p w:rsidR="00762DFB" w:rsidRPr="00730AC1" w:rsidRDefault="00762DFB" w:rsidP="00762DFB">
      <w:pPr>
        <w:ind w:left="851"/>
        <w:rPr>
          <w:sz w:val="24"/>
          <w:szCs w:val="24"/>
        </w:rPr>
      </w:pPr>
      <w:proofErr w:type="spellStart"/>
      <w:r w:rsidRPr="00730AC1">
        <w:rPr>
          <w:sz w:val="24"/>
          <w:szCs w:val="24"/>
        </w:rPr>
        <w:t>Povidon</w:t>
      </w:r>
      <w:proofErr w:type="spellEnd"/>
    </w:p>
    <w:p w:rsidR="00762DFB" w:rsidRPr="00730AC1" w:rsidRDefault="00762DFB" w:rsidP="00762DFB">
      <w:pPr>
        <w:ind w:left="851"/>
        <w:rPr>
          <w:sz w:val="24"/>
          <w:szCs w:val="24"/>
        </w:rPr>
      </w:pPr>
      <w:proofErr w:type="spellStart"/>
      <w:r w:rsidRPr="00730AC1">
        <w:rPr>
          <w:sz w:val="24"/>
          <w:szCs w:val="24"/>
        </w:rPr>
        <w:t>Natriumstivelsesglycolat</w:t>
      </w:r>
      <w:proofErr w:type="spellEnd"/>
    </w:p>
    <w:p w:rsidR="00762DFB" w:rsidRPr="00730AC1" w:rsidRDefault="00762DFB" w:rsidP="00762DFB">
      <w:pPr>
        <w:ind w:left="851"/>
        <w:rPr>
          <w:sz w:val="24"/>
          <w:szCs w:val="24"/>
        </w:rPr>
      </w:pPr>
      <w:r w:rsidRPr="00730AC1">
        <w:rPr>
          <w:sz w:val="24"/>
          <w:szCs w:val="24"/>
        </w:rPr>
        <w:t>Stearinsyre</w:t>
      </w:r>
    </w:p>
    <w:p w:rsidR="00762DFB" w:rsidRPr="00730AC1" w:rsidRDefault="00762DFB" w:rsidP="00762DFB">
      <w:pPr>
        <w:ind w:left="851"/>
        <w:rPr>
          <w:sz w:val="24"/>
          <w:szCs w:val="24"/>
        </w:rPr>
      </w:pPr>
    </w:p>
    <w:p w:rsidR="00762DFB" w:rsidRPr="00A76DCB" w:rsidRDefault="00762DFB" w:rsidP="00762DFB">
      <w:pPr>
        <w:ind w:left="851"/>
        <w:rPr>
          <w:sz w:val="24"/>
          <w:szCs w:val="24"/>
          <w:u w:val="single"/>
        </w:rPr>
      </w:pPr>
      <w:r>
        <w:rPr>
          <w:sz w:val="24"/>
          <w:szCs w:val="24"/>
          <w:u w:val="single"/>
        </w:rPr>
        <w:t>Filmovertræk</w:t>
      </w:r>
    </w:p>
    <w:p w:rsidR="00762DFB" w:rsidRPr="00730AC1" w:rsidRDefault="00762DFB" w:rsidP="00762DFB">
      <w:pPr>
        <w:ind w:left="851"/>
        <w:rPr>
          <w:sz w:val="24"/>
          <w:szCs w:val="24"/>
        </w:rPr>
      </w:pPr>
      <w:proofErr w:type="spellStart"/>
      <w:r w:rsidRPr="00730AC1">
        <w:rPr>
          <w:sz w:val="24"/>
          <w:szCs w:val="24"/>
        </w:rPr>
        <w:t>Hypromellose</w:t>
      </w:r>
      <w:proofErr w:type="spellEnd"/>
    </w:p>
    <w:p w:rsidR="00762DFB" w:rsidRPr="00730AC1" w:rsidRDefault="00762DFB" w:rsidP="00762DFB">
      <w:pPr>
        <w:ind w:left="851"/>
        <w:rPr>
          <w:sz w:val="24"/>
          <w:szCs w:val="24"/>
        </w:rPr>
      </w:pPr>
      <w:proofErr w:type="spellStart"/>
      <w:r w:rsidRPr="00730AC1">
        <w:rPr>
          <w:sz w:val="24"/>
          <w:szCs w:val="24"/>
        </w:rPr>
        <w:t>Macrogol</w:t>
      </w:r>
      <w:proofErr w:type="spellEnd"/>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6.2</w:t>
      </w:r>
      <w:r w:rsidRPr="00730AC1">
        <w:rPr>
          <w:b/>
          <w:sz w:val="24"/>
          <w:szCs w:val="24"/>
        </w:rPr>
        <w:tab/>
        <w:t>Uforligeligheder</w:t>
      </w:r>
    </w:p>
    <w:p w:rsidR="00762DFB" w:rsidRPr="00730AC1" w:rsidRDefault="00762DFB" w:rsidP="00762DFB">
      <w:pPr>
        <w:ind w:left="851"/>
        <w:rPr>
          <w:sz w:val="24"/>
          <w:szCs w:val="24"/>
        </w:rPr>
      </w:pPr>
      <w:r w:rsidRPr="00730AC1">
        <w:rPr>
          <w:sz w:val="24"/>
          <w:szCs w:val="24"/>
        </w:rPr>
        <w:t>Ikke relevant.</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6.3</w:t>
      </w:r>
      <w:r w:rsidRPr="00730AC1">
        <w:rPr>
          <w:b/>
          <w:sz w:val="24"/>
          <w:szCs w:val="24"/>
        </w:rPr>
        <w:tab/>
        <w:t>Opbevaringstid</w:t>
      </w:r>
    </w:p>
    <w:p w:rsidR="00762DFB" w:rsidRPr="00730AC1" w:rsidRDefault="00762DFB" w:rsidP="00762DFB">
      <w:pPr>
        <w:ind w:left="851"/>
        <w:rPr>
          <w:sz w:val="24"/>
          <w:szCs w:val="24"/>
        </w:rPr>
      </w:pPr>
      <w:r w:rsidRPr="00730AC1">
        <w:rPr>
          <w:sz w:val="24"/>
          <w:szCs w:val="24"/>
        </w:rPr>
        <w:t>3</w:t>
      </w:r>
      <w:r>
        <w:rPr>
          <w:sz w:val="24"/>
          <w:szCs w:val="24"/>
        </w:rPr>
        <w:t xml:space="preserve"> år</w:t>
      </w:r>
      <w:r w:rsidRPr="00730AC1">
        <w:rPr>
          <w:sz w:val="24"/>
          <w:szCs w:val="24"/>
        </w:rPr>
        <w:t>.</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6.4</w:t>
      </w:r>
      <w:r w:rsidRPr="00730AC1">
        <w:rPr>
          <w:b/>
          <w:sz w:val="24"/>
          <w:szCs w:val="24"/>
        </w:rPr>
        <w:tab/>
        <w:t>Særlige opbevaringsforhold</w:t>
      </w:r>
    </w:p>
    <w:p w:rsidR="00762DFB" w:rsidRPr="00730AC1" w:rsidRDefault="00762DFB" w:rsidP="00762DFB">
      <w:pPr>
        <w:ind w:left="851"/>
        <w:rPr>
          <w:sz w:val="24"/>
          <w:szCs w:val="24"/>
        </w:rPr>
      </w:pPr>
      <w:r w:rsidRPr="00730AC1">
        <w:rPr>
          <w:sz w:val="24"/>
          <w:szCs w:val="24"/>
        </w:rPr>
        <w:t>Dette lægemiddel kræver ingen særlige forholdsregler vedrørende opbevaringen.</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6.5</w:t>
      </w:r>
      <w:r w:rsidRPr="00730AC1">
        <w:rPr>
          <w:b/>
          <w:sz w:val="24"/>
          <w:szCs w:val="24"/>
        </w:rPr>
        <w:tab/>
        <w:t>Emballagetyper og pakningsstørrelser</w:t>
      </w:r>
    </w:p>
    <w:p w:rsidR="00762DFB" w:rsidRDefault="00762DFB" w:rsidP="00762DFB">
      <w:pPr>
        <w:ind w:left="851"/>
        <w:rPr>
          <w:sz w:val="24"/>
          <w:szCs w:val="24"/>
        </w:rPr>
      </w:pPr>
    </w:p>
    <w:p w:rsidR="00762DFB" w:rsidRPr="00A76DCB" w:rsidRDefault="00762DFB" w:rsidP="00762DFB">
      <w:pPr>
        <w:ind w:left="851"/>
        <w:rPr>
          <w:sz w:val="24"/>
          <w:szCs w:val="24"/>
          <w:u w:val="single"/>
        </w:rPr>
      </w:pPr>
      <w:r w:rsidRPr="00A76DCB">
        <w:rPr>
          <w:sz w:val="24"/>
          <w:szCs w:val="24"/>
          <w:u w:val="single"/>
        </w:rPr>
        <w:t>Blister (PVC/aluminium)</w:t>
      </w:r>
    </w:p>
    <w:p w:rsidR="00762DFB" w:rsidRPr="00730AC1" w:rsidRDefault="00762DFB" w:rsidP="00762DFB">
      <w:pPr>
        <w:ind w:left="851"/>
        <w:rPr>
          <w:i/>
          <w:sz w:val="24"/>
          <w:szCs w:val="24"/>
        </w:rPr>
      </w:pPr>
      <w:r>
        <w:rPr>
          <w:sz w:val="24"/>
          <w:szCs w:val="24"/>
        </w:rPr>
        <w:t xml:space="preserve">Pakningsstørrelser: </w:t>
      </w:r>
      <w:r w:rsidRPr="00730AC1">
        <w:rPr>
          <w:sz w:val="24"/>
          <w:szCs w:val="24"/>
        </w:rPr>
        <w:t>10</w:t>
      </w:r>
      <w:r>
        <w:rPr>
          <w:sz w:val="24"/>
          <w:szCs w:val="24"/>
        </w:rPr>
        <w:t>, 20, 30, 50 og 100 stk.</w:t>
      </w:r>
    </w:p>
    <w:p w:rsidR="00762DFB" w:rsidRDefault="00762DFB" w:rsidP="00762DFB">
      <w:pPr>
        <w:ind w:left="851"/>
        <w:rPr>
          <w:sz w:val="24"/>
          <w:szCs w:val="24"/>
        </w:rPr>
      </w:pPr>
      <w:bookmarkStart w:id="1" w:name="OLE_LINK11"/>
      <w:bookmarkStart w:id="2" w:name="OLE_LINK10"/>
    </w:p>
    <w:p w:rsidR="00762DFB" w:rsidRDefault="00762DFB" w:rsidP="00762DFB">
      <w:pPr>
        <w:ind w:left="851"/>
        <w:rPr>
          <w:sz w:val="24"/>
          <w:szCs w:val="24"/>
          <w:u w:val="single"/>
        </w:rPr>
      </w:pPr>
      <w:r w:rsidRPr="00A76DCB">
        <w:rPr>
          <w:sz w:val="24"/>
          <w:szCs w:val="24"/>
          <w:u w:val="single"/>
        </w:rPr>
        <w:t>Beholder (HDPE) med skruelåg</w:t>
      </w:r>
      <w:bookmarkEnd w:id="1"/>
      <w:bookmarkEnd w:id="2"/>
    </w:p>
    <w:p w:rsidR="00762DFB" w:rsidRDefault="00BC18C7" w:rsidP="00762DFB">
      <w:pPr>
        <w:ind w:left="851"/>
        <w:rPr>
          <w:sz w:val="24"/>
          <w:szCs w:val="24"/>
        </w:rPr>
      </w:pPr>
      <w:r w:rsidRPr="00BC18C7">
        <w:rPr>
          <w:sz w:val="24"/>
          <w:szCs w:val="24"/>
        </w:rPr>
        <w:t>50, 100, 105, 125, 200, 300, 350, 400, 500 og 1000 stk.</w:t>
      </w:r>
    </w:p>
    <w:p w:rsidR="00BC18C7" w:rsidRPr="00730AC1" w:rsidRDefault="00BC18C7" w:rsidP="00762DFB">
      <w:pPr>
        <w:ind w:left="851"/>
        <w:rPr>
          <w:sz w:val="24"/>
          <w:szCs w:val="24"/>
        </w:rPr>
      </w:pPr>
    </w:p>
    <w:p w:rsidR="00762DFB" w:rsidRPr="00730AC1" w:rsidRDefault="00762DFB" w:rsidP="00762DFB">
      <w:pPr>
        <w:ind w:left="851"/>
        <w:rPr>
          <w:sz w:val="24"/>
          <w:szCs w:val="24"/>
        </w:rPr>
      </w:pPr>
      <w:r w:rsidRPr="00730AC1">
        <w:rPr>
          <w:sz w:val="24"/>
          <w:szCs w:val="24"/>
        </w:rPr>
        <w:t>Ikke alle pakningsstørrelser er nødvendigvis markedsført.</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6.6</w:t>
      </w:r>
      <w:r w:rsidRPr="00730AC1">
        <w:rPr>
          <w:b/>
          <w:sz w:val="24"/>
          <w:szCs w:val="24"/>
        </w:rPr>
        <w:tab/>
        <w:t>Regler for destruktion og anden håndtering</w:t>
      </w:r>
    </w:p>
    <w:p w:rsidR="00762DFB" w:rsidRPr="00730AC1" w:rsidRDefault="00762DFB" w:rsidP="00762DFB">
      <w:pPr>
        <w:ind w:left="851"/>
        <w:rPr>
          <w:sz w:val="24"/>
          <w:szCs w:val="24"/>
        </w:rPr>
      </w:pPr>
      <w:r w:rsidRPr="00730AC1">
        <w:rPr>
          <w:sz w:val="24"/>
          <w:szCs w:val="24"/>
        </w:rPr>
        <w:t>Ikke anvendt</w:t>
      </w:r>
      <w:r>
        <w:rPr>
          <w:sz w:val="24"/>
          <w:szCs w:val="24"/>
        </w:rPr>
        <w:t xml:space="preserve"> lægemiddel</w:t>
      </w:r>
      <w:r w:rsidRPr="00730AC1">
        <w:rPr>
          <w:sz w:val="24"/>
          <w:szCs w:val="24"/>
        </w:rPr>
        <w:t xml:space="preserve"> samt affald heraf </w:t>
      </w:r>
      <w:r>
        <w:rPr>
          <w:sz w:val="24"/>
          <w:szCs w:val="24"/>
        </w:rPr>
        <w:t>skal</w:t>
      </w:r>
      <w:r w:rsidRPr="00730AC1">
        <w:rPr>
          <w:sz w:val="24"/>
          <w:szCs w:val="24"/>
        </w:rPr>
        <w:t xml:space="preserve"> destrueres i henhold til lokale retningslinjer.</w:t>
      </w:r>
    </w:p>
    <w:p w:rsidR="00762DFB" w:rsidRPr="00730AC1" w:rsidRDefault="00762DFB" w:rsidP="00762DFB">
      <w:pPr>
        <w:ind w:left="851"/>
        <w:jc w:val="both"/>
        <w:rPr>
          <w:sz w:val="24"/>
          <w:szCs w:val="24"/>
        </w:rPr>
      </w:pPr>
    </w:p>
    <w:p w:rsidR="00762DFB" w:rsidRPr="00730AC1" w:rsidRDefault="00762DFB" w:rsidP="00762DFB">
      <w:pPr>
        <w:ind w:left="851" w:hanging="851"/>
        <w:rPr>
          <w:b/>
          <w:sz w:val="24"/>
          <w:szCs w:val="24"/>
        </w:rPr>
      </w:pPr>
      <w:r w:rsidRPr="00730AC1">
        <w:rPr>
          <w:b/>
          <w:sz w:val="24"/>
          <w:szCs w:val="24"/>
        </w:rPr>
        <w:t>7.</w:t>
      </w:r>
      <w:r w:rsidRPr="00730AC1">
        <w:rPr>
          <w:b/>
          <w:sz w:val="24"/>
          <w:szCs w:val="24"/>
        </w:rPr>
        <w:tab/>
        <w:t>INDEHAVER AF MARKEDSFØRINGSTILLADELSEN</w:t>
      </w:r>
    </w:p>
    <w:p w:rsidR="00762DFB" w:rsidRPr="00CC6E2F" w:rsidRDefault="00762DFB" w:rsidP="00762DFB">
      <w:pPr>
        <w:ind w:left="851"/>
        <w:rPr>
          <w:sz w:val="24"/>
          <w:szCs w:val="24"/>
        </w:rPr>
      </w:pPr>
      <w:proofErr w:type="spellStart"/>
      <w:r w:rsidRPr="00CC6E2F">
        <w:rPr>
          <w:sz w:val="24"/>
          <w:szCs w:val="24"/>
        </w:rPr>
        <w:t>Orifarm</w:t>
      </w:r>
      <w:proofErr w:type="spellEnd"/>
      <w:r w:rsidRPr="00CC6E2F">
        <w:rPr>
          <w:sz w:val="24"/>
          <w:szCs w:val="24"/>
        </w:rPr>
        <w:t xml:space="preserve"> </w:t>
      </w:r>
      <w:proofErr w:type="spellStart"/>
      <w:r w:rsidRPr="00CC6E2F">
        <w:rPr>
          <w:sz w:val="24"/>
          <w:szCs w:val="24"/>
        </w:rPr>
        <w:t>Generics</w:t>
      </w:r>
      <w:proofErr w:type="spellEnd"/>
      <w:r w:rsidRPr="00CC6E2F">
        <w:rPr>
          <w:sz w:val="24"/>
          <w:szCs w:val="24"/>
        </w:rPr>
        <w:t xml:space="preserve"> A/S</w:t>
      </w:r>
    </w:p>
    <w:p w:rsidR="00762DFB" w:rsidRPr="00CC6E2F" w:rsidRDefault="00762DFB" w:rsidP="00762DFB">
      <w:pPr>
        <w:ind w:left="851"/>
        <w:rPr>
          <w:sz w:val="24"/>
          <w:szCs w:val="24"/>
        </w:rPr>
      </w:pPr>
      <w:r w:rsidRPr="00CC6E2F">
        <w:rPr>
          <w:sz w:val="24"/>
          <w:szCs w:val="24"/>
        </w:rPr>
        <w:t>Energivej 15</w:t>
      </w:r>
    </w:p>
    <w:p w:rsidR="00762DFB" w:rsidRPr="00730AC1" w:rsidRDefault="00762DFB" w:rsidP="00762DFB">
      <w:pPr>
        <w:ind w:left="851"/>
        <w:rPr>
          <w:sz w:val="24"/>
          <w:szCs w:val="24"/>
        </w:rPr>
      </w:pPr>
      <w:r w:rsidRPr="00730AC1">
        <w:rPr>
          <w:sz w:val="24"/>
          <w:szCs w:val="24"/>
        </w:rPr>
        <w:t>5260 Odense S</w:t>
      </w:r>
    </w:p>
    <w:p w:rsidR="00762DFB" w:rsidRPr="00730AC1" w:rsidRDefault="00762DFB" w:rsidP="00762DFB">
      <w:pPr>
        <w:ind w:left="851"/>
        <w:rPr>
          <w:sz w:val="24"/>
          <w:szCs w:val="24"/>
        </w:rPr>
      </w:pPr>
    </w:p>
    <w:p w:rsidR="00762DFB" w:rsidRPr="00730AC1" w:rsidRDefault="00762DFB" w:rsidP="00762DFB">
      <w:pPr>
        <w:ind w:left="851" w:hanging="851"/>
        <w:rPr>
          <w:b/>
          <w:sz w:val="24"/>
          <w:szCs w:val="24"/>
        </w:rPr>
      </w:pPr>
      <w:r w:rsidRPr="00730AC1">
        <w:rPr>
          <w:b/>
          <w:sz w:val="24"/>
          <w:szCs w:val="24"/>
        </w:rPr>
        <w:t>8.</w:t>
      </w:r>
      <w:r w:rsidRPr="00730AC1">
        <w:rPr>
          <w:b/>
          <w:sz w:val="24"/>
          <w:szCs w:val="24"/>
        </w:rPr>
        <w:tab/>
        <w:t>MARKEDSFØRINGSTILLADELSESNUMMER (NUMRE)</w:t>
      </w:r>
    </w:p>
    <w:p w:rsidR="00762DFB" w:rsidRPr="00730AC1" w:rsidRDefault="00762DFB" w:rsidP="00762DFB">
      <w:pPr>
        <w:ind w:left="851"/>
        <w:rPr>
          <w:sz w:val="24"/>
          <w:szCs w:val="24"/>
        </w:rPr>
      </w:pPr>
      <w:r w:rsidRPr="00730AC1">
        <w:rPr>
          <w:sz w:val="24"/>
          <w:szCs w:val="24"/>
        </w:rPr>
        <w:t>51806</w:t>
      </w:r>
    </w:p>
    <w:p w:rsidR="00762DFB" w:rsidRPr="00730AC1" w:rsidRDefault="00762DFB" w:rsidP="00762DFB">
      <w:pPr>
        <w:ind w:left="851" w:hanging="851"/>
        <w:jc w:val="both"/>
        <w:rPr>
          <w:sz w:val="24"/>
          <w:szCs w:val="24"/>
        </w:rPr>
      </w:pPr>
    </w:p>
    <w:p w:rsidR="00762DFB" w:rsidRPr="00730AC1" w:rsidRDefault="00762DFB" w:rsidP="00762DFB">
      <w:pPr>
        <w:ind w:left="851" w:hanging="851"/>
        <w:rPr>
          <w:b/>
          <w:sz w:val="24"/>
          <w:szCs w:val="24"/>
        </w:rPr>
      </w:pPr>
      <w:r w:rsidRPr="00730AC1">
        <w:rPr>
          <w:b/>
          <w:sz w:val="24"/>
          <w:szCs w:val="24"/>
        </w:rPr>
        <w:t>9.</w:t>
      </w:r>
      <w:r w:rsidRPr="00730AC1">
        <w:rPr>
          <w:b/>
          <w:sz w:val="24"/>
          <w:szCs w:val="24"/>
        </w:rPr>
        <w:tab/>
        <w:t>DATO FOR FØRSTE MARKEDSFØRINGSTILLADELSE</w:t>
      </w:r>
    </w:p>
    <w:p w:rsidR="00762DFB" w:rsidRPr="00730AC1" w:rsidRDefault="00762DFB" w:rsidP="00762DFB">
      <w:pPr>
        <w:ind w:left="851"/>
        <w:rPr>
          <w:sz w:val="24"/>
          <w:szCs w:val="24"/>
        </w:rPr>
      </w:pPr>
      <w:r w:rsidRPr="00730AC1">
        <w:rPr>
          <w:sz w:val="24"/>
          <w:szCs w:val="24"/>
        </w:rPr>
        <w:t>18. december 2013</w:t>
      </w:r>
    </w:p>
    <w:p w:rsidR="00762DFB" w:rsidRPr="00730AC1" w:rsidRDefault="00762DFB" w:rsidP="00762DFB">
      <w:pPr>
        <w:ind w:left="851" w:hanging="851"/>
        <w:rPr>
          <w:sz w:val="24"/>
          <w:szCs w:val="24"/>
        </w:rPr>
      </w:pPr>
    </w:p>
    <w:p w:rsidR="00762DFB" w:rsidRPr="00730AC1" w:rsidRDefault="00762DFB" w:rsidP="00762DFB">
      <w:pPr>
        <w:ind w:left="851" w:hanging="851"/>
        <w:rPr>
          <w:b/>
          <w:sz w:val="24"/>
          <w:szCs w:val="24"/>
        </w:rPr>
      </w:pPr>
      <w:r w:rsidRPr="00730AC1">
        <w:rPr>
          <w:b/>
          <w:sz w:val="24"/>
          <w:szCs w:val="24"/>
        </w:rPr>
        <w:t>10.</w:t>
      </w:r>
      <w:r w:rsidRPr="00730AC1">
        <w:rPr>
          <w:b/>
          <w:sz w:val="24"/>
          <w:szCs w:val="24"/>
        </w:rPr>
        <w:tab/>
        <w:t>DATO FOR ÆNDRING AF TEKSTEN</w:t>
      </w:r>
    </w:p>
    <w:p w:rsidR="009260DE" w:rsidRPr="00762DFB" w:rsidRDefault="00681DE9" w:rsidP="00681DE9">
      <w:pPr>
        <w:ind w:firstLine="851"/>
      </w:pPr>
      <w:r>
        <w:rPr>
          <w:sz w:val="24"/>
          <w:szCs w:val="24"/>
        </w:rPr>
        <w:t>2</w:t>
      </w:r>
      <w:r w:rsidR="00BC18C7">
        <w:rPr>
          <w:sz w:val="24"/>
          <w:szCs w:val="24"/>
        </w:rPr>
        <w:t>1</w:t>
      </w:r>
      <w:r>
        <w:rPr>
          <w:sz w:val="24"/>
          <w:szCs w:val="24"/>
        </w:rPr>
        <w:t xml:space="preserve">. </w:t>
      </w:r>
      <w:r w:rsidR="00BC18C7">
        <w:rPr>
          <w:sz w:val="24"/>
          <w:szCs w:val="24"/>
        </w:rPr>
        <w:t>september</w:t>
      </w:r>
      <w:r>
        <w:rPr>
          <w:sz w:val="24"/>
          <w:szCs w:val="24"/>
        </w:rPr>
        <w:t xml:space="preserve"> 202</w:t>
      </w:r>
      <w:r w:rsidR="00BC18C7">
        <w:rPr>
          <w:sz w:val="24"/>
          <w:szCs w:val="24"/>
        </w:rPr>
        <w:t>1</w:t>
      </w:r>
    </w:p>
    <w:sectPr w:rsidR="009260DE" w:rsidRPr="00762DF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FB" w:rsidRDefault="00762DFB">
      <w:r>
        <w:separator/>
      </w:r>
    </w:p>
  </w:endnote>
  <w:endnote w:type="continuationSeparator" w:id="0">
    <w:p w:rsidR="00762DFB" w:rsidRDefault="0076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43BD9">
      <w:rPr>
        <w:i/>
        <w:noProof/>
        <w:sz w:val="18"/>
        <w:szCs w:val="18"/>
      </w:rPr>
      <w:t>Paracetamol Orifarm, filmovertrukne tabletter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FB" w:rsidRDefault="00762DFB">
      <w:r>
        <w:separator/>
      </w:r>
    </w:p>
  </w:footnote>
  <w:footnote w:type="continuationSeparator" w:id="0">
    <w:p w:rsidR="00762DFB" w:rsidRDefault="00762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B36"/>
    <w:multiLevelType w:val="hybridMultilevel"/>
    <w:tmpl w:val="890AAF4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1C1449"/>
    <w:multiLevelType w:val="hybridMultilevel"/>
    <w:tmpl w:val="F260E5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B"/>
    <w:rsid w:val="000259B9"/>
    <w:rsid w:val="00041491"/>
    <w:rsid w:val="00050D16"/>
    <w:rsid w:val="00074F2A"/>
    <w:rsid w:val="00095A06"/>
    <w:rsid w:val="000A1CA8"/>
    <w:rsid w:val="000A466B"/>
    <w:rsid w:val="000B058C"/>
    <w:rsid w:val="000E4EE6"/>
    <w:rsid w:val="00137014"/>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5E0A"/>
    <w:rsid w:val="00596D86"/>
    <w:rsid w:val="00637F5A"/>
    <w:rsid w:val="006560B1"/>
    <w:rsid w:val="006756DD"/>
    <w:rsid w:val="00681DE9"/>
    <w:rsid w:val="00737275"/>
    <w:rsid w:val="00740EEC"/>
    <w:rsid w:val="00762DFB"/>
    <w:rsid w:val="0078011A"/>
    <w:rsid w:val="00782AF4"/>
    <w:rsid w:val="00790EE7"/>
    <w:rsid w:val="007B4708"/>
    <w:rsid w:val="007B6649"/>
    <w:rsid w:val="0081546F"/>
    <w:rsid w:val="0082576E"/>
    <w:rsid w:val="00907F75"/>
    <w:rsid w:val="009260DE"/>
    <w:rsid w:val="0093258A"/>
    <w:rsid w:val="009C7BA3"/>
    <w:rsid w:val="009D1F5A"/>
    <w:rsid w:val="00AC4198"/>
    <w:rsid w:val="00B003BF"/>
    <w:rsid w:val="00B373D7"/>
    <w:rsid w:val="00BB3273"/>
    <w:rsid w:val="00BC18C7"/>
    <w:rsid w:val="00BD4645"/>
    <w:rsid w:val="00C36276"/>
    <w:rsid w:val="00C42586"/>
    <w:rsid w:val="00C60CCD"/>
    <w:rsid w:val="00C84483"/>
    <w:rsid w:val="00C95551"/>
    <w:rsid w:val="00CB20D7"/>
    <w:rsid w:val="00CD0883"/>
    <w:rsid w:val="00CE3244"/>
    <w:rsid w:val="00D020B0"/>
    <w:rsid w:val="00D11748"/>
    <w:rsid w:val="00D366CF"/>
    <w:rsid w:val="00E108AA"/>
    <w:rsid w:val="00E31812"/>
    <w:rsid w:val="00E3749A"/>
    <w:rsid w:val="00E43BD9"/>
    <w:rsid w:val="00E45A82"/>
    <w:rsid w:val="00E7437F"/>
    <w:rsid w:val="00E865B8"/>
    <w:rsid w:val="00EC0B9B"/>
    <w:rsid w:val="00ED5E9F"/>
    <w:rsid w:val="00F66D4F"/>
    <w:rsid w:val="00FB6D01"/>
    <w:rsid w:val="00FC79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7A3FC9"/>
  <w15:chartTrackingRefBased/>
  <w15:docId w15:val="{C69DEE55-4002-48A1-A2F1-6B5107D3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76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131</TotalTime>
  <Pages>9</Pages>
  <Words>2177</Words>
  <Characters>14643</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 </dc:creator>
  <cp:keywords/>
  <dc:description>2021081560, var.15, opdatering pkt. 6.5</dc:description>
  <cp:lastModifiedBy>Janni Kim Ekwall Weihrauch</cp:lastModifiedBy>
  <cp:revision>4</cp:revision>
  <cp:lastPrinted>2012-08-22T08:53:00Z</cp:lastPrinted>
  <dcterms:created xsi:type="dcterms:W3CDTF">2021-09-21T08:26:00Z</dcterms:created>
  <dcterms:modified xsi:type="dcterms:W3CDTF">2021-09-21T11:49:00Z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