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050B5" w14:textId="77777777" w:rsidR="004A3BF4" w:rsidRPr="004E05E4" w:rsidRDefault="00056601" w:rsidP="004A3BF4">
      <w:pPr>
        <w:rPr>
          <w:sz w:val="24"/>
          <w:szCs w:val="24"/>
          <w:lang w:val="en-GB"/>
        </w:rPr>
      </w:pPr>
      <w:bookmarkStart w:id="0" w:name="_GoBack"/>
      <w:bookmarkEnd w:id="0"/>
      <w:r w:rsidRPr="004E05E4">
        <w:rPr>
          <w:noProof/>
          <w:sz w:val="24"/>
          <w:szCs w:val="24"/>
          <w:lang w:val="en-GB"/>
        </w:rPr>
        <w:drawing>
          <wp:inline distT="0" distB="0" distL="0" distR="0" wp14:anchorId="5967CF23" wp14:editId="7E825B0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750C37" w14:textId="77777777" w:rsidR="006B3847" w:rsidRPr="004E05E4" w:rsidRDefault="006B3847" w:rsidP="006B3847">
      <w:pPr>
        <w:rPr>
          <w:sz w:val="24"/>
          <w:szCs w:val="24"/>
          <w:lang w:val="en-GB"/>
        </w:rPr>
      </w:pPr>
    </w:p>
    <w:p w14:paraId="4F62795D" w14:textId="5BF7140C" w:rsidR="006B3847" w:rsidRPr="004E05E4" w:rsidRDefault="006B3847" w:rsidP="006B3847">
      <w:pPr>
        <w:tabs>
          <w:tab w:val="right" w:pos="9356"/>
        </w:tabs>
        <w:rPr>
          <w:b/>
          <w:sz w:val="24"/>
          <w:szCs w:val="24"/>
          <w:lang w:val="en-GB"/>
        </w:rPr>
      </w:pPr>
      <w:r w:rsidRPr="004E05E4">
        <w:rPr>
          <w:b/>
          <w:sz w:val="24"/>
          <w:szCs w:val="24"/>
          <w:lang w:val="en-GB"/>
        </w:rPr>
        <w:tab/>
      </w:r>
      <w:r w:rsidR="00E519B8">
        <w:rPr>
          <w:b/>
          <w:sz w:val="24"/>
          <w:szCs w:val="24"/>
          <w:lang w:val="en-GB"/>
        </w:rPr>
        <w:t>2</w:t>
      </w:r>
      <w:r w:rsidR="00E44226">
        <w:rPr>
          <w:b/>
          <w:sz w:val="24"/>
          <w:szCs w:val="24"/>
          <w:lang w:val="en-GB"/>
        </w:rPr>
        <w:t>7</w:t>
      </w:r>
      <w:r w:rsidR="00E519B8">
        <w:rPr>
          <w:b/>
          <w:sz w:val="24"/>
          <w:szCs w:val="24"/>
          <w:lang w:val="en-GB"/>
        </w:rPr>
        <w:t xml:space="preserve"> March 2025</w:t>
      </w:r>
    </w:p>
    <w:p w14:paraId="0FD6C765" w14:textId="77777777" w:rsidR="006B3847" w:rsidRPr="004E05E4" w:rsidRDefault="006B3847" w:rsidP="006B3847">
      <w:pPr>
        <w:rPr>
          <w:sz w:val="24"/>
          <w:szCs w:val="24"/>
          <w:lang w:val="en-GB"/>
        </w:rPr>
      </w:pPr>
    </w:p>
    <w:p w14:paraId="3DAC22AB" w14:textId="77777777" w:rsidR="007C5D2A" w:rsidRPr="004E05E4" w:rsidRDefault="007C5D2A" w:rsidP="007C5D2A">
      <w:pPr>
        <w:rPr>
          <w:sz w:val="24"/>
          <w:szCs w:val="24"/>
          <w:lang w:val="en-GB"/>
        </w:rPr>
      </w:pPr>
    </w:p>
    <w:p w14:paraId="0FBABDB6" w14:textId="77777777" w:rsidR="007C5D2A" w:rsidRPr="004E05E4" w:rsidRDefault="007C5D2A" w:rsidP="007C5D2A">
      <w:pPr>
        <w:rPr>
          <w:sz w:val="24"/>
          <w:szCs w:val="24"/>
          <w:lang w:val="en-GB"/>
        </w:rPr>
      </w:pPr>
    </w:p>
    <w:p w14:paraId="0A0C9C74" w14:textId="77777777" w:rsidR="007C5D2A" w:rsidRPr="004E05E4" w:rsidRDefault="007C5D2A" w:rsidP="007C5D2A">
      <w:pPr>
        <w:jc w:val="center"/>
        <w:rPr>
          <w:b/>
          <w:sz w:val="24"/>
          <w:szCs w:val="24"/>
          <w:lang w:val="en-GB"/>
        </w:rPr>
      </w:pPr>
      <w:bookmarkStart w:id="1" w:name="_Hlk49158549"/>
      <w:r w:rsidRPr="004E05E4">
        <w:rPr>
          <w:b/>
          <w:sz w:val="24"/>
          <w:szCs w:val="24"/>
          <w:lang w:val="en-GB"/>
        </w:rPr>
        <w:t>SUMMARY OF PRODUCT CHARACTERISTICS</w:t>
      </w:r>
    </w:p>
    <w:bookmarkEnd w:id="1"/>
    <w:p w14:paraId="20DABD7F" w14:textId="77777777" w:rsidR="007C5D2A" w:rsidRPr="004E05E4" w:rsidRDefault="007C5D2A" w:rsidP="007C5D2A">
      <w:pPr>
        <w:jc w:val="center"/>
        <w:rPr>
          <w:sz w:val="24"/>
          <w:szCs w:val="24"/>
          <w:lang w:val="en-GB"/>
        </w:rPr>
      </w:pPr>
    </w:p>
    <w:p w14:paraId="02A48330" w14:textId="77777777" w:rsidR="007C5D2A" w:rsidRPr="004E05E4" w:rsidRDefault="007C5D2A" w:rsidP="007C5D2A">
      <w:pPr>
        <w:jc w:val="center"/>
        <w:rPr>
          <w:b/>
          <w:sz w:val="24"/>
          <w:szCs w:val="24"/>
          <w:lang w:val="en-GB"/>
        </w:rPr>
      </w:pPr>
      <w:r w:rsidRPr="004E05E4">
        <w:rPr>
          <w:b/>
          <w:sz w:val="24"/>
          <w:szCs w:val="24"/>
          <w:lang w:val="en-GB"/>
        </w:rPr>
        <w:t>for</w:t>
      </w:r>
    </w:p>
    <w:p w14:paraId="7C4977F0" w14:textId="596ADF14" w:rsidR="007C5D2A" w:rsidRPr="004E05E4" w:rsidRDefault="007C5D2A" w:rsidP="00DC5567">
      <w:pPr>
        <w:rPr>
          <w:sz w:val="24"/>
          <w:szCs w:val="24"/>
          <w:lang w:val="en-GB"/>
        </w:rPr>
      </w:pPr>
    </w:p>
    <w:p w14:paraId="298B388A" w14:textId="07272EC2" w:rsidR="007C5D2A" w:rsidRPr="004E05E4" w:rsidRDefault="004823F1" w:rsidP="007C5D2A">
      <w:pPr>
        <w:jc w:val="center"/>
        <w:rPr>
          <w:b/>
          <w:sz w:val="24"/>
          <w:szCs w:val="24"/>
          <w:lang w:val="en-GB"/>
        </w:rPr>
      </w:pPr>
      <w:r w:rsidRPr="004E05E4">
        <w:rPr>
          <w:b/>
          <w:sz w:val="24"/>
          <w:szCs w:val="24"/>
          <w:lang w:val="en-GB"/>
        </w:rPr>
        <w:t>Paracetamol "Teva", film-coated tablets</w:t>
      </w:r>
    </w:p>
    <w:p w14:paraId="5D04C466" w14:textId="77777777" w:rsidR="007C5D2A" w:rsidRPr="004E05E4" w:rsidRDefault="007C5D2A" w:rsidP="007C5D2A">
      <w:pPr>
        <w:jc w:val="both"/>
        <w:rPr>
          <w:sz w:val="24"/>
          <w:szCs w:val="24"/>
          <w:lang w:val="en-GB"/>
        </w:rPr>
      </w:pPr>
    </w:p>
    <w:p w14:paraId="1AEF54B9" w14:textId="77777777" w:rsidR="0042292D" w:rsidRPr="004E05E4" w:rsidRDefault="0042292D" w:rsidP="007C5D2A">
      <w:pPr>
        <w:jc w:val="both"/>
        <w:rPr>
          <w:sz w:val="24"/>
          <w:szCs w:val="24"/>
          <w:lang w:val="en-GB"/>
        </w:rPr>
      </w:pPr>
    </w:p>
    <w:p w14:paraId="6A92049D" w14:textId="77777777" w:rsidR="008F2F8C" w:rsidRPr="004E05E4" w:rsidRDefault="008F2F8C" w:rsidP="008F2F8C">
      <w:pPr>
        <w:tabs>
          <w:tab w:val="left" w:pos="8222"/>
        </w:tabs>
        <w:ind w:left="851" w:hanging="851"/>
        <w:rPr>
          <w:b/>
          <w:sz w:val="24"/>
          <w:szCs w:val="24"/>
          <w:lang w:val="en-GB"/>
        </w:rPr>
      </w:pPr>
      <w:r w:rsidRPr="004E05E4">
        <w:rPr>
          <w:b/>
          <w:sz w:val="24"/>
          <w:szCs w:val="24"/>
          <w:lang w:val="en-GB"/>
        </w:rPr>
        <w:t>0.</w:t>
      </w:r>
      <w:r w:rsidRPr="004E05E4">
        <w:rPr>
          <w:b/>
          <w:sz w:val="24"/>
          <w:szCs w:val="24"/>
          <w:lang w:val="en-GB"/>
        </w:rPr>
        <w:tab/>
      </w:r>
      <w:proofErr w:type="gramStart"/>
      <w:r w:rsidRPr="004E05E4">
        <w:rPr>
          <w:b/>
          <w:sz w:val="24"/>
          <w:szCs w:val="24"/>
          <w:lang w:val="en-GB"/>
        </w:rPr>
        <w:t>D.SP.NO</w:t>
      </w:r>
      <w:proofErr w:type="gramEnd"/>
      <w:r w:rsidRPr="004E05E4">
        <w:rPr>
          <w:b/>
          <w:sz w:val="24"/>
          <w:szCs w:val="24"/>
          <w:lang w:val="en-GB"/>
        </w:rPr>
        <w:t>.</w:t>
      </w:r>
    </w:p>
    <w:p w14:paraId="7EC7D8D8" w14:textId="2B83053A" w:rsidR="008F2F8C" w:rsidRPr="004E05E4" w:rsidRDefault="004823F1" w:rsidP="008F2F8C">
      <w:pPr>
        <w:tabs>
          <w:tab w:val="left" w:pos="8222"/>
        </w:tabs>
        <w:ind w:left="851"/>
        <w:rPr>
          <w:sz w:val="24"/>
          <w:szCs w:val="24"/>
          <w:lang w:val="en-GB"/>
        </w:rPr>
      </w:pPr>
      <w:r w:rsidRPr="004E05E4">
        <w:rPr>
          <w:sz w:val="24"/>
          <w:szCs w:val="24"/>
          <w:lang w:val="en-GB"/>
        </w:rPr>
        <w:t>32200</w:t>
      </w:r>
    </w:p>
    <w:p w14:paraId="53D6C031" w14:textId="77777777" w:rsidR="007C5D2A" w:rsidRPr="004E05E4" w:rsidRDefault="007C5D2A" w:rsidP="007C5D2A">
      <w:pPr>
        <w:tabs>
          <w:tab w:val="left" w:pos="851"/>
        </w:tabs>
        <w:jc w:val="both"/>
        <w:rPr>
          <w:sz w:val="24"/>
          <w:szCs w:val="24"/>
          <w:lang w:val="en-GB"/>
        </w:rPr>
      </w:pPr>
    </w:p>
    <w:p w14:paraId="7097FD07" w14:textId="77777777" w:rsidR="007C5D2A" w:rsidRPr="004E05E4" w:rsidRDefault="009925C9" w:rsidP="007C5D2A">
      <w:pPr>
        <w:tabs>
          <w:tab w:val="left" w:pos="851"/>
        </w:tabs>
        <w:ind w:left="851" w:hanging="851"/>
        <w:rPr>
          <w:sz w:val="24"/>
          <w:szCs w:val="24"/>
          <w:lang w:val="en-GB"/>
        </w:rPr>
      </w:pPr>
      <w:r w:rsidRPr="004E05E4">
        <w:rPr>
          <w:b/>
          <w:sz w:val="24"/>
          <w:szCs w:val="24"/>
          <w:lang w:val="en-GB"/>
        </w:rPr>
        <w:t>1.</w:t>
      </w:r>
      <w:r w:rsidR="007C5D2A" w:rsidRPr="004E05E4">
        <w:rPr>
          <w:b/>
          <w:sz w:val="24"/>
          <w:szCs w:val="24"/>
          <w:lang w:val="en-GB"/>
        </w:rPr>
        <w:tab/>
        <w:t>NAME OF THE MEDICINAL PRODUCT</w:t>
      </w:r>
    </w:p>
    <w:p w14:paraId="11D2DE98" w14:textId="43C828EA" w:rsidR="007C5D2A" w:rsidRPr="004E05E4" w:rsidRDefault="004823F1" w:rsidP="004A3BF4">
      <w:pPr>
        <w:tabs>
          <w:tab w:val="left" w:pos="851"/>
        </w:tabs>
        <w:ind w:left="851"/>
        <w:rPr>
          <w:sz w:val="24"/>
          <w:szCs w:val="24"/>
          <w:lang w:val="en-GB"/>
        </w:rPr>
      </w:pPr>
      <w:r w:rsidRPr="004E05E4">
        <w:rPr>
          <w:sz w:val="24"/>
          <w:szCs w:val="24"/>
          <w:lang w:val="en-GB"/>
        </w:rPr>
        <w:t>Paracetamol "Teva"</w:t>
      </w:r>
    </w:p>
    <w:p w14:paraId="61B23A2B" w14:textId="77777777" w:rsidR="007C5D2A" w:rsidRPr="004E05E4" w:rsidRDefault="007C5D2A" w:rsidP="004A3BF4">
      <w:pPr>
        <w:tabs>
          <w:tab w:val="left" w:pos="851"/>
        </w:tabs>
        <w:ind w:left="851"/>
        <w:rPr>
          <w:sz w:val="24"/>
          <w:szCs w:val="24"/>
          <w:lang w:val="en-GB"/>
        </w:rPr>
      </w:pPr>
    </w:p>
    <w:p w14:paraId="0D6E725E" w14:textId="77777777" w:rsidR="007C5D2A" w:rsidRPr="004E05E4" w:rsidRDefault="009925C9" w:rsidP="007C5D2A">
      <w:pPr>
        <w:ind w:left="851" w:hanging="851"/>
        <w:rPr>
          <w:b/>
          <w:sz w:val="24"/>
          <w:szCs w:val="24"/>
          <w:lang w:val="en-GB"/>
        </w:rPr>
      </w:pPr>
      <w:r w:rsidRPr="004E05E4">
        <w:rPr>
          <w:b/>
          <w:sz w:val="24"/>
          <w:szCs w:val="24"/>
          <w:lang w:val="en-GB"/>
        </w:rPr>
        <w:t>2.</w:t>
      </w:r>
      <w:r w:rsidR="007C5D2A" w:rsidRPr="004E05E4">
        <w:rPr>
          <w:b/>
          <w:sz w:val="24"/>
          <w:szCs w:val="24"/>
          <w:lang w:val="en-GB"/>
        </w:rPr>
        <w:tab/>
        <w:t>QUALITATIVE AND QUANTITATIVE COMPOSITION</w:t>
      </w:r>
    </w:p>
    <w:p w14:paraId="614DB851" w14:textId="77777777" w:rsidR="00A17559" w:rsidRPr="002B7ACD" w:rsidRDefault="00A17559" w:rsidP="004E05E4">
      <w:pPr>
        <w:ind w:left="851"/>
        <w:rPr>
          <w:sz w:val="24"/>
          <w:szCs w:val="24"/>
          <w:lang w:val="en-US"/>
        </w:rPr>
      </w:pPr>
      <w:r w:rsidRPr="002B7ACD">
        <w:rPr>
          <w:sz w:val="24"/>
          <w:szCs w:val="24"/>
          <w:lang w:val="en-US"/>
        </w:rPr>
        <w:t>Each film-coated tablet contains 500 mg paracetamol.</w:t>
      </w:r>
    </w:p>
    <w:p w14:paraId="7DA4E43F" w14:textId="77777777" w:rsidR="00A17559" w:rsidRPr="002B7ACD" w:rsidRDefault="00A17559" w:rsidP="004E05E4">
      <w:pPr>
        <w:ind w:left="851"/>
        <w:rPr>
          <w:sz w:val="24"/>
          <w:szCs w:val="24"/>
          <w:lang w:val="en-US"/>
        </w:rPr>
      </w:pPr>
    </w:p>
    <w:p w14:paraId="39D54983" w14:textId="77777777" w:rsidR="00A17559" w:rsidRPr="002B7ACD" w:rsidRDefault="00A17559" w:rsidP="004E05E4">
      <w:pPr>
        <w:ind w:left="851"/>
        <w:rPr>
          <w:sz w:val="24"/>
          <w:szCs w:val="24"/>
          <w:u w:val="single"/>
          <w:lang w:val="en-US"/>
        </w:rPr>
      </w:pPr>
      <w:r w:rsidRPr="002B7ACD">
        <w:rPr>
          <w:sz w:val="24"/>
          <w:szCs w:val="24"/>
          <w:u w:val="single"/>
          <w:lang w:val="en-US"/>
        </w:rPr>
        <w:t>Excipients with known effect:</w:t>
      </w:r>
    </w:p>
    <w:p w14:paraId="4671ED8C" w14:textId="77777777" w:rsidR="00A17559" w:rsidRPr="002B7ACD" w:rsidRDefault="00A17559" w:rsidP="004E05E4">
      <w:pPr>
        <w:ind w:left="851"/>
        <w:rPr>
          <w:sz w:val="24"/>
          <w:szCs w:val="24"/>
          <w:lang w:val="en-US"/>
        </w:rPr>
      </w:pPr>
      <w:r w:rsidRPr="002B7ACD">
        <w:rPr>
          <w:sz w:val="24"/>
          <w:szCs w:val="24"/>
          <w:lang w:val="en-US"/>
        </w:rPr>
        <w:t xml:space="preserve">Each film-coated tablet contains 12 µg of glucose and sorbitol. </w:t>
      </w:r>
    </w:p>
    <w:p w14:paraId="1BB2EE3A" w14:textId="77777777" w:rsidR="00A17559" w:rsidRPr="002B7ACD" w:rsidRDefault="00A17559" w:rsidP="004E05E4">
      <w:pPr>
        <w:ind w:left="851"/>
        <w:rPr>
          <w:sz w:val="24"/>
          <w:szCs w:val="24"/>
          <w:lang w:val="en-US"/>
        </w:rPr>
      </w:pPr>
    </w:p>
    <w:p w14:paraId="3A69DCCB" w14:textId="77777777" w:rsidR="00A17559" w:rsidRPr="002B7ACD" w:rsidRDefault="00A17559" w:rsidP="004E05E4">
      <w:pPr>
        <w:ind w:left="851"/>
        <w:rPr>
          <w:sz w:val="24"/>
          <w:szCs w:val="24"/>
          <w:lang w:val="en-US"/>
        </w:rPr>
      </w:pPr>
      <w:r w:rsidRPr="002B7ACD">
        <w:rPr>
          <w:sz w:val="24"/>
          <w:szCs w:val="24"/>
          <w:lang w:val="en-US"/>
        </w:rPr>
        <w:t xml:space="preserve">For the full list of excipients, see section 6.1. </w:t>
      </w:r>
    </w:p>
    <w:p w14:paraId="14437405" w14:textId="77777777" w:rsidR="007C5D2A" w:rsidRPr="004E05E4" w:rsidRDefault="007C5D2A" w:rsidP="004A3BF4">
      <w:pPr>
        <w:tabs>
          <w:tab w:val="left" w:pos="851"/>
        </w:tabs>
        <w:ind w:left="851"/>
        <w:rPr>
          <w:sz w:val="24"/>
          <w:szCs w:val="24"/>
          <w:lang w:val="en-GB"/>
        </w:rPr>
      </w:pPr>
    </w:p>
    <w:p w14:paraId="7AC6A779" w14:textId="77777777" w:rsidR="007C5D2A" w:rsidRPr="004E05E4" w:rsidRDefault="007C5D2A" w:rsidP="007C5D2A">
      <w:pPr>
        <w:tabs>
          <w:tab w:val="left" w:pos="851"/>
        </w:tabs>
        <w:ind w:left="851" w:hanging="851"/>
        <w:rPr>
          <w:b/>
          <w:sz w:val="24"/>
          <w:szCs w:val="24"/>
          <w:lang w:val="en-GB"/>
        </w:rPr>
      </w:pPr>
      <w:r w:rsidRPr="004E05E4">
        <w:rPr>
          <w:b/>
          <w:sz w:val="24"/>
          <w:szCs w:val="24"/>
          <w:lang w:val="en-GB"/>
        </w:rPr>
        <w:t>3.</w:t>
      </w:r>
      <w:r w:rsidRPr="004E05E4">
        <w:rPr>
          <w:b/>
          <w:sz w:val="24"/>
          <w:szCs w:val="24"/>
          <w:lang w:val="en-GB"/>
        </w:rPr>
        <w:tab/>
        <w:t>PHARMACEUTICAL FORM</w:t>
      </w:r>
    </w:p>
    <w:p w14:paraId="4DA6151A" w14:textId="05C51C5D" w:rsidR="00A17559" w:rsidRPr="004E05E4" w:rsidRDefault="00A17559" w:rsidP="004E05E4">
      <w:pPr>
        <w:ind w:left="851"/>
        <w:rPr>
          <w:sz w:val="24"/>
          <w:szCs w:val="24"/>
          <w:lang w:val="en-US"/>
        </w:rPr>
      </w:pPr>
      <w:r w:rsidRPr="004E05E4">
        <w:rPr>
          <w:sz w:val="24"/>
          <w:szCs w:val="24"/>
          <w:lang w:val="en-US"/>
        </w:rPr>
        <w:t>Film-coated tablet</w:t>
      </w:r>
      <w:r w:rsidR="00E62EE7">
        <w:rPr>
          <w:sz w:val="24"/>
          <w:szCs w:val="24"/>
          <w:lang w:val="en-US"/>
        </w:rPr>
        <w:t>s</w:t>
      </w:r>
    </w:p>
    <w:p w14:paraId="77846F6B" w14:textId="77777777" w:rsidR="00A17559" w:rsidRPr="004E05E4" w:rsidRDefault="00A17559" w:rsidP="004E05E4">
      <w:pPr>
        <w:ind w:left="851"/>
        <w:rPr>
          <w:sz w:val="24"/>
          <w:szCs w:val="24"/>
          <w:lang w:val="en-US"/>
        </w:rPr>
      </w:pPr>
    </w:p>
    <w:p w14:paraId="2EB34812" w14:textId="5887B8F8" w:rsidR="00A17559" w:rsidRPr="004E05E4" w:rsidRDefault="00A17559" w:rsidP="004E05E4">
      <w:pPr>
        <w:ind w:left="851"/>
        <w:rPr>
          <w:sz w:val="24"/>
          <w:szCs w:val="24"/>
          <w:lang w:val="en-US"/>
        </w:rPr>
      </w:pPr>
      <w:r w:rsidRPr="004E05E4">
        <w:rPr>
          <w:sz w:val="24"/>
          <w:szCs w:val="24"/>
          <w:lang w:val="en-US"/>
        </w:rPr>
        <w:t xml:space="preserve">White to off-white, oval shaped biconvex tablet, </w:t>
      </w:r>
      <w:proofErr w:type="spellStart"/>
      <w:r w:rsidRPr="004E05E4">
        <w:rPr>
          <w:sz w:val="24"/>
          <w:szCs w:val="24"/>
          <w:lang w:val="en-US"/>
        </w:rPr>
        <w:t>breakline</w:t>
      </w:r>
      <w:proofErr w:type="spellEnd"/>
      <w:r w:rsidRPr="004E05E4">
        <w:rPr>
          <w:sz w:val="24"/>
          <w:szCs w:val="24"/>
          <w:lang w:val="en-US"/>
        </w:rPr>
        <w:t xml:space="preserve"> on one side of the tablet and plain on the other. The tablet is approximately 7.9 </w:t>
      </w:r>
      <w:r w:rsidR="00E62EE7">
        <w:rPr>
          <w:sz w:val="24"/>
          <w:szCs w:val="24"/>
          <w:lang w:val="en-US"/>
        </w:rPr>
        <w:t>×</w:t>
      </w:r>
      <w:r w:rsidRPr="004E05E4">
        <w:rPr>
          <w:sz w:val="24"/>
          <w:szCs w:val="24"/>
          <w:lang w:val="en-US"/>
        </w:rPr>
        <w:t xml:space="preserve"> 17.1 mm in size with a height of approximately 5.0-6.5 mm. </w:t>
      </w:r>
      <w:r w:rsidRPr="004E05E4">
        <w:rPr>
          <w:sz w:val="24"/>
          <w:szCs w:val="24"/>
          <w:lang w:val="en-US"/>
        </w:rPr>
        <w:br/>
      </w:r>
    </w:p>
    <w:p w14:paraId="2EE0991B" w14:textId="77777777" w:rsidR="00A17559" w:rsidRPr="004E05E4" w:rsidRDefault="00A17559" w:rsidP="004E05E4">
      <w:pPr>
        <w:ind w:left="851"/>
        <w:rPr>
          <w:sz w:val="24"/>
          <w:szCs w:val="24"/>
          <w:lang w:val="en-US"/>
        </w:rPr>
      </w:pPr>
      <w:r w:rsidRPr="004E05E4">
        <w:rPr>
          <w:sz w:val="24"/>
          <w:szCs w:val="24"/>
          <w:lang w:val="en-US"/>
        </w:rPr>
        <w:t>The tablet can be divided into equal doses.</w:t>
      </w:r>
    </w:p>
    <w:p w14:paraId="3CD20E4B" w14:textId="77777777" w:rsidR="007C5D2A" w:rsidRPr="004E05E4" w:rsidRDefault="007C5D2A" w:rsidP="004A3BF4">
      <w:pPr>
        <w:tabs>
          <w:tab w:val="left" w:pos="851"/>
        </w:tabs>
        <w:ind w:left="851"/>
        <w:rPr>
          <w:sz w:val="24"/>
          <w:szCs w:val="24"/>
          <w:lang w:val="en-GB"/>
        </w:rPr>
      </w:pPr>
    </w:p>
    <w:p w14:paraId="617B339A" w14:textId="77777777" w:rsidR="007C5D2A" w:rsidRPr="004E05E4" w:rsidRDefault="007C5D2A" w:rsidP="004A3BF4">
      <w:pPr>
        <w:tabs>
          <w:tab w:val="left" w:pos="851"/>
        </w:tabs>
        <w:ind w:left="851"/>
        <w:rPr>
          <w:sz w:val="24"/>
          <w:szCs w:val="24"/>
          <w:lang w:val="en-GB"/>
        </w:rPr>
      </w:pPr>
    </w:p>
    <w:p w14:paraId="4E778B6A" w14:textId="77777777" w:rsidR="007C5D2A" w:rsidRPr="004E05E4" w:rsidRDefault="007C5D2A" w:rsidP="007C5D2A">
      <w:pPr>
        <w:ind w:left="851" w:hanging="851"/>
        <w:rPr>
          <w:b/>
          <w:sz w:val="24"/>
          <w:szCs w:val="24"/>
          <w:lang w:val="en-GB"/>
        </w:rPr>
      </w:pPr>
      <w:r w:rsidRPr="004E05E4">
        <w:rPr>
          <w:b/>
          <w:sz w:val="24"/>
          <w:szCs w:val="24"/>
          <w:lang w:val="en-GB"/>
        </w:rPr>
        <w:t>4.</w:t>
      </w:r>
      <w:r w:rsidRPr="004E05E4">
        <w:rPr>
          <w:b/>
          <w:sz w:val="24"/>
          <w:szCs w:val="24"/>
          <w:lang w:val="en-GB"/>
        </w:rPr>
        <w:tab/>
        <w:t>CLINICAL PARTICULARS</w:t>
      </w:r>
    </w:p>
    <w:p w14:paraId="5B2C2DA2" w14:textId="77777777" w:rsidR="007C5D2A" w:rsidRPr="004E05E4" w:rsidRDefault="007C5D2A" w:rsidP="004A3BF4">
      <w:pPr>
        <w:tabs>
          <w:tab w:val="left" w:pos="851"/>
        </w:tabs>
        <w:ind w:left="851"/>
        <w:rPr>
          <w:sz w:val="24"/>
          <w:szCs w:val="24"/>
          <w:lang w:val="en-GB"/>
        </w:rPr>
      </w:pPr>
    </w:p>
    <w:p w14:paraId="48DF8EAC" w14:textId="77777777" w:rsidR="007C5D2A" w:rsidRPr="004E05E4" w:rsidRDefault="007C5D2A" w:rsidP="007C5D2A">
      <w:pPr>
        <w:ind w:left="851" w:hanging="851"/>
        <w:rPr>
          <w:b/>
          <w:sz w:val="24"/>
          <w:szCs w:val="24"/>
          <w:u w:val="single"/>
          <w:lang w:val="en-GB"/>
        </w:rPr>
      </w:pPr>
      <w:r w:rsidRPr="004E05E4">
        <w:rPr>
          <w:b/>
          <w:sz w:val="24"/>
          <w:szCs w:val="24"/>
          <w:lang w:val="en-GB"/>
        </w:rPr>
        <w:t>4.1</w:t>
      </w:r>
      <w:r w:rsidRPr="004E05E4">
        <w:rPr>
          <w:b/>
          <w:sz w:val="24"/>
          <w:szCs w:val="24"/>
          <w:lang w:val="en-GB"/>
        </w:rPr>
        <w:tab/>
        <w:t>Therapeutic indications</w:t>
      </w:r>
    </w:p>
    <w:p w14:paraId="1417FD6C" w14:textId="77777777" w:rsidR="00A17559" w:rsidRPr="004E05E4" w:rsidRDefault="00A17559" w:rsidP="004E05E4">
      <w:pPr>
        <w:ind w:left="851"/>
        <w:rPr>
          <w:sz w:val="24"/>
          <w:szCs w:val="24"/>
          <w:lang w:val="en-US"/>
        </w:rPr>
      </w:pPr>
      <w:r w:rsidRPr="004E05E4">
        <w:rPr>
          <w:sz w:val="24"/>
          <w:szCs w:val="24"/>
          <w:lang w:val="en-US"/>
        </w:rPr>
        <w:t xml:space="preserve">Symptomatic treatment of mild to moderate pain and/or fever. </w:t>
      </w:r>
    </w:p>
    <w:p w14:paraId="7761E302" w14:textId="77777777" w:rsidR="00A17559" w:rsidRPr="004E05E4" w:rsidRDefault="00A17559" w:rsidP="004E05E4">
      <w:pPr>
        <w:ind w:left="851"/>
        <w:rPr>
          <w:sz w:val="24"/>
          <w:szCs w:val="24"/>
          <w:lang w:val="en-US"/>
        </w:rPr>
      </w:pPr>
    </w:p>
    <w:p w14:paraId="014ECE93" w14:textId="5A941BE0" w:rsidR="00A17559" w:rsidRPr="004E05E4" w:rsidRDefault="00E62EE7" w:rsidP="004E05E4">
      <w:pPr>
        <w:ind w:left="851"/>
        <w:rPr>
          <w:sz w:val="24"/>
          <w:szCs w:val="24"/>
          <w:lang w:val="en-US"/>
        </w:rPr>
      </w:pPr>
      <w:r>
        <w:rPr>
          <w:sz w:val="24"/>
          <w:szCs w:val="24"/>
          <w:lang w:val="en-US"/>
        </w:rPr>
        <w:t>Paracetamol "Teva"</w:t>
      </w:r>
      <w:r w:rsidR="00A17559" w:rsidRPr="004E05E4">
        <w:rPr>
          <w:sz w:val="24"/>
          <w:szCs w:val="24"/>
          <w:lang w:val="en-US"/>
        </w:rPr>
        <w:t xml:space="preserve"> is indicated in adults, adolescents and children aged 6 years and over. </w:t>
      </w:r>
    </w:p>
    <w:p w14:paraId="6735973B" w14:textId="77777777" w:rsidR="007C5D2A" w:rsidRPr="004E05E4" w:rsidRDefault="007C5D2A" w:rsidP="004E05E4">
      <w:pPr>
        <w:ind w:left="851"/>
        <w:rPr>
          <w:sz w:val="24"/>
          <w:szCs w:val="24"/>
          <w:lang w:val="en-GB"/>
        </w:rPr>
      </w:pPr>
    </w:p>
    <w:p w14:paraId="0DF79CD6" w14:textId="77777777" w:rsidR="007C5D2A" w:rsidRPr="004E05E4" w:rsidRDefault="009925C9" w:rsidP="007C5D2A">
      <w:pPr>
        <w:tabs>
          <w:tab w:val="left" w:pos="851"/>
        </w:tabs>
        <w:ind w:left="851" w:hanging="851"/>
        <w:rPr>
          <w:sz w:val="24"/>
          <w:szCs w:val="24"/>
          <w:lang w:val="en-GB"/>
        </w:rPr>
      </w:pPr>
      <w:r w:rsidRPr="004E05E4">
        <w:rPr>
          <w:b/>
          <w:sz w:val="24"/>
          <w:szCs w:val="24"/>
          <w:lang w:val="en-GB"/>
        </w:rPr>
        <w:t>4.2</w:t>
      </w:r>
      <w:r w:rsidR="007C5D2A" w:rsidRPr="004E05E4">
        <w:rPr>
          <w:b/>
          <w:sz w:val="24"/>
          <w:szCs w:val="24"/>
          <w:lang w:val="en-GB"/>
        </w:rPr>
        <w:tab/>
        <w:t>Posology and method of administration</w:t>
      </w:r>
    </w:p>
    <w:p w14:paraId="0332D4F5" w14:textId="77777777" w:rsidR="00E62EE7" w:rsidRDefault="00E62EE7" w:rsidP="004E05E4">
      <w:pPr>
        <w:ind w:left="851"/>
        <w:rPr>
          <w:sz w:val="24"/>
          <w:szCs w:val="24"/>
          <w:lang w:val="en-US"/>
        </w:rPr>
      </w:pPr>
    </w:p>
    <w:p w14:paraId="6B100714" w14:textId="36234C4C" w:rsidR="00A17559" w:rsidRPr="00E62EE7" w:rsidRDefault="00A17559" w:rsidP="004E05E4">
      <w:pPr>
        <w:ind w:left="851"/>
        <w:rPr>
          <w:sz w:val="24"/>
          <w:szCs w:val="24"/>
          <w:u w:val="single"/>
          <w:lang w:val="en-US"/>
        </w:rPr>
      </w:pPr>
      <w:r w:rsidRPr="00E62EE7">
        <w:rPr>
          <w:sz w:val="24"/>
          <w:szCs w:val="24"/>
          <w:u w:val="single"/>
          <w:lang w:val="en-US"/>
        </w:rPr>
        <w:t>Posology</w:t>
      </w:r>
    </w:p>
    <w:p w14:paraId="60EC8B37" w14:textId="77777777" w:rsidR="00A17559" w:rsidRPr="004E05E4" w:rsidRDefault="00A17559" w:rsidP="004E05E4">
      <w:pPr>
        <w:ind w:left="851"/>
        <w:rPr>
          <w:sz w:val="24"/>
          <w:szCs w:val="24"/>
          <w:lang w:val="en-US" w:bidi="he-IL"/>
        </w:rPr>
      </w:pPr>
      <w:r w:rsidRPr="004E05E4">
        <w:rPr>
          <w:sz w:val="24"/>
          <w:szCs w:val="24"/>
          <w:lang w:val="en-US" w:bidi="he-IL"/>
        </w:rPr>
        <w:t>Dosage is in accordance with the information in the following table.</w:t>
      </w:r>
    </w:p>
    <w:p w14:paraId="6DA5AE0B" w14:textId="77777777" w:rsidR="00A17559" w:rsidRPr="004E05E4" w:rsidRDefault="00A17559" w:rsidP="004E05E4">
      <w:pPr>
        <w:ind w:left="851"/>
        <w:rPr>
          <w:sz w:val="24"/>
          <w:szCs w:val="24"/>
          <w:lang w:val="en-US" w:bidi="he-IL"/>
        </w:rPr>
      </w:pPr>
      <w:r w:rsidRPr="004E05E4">
        <w:rPr>
          <w:sz w:val="24"/>
          <w:szCs w:val="24"/>
          <w:lang w:val="en-US" w:bidi="he-IL"/>
        </w:rPr>
        <w:lastRenderedPageBreak/>
        <w:t>Dose depends on age and body weight, generally 10 to 15 mg/kg body weight as a single dose, up to a maximum of 60 mg/kg body weight as the total daily dose.</w:t>
      </w:r>
    </w:p>
    <w:p w14:paraId="0812DFE0" w14:textId="77777777" w:rsidR="00A17559" w:rsidRPr="004E05E4" w:rsidRDefault="00A17559" w:rsidP="004E05E4">
      <w:pPr>
        <w:ind w:left="851"/>
        <w:rPr>
          <w:sz w:val="24"/>
          <w:szCs w:val="24"/>
          <w:lang w:val="en-US" w:bidi="he-IL"/>
        </w:rPr>
      </w:pPr>
    </w:p>
    <w:p w14:paraId="57233BDC" w14:textId="77777777" w:rsidR="00A17559" w:rsidRPr="004E05E4" w:rsidRDefault="00A17559" w:rsidP="004E05E4">
      <w:pPr>
        <w:ind w:left="851"/>
        <w:rPr>
          <w:sz w:val="24"/>
          <w:szCs w:val="24"/>
          <w:lang w:val="en-US" w:eastAsia="de-DE" w:bidi="he-IL"/>
        </w:rPr>
      </w:pPr>
      <w:r w:rsidRPr="004E05E4">
        <w:rPr>
          <w:sz w:val="24"/>
          <w:szCs w:val="24"/>
          <w:lang w:val="en-US" w:eastAsia="de-DE" w:bidi="he-IL"/>
        </w:rPr>
        <w:t>In each case, the dosing interval depends on the symptoms and maximum total daily dose. It should be no less than 4 hours.</w:t>
      </w:r>
    </w:p>
    <w:p w14:paraId="7DBC5C8E" w14:textId="77777777" w:rsidR="00A17559" w:rsidRPr="004E05E4" w:rsidRDefault="00A17559" w:rsidP="004E05E4">
      <w:pPr>
        <w:ind w:left="851"/>
        <w:rPr>
          <w:sz w:val="24"/>
          <w:szCs w:val="24"/>
          <w:lang w:val="en-US" w:eastAsia="de-DE" w:bidi="he-IL"/>
        </w:rPr>
      </w:pPr>
    </w:p>
    <w:p w14:paraId="3E37BA88" w14:textId="77777777" w:rsidR="00A17559" w:rsidRPr="004E05E4" w:rsidRDefault="00A17559" w:rsidP="004E05E4">
      <w:pPr>
        <w:ind w:left="851"/>
        <w:rPr>
          <w:sz w:val="24"/>
          <w:szCs w:val="24"/>
          <w:lang w:val="en-US" w:eastAsia="de-DE" w:bidi="he-IL"/>
        </w:rPr>
      </w:pPr>
      <w:r w:rsidRPr="004E05E4">
        <w:rPr>
          <w:sz w:val="24"/>
          <w:szCs w:val="24"/>
          <w:lang w:val="en-US" w:eastAsia="de-DE" w:bidi="he-IL"/>
        </w:rPr>
        <w:t xml:space="preserve">For children under the age of 6 years, more suitable formulations are available. </w:t>
      </w:r>
    </w:p>
    <w:p w14:paraId="7AFBD27D" w14:textId="77777777" w:rsidR="00A17559" w:rsidRPr="004E05E4" w:rsidRDefault="00A17559" w:rsidP="004E05E4">
      <w:pPr>
        <w:ind w:left="851"/>
        <w:rPr>
          <w:sz w:val="24"/>
          <w:szCs w:val="24"/>
          <w:lang w:val="en-US" w:eastAsia="de-DE" w:bidi="he-IL"/>
        </w:rPr>
      </w:pPr>
    </w:p>
    <w:p w14:paraId="29C6F282" w14:textId="77777777" w:rsidR="00A17559" w:rsidRPr="004E05E4" w:rsidRDefault="00A17559" w:rsidP="004E05E4">
      <w:pPr>
        <w:ind w:left="851"/>
        <w:rPr>
          <w:sz w:val="24"/>
          <w:szCs w:val="24"/>
          <w:lang w:val="en-US" w:eastAsia="de-DE" w:bidi="he-IL"/>
        </w:rPr>
      </w:pPr>
      <w:r w:rsidRPr="004E05E4">
        <w:rPr>
          <w:sz w:val="24"/>
          <w:szCs w:val="24"/>
          <w:lang w:val="en-US" w:eastAsia="de-DE" w:bidi="he-IL"/>
        </w:rPr>
        <w:t>If symptoms persist beyond 3 days, a doctor should be consulted.</w:t>
      </w:r>
    </w:p>
    <w:p w14:paraId="50522AAF" w14:textId="77777777" w:rsidR="00A17559" w:rsidRPr="004E05E4" w:rsidRDefault="00A17559" w:rsidP="00A17559">
      <w:pPr>
        <w:tabs>
          <w:tab w:val="left" w:pos="1304"/>
        </w:tabs>
        <w:rPr>
          <w:sz w:val="24"/>
          <w:szCs w:val="24"/>
          <w:u w:val="single"/>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2552"/>
        <w:gridCol w:w="2985"/>
        <w:gridCol w:w="1745"/>
      </w:tblGrid>
      <w:tr w:rsidR="00A17559" w:rsidRPr="004E05E4" w14:paraId="599EB516" w14:textId="77777777" w:rsidTr="00E62EE7">
        <w:trPr>
          <w:trHeight w:val="306"/>
        </w:trPr>
        <w:tc>
          <w:tcPr>
            <w:tcW w:w="1218" w:type="pct"/>
            <w:tcBorders>
              <w:top w:val="single" w:sz="4" w:space="0" w:color="auto"/>
              <w:left w:val="single" w:sz="4" w:space="0" w:color="auto"/>
              <w:bottom w:val="single" w:sz="4" w:space="0" w:color="auto"/>
              <w:right w:val="single" w:sz="4" w:space="0" w:color="auto"/>
            </w:tcBorders>
            <w:shd w:val="clear" w:color="auto" w:fill="E6E6E6"/>
            <w:hideMark/>
          </w:tcPr>
          <w:p w14:paraId="7B3C6405" w14:textId="77777777" w:rsidR="00A17559" w:rsidRPr="004E05E4" w:rsidRDefault="00A17559">
            <w:pPr>
              <w:tabs>
                <w:tab w:val="left" w:pos="1304"/>
              </w:tabs>
              <w:rPr>
                <w:b/>
                <w:bCs/>
                <w:sz w:val="24"/>
                <w:szCs w:val="24"/>
                <w:lang w:val="en-US" w:bidi="he-IL"/>
              </w:rPr>
            </w:pPr>
            <w:r w:rsidRPr="004E05E4">
              <w:rPr>
                <w:b/>
                <w:bCs/>
                <w:sz w:val="24"/>
                <w:szCs w:val="24"/>
                <w:lang w:val="en-US" w:bidi="he-IL"/>
              </w:rPr>
              <w:t>Body weight (age)</w:t>
            </w:r>
          </w:p>
        </w:tc>
        <w:tc>
          <w:tcPr>
            <w:tcW w:w="1325" w:type="pct"/>
            <w:tcBorders>
              <w:top w:val="single" w:sz="4" w:space="0" w:color="auto"/>
              <w:left w:val="single" w:sz="4" w:space="0" w:color="auto"/>
              <w:bottom w:val="single" w:sz="4" w:space="0" w:color="auto"/>
              <w:right w:val="single" w:sz="4" w:space="0" w:color="auto"/>
            </w:tcBorders>
            <w:shd w:val="clear" w:color="auto" w:fill="E6E6E6"/>
          </w:tcPr>
          <w:p w14:paraId="6EFB87DA" w14:textId="50206A35" w:rsidR="00A17559" w:rsidRPr="004E05E4" w:rsidRDefault="00A17559" w:rsidP="00E62EE7">
            <w:pPr>
              <w:tabs>
                <w:tab w:val="left" w:pos="1304"/>
              </w:tabs>
              <w:rPr>
                <w:b/>
                <w:bCs/>
                <w:sz w:val="24"/>
                <w:szCs w:val="24"/>
                <w:lang w:val="en-US" w:bidi="he-IL"/>
              </w:rPr>
            </w:pPr>
            <w:r w:rsidRPr="004E05E4">
              <w:rPr>
                <w:b/>
                <w:bCs/>
                <w:sz w:val="24"/>
                <w:szCs w:val="24"/>
                <w:lang w:val="en-US" w:bidi="he-IL"/>
              </w:rPr>
              <w:t>Single dose (equivalent paracetamol dose) (number of tablets)</w:t>
            </w:r>
          </w:p>
        </w:tc>
        <w:tc>
          <w:tcPr>
            <w:tcW w:w="1550" w:type="pct"/>
            <w:tcBorders>
              <w:top w:val="single" w:sz="4" w:space="0" w:color="auto"/>
              <w:left w:val="single" w:sz="4" w:space="0" w:color="auto"/>
              <w:bottom w:val="single" w:sz="4" w:space="0" w:color="auto"/>
              <w:right w:val="single" w:sz="4" w:space="0" w:color="auto"/>
            </w:tcBorders>
            <w:shd w:val="clear" w:color="auto" w:fill="E6E6E6"/>
          </w:tcPr>
          <w:p w14:paraId="4FFE2715" w14:textId="06975DBC" w:rsidR="00A17559" w:rsidRPr="004E05E4" w:rsidRDefault="00A17559" w:rsidP="00E62EE7">
            <w:pPr>
              <w:tabs>
                <w:tab w:val="left" w:pos="1304"/>
              </w:tabs>
              <w:rPr>
                <w:b/>
                <w:bCs/>
                <w:sz w:val="24"/>
                <w:szCs w:val="24"/>
                <w:lang w:val="en-US" w:bidi="he-IL"/>
              </w:rPr>
            </w:pPr>
            <w:r w:rsidRPr="004E05E4">
              <w:rPr>
                <w:b/>
                <w:bCs/>
                <w:sz w:val="24"/>
                <w:szCs w:val="24"/>
                <w:lang w:val="en-US" w:bidi="he-IL"/>
              </w:rPr>
              <w:t>Max. daily dose (24 h) (equivalent paracetamol dose) (number of tablets/doses)</w:t>
            </w:r>
          </w:p>
        </w:tc>
        <w:tc>
          <w:tcPr>
            <w:tcW w:w="906" w:type="pct"/>
            <w:tcBorders>
              <w:top w:val="single" w:sz="4" w:space="0" w:color="auto"/>
              <w:left w:val="single" w:sz="4" w:space="0" w:color="auto"/>
              <w:bottom w:val="single" w:sz="4" w:space="0" w:color="auto"/>
              <w:right w:val="single" w:sz="4" w:space="0" w:color="auto"/>
            </w:tcBorders>
            <w:shd w:val="clear" w:color="auto" w:fill="E6E6E6"/>
            <w:hideMark/>
          </w:tcPr>
          <w:p w14:paraId="642E2718" w14:textId="77777777" w:rsidR="00A17559" w:rsidRPr="004E05E4" w:rsidRDefault="00A17559">
            <w:pPr>
              <w:tabs>
                <w:tab w:val="left" w:pos="1304"/>
              </w:tabs>
              <w:rPr>
                <w:b/>
                <w:bCs/>
                <w:sz w:val="24"/>
                <w:szCs w:val="24"/>
                <w:lang w:val="en-US" w:bidi="he-IL"/>
              </w:rPr>
            </w:pPr>
            <w:r w:rsidRPr="004E05E4">
              <w:rPr>
                <w:b/>
                <w:bCs/>
                <w:sz w:val="24"/>
                <w:szCs w:val="24"/>
                <w:lang w:val="en-US" w:bidi="he-IL"/>
              </w:rPr>
              <w:t>Minimum interval between doses</w:t>
            </w:r>
          </w:p>
        </w:tc>
      </w:tr>
      <w:tr w:rsidR="00A17559" w:rsidRPr="004E05E4" w14:paraId="13134BB7" w14:textId="77777777" w:rsidTr="00E62EE7">
        <w:trPr>
          <w:trHeight w:val="471"/>
        </w:trPr>
        <w:tc>
          <w:tcPr>
            <w:tcW w:w="1218" w:type="pct"/>
            <w:tcBorders>
              <w:top w:val="single" w:sz="4" w:space="0" w:color="auto"/>
              <w:left w:val="single" w:sz="4" w:space="0" w:color="auto"/>
              <w:bottom w:val="single" w:sz="4" w:space="0" w:color="auto"/>
              <w:right w:val="single" w:sz="4" w:space="0" w:color="auto"/>
            </w:tcBorders>
            <w:hideMark/>
          </w:tcPr>
          <w:p w14:paraId="3895E003" w14:textId="77777777" w:rsidR="00A17559" w:rsidRPr="004E05E4" w:rsidRDefault="00A17559">
            <w:pPr>
              <w:tabs>
                <w:tab w:val="left" w:pos="1304"/>
              </w:tabs>
              <w:rPr>
                <w:sz w:val="24"/>
                <w:szCs w:val="24"/>
                <w:lang w:val="en-US" w:bidi="he-IL"/>
              </w:rPr>
            </w:pPr>
            <w:r w:rsidRPr="004E05E4">
              <w:rPr>
                <w:sz w:val="24"/>
                <w:szCs w:val="24"/>
                <w:lang w:val="en-US" w:bidi="he-IL"/>
              </w:rPr>
              <w:t>22 kg - 30 kg</w:t>
            </w:r>
          </w:p>
          <w:p w14:paraId="68BFB6D1" w14:textId="77777777" w:rsidR="00A17559" w:rsidRPr="004E05E4" w:rsidRDefault="00A17559">
            <w:pPr>
              <w:tabs>
                <w:tab w:val="left" w:pos="1304"/>
              </w:tabs>
              <w:rPr>
                <w:sz w:val="24"/>
                <w:szCs w:val="24"/>
                <w:lang w:val="en-US" w:bidi="he-IL"/>
              </w:rPr>
            </w:pPr>
            <w:r w:rsidRPr="004E05E4">
              <w:rPr>
                <w:sz w:val="24"/>
                <w:szCs w:val="24"/>
                <w:lang w:val="en-US" w:bidi="he-IL"/>
              </w:rPr>
              <w:t>(children 6 – 9 years approximately)</w:t>
            </w:r>
          </w:p>
        </w:tc>
        <w:tc>
          <w:tcPr>
            <w:tcW w:w="1325" w:type="pct"/>
            <w:tcBorders>
              <w:top w:val="single" w:sz="4" w:space="0" w:color="auto"/>
              <w:left w:val="single" w:sz="4" w:space="0" w:color="auto"/>
              <w:bottom w:val="single" w:sz="4" w:space="0" w:color="auto"/>
              <w:right w:val="single" w:sz="4" w:space="0" w:color="auto"/>
            </w:tcBorders>
            <w:hideMark/>
          </w:tcPr>
          <w:p w14:paraId="1DD56710" w14:textId="77777777" w:rsidR="00A17559" w:rsidRPr="004E05E4" w:rsidRDefault="00A17559">
            <w:pPr>
              <w:tabs>
                <w:tab w:val="left" w:pos="1304"/>
              </w:tabs>
              <w:rPr>
                <w:sz w:val="24"/>
                <w:szCs w:val="24"/>
                <w:lang w:val="en-US" w:bidi="he-IL"/>
              </w:rPr>
            </w:pPr>
            <w:r w:rsidRPr="004E05E4">
              <w:rPr>
                <w:sz w:val="24"/>
                <w:szCs w:val="24"/>
                <w:lang w:val="en-US" w:bidi="he-IL"/>
              </w:rPr>
              <w:t xml:space="preserve">250 mg </w:t>
            </w:r>
            <w:r w:rsidRPr="004E05E4">
              <w:rPr>
                <w:sz w:val="24"/>
                <w:szCs w:val="24"/>
                <w:lang w:val="en-US" w:bidi="he-IL"/>
              </w:rPr>
              <w:br/>
              <w:t>(1 half tablet)</w:t>
            </w:r>
          </w:p>
        </w:tc>
        <w:tc>
          <w:tcPr>
            <w:tcW w:w="1550" w:type="pct"/>
            <w:tcBorders>
              <w:top w:val="single" w:sz="4" w:space="0" w:color="auto"/>
              <w:left w:val="single" w:sz="4" w:space="0" w:color="auto"/>
              <w:bottom w:val="single" w:sz="4" w:space="0" w:color="auto"/>
              <w:right w:val="single" w:sz="4" w:space="0" w:color="auto"/>
            </w:tcBorders>
            <w:hideMark/>
          </w:tcPr>
          <w:p w14:paraId="1EDFA350" w14:textId="77777777" w:rsidR="00A17559" w:rsidRPr="004E05E4" w:rsidRDefault="00A17559">
            <w:pPr>
              <w:tabs>
                <w:tab w:val="left" w:pos="1304"/>
              </w:tabs>
              <w:rPr>
                <w:sz w:val="24"/>
                <w:szCs w:val="24"/>
                <w:lang w:val="en-US" w:bidi="he-IL"/>
              </w:rPr>
            </w:pPr>
            <w:r w:rsidRPr="004E05E4">
              <w:rPr>
                <w:sz w:val="24"/>
                <w:szCs w:val="24"/>
                <w:lang w:val="en-US" w:bidi="he-IL"/>
              </w:rPr>
              <w:t xml:space="preserve">1,000 – 1,500 mg </w:t>
            </w:r>
            <w:r w:rsidRPr="004E05E4">
              <w:rPr>
                <w:sz w:val="24"/>
                <w:szCs w:val="24"/>
                <w:lang w:val="en-US" w:bidi="he-IL"/>
              </w:rPr>
              <w:br/>
              <w:t>(maximum of 2-3 tablets/4-6 doses)</w:t>
            </w:r>
          </w:p>
        </w:tc>
        <w:tc>
          <w:tcPr>
            <w:tcW w:w="906" w:type="pct"/>
            <w:tcBorders>
              <w:top w:val="single" w:sz="4" w:space="0" w:color="auto"/>
              <w:left w:val="single" w:sz="4" w:space="0" w:color="auto"/>
              <w:bottom w:val="single" w:sz="4" w:space="0" w:color="auto"/>
              <w:right w:val="single" w:sz="4" w:space="0" w:color="auto"/>
            </w:tcBorders>
            <w:hideMark/>
          </w:tcPr>
          <w:p w14:paraId="0488E705" w14:textId="77777777" w:rsidR="00A17559" w:rsidRPr="004E05E4" w:rsidRDefault="00A17559">
            <w:pPr>
              <w:tabs>
                <w:tab w:val="left" w:pos="1304"/>
              </w:tabs>
              <w:rPr>
                <w:sz w:val="24"/>
                <w:szCs w:val="24"/>
                <w:lang w:val="en-US" w:bidi="he-IL"/>
              </w:rPr>
            </w:pPr>
            <w:r w:rsidRPr="004E05E4">
              <w:rPr>
                <w:sz w:val="24"/>
                <w:szCs w:val="24"/>
                <w:lang w:val="en-US" w:bidi="he-IL"/>
              </w:rPr>
              <w:t>4 - 6 hours</w:t>
            </w:r>
          </w:p>
        </w:tc>
      </w:tr>
      <w:tr w:rsidR="00A17559" w:rsidRPr="004E05E4" w14:paraId="07DCBBBC" w14:textId="77777777" w:rsidTr="00E62EE7">
        <w:trPr>
          <w:trHeight w:val="471"/>
        </w:trPr>
        <w:tc>
          <w:tcPr>
            <w:tcW w:w="1218" w:type="pct"/>
            <w:tcBorders>
              <w:top w:val="single" w:sz="4" w:space="0" w:color="auto"/>
              <w:left w:val="single" w:sz="4" w:space="0" w:color="auto"/>
              <w:bottom w:val="single" w:sz="4" w:space="0" w:color="auto"/>
              <w:right w:val="single" w:sz="4" w:space="0" w:color="auto"/>
            </w:tcBorders>
            <w:hideMark/>
          </w:tcPr>
          <w:p w14:paraId="664C54FD" w14:textId="77777777" w:rsidR="00A17559" w:rsidRPr="004E05E4" w:rsidRDefault="00A17559">
            <w:pPr>
              <w:tabs>
                <w:tab w:val="left" w:pos="1304"/>
              </w:tabs>
              <w:rPr>
                <w:sz w:val="24"/>
                <w:szCs w:val="24"/>
                <w:lang w:val="en-US" w:bidi="he-IL"/>
              </w:rPr>
            </w:pPr>
            <w:r w:rsidRPr="004E05E4">
              <w:rPr>
                <w:sz w:val="24"/>
                <w:szCs w:val="24"/>
                <w:lang w:val="en-US" w:bidi="he-IL"/>
              </w:rPr>
              <w:t>30 kg- 40 kg</w:t>
            </w:r>
          </w:p>
          <w:p w14:paraId="19655FE1" w14:textId="77777777" w:rsidR="00A17559" w:rsidRPr="004E05E4" w:rsidRDefault="00A17559">
            <w:pPr>
              <w:tabs>
                <w:tab w:val="left" w:pos="1304"/>
              </w:tabs>
              <w:rPr>
                <w:sz w:val="24"/>
                <w:szCs w:val="24"/>
                <w:lang w:val="en-US" w:bidi="he-IL"/>
              </w:rPr>
            </w:pPr>
            <w:r w:rsidRPr="004E05E4">
              <w:rPr>
                <w:sz w:val="24"/>
                <w:szCs w:val="24"/>
                <w:lang w:val="en-US" w:bidi="he-IL"/>
              </w:rPr>
              <w:t>(children 9 – 12 years approximately)</w:t>
            </w:r>
          </w:p>
        </w:tc>
        <w:tc>
          <w:tcPr>
            <w:tcW w:w="1325" w:type="pct"/>
            <w:tcBorders>
              <w:top w:val="single" w:sz="4" w:space="0" w:color="auto"/>
              <w:left w:val="single" w:sz="4" w:space="0" w:color="auto"/>
              <w:bottom w:val="single" w:sz="4" w:space="0" w:color="auto"/>
              <w:right w:val="single" w:sz="4" w:space="0" w:color="auto"/>
            </w:tcBorders>
            <w:hideMark/>
          </w:tcPr>
          <w:p w14:paraId="611BF8C7" w14:textId="77777777" w:rsidR="00A17559" w:rsidRPr="004E05E4" w:rsidRDefault="00A17559">
            <w:pPr>
              <w:tabs>
                <w:tab w:val="left" w:pos="1304"/>
              </w:tabs>
              <w:rPr>
                <w:sz w:val="24"/>
                <w:szCs w:val="24"/>
                <w:lang w:val="en-US" w:bidi="he-IL"/>
              </w:rPr>
            </w:pPr>
            <w:r w:rsidRPr="004E05E4">
              <w:rPr>
                <w:sz w:val="24"/>
                <w:szCs w:val="24"/>
                <w:lang w:val="en-US" w:bidi="he-IL"/>
              </w:rPr>
              <w:t>500 mg</w:t>
            </w:r>
          </w:p>
          <w:p w14:paraId="0923D36C" w14:textId="77777777" w:rsidR="00A17559" w:rsidRPr="004E05E4" w:rsidRDefault="00A17559">
            <w:pPr>
              <w:tabs>
                <w:tab w:val="left" w:pos="1304"/>
              </w:tabs>
              <w:rPr>
                <w:sz w:val="24"/>
                <w:szCs w:val="24"/>
                <w:lang w:val="en-US" w:bidi="he-IL"/>
              </w:rPr>
            </w:pPr>
            <w:r w:rsidRPr="004E05E4">
              <w:rPr>
                <w:sz w:val="24"/>
                <w:szCs w:val="24"/>
                <w:lang w:val="en-US" w:bidi="he-IL"/>
              </w:rPr>
              <w:t>(1 tablet)</w:t>
            </w:r>
          </w:p>
        </w:tc>
        <w:tc>
          <w:tcPr>
            <w:tcW w:w="1550" w:type="pct"/>
            <w:tcBorders>
              <w:top w:val="single" w:sz="4" w:space="0" w:color="auto"/>
              <w:left w:val="single" w:sz="4" w:space="0" w:color="auto"/>
              <w:bottom w:val="single" w:sz="4" w:space="0" w:color="auto"/>
              <w:right w:val="single" w:sz="4" w:space="0" w:color="auto"/>
            </w:tcBorders>
          </w:tcPr>
          <w:p w14:paraId="3E7283A4" w14:textId="77777777" w:rsidR="00A17559" w:rsidRPr="004E05E4" w:rsidRDefault="00A17559">
            <w:pPr>
              <w:tabs>
                <w:tab w:val="left" w:pos="1304"/>
              </w:tabs>
              <w:rPr>
                <w:sz w:val="24"/>
                <w:szCs w:val="24"/>
                <w:lang w:val="en-US" w:bidi="he-IL"/>
              </w:rPr>
            </w:pPr>
            <w:r w:rsidRPr="004E05E4">
              <w:rPr>
                <w:sz w:val="24"/>
                <w:szCs w:val="24"/>
                <w:lang w:val="en-US" w:bidi="he-IL"/>
              </w:rPr>
              <w:t>1,500 – 2,000 mg (maximum of 3-4 tablets/ doses)</w:t>
            </w:r>
          </w:p>
          <w:p w14:paraId="4A310744" w14:textId="77777777" w:rsidR="00A17559" w:rsidRPr="004E05E4" w:rsidRDefault="00A17559">
            <w:pPr>
              <w:tabs>
                <w:tab w:val="left" w:pos="1304"/>
              </w:tabs>
              <w:rPr>
                <w:sz w:val="24"/>
                <w:szCs w:val="24"/>
                <w:lang w:val="en-GB" w:eastAsia="en-GB" w:bidi="he-IL"/>
              </w:rPr>
            </w:pPr>
          </w:p>
        </w:tc>
        <w:tc>
          <w:tcPr>
            <w:tcW w:w="906" w:type="pct"/>
            <w:tcBorders>
              <w:top w:val="single" w:sz="4" w:space="0" w:color="auto"/>
              <w:left w:val="single" w:sz="4" w:space="0" w:color="auto"/>
              <w:bottom w:val="single" w:sz="4" w:space="0" w:color="auto"/>
              <w:right w:val="single" w:sz="4" w:space="0" w:color="auto"/>
            </w:tcBorders>
            <w:hideMark/>
          </w:tcPr>
          <w:p w14:paraId="55F089A1" w14:textId="77777777" w:rsidR="00A17559" w:rsidRPr="004E05E4" w:rsidRDefault="00A17559">
            <w:pPr>
              <w:tabs>
                <w:tab w:val="left" w:pos="1304"/>
              </w:tabs>
              <w:rPr>
                <w:sz w:val="24"/>
                <w:szCs w:val="24"/>
                <w:lang w:val="en-US" w:eastAsia="en-US" w:bidi="he-IL"/>
              </w:rPr>
            </w:pPr>
            <w:r w:rsidRPr="004E05E4">
              <w:rPr>
                <w:sz w:val="24"/>
                <w:szCs w:val="24"/>
                <w:lang w:val="en-US" w:bidi="he-IL"/>
              </w:rPr>
              <w:t>4 -6 hours</w:t>
            </w:r>
          </w:p>
        </w:tc>
      </w:tr>
      <w:tr w:rsidR="00A17559" w:rsidRPr="004E05E4" w14:paraId="176CC8E2" w14:textId="77777777" w:rsidTr="00E62EE7">
        <w:trPr>
          <w:trHeight w:val="458"/>
        </w:trPr>
        <w:tc>
          <w:tcPr>
            <w:tcW w:w="1218" w:type="pct"/>
            <w:tcBorders>
              <w:top w:val="single" w:sz="4" w:space="0" w:color="auto"/>
              <w:left w:val="single" w:sz="4" w:space="0" w:color="auto"/>
              <w:bottom w:val="single" w:sz="4" w:space="0" w:color="auto"/>
              <w:right w:val="single" w:sz="4" w:space="0" w:color="auto"/>
            </w:tcBorders>
            <w:hideMark/>
          </w:tcPr>
          <w:p w14:paraId="3A1AD165" w14:textId="77777777" w:rsidR="00A17559" w:rsidRPr="004E05E4" w:rsidRDefault="00A17559">
            <w:pPr>
              <w:tabs>
                <w:tab w:val="left" w:pos="1304"/>
              </w:tabs>
              <w:rPr>
                <w:sz w:val="24"/>
                <w:szCs w:val="24"/>
                <w:lang w:val="en-US" w:bidi="he-IL"/>
              </w:rPr>
            </w:pPr>
            <w:r w:rsidRPr="004E05E4">
              <w:rPr>
                <w:sz w:val="24"/>
                <w:szCs w:val="24"/>
                <w:lang w:val="en-US" w:bidi="he-IL"/>
              </w:rPr>
              <w:t>40 kg - 55 kg</w:t>
            </w:r>
          </w:p>
          <w:p w14:paraId="31DFEF14" w14:textId="77777777" w:rsidR="00A17559" w:rsidRPr="004E05E4" w:rsidRDefault="00A17559">
            <w:pPr>
              <w:tabs>
                <w:tab w:val="left" w:pos="1304"/>
              </w:tabs>
              <w:rPr>
                <w:sz w:val="24"/>
                <w:szCs w:val="24"/>
                <w:lang w:val="en-US" w:bidi="he-IL"/>
              </w:rPr>
            </w:pPr>
            <w:r w:rsidRPr="004E05E4">
              <w:rPr>
                <w:sz w:val="24"/>
                <w:szCs w:val="24"/>
                <w:lang w:val="en-US" w:bidi="he-IL"/>
              </w:rPr>
              <w:t>(children 12 - 15 years approximately)</w:t>
            </w:r>
          </w:p>
        </w:tc>
        <w:tc>
          <w:tcPr>
            <w:tcW w:w="1325" w:type="pct"/>
            <w:tcBorders>
              <w:top w:val="single" w:sz="4" w:space="0" w:color="auto"/>
              <w:left w:val="single" w:sz="4" w:space="0" w:color="auto"/>
              <w:bottom w:val="single" w:sz="4" w:space="0" w:color="auto"/>
              <w:right w:val="single" w:sz="4" w:space="0" w:color="auto"/>
            </w:tcBorders>
            <w:hideMark/>
          </w:tcPr>
          <w:p w14:paraId="76E38E81" w14:textId="77777777" w:rsidR="00A17559" w:rsidRPr="004E05E4" w:rsidRDefault="00A17559">
            <w:pPr>
              <w:tabs>
                <w:tab w:val="left" w:pos="1304"/>
              </w:tabs>
              <w:rPr>
                <w:sz w:val="24"/>
                <w:szCs w:val="24"/>
                <w:lang w:val="en-US" w:bidi="he-IL"/>
              </w:rPr>
            </w:pPr>
            <w:r w:rsidRPr="004E05E4">
              <w:rPr>
                <w:sz w:val="24"/>
                <w:szCs w:val="24"/>
                <w:lang w:val="en-US" w:bidi="he-IL"/>
              </w:rPr>
              <w:t xml:space="preserve">500 mg </w:t>
            </w:r>
          </w:p>
          <w:p w14:paraId="12DEEC91" w14:textId="77777777" w:rsidR="00A17559" w:rsidRPr="004E05E4" w:rsidRDefault="00A17559">
            <w:pPr>
              <w:tabs>
                <w:tab w:val="left" w:pos="1304"/>
              </w:tabs>
              <w:rPr>
                <w:sz w:val="24"/>
                <w:szCs w:val="24"/>
                <w:lang w:val="en-US" w:bidi="he-IL"/>
              </w:rPr>
            </w:pPr>
            <w:r w:rsidRPr="004E05E4">
              <w:rPr>
                <w:sz w:val="24"/>
                <w:szCs w:val="24"/>
                <w:lang w:val="en-US" w:bidi="he-IL"/>
              </w:rPr>
              <w:t>(1 tablet)</w:t>
            </w:r>
          </w:p>
        </w:tc>
        <w:tc>
          <w:tcPr>
            <w:tcW w:w="1550" w:type="pct"/>
            <w:tcBorders>
              <w:top w:val="single" w:sz="4" w:space="0" w:color="auto"/>
              <w:left w:val="single" w:sz="4" w:space="0" w:color="auto"/>
              <w:bottom w:val="single" w:sz="4" w:space="0" w:color="auto"/>
              <w:right w:val="single" w:sz="4" w:space="0" w:color="auto"/>
            </w:tcBorders>
            <w:hideMark/>
          </w:tcPr>
          <w:p w14:paraId="0D263A57" w14:textId="77777777" w:rsidR="00A17559" w:rsidRPr="004E05E4" w:rsidRDefault="00A17559">
            <w:pPr>
              <w:tabs>
                <w:tab w:val="left" w:pos="1304"/>
              </w:tabs>
              <w:rPr>
                <w:sz w:val="24"/>
                <w:szCs w:val="24"/>
                <w:lang w:val="en-US" w:bidi="he-IL"/>
              </w:rPr>
            </w:pPr>
            <w:r w:rsidRPr="004E05E4">
              <w:rPr>
                <w:sz w:val="24"/>
                <w:szCs w:val="24"/>
                <w:lang w:val="en-US" w:bidi="he-IL"/>
              </w:rPr>
              <w:t xml:space="preserve">2,000 – 3,000 mg </w:t>
            </w:r>
            <w:r w:rsidRPr="004E05E4">
              <w:rPr>
                <w:sz w:val="24"/>
                <w:szCs w:val="24"/>
                <w:lang w:val="en-US" w:bidi="he-IL"/>
              </w:rPr>
              <w:br/>
              <w:t>(maximum of 4-6 tablets/ doses)</w:t>
            </w:r>
            <w:r w:rsidRPr="004E05E4">
              <w:rPr>
                <w:sz w:val="24"/>
                <w:szCs w:val="24"/>
                <w:lang w:val="en-US" w:bidi="he-IL"/>
              </w:rPr>
              <w:br/>
            </w:r>
          </w:p>
        </w:tc>
        <w:tc>
          <w:tcPr>
            <w:tcW w:w="906" w:type="pct"/>
            <w:tcBorders>
              <w:top w:val="single" w:sz="4" w:space="0" w:color="auto"/>
              <w:left w:val="single" w:sz="4" w:space="0" w:color="auto"/>
              <w:bottom w:val="single" w:sz="4" w:space="0" w:color="auto"/>
              <w:right w:val="single" w:sz="4" w:space="0" w:color="auto"/>
            </w:tcBorders>
            <w:hideMark/>
          </w:tcPr>
          <w:p w14:paraId="0E98CFE9" w14:textId="77777777" w:rsidR="00A17559" w:rsidRPr="004E05E4" w:rsidRDefault="00A17559">
            <w:pPr>
              <w:tabs>
                <w:tab w:val="left" w:pos="1304"/>
              </w:tabs>
              <w:rPr>
                <w:sz w:val="24"/>
                <w:szCs w:val="24"/>
                <w:lang w:val="en-US" w:bidi="he-IL"/>
              </w:rPr>
            </w:pPr>
            <w:r w:rsidRPr="004E05E4">
              <w:rPr>
                <w:sz w:val="24"/>
                <w:szCs w:val="24"/>
                <w:lang w:val="en-US" w:bidi="he-IL"/>
              </w:rPr>
              <w:t>4 - 6 hours</w:t>
            </w:r>
          </w:p>
        </w:tc>
      </w:tr>
      <w:tr w:rsidR="00A17559" w:rsidRPr="004E05E4" w14:paraId="20299869" w14:textId="77777777" w:rsidTr="00E62EE7">
        <w:trPr>
          <w:trHeight w:val="273"/>
        </w:trPr>
        <w:tc>
          <w:tcPr>
            <w:tcW w:w="1218" w:type="pct"/>
            <w:tcBorders>
              <w:top w:val="single" w:sz="4" w:space="0" w:color="auto"/>
              <w:left w:val="single" w:sz="4" w:space="0" w:color="auto"/>
              <w:bottom w:val="single" w:sz="4" w:space="0" w:color="auto"/>
              <w:right w:val="single" w:sz="4" w:space="0" w:color="auto"/>
            </w:tcBorders>
            <w:hideMark/>
          </w:tcPr>
          <w:p w14:paraId="43633229" w14:textId="77777777" w:rsidR="00A17559" w:rsidRPr="004E05E4" w:rsidRDefault="00A17559">
            <w:pPr>
              <w:tabs>
                <w:tab w:val="left" w:pos="1304"/>
              </w:tabs>
              <w:rPr>
                <w:sz w:val="24"/>
                <w:szCs w:val="24"/>
                <w:lang w:val="en-US" w:bidi="he-IL"/>
              </w:rPr>
            </w:pPr>
            <w:r w:rsidRPr="004E05E4">
              <w:rPr>
                <w:sz w:val="24"/>
                <w:szCs w:val="24"/>
                <w:lang w:val="en-US" w:bidi="he-IL"/>
              </w:rPr>
              <w:t>&gt;55 kg</w:t>
            </w:r>
          </w:p>
          <w:p w14:paraId="4F88213D" w14:textId="77777777" w:rsidR="00A17559" w:rsidRPr="004E05E4" w:rsidRDefault="00A17559">
            <w:pPr>
              <w:tabs>
                <w:tab w:val="left" w:pos="1304"/>
              </w:tabs>
              <w:rPr>
                <w:sz w:val="24"/>
                <w:szCs w:val="24"/>
                <w:lang w:val="en-US" w:bidi="he-IL"/>
              </w:rPr>
            </w:pPr>
            <w:r w:rsidRPr="004E05E4">
              <w:rPr>
                <w:sz w:val="24"/>
                <w:szCs w:val="24"/>
                <w:lang w:val="en-US" w:bidi="he-IL"/>
              </w:rPr>
              <w:t>(adults and adolescents aged 15 years and over)</w:t>
            </w:r>
          </w:p>
        </w:tc>
        <w:tc>
          <w:tcPr>
            <w:tcW w:w="1325" w:type="pct"/>
            <w:tcBorders>
              <w:top w:val="single" w:sz="4" w:space="0" w:color="auto"/>
              <w:left w:val="single" w:sz="4" w:space="0" w:color="auto"/>
              <w:bottom w:val="single" w:sz="4" w:space="0" w:color="auto"/>
              <w:right w:val="single" w:sz="4" w:space="0" w:color="auto"/>
            </w:tcBorders>
            <w:hideMark/>
          </w:tcPr>
          <w:p w14:paraId="347012E7" w14:textId="77777777" w:rsidR="00A17559" w:rsidRPr="004E05E4" w:rsidRDefault="00A17559">
            <w:pPr>
              <w:tabs>
                <w:tab w:val="left" w:pos="1304"/>
              </w:tabs>
              <w:rPr>
                <w:color w:val="000000"/>
                <w:sz w:val="24"/>
                <w:szCs w:val="24"/>
                <w:lang w:val="cs-CZ" w:eastAsia="en-GB" w:bidi="he-IL"/>
              </w:rPr>
            </w:pPr>
            <w:r w:rsidRPr="004E05E4">
              <w:rPr>
                <w:color w:val="000000"/>
                <w:sz w:val="24"/>
                <w:szCs w:val="24"/>
                <w:lang w:val="cs-CZ" w:eastAsia="en-GB" w:bidi="he-IL"/>
              </w:rPr>
              <w:t xml:space="preserve">500 – 1,000 mg </w:t>
            </w:r>
          </w:p>
          <w:p w14:paraId="4A91F76B" w14:textId="77777777" w:rsidR="00A17559" w:rsidRPr="004E05E4" w:rsidRDefault="00A17559">
            <w:pPr>
              <w:tabs>
                <w:tab w:val="left" w:pos="1304"/>
              </w:tabs>
              <w:rPr>
                <w:sz w:val="24"/>
                <w:szCs w:val="24"/>
                <w:lang w:val="en-US" w:eastAsia="en-US" w:bidi="he-IL"/>
              </w:rPr>
            </w:pPr>
            <w:r w:rsidRPr="004E05E4">
              <w:rPr>
                <w:color w:val="000000"/>
                <w:sz w:val="24"/>
                <w:szCs w:val="24"/>
                <w:lang w:val="cs-CZ" w:eastAsia="en-GB" w:bidi="he-IL"/>
              </w:rPr>
              <w:t>(1-2 tablets)</w:t>
            </w:r>
          </w:p>
        </w:tc>
        <w:tc>
          <w:tcPr>
            <w:tcW w:w="1550" w:type="pct"/>
            <w:tcBorders>
              <w:top w:val="single" w:sz="4" w:space="0" w:color="auto"/>
              <w:left w:val="single" w:sz="4" w:space="0" w:color="auto"/>
              <w:bottom w:val="single" w:sz="4" w:space="0" w:color="auto"/>
              <w:right w:val="single" w:sz="4" w:space="0" w:color="auto"/>
            </w:tcBorders>
            <w:hideMark/>
          </w:tcPr>
          <w:p w14:paraId="5CCD92FE" w14:textId="77777777" w:rsidR="00A17559" w:rsidRPr="004E05E4" w:rsidRDefault="00A17559">
            <w:pPr>
              <w:tabs>
                <w:tab w:val="left" w:pos="1304"/>
              </w:tabs>
              <w:rPr>
                <w:bCs/>
                <w:sz w:val="24"/>
                <w:szCs w:val="24"/>
                <w:lang w:val="en-US" w:bidi="he-IL"/>
              </w:rPr>
            </w:pPr>
            <w:r w:rsidRPr="004E05E4">
              <w:rPr>
                <w:color w:val="000000"/>
                <w:sz w:val="24"/>
                <w:szCs w:val="24"/>
                <w:lang w:val="cs-CZ" w:bidi="he-IL"/>
              </w:rPr>
              <w:t xml:space="preserve">3,000 mg </w:t>
            </w:r>
            <w:r w:rsidRPr="004E05E4">
              <w:rPr>
                <w:color w:val="000000"/>
                <w:sz w:val="24"/>
                <w:szCs w:val="24"/>
                <w:lang w:val="cs-CZ" w:bidi="he-IL"/>
              </w:rPr>
              <w:br/>
            </w:r>
            <w:r w:rsidRPr="004E05E4">
              <w:rPr>
                <w:bCs/>
                <w:sz w:val="24"/>
                <w:szCs w:val="24"/>
                <w:lang w:val="en-US" w:bidi="he-IL"/>
              </w:rPr>
              <w:t>(maximum of 6 tablets/ 3-6 doses)</w:t>
            </w:r>
          </w:p>
        </w:tc>
        <w:tc>
          <w:tcPr>
            <w:tcW w:w="906" w:type="pct"/>
            <w:tcBorders>
              <w:top w:val="single" w:sz="4" w:space="0" w:color="auto"/>
              <w:left w:val="single" w:sz="4" w:space="0" w:color="auto"/>
              <w:bottom w:val="single" w:sz="4" w:space="0" w:color="auto"/>
              <w:right w:val="single" w:sz="4" w:space="0" w:color="auto"/>
            </w:tcBorders>
            <w:hideMark/>
          </w:tcPr>
          <w:p w14:paraId="558D1348" w14:textId="77777777" w:rsidR="00A17559" w:rsidRPr="004E05E4" w:rsidRDefault="00A17559">
            <w:pPr>
              <w:tabs>
                <w:tab w:val="left" w:pos="1304"/>
              </w:tabs>
              <w:rPr>
                <w:color w:val="000000"/>
                <w:sz w:val="24"/>
                <w:szCs w:val="24"/>
                <w:lang w:val="cs-CZ" w:bidi="he-IL"/>
              </w:rPr>
            </w:pPr>
            <w:r w:rsidRPr="004E05E4">
              <w:rPr>
                <w:color w:val="000000"/>
                <w:sz w:val="24"/>
                <w:szCs w:val="24"/>
                <w:lang w:val="cs-CZ" w:bidi="he-IL"/>
              </w:rPr>
              <w:t>4 - 6 hours</w:t>
            </w:r>
          </w:p>
        </w:tc>
      </w:tr>
    </w:tbl>
    <w:p w14:paraId="76C8B328" w14:textId="77777777" w:rsidR="00A17559" w:rsidRPr="004E05E4" w:rsidRDefault="00A17559" w:rsidP="00E62EE7">
      <w:pPr>
        <w:rPr>
          <w:sz w:val="24"/>
          <w:szCs w:val="24"/>
          <w:u w:val="single"/>
          <w:lang w:val="en-GB" w:eastAsia="en-US"/>
        </w:rPr>
      </w:pPr>
    </w:p>
    <w:p w14:paraId="0C8DFC85" w14:textId="77777777" w:rsidR="00A17559" w:rsidRPr="004E05E4" w:rsidRDefault="00A17559" w:rsidP="004E05E4">
      <w:pPr>
        <w:ind w:left="851"/>
        <w:rPr>
          <w:sz w:val="24"/>
          <w:szCs w:val="24"/>
          <w:lang w:val="en-US" w:bidi="he-IL"/>
        </w:rPr>
      </w:pPr>
      <w:r w:rsidRPr="004E05E4">
        <w:rPr>
          <w:sz w:val="24"/>
          <w:szCs w:val="24"/>
          <w:lang w:val="en-US" w:bidi="he-IL"/>
        </w:rPr>
        <w:t>The maximum daily dose (24 hours) stated in the table must not be exceeded under any circumstances.</w:t>
      </w:r>
    </w:p>
    <w:p w14:paraId="3E1D3EE0" w14:textId="77777777" w:rsidR="00A17559" w:rsidRPr="004E05E4" w:rsidRDefault="00A17559" w:rsidP="004E05E4">
      <w:pPr>
        <w:ind w:left="851"/>
        <w:rPr>
          <w:sz w:val="24"/>
          <w:szCs w:val="24"/>
          <w:u w:val="single"/>
          <w:lang w:val="en-US"/>
        </w:rPr>
      </w:pPr>
    </w:p>
    <w:p w14:paraId="0301F8F0" w14:textId="77777777" w:rsidR="00A17559" w:rsidRPr="004E05E4" w:rsidRDefault="00A17559" w:rsidP="004E05E4">
      <w:pPr>
        <w:ind w:left="851"/>
        <w:rPr>
          <w:sz w:val="24"/>
          <w:szCs w:val="24"/>
          <w:lang w:val="en-US"/>
        </w:rPr>
      </w:pPr>
      <w:r w:rsidRPr="004E05E4">
        <w:rPr>
          <w:sz w:val="24"/>
          <w:szCs w:val="24"/>
          <w:lang w:val="en-US"/>
        </w:rPr>
        <w:t>The lowest dose necessary to achieve efficacy should be used.</w:t>
      </w:r>
    </w:p>
    <w:p w14:paraId="7DB7AF54" w14:textId="77777777" w:rsidR="00A17559" w:rsidRPr="004E05E4" w:rsidRDefault="00A17559" w:rsidP="004E05E4">
      <w:pPr>
        <w:ind w:left="851"/>
        <w:rPr>
          <w:sz w:val="24"/>
          <w:szCs w:val="24"/>
          <w:lang w:val="en-US"/>
        </w:rPr>
      </w:pPr>
      <w:r w:rsidRPr="004E05E4">
        <w:rPr>
          <w:sz w:val="24"/>
          <w:szCs w:val="24"/>
          <w:lang w:val="en-US"/>
        </w:rPr>
        <w:t>Maximum duration of continued use without medical advice: 3 days.</w:t>
      </w:r>
    </w:p>
    <w:p w14:paraId="0ACE26CD" w14:textId="77777777" w:rsidR="00A17559" w:rsidRPr="004E05E4" w:rsidRDefault="00A17559" w:rsidP="004E05E4">
      <w:pPr>
        <w:ind w:left="851"/>
        <w:rPr>
          <w:sz w:val="24"/>
          <w:szCs w:val="24"/>
          <w:lang w:val="en-US"/>
        </w:rPr>
      </w:pPr>
    </w:p>
    <w:p w14:paraId="21B345A4" w14:textId="77777777" w:rsidR="00A17559" w:rsidRPr="004E05E4" w:rsidRDefault="00A17559" w:rsidP="004E05E4">
      <w:pPr>
        <w:ind w:left="851"/>
        <w:rPr>
          <w:sz w:val="24"/>
          <w:szCs w:val="24"/>
          <w:u w:val="single"/>
          <w:lang w:val="en-US"/>
        </w:rPr>
      </w:pPr>
      <w:r w:rsidRPr="004E05E4">
        <w:rPr>
          <w:sz w:val="24"/>
          <w:szCs w:val="24"/>
          <w:u w:val="single"/>
          <w:lang w:val="en-US"/>
        </w:rPr>
        <w:t>Elderly patients</w:t>
      </w:r>
    </w:p>
    <w:p w14:paraId="75835CC5" w14:textId="77777777" w:rsidR="00A17559" w:rsidRPr="004E05E4" w:rsidRDefault="00A17559" w:rsidP="004E05E4">
      <w:pPr>
        <w:ind w:left="851"/>
        <w:rPr>
          <w:sz w:val="24"/>
          <w:szCs w:val="24"/>
          <w:lang w:val="en-US"/>
        </w:rPr>
      </w:pPr>
      <w:r w:rsidRPr="004E05E4">
        <w:rPr>
          <w:sz w:val="24"/>
          <w:szCs w:val="24"/>
          <w:lang w:val="en-US"/>
        </w:rPr>
        <w:t xml:space="preserve">Dose adjustment is not required in the elderly. However, it should be </w:t>
      </w:r>
      <w:proofErr w:type="gramStart"/>
      <w:r w:rsidRPr="004E05E4">
        <w:rPr>
          <w:sz w:val="24"/>
          <w:szCs w:val="24"/>
          <w:lang w:val="en-US"/>
        </w:rPr>
        <w:t>taken into account</w:t>
      </w:r>
      <w:proofErr w:type="gramEnd"/>
      <w:r w:rsidRPr="004E05E4">
        <w:rPr>
          <w:sz w:val="24"/>
          <w:szCs w:val="24"/>
          <w:lang w:val="en-US"/>
        </w:rPr>
        <w:t xml:space="preserve"> that renal and/or hepatic insufficiency is more common in the elderly (see section 4.4). </w:t>
      </w:r>
    </w:p>
    <w:p w14:paraId="4B8AFA9C" w14:textId="77777777" w:rsidR="00A17559" w:rsidRPr="004E05E4" w:rsidRDefault="00A17559" w:rsidP="004E05E4">
      <w:pPr>
        <w:ind w:left="851"/>
        <w:rPr>
          <w:sz w:val="24"/>
          <w:szCs w:val="24"/>
          <w:lang w:val="en-US"/>
        </w:rPr>
      </w:pPr>
    </w:p>
    <w:p w14:paraId="2DBD150E" w14:textId="77777777" w:rsidR="00A17559" w:rsidRPr="004E05E4" w:rsidRDefault="00A17559" w:rsidP="004E05E4">
      <w:pPr>
        <w:ind w:left="851"/>
        <w:rPr>
          <w:sz w:val="24"/>
          <w:szCs w:val="24"/>
          <w:u w:val="single"/>
          <w:lang w:val="en-US"/>
        </w:rPr>
      </w:pPr>
      <w:r w:rsidRPr="004E05E4">
        <w:rPr>
          <w:sz w:val="24"/>
          <w:szCs w:val="24"/>
          <w:u w:val="single"/>
          <w:lang w:val="en-US"/>
        </w:rPr>
        <w:t>Renal impairment</w:t>
      </w:r>
    </w:p>
    <w:p w14:paraId="49DD8085" w14:textId="77777777" w:rsidR="00A17559" w:rsidRPr="004E05E4" w:rsidRDefault="00A17559" w:rsidP="004E05E4">
      <w:pPr>
        <w:ind w:left="851"/>
        <w:rPr>
          <w:sz w:val="24"/>
          <w:szCs w:val="24"/>
          <w:lang w:val="en-US"/>
        </w:rPr>
      </w:pPr>
      <w:r w:rsidRPr="004E05E4">
        <w:rPr>
          <w:sz w:val="24"/>
          <w:szCs w:val="24"/>
          <w:lang w:val="en-US"/>
        </w:rPr>
        <w:t xml:space="preserve">Paracetamol should be used with caution in the presence of renal insufficiency and increased interval between doses is recommended in cases of severe renal insufficiency. Where creatinine clearance is between 10-50 ml/min, the minimum interval between administrations should be 6 hours. When creatinine clearance is lower than 10 ml/min, the minimum interval between two administrations should be 8 hours. </w:t>
      </w:r>
    </w:p>
    <w:p w14:paraId="51983E44" w14:textId="77777777" w:rsidR="00A17559" w:rsidRPr="004E05E4" w:rsidRDefault="00A17559" w:rsidP="004E05E4">
      <w:pPr>
        <w:ind w:left="851"/>
        <w:rPr>
          <w:sz w:val="24"/>
          <w:szCs w:val="24"/>
          <w:lang w:val="en-US"/>
        </w:rPr>
      </w:pPr>
    </w:p>
    <w:p w14:paraId="58998946" w14:textId="77777777" w:rsidR="00A17559" w:rsidRPr="004E05E4" w:rsidRDefault="00A17559" w:rsidP="004E05E4">
      <w:pPr>
        <w:ind w:left="851"/>
        <w:rPr>
          <w:sz w:val="24"/>
          <w:szCs w:val="24"/>
          <w:lang w:val="en-US"/>
        </w:rPr>
      </w:pPr>
      <w:r w:rsidRPr="004E05E4">
        <w:rPr>
          <w:sz w:val="24"/>
          <w:szCs w:val="24"/>
          <w:u w:val="single"/>
          <w:lang w:val="en-US"/>
        </w:rPr>
        <w:t>Hepatic impairment</w:t>
      </w:r>
    </w:p>
    <w:p w14:paraId="153422B7" w14:textId="77777777" w:rsidR="00A17559" w:rsidRPr="004E05E4" w:rsidRDefault="00A17559" w:rsidP="004E05E4">
      <w:pPr>
        <w:ind w:left="851"/>
        <w:rPr>
          <w:sz w:val="24"/>
          <w:szCs w:val="24"/>
          <w:lang w:val="en-US"/>
        </w:rPr>
      </w:pPr>
      <w:r w:rsidRPr="004E05E4">
        <w:rPr>
          <w:sz w:val="24"/>
          <w:szCs w:val="24"/>
          <w:lang w:val="en-US"/>
        </w:rPr>
        <w:t xml:space="preserve">Paracetamol should be used with caution in the presence of hepatic insufficiency or Gilbert’s syndrome. The dose should be reduced or the dosing interval prolonged. </w:t>
      </w:r>
    </w:p>
    <w:p w14:paraId="0C24899F" w14:textId="77777777" w:rsidR="00A17559" w:rsidRPr="004E05E4" w:rsidRDefault="00A17559" w:rsidP="004E05E4">
      <w:pPr>
        <w:ind w:left="851"/>
        <w:rPr>
          <w:sz w:val="24"/>
          <w:szCs w:val="24"/>
          <w:lang w:val="en-US"/>
        </w:rPr>
      </w:pPr>
    </w:p>
    <w:p w14:paraId="70C042A5" w14:textId="77777777" w:rsidR="00A17559" w:rsidRPr="004E05E4" w:rsidRDefault="00A17559" w:rsidP="004E05E4">
      <w:pPr>
        <w:ind w:left="851"/>
        <w:rPr>
          <w:sz w:val="24"/>
          <w:szCs w:val="24"/>
          <w:lang w:val="en-US"/>
        </w:rPr>
      </w:pPr>
      <w:r w:rsidRPr="004E05E4">
        <w:rPr>
          <w:sz w:val="24"/>
          <w:szCs w:val="24"/>
          <w:lang w:val="en-US"/>
        </w:rPr>
        <w:t xml:space="preserve">A daily dose of 2,000 mg should not be exceeded, for adults, without medical advice. </w:t>
      </w:r>
    </w:p>
    <w:p w14:paraId="1AC9A263" w14:textId="77777777" w:rsidR="00A17559" w:rsidRPr="004E05E4" w:rsidRDefault="00A17559" w:rsidP="004E05E4">
      <w:pPr>
        <w:ind w:left="851"/>
        <w:rPr>
          <w:sz w:val="24"/>
          <w:szCs w:val="24"/>
          <w:lang w:val="en-US"/>
        </w:rPr>
      </w:pPr>
    </w:p>
    <w:p w14:paraId="44677FEA" w14:textId="77777777" w:rsidR="00A17559" w:rsidRPr="004E05E4" w:rsidRDefault="00A17559" w:rsidP="004E05E4">
      <w:pPr>
        <w:ind w:left="851"/>
        <w:rPr>
          <w:sz w:val="24"/>
          <w:szCs w:val="24"/>
          <w:lang w:val="en-US"/>
        </w:rPr>
      </w:pPr>
      <w:r w:rsidRPr="004E05E4">
        <w:rPr>
          <w:sz w:val="24"/>
          <w:szCs w:val="24"/>
          <w:lang w:val="en-US"/>
        </w:rPr>
        <w:t xml:space="preserve">Without medical advice, a maximum daily dose of 60 mg/kg body weight (till a maximum of 2,000 mg/day) should not be exceeded in the case of: </w:t>
      </w:r>
    </w:p>
    <w:p w14:paraId="51A30694" w14:textId="77777777" w:rsidR="00A17559" w:rsidRPr="00E62EE7" w:rsidRDefault="00A17559" w:rsidP="00E62EE7">
      <w:pPr>
        <w:pStyle w:val="Listeafsnit"/>
        <w:numPr>
          <w:ilvl w:val="0"/>
          <w:numId w:val="11"/>
        </w:numPr>
        <w:ind w:left="1276" w:hanging="425"/>
        <w:rPr>
          <w:sz w:val="24"/>
          <w:szCs w:val="24"/>
        </w:rPr>
      </w:pPr>
      <w:r w:rsidRPr="00E62EE7">
        <w:rPr>
          <w:sz w:val="24"/>
          <w:szCs w:val="24"/>
        </w:rPr>
        <w:t xml:space="preserve">Body </w:t>
      </w:r>
      <w:proofErr w:type="spellStart"/>
      <w:r w:rsidRPr="00E62EE7">
        <w:rPr>
          <w:sz w:val="24"/>
          <w:szCs w:val="24"/>
        </w:rPr>
        <w:t>weight</w:t>
      </w:r>
      <w:proofErr w:type="spellEnd"/>
      <w:r w:rsidRPr="00E62EE7">
        <w:rPr>
          <w:sz w:val="24"/>
          <w:szCs w:val="24"/>
        </w:rPr>
        <w:t xml:space="preserve"> </w:t>
      </w:r>
      <w:proofErr w:type="spellStart"/>
      <w:r w:rsidRPr="00E62EE7">
        <w:rPr>
          <w:sz w:val="24"/>
          <w:szCs w:val="24"/>
        </w:rPr>
        <w:t>below</w:t>
      </w:r>
      <w:proofErr w:type="spellEnd"/>
      <w:r w:rsidRPr="00E62EE7">
        <w:rPr>
          <w:sz w:val="24"/>
          <w:szCs w:val="24"/>
        </w:rPr>
        <w:t xml:space="preserve"> 50 kg</w:t>
      </w:r>
    </w:p>
    <w:p w14:paraId="76403C0C" w14:textId="77777777" w:rsidR="00A17559" w:rsidRPr="00E62EE7" w:rsidRDefault="00A17559" w:rsidP="00E62EE7">
      <w:pPr>
        <w:pStyle w:val="Listeafsnit"/>
        <w:numPr>
          <w:ilvl w:val="0"/>
          <w:numId w:val="11"/>
        </w:numPr>
        <w:ind w:left="1276" w:hanging="425"/>
        <w:rPr>
          <w:sz w:val="24"/>
          <w:szCs w:val="24"/>
        </w:rPr>
      </w:pPr>
      <w:r w:rsidRPr="00E62EE7">
        <w:rPr>
          <w:sz w:val="24"/>
          <w:szCs w:val="24"/>
        </w:rPr>
        <w:t xml:space="preserve">Liver </w:t>
      </w:r>
      <w:proofErr w:type="spellStart"/>
      <w:r w:rsidRPr="00E62EE7">
        <w:rPr>
          <w:sz w:val="24"/>
          <w:szCs w:val="24"/>
        </w:rPr>
        <w:t>impairment</w:t>
      </w:r>
      <w:proofErr w:type="spellEnd"/>
    </w:p>
    <w:p w14:paraId="194C81DC" w14:textId="77777777" w:rsidR="00A17559" w:rsidRPr="00E62EE7" w:rsidRDefault="00A17559" w:rsidP="00E62EE7">
      <w:pPr>
        <w:pStyle w:val="Listeafsnit"/>
        <w:numPr>
          <w:ilvl w:val="0"/>
          <w:numId w:val="11"/>
        </w:numPr>
        <w:ind w:left="1276" w:hanging="425"/>
        <w:rPr>
          <w:sz w:val="24"/>
          <w:szCs w:val="24"/>
          <w:lang w:val="en-US"/>
        </w:rPr>
      </w:pPr>
      <w:r w:rsidRPr="00E62EE7">
        <w:rPr>
          <w:sz w:val="24"/>
          <w:szCs w:val="24"/>
          <w:lang w:val="en-US"/>
        </w:rPr>
        <w:t>Gilbert’s syndrome (familial non-</w:t>
      </w:r>
      <w:proofErr w:type="spellStart"/>
      <w:r w:rsidRPr="00E62EE7">
        <w:rPr>
          <w:sz w:val="24"/>
          <w:szCs w:val="24"/>
          <w:lang w:val="en-US"/>
        </w:rPr>
        <w:t>haemolytic</w:t>
      </w:r>
      <w:proofErr w:type="spellEnd"/>
      <w:r w:rsidRPr="00E62EE7">
        <w:rPr>
          <w:sz w:val="24"/>
          <w:szCs w:val="24"/>
          <w:lang w:val="en-US"/>
        </w:rPr>
        <w:t xml:space="preserve"> jaundice)</w:t>
      </w:r>
    </w:p>
    <w:p w14:paraId="271EA52C" w14:textId="77777777" w:rsidR="00A17559" w:rsidRPr="00E62EE7" w:rsidRDefault="00A17559" w:rsidP="00E62EE7">
      <w:pPr>
        <w:pStyle w:val="Listeafsnit"/>
        <w:numPr>
          <w:ilvl w:val="0"/>
          <w:numId w:val="11"/>
        </w:numPr>
        <w:ind w:left="1276" w:hanging="425"/>
        <w:rPr>
          <w:sz w:val="24"/>
          <w:szCs w:val="24"/>
        </w:rPr>
      </w:pPr>
      <w:proofErr w:type="spellStart"/>
      <w:r w:rsidRPr="00E62EE7">
        <w:rPr>
          <w:sz w:val="24"/>
          <w:szCs w:val="24"/>
        </w:rPr>
        <w:t>Chronic</w:t>
      </w:r>
      <w:proofErr w:type="spellEnd"/>
      <w:r w:rsidRPr="00E62EE7">
        <w:rPr>
          <w:sz w:val="24"/>
          <w:szCs w:val="24"/>
        </w:rPr>
        <w:t xml:space="preserve"> </w:t>
      </w:r>
      <w:proofErr w:type="spellStart"/>
      <w:r w:rsidRPr="00E62EE7">
        <w:rPr>
          <w:sz w:val="24"/>
          <w:szCs w:val="24"/>
        </w:rPr>
        <w:t>alcohol</w:t>
      </w:r>
      <w:proofErr w:type="spellEnd"/>
      <w:r w:rsidRPr="00E62EE7">
        <w:rPr>
          <w:sz w:val="24"/>
          <w:szCs w:val="24"/>
        </w:rPr>
        <w:t xml:space="preserve"> </w:t>
      </w:r>
      <w:proofErr w:type="spellStart"/>
      <w:r w:rsidRPr="00E62EE7">
        <w:rPr>
          <w:sz w:val="24"/>
          <w:szCs w:val="24"/>
        </w:rPr>
        <w:t>abuse</w:t>
      </w:r>
      <w:proofErr w:type="spellEnd"/>
    </w:p>
    <w:p w14:paraId="5DB35110" w14:textId="77777777" w:rsidR="00A17559" w:rsidRPr="00E62EE7" w:rsidRDefault="00A17559" w:rsidP="00E62EE7">
      <w:pPr>
        <w:pStyle w:val="Listeafsnit"/>
        <w:numPr>
          <w:ilvl w:val="0"/>
          <w:numId w:val="11"/>
        </w:numPr>
        <w:ind w:left="1276" w:hanging="425"/>
        <w:rPr>
          <w:sz w:val="24"/>
          <w:szCs w:val="24"/>
        </w:rPr>
      </w:pPr>
      <w:proofErr w:type="spellStart"/>
      <w:r w:rsidRPr="00E62EE7">
        <w:rPr>
          <w:sz w:val="24"/>
          <w:szCs w:val="24"/>
        </w:rPr>
        <w:t>Dehydration</w:t>
      </w:r>
      <w:proofErr w:type="spellEnd"/>
      <w:r w:rsidRPr="00E62EE7">
        <w:rPr>
          <w:sz w:val="24"/>
          <w:szCs w:val="24"/>
        </w:rPr>
        <w:t xml:space="preserve"> </w:t>
      </w:r>
    </w:p>
    <w:p w14:paraId="4339C8F9" w14:textId="77777777" w:rsidR="00A17559" w:rsidRPr="00E62EE7" w:rsidRDefault="00A17559" w:rsidP="00E62EE7">
      <w:pPr>
        <w:pStyle w:val="Listeafsnit"/>
        <w:numPr>
          <w:ilvl w:val="0"/>
          <w:numId w:val="11"/>
        </w:numPr>
        <w:ind w:left="1276" w:hanging="425"/>
        <w:rPr>
          <w:sz w:val="24"/>
          <w:szCs w:val="24"/>
        </w:rPr>
      </w:pPr>
      <w:proofErr w:type="spellStart"/>
      <w:r w:rsidRPr="00E62EE7">
        <w:rPr>
          <w:sz w:val="24"/>
          <w:szCs w:val="24"/>
        </w:rPr>
        <w:t>Chronic</w:t>
      </w:r>
      <w:proofErr w:type="spellEnd"/>
      <w:r w:rsidRPr="00E62EE7">
        <w:rPr>
          <w:sz w:val="24"/>
          <w:szCs w:val="24"/>
        </w:rPr>
        <w:t xml:space="preserve"> </w:t>
      </w:r>
      <w:proofErr w:type="spellStart"/>
      <w:r w:rsidRPr="00E62EE7">
        <w:rPr>
          <w:sz w:val="24"/>
          <w:szCs w:val="24"/>
        </w:rPr>
        <w:t>malnutrition</w:t>
      </w:r>
      <w:proofErr w:type="spellEnd"/>
      <w:r w:rsidRPr="00E62EE7">
        <w:rPr>
          <w:sz w:val="24"/>
          <w:szCs w:val="24"/>
        </w:rPr>
        <w:t xml:space="preserve"> </w:t>
      </w:r>
    </w:p>
    <w:p w14:paraId="1ADFE375" w14:textId="77777777" w:rsidR="00A17559" w:rsidRPr="004E05E4" w:rsidRDefault="00A17559" w:rsidP="004E05E4">
      <w:pPr>
        <w:ind w:left="851"/>
        <w:rPr>
          <w:sz w:val="24"/>
          <w:szCs w:val="24"/>
          <w:u w:val="single"/>
          <w:lang w:val="en-US"/>
        </w:rPr>
      </w:pPr>
      <w:r w:rsidRPr="004E05E4">
        <w:rPr>
          <w:sz w:val="24"/>
          <w:szCs w:val="24"/>
          <w:u w:val="single"/>
          <w:lang w:val="en-US"/>
        </w:rPr>
        <w:t xml:space="preserve">Chronic alcohol consumption may lower the paracetamol toxicity threshold. In these patients, the length of time between two doses should be a minimum of 8 hours. </w:t>
      </w:r>
    </w:p>
    <w:p w14:paraId="1A25C1AB" w14:textId="77777777" w:rsidR="00A17559" w:rsidRPr="004E05E4" w:rsidRDefault="00A17559" w:rsidP="004E05E4">
      <w:pPr>
        <w:ind w:left="851"/>
        <w:rPr>
          <w:sz w:val="24"/>
          <w:szCs w:val="24"/>
          <w:u w:val="single"/>
          <w:lang w:val="en-US"/>
        </w:rPr>
      </w:pPr>
    </w:p>
    <w:p w14:paraId="35837F82" w14:textId="77777777" w:rsidR="00A17559" w:rsidRPr="004E05E4" w:rsidRDefault="00A17559" w:rsidP="004E05E4">
      <w:pPr>
        <w:ind w:left="851"/>
        <w:rPr>
          <w:sz w:val="24"/>
          <w:szCs w:val="24"/>
          <w:u w:val="single"/>
          <w:lang w:val="en-US"/>
        </w:rPr>
      </w:pPr>
      <w:r w:rsidRPr="004E05E4">
        <w:rPr>
          <w:sz w:val="24"/>
          <w:szCs w:val="24"/>
          <w:u w:val="single"/>
          <w:lang w:val="en-US"/>
        </w:rPr>
        <w:t xml:space="preserve">Method of administration </w:t>
      </w:r>
    </w:p>
    <w:p w14:paraId="10BF7585" w14:textId="77777777" w:rsidR="00A17559" w:rsidRPr="004E05E4" w:rsidRDefault="00A17559" w:rsidP="004E05E4">
      <w:pPr>
        <w:ind w:left="851"/>
        <w:rPr>
          <w:sz w:val="24"/>
          <w:szCs w:val="24"/>
          <w:lang w:val="en-US"/>
        </w:rPr>
      </w:pPr>
      <w:r w:rsidRPr="004E05E4">
        <w:rPr>
          <w:sz w:val="24"/>
          <w:szCs w:val="24"/>
          <w:lang w:val="en-US"/>
        </w:rPr>
        <w:t xml:space="preserve">For oral use. The tablet should be swallowed with a glass of water. </w:t>
      </w:r>
    </w:p>
    <w:p w14:paraId="48C4C7AC" w14:textId="77777777" w:rsidR="007C5D2A" w:rsidRPr="004E05E4" w:rsidRDefault="007C5D2A" w:rsidP="00A85D26">
      <w:pPr>
        <w:tabs>
          <w:tab w:val="left" w:pos="851"/>
        </w:tabs>
        <w:ind w:left="851"/>
        <w:rPr>
          <w:sz w:val="24"/>
          <w:szCs w:val="24"/>
          <w:lang w:val="en-GB"/>
        </w:rPr>
      </w:pPr>
    </w:p>
    <w:p w14:paraId="402CE5EE" w14:textId="77777777" w:rsidR="007C5D2A" w:rsidRPr="004E05E4" w:rsidRDefault="007C5D2A" w:rsidP="007C5D2A">
      <w:pPr>
        <w:tabs>
          <w:tab w:val="left" w:pos="851"/>
        </w:tabs>
        <w:ind w:left="851" w:hanging="851"/>
        <w:rPr>
          <w:b/>
          <w:sz w:val="24"/>
          <w:szCs w:val="24"/>
          <w:lang w:val="en-GB"/>
        </w:rPr>
      </w:pPr>
      <w:r w:rsidRPr="004E05E4">
        <w:rPr>
          <w:b/>
          <w:sz w:val="24"/>
          <w:szCs w:val="24"/>
          <w:lang w:val="en-GB"/>
        </w:rPr>
        <w:t>4.3</w:t>
      </w:r>
      <w:r w:rsidRPr="004E05E4">
        <w:rPr>
          <w:b/>
          <w:sz w:val="24"/>
          <w:szCs w:val="24"/>
          <w:lang w:val="en-GB"/>
        </w:rPr>
        <w:tab/>
        <w:t>Contraindications</w:t>
      </w:r>
    </w:p>
    <w:p w14:paraId="191D4E6B" w14:textId="77777777" w:rsidR="00A17559" w:rsidRPr="004E05E4" w:rsidRDefault="00A17559" w:rsidP="004E05E4">
      <w:pPr>
        <w:ind w:left="851"/>
        <w:rPr>
          <w:noProof/>
          <w:sz w:val="24"/>
          <w:szCs w:val="24"/>
          <w:lang w:val="en-US"/>
        </w:rPr>
      </w:pPr>
      <w:r w:rsidRPr="004E05E4">
        <w:rPr>
          <w:sz w:val="24"/>
          <w:szCs w:val="24"/>
          <w:lang w:val="en-US"/>
        </w:rPr>
        <w:t xml:space="preserve">Hypersensitivity to the active substance paracetamol or to any of the excipients </w:t>
      </w:r>
      <w:r w:rsidRPr="004E05E4">
        <w:rPr>
          <w:noProof/>
          <w:sz w:val="24"/>
          <w:szCs w:val="24"/>
          <w:lang w:val="en-US"/>
        </w:rPr>
        <w:t>listed in section 6.1.</w:t>
      </w:r>
    </w:p>
    <w:p w14:paraId="10F4CFEB" w14:textId="77777777" w:rsidR="007C5D2A" w:rsidRPr="004E05E4" w:rsidRDefault="007C5D2A" w:rsidP="003E0341">
      <w:pPr>
        <w:tabs>
          <w:tab w:val="left" w:pos="851"/>
        </w:tabs>
        <w:ind w:left="851"/>
        <w:rPr>
          <w:sz w:val="24"/>
          <w:szCs w:val="24"/>
          <w:lang w:val="en-GB"/>
        </w:rPr>
      </w:pPr>
    </w:p>
    <w:p w14:paraId="1AD91DA0" w14:textId="77777777" w:rsidR="007C5D2A" w:rsidRPr="004E05E4" w:rsidRDefault="007C5D2A" w:rsidP="007C5D2A">
      <w:pPr>
        <w:tabs>
          <w:tab w:val="left" w:pos="851"/>
        </w:tabs>
        <w:rPr>
          <w:b/>
          <w:sz w:val="24"/>
          <w:szCs w:val="24"/>
          <w:lang w:val="en-GB"/>
        </w:rPr>
      </w:pPr>
      <w:r w:rsidRPr="004E05E4">
        <w:rPr>
          <w:b/>
          <w:sz w:val="24"/>
          <w:szCs w:val="24"/>
          <w:lang w:val="en-GB"/>
        </w:rPr>
        <w:t>4.4</w:t>
      </w:r>
      <w:r w:rsidRPr="004E05E4">
        <w:rPr>
          <w:b/>
          <w:sz w:val="24"/>
          <w:szCs w:val="24"/>
          <w:lang w:val="en-GB"/>
        </w:rPr>
        <w:tab/>
        <w:t>Special warnings and precautions for use</w:t>
      </w:r>
    </w:p>
    <w:p w14:paraId="77BC274B" w14:textId="77777777" w:rsidR="00A17559" w:rsidRPr="004E05E4" w:rsidRDefault="00A17559" w:rsidP="004E05E4">
      <w:pPr>
        <w:ind w:left="851"/>
        <w:rPr>
          <w:sz w:val="24"/>
          <w:szCs w:val="24"/>
          <w:lang w:val="en-US"/>
        </w:rPr>
      </w:pPr>
      <w:r w:rsidRPr="004E05E4">
        <w:rPr>
          <w:sz w:val="24"/>
          <w:szCs w:val="24"/>
          <w:lang w:val="en-US"/>
        </w:rPr>
        <w:t xml:space="preserve">In order to avoid the risk of overdose, it should be ensured that co-administered medications do not contain paracetamol. </w:t>
      </w:r>
    </w:p>
    <w:p w14:paraId="083C6468" w14:textId="77777777" w:rsidR="00A17559" w:rsidRPr="004E05E4" w:rsidRDefault="00A17559" w:rsidP="004E05E4">
      <w:pPr>
        <w:ind w:left="851"/>
        <w:rPr>
          <w:sz w:val="24"/>
          <w:szCs w:val="24"/>
          <w:lang w:val="en-US"/>
        </w:rPr>
      </w:pPr>
    </w:p>
    <w:p w14:paraId="0FE49C83" w14:textId="77777777" w:rsidR="00A17559" w:rsidRPr="004E05E4" w:rsidRDefault="00A17559" w:rsidP="004E05E4">
      <w:pPr>
        <w:ind w:left="851"/>
        <w:rPr>
          <w:sz w:val="24"/>
          <w:szCs w:val="24"/>
          <w:lang w:val="en-US"/>
        </w:rPr>
      </w:pPr>
      <w:r w:rsidRPr="004E05E4">
        <w:rPr>
          <w:sz w:val="24"/>
          <w:szCs w:val="24"/>
          <w:lang w:val="en-US"/>
        </w:rPr>
        <w:t xml:space="preserve">In the following cases, paracetamol should be used with particular caution i.e. with increase of the dosing interval or at a reduced dose (see section 4.2) and under medical surveillance: </w:t>
      </w:r>
    </w:p>
    <w:p w14:paraId="5054FFF1" w14:textId="77777777" w:rsidR="00A17559" w:rsidRPr="00E62EE7" w:rsidRDefault="00A17559" w:rsidP="00E62EE7">
      <w:pPr>
        <w:pStyle w:val="Listeafsnit"/>
        <w:numPr>
          <w:ilvl w:val="0"/>
          <w:numId w:val="12"/>
        </w:numPr>
        <w:ind w:left="1276" w:hanging="425"/>
        <w:rPr>
          <w:sz w:val="24"/>
          <w:szCs w:val="24"/>
          <w:lang w:val="en-US"/>
        </w:rPr>
      </w:pPr>
      <w:r w:rsidRPr="00E62EE7">
        <w:rPr>
          <w:sz w:val="24"/>
          <w:szCs w:val="24"/>
          <w:lang w:val="en-US"/>
        </w:rPr>
        <w:t xml:space="preserve">Hepatocellular insufficiency (Child-Pugh &lt; 9) </w:t>
      </w:r>
    </w:p>
    <w:p w14:paraId="67EB9CC9" w14:textId="77777777" w:rsidR="00A17559" w:rsidRPr="00E62EE7" w:rsidRDefault="00A17559" w:rsidP="00E62EE7">
      <w:pPr>
        <w:pStyle w:val="Listeafsnit"/>
        <w:numPr>
          <w:ilvl w:val="0"/>
          <w:numId w:val="12"/>
        </w:numPr>
        <w:ind w:left="1276" w:hanging="425"/>
        <w:rPr>
          <w:sz w:val="24"/>
          <w:szCs w:val="24"/>
          <w:lang w:val="en-US"/>
        </w:rPr>
      </w:pPr>
      <w:r w:rsidRPr="00E62EE7">
        <w:rPr>
          <w:sz w:val="24"/>
          <w:szCs w:val="24"/>
          <w:lang w:val="en-US"/>
        </w:rPr>
        <w:t xml:space="preserve">Chronic alcohol abuse </w:t>
      </w:r>
    </w:p>
    <w:p w14:paraId="54EABBDC" w14:textId="6B7B9BDA" w:rsidR="00A17559" w:rsidRPr="00E62EE7" w:rsidRDefault="00A17559" w:rsidP="00E62EE7">
      <w:pPr>
        <w:pStyle w:val="Listeafsnit"/>
        <w:numPr>
          <w:ilvl w:val="0"/>
          <w:numId w:val="12"/>
        </w:numPr>
        <w:ind w:left="1276" w:hanging="425"/>
        <w:rPr>
          <w:sz w:val="24"/>
          <w:szCs w:val="24"/>
          <w:lang w:val="en-US"/>
        </w:rPr>
      </w:pPr>
      <w:r w:rsidRPr="00E62EE7">
        <w:rPr>
          <w:sz w:val="24"/>
          <w:szCs w:val="24"/>
          <w:lang w:val="en-US"/>
        </w:rPr>
        <w:t>Renal insufficiency (creatinine clearance &lt; 10 ml/min)</w:t>
      </w:r>
    </w:p>
    <w:p w14:paraId="4C35D5E4" w14:textId="77777777" w:rsidR="00A17559" w:rsidRPr="00E62EE7" w:rsidRDefault="00A17559" w:rsidP="00E62EE7">
      <w:pPr>
        <w:pStyle w:val="Listeafsnit"/>
        <w:numPr>
          <w:ilvl w:val="0"/>
          <w:numId w:val="12"/>
        </w:numPr>
        <w:ind w:left="1276" w:hanging="425"/>
        <w:rPr>
          <w:sz w:val="24"/>
          <w:szCs w:val="24"/>
        </w:rPr>
      </w:pPr>
      <w:proofErr w:type="spellStart"/>
      <w:r w:rsidRPr="00E62EE7">
        <w:rPr>
          <w:sz w:val="24"/>
          <w:szCs w:val="24"/>
        </w:rPr>
        <w:t>Gilbert’s</w:t>
      </w:r>
      <w:proofErr w:type="spellEnd"/>
      <w:r w:rsidRPr="00E62EE7">
        <w:rPr>
          <w:sz w:val="24"/>
          <w:szCs w:val="24"/>
        </w:rPr>
        <w:t xml:space="preserve"> </w:t>
      </w:r>
      <w:proofErr w:type="spellStart"/>
      <w:r w:rsidRPr="00E62EE7">
        <w:rPr>
          <w:sz w:val="24"/>
          <w:szCs w:val="24"/>
        </w:rPr>
        <w:t>syndrome</w:t>
      </w:r>
      <w:proofErr w:type="spellEnd"/>
      <w:r w:rsidRPr="00E62EE7">
        <w:rPr>
          <w:sz w:val="24"/>
          <w:szCs w:val="24"/>
        </w:rPr>
        <w:t xml:space="preserve"> (</w:t>
      </w:r>
      <w:proofErr w:type="spellStart"/>
      <w:r w:rsidRPr="00E62EE7">
        <w:rPr>
          <w:sz w:val="24"/>
          <w:szCs w:val="24"/>
        </w:rPr>
        <w:t>Meulengracht’s</w:t>
      </w:r>
      <w:proofErr w:type="spellEnd"/>
      <w:r w:rsidRPr="00E62EE7">
        <w:rPr>
          <w:sz w:val="24"/>
          <w:szCs w:val="24"/>
        </w:rPr>
        <w:t xml:space="preserve"> </w:t>
      </w:r>
      <w:proofErr w:type="spellStart"/>
      <w:r w:rsidRPr="00E62EE7">
        <w:rPr>
          <w:sz w:val="24"/>
          <w:szCs w:val="24"/>
        </w:rPr>
        <w:t>disease</w:t>
      </w:r>
      <w:proofErr w:type="spellEnd"/>
      <w:r w:rsidRPr="00E62EE7">
        <w:rPr>
          <w:sz w:val="24"/>
          <w:szCs w:val="24"/>
        </w:rPr>
        <w:t>)</w:t>
      </w:r>
    </w:p>
    <w:p w14:paraId="485B660B" w14:textId="77777777" w:rsidR="00A17559" w:rsidRPr="00E62EE7" w:rsidRDefault="00A17559" w:rsidP="00E62EE7">
      <w:pPr>
        <w:pStyle w:val="Listeafsnit"/>
        <w:numPr>
          <w:ilvl w:val="0"/>
          <w:numId w:val="12"/>
        </w:numPr>
        <w:ind w:left="1276" w:hanging="425"/>
        <w:rPr>
          <w:sz w:val="24"/>
          <w:szCs w:val="24"/>
        </w:rPr>
      </w:pPr>
      <w:r w:rsidRPr="00E62EE7">
        <w:rPr>
          <w:sz w:val="24"/>
          <w:szCs w:val="24"/>
          <w:lang w:val="en-US"/>
        </w:rPr>
        <w:t xml:space="preserve">Have a severe infection as this may increase the risk of metabolic acidosis. </w:t>
      </w:r>
      <w:proofErr w:type="spellStart"/>
      <w:r w:rsidRPr="00E62EE7">
        <w:rPr>
          <w:sz w:val="24"/>
          <w:szCs w:val="24"/>
        </w:rPr>
        <w:t>Signs</w:t>
      </w:r>
      <w:proofErr w:type="spellEnd"/>
      <w:r w:rsidRPr="00E62EE7">
        <w:rPr>
          <w:sz w:val="24"/>
          <w:szCs w:val="24"/>
        </w:rPr>
        <w:t xml:space="preserve"> of </w:t>
      </w:r>
      <w:proofErr w:type="spellStart"/>
      <w:r w:rsidRPr="00E62EE7">
        <w:rPr>
          <w:sz w:val="24"/>
          <w:szCs w:val="24"/>
        </w:rPr>
        <w:t>metabolic</w:t>
      </w:r>
      <w:proofErr w:type="spellEnd"/>
      <w:r w:rsidRPr="00E62EE7">
        <w:rPr>
          <w:sz w:val="24"/>
          <w:szCs w:val="24"/>
        </w:rPr>
        <w:t xml:space="preserve"> acidosis </w:t>
      </w:r>
      <w:proofErr w:type="spellStart"/>
      <w:r w:rsidRPr="00E62EE7">
        <w:rPr>
          <w:sz w:val="24"/>
          <w:szCs w:val="24"/>
        </w:rPr>
        <w:t>include</w:t>
      </w:r>
      <w:proofErr w:type="spellEnd"/>
      <w:r w:rsidRPr="00E62EE7">
        <w:rPr>
          <w:sz w:val="24"/>
          <w:szCs w:val="24"/>
        </w:rPr>
        <w:t xml:space="preserve">: </w:t>
      </w:r>
    </w:p>
    <w:p w14:paraId="75668225" w14:textId="77777777" w:rsidR="00A17559" w:rsidRPr="00E62EE7" w:rsidRDefault="00A17559" w:rsidP="00E62EE7">
      <w:pPr>
        <w:pStyle w:val="Listeafsnit"/>
        <w:numPr>
          <w:ilvl w:val="0"/>
          <w:numId w:val="12"/>
        </w:numPr>
        <w:ind w:left="1701" w:hanging="425"/>
        <w:rPr>
          <w:sz w:val="24"/>
          <w:szCs w:val="24"/>
        </w:rPr>
      </w:pPr>
      <w:proofErr w:type="spellStart"/>
      <w:r w:rsidRPr="00E62EE7">
        <w:rPr>
          <w:sz w:val="24"/>
          <w:szCs w:val="24"/>
        </w:rPr>
        <w:t>deep</w:t>
      </w:r>
      <w:proofErr w:type="spellEnd"/>
      <w:r w:rsidRPr="00E62EE7">
        <w:rPr>
          <w:sz w:val="24"/>
          <w:szCs w:val="24"/>
        </w:rPr>
        <w:t xml:space="preserve">, rapid, </w:t>
      </w:r>
      <w:proofErr w:type="spellStart"/>
      <w:r w:rsidRPr="00E62EE7">
        <w:rPr>
          <w:sz w:val="24"/>
          <w:szCs w:val="24"/>
        </w:rPr>
        <w:t>difficult</w:t>
      </w:r>
      <w:proofErr w:type="spellEnd"/>
      <w:r w:rsidRPr="00E62EE7">
        <w:rPr>
          <w:sz w:val="24"/>
          <w:szCs w:val="24"/>
        </w:rPr>
        <w:t xml:space="preserve"> </w:t>
      </w:r>
      <w:proofErr w:type="spellStart"/>
      <w:r w:rsidRPr="00E62EE7">
        <w:rPr>
          <w:sz w:val="24"/>
          <w:szCs w:val="24"/>
        </w:rPr>
        <w:t>breathing</w:t>
      </w:r>
      <w:proofErr w:type="spellEnd"/>
      <w:r w:rsidRPr="00E62EE7">
        <w:rPr>
          <w:sz w:val="24"/>
          <w:szCs w:val="24"/>
        </w:rPr>
        <w:t xml:space="preserve"> </w:t>
      </w:r>
    </w:p>
    <w:p w14:paraId="789BB096" w14:textId="77777777" w:rsidR="00A17559" w:rsidRPr="00E62EE7" w:rsidRDefault="00A17559" w:rsidP="00E62EE7">
      <w:pPr>
        <w:pStyle w:val="Listeafsnit"/>
        <w:numPr>
          <w:ilvl w:val="0"/>
          <w:numId w:val="12"/>
        </w:numPr>
        <w:ind w:left="1701" w:hanging="425"/>
        <w:rPr>
          <w:sz w:val="24"/>
          <w:szCs w:val="24"/>
          <w:lang w:val="en-US"/>
        </w:rPr>
      </w:pPr>
      <w:r w:rsidRPr="00E62EE7">
        <w:rPr>
          <w:sz w:val="24"/>
          <w:szCs w:val="24"/>
          <w:lang w:val="en-US"/>
        </w:rPr>
        <w:t>feeling sick (nausea), being sick (vomiting)</w:t>
      </w:r>
    </w:p>
    <w:p w14:paraId="07D2611C" w14:textId="77777777" w:rsidR="00A17559" w:rsidRPr="00E62EE7" w:rsidRDefault="00A17559" w:rsidP="00E62EE7">
      <w:pPr>
        <w:pStyle w:val="Listeafsnit"/>
        <w:numPr>
          <w:ilvl w:val="0"/>
          <w:numId w:val="12"/>
        </w:numPr>
        <w:ind w:left="1701" w:hanging="425"/>
        <w:rPr>
          <w:sz w:val="24"/>
          <w:szCs w:val="24"/>
        </w:rPr>
      </w:pPr>
      <w:proofErr w:type="spellStart"/>
      <w:r w:rsidRPr="00E62EE7">
        <w:rPr>
          <w:sz w:val="24"/>
          <w:szCs w:val="24"/>
        </w:rPr>
        <w:t>loss</w:t>
      </w:r>
      <w:proofErr w:type="spellEnd"/>
      <w:r w:rsidRPr="00E62EE7">
        <w:rPr>
          <w:sz w:val="24"/>
          <w:szCs w:val="24"/>
        </w:rPr>
        <w:t xml:space="preserve"> of </w:t>
      </w:r>
      <w:proofErr w:type="spellStart"/>
      <w:r w:rsidRPr="00E62EE7">
        <w:rPr>
          <w:sz w:val="24"/>
          <w:szCs w:val="24"/>
        </w:rPr>
        <w:t>appetite</w:t>
      </w:r>
      <w:proofErr w:type="spellEnd"/>
      <w:r w:rsidRPr="00E62EE7">
        <w:rPr>
          <w:sz w:val="24"/>
          <w:szCs w:val="24"/>
        </w:rPr>
        <w:t xml:space="preserve"> </w:t>
      </w:r>
    </w:p>
    <w:p w14:paraId="2CE410F7" w14:textId="77777777" w:rsidR="00A17559" w:rsidRPr="00E62EE7" w:rsidRDefault="00A17559" w:rsidP="00E62EE7">
      <w:pPr>
        <w:pStyle w:val="Listeafsnit"/>
        <w:numPr>
          <w:ilvl w:val="0"/>
          <w:numId w:val="12"/>
        </w:numPr>
        <w:ind w:left="1276" w:hanging="425"/>
        <w:rPr>
          <w:sz w:val="24"/>
          <w:szCs w:val="24"/>
        </w:rPr>
      </w:pPr>
      <w:proofErr w:type="spellStart"/>
      <w:r w:rsidRPr="00E62EE7">
        <w:rPr>
          <w:sz w:val="24"/>
          <w:szCs w:val="24"/>
        </w:rPr>
        <w:t>Acute</w:t>
      </w:r>
      <w:proofErr w:type="spellEnd"/>
      <w:r w:rsidRPr="00E62EE7">
        <w:rPr>
          <w:sz w:val="24"/>
          <w:szCs w:val="24"/>
        </w:rPr>
        <w:t xml:space="preserve"> hepatitis</w:t>
      </w:r>
    </w:p>
    <w:p w14:paraId="446BAA7F" w14:textId="77777777" w:rsidR="00A17559" w:rsidRPr="00E62EE7" w:rsidRDefault="00A17559" w:rsidP="00E62EE7">
      <w:pPr>
        <w:pStyle w:val="Listeafsnit"/>
        <w:numPr>
          <w:ilvl w:val="0"/>
          <w:numId w:val="12"/>
        </w:numPr>
        <w:ind w:left="1276" w:hanging="425"/>
        <w:rPr>
          <w:sz w:val="24"/>
          <w:szCs w:val="24"/>
          <w:lang w:val="en-US"/>
        </w:rPr>
      </w:pPr>
      <w:r w:rsidRPr="00E62EE7">
        <w:rPr>
          <w:sz w:val="24"/>
          <w:szCs w:val="24"/>
          <w:lang w:val="en-US"/>
        </w:rPr>
        <w:t xml:space="preserve">Concomitant treatment with medicinal products affecting hepatic functions </w:t>
      </w:r>
    </w:p>
    <w:p w14:paraId="7178B103" w14:textId="77777777" w:rsidR="00A17559" w:rsidRPr="00E62EE7" w:rsidRDefault="00A17559" w:rsidP="00E62EE7">
      <w:pPr>
        <w:pStyle w:val="Listeafsnit"/>
        <w:numPr>
          <w:ilvl w:val="0"/>
          <w:numId w:val="12"/>
        </w:numPr>
        <w:ind w:left="1276" w:hanging="425"/>
        <w:rPr>
          <w:sz w:val="24"/>
          <w:szCs w:val="24"/>
        </w:rPr>
      </w:pPr>
      <w:r w:rsidRPr="00E62EE7">
        <w:rPr>
          <w:sz w:val="24"/>
          <w:szCs w:val="24"/>
        </w:rPr>
        <w:t xml:space="preserve">Glucose-6-phosphate </w:t>
      </w:r>
      <w:proofErr w:type="spellStart"/>
      <w:r w:rsidRPr="00E62EE7">
        <w:rPr>
          <w:sz w:val="24"/>
          <w:szCs w:val="24"/>
        </w:rPr>
        <w:t>dehydrogenase</w:t>
      </w:r>
      <w:proofErr w:type="spellEnd"/>
      <w:r w:rsidRPr="00E62EE7">
        <w:rPr>
          <w:sz w:val="24"/>
          <w:szCs w:val="24"/>
        </w:rPr>
        <w:t xml:space="preserve"> </w:t>
      </w:r>
      <w:proofErr w:type="spellStart"/>
      <w:r w:rsidRPr="00E62EE7">
        <w:rPr>
          <w:sz w:val="24"/>
          <w:szCs w:val="24"/>
        </w:rPr>
        <w:t>deficiency</w:t>
      </w:r>
      <w:proofErr w:type="spellEnd"/>
    </w:p>
    <w:p w14:paraId="3E2BA8FD" w14:textId="77777777" w:rsidR="00A17559" w:rsidRPr="00E62EE7" w:rsidRDefault="00A17559" w:rsidP="00E62EE7">
      <w:pPr>
        <w:pStyle w:val="Listeafsnit"/>
        <w:numPr>
          <w:ilvl w:val="0"/>
          <w:numId w:val="12"/>
        </w:numPr>
        <w:ind w:left="1276" w:hanging="425"/>
        <w:rPr>
          <w:sz w:val="24"/>
          <w:szCs w:val="24"/>
        </w:rPr>
      </w:pPr>
      <w:proofErr w:type="spellStart"/>
      <w:r w:rsidRPr="00E62EE7">
        <w:rPr>
          <w:sz w:val="24"/>
          <w:szCs w:val="24"/>
        </w:rPr>
        <w:t>Glutathione</w:t>
      </w:r>
      <w:proofErr w:type="spellEnd"/>
      <w:r w:rsidRPr="00E62EE7">
        <w:rPr>
          <w:sz w:val="24"/>
          <w:szCs w:val="24"/>
        </w:rPr>
        <w:t xml:space="preserve"> </w:t>
      </w:r>
      <w:proofErr w:type="spellStart"/>
      <w:r w:rsidRPr="00E62EE7">
        <w:rPr>
          <w:sz w:val="24"/>
          <w:szCs w:val="24"/>
        </w:rPr>
        <w:t>deficiency</w:t>
      </w:r>
      <w:proofErr w:type="spellEnd"/>
    </w:p>
    <w:p w14:paraId="2BFED724" w14:textId="77777777" w:rsidR="00A17559" w:rsidRPr="00E62EE7" w:rsidRDefault="00A17559" w:rsidP="00E62EE7">
      <w:pPr>
        <w:pStyle w:val="Listeafsnit"/>
        <w:numPr>
          <w:ilvl w:val="0"/>
          <w:numId w:val="12"/>
        </w:numPr>
        <w:ind w:left="1276" w:hanging="425"/>
        <w:rPr>
          <w:sz w:val="24"/>
          <w:szCs w:val="24"/>
        </w:rPr>
      </w:pPr>
      <w:proofErr w:type="spellStart"/>
      <w:r w:rsidRPr="00E62EE7">
        <w:rPr>
          <w:sz w:val="24"/>
          <w:szCs w:val="24"/>
        </w:rPr>
        <w:t>Haemolytic</w:t>
      </w:r>
      <w:proofErr w:type="spellEnd"/>
      <w:r w:rsidRPr="00E62EE7">
        <w:rPr>
          <w:sz w:val="24"/>
          <w:szCs w:val="24"/>
        </w:rPr>
        <w:t xml:space="preserve"> </w:t>
      </w:r>
      <w:proofErr w:type="spellStart"/>
      <w:r w:rsidRPr="00E62EE7">
        <w:rPr>
          <w:sz w:val="24"/>
          <w:szCs w:val="24"/>
        </w:rPr>
        <w:t>anaemia</w:t>
      </w:r>
      <w:proofErr w:type="spellEnd"/>
      <w:r w:rsidRPr="00E62EE7">
        <w:rPr>
          <w:sz w:val="24"/>
          <w:szCs w:val="24"/>
        </w:rPr>
        <w:t xml:space="preserve"> </w:t>
      </w:r>
    </w:p>
    <w:p w14:paraId="6A9042C3" w14:textId="77777777" w:rsidR="00A17559" w:rsidRPr="00E62EE7" w:rsidRDefault="00A17559" w:rsidP="00E62EE7">
      <w:pPr>
        <w:pStyle w:val="Listeafsnit"/>
        <w:numPr>
          <w:ilvl w:val="0"/>
          <w:numId w:val="12"/>
        </w:numPr>
        <w:ind w:left="1276" w:hanging="425"/>
        <w:rPr>
          <w:sz w:val="24"/>
          <w:szCs w:val="24"/>
        </w:rPr>
      </w:pPr>
      <w:proofErr w:type="spellStart"/>
      <w:r w:rsidRPr="00E62EE7">
        <w:rPr>
          <w:sz w:val="24"/>
          <w:szCs w:val="24"/>
        </w:rPr>
        <w:t>Dehydration</w:t>
      </w:r>
      <w:proofErr w:type="spellEnd"/>
    </w:p>
    <w:p w14:paraId="3B5E2601" w14:textId="77777777" w:rsidR="00A17559" w:rsidRPr="00E62EE7" w:rsidRDefault="00A17559" w:rsidP="00E62EE7">
      <w:pPr>
        <w:pStyle w:val="Listeafsnit"/>
        <w:numPr>
          <w:ilvl w:val="0"/>
          <w:numId w:val="12"/>
        </w:numPr>
        <w:ind w:left="1276" w:hanging="425"/>
        <w:rPr>
          <w:sz w:val="24"/>
          <w:szCs w:val="24"/>
        </w:rPr>
      </w:pPr>
      <w:proofErr w:type="spellStart"/>
      <w:r w:rsidRPr="00E62EE7">
        <w:rPr>
          <w:sz w:val="24"/>
          <w:szCs w:val="24"/>
        </w:rPr>
        <w:t>Chronic</w:t>
      </w:r>
      <w:proofErr w:type="spellEnd"/>
      <w:r w:rsidRPr="00E62EE7">
        <w:rPr>
          <w:sz w:val="24"/>
          <w:szCs w:val="24"/>
        </w:rPr>
        <w:t xml:space="preserve"> </w:t>
      </w:r>
      <w:proofErr w:type="spellStart"/>
      <w:r w:rsidRPr="00E62EE7">
        <w:rPr>
          <w:sz w:val="24"/>
          <w:szCs w:val="24"/>
        </w:rPr>
        <w:t>malnutrition</w:t>
      </w:r>
      <w:proofErr w:type="spellEnd"/>
      <w:r w:rsidRPr="00E62EE7">
        <w:rPr>
          <w:sz w:val="24"/>
          <w:szCs w:val="24"/>
        </w:rPr>
        <w:t xml:space="preserve"> </w:t>
      </w:r>
    </w:p>
    <w:p w14:paraId="25E4D52C" w14:textId="77777777" w:rsidR="00A17559" w:rsidRPr="00E62EE7" w:rsidRDefault="00A17559" w:rsidP="00E62EE7">
      <w:pPr>
        <w:pStyle w:val="Listeafsnit"/>
        <w:numPr>
          <w:ilvl w:val="0"/>
          <w:numId w:val="12"/>
        </w:numPr>
        <w:ind w:left="1276" w:hanging="425"/>
        <w:rPr>
          <w:sz w:val="24"/>
          <w:szCs w:val="24"/>
        </w:rPr>
      </w:pPr>
      <w:proofErr w:type="spellStart"/>
      <w:r w:rsidRPr="00E62EE7">
        <w:rPr>
          <w:sz w:val="24"/>
          <w:szCs w:val="24"/>
        </w:rPr>
        <w:t>Elderly</w:t>
      </w:r>
      <w:proofErr w:type="spellEnd"/>
    </w:p>
    <w:p w14:paraId="56D2C689" w14:textId="77777777" w:rsidR="00A17559" w:rsidRPr="004E05E4" w:rsidRDefault="00A17559" w:rsidP="004E05E4">
      <w:pPr>
        <w:ind w:left="851"/>
        <w:rPr>
          <w:sz w:val="24"/>
          <w:szCs w:val="24"/>
        </w:rPr>
      </w:pPr>
    </w:p>
    <w:p w14:paraId="6F174F88" w14:textId="77777777" w:rsidR="00A17559" w:rsidRPr="004E05E4" w:rsidRDefault="00A17559" w:rsidP="004E05E4">
      <w:pPr>
        <w:ind w:left="851"/>
        <w:rPr>
          <w:sz w:val="24"/>
          <w:szCs w:val="24"/>
        </w:rPr>
      </w:pPr>
      <w:proofErr w:type="spellStart"/>
      <w:r w:rsidRPr="004E05E4">
        <w:rPr>
          <w:sz w:val="24"/>
          <w:szCs w:val="24"/>
        </w:rPr>
        <w:t>Additional</w:t>
      </w:r>
      <w:proofErr w:type="spellEnd"/>
      <w:r w:rsidRPr="004E05E4">
        <w:rPr>
          <w:sz w:val="24"/>
          <w:szCs w:val="24"/>
        </w:rPr>
        <w:t xml:space="preserve"> </w:t>
      </w:r>
      <w:proofErr w:type="spellStart"/>
      <w:r w:rsidRPr="004E05E4">
        <w:rPr>
          <w:sz w:val="24"/>
          <w:szCs w:val="24"/>
        </w:rPr>
        <w:t>precautions</w:t>
      </w:r>
      <w:proofErr w:type="spellEnd"/>
      <w:r w:rsidRPr="004E05E4">
        <w:rPr>
          <w:sz w:val="24"/>
          <w:szCs w:val="24"/>
        </w:rPr>
        <w:t xml:space="preserve"> (</w:t>
      </w:r>
      <w:proofErr w:type="spellStart"/>
      <w:r w:rsidRPr="004E05E4">
        <w:rPr>
          <w:sz w:val="24"/>
          <w:szCs w:val="24"/>
        </w:rPr>
        <w:t>see</w:t>
      </w:r>
      <w:proofErr w:type="spellEnd"/>
      <w:r w:rsidRPr="004E05E4">
        <w:rPr>
          <w:sz w:val="24"/>
          <w:szCs w:val="24"/>
        </w:rPr>
        <w:t xml:space="preserve"> </w:t>
      </w:r>
      <w:proofErr w:type="spellStart"/>
      <w:r w:rsidRPr="004E05E4">
        <w:rPr>
          <w:sz w:val="24"/>
          <w:szCs w:val="24"/>
        </w:rPr>
        <w:t>section</w:t>
      </w:r>
      <w:proofErr w:type="spellEnd"/>
      <w:r w:rsidRPr="004E05E4">
        <w:rPr>
          <w:sz w:val="24"/>
          <w:szCs w:val="24"/>
        </w:rPr>
        <w:t xml:space="preserve"> 4.2)</w:t>
      </w:r>
    </w:p>
    <w:p w14:paraId="6C530578" w14:textId="77777777" w:rsidR="00A17559" w:rsidRPr="004E05E4" w:rsidRDefault="00A17559" w:rsidP="004E05E4">
      <w:pPr>
        <w:ind w:left="851"/>
        <w:rPr>
          <w:sz w:val="24"/>
          <w:szCs w:val="24"/>
          <w:lang w:val="en-US"/>
        </w:rPr>
      </w:pPr>
      <w:r w:rsidRPr="004E05E4">
        <w:rPr>
          <w:sz w:val="24"/>
          <w:szCs w:val="24"/>
          <w:lang w:val="en-US"/>
        </w:rPr>
        <w:t xml:space="preserve">Prolonged or frequent use is discouraged. Patients should be advised not to take other paracetamol containing products concurrently. Taking multiple daily doses in one administration can severely damage the liver; in such cases unconsciousness does not occur. </w:t>
      </w:r>
    </w:p>
    <w:p w14:paraId="4805D08B" w14:textId="77777777" w:rsidR="00A17559" w:rsidRPr="004E05E4" w:rsidRDefault="00A17559" w:rsidP="004E05E4">
      <w:pPr>
        <w:ind w:left="851"/>
        <w:rPr>
          <w:sz w:val="24"/>
          <w:szCs w:val="24"/>
          <w:lang w:val="en-US"/>
        </w:rPr>
      </w:pPr>
      <w:r w:rsidRPr="004E05E4">
        <w:rPr>
          <w:sz w:val="24"/>
          <w:szCs w:val="24"/>
          <w:lang w:val="en-US"/>
        </w:rPr>
        <w:lastRenderedPageBreak/>
        <w:t xml:space="preserve">However, in the event of overdosage, medical assistance should be sought immediately, even if the patient feels well, because of the risk of irreversible liver damage (see section 4.9). </w:t>
      </w:r>
    </w:p>
    <w:p w14:paraId="221E3964" w14:textId="77777777" w:rsidR="00A17559" w:rsidRPr="004E05E4" w:rsidRDefault="00A17559" w:rsidP="004E05E4">
      <w:pPr>
        <w:ind w:left="851"/>
        <w:rPr>
          <w:sz w:val="24"/>
          <w:szCs w:val="24"/>
          <w:lang w:val="en-US"/>
        </w:rPr>
      </w:pPr>
      <w:r w:rsidRPr="004E05E4">
        <w:rPr>
          <w:sz w:val="24"/>
          <w:szCs w:val="24"/>
          <w:lang w:val="en-US"/>
        </w:rPr>
        <w:t xml:space="preserve">Prolonged use except under medical supervision may be harmful. In children and adolescents treated with 60 mg/kg daily of paracetamol, the combination with another antipyretic is not justified except in the case of ineffectiveness. </w:t>
      </w:r>
    </w:p>
    <w:p w14:paraId="7C8C8372" w14:textId="77777777" w:rsidR="00A17559" w:rsidRPr="004E05E4" w:rsidRDefault="00A17559" w:rsidP="004E05E4">
      <w:pPr>
        <w:ind w:left="851"/>
        <w:rPr>
          <w:sz w:val="24"/>
          <w:szCs w:val="24"/>
          <w:lang w:val="en-US"/>
        </w:rPr>
      </w:pPr>
    </w:p>
    <w:p w14:paraId="359BAF9D" w14:textId="77777777" w:rsidR="00A17559" w:rsidRPr="004E05E4" w:rsidRDefault="00A17559" w:rsidP="004E05E4">
      <w:pPr>
        <w:ind w:left="851"/>
        <w:rPr>
          <w:sz w:val="24"/>
          <w:szCs w:val="24"/>
          <w:lang w:val="en-US"/>
        </w:rPr>
      </w:pPr>
      <w:r w:rsidRPr="004E05E4">
        <w:rPr>
          <w:sz w:val="24"/>
          <w:szCs w:val="24"/>
          <w:lang w:val="en-US"/>
        </w:rPr>
        <w:t xml:space="preserve">Alcohol should not be used during the treatment with paracetamol. </w:t>
      </w:r>
    </w:p>
    <w:p w14:paraId="30ACF5F9" w14:textId="77777777" w:rsidR="00A17559" w:rsidRPr="004E05E4" w:rsidRDefault="00A17559" w:rsidP="004E05E4">
      <w:pPr>
        <w:ind w:left="851"/>
        <w:rPr>
          <w:sz w:val="24"/>
          <w:szCs w:val="24"/>
          <w:lang w:val="en-US"/>
        </w:rPr>
      </w:pPr>
    </w:p>
    <w:p w14:paraId="7665266C" w14:textId="77777777" w:rsidR="00A17559" w:rsidRPr="004E05E4" w:rsidRDefault="00A17559" w:rsidP="004E05E4">
      <w:pPr>
        <w:ind w:left="851"/>
        <w:rPr>
          <w:sz w:val="24"/>
          <w:szCs w:val="24"/>
          <w:lang w:val="en-US"/>
        </w:rPr>
      </w:pPr>
      <w:r w:rsidRPr="004E05E4">
        <w:rPr>
          <w:sz w:val="24"/>
          <w:szCs w:val="24"/>
          <w:lang w:val="en-US"/>
        </w:rPr>
        <w:t xml:space="preserve">The hazards of overdose are greater in those with non-cirrhotic alcoholic liver disease. Caution should be exercised in cases of chronic alcoholism. In patients with alcohol abuse the dose has to be reduced (see section 4.2). The daily dose should not exceed 2 grams in such case. </w:t>
      </w:r>
    </w:p>
    <w:p w14:paraId="217FFCB1" w14:textId="77777777" w:rsidR="00A17559" w:rsidRPr="004E05E4" w:rsidRDefault="00A17559" w:rsidP="004E05E4">
      <w:pPr>
        <w:ind w:left="851"/>
        <w:rPr>
          <w:sz w:val="24"/>
          <w:szCs w:val="24"/>
          <w:lang w:val="en-US"/>
        </w:rPr>
      </w:pPr>
    </w:p>
    <w:p w14:paraId="460DC4BA" w14:textId="77777777" w:rsidR="00A17559" w:rsidRPr="004E05E4" w:rsidRDefault="00A17559" w:rsidP="004E05E4">
      <w:pPr>
        <w:ind w:left="851"/>
        <w:rPr>
          <w:sz w:val="24"/>
          <w:szCs w:val="24"/>
          <w:lang w:val="en-US"/>
        </w:rPr>
      </w:pPr>
      <w:r w:rsidRPr="004E05E4">
        <w:rPr>
          <w:sz w:val="24"/>
          <w:szCs w:val="24"/>
          <w:lang w:val="en-US"/>
        </w:rPr>
        <w:t xml:space="preserve">Cases of paracetamol induced hepatotoxicity, including fatal cases, have been reported in patients taking paracetamol at doses within the therapeutic range. </w:t>
      </w:r>
    </w:p>
    <w:p w14:paraId="1940F6C7" w14:textId="77777777" w:rsidR="00A17559" w:rsidRPr="004E05E4" w:rsidRDefault="00A17559" w:rsidP="004E05E4">
      <w:pPr>
        <w:ind w:left="851"/>
        <w:rPr>
          <w:sz w:val="24"/>
          <w:szCs w:val="24"/>
          <w:lang w:val="en-US"/>
        </w:rPr>
      </w:pPr>
      <w:r w:rsidRPr="004E05E4">
        <w:rPr>
          <w:sz w:val="24"/>
          <w:szCs w:val="24"/>
          <w:lang w:val="en-US"/>
        </w:rPr>
        <w:t>These cases were reported in patients with one or more risk factors for hepatotoxicity including low body weight (&lt;50 kg), renal and hepatic impairment, chronic alcoholism, concomitant intake of hepatotoxic drugs, and in acute and chronic malnutrition (low reserves of hepatic glutathione).  Paracetamol should be administered with caution to patients with these risk factors.  Caution is also advised in patients on concomitant treatment with drugs that induce hepatic enzymes and in conditions which may predispose to glutathione deficiency (see sections 4.2 and 4.9).  Doses of paracetamol should be reviewed at clinically appropriate intervals and patients should be monitored for emergence of new risk factors for hepatotoxicity which may warrant dosage adjustment.</w:t>
      </w:r>
    </w:p>
    <w:p w14:paraId="6C47F6A6" w14:textId="77777777" w:rsidR="00A17559" w:rsidRPr="004E05E4" w:rsidRDefault="00A17559" w:rsidP="004E05E4">
      <w:pPr>
        <w:ind w:left="851"/>
        <w:rPr>
          <w:sz w:val="24"/>
          <w:szCs w:val="24"/>
          <w:lang w:val="en-US"/>
        </w:rPr>
      </w:pPr>
    </w:p>
    <w:p w14:paraId="1FCE2DA7" w14:textId="77777777" w:rsidR="00A17559" w:rsidRPr="004E05E4" w:rsidRDefault="00A17559" w:rsidP="004E05E4">
      <w:pPr>
        <w:ind w:left="851"/>
        <w:rPr>
          <w:sz w:val="24"/>
          <w:szCs w:val="24"/>
          <w:lang w:val="en-US"/>
        </w:rPr>
      </w:pPr>
      <w:r w:rsidRPr="004E05E4">
        <w:rPr>
          <w:sz w:val="24"/>
          <w:szCs w:val="24"/>
          <w:lang w:val="en-US"/>
        </w:rPr>
        <w:t xml:space="preserve">Patients with impaired nutritional state caused by alcohol abuse, anorexia or wrong nutrition are advised against prolonged use and maximum doses because of risk of toxic liver reactions. </w:t>
      </w:r>
    </w:p>
    <w:p w14:paraId="43BA1026" w14:textId="77777777" w:rsidR="00A17559" w:rsidRPr="004E05E4" w:rsidRDefault="00A17559" w:rsidP="004E05E4">
      <w:pPr>
        <w:ind w:left="851"/>
        <w:rPr>
          <w:sz w:val="24"/>
          <w:szCs w:val="24"/>
          <w:lang w:val="en-US"/>
        </w:rPr>
      </w:pPr>
    </w:p>
    <w:p w14:paraId="540A4949" w14:textId="77777777" w:rsidR="00A17559" w:rsidRPr="004E05E4" w:rsidRDefault="00A17559" w:rsidP="004E05E4">
      <w:pPr>
        <w:ind w:left="851"/>
        <w:rPr>
          <w:sz w:val="24"/>
          <w:szCs w:val="24"/>
          <w:lang w:val="en-US"/>
        </w:rPr>
      </w:pPr>
      <w:r w:rsidRPr="004E05E4">
        <w:rPr>
          <w:sz w:val="24"/>
          <w:szCs w:val="24"/>
          <w:lang w:val="en-US"/>
        </w:rPr>
        <w:t xml:space="preserve">In the event of high fever, signs of secondary infection or if symptoms persist beyond three days, the doctor must be consulted. </w:t>
      </w:r>
    </w:p>
    <w:p w14:paraId="29AA5A4D" w14:textId="77777777" w:rsidR="00A17559" w:rsidRPr="004E05E4" w:rsidRDefault="00A17559" w:rsidP="004E05E4">
      <w:pPr>
        <w:ind w:left="851"/>
        <w:rPr>
          <w:sz w:val="24"/>
          <w:szCs w:val="24"/>
          <w:lang w:val="en-US"/>
        </w:rPr>
      </w:pPr>
    </w:p>
    <w:p w14:paraId="0756FB37" w14:textId="77777777" w:rsidR="00A17559" w:rsidRPr="004E05E4" w:rsidRDefault="00A17559" w:rsidP="004E05E4">
      <w:pPr>
        <w:ind w:left="851"/>
        <w:rPr>
          <w:sz w:val="24"/>
          <w:szCs w:val="24"/>
          <w:lang w:val="en-US"/>
        </w:rPr>
      </w:pPr>
      <w:r w:rsidRPr="004E05E4">
        <w:rPr>
          <w:sz w:val="24"/>
          <w:szCs w:val="24"/>
          <w:lang w:val="en-US"/>
        </w:rPr>
        <w:t xml:space="preserve">Without the advice of a physician or dentist, medicinal products containing paracetamol should generally be used for only a few days and not at high doses. </w:t>
      </w:r>
    </w:p>
    <w:p w14:paraId="2EF02C25" w14:textId="77777777" w:rsidR="00A17559" w:rsidRPr="004E05E4" w:rsidRDefault="00A17559" w:rsidP="004E05E4">
      <w:pPr>
        <w:ind w:left="851"/>
        <w:rPr>
          <w:sz w:val="24"/>
          <w:szCs w:val="24"/>
          <w:lang w:val="en-US"/>
        </w:rPr>
      </w:pPr>
    </w:p>
    <w:p w14:paraId="4EDA6600" w14:textId="77777777" w:rsidR="00A17559" w:rsidRPr="004E05E4" w:rsidRDefault="00A17559" w:rsidP="004E05E4">
      <w:pPr>
        <w:ind w:left="851"/>
        <w:rPr>
          <w:sz w:val="24"/>
          <w:szCs w:val="24"/>
          <w:lang w:val="en-US"/>
        </w:rPr>
      </w:pPr>
      <w:r w:rsidRPr="004E05E4">
        <w:rPr>
          <w:sz w:val="24"/>
          <w:szCs w:val="24"/>
          <w:lang w:val="en-US"/>
        </w:rPr>
        <w:t xml:space="preserve">With prolonged, high-dose, incorrect use of analgesics, headaches may occur which must not be treated with increased doses of the medicinal product. </w:t>
      </w:r>
    </w:p>
    <w:p w14:paraId="2B87F0AF" w14:textId="77777777" w:rsidR="00A17559" w:rsidRPr="004E05E4" w:rsidRDefault="00A17559" w:rsidP="004E05E4">
      <w:pPr>
        <w:ind w:left="851"/>
        <w:rPr>
          <w:sz w:val="24"/>
          <w:szCs w:val="24"/>
          <w:lang w:val="en-US"/>
        </w:rPr>
      </w:pPr>
    </w:p>
    <w:p w14:paraId="19292585" w14:textId="77777777" w:rsidR="00A17559" w:rsidRPr="004E05E4" w:rsidRDefault="00A17559" w:rsidP="004E05E4">
      <w:pPr>
        <w:ind w:left="851"/>
        <w:rPr>
          <w:sz w:val="24"/>
          <w:szCs w:val="24"/>
          <w:lang w:val="en-US"/>
        </w:rPr>
      </w:pPr>
      <w:r w:rsidRPr="004E05E4">
        <w:rPr>
          <w:sz w:val="24"/>
          <w:szCs w:val="24"/>
          <w:lang w:val="en-US"/>
        </w:rPr>
        <w:t xml:space="preserve">In general, habitual intake of analgesics, particularly in combination with several analgesic substances, can lead to permanent renal damage with the risk of renal failure (analgesic nephropathy). </w:t>
      </w:r>
    </w:p>
    <w:p w14:paraId="5A911EC8" w14:textId="77777777" w:rsidR="00A17559" w:rsidRPr="004E05E4" w:rsidRDefault="00A17559" w:rsidP="004E05E4">
      <w:pPr>
        <w:ind w:left="851"/>
        <w:rPr>
          <w:sz w:val="24"/>
          <w:szCs w:val="24"/>
          <w:lang w:val="en-US"/>
        </w:rPr>
      </w:pPr>
    </w:p>
    <w:p w14:paraId="0C56B2BB" w14:textId="77777777" w:rsidR="00A17559" w:rsidRPr="004E05E4" w:rsidRDefault="00A17559" w:rsidP="004E05E4">
      <w:pPr>
        <w:ind w:left="851"/>
        <w:rPr>
          <w:sz w:val="24"/>
          <w:szCs w:val="24"/>
          <w:lang w:val="en-US"/>
        </w:rPr>
      </w:pPr>
      <w:r w:rsidRPr="004E05E4">
        <w:rPr>
          <w:sz w:val="24"/>
          <w:szCs w:val="24"/>
          <w:lang w:val="en-US"/>
        </w:rPr>
        <w:t xml:space="preserve">Headaches, as well as fatigue, muscle pain, nervousness and autonomic symptoms, may occur upon abrupt discontinuation following prolonged, high-dose, incorrect use of analgesics. The withdrawal symptoms resolve within a few days. Until this time, further intake of analgesics must be avoided and not re-started without medical advice. </w:t>
      </w:r>
    </w:p>
    <w:p w14:paraId="75135BC4" w14:textId="77777777" w:rsidR="00A17559" w:rsidRPr="004E05E4" w:rsidRDefault="00A17559" w:rsidP="004E05E4">
      <w:pPr>
        <w:ind w:left="851"/>
        <w:rPr>
          <w:sz w:val="24"/>
          <w:szCs w:val="24"/>
          <w:lang w:val="en-US"/>
        </w:rPr>
      </w:pPr>
    </w:p>
    <w:p w14:paraId="6793666E" w14:textId="77777777" w:rsidR="00E519B8" w:rsidRPr="00E44226" w:rsidRDefault="00E519B8" w:rsidP="00E519B8">
      <w:pPr>
        <w:ind w:left="851"/>
        <w:rPr>
          <w:sz w:val="24"/>
          <w:u w:val="single"/>
          <w:lang w:val="en-US"/>
        </w:rPr>
      </w:pPr>
      <w:r w:rsidRPr="00E519B8">
        <w:rPr>
          <w:sz w:val="24"/>
          <w:u w:val="single"/>
          <w:lang w:val="en-US"/>
        </w:rPr>
        <w:t xml:space="preserve">Caution is advised if paracetamol is administered concomitantly with flucloxacillin due to increased risk of high anion gap metabolic acidosis (HAGMA), particularly in patients with severe renal impairment, sepsis, malnutrition and other sources of glutathione </w:t>
      </w:r>
      <w:r w:rsidRPr="00E519B8">
        <w:rPr>
          <w:sz w:val="24"/>
          <w:u w:val="single"/>
          <w:lang w:val="en-US"/>
        </w:rPr>
        <w:lastRenderedPageBreak/>
        <w:t xml:space="preserve">deficiency (e.g. chronic alcoholism), as well as those using maximum daily doses of paracetamol. </w:t>
      </w:r>
      <w:r w:rsidRPr="00E44226">
        <w:rPr>
          <w:sz w:val="24"/>
          <w:u w:val="single"/>
          <w:lang w:val="en-US"/>
        </w:rPr>
        <w:t>Close monitoring, including measurement of urinary 5-oxoproline, is recommended.</w:t>
      </w:r>
    </w:p>
    <w:p w14:paraId="505B3FF8" w14:textId="77777777" w:rsidR="00A17559" w:rsidRPr="004E05E4" w:rsidRDefault="00A17559" w:rsidP="004E05E4">
      <w:pPr>
        <w:ind w:left="851"/>
        <w:rPr>
          <w:sz w:val="24"/>
          <w:szCs w:val="24"/>
          <w:lang w:val="en-US"/>
        </w:rPr>
      </w:pPr>
    </w:p>
    <w:p w14:paraId="57B1FDC9" w14:textId="7A14C143" w:rsidR="00A17559" w:rsidRPr="004E05E4" w:rsidRDefault="00E62EE7" w:rsidP="004E05E4">
      <w:pPr>
        <w:ind w:left="851"/>
        <w:rPr>
          <w:sz w:val="24"/>
          <w:szCs w:val="24"/>
          <w:lang w:val="en-US" w:bidi="he-IL"/>
        </w:rPr>
      </w:pPr>
      <w:r>
        <w:rPr>
          <w:sz w:val="24"/>
          <w:szCs w:val="24"/>
          <w:u w:val="single"/>
          <w:lang w:val="en-US" w:bidi="he-IL"/>
        </w:rPr>
        <w:t>Paracetamol "Teva"</w:t>
      </w:r>
      <w:r w:rsidR="00A17559" w:rsidRPr="004E05E4">
        <w:rPr>
          <w:sz w:val="24"/>
          <w:szCs w:val="24"/>
          <w:u w:val="single"/>
          <w:lang w:val="en-US" w:bidi="he-IL"/>
        </w:rPr>
        <w:t xml:space="preserve"> contains glucose</w:t>
      </w:r>
      <w:r w:rsidR="00A17559" w:rsidRPr="004E05E4">
        <w:rPr>
          <w:sz w:val="24"/>
          <w:szCs w:val="24"/>
          <w:lang w:val="en-US" w:bidi="he-IL"/>
        </w:rPr>
        <w:t xml:space="preserve">: </w:t>
      </w:r>
    </w:p>
    <w:p w14:paraId="6261E90D" w14:textId="77777777" w:rsidR="00A17559" w:rsidRPr="004E05E4" w:rsidRDefault="00A17559" w:rsidP="004E05E4">
      <w:pPr>
        <w:ind w:left="851"/>
        <w:rPr>
          <w:sz w:val="24"/>
          <w:szCs w:val="24"/>
          <w:lang w:val="en-US" w:bidi="he-IL"/>
        </w:rPr>
      </w:pPr>
      <w:r w:rsidRPr="004E05E4">
        <w:rPr>
          <w:sz w:val="24"/>
          <w:szCs w:val="24"/>
          <w:lang w:val="en-US" w:bidi="he-IL"/>
        </w:rPr>
        <w:t xml:space="preserve">Patients with rare glucose-galactose malabsorption should not take this medicinal product. </w:t>
      </w:r>
    </w:p>
    <w:p w14:paraId="61367A2D" w14:textId="77777777" w:rsidR="00A17559" w:rsidRPr="004E05E4" w:rsidRDefault="00A17559" w:rsidP="004E05E4">
      <w:pPr>
        <w:ind w:left="851"/>
        <w:rPr>
          <w:sz w:val="24"/>
          <w:szCs w:val="24"/>
          <w:lang w:val="en-US" w:bidi="he-IL"/>
        </w:rPr>
      </w:pPr>
    </w:p>
    <w:p w14:paraId="01FA041E" w14:textId="07DC273B" w:rsidR="00A17559" w:rsidRPr="004E05E4" w:rsidRDefault="00E62EE7" w:rsidP="004E05E4">
      <w:pPr>
        <w:ind w:left="851"/>
        <w:rPr>
          <w:sz w:val="24"/>
          <w:szCs w:val="24"/>
          <w:u w:val="single"/>
          <w:lang w:val="en-US" w:bidi="he-IL"/>
        </w:rPr>
      </w:pPr>
      <w:r>
        <w:rPr>
          <w:sz w:val="24"/>
          <w:szCs w:val="24"/>
          <w:u w:val="single"/>
          <w:lang w:val="en-US" w:bidi="he-IL"/>
        </w:rPr>
        <w:t>Paracetamol "Teva"</w:t>
      </w:r>
      <w:r w:rsidR="00A17559" w:rsidRPr="004E05E4">
        <w:rPr>
          <w:sz w:val="24"/>
          <w:szCs w:val="24"/>
          <w:u w:val="single"/>
          <w:lang w:val="en-US" w:bidi="he-IL"/>
        </w:rPr>
        <w:t xml:space="preserve"> contains sorbitol: </w:t>
      </w:r>
    </w:p>
    <w:p w14:paraId="6F7C985C" w14:textId="77777777" w:rsidR="00A17559" w:rsidRPr="004E05E4" w:rsidRDefault="00A17559" w:rsidP="004E05E4">
      <w:pPr>
        <w:ind w:left="851"/>
        <w:rPr>
          <w:sz w:val="24"/>
          <w:szCs w:val="24"/>
          <w:lang w:val="en-US" w:bidi="he-IL"/>
        </w:rPr>
      </w:pPr>
      <w:r w:rsidRPr="004E05E4">
        <w:rPr>
          <w:sz w:val="24"/>
          <w:szCs w:val="24"/>
          <w:lang w:val="en-US" w:bidi="he-IL"/>
        </w:rPr>
        <w:t xml:space="preserve">The additive effect of concomitantly administered products containing sorbitol (or fructose) and dietary intake of sorbitol (or fructose) should be </w:t>
      </w:r>
      <w:proofErr w:type="gramStart"/>
      <w:r w:rsidRPr="004E05E4">
        <w:rPr>
          <w:sz w:val="24"/>
          <w:szCs w:val="24"/>
          <w:lang w:val="en-US" w:bidi="he-IL"/>
        </w:rPr>
        <w:t>taken into account</w:t>
      </w:r>
      <w:proofErr w:type="gramEnd"/>
      <w:r w:rsidRPr="004E05E4">
        <w:rPr>
          <w:sz w:val="24"/>
          <w:szCs w:val="24"/>
          <w:lang w:val="en-US" w:bidi="he-IL"/>
        </w:rPr>
        <w:t xml:space="preserve">. The content of sorbitol on medicinal products for oral use may affect the bioavailability of other medicinal products for oral use administered concomitantly. </w:t>
      </w:r>
    </w:p>
    <w:p w14:paraId="6C69F394" w14:textId="77777777" w:rsidR="007C5D2A" w:rsidRPr="004E05E4" w:rsidRDefault="007C5D2A" w:rsidP="003E0341">
      <w:pPr>
        <w:tabs>
          <w:tab w:val="left" w:pos="851"/>
        </w:tabs>
        <w:ind w:left="851"/>
        <w:rPr>
          <w:sz w:val="24"/>
          <w:szCs w:val="24"/>
          <w:lang w:val="en-GB"/>
        </w:rPr>
      </w:pPr>
    </w:p>
    <w:p w14:paraId="37B2683B" w14:textId="77777777" w:rsidR="007C5D2A" w:rsidRPr="004E05E4" w:rsidRDefault="007C5D2A" w:rsidP="007C5D2A">
      <w:pPr>
        <w:ind w:left="851" w:hanging="851"/>
        <w:rPr>
          <w:b/>
          <w:sz w:val="24"/>
          <w:szCs w:val="24"/>
          <w:lang w:val="en-GB"/>
        </w:rPr>
      </w:pPr>
      <w:r w:rsidRPr="004E05E4">
        <w:rPr>
          <w:b/>
          <w:sz w:val="24"/>
          <w:szCs w:val="24"/>
          <w:lang w:val="en-GB"/>
        </w:rPr>
        <w:t>4.5</w:t>
      </w:r>
      <w:r w:rsidRPr="004E05E4">
        <w:rPr>
          <w:b/>
          <w:sz w:val="24"/>
          <w:szCs w:val="24"/>
          <w:lang w:val="en-GB"/>
        </w:rPr>
        <w:tab/>
        <w:t>Interaction with other medicinal products and other forms of interaction</w:t>
      </w:r>
    </w:p>
    <w:p w14:paraId="28A00107" w14:textId="77777777" w:rsidR="00A17559" w:rsidRPr="00E62EE7" w:rsidRDefault="00A17559" w:rsidP="00E62EE7">
      <w:pPr>
        <w:pStyle w:val="Listeafsnit"/>
        <w:numPr>
          <w:ilvl w:val="0"/>
          <w:numId w:val="13"/>
        </w:numPr>
        <w:ind w:left="1276" w:hanging="425"/>
        <w:rPr>
          <w:sz w:val="24"/>
          <w:szCs w:val="24"/>
          <w:lang w:val="en-US"/>
        </w:rPr>
      </w:pPr>
      <w:r w:rsidRPr="00E62EE7">
        <w:rPr>
          <w:sz w:val="24"/>
          <w:szCs w:val="24"/>
          <w:lang w:val="en-US"/>
        </w:rPr>
        <w:t>Intake of probenecid inhibits the binding of paracetamol to glucuronic acid, thereby leading to a reduction in paracetamol clearance by a factor of approximately 2. With concomitant intake of probenecid, the paracetamol dose should be reduced.</w:t>
      </w:r>
    </w:p>
    <w:p w14:paraId="1D543140" w14:textId="77777777" w:rsidR="00A17559" w:rsidRPr="00E62EE7" w:rsidRDefault="00A17559" w:rsidP="00E62EE7">
      <w:pPr>
        <w:pStyle w:val="Listeafsnit"/>
        <w:numPr>
          <w:ilvl w:val="0"/>
          <w:numId w:val="13"/>
        </w:numPr>
        <w:ind w:left="1276" w:hanging="425"/>
        <w:rPr>
          <w:sz w:val="24"/>
          <w:szCs w:val="24"/>
          <w:lang w:val="en-US"/>
        </w:rPr>
      </w:pPr>
      <w:r w:rsidRPr="00E62EE7">
        <w:rPr>
          <w:sz w:val="24"/>
          <w:szCs w:val="24"/>
          <w:lang w:val="en-US"/>
        </w:rPr>
        <w:t xml:space="preserve">Particular caution should be exercised with concomitant intake of medications that lead to enzyme induction, as well as with potentially hepatotoxic substances (see section 4.9). The metabolism of paracetamol is increased in patients taking enzyme-inducing medicinal products e.g. </w:t>
      </w:r>
      <w:proofErr w:type="spellStart"/>
      <w:r w:rsidRPr="00E62EE7">
        <w:rPr>
          <w:sz w:val="24"/>
          <w:szCs w:val="24"/>
          <w:lang w:val="en-US"/>
        </w:rPr>
        <w:t>phenytoine</w:t>
      </w:r>
      <w:proofErr w:type="spellEnd"/>
      <w:r w:rsidRPr="00E62EE7">
        <w:rPr>
          <w:sz w:val="24"/>
          <w:szCs w:val="24"/>
          <w:lang w:val="en-US"/>
        </w:rPr>
        <w:t xml:space="preserve">, carbamazepine, phenobarbital, primidone and </w:t>
      </w:r>
      <w:proofErr w:type="spellStart"/>
      <w:r w:rsidRPr="00E62EE7">
        <w:rPr>
          <w:sz w:val="24"/>
          <w:szCs w:val="24"/>
          <w:lang w:val="en-US"/>
        </w:rPr>
        <w:t>rifampicine</w:t>
      </w:r>
      <w:proofErr w:type="spellEnd"/>
      <w:r w:rsidRPr="00E62EE7">
        <w:rPr>
          <w:sz w:val="24"/>
          <w:szCs w:val="24"/>
          <w:lang w:val="en-US"/>
        </w:rPr>
        <w:t xml:space="preserve">. Isolated reports describe unexpected hepatotoxicity in patients taking enzyme-inducing medicinal products, </w:t>
      </w:r>
    </w:p>
    <w:p w14:paraId="41F23792" w14:textId="77777777" w:rsidR="00A17559" w:rsidRPr="00E62EE7" w:rsidRDefault="00A17559" w:rsidP="00E62EE7">
      <w:pPr>
        <w:pStyle w:val="Listeafsnit"/>
        <w:numPr>
          <w:ilvl w:val="0"/>
          <w:numId w:val="13"/>
        </w:numPr>
        <w:ind w:left="1276" w:hanging="425"/>
        <w:rPr>
          <w:sz w:val="24"/>
          <w:szCs w:val="24"/>
          <w:lang w:val="en-US"/>
        </w:rPr>
      </w:pPr>
      <w:r w:rsidRPr="00E62EE7">
        <w:rPr>
          <w:sz w:val="24"/>
          <w:szCs w:val="24"/>
          <w:lang w:val="en-US"/>
        </w:rPr>
        <w:t xml:space="preserve">With concomitant use of paracetamol and AZT (zidovudine), susceptibility to the development of neutropenia and hepatotoxicity is increased. Chronic / multiple dose paracetamol use in patients on zidovudine therapy should be avoided and administered only on medical advice. However, if chronic paracetamol and zidovudine are required, white blood count and liver function tests should be monitored particularly in malnourished patients. </w:t>
      </w:r>
    </w:p>
    <w:p w14:paraId="044AB548" w14:textId="77777777" w:rsidR="00A17559" w:rsidRPr="00E62EE7" w:rsidRDefault="00A17559" w:rsidP="00E62EE7">
      <w:pPr>
        <w:pStyle w:val="Listeafsnit"/>
        <w:numPr>
          <w:ilvl w:val="0"/>
          <w:numId w:val="13"/>
        </w:numPr>
        <w:ind w:left="1276" w:hanging="425"/>
        <w:rPr>
          <w:sz w:val="24"/>
          <w:szCs w:val="24"/>
          <w:lang w:val="en-US"/>
        </w:rPr>
      </w:pPr>
      <w:r w:rsidRPr="00E62EE7">
        <w:rPr>
          <w:sz w:val="24"/>
          <w:szCs w:val="24"/>
          <w:lang w:val="en-US"/>
        </w:rPr>
        <w:t>With concomitant intake of agents that slow gastric emptying, the absorption and onset of action of paracetamol may be delayed.</w:t>
      </w:r>
    </w:p>
    <w:p w14:paraId="41194B72" w14:textId="77777777" w:rsidR="00A17559" w:rsidRPr="00E62EE7" w:rsidRDefault="00A17559" w:rsidP="00E62EE7">
      <w:pPr>
        <w:pStyle w:val="Listeafsnit"/>
        <w:numPr>
          <w:ilvl w:val="0"/>
          <w:numId w:val="13"/>
        </w:numPr>
        <w:ind w:left="1276" w:hanging="425"/>
        <w:rPr>
          <w:sz w:val="24"/>
          <w:szCs w:val="24"/>
          <w:lang w:val="en-US"/>
        </w:rPr>
      </w:pPr>
      <w:r w:rsidRPr="00E62EE7">
        <w:rPr>
          <w:sz w:val="24"/>
          <w:szCs w:val="24"/>
          <w:lang w:val="en-US"/>
        </w:rPr>
        <w:t>Concomitant intake of agents that accelerate gastric emptying, e.g. metoclopramide and domperidone, speeds up the absorption and onset of action of paracetamol.</w:t>
      </w:r>
    </w:p>
    <w:p w14:paraId="0270286A" w14:textId="77777777" w:rsidR="00A17559" w:rsidRPr="00E62EE7" w:rsidRDefault="00A17559" w:rsidP="00E62EE7">
      <w:pPr>
        <w:pStyle w:val="Listeafsnit"/>
        <w:numPr>
          <w:ilvl w:val="0"/>
          <w:numId w:val="13"/>
        </w:numPr>
        <w:ind w:left="1276" w:hanging="425"/>
        <w:rPr>
          <w:sz w:val="24"/>
          <w:szCs w:val="24"/>
          <w:lang w:val="en-US"/>
        </w:rPr>
      </w:pPr>
      <w:r w:rsidRPr="00E62EE7">
        <w:rPr>
          <w:sz w:val="24"/>
          <w:szCs w:val="24"/>
          <w:lang w:val="en-US"/>
        </w:rPr>
        <w:t xml:space="preserve">Cholestyramine reduces the absorption of paracetamol. When concomitant use of paracetamol and cholestyramine is necessary, paracetamol should be taken at least 1 hour before or 4 hours after cholestyramine administration. </w:t>
      </w:r>
    </w:p>
    <w:p w14:paraId="23CB0F60" w14:textId="77777777" w:rsidR="00A17559" w:rsidRPr="00E62EE7" w:rsidRDefault="00A17559" w:rsidP="00E62EE7">
      <w:pPr>
        <w:pStyle w:val="Listeafsnit"/>
        <w:numPr>
          <w:ilvl w:val="0"/>
          <w:numId w:val="13"/>
        </w:numPr>
        <w:ind w:left="1276" w:hanging="425"/>
        <w:rPr>
          <w:sz w:val="24"/>
          <w:szCs w:val="24"/>
          <w:lang w:val="en-US"/>
        </w:rPr>
      </w:pPr>
      <w:r w:rsidRPr="00E62EE7">
        <w:rPr>
          <w:sz w:val="24"/>
          <w:szCs w:val="24"/>
          <w:lang w:val="en-US"/>
        </w:rPr>
        <w:t>The anticoagulant effect of warfarin and other coumarins may be enhanced by prolonged regular use of paracetamol with increased risk of bleeding; occasional doses have no significant effect.</w:t>
      </w:r>
    </w:p>
    <w:p w14:paraId="4A6745B5" w14:textId="77777777" w:rsidR="00E519B8" w:rsidRPr="00E519B8" w:rsidRDefault="00E519B8" w:rsidP="00E519B8">
      <w:pPr>
        <w:numPr>
          <w:ilvl w:val="0"/>
          <w:numId w:val="13"/>
        </w:numPr>
        <w:tabs>
          <w:tab w:val="left" w:pos="567"/>
        </w:tabs>
        <w:ind w:left="1276" w:hanging="425"/>
        <w:rPr>
          <w:sz w:val="24"/>
          <w:lang w:val="en-US"/>
        </w:rPr>
      </w:pPr>
      <w:r w:rsidRPr="00E519B8">
        <w:rPr>
          <w:sz w:val="24"/>
          <w:lang w:val="en-US"/>
        </w:rPr>
        <w:t xml:space="preserve">Caution should be taken when paracetamol is used concomitantly with flucloxacillin as concurrent intake has been associated with high anion gap metabolic acidosis, especially in patients with risks factors (see section 4.4). </w:t>
      </w:r>
    </w:p>
    <w:p w14:paraId="30D3920F" w14:textId="77777777" w:rsidR="00A17559" w:rsidRPr="00E62EE7" w:rsidRDefault="00A17559" w:rsidP="00E62EE7">
      <w:pPr>
        <w:pStyle w:val="Listeafsnit"/>
        <w:numPr>
          <w:ilvl w:val="0"/>
          <w:numId w:val="13"/>
        </w:numPr>
        <w:ind w:left="1276" w:hanging="425"/>
        <w:rPr>
          <w:iCs/>
          <w:sz w:val="24"/>
          <w:szCs w:val="24"/>
          <w:lang w:val="en-US"/>
        </w:rPr>
      </w:pPr>
      <w:r w:rsidRPr="00E62EE7">
        <w:rPr>
          <w:iCs/>
          <w:sz w:val="24"/>
          <w:szCs w:val="24"/>
          <w:lang w:val="en-US"/>
        </w:rPr>
        <w:t xml:space="preserve">Vitamin K antagonists: enhancement of the effect of vitamin K antagonists can occur, especially with regular intake of high doses of paracetamol. In this case, a regular check of the International Normalized Ratio (INR) is recommended. </w:t>
      </w:r>
    </w:p>
    <w:p w14:paraId="3F971248" w14:textId="77777777" w:rsidR="00A17559" w:rsidRPr="00E62EE7" w:rsidRDefault="00A17559" w:rsidP="00E62EE7">
      <w:pPr>
        <w:pStyle w:val="Listeafsnit"/>
        <w:numPr>
          <w:ilvl w:val="0"/>
          <w:numId w:val="13"/>
        </w:numPr>
        <w:ind w:left="1276" w:hanging="425"/>
        <w:rPr>
          <w:iCs/>
          <w:sz w:val="24"/>
          <w:szCs w:val="24"/>
          <w:lang w:val="en-US"/>
        </w:rPr>
      </w:pPr>
      <w:r w:rsidRPr="00E62EE7">
        <w:rPr>
          <w:iCs/>
          <w:sz w:val="24"/>
          <w:szCs w:val="24"/>
          <w:lang w:val="en-US"/>
        </w:rPr>
        <w:t xml:space="preserve">Lamotrigine: paracetamol may decrease the bioavailability of lamotrigine, with possible reduction of its effects, due to possible induction of its metabolism in the liver. </w:t>
      </w:r>
    </w:p>
    <w:p w14:paraId="21A51CEA" w14:textId="77777777" w:rsidR="00A17559" w:rsidRPr="004E05E4" w:rsidRDefault="00A17559" w:rsidP="004E05E4">
      <w:pPr>
        <w:ind w:left="851"/>
        <w:rPr>
          <w:sz w:val="24"/>
          <w:szCs w:val="24"/>
          <w:lang w:val="en-US"/>
        </w:rPr>
      </w:pPr>
    </w:p>
    <w:p w14:paraId="5652FECB" w14:textId="77777777" w:rsidR="00A17559" w:rsidRPr="004E05E4" w:rsidRDefault="00A17559" w:rsidP="00E519B8">
      <w:pPr>
        <w:keepNext/>
        <w:ind w:left="851"/>
        <w:rPr>
          <w:i/>
          <w:iCs/>
          <w:sz w:val="24"/>
          <w:szCs w:val="24"/>
          <w:lang w:val="en-US"/>
        </w:rPr>
      </w:pPr>
      <w:r w:rsidRPr="004E05E4">
        <w:rPr>
          <w:i/>
          <w:iCs/>
          <w:sz w:val="24"/>
          <w:szCs w:val="24"/>
          <w:lang w:val="en-US"/>
        </w:rPr>
        <w:lastRenderedPageBreak/>
        <w:t>Effects on laboratory test results</w:t>
      </w:r>
    </w:p>
    <w:p w14:paraId="49059E04" w14:textId="77777777" w:rsidR="00A17559" w:rsidRPr="004E05E4" w:rsidRDefault="00A17559" w:rsidP="004E05E4">
      <w:pPr>
        <w:ind w:left="851"/>
        <w:rPr>
          <w:sz w:val="24"/>
          <w:szCs w:val="24"/>
          <w:lang w:val="en-US"/>
        </w:rPr>
      </w:pPr>
      <w:r w:rsidRPr="004E05E4">
        <w:rPr>
          <w:sz w:val="24"/>
          <w:szCs w:val="24"/>
          <w:lang w:val="en-US"/>
        </w:rPr>
        <w:t xml:space="preserve">Intake of paracetamol can affect uric acid tests using </w:t>
      </w:r>
      <w:proofErr w:type="spellStart"/>
      <w:r w:rsidRPr="004E05E4">
        <w:rPr>
          <w:sz w:val="24"/>
          <w:szCs w:val="24"/>
          <w:lang w:val="en-US"/>
        </w:rPr>
        <w:t>phosphotungstic</w:t>
      </w:r>
      <w:proofErr w:type="spellEnd"/>
      <w:r w:rsidRPr="004E05E4">
        <w:rPr>
          <w:sz w:val="24"/>
          <w:szCs w:val="24"/>
          <w:lang w:val="en-US"/>
        </w:rPr>
        <w:t xml:space="preserve"> acid and blood sugar tests using glucose oxidase-peroxidase. </w:t>
      </w:r>
    </w:p>
    <w:p w14:paraId="33960A0D" w14:textId="77777777" w:rsidR="007C5D2A" w:rsidRPr="004E05E4" w:rsidRDefault="007C5D2A" w:rsidP="003E0341">
      <w:pPr>
        <w:tabs>
          <w:tab w:val="left" w:pos="851"/>
        </w:tabs>
        <w:ind w:left="851"/>
        <w:rPr>
          <w:sz w:val="24"/>
          <w:szCs w:val="24"/>
          <w:lang w:val="en-GB"/>
        </w:rPr>
      </w:pPr>
    </w:p>
    <w:p w14:paraId="1E0C6BDE" w14:textId="77777777" w:rsidR="007C5D2A" w:rsidRPr="004E05E4" w:rsidRDefault="007C5D2A" w:rsidP="007C5D2A">
      <w:pPr>
        <w:tabs>
          <w:tab w:val="left" w:pos="851"/>
        </w:tabs>
        <w:ind w:left="851" w:hanging="851"/>
        <w:rPr>
          <w:b/>
          <w:sz w:val="24"/>
          <w:szCs w:val="24"/>
          <w:lang w:val="en-GB"/>
        </w:rPr>
      </w:pPr>
      <w:r w:rsidRPr="004E05E4">
        <w:rPr>
          <w:b/>
          <w:sz w:val="24"/>
          <w:szCs w:val="24"/>
          <w:lang w:val="en-GB"/>
        </w:rPr>
        <w:t>4.6</w:t>
      </w:r>
      <w:r w:rsidRPr="004E05E4">
        <w:rPr>
          <w:b/>
          <w:sz w:val="24"/>
          <w:szCs w:val="24"/>
          <w:lang w:val="en-GB"/>
        </w:rPr>
        <w:tab/>
      </w:r>
      <w:r w:rsidR="004860D3" w:rsidRPr="004E05E4">
        <w:rPr>
          <w:b/>
          <w:sz w:val="24"/>
          <w:szCs w:val="24"/>
          <w:lang w:val="en-GB"/>
        </w:rPr>
        <w:t>Fertility, p</w:t>
      </w:r>
      <w:r w:rsidRPr="004E05E4">
        <w:rPr>
          <w:b/>
          <w:sz w:val="24"/>
          <w:szCs w:val="24"/>
          <w:lang w:val="en-GB"/>
        </w:rPr>
        <w:t>regnancy and lactation</w:t>
      </w:r>
    </w:p>
    <w:p w14:paraId="3062A435" w14:textId="77777777" w:rsidR="00E62EE7" w:rsidRDefault="00E62EE7" w:rsidP="004E05E4">
      <w:pPr>
        <w:ind w:left="851"/>
        <w:rPr>
          <w:noProof/>
          <w:sz w:val="24"/>
          <w:szCs w:val="24"/>
          <w:lang w:val="en-US"/>
        </w:rPr>
      </w:pPr>
    </w:p>
    <w:p w14:paraId="70A6F1C6" w14:textId="36F000FC" w:rsidR="00A17559" w:rsidRPr="00E62EE7" w:rsidRDefault="00A17559" w:rsidP="004E05E4">
      <w:pPr>
        <w:ind w:left="851"/>
        <w:rPr>
          <w:noProof/>
          <w:sz w:val="24"/>
          <w:szCs w:val="24"/>
          <w:u w:val="single"/>
          <w:lang w:val="en-US"/>
        </w:rPr>
      </w:pPr>
      <w:r w:rsidRPr="00E62EE7">
        <w:rPr>
          <w:noProof/>
          <w:sz w:val="24"/>
          <w:szCs w:val="24"/>
          <w:u w:val="single"/>
          <w:lang w:val="en-US"/>
        </w:rPr>
        <w:t>Pregnancy</w:t>
      </w:r>
    </w:p>
    <w:p w14:paraId="4F962A4C" w14:textId="77777777" w:rsidR="00A17559" w:rsidRPr="004E05E4" w:rsidRDefault="00A17559" w:rsidP="004E05E4">
      <w:pPr>
        <w:ind w:left="851"/>
        <w:rPr>
          <w:sz w:val="24"/>
          <w:szCs w:val="24"/>
          <w:lang w:val="en-US"/>
        </w:rPr>
      </w:pPr>
      <w:r w:rsidRPr="004E05E4">
        <w:rPr>
          <w:sz w:val="24"/>
          <w:szCs w:val="24"/>
          <w:lang w:val="en-US"/>
        </w:rPr>
        <w:t xml:space="preserve">A large amount of data on pregnant women indicate neither </w:t>
      </w:r>
      <w:proofErr w:type="spellStart"/>
      <w:r w:rsidRPr="004E05E4">
        <w:rPr>
          <w:sz w:val="24"/>
          <w:szCs w:val="24"/>
          <w:lang w:val="en-US"/>
        </w:rPr>
        <w:t>malformative</w:t>
      </w:r>
      <w:proofErr w:type="spellEnd"/>
      <w:r w:rsidRPr="004E05E4">
        <w:rPr>
          <w:sz w:val="24"/>
          <w:szCs w:val="24"/>
          <w:lang w:val="en-US"/>
        </w:rPr>
        <w:t xml:space="preserve">, nor </w:t>
      </w:r>
      <w:proofErr w:type="spellStart"/>
      <w:r w:rsidRPr="004E05E4">
        <w:rPr>
          <w:sz w:val="24"/>
          <w:szCs w:val="24"/>
          <w:lang w:val="en-US"/>
        </w:rPr>
        <w:t>feto</w:t>
      </w:r>
      <w:proofErr w:type="spellEnd"/>
      <w:r w:rsidRPr="004E05E4">
        <w:rPr>
          <w:sz w:val="24"/>
          <w:szCs w:val="24"/>
          <w:lang w:val="en-US"/>
        </w:rPr>
        <w:t xml:space="preserve">/neonatal toxicity. </w:t>
      </w:r>
    </w:p>
    <w:p w14:paraId="4EE178B4" w14:textId="77777777" w:rsidR="00A17559" w:rsidRPr="004E05E4" w:rsidRDefault="00A17559" w:rsidP="004E05E4">
      <w:pPr>
        <w:ind w:left="851"/>
        <w:rPr>
          <w:sz w:val="24"/>
          <w:szCs w:val="24"/>
          <w:lang w:val="en-US"/>
        </w:rPr>
      </w:pPr>
      <w:r w:rsidRPr="004E05E4">
        <w:rPr>
          <w:sz w:val="24"/>
          <w:szCs w:val="24"/>
          <w:lang w:val="en-US"/>
        </w:rPr>
        <w:t xml:space="preserve">Epidemiological studies on neurodevelopment in children exposed to paracetamol in utero show inconclusive results. If clinically needed, paracetamol can be used during pregnancy however it should be used at the lowest effective dose for the shortest possible time and at the </w:t>
      </w:r>
      <w:proofErr w:type="gramStart"/>
      <w:r w:rsidRPr="004E05E4">
        <w:rPr>
          <w:sz w:val="24"/>
          <w:szCs w:val="24"/>
          <w:lang w:val="en-US"/>
        </w:rPr>
        <w:t>lowers</w:t>
      </w:r>
      <w:proofErr w:type="gramEnd"/>
      <w:r w:rsidRPr="004E05E4">
        <w:rPr>
          <w:sz w:val="24"/>
          <w:szCs w:val="24"/>
          <w:lang w:val="en-US"/>
        </w:rPr>
        <w:t xml:space="preserve"> possible frequency.</w:t>
      </w:r>
    </w:p>
    <w:p w14:paraId="3AE07C17" w14:textId="77777777" w:rsidR="00A17559" w:rsidRPr="004E05E4" w:rsidRDefault="00A17559" w:rsidP="004E05E4">
      <w:pPr>
        <w:ind w:left="851"/>
        <w:rPr>
          <w:noProof/>
          <w:sz w:val="24"/>
          <w:szCs w:val="24"/>
          <w:lang w:val="en-US"/>
        </w:rPr>
      </w:pPr>
    </w:p>
    <w:p w14:paraId="51054B02" w14:textId="77777777" w:rsidR="00A17559" w:rsidRPr="00E62EE7" w:rsidRDefault="00A17559" w:rsidP="004E05E4">
      <w:pPr>
        <w:ind w:left="851"/>
        <w:rPr>
          <w:noProof/>
          <w:sz w:val="24"/>
          <w:szCs w:val="24"/>
          <w:u w:val="single"/>
          <w:lang w:val="en-US"/>
        </w:rPr>
      </w:pPr>
      <w:r w:rsidRPr="00E62EE7">
        <w:rPr>
          <w:noProof/>
          <w:sz w:val="24"/>
          <w:szCs w:val="24"/>
          <w:u w:val="single"/>
          <w:lang w:val="en-US"/>
        </w:rPr>
        <w:t>Breastfeeding</w:t>
      </w:r>
    </w:p>
    <w:p w14:paraId="531B5E99" w14:textId="77777777" w:rsidR="00A17559" w:rsidRPr="004E05E4" w:rsidRDefault="00A17559" w:rsidP="004E05E4">
      <w:pPr>
        <w:ind w:left="851"/>
        <w:rPr>
          <w:sz w:val="24"/>
          <w:szCs w:val="24"/>
          <w:lang w:val="en-US"/>
        </w:rPr>
      </w:pPr>
      <w:r w:rsidRPr="004E05E4">
        <w:rPr>
          <w:sz w:val="24"/>
          <w:szCs w:val="24"/>
          <w:lang w:val="en-US"/>
        </w:rPr>
        <w:t xml:space="preserve">Paracetamol is excreted in breast milk, but not in a clinically significant amount in recommended doses. Available published data do not contraindicate breastfeeding. </w:t>
      </w:r>
    </w:p>
    <w:p w14:paraId="5C08E960" w14:textId="77777777" w:rsidR="00A17559" w:rsidRPr="004E05E4" w:rsidRDefault="00A17559" w:rsidP="004E05E4">
      <w:pPr>
        <w:ind w:left="851"/>
        <w:rPr>
          <w:sz w:val="24"/>
          <w:szCs w:val="24"/>
          <w:lang w:val="en-US"/>
        </w:rPr>
      </w:pPr>
    </w:p>
    <w:p w14:paraId="5CEDE0E3" w14:textId="77777777" w:rsidR="00A17559" w:rsidRPr="00E62EE7" w:rsidRDefault="00A17559" w:rsidP="004E05E4">
      <w:pPr>
        <w:ind w:left="851"/>
        <w:rPr>
          <w:sz w:val="24"/>
          <w:szCs w:val="24"/>
          <w:u w:val="single"/>
          <w:lang w:val="en-US"/>
        </w:rPr>
      </w:pPr>
      <w:r w:rsidRPr="00E62EE7">
        <w:rPr>
          <w:sz w:val="24"/>
          <w:szCs w:val="24"/>
          <w:u w:val="single"/>
          <w:lang w:val="en-US"/>
        </w:rPr>
        <w:t>Fertility</w:t>
      </w:r>
    </w:p>
    <w:p w14:paraId="2CD95C94" w14:textId="77777777" w:rsidR="00A17559" w:rsidRPr="004E05E4" w:rsidRDefault="00A17559" w:rsidP="004E05E4">
      <w:pPr>
        <w:ind w:left="851"/>
        <w:rPr>
          <w:sz w:val="24"/>
          <w:szCs w:val="24"/>
          <w:lang w:val="en-US"/>
        </w:rPr>
      </w:pPr>
      <w:r w:rsidRPr="004E05E4">
        <w:rPr>
          <w:sz w:val="24"/>
          <w:szCs w:val="24"/>
          <w:lang w:val="en-US"/>
        </w:rPr>
        <w:t xml:space="preserve">There are no adequate clinical data available on male or female fertility. </w:t>
      </w:r>
    </w:p>
    <w:p w14:paraId="66C0C7DF" w14:textId="77777777" w:rsidR="007C5D2A" w:rsidRPr="004E05E4" w:rsidRDefault="007C5D2A" w:rsidP="003E0341">
      <w:pPr>
        <w:tabs>
          <w:tab w:val="left" w:pos="851"/>
        </w:tabs>
        <w:ind w:left="851"/>
        <w:rPr>
          <w:sz w:val="24"/>
          <w:szCs w:val="24"/>
          <w:lang w:val="en-GB"/>
        </w:rPr>
      </w:pPr>
    </w:p>
    <w:p w14:paraId="0CC09D1E" w14:textId="77777777" w:rsidR="007C5D2A" w:rsidRPr="004E05E4" w:rsidRDefault="007C5D2A" w:rsidP="007C5D2A">
      <w:pPr>
        <w:tabs>
          <w:tab w:val="left" w:pos="851"/>
        </w:tabs>
        <w:ind w:left="851" w:hanging="851"/>
        <w:rPr>
          <w:b/>
          <w:sz w:val="24"/>
          <w:szCs w:val="24"/>
          <w:lang w:val="en-GB"/>
        </w:rPr>
      </w:pPr>
      <w:r w:rsidRPr="004E05E4">
        <w:rPr>
          <w:b/>
          <w:sz w:val="24"/>
          <w:szCs w:val="24"/>
          <w:lang w:val="en-GB"/>
        </w:rPr>
        <w:t>4.7</w:t>
      </w:r>
      <w:r w:rsidRPr="004E05E4">
        <w:rPr>
          <w:b/>
          <w:sz w:val="24"/>
          <w:szCs w:val="24"/>
          <w:lang w:val="en-GB"/>
        </w:rPr>
        <w:tab/>
        <w:t>Effects on ability to drive and use machines</w:t>
      </w:r>
    </w:p>
    <w:p w14:paraId="38F0897A" w14:textId="77777777" w:rsidR="00E62EE7" w:rsidRDefault="00E62EE7" w:rsidP="004E05E4">
      <w:pPr>
        <w:ind w:left="851"/>
        <w:rPr>
          <w:sz w:val="24"/>
          <w:szCs w:val="24"/>
          <w:lang w:val="en-US"/>
        </w:rPr>
      </w:pPr>
      <w:r>
        <w:rPr>
          <w:sz w:val="24"/>
          <w:szCs w:val="24"/>
          <w:lang w:val="en-US"/>
        </w:rPr>
        <w:t>No traffic warning.</w:t>
      </w:r>
    </w:p>
    <w:p w14:paraId="7CF569CC" w14:textId="4762EB7A" w:rsidR="00A17559" w:rsidRPr="004E05E4" w:rsidRDefault="00E62EE7" w:rsidP="004E05E4">
      <w:pPr>
        <w:ind w:left="851"/>
        <w:rPr>
          <w:i/>
          <w:sz w:val="24"/>
          <w:szCs w:val="24"/>
          <w:lang w:val="en-US"/>
        </w:rPr>
      </w:pPr>
      <w:r>
        <w:rPr>
          <w:sz w:val="24"/>
          <w:szCs w:val="24"/>
          <w:lang w:val="en-US"/>
        </w:rPr>
        <w:t>Paracetamol "Teva"</w:t>
      </w:r>
      <w:r w:rsidR="00A17559" w:rsidRPr="004E05E4">
        <w:rPr>
          <w:sz w:val="24"/>
          <w:szCs w:val="24"/>
          <w:lang w:val="en-US"/>
        </w:rPr>
        <w:t xml:space="preserve"> has no or negligible influence on the ability to drive and use machines.</w:t>
      </w:r>
    </w:p>
    <w:p w14:paraId="578EA7AF" w14:textId="77777777" w:rsidR="007C5D2A" w:rsidRPr="004E05E4" w:rsidRDefault="007C5D2A" w:rsidP="003E0341">
      <w:pPr>
        <w:tabs>
          <w:tab w:val="left" w:pos="851"/>
        </w:tabs>
        <w:ind w:left="851"/>
        <w:rPr>
          <w:sz w:val="24"/>
          <w:szCs w:val="24"/>
          <w:lang w:val="en-GB"/>
        </w:rPr>
      </w:pPr>
    </w:p>
    <w:p w14:paraId="16C3CEC0" w14:textId="77777777" w:rsidR="007C5D2A" w:rsidRPr="004E05E4" w:rsidRDefault="007C5D2A" w:rsidP="007C5D2A">
      <w:pPr>
        <w:tabs>
          <w:tab w:val="left" w:pos="851"/>
        </w:tabs>
        <w:ind w:left="851" w:hanging="851"/>
        <w:rPr>
          <w:b/>
          <w:sz w:val="24"/>
          <w:szCs w:val="24"/>
          <w:lang w:val="en-GB"/>
        </w:rPr>
      </w:pPr>
      <w:r w:rsidRPr="004E05E4">
        <w:rPr>
          <w:b/>
          <w:sz w:val="24"/>
          <w:szCs w:val="24"/>
          <w:lang w:val="en-GB"/>
        </w:rPr>
        <w:t>4.8</w:t>
      </w:r>
      <w:r w:rsidRPr="004E05E4">
        <w:rPr>
          <w:b/>
          <w:sz w:val="24"/>
          <w:szCs w:val="24"/>
          <w:lang w:val="en-GB"/>
        </w:rPr>
        <w:tab/>
        <w:t>Undesirable effects</w:t>
      </w:r>
    </w:p>
    <w:p w14:paraId="0D1493F6" w14:textId="77777777" w:rsidR="00A17559" w:rsidRPr="004E05E4" w:rsidRDefault="00A17559" w:rsidP="004E05E4">
      <w:pPr>
        <w:ind w:left="851"/>
        <w:rPr>
          <w:rFonts w:eastAsia="SimSun"/>
          <w:noProof/>
          <w:sz w:val="24"/>
          <w:szCs w:val="24"/>
          <w:lang w:val="en-US"/>
        </w:rPr>
      </w:pPr>
      <w:r w:rsidRPr="004E05E4">
        <w:rPr>
          <w:rFonts w:eastAsia="SimSun"/>
          <w:sz w:val="24"/>
          <w:szCs w:val="24"/>
          <w:lang w:val="en-US" w:eastAsia="en-GB"/>
        </w:rPr>
        <w:t xml:space="preserve">Adverse reactions are listed below, by system organ class and frequency. Frequencies are defined as: </w:t>
      </w:r>
      <w:r w:rsidRPr="004E05E4">
        <w:rPr>
          <w:rFonts w:eastAsia="SimSun"/>
          <w:i/>
          <w:iCs/>
          <w:sz w:val="24"/>
          <w:szCs w:val="24"/>
          <w:lang w:val="en-US" w:eastAsia="en-GB"/>
        </w:rPr>
        <w:t xml:space="preserve">Very common </w:t>
      </w:r>
      <w:r w:rsidRPr="004E05E4">
        <w:rPr>
          <w:rFonts w:eastAsia="SimSun"/>
          <w:noProof/>
          <w:sz w:val="24"/>
          <w:szCs w:val="24"/>
          <w:lang w:val="en-US"/>
        </w:rPr>
        <w:t>(</w:t>
      </w:r>
      <w:r w:rsidRPr="004E05E4">
        <w:rPr>
          <w:rFonts w:eastAsia="SimSun"/>
          <w:noProof/>
          <w:sz w:val="24"/>
          <w:szCs w:val="24"/>
        </w:rPr>
        <w:sym w:font="Symbol" w:char="F0B3"/>
      </w:r>
      <w:r w:rsidRPr="004E05E4">
        <w:rPr>
          <w:rFonts w:eastAsia="SimSun"/>
          <w:noProof/>
          <w:sz w:val="24"/>
          <w:szCs w:val="24"/>
          <w:lang w:val="en-US"/>
        </w:rPr>
        <w:t xml:space="preserve">1/10); </w:t>
      </w:r>
      <w:r w:rsidRPr="004E05E4">
        <w:rPr>
          <w:rFonts w:eastAsia="SimSun"/>
          <w:i/>
          <w:iCs/>
          <w:sz w:val="24"/>
          <w:szCs w:val="24"/>
          <w:lang w:val="en-US" w:eastAsia="en-GB"/>
        </w:rPr>
        <w:t xml:space="preserve">Common </w:t>
      </w:r>
      <w:r w:rsidRPr="004E05E4">
        <w:rPr>
          <w:rFonts w:eastAsia="SimSun"/>
          <w:noProof/>
          <w:sz w:val="24"/>
          <w:szCs w:val="24"/>
          <w:lang w:val="en-US"/>
        </w:rPr>
        <w:t>(</w:t>
      </w:r>
      <w:r w:rsidRPr="004E05E4">
        <w:rPr>
          <w:rFonts w:eastAsia="SimSun"/>
          <w:noProof/>
          <w:sz w:val="24"/>
          <w:szCs w:val="24"/>
        </w:rPr>
        <w:sym w:font="Symbol" w:char="F0B3"/>
      </w:r>
      <w:r w:rsidRPr="004E05E4">
        <w:rPr>
          <w:rFonts w:eastAsia="SimSun"/>
          <w:noProof/>
          <w:sz w:val="24"/>
          <w:szCs w:val="24"/>
          <w:lang w:val="en-US"/>
        </w:rPr>
        <w:t>1/100 to &lt;1/10</w:t>
      </w:r>
      <w:r w:rsidRPr="004E05E4">
        <w:rPr>
          <w:rFonts w:eastAsia="SimSun"/>
          <w:sz w:val="24"/>
          <w:szCs w:val="24"/>
          <w:lang w:val="en-US" w:eastAsia="en-GB"/>
        </w:rPr>
        <w:t xml:space="preserve">); </w:t>
      </w:r>
      <w:r w:rsidRPr="004E05E4">
        <w:rPr>
          <w:rFonts w:eastAsia="SimSun"/>
          <w:i/>
          <w:iCs/>
          <w:sz w:val="24"/>
          <w:szCs w:val="24"/>
          <w:lang w:val="en-US" w:eastAsia="en-GB"/>
        </w:rPr>
        <w:t xml:space="preserve">Uncommon </w:t>
      </w:r>
      <w:r w:rsidRPr="004E05E4">
        <w:rPr>
          <w:rFonts w:eastAsia="SimSun"/>
          <w:noProof/>
          <w:sz w:val="24"/>
          <w:szCs w:val="24"/>
          <w:lang w:val="en-US"/>
        </w:rPr>
        <w:t>(</w:t>
      </w:r>
      <w:r w:rsidRPr="004E05E4">
        <w:rPr>
          <w:rFonts w:eastAsia="SimSun"/>
          <w:noProof/>
          <w:sz w:val="24"/>
          <w:szCs w:val="24"/>
        </w:rPr>
        <w:sym w:font="Symbol" w:char="F0B3"/>
      </w:r>
      <w:r w:rsidRPr="004E05E4">
        <w:rPr>
          <w:rFonts w:eastAsia="SimSun"/>
          <w:noProof/>
          <w:sz w:val="24"/>
          <w:szCs w:val="24"/>
          <w:lang w:val="en-US"/>
        </w:rPr>
        <w:t>1/1,000 to &lt;1/100</w:t>
      </w:r>
      <w:r w:rsidRPr="004E05E4">
        <w:rPr>
          <w:rFonts w:eastAsia="SimSun"/>
          <w:sz w:val="24"/>
          <w:szCs w:val="24"/>
          <w:lang w:val="en-US" w:eastAsia="en-GB"/>
        </w:rPr>
        <w:t xml:space="preserve">); </w:t>
      </w:r>
      <w:r w:rsidRPr="004E05E4">
        <w:rPr>
          <w:rFonts w:eastAsia="SimSun"/>
          <w:i/>
          <w:iCs/>
          <w:sz w:val="24"/>
          <w:szCs w:val="24"/>
          <w:lang w:val="en-US" w:eastAsia="en-GB"/>
        </w:rPr>
        <w:t xml:space="preserve">Rare </w:t>
      </w:r>
      <w:r w:rsidRPr="004E05E4">
        <w:rPr>
          <w:rFonts w:eastAsia="SimSun"/>
          <w:noProof/>
          <w:sz w:val="24"/>
          <w:szCs w:val="24"/>
          <w:lang w:val="en-US"/>
        </w:rPr>
        <w:t>(</w:t>
      </w:r>
      <w:r w:rsidRPr="004E05E4">
        <w:rPr>
          <w:rFonts w:eastAsia="SimSun"/>
          <w:noProof/>
          <w:sz w:val="24"/>
          <w:szCs w:val="24"/>
        </w:rPr>
        <w:sym w:font="Symbol" w:char="F0B3"/>
      </w:r>
      <w:r w:rsidRPr="004E05E4">
        <w:rPr>
          <w:rFonts w:eastAsia="SimSun"/>
          <w:noProof/>
          <w:sz w:val="24"/>
          <w:szCs w:val="24"/>
          <w:lang w:val="en-US"/>
        </w:rPr>
        <w:t>1/10,000 to &lt;1/1,000</w:t>
      </w:r>
      <w:r w:rsidRPr="004E05E4">
        <w:rPr>
          <w:rFonts w:eastAsia="SimSun"/>
          <w:sz w:val="24"/>
          <w:szCs w:val="24"/>
          <w:lang w:val="en-US" w:eastAsia="en-GB"/>
        </w:rPr>
        <w:t xml:space="preserve">); </w:t>
      </w:r>
      <w:r w:rsidRPr="004E05E4">
        <w:rPr>
          <w:rFonts w:eastAsia="SimSun"/>
          <w:i/>
          <w:iCs/>
          <w:sz w:val="24"/>
          <w:szCs w:val="24"/>
          <w:lang w:val="en-US" w:eastAsia="en-GB"/>
        </w:rPr>
        <w:t xml:space="preserve">Very rare </w:t>
      </w:r>
      <w:r w:rsidRPr="004E05E4">
        <w:rPr>
          <w:rFonts w:eastAsia="SimSun"/>
          <w:sz w:val="24"/>
          <w:szCs w:val="24"/>
          <w:lang w:val="en-US" w:eastAsia="en-GB"/>
        </w:rPr>
        <w:t xml:space="preserve">(&lt; 1/10,000), </w:t>
      </w:r>
      <w:r w:rsidRPr="004E05E4">
        <w:rPr>
          <w:rFonts w:eastAsia="SimSun"/>
          <w:i/>
          <w:noProof/>
          <w:sz w:val="24"/>
          <w:szCs w:val="24"/>
          <w:lang w:val="en-US"/>
        </w:rPr>
        <w:t>Not known</w:t>
      </w:r>
      <w:r w:rsidRPr="004E05E4">
        <w:rPr>
          <w:rFonts w:eastAsia="SimSun"/>
          <w:noProof/>
          <w:sz w:val="24"/>
          <w:szCs w:val="24"/>
          <w:lang w:val="en-US"/>
        </w:rPr>
        <w:t xml:space="preserve"> (cannot be estimated from the available data).</w:t>
      </w:r>
      <w:r w:rsidRPr="004E05E4">
        <w:rPr>
          <w:rFonts w:eastAsia="SimSun"/>
          <w:sz w:val="24"/>
          <w:szCs w:val="24"/>
          <w:lang w:val="en-US" w:eastAsia="en-GB"/>
        </w:rPr>
        <w:t xml:space="preserve">  </w:t>
      </w:r>
    </w:p>
    <w:p w14:paraId="697CF345" w14:textId="77777777" w:rsidR="00A17559" w:rsidRPr="004E05E4" w:rsidRDefault="00A17559" w:rsidP="00A17559">
      <w:pPr>
        <w:rPr>
          <w:sz w:val="24"/>
          <w:szCs w:val="24"/>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5224"/>
      </w:tblGrid>
      <w:tr w:rsidR="00A17559" w:rsidRPr="004E05E4" w14:paraId="2517B674" w14:textId="77777777" w:rsidTr="004E05E4">
        <w:tc>
          <w:tcPr>
            <w:tcW w:w="2287" w:type="pct"/>
            <w:tcBorders>
              <w:top w:val="single" w:sz="4" w:space="0" w:color="auto"/>
              <w:left w:val="single" w:sz="4" w:space="0" w:color="auto"/>
              <w:bottom w:val="single" w:sz="4" w:space="0" w:color="auto"/>
              <w:right w:val="single" w:sz="4" w:space="0" w:color="auto"/>
            </w:tcBorders>
            <w:hideMark/>
          </w:tcPr>
          <w:p w14:paraId="798D9307" w14:textId="77777777" w:rsidR="00A17559" w:rsidRPr="004E05E4" w:rsidRDefault="00A17559" w:rsidP="004E05E4">
            <w:pPr>
              <w:autoSpaceDE w:val="0"/>
              <w:autoSpaceDN w:val="0"/>
              <w:adjustRightInd w:val="0"/>
              <w:rPr>
                <w:rFonts w:eastAsia="SimSun"/>
                <w:noProof/>
                <w:sz w:val="24"/>
                <w:szCs w:val="24"/>
              </w:rPr>
            </w:pPr>
            <w:r w:rsidRPr="004E05E4">
              <w:rPr>
                <w:rFonts w:eastAsia="SimSun"/>
                <w:noProof/>
                <w:sz w:val="24"/>
                <w:szCs w:val="24"/>
                <w:lang w:val="en-US"/>
              </w:rPr>
              <w:t>System organ class database</w:t>
            </w:r>
          </w:p>
        </w:tc>
        <w:tc>
          <w:tcPr>
            <w:tcW w:w="2713" w:type="pct"/>
            <w:tcBorders>
              <w:top w:val="single" w:sz="4" w:space="0" w:color="auto"/>
              <w:left w:val="single" w:sz="4" w:space="0" w:color="auto"/>
              <w:bottom w:val="single" w:sz="4" w:space="0" w:color="auto"/>
              <w:right w:val="single" w:sz="4" w:space="0" w:color="auto"/>
            </w:tcBorders>
            <w:hideMark/>
          </w:tcPr>
          <w:p w14:paraId="474E6223" w14:textId="77777777" w:rsidR="00A17559" w:rsidRPr="004E05E4" w:rsidRDefault="00A17559" w:rsidP="004E05E4">
            <w:pPr>
              <w:autoSpaceDE w:val="0"/>
              <w:autoSpaceDN w:val="0"/>
              <w:adjustRightInd w:val="0"/>
              <w:rPr>
                <w:rFonts w:eastAsia="SimSun"/>
                <w:noProof/>
                <w:sz w:val="24"/>
                <w:szCs w:val="24"/>
              </w:rPr>
            </w:pPr>
            <w:proofErr w:type="spellStart"/>
            <w:r w:rsidRPr="004E05E4">
              <w:rPr>
                <w:rFonts w:eastAsia="SimSun"/>
                <w:sz w:val="24"/>
                <w:szCs w:val="24"/>
                <w:lang w:eastAsia="en-GB"/>
              </w:rPr>
              <w:t>Adverse</w:t>
            </w:r>
            <w:proofErr w:type="spellEnd"/>
            <w:r w:rsidRPr="004E05E4">
              <w:rPr>
                <w:rFonts w:eastAsia="SimSun"/>
                <w:sz w:val="24"/>
                <w:szCs w:val="24"/>
                <w:lang w:eastAsia="en-GB"/>
              </w:rPr>
              <w:t xml:space="preserve"> </w:t>
            </w:r>
            <w:proofErr w:type="spellStart"/>
            <w:r w:rsidRPr="004E05E4">
              <w:rPr>
                <w:rFonts w:eastAsia="SimSun"/>
                <w:sz w:val="24"/>
                <w:szCs w:val="24"/>
                <w:lang w:eastAsia="en-GB"/>
              </w:rPr>
              <w:t>reactions</w:t>
            </w:r>
            <w:proofErr w:type="spellEnd"/>
            <w:r w:rsidRPr="004E05E4">
              <w:rPr>
                <w:rFonts w:eastAsia="SimSun"/>
                <w:sz w:val="24"/>
                <w:szCs w:val="24"/>
                <w:lang w:eastAsia="en-GB"/>
              </w:rPr>
              <w:t xml:space="preserve"> and </w:t>
            </w:r>
            <w:proofErr w:type="spellStart"/>
            <w:r w:rsidRPr="004E05E4">
              <w:rPr>
                <w:rFonts w:eastAsia="SimSun"/>
                <w:sz w:val="24"/>
                <w:szCs w:val="24"/>
                <w:lang w:eastAsia="en-GB"/>
              </w:rPr>
              <w:t>frequency</w:t>
            </w:r>
            <w:proofErr w:type="spellEnd"/>
          </w:p>
        </w:tc>
      </w:tr>
      <w:tr w:rsidR="00A17559" w:rsidRPr="004E05E4" w14:paraId="32EFF5D1" w14:textId="77777777" w:rsidTr="004E05E4">
        <w:tc>
          <w:tcPr>
            <w:tcW w:w="2287" w:type="pct"/>
            <w:tcBorders>
              <w:top w:val="single" w:sz="4" w:space="0" w:color="auto"/>
              <w:left w:val="single" w:sz="4" w:space="0" w:color="auto"/>
              <w:bottom w:val="single" w:sz="4" w:space="0" w:color="auto"/>
              <w:right w:val="single" w:sz="4" w:space="0" w:color="auto"/>
            </w:tcBorders>
            <w:hideMark/>
          </w:tcPr>
          <w:p w14:paraId="19BF3C89" w14:textId="77777777" w:rsidR="00A17559" w:rsidRPr="004E05E4" w:rsidRDefault="00A17559" w:rsidP="004E05E4">
            <w:pPr>
              <w:rPr>
                <w:sz w:val="24"/>
                <w:szCs w:val="24"/>
                <w:lang w:val="en-US"/>
              </w:rPr>
            </w:pPr>
            <w:r w:rsidRPr="004E05E4">
              <w:rPr>
                <w:sz w:val="24"/>
                <w:szCs w:val="24"/>
                <w:lang w:val="en-US"/>
              </w:rPr>
              <w:t>Blood and lymphatic system disorders</w:t>
            </w:r>
          </w:p>
        </w:tc>
        <w:tc>
          <w:tcPr>
            <w:tcW w:w="2713" w:type="pct"/>
            <w:tcBorders>
              <w:top w:val="single" w:sz="4" w:space="0" w:color="auto"/>
              <w:left w:val="single" w:sz="4" w:space="0" w:color="auto"/>
              <w:bottom w:val="single" w:sz="4" w:space="0" w:color="auto"/>
              <w:right w:val="single" w:sz="4" w:space="0" w:color="auto"/>
            </w:tcBorders>
            <w:hideMark/>
          </w:tcPr>
          <w:p w14:paraId="588216AE" w14:textId="77777777" w:rsidR="00A17559" w:rsidRPr="004E05E4" w:rsidRDefault="00A17559" w:rsidP="004E05E4">
            <w:pPr>
              <w:autoSpaceDE w:val="0"/>
              <w:autoSpaceDN w:val="0"/>
              <w:adjustRightInd w:val="0"/>
              <w:rPr>
                <w:rFonts w:eastAsia="SimSun"/>
                <w:sz w:val="24"/>
                <w:szCs w:val="24"/>
                <w:lang w:val="en-US" w:eastAsia="en-GB"/>
              </w:rPr>
            </w:pPr>
            <w:r w:rsidRPr="004E05E4">
              <w:rPr>
                <w:rFonts w:eastAsia="SimSun"/>
                <w:i/>
                <w:iCs/>
                <w:sz w:val="24"/>
                <w:szCs w:val="24"/>
                <w:lang w:val="en-US" w:eastAsia="en-GB"/>
              </w:rPr>
              <w:t>Very rare</w:t>
            </w:r>
            <w:r w:rsidRPr="004E05E4">
              <w:rPr>
                <w:rFonts w:eastAsia="SimSun"/>
                <w:sz w:val="24"/>
                <w:szCs w:val="24"/>
                <w:lang w:val="en-US" w:eastAsia="en-GB"/>
              </w:rPr>
              <w:t xml:space="preserve">: </w:t>
            </w:r>
            <w:proofErr w:type="spellStart"/>
            <w:r w:rsidRPr="004E05E4">
              <w:rPr>
                <w:rFonts w:eastAsia="SimSun"/>
                <w:sz w:val="24"/>
                <w:szCs w:val="24"/>
                <w:lang w:val="en-US" w:eastAsia="en-GB"/>
              </w:rPr>
              <w:t>thrombocytopaenia</w:t>
            </w:r>
            <w:proofErr w:type="spellEnd"/>
            <w:r w:rsidRPr="004E05E4">
              <w:rPr>
                <w:rFonts w:eastAsia="SimSun"/>
                <w:sz w:val="24"/>
                <w:szCs w:val="24"/>
                <w:lang w:val="en-US" w:eastAsia="en-GB"/>
              </w:rPr>
              <w:t xml:space="preserve">, leukopenia, pancytopenia, neutropenia, </w:t>
            </w:r>
            <w:proofErr w:type="spellStart"/>
            <w:r w:rsidRPr="004E05E4">
              <w:rPr>
                <w:rFonts w:eastAsia="SimSun"/>
                <w:sz w:val="24"/>
                <w:szCs w:val="24"/>
                <w:lang w:val="en-US" w:eastAsia="en-GB"/>
              </w:rPr>
              <w:t>haemolytic</w:t>
            </w:r>
            <w:proofErr w:type="spellEnd"/>
            <w:r w:rsidRPr="004E05E4">
              <w:rPr>
                <w:rFonts w:eastAsia="SimSun"/>
                <w:sz w:val="24"/>
                <w:szCs w:val="24"/>
                <w:lang w:val="en-US" w:eastAsia="en-GB"/>
              </w:rPr>
              <w:t xml:space="preserve"> </w:t>
            </w:r>
            <w:proofErr w:type="spellStart"/>
            <w:r w:rsidRPr="004E05E4">
              <w:rPr>
                <w:rFonts w:eastAsia="SimSun"/>
                <w:sz w:val="24"/>
                <w:szCs w:val="24"/>
                <w:lang w:val="en-US" w:eastAsia="en-GB"/>
              </w:rPr>
              <w:t>anaemia</w:t>
            </w:r>
            <w:proofErr w:type="spellEnd"/>
            <w:r w:rsidRPr="004E05E4">
              <w:rPr>
                <w:rFonts w:eastAsia="SimSun"/>
                <w:sz w:val="24"/>
                <w:szCs w:val="24"/>
                <w:lang w:val="en-US" w:eastAsia="en-GB"/>
              </w:rPr>
              <w:t xml:space="preserve">, agranulocytosis </w:t>
            </w:r>
          </w:p>
          <w:p w14:paraId="11ACF2EC" w14:textId="77777777" w:rsidR="00A17559" w:rsidRPr="004E05E4" w:rsidRDefault="00A17559" w:rsidP="004E05E4">
            <w:pPr>
              <w:autoSpaceDE w:val="0"/>
              <w:autoSpaceDN w:val="0"/>
              <w:adjustRightInd w:val="0"/>
              <w:rPr>
                <w:rFonts w:eastAsia="SimSun"/>
                <w:sz w:val="24"/>
                <w:szCs w:val="24"/>
                <w:lang w:eastAsia="en-GB"/>
              </w:rPr>
            </w:pPr>
            <w:r w:rsidRPr="004E05E4">
              <w:rPr>
                <w:rFonts w:eastAsia="SimSun"/>
                <w:i/>
                <w:sz w:val="24"/>
                <w:szCs w:val="24"/>
                <w:lang w:eastAsia="en-GB"/>
              </w:rPr>
              <w:t xml:space="preserve">Not </w:t>
            </w:r>
            <w:proofErr w:type="spellStart"/>
            <w:r w:rsidRPr="004E05E4">
              <w:rPr>
                <w:rFonts w:eastAsia="SimSun"/>
                <w:i/>
                <w:sz w:val="24"/>
                <w:szCs w:val="24"/>
                <w:lang w:eastAsia="en-GB"/>
              </w:rPr>
              <w:t>known</w:t>
            </w:r>
            <w:proofErr w:type="spellEnd"/>
            <w:r w:rsidRPr="004E05E4">
              <w:rPr>
                <w:rFonts w:eastAsia="SimSun"/>
                <w:i/>
                <w:sz w:val="24"/>
                <w:szCs w:val="24"/>
                <w:lang w:eastAsia="en-GB"/>
              </w:rPr>
              <w:t xml:space="preserve">: </w:t>
            </w:r>
            <w:proofErr w:type="spellStart"/>
            <w:r w:rsidRPr="004E05E4">
              <w:rPr>
                <w:rFonts w:eastAsia="SimSun"/>
                <w:sz w:val="24"/>
                <w:szCs w:val="24"/>
                <w:lang w:eastAsia="en-GB"/>
              </w:rPr>
              <w:t>anaemia</w:t>
            </w:r>
            <w:proofErr w:type="spellEnd"/>
          </w:p>
        </w:tc>
      </w:tr>
      <w:tr w:rsidR="00A17559" w:rsidRPr="00A034D9" w14:paraId="78D68D37" w14:textId="77777777" w:rsidTr="004E05E4">
        <w:tc>
          <w:tcPr>
            <w:tcW w:w="2287" w:type="pct"/>
            <w:tcBorders>
              <w:top w:val="single" w:sz="4" w:space="0" w:color="auto"/>
              <w:left w:val="single" w:sz="4" w:space="0" w:color="auto"/>
              <w:bottom w:val="single" w:sz="4" w:space="0" w:color="auto"/>
              <w:right w:val="single" w:sz="4" w:space="0" w:color="auto"/>
            </w:tcBorders>
            <w:hideMark/>
          </w:tcPr>
          <w:p w14:paraId="3AB6219A" w14:textId="77777777" w:rsidR="00A17559" w:rsidRPr="004E05E4" w:rsidRDefault="00A17559" w:rsidP="004E05E4">
            <w:pPr>
              <w:rPr>
                <w:sz w:val="24"/>
                <w:szCs w:val="24"/>
                <w:lang w:eastAsia="en-US"/>
              </w:rPr>
            </w:pPr>
            <w:r w:rsidRPr="004E05E4">
              <w:rPr>
                <w:sz w:val="24"/>
                <w:szCs w:val="24"/>
              </w:rPr>
              <w:t xml:space="preserve">Immune System </w:t>
            </w:r>
            <w:proofErr w:type="spellStart"/>
            <w:r w:rsidRPr="004E05E4">
              <w:rPr>
                <w:sz w:val="24"/>
                <w:szCs w:val="24"/>
              </w:rPr>
              <w:t>disorders</w:t>
            </w:r>
            <w:proofErr w:type="spellEnd"/>
          </w:p>
        </w:tc>
        <w:tc>
          <w:tcPr>
            <w:tcW w:w="2713" w:type="pct"/>
            <w:tcBorders>
              <w:top w:val="single" w:sz="4" w:space="0" w:color="auto"/>
              <w:left w:val="single" w:sz="4" w:space="0" w:color="auto"/>
              <w:bottom w:val="single" w:sz="4" w:space="0" w:color="auto"/>
              <w:right w:val="single" w:sz="4" w:space="0" w:color="auto"/>
            </w:tcBorders>
            <w:hideMark/>
          </w:tcPr>
          <w:p w14:paraId="7833E024" w14:textId="77777777" w:rsidR="00A17559" w:rsidRPr="004E05E4" w:rsidRDefault="00A17559" w:rsidP="004E05E4">
            <w:pPr>
              <w:tabs>
                <w:tab w:val="left" w:pos="1304"/>
              </w:tabs>
              <w:autoSpaceDE w:val="0"/>
              <w:autoSpaceDN w:val="0"/>
              <w:adjustRightInd w:val="0"/>
              <w:rPr>
                <w:sz w:val="24"/>
                <w:szCs w:val="24"/>
                <w:lang w:val="en-US" w:bidi="he-IL"/>
              </w:rPr>
            </w:pPr>
            <w:r w:rsidRPr="004E05E4">
              <w:rPr>
                <w:rFonts w:eastAsia="SimSun"/>
                <w:i/>
                <w:iCs/>
                <w:sz w:val="24"/>
                <w:szCs w:val="24"/>
                <w:lang w:val="en-US" w:eastAsia="en-GB"/>
              </w:rPr>
              <w:t>Very rare</w:t>
            </w:r>
            <w:r w:rsidRPr="004E05E4">
              <w:rPr>
                <w:rFonts w:eastAsia="SimSun"/>
                <w:sz w:val="24"/>
                <w:szCs w:val="24"/>
                <w:lang w:val="en-US" w:eastAsia="en-GB"/>
              </w:rPr>
              <w:t xml:space="preserve">: anaphylaxis (requiring discontinuation of treatment), </w:t>
            </w:r>
            <w:r w:rsidRPr="004E05E4">
              <w:rPr>
                <w:sz w:val="24"/>
                <w:szCs w:val="24"/>
                <w:lang w:val="en-US" w:bidi="he-IL"/>
              </w:rPr>
              <w:t xml:space="preserve">cutaneous hypersensitivity reactions, including, among others, skin rashes </w:t>
            </w:r>
          </w:p>
          <w:p w14:paraId="792AC50D" w14:textId="77777777" w:rsidR="00A17559" w:rsidRPr="004E05E4" w:rsidRDefault="00A17559" w:rsidP="004E05E4">
            <w:pPr>
              <w:autoSpaceDE w:val="0"/>
              <w:autoSpaceDN w:val="0"/>
              <w:adjustRightInd w:val="0"/>
              <w:rPr>
                <w:rFonts w:eastAsia="SimSun"/>
                <w:sz w:val="24"/>
                <w:szCs w:val="24"/>
                <w:lang w:val="en-GB" w:eastAsia="en-GB"/>
              </w:rPr>
            </w:pPr>
            <w:r w:rsidRPr="004E05E4">
              <w:rPr>
                <w:rFonts w:eastAsia="SimSun"/>
                <w:sz w:val="24"/>
                <w:szCs w:val="24"/>
                <w:lang w:val="en-US" w:eastAsia="en-GB"/>
              </w:rPr>
              <w:t xml:space="preserve">Very rare cases of serious skin reactions have been reported (drug-induced Stevens-Johnson syndrome (SJS), toxic epidermal necrolysis (TEN), and acute </w:t>
            </w:r>
            <w:proofErr w:type="spellStart"/>
            <w:r w:rsidRPr="004E05E4">
              <w:rPr>
                <w:rFonts w:eastAsia="SimSun"/>
                <w:sz w:val="24"/>
                <w:szCs w:val="24"/>
                <w:lang w:val="en-US" w:eastAsia="en-GB"/>
              </w:rPr>
              <w:t>generalised</w:t>
            </w:r>
            <w:proofErr w:type="spellEnd"/>
            <w:r w:rsidRPr="004E05E4">
              <w:rPr>
                <w:rFonts w:eastAsia="SimSun"/>
                <w:sz w:val="24"/>
                <w:szCs w:val="24"/>
                <w:lang w:val="en-US" w:eastAsia="en-GB"/>
              </w:rPr>
              <w:t xml:space="preserve"> </w:t>
            </w:r>
            <w:proofErr w:type="spellStart"/>
            <w:r w:rsidRPr="004E05E4">
              <w:rPr>
                <w:sz w:val="24"/>
                <w:szCs w:val="24"/>
                <w:lang w:val="en-US" w:bidi="he-IL"/>
              </w:rPr>
              <w:t>exanthematous</w:t>
            </w:r>
            <w:proofErr w:type="spellEnd"/>
            <w:r w:rsidRPr="004E05E4">
              <w:rPr>
                <w:sz w:val="24"/>
                <w:szCs w:val="24"/>
                <w:lang w:val="en-US" w:bidi="he-IL"/>
              </w:rPr>
              <w:t xml:space="preserve"> pustulosis (AGEP))</w:t>
            </w:r>
          </w:p>
        </w:tc>
      </w:tr>
      <w:tr w:rsidR="00A17559" w:rsidRPr="00A034D9" w14:paraId="29061A23" w14:textId="77777777" w:rsidTr="004E05E4">
        <w:tc>
          <w:tcPr>
            <w:tcW w:w="2287" w:type="pct"/>
            <w:tcBorders>
              <w:top w:val="single" w:sz="4" w:space="0" w:color="auto"/>
              <w:left w:val="single" w:sz="4" w:space="0" w:color="auto"/>
              <w:bottom w:val="single" w:sz="4" w:space="0" w:color="auto"/>
              <w:right w:val="single" w:sz="4" w:space="0" w:color="auto"/>
            </w:tcBorders>
            <w:hideMark/>
          </w:tcPr>
          <w:p w14:paraId="59F45CCF" w14:textId="77777777" w:rsidR="00A17559" w:rsidRPr="004E05E4" w:rsidRDefault="00A17559" w:rsidP="004E05E4">
            <w:pPr>
              <w:rPr>
                <w:sz w:val="24"/>
                <w:szCs w:val="24"/>
                <w:lang w:val="en-US" w:eastAsia="en-US"/>
              </w:rPr>
            </w:pPr>
            <w:r w:rsidRPr="004E05E4">
              <w:rPr>
                <w:sz w:val="24"/>
                <w:szCs w:val="24"/>
                <w:lang w:val="en-US"/>
              </w:rPr>
              <w:t>Respiratory, thoracic and mediastinal disorders</w:t>
            </w:r>
          </w:p>
        </w:tc>
        <w:tc>
          <w:tcPr>
            <w:tcW w:w="2713" w:type="pct"/>
            <w:tcBorders>
              <w:top w:val="single" w:sz="4" w:space="0" w:color="auto"/>
              <w:left w:val="single" w:sz="4" w:space="0" w:color="auto"/>
              <w:bottom w:val="single" w:sz="4" w:space="0" w:color="auto"/>
              <w:right w:val="single" w:sz="4" w:space="0" w:color="auto"/>
            </w:tcBorders>
            <w:hideMark/>
          </w:tcPr>
          <w:p w14:paraId="0E994559" w14:textId="77777777" w:rsidR="00A17559" w:rsidRPr="004E05E4" w:rsidRDefault="00A17559" w:rsidP="004E05E4">
            <w:pPr>
              <w:tabs>
                <w:tab w:val="left" w:pos="1304"/>
              </w:tabs>
              <w:autoSpaceDE w:val="0"/>
              <w:autoSpaceDN w:val="0"/>
              <w:adjustRightInd w:val="0"/>
              <w:rPr>
                <w:rFonts w:eastAsia="SimSun"/>
                <w:sz w:val="24"/>
                <w:szCs w:val="24"/>
                <w:lang w:val="en-US" w:eastAsia="en-GB"/>
              </w:rPr>
            </w:pPr>
            <w:r w:rsidRPr="004E05E4">
              <w:rPr>
                <w:rFonts w:eastAsia="SimSun"/>
                <w:i/>
                <w:iCs/>
                <w:sz w:val="24"/>
                <w:szCs w:val="24"/>
                <w:lang w:val="en-US" w:eastAsia="en-GB"/>
              </w:rPr>
              <w:t>Very rare</w:t>
            </w:r>
            <w:r w:rsidRPr="004E05E4">
              <w:rPr>
                <w:rFonts w:eastAsia="SimSun"/>
                <w:sz w:val="24"/>
                <w:szCs w:val="24"/>
                <w:lang w:val="en-US" w:eastAsia="en-GB"/>
              </w:rPr>
              <w:t>: bronchospasm in patients sensitive to aspirin and other NSAIDs</w:t>
            </w:r>
          </w:p>
        </w:tc>
      </w:tr>
      <w:tr w:rsidR="00A17559" w:rsidRPr="004E05E4" w14:paraId="0FCC707D" w14:textId="77777777" w:rsidTr="004E05E4">
        <w:tc>
          <w:tcPr>
            <w:tcW w:w="2287" w:type="pct"/>
            <w:tcBorders>
              <w:top w:val="single" w:sz="4" w:space="0" w:color="auto"/>
              <w:left w:val="single" w:sz="4" w:space="0" w:color="auto"/>
              <w:bottom w:val="single" w:sz="4" w:space="0" w:color="auto"/>
              <w:right w:val="single" w:sz="4" w:space="0" w:color="auto"/>
            </w:tcBorders>
            <w:hideMark/>
          </w:tcPr>
          <w:p w14:paraId="6A256A08" w14:textId="77777777" w:rsidR="00A17559" w:rsidRPr="004E05E4" w:rsidRDefault="00A17559" w:rsidP="004E05E4">
            <w:pPr>
              <w:rPr>
                <w:sz w:val="24"/>
                <w:szCs w:val="24"/>
                <w:lang w:eastAsia="en-US"/>
              </w:rPr>
            </w:pPr>
            <w:proofErr w:type="spellStart"/>
            <w:r w:rsidRPr="004E05E4">
              <w:rPr>
                <w:sz w:val="24"/>
                <w:szCs w:val="24"/>
              </w:rPr>
              <w:t>Hepatobiliary</w:t>
            </w:r>
            <w:proofErr w:type="spellEnd"/>
            <w:r w:rsidRPr="004E05E4">
              <w:rPr>
                <w:sz w:val="24"/>
                <w:szCs w:val="24"/>
              </w:rPr>
              <w:t xml:space="preserve"> </w:t>
            </w:r>
            <w:proofErr w:type="spellStart"/>
            <w:r w:rsidRPr="004E05E4">
              <w:rPr>
                <w:sz w:val="24"/>
                <w:szCs w:val="24"/>
              </w:rPr>
              <w:t>disorders</w:t>
            </w:r>
            <w:proofErr w:type="spellEnd"/>
          </w:p>
        </w:tc>
        <w:tc>
          <w:tcPr>
            <w:tcW w:w="2713" w:type="pct"/>
            <w:tcBorders>
              <w:top w:val="single" w:sz="4" w:space="0" w:color="auto"/>
              <w:left w:val="single" w:sz="4" w:space="0" w:color="auto"/>
              <w:bottom w:val="single" w:sz="4" w:space="0" w:color="auto"/>
              <w:right w:val="single" w:sz="4" w:space="0" w:color="auto"/>
            </w:tcBorders>
            <w:hideMark/>
          </w:tcPr>
          <w:p w14:paraId="3861B363" w14:textId="77777777" w:rsidR="00A17559" w:rsidRPr="004E05E4" w:rsidRDefault="00A17559" w:rsidP="004E05E4">
            <w:pPr>
              <w:autoSpaceDE w:val="0"/>
              <w:autoSpaceDN w:val="0"/>
              <w:adjustRightInd w:val="0"/>
              <w:rPr>
                <w:rFonts w:eastAsia="SimSun"/>
                <w:sz w:val="24"/>
                <w:szCs w:val="24"/>
                <w:lang w:val="en-US" w:eastAsia="en-GB"/>
              </w:rPr>
            </w:pPr>
            <w:r w:rsidRPr="004E05E4">
              <w:rPr>
                <w:rFonts w:eastAsia="SimSun"/>
                <w:i/>
                <w:iCs/>
                <w:sz w:val="24"/>
                <w:szCs w:val="24"/>
                <w:lang w:val="en-US" w:eastAsia="en-GB"/>
              </w:rPr>
              <w:t>Very rare</w:t>
            </w:r>
            <w:r w:rsidRPr="004E05E4">
              <w:rPr>
                <w:rFonts w:eastAsia="SimSun"/>
                <w:sz w:val="24"/>
                <w:szCs w:val="24"/>
                <w:lang w:val="en-US" w:eastAsia="en-GB"/>
              </w:rPr>
              <w:t>: hepatotoxicity</w:t>
            </w:r>
          </w:p>
          <w:p w14:paraId="172BA7D2" w14:textId="77777777" w:rsidR="00A17559" w:rsidRPr="004E05E4" w:rsidRDefault="00A17559" w:rsidP="004E05E4">
            <w:pPr>
              <w:autoSpaceDE w:val="0"/>
              <w:autoSpaceDN w:val="0"/>
              <w:adjustRightInd w:val="0"/>
              <w:rPr>
                <w:rFonts w:eastAsia="SimSun"/>
                <w:sz w:val="24"/>
                <w:szCs w:val="24"/>
                <w:lang w:val="en-US" w:eastAsia="en-GB"/>
              </w:rPr>
            </w:pPr>
            <w:r w:rsidRPr="004E05E4">
              <w:rPr>
                <w:rFonts w:eastAsia="SimSun"/>
                <w:i/>
                <w:sz w:val="24"/>
                <w:szCs w:val="24"/>
                <w:lang w:val="en-US" w:eastAsia="en-GB"/>
              </w:rPr>
              <w:t xml:space="preserve">Rare: </w:t>
            </w:r>
            <w:r w:rsidRPr="004E05E4">
              <w:rPr>
                <w:rFonts w:eastAsia="SimSun"/>
                <w:sz w:val="24"/>
                <w:szCs w:val="24"/>
                <w:lang w:val="en-US" w:eastAsia="en-GB"/>
              </w:rPr>
              <w:t xml:space="preserve">elevation of liver transaminases, hepatic dysfunction, hepatic failure, hepatic necrosis, jaundice </w:t>
            </w:r>
          </w:p>
          <w:p w14:paraId="00D1E861" w14:textId="77777777" w:rsidR="00A17559" w:rsidRPr="004E05E4" w:rsidRDefault="00A17559" w:rsidP="004E05E4">
            <w:pPr>
              <w:autoSpaceDE w:val="0"/>
              <w:autoSpaceDN w:val="0"/>
              <w:adjustRightInd w:val="0"/>
              <w:rPr>
                <w:rFonts w:eastAsia="SimSun"/>
                <w:sz w:val="24"/>
                <w:szCs w:val="24"/>
                <w:lang w:eastAsia="en-GB"/>
              </w:rPr>
            </w:pPr>
            <w:r w:rsidRPr="004E05E4">
              <w:rPr>
                <w:rFonts w:eastAsia="SimSun"/>
                <w:i/>
                <w:sz w:val="24"/>
                <w:szCs w:val="24"/>
                <w:lang w:eastAsia="en-GB"/>
              </w:rPr>
              <w:t xml:space="preserve">Not </w:t>
            </w:r>
            <w:proofErr w:type="spellStart"/>
            <w:r w:rsidRPr="004E05E4">
              <w:rPr>
                <w:rFonts w:eastAsia="SimSun"/>
                <w:i/>
                <w:sz w:val="24"/>
                <w:szCs w:val="24"/>
                <w:lang w:eastAsia="en-GB"/>
              </w:rPr>
              <w:t>known</w:t>
            </w:r>
            <w:proofErr w:type="spellEnd"/>
            <w:r w:rsidRPr="004E05E4">
              <w:rPr>
                <w:rFonts w:eastAsia="SimSun"/>
                <w:i/>
                <w:sz w:val="24"/>
                <w:szCs w:val="24"/>
                <w:lang w:eastAsia="en-GB"/>
              </w:rPr>
              <w:t>:</w:t>
            </w:r>
            <w:r w:rsidRPr="004E05E4">
              <w:rPr>
                <w:rFonts w:eastAsia="SimSun"/>
                <w:sz w:val="24"/>
                <w:szCs w:val="24"/>
                <w:lang w:eastAsia="en-GB"/>
              </w:rPr>
              <w:t xml:space="preserve"> hepatitis </w:t>
            </w:r>
          </w:p>
        </w:tc>
      </w:tr>
      <w:tr w:rsidR="00A17559" w:rsidRPr="004E05E4" w14:paraId="0BA7A1B1" w14:textId="77777777" w:rsidTr="004E05E4">
        <w:tc>
          <w:tcPr>
            <w:tcW w:w="2287" w:type="pct"/>
            <w:tcBorders>
              <w:top w:val="single" w:sz="4" w:space="0" w:color="auto"/>
              <w:left w:val="single" w:sz="4" w:space="0" w:color="auto"/>
              <w:bottom w:val="single" w:sz="4" w:space="0" w:color="auto"/>
              <w:right w:val="single" w:sz="4" w:space="0" w:color="auto"/>
            </w:tcBorders>
            <w:hideMark/>
          </w:tcPr>
          <w:p w14:paraId="31041513" w14:textId="77777777" w:rsidR="00A17559" w:rsidRPr="004E05E4" w:rsidRDefault="00A17559" w:rsidP="004E05E4">
            <w:pPr>
              <w:rPr>
                <w:sz w:val="24"/>
                <w:szCs w:val="24"/>
                <w:lang w:val="en-US" w:eastAsia="en-US"/>
              </w:rPr>
            </w:pPr>
            <w:r w:rsidRPr="004E05E4">
              <w:rPr>
                <w:sz w:val="24"/>
                <w:szCs w:val="24"/>
                <w:lang w:val="en-US"/>
              </w:rPr>
              <w:lastRenderedPageBreak/>
              <w:t>Skin and subcutaneous tissue disorders</w:t>
            </w:r>
          </w:p>
        </w:tc>
        <w:tc>
          <w:tcPr>
            <w:tcW w:w="2713" w:type="pct"/>
            <w:tcBorders>
              <w:top w:val="single" w:sz="4" w:space="0" w:color="auto"/>
              <w:left w:val="single" w:sz="4" w:space="0" w:color="auto"/>
              <w:bottom w:val="single" w:sz="4" w:space="0" w:color="auto"/>
              <w:right w:val="single" w:sz="4" w:space="0" w:color="auto"/>
            </w:tcBorders>
            <w:hideMark/>
          </w:tcPr>
          <w:p w14:paraId="04A93895" w14:textId="77777777" w:rsidR="00A17559" w:rsidRPr="004E05E4" w:rsidRDefault="00A17559" w:rsidP="004E05E4">
            <w:pPr>
              <w:autoSpaceDE w:val="0"/>
              <w:autoSpaceDN w:val="0"/>
              <w:adjustRightInd w:val="0"/>
              <w:rPr>
                <w:rFonts w:eastAsia="SimSun"/>
                <w:iCs/>
                <w:sz w:val="24"/>
                <w:szCs w:val="24"/>
                <w:lang w:val="en-US" w:eastAsia="en-GB"/>
              </w:rPr>
            </w:pPr>
            <w:r w:rsidRPr="004E05E4">
              <w:rPr>
                <w:rFonts w:eastAsia="SimSun"/>
                <w:i/>
                <w:iCs/>
                <w:sz w:val="24"/>
                <w:szCs w:val="24"/>
                <w:lang w:val="en-US" w:eastAsia="en-GB"/>
              </w:rPr>
              <w:t xml:space="preserve">Rare: </w:t>
            </w:r>
            <w:r w:rsidRPr="004E05E4">
              <w:rPr>
                <w:rFonts w:eastAsia="SimSun"/>
                <w:iCs/>
                <w:sz w:val="24"/>
                <w:szCs w:val="24"/>
                <w:lang w:val="en-US" w:eastAsia="en-GB"/>
              </w:rPr>
              <w:t>pruritus, rashes, sweating, angioedema, urticaria</w:t>
            </w:r>
          </w:p>
          <w:p w14:paraId="6AEC7093" w14:textId="77777777" w:rsidR="00A17559" w:rsidRPr="004E05E4" w:rsidRDefault="00A17559" w:rsidP="004E05E4">
            <w:pPr>
              <w:autoSpaceDE w:val="0"/>
              <w:autoSpaceDN w:val="0"/>
              <w:adjustRightInd w:val="0"/>
              <w:rPr>
                <w:rFonts w:eastAsia="SimSun"/>
                <w:iCs/>
                <w:sz w:val="24"/>
                <w:szCs w:val="24"/>
                <w:lang w:eastAsia="en-GB"/>
              </w:rPr>
            </w:pPr>
            <w:r w:rsidRPr="004E05E4">
              <w:rPr>
                <w:rFonts w:eastAsia="SimSun"/>
                <w:i/>
                <w:iCs/>
                <w:sz w:val="24"/>
                <w:szCs w:val="24"/>
                <w:lang w:eastAsia="en-GB"/>
              </w:rPr>
              <w:t xml:space="preserve">Not </w:t>
            </w:r>
            <w:proofErr w:type="spellStart"/>
            <w:r w:rsidRPr="004E05E4">
              <w:rPr>
                <w:rFonts w:eastAsia="SimSun"/>
                <w:i/>
                <w:iCs/>
                <w:sz w:val="24"/>
                <w:szCs w:val="24"/>
                <w:lang w:eastAsia="en-GB"/>
              </w:rPr>
              <w:t>known</w:t>
            </w:r>
            <w:proofErr w:type="spellEnd"/>
            <w:r w:rsidRPr="004E05E4">
              <w:rPr>
                <w:rFonts w:eastAsia="SimSun"/>
                <w:i/>
                <w:iCs/>
                <w:sz w:val="24"/>
                <w:szCs w:val="24"/>
                <w:lang w:eastAsia="en-GB"/>
              </w:rPr>
              <w:t>:</w:t>
            </w:r>
            <w:r w:rsidRPr="004E05E4">
              <w:rPr>
                <w:rFonts w:eastAsia="SimSun"/>
                <w:iCs/>
                <w:sz w:val="24"/>
                <w:szCs w:val="24"/>
                <w:lang w:eastAsia="en-GB"/>
              </w:rPr>
              <w:t xml:space="preserve"> </w:t>
            </w:r>
            <w:proofErr w:type="spellStart"/>
            <w:r w:rsidRPr="004E05E4">
              <w:rPr>
                <w:rFonts w:eastAsia="SimSun"/>
                <w:iCs/>
                <w:sz w:val="24"/>
                <w:szCs w:val="24"/>
                <w:lang w:eastAsia="en-GB"/>
              </w:rPr>
              <w:t>exanthema</w:t>
            </w:r>
            <w:proofErr w:type="spellEnd"/>
          </w:p>
        </w:tc>
      </w:tr>
      <w:tr w:rsidR="00A17559" w:rsidRPr="004E05E4" w14:paraId="515DE527" w14:textId="77777777" w:rsidTr="004E05E4">
        <w:tc>
          <w:tcPr>
            <w:tcW w:w="2287" w:type="pct"/>
            <w:tcBorders>
              <w:top w:val="single" w:sz="4" w:space="0" w:color="auto"/>
              <w:left w:val="single" w:sz="4" w:space="0" w:color="auto"/>
              <w:bottom w:val="single" w:sz="4" w:space="0" w:color="auto"/>
              <w:right w:val="single" w:sz="4" w:space="0" w:color="auto"/>
            </w:tcBorders>
            <w:hideMark/>
          </w:tcPr>
          <w:p w14:paraId="38F2BCEC" w14:textId="77777777" w:rsidR="00A17559" w:rsidRPr="004E05E4" w:rsidRDefault="00A17559" w:rsidP="004E05E4">
            <w:pPr>
              <w:rPr>
                <w:sz w:val="24"/>
                <w:szCs w:val="24"/>
                <w:lang w:eastAsia="en-US"/>
              </w:rPr>
            </w:pPr>
            <w:proofErr w:type="spellStart"/>
            <w:r w:rsidRPr="004E05E4">
              <w:rPr>
                <w:sz w:val="24"/>
                <w:szCs w:val="24"/>
              </w:rPr>
              <w:t>Nervous</w:t>
            </w:r>
            <w:proofErr w:type="spellEnd"/>
            <w:r w:rsidRPr="004E05E4">
              <w:rPr>
                <w:sz w:val="24"/>
                <w:szCs w:val="24"/>
              </w:rPr>
              <w:t xml:space="preserve"> system </w:t>
            </w:r>
            <w:proofErr w:type="spellStart"/>
            <w:r w:rsidRPr="004E05E4">
              <w:rPr>
                <w:sz w:val="24"/>
                <w:szCs w:val="24"/>
              </w:rPr>
              <w:t>disorders</w:t>
            </w:r>
            <w:proofErr w:type="spellEnd"/>
          </w:p>
        </w:tc>
        <w:tc>
          <w:tcPr>
            <w:tcW w:w="2713" w:type="pct"/>
            <w:tcBorders>
              <w:top w:val="single" w:sz="4" w:space="0" w:color="auto"/>
              <w:left w:val="single" w:sz="4" w:space="0" w:color="auto"/>
              <w:bottom w:val="single" w:sz="4" w:space="0" w:color="auto"/>
              <w:right w:val="single" w:sz="4" w:space="0" w:color="auto"/>
            </w:tcBorders>
            <w:hideMark/>
          </w:tcPr>
          <w:p w14:paraId="5346775C" w14:textId="77777777" w:rsidR="00A17559" w:rsidRPr="004E05E4" w:rsidRDefault="00A17559" w:rsidP="004E05E4">
            <w:pPr>
              <w:autoSpaceDE w:val="0"/>
              <w:autoSpaceDN w:val="0"/>
              <w:adjustRightInd w:val="0"/>
              <w:rPr>
                <w:rFonts w:eastAsia="SimSun"/>
                <w:iCs/>
                <w:sz w:val="24"/>
                <w:szCs w:val="24"/>
                <w:lang w:eastAsia="en-GB"/>
              </w:rPr>
            </w:pPr>
            <w:r w:rsidRPr="004E05E4">
              <w:rPr>
                <w:rFonts w:eastAsia="SimSun"/>
                <w:i/>
                <w:iCs/>
                <w:sz w:val="24"/>
                <w:szCs w:val="24"/>
                <w:lang w:eastAsia="en-GB"/>
              </w:rPr>
              <w:t xml:space="preserve">Rare: </w:t>
            </w:r>
            <w:proofErr w:type="spellStart"/>
            <w:r w:rsidRPr="004E05E4">
              <w:rPr>
                <w:rFonts w:eastAsia="SimSun"/>
                <w:iCs/>
                <w:sz w:val="24"/>
                <w:szCs w:val="24"/>
                <w:lang w:eastAsia="en-GB"/>
              </w:rPr>
              <w:t>headache</w:t>
            </w:r>
            <w:proofErr w:type="spellEnd"/>
          </w:p>
        </w:tc>
      </w:tr>
      <w:tr w:rsidR="00A17559" w:rsidRPr="00A034D9" w14:paraId="474CBD90" w14:textId="77777777" w:rsidTr="004E05E4">
        <w:tc>
          <w:tcPr>
            <w:tcW w:w="2287" w:type="pct"/>
            <w:tcBorders>
              <w:top w:val="single" w:sz="4" w:space="0" w:color="auto"/>
              <w:left w:val="single" w:sz="4" w:space="0" w:color="auto"/>
              <w:bottom w:val="single" w:sz="4" w:space="0" w:color="auto"/>
              <w:right w:val="single" w:sz="4" w:space="0" w:color="auto"/>
            </w:tcBorders>
            <w:hideMark/>
          </w:tcPr>
          <w:p w14:paraId="1A2CF61E" w14:textId="77777777" w:rsidR="00A17559" w:rsidRPr="004E05E4" w:rsidRDefault="00A17559" w:rsidP="004E05E4">
            <w:pPr>
              <w:rPr>
                <w:sz w:val="24"/>
                <w:szCs w:val="24"/>
                <w:lang w:eastAsia="en-US"/>
              </w:rPr>
            </w:pPr>
            <w:proofErr w:type="spellStart"/>
            <w:r w:rsidRPr="004E05E4">
              <w:rPr>
                <w:sz w:val="24"/>
                <w:szCs w:val="24"/>
              </w:rPr>
              <w:t>Gastrointestinal</w:t>
            </w:r>
            <w:proofErr w:type="spellEnd"/>
            <w:r w:rsidRPr="004E05E4">
              <w:rPr>
                <w:sz w:val="24"/>
                <w:szCs w:val="24"/>
              </w:rPr>
              <w:t xml:space="preserve"> </w:t>
            </w:r>
            <w:proofErr w:type="spellStart"/>
            <w:r w:rsidRPr="004E05E4">
              <w:rPr>
                <w:sz w:val="24"/>
                <w:szCs w:val="24"/>
              </w:rPr>
              <w:t>disturbances</w:t>
            </w:r>
            <w:proofErr w:type="spellEnd"/>
          </w:p>
        </w:tc>
        <w:tc>
          <w:tcPr>
            <w:tcW w:w="2713" w:type="pct"/>
            <w:tcBorders>
              <w:top w:val="single" w:sz="4" w:space="0" w:color="auto"/>
              <w:left w:val="single" w:sz="4" w:space="0" w:color="auto"/>
              <w:bottom w:val="single" w:sz="4" w:space="0" w:color="auto"/>
              <w:right w:val="single" w:sz="4" w:space="0" w:color="auto"/>
            </w:tcBorders>
            <w:hideMark/>
          </w:tcPr>
          <w:p w14:paraId="49EA946C" w14:textId="77777777" w:rsidR="00A17559" w:rsidRPr="004E05E4" w:rsidRDefault="00A17559" w:rsidP="004E05E4">
            <w:pPr>
              <w:autoSpaceDE w:val="0"/>
              <w:autoSpaceDN w:val="0"/>
              <w:adjustRightInd w:val="0"/>
              <w:rPr>
                <w:rFonts w:eastAsia="SimSun"/>
                <w:iCs/>
                <w:sz w:val="24"/>
                <w:szCs w:val="24"/>
                <w:lang w:val="en-US" w:eastAsia="en-GB"/>
              </w:rPr>
            </w:pPr>
            <w:r w:rsidRPr="004E05E4">
              <w:rPr>
                <w:rFonts w:eastAsia="SimSun"/>
                <w:i/>
                <w:iCs/>
                <w:sz w:val="24"/>
                <w:szCs w:val="24"/>
                <w:lang w:val="en-US" w:eastAsia="en-GB"/>
              </w:rPr>
              <w:t xml:space="preserve">Rare: </w:t>
            </w:r>
            <w:r w:rsidRPr="004E05E4">
              <w:rPr>
                <w:rFonts w:eastAsia="SimSun"/>
                <w:iCs/>
                <w:sz w:val="24"/>
                <w:szCs w:val="24"/>
                <w:lang w:val="en-US" w:eastAsia="en-GB"/>
              </w:rPr>
              <w:t xml:space="preserve">abdominal pain, </w:t>
            </w:r>
            <w:proofErr w:type="spellStart"/>
            <w:r w:rsidRPr="004E05E4">
              <w:rPr>
                <w:rFonts w:eastAsia="SimSun"/>
                <w:iCs/>
                <w:sz w:val="24"/>
                <w:szCs w:val="24"/>
                <w:lang w:val="en-US" w:eastAsia="en-GB"/>
              </w:rPr>
              <w:t>diarrhoea</w:t>
            </w:r>
            <w:proofErr w:type="spellEnd"/>
            <w:r w:rsidRPr="004E05E4">
              <w:rPr>
                <w:rFonts w:eastAsia="SimSun"/>
                <w:iCs/>
                <w:sz w:val="24"/>
                <w:szCs w:val="24"/>
                <w:lang w:val="en-US" w:eastAsia="en-GB"/>
              </w:rPr>
              <w:t>, nausea, vomiting and constipation</w:t>
            </w:r>
          </w:p>
        </w:tc>
      </w:tr>
      <w:tr w:rsidR="00A17559" w:rsidRPr="00A034D9" w14:paraId="545C3AD4" w14:textId="77777777" w:rsidTr="004E05E4">
        <w:tc>
          <w:tcPr>
            <w:tcW w:w="2287" w:type="pct"/>
            <w:tcBorders>
              <w:top w:val="single" w:sz="4" w:space="0" w:color="auto"/>
              <w:left w:val="single" w:sz="4" w:space="0" w:color="auto"/>
              <w:bottom w:val="single" w:sz="4" w:space="0" w:color="auto"/>
              <w:right w:val="single" w:sz="4" w:space="0" w:color="auto"/>
            </w:tcBorders>
            <w:hideMark/>
          </w:tcPr>
          <w:p w14:paraId="66111E58" w14:textId="77777777" w:rsidR="00A17559" w:rsidRPr="004E05E4" w:rsidRDefault="00A17559" w:rsidP="004E05E4">
            <w:pPr>
              <w:rPr>
                <w:sz w:val="24"/>
                <w:szCs w:val="24"/>
                <w:lang w:eastAsia="en-US"/>
              </w:rPr>
            </w:pPr>
            <w:proofErr w:type="spellStart"/>
            <w:r w:rsidRPr="004E05E4">
              <w:rPr>
                <w:sz w:val="24"/>
                <w:szCs w:val="24"/>
              </w:rPr>
              <w:t>Kidney</w:t>
            </w:r>
            <w:proofErr w:type="spellEnd"/>
            <w:r w:rsidRPr="004E05E4">
              <w:rPr>
                <w:sz w:val="24"/>
                <w:szCs w:val="24"/>
              </w:rPr>
              <w:t xml:space="preserve"> and </w:t>
            </w:r>
            <w:proofErr w:type="spellStart"/>
            <w:r w:rsidRPr="004E05E4">
              <w:rPr>
                <w:sz w:val="24"/>
                <w:szCs w:val="24"/>
              </w:rPr>
              <w:t>urinary</w:t>
            </w:r>
            <w:proofErr w:type="spellEnd"/>
            <w:r w:rsidRPr="004E05E4">
              <w:rPr>
                <w:sz w:val="24"/>
                <w:szCs w:val="24"/>
              </w:rPr>
              <w:t xml:space="preserve"> </w:t>
            </w:r>
            <w:proofErr w:type="spellStart"/>
            <w:r w:rsidRPr="004E05E4">
              <w:rPr>
                <w:sz w:val="24"/>
                <w:szCs w:val="24"/>
              </w:rPr>
              <w:t>disorders</w:t>
            </w:r>
            <w:proofErr w:type="spellEnd"/>
          </w:p>
        </w:tc>
        <w:tc>
          <w:tcPr>
            <w:tcW w:w="2713" w:type="pct"/>
            <w:tcBorders>
              <w:top w:val="single" w:sz="4" w:space="0" w:color="auto"/>
              <w:left w:val="single" w:sz="4" w:space="0" w:color="auto"/>
              <w:bottom w:val="single" w:sz="4" w:space="0" w:color="auto"/>
              <w:right w:val="single" w:sz="4" w:space="0" w:color="auto"/>
            </w:tcBorders>
            <w:hideMark/>
          </w:tcPr>
          <w:p w14:paraId="39C5F86D" w14:textId="77777777" w:rsidR="00A17559" w:rsidRPr="004E05E4" w:rsidRDefault="00A17559" w:rsidP="004E05E4">
            <w:pPr>
              <w:autoSpaceDE w:val="0"/>
              <w:autoSpaceDN w:val="0"/>
              <w:adjustRightInd w:val="0"/>
              <w:rPr>
                <w:rFonts w:eastAsia="SimSun"/>
                <w:iCs/>
                <w:sz w:val="24"/>
                <w:szCs w:val="24"/>
                <w:lang w:val="en-US" w:eastAsia="en-GB"/>
              </w:rPr>
            </w:pPr>
            <w:r w:rsidRPr="004E05E4">
              <w:rPr>
                <w:rFonts w:eastAsia="SimSun"/>
                <w:i/>
                <w:iCs/>
                <w:sz w:val="24"/>
                <w:szCs w:val="24"/>
                <w:lang w:val="en-US" w:eastAsia="en-GB"/>
              </w:rPr>
              <w:t>Very rare:</w:t>
            </w:r>
            <w:r w:rsidRPr="004E05E4">
              <w:rPr>
                <w:rFonts w:eastAsia="SimSun"/>
                <w:iCs/>
                <w:sz w:val="24"/>
                <w:szCs w:val="24"/>
                <w:lang w:val="en-US" w:eastAsia="en-GB"/>
              </w:rPr>
              <w:t xml:space="preserve"> sterile pyuria (cloudy urine) </w:t>
            </w:r>
          </w:p>
          <w:p w14:paraId="7AD83AFF" w14:textId="77777777" w:rsidR="00A17559" w:rsidRPr="004E05E4" w:rsidRDefault="00A17559" w:rsidP="004E05E4">
            <w:pPr>
              <w:autoSpaceDE w:val="0"/>
              <w:autoSpaceDN w:val="0"/>
              <w:adjustRightInd w:val="0"/>
              <w:rPr>
                <w:rFonts w:eastAsia="SimSun"/>
                <w:iCs/>
                <w:sz w:val="24"/>
                <w:szCs w:val="24"/>
                <w:lang w:val="en-US" w:eastAsia="en-GB"/>
              </w:rPr>
            </w:pPr>
            <w:r w:rsidRPr="004E05E4">
              <w:rPr>
                <w:rFonts w:eastAsia="SimSun"/>
                <w:i/>
                <w:iCs/>
                <w:sz w:val="24"/>
                <w:szCs w:val="24"/>
                <w:lang w:val="en-US" w:eastAsia="en-GB"/>
              </w:rPr>
              <w:t xml:space="preserve">Not known: </w:t>
            </w:r>
            <w:r w:rsidRPr="004E05E4">
              <w:rPr>
                <w:rFonts w:eastAsia="SimSun"/>
                <w:iCs/>
                <w:sz w:val="24"/>
                <w:szCs w:val="24"/>
                <w:lang w:val="en-US" w:eastAsia="en-GB"/>
              </w:rPr>
              <w:t>nephropathies (interstitial nephritis, tubular necrosis) following prolonged use of high doses</w:t>
            </w:r>
          </w:p>
        </w:tc>
      </w:tr>
      <w:tr w:rsidR="00A17559" w:rsidRPr="004E05E4" w14:paraId="49590A08" w14:textId="77777777" w:rsidTr="004E05E4">
        <w:tc>
          <w:tcPr>
            <w:tcW w:w="2287" w:type="pct"/>
            <w:tcBorders>
              <w:top w:val="single" w:sz="4" w:space="0" w:color="auto"/>
              <w:left w:val="single" w:sz="4" w:space="0" w:color="auto"/>
              <w:bottom w:val="single" w:sz="4" w:space="0" w:color="auto"/>
              <w:right w:val="single" w:sz="4" w:space="0" w:color="auto"/>
            </w:tcBorders>
            <w:hideMark/>
          </w:tcPr>
          <w:p w14:paraId="7149A9F5" w14:textId="77777777" w:rsidR="00A17559" w:rsidRPr="004E05E4" w:rsidRDefault="00A17559" w:rsidP="004E05E4">
            <w:pPr>
              <w:rPr>
                <w:sz w:val="24"/>
                <w:szCs w:val="24"/>
                <w:lang w:eastAsia="en-US"/>
              </w:rPr>
            </w:pPr>
            <w:r w:rsidRPr="004E05E4">
              <w:rPr>
                <w:sz w:val="24"/>
                <w:szCs w:val="24"/>
              </w:rPr>
              <w:t xml:space="preserve">General </w:t>
            </w:r>
            <w:proofErr w:type="spellStart"/>
            <w:r w:rsidRPr="004E05E4">
              <w:rPr>
                <w:sz w:val="24"/>
                <w:szCs w:val="24"/>
              </w:rPr>
              <w:t>disorders</w:t>
            </w:r>
            <w:proofErr w:type="spellEnd"/>
          </w:p>
        </w:tc>
        <w:tc>
          <w:tcPr>
            <w:tcW w:w="2713" w:type="pct"/>
            <w:tcBorders>
              <w:top w:val="single" w:sz="4" w:space="0" w:color="auto"/>
              <w:left w:val="single" w:sz="4" w:space="0" w:color="auto"/>
              <w:bottom w:val="single" w:sz="4" w:space="0" w:color="auto"/>
              <w:right w:val="single" w:sz="4" w:space="0" w:color="auto"/>
            </w:tcBorders>
            <w:hideMark/>
          </w:tcPr>
          <w:p w14:paraId="320A1F21" w14:textId="77777777" w:rsidR="00A17559" w:rsidRPr="004E05E4" w:rsidRDefault="00A17559" w:rsidP="004E05E4">
            <w:pPr>
              <w:autoSpaceDE w:val="0"/>
              <w:autoSpaceDN w:val="0"/>
              <w:adjustRightInd w:val="0"/>
              <w:rPr>
                <w:rFonts w:eastAsia="SimSun"/>
                <w:iCs/>
                <w:sz w:val="24"/>
                <w:szCs w:val="24"/>
                <w:lang w:eastAsia="en-GB"/>
              </w:rPr>
            </w:pPr>
            <w:r w:rsidRPr="004E05E4">
              <w:rPr>
                <w:rFonts w:eastAsia="SimSun"/>
                <w:i/>
                <w:iCs/>
                <w:sz w:val="24"/>
                <w:szCs w:val="24"/>
                <w:lang w:eastAsia="en-GB"/>
              </w:rPr>
              <w:t xml:space="preserve">Rare: </w:t>
            </w:r>
            <w:proofErr w:type="spellStart"/>
            <w:r w:rsidRPr="004E05E4">
              <w:rPr>
                <w:rFonts w:eastAsia="SimSun"/>
                <w:iCs/>
                <w:sz w:val="24"/>
                <w:szCs w:val="24"/>
                <w:lang w:eastAsia="en-GB"/>
              </w:rPr>
              <w:t>dizziness</w:t>
            </w:r>
            <w:proofErr w:type="spellEnd"/>
            <w:r w:rsidRPr="004E05E4">
              <w:rPr>
                <w:rFonts w:eastAsia="SimSun"/>
                <w:iCs/>
                <w:sz w:val="24"/>
                <w:szCs w:val="24"/>
                <w:lang w:eastAsia="en-GB"/>
              </w:rPr>
              <w:t xml:space="preserve">, </w:t>
            </w:r>
            <w:proofErr w:type="spellStart"/>
            <w:r w:rsidRPr="004E05E4">
              <w:rPr>
                <w:rFonts w:eastAsia="SimSun"/>
                <w:iCs/>
                <w:sz w:val="24"/>
                <w:szCs w:val="24"/>
                <w:lang w:eastAsia="en-GB"/>
              </w:rPr>
              <w:t>malaise</w:t>
            </w:r>
            <w:proofErr w:type="spellEnd"/>
          </w:p>
        </w:tc>
      </w:tr>
      <w:tr w:rsidR="00A17559" w:rsidRPr="004E05E4" w14:paraId="2E2818D7" w14:textId="77777777" w:rsidTr="004E05E4">
        <w:tc>
          <w:tcPr>
            <w:tcW w:w="2287" w:type="pct"/>
            <w:tcBorders>
              <w:top w:val="single" w:sz="4" w:space="0" w:color="auto"/>
              <w:left w:val="single" w:sz="4" w:space="0" w:color="auto"/>
              <w:bottom w:val="single" w:sz="4" w:space="0" w:color="auto"/>
              <w:right w:val="single" w:sz="4" w:space="0" w:color="auto"/>
            </w:tcBorders>
            <w:hideMark/>
          </w:tcPr>
          <w:p w14:paraId="77E2B4F6" w14:textId="77777777" w:rsidR="00A17559" w:rsidRPr="004E05E4" w:rsidRDefault="00A17559" w:rsidP="004E05E4">
            <w:pPr>
              <w:rPr>
                <w:sz w:val="24"/>
                <w:szCs w:val="24"/>
                <w:lang w:eastAsia="en-US"/>
              </w:rPr>
            </w:pPr>
            <w:proofErr w:type="spellStart"/>
            <w:r w:rsidRPr="004E05E4">
              <w:rPr>
                <w:sz w:val="24"/>
                <w:szCs w:val="24"/>
              </w:rPr>
              <w:t>Injury</w:t>
            </w:r>
            <w:proofErr w:type="spellEnd"/>
            <w:r w:rsidRPr="004E05E4">
              <w:rPr>
                <w:sz w:val="24"/>
                <w:szCs w:val="24"/>
              </w:rPr>
              <w:t xml:space="preserve">, </w:t>
            </w:r>
            <w:proofErr w:type="spellStart"/>
            <w:r w:rsidRPr="004E05E4">
              <w:rPr>
                <w:sz w:val="24"/>
                <w:szCs w:val="24"/>
              </w:rPr>
              <w:t>poisoning</w:t>
            </w:r>
            <w:proofErr w:type="spellEnd"/>
            <w:r w:rsidRPr="004E05E4">
              <w:rPr>
                <w:sz w:val="24"/>
                <w:szCs w:val="24"/>
              </w:rPr>
              <w:t xml:space="preserve"> and </w:t>
            </w:r>
            <w:proofErr w:type="spellStart"/>
            <w:r w:rsidRPr="004E05E4">
              <w:rPr>
                <w:sz w:val="24"/>
                <w:szCs w:val="24"/>
              </w:rPr>
              <w:t>complications</w:t>
            </w:r>
            <w:proofErr w:type="spellEnd"/>
          </w:p>
        </w:tc>
        <w:tc>
          <w:tcPr>
            <w:tcW w:w="2713" w:type="pct"/>
            <w:tcBorders>
              <w:top w:val="single" w:sz="4" w:space="0" w:color="auto"/>
              <w:left w:val="single" w:sz="4" w:space="0" w:color="auto"/>
              <w:bottom w:val="single" w:sz="4" w:space="0" w:color="auto"/>
              <w:right w:val="single" w:sz="4" w:space="0" w:color="auto"/>
            </w:tcBorders>
            <w:hideMark/>
          </w:tcPr>
          <w:p w14:paraId="4F453C53" w14:textId="77777777" w:rsidR="00A17559" w:rsidRPr="004E05E4" w:rsidRDefault="00A17559" w:rsidP="004E05E4">
            <w:pPr>
              <w:autoSpaceDE w:val="0"/>
              <w:autoSpaceDN w:val="0"/>
              <w:adjustRightInd w:val="0"/>
              <w:rPr>
                <w:rFonts w:eastAsia="SimSun"/>
                <w:iCs/>
                <w:sz w:val="24"/>
                <w:szCs w:val="24"/>
                <w:lang w:eastAsia="en-GB"/>
              </w:rPr>
            </w:pPr>
            <w:r w:rsidRPr="004E05E4">
              <w:rPr>
                <w:rFonts w:eastAsia="SimSun"/>
                <w:i/>
                <w:iCs/>
                <w:sz w:val="24"/>
                <w:szCs w:val="24"/>
                <w:lang w:eastAsia="en-GB"/>
              </w:rPr>
              <w:t xml:space="preserve">Rare: </w:t>
            </w:r>
            <w:proofErr w:type="spellStart"/>
            <w:r w:rsidRPr="004E05E4">
              <w:rPr>
                <w:rFonts w:eastAsia="SimSun"/>
                <w:iCs/>
                <w:sz w:val="24"/>
                <w:szCs w:val="24"/>
                <w:lang w:eastAsia="en-GB"/>
              </w:rPr>
              <w:t>overdose</w:t>
            </w:r>
            <w:proofErr w:type="spellEnd"/>
            <w:r w:rsidRPr="004E05E4">
              <w:rPr>
                <w:rFonts w:eastAsia="SimSun"/>
                <w:iCs/>
                <w:sz w:val="24"/>
                <w:szCs w:val="24"/>
                <w:lang w:eastAsia="en-GB"/>
              </w:rPr>
              <w:t xml:space="preserve"> and </w:t>
            </w:r>
            <w:proofErr w:type="spellStart"/>
            <w:r w:rsidRPr="004E05E4">
              <w:rPr>
                <w:rFonts w:eastAsia="SimSun"/>
                <w:iCs/>
                <w:sz w:val="24"/>
                <w:szCs w:val="24"/>
                <w:lang w:eastAsia="en-GB"/>
              </w:rPr>
              <w:t>intoxication</w:t>
            </w:r>
            <w:proofErr w:type="spellEnd"/>
          </w:p>
        </w:tc>
      </w:tr>
    </w:tbl>
    <w:p w14:paraId="534DBE08" w14:textId="77777777" w:rsidR="00A17559" w:rsidRPr="004E05E4" w:rsidRDefault="00A17559" w:rsidP="00A17559">
      <w:pPr>
        <w:rPr>
          <w:sz w:val="24"/>
          <w:szCs w:val="24"/>
          <w:u w:val="single"/>
          <w:lang w:val="en-GB" w:eastAsia="en-US"/>
        </w:rPr>
      </w:pPr>
    </w:p>
    <w:p w14:paraId="3F8F80EC" w14:textId="77777777" w:rsidR="004E05E4" w:rsidRPr="004E05E4" w:rsidRDefault="004E05E4" w:rsidP="004E05E4">
      <w:pPr>
        <w:ind w:left="851"/>
        <w:rPr>
          <w:sz w:val="24"/>
          <w:szCs w:val="24"/>
          <w:u w:val="single"/>
          <w:lang w:val="en-GB"/>
        </w:rPr>
      </w:pPr>
      <w:r w:rsidRPr="004E05E4">
        <w:rPr>
          <w:sz w:val="24"/>
          <w:szCs w:val="24"/>
          <w:u w:val="single"/>
          <w:lang w:val="en-GB"/>
        </w:rPr>
        <w:t>Reporting of suspected adverse reactions</w:t>
      </w:r>
    </w:p>
    <w:p w14:paraId="7F51C565" w14:textId="77777777" w:rsidR="004E05E4" w:rsidRPr="004E05E4" w:rsidRDefault="004E05E4" w:rsidP="004E05E4">
      <w:pPr>
        <w:ind w:left="851"/>
        <w:rPr>
          <w:sz w:val="24"/>
          <w:szCs w:val="24"/>
          <w:lang w:val="en-GB"/>
        </w:rPr>
      </w:pPr>
      <w:r w:rsidRPr="004E05E4">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F0EAC2C" w14:textId="77777777" w:rsidR="004E05E4" w:rsidRPr="004E05E4" w:rsidRDefault="004E05E4" w:rsidP="004E05E4">
      <w:pPr>
        <w:ind w:left="851"/>
        <w:rPr>
          <w:sz w:val="24"/>
          <w:szCs w:val="24"/>
          <w:lang w:val="en-GB"/>
        </w:rPr>
      </w:pPr>
    </w:p>
    <w:p w14:paraId="70F0172E" w14:textId="77777777" w:rsidR="004E05E4" w:rsidRPr="004E05E4" w:rsidRDefault="004E05E4" w:rsidP="004E05E4">
      <w:pPr>
        <w:ind w:left="851"/>
        <w:rPr>
          <w:sz w:val="24"/>
          <w:szCs w:val="24"/>
        </w:rPr>
      </w:pPr>
      <w:r w:rsidRPr="004E05E4">
        <w:rPr>
          <w:sz w:val="24"/>
          <w:szCs w:val="24"/>
        </w:rPr>
        <w:t>Lægemiddelstyrelsen</w:t>
      </w:r>
    </w:p>
    <w:p w14:paraId="45B64203" w14:textId="77777777" w:rsidR="004E05E4" w:rsidRPr="004E05E4" w:rsidRDefault="004E05E4" w:rsidP="004E05E4">
      <w:pPr>
        <w:ind w:left="851"/>
        <w:rPr>
          <w:sz w:val="24"/>
          <w:szCs w:val="24"/>
        </w:rPr>
      </w:pPr>
      <w:r w:rsidRPr="004E05E4">
        <w:rPr>
          <w:sz w:val="24"/>
          <w:szCs w:val="24"/>
        </w:rPr>
        <w:t>Axel Heides Gade 1</w:t>
      </w:r>
    </w:p>
    <w:p w14:paraId="7C0F4221" w14:textId="77777777" w:rsidR="004E05E4" w:rsidRPr="004E05E4" w:rsidRDefault="004E05E4" w:rsidP="004E05E4">
      <w:pPr>
        <w:ind w:left="851"/>
        <w:rPr>
          <w:sz w:val="24"/>
          <w:szCs w:val="24"/>
        </w:rPr>
      </w:pPr>
      <w:r w:rsidRPr="004E05E4">
        <w:rPr>
          <w:sz w:val="24"/>
          <w:szCs w:val="24"/>
        </w:rPr>
        <w:t>DK-2300 København S</w:t>
      </w:r>
    </w:p>
    <w:p w14:paraId="7068F268" w14:textId="4B485392" w:rsidR="004E05E4" w:rsidRDefault="004E05E4" w:rsidP="004E05E4">
      <w:pPr>
        <w:ind w:left="851"/>
        <w:rPr>
          <w:sz w:val="24"/>
          <w:szCs w:val="24"/>
          <w:lang w:val="en-US"/>
        </w:rPr>
      </w:pPr>
      <w:r w:rsidRPr="004E05E4">
        <w:rPr>
          <w:sz w:val="24"/>
          <w:szCs w:val="24"/>
          <w:lang w:val="en-US"/>
        </w:rPr>
        <w:t xml:space="preserve">Website: </w:t>
      </w:r>
      <w:r w:rsidR="00A034D9">
        <w:fldChar w:fldCharType="begin"/>
      </w:r>
      <w:r w:rsidR="00A034D9" w:rsidRPr="00A034D9">
        <w:rPr>
          <w:lang w:val="en-US"/>
        </w:rPr>
        <w:instrText xml:space="preserve"> HYPERLINK "http://www.meldenbivirkning.dk" </w:instrText>
      </w:r>
      <w:r w:rsidR="00A034D9">
        <w:fldChar w:fldCharType="separate"/>
      </w:r>
      <w:r w:rsidR="00E519B8" w:rsidRPr="00846970">
        <w:rPr>
          <w:rStyle w:val="Hyperlink"/>
          <w:sz w:val="24"/>
          <w:szCs w:val="24"/>
          <w:lang w:val="en-US"/>
        </w:rPr>
        <w:t>www.meldenbivirkning.dk</w:t>
      </w:r>
      <w:r w:rsidR="00A034D9">
        <w:rPr>
          <w:rStyle w:val="Hyperlink"/>
          <w:sz w:val="24"/>
          <w:szCs w:val="24"/>
          <w:lang w:val="en-US"/>
        </w:rPr>
        <w:fldChar w:fldCharType="end"/>
      </w:r>
    </w:p>
    <w:p w14:paraId="44257C44" w14:textId="77777777" w:rsidR="007C5D2A" w:rsidRPr="004E05E4" w:rsidRDefault="007C5D2A" w:rsidP="007A4CC6">
      <w:pPr>
        <w:tabs>
          <w:tab w:val="left" w:pos="851"/>
        </w:tabs>
        <w:ind w:left="851"/>
        <w:rPr>
          <w:sz w:val="24"/>
          <w:szCs w:val="24"/>
          <w:lang w:val="en-GB"/>
        </w:rPr>
      </w:pPr>
    </w:p>
    <w:p w14:paraId="6D1D0FF2" w14:textId="77777777" w:rsidR="007C5D2A" w:rsidRPr="004E05E4" w:rsidRDefault="007C5D2A" w:rsidP="007C5D2A">
      <w:pPr>
        <w:tabs>
          <w:tab w:val="left" w:pos="851"/>
        </w:tabs>
        <w:ind w:left="851" w:hanging="851"/>
        <w:rPr>
          <w:b/>
          <w:sz w:val="24"/>
          <w:szCs w:val="24"/>
          <w:lang w:val="en-GB"/>
        </w:rPr>
      </w:pPr>
      <w:r w:rsidRPr="004E05E4">
        <w:rPr>
          <w:b/>
          <w:sz w:val="24"/>
          <w:szCs w:val="24"/>
          <w:lang w:val="en-GB"/>
        </w:rPr>
        <w:t>4.9</w:t>
      </w:r>
      <w:r w:rsidRPr="004E05E4">
        <w:rPr>
          <w:b/>
          <w:sz w:val="24"/>
          <w:szCs w:val="24"/>
          <w:lang w:val="en-GB"/>
        </w:rPr>
        <w:tab/>
        <w:t>Overdose</w:t>
      </w:r>
    </w:p>
    <w:p w14:paraId="56E8EF3B" w14:textId="77777777" w:rsidR="00A17559" w:rsidRPr="004E05E4" w:rsidRDefault="00A17559" w:rsidP="004E05E4">
      <w:pPr>
        <w:ind w:left="851"/>
        <w:rPr>
          <w:sz w:val="24"/>
          <w:szCs w:val="24"/>
          <w:lang w:val="en-US"/>
        </w:rPr>
      </w:pPr>
      <w:r w:rsidRPr="004E05E4">
        <w:rPr>
          <w:sz w:val="24"/>
          <w:szCs w:val="24"/>
          <w:lang w:val="en-US"/>
        </w:rPr>
        <w:t>Paracetamol overdose may cause liver failure which can lead to liver transplant or death.</w:t>
      </w:r>
    </w:p>
    <w:p w14:paraId="412E99ED" w14:textId="77777777" w:rsidR="00A17559" w:rsidRPr="004E05E4" w:rsidRDefault="00A17559" w:rsidP="004E05E4">
      <w:pPr>
        <w:ind w:left="851"/>
        <w:rPr>
          <w:sz w:val="24"/>
          <w:szCs w:val="24"/>
          <w:lang w:val="en-US"/>
        </w:rPr>
      </w:pPr>
    </w:p>
    <w:p w14:paraId="33D3FDBA" w14:textId="77777777" w:rsidR="00A17559" w:rsidRPr="004E05E4" w:rsidRDefault="00A17559" w:rsidP="004E05E4">
      <w:pPr>
        <w:ind w:left="851"/>
        <w:rPr>
          <w:sz w:val="24"/>
          <w:szCs w:val="24"/>
          <w:lang w:val="en-US"/>
        </w:rPr>
      </w:pPr>
      <w:r w:rsidRPr="004E05E4">
        <w:rPr>
          <w:sz w:val="24"/>
          <w:szCs w:val="24"/>
          <w:lang w:val="en-US"/>
        </w:rPr>
        <w:t>There is a risk of poisoning with paracetamol particularly in elderly subjects, young children, patients with liver disease, cases of chronic alcoholism and in patients with chronic malnutrition, in patients that use enzyme inducing substances and adults weighing under 50 kg. Overdosing may be fatal in these cases.</w:t>
      </w:r>
    </w:p>
    <w:p w14:paraId="66B9A03C" w14:textId="77777777" w:rsidR="00A17559" w:rsidRPr="004E05E4" w:rsidRDefault="00A17559" w:rsidP="004E05E4">
      <w:pPr>
        <w:ind w:left="851"/>
        <w:rPr>
          <w:sz w:val="24"/>
          <w:szCs w:val="24"/>
          <w:lang w:val="en-US"/>
        </w:rPr>
      </w:pPr>
    </w:p>
    <w:p w14:paraId="7A450B90" w14:textId="77777777" w:rsidR="00A17559" w:rsidRPr="004E05E4" w:rsidRDefault="00A17559" w:rsidP="004E05E4">
      <w:pPr>
        <w:ind w:left="851"/>
        <w:rPr>
          <w:sz w:val="24"/>
          <w:szCs w:val="24"/>
          <w:lang w:val="en-US"/>
        </w:rPr>
      </w:pPr>
      <w:r w:rsidRPr="004E05E4">
        <w:rPr>
          <w:sz w:val="24"/>
          <w:szCs w:val="24"/>
          <w:lang w:val="en-US"/>
        </w:rPr>
        <w:t>Symptoms generally appear within the first 24 hours and may consist of: nausea, vomiting, anorexia, pallor, and abdominal pain, or patients may be asymptomatic.</w:t>
      </w:r>
    </w:p>
    <w:p w14:paraId="45D9977C" w14:textId="77777777" w:rsidR="00A17559" w:rsidRPr="004E05E4" w:rsidRDefault="00A17559" w:rsidP="004E05E4">
      <w:pPr>
        <w:ind w:left="851"/>
        <w:rPr>
          <w:sz w:val="24"/>
          <w:szCs w:val="24"/>
          <w:lang w:val="en-US"/>
        </w:rPr>
      </w:pPr>
    </w:p>
    <w:p w14:paraId="479559C5" w14:textId="77777777" w:rsidR="00A17559" w:rsidRPr="004E05E4" w:rsidRDefault="00A17559" w:rsidP="004E05E4">
      <w:pPr>
        <w:ind w:left="851"/>
        <w:rPr>
          <w:sz w:val="24"/>
          <w:szCs w:val="24"/>
          <w:lang w:val="en-US"/>
        </w:rPr>
      </w:pPr>
      <w:r w:rsidRPr="004E05E4">
        <w:rPr>
          <w:sz w:val="24"/>
          <w:szCs w:val="24"/>
          <w:lang w:val="en-US"/>
        </w:rPr>
        <w:t>Overdose of paracetamol in a single administration in adults or in children can cause liver cell necrosis likely to induce complete and irreversible necrosis, resulting in hepatocellular insufficiency, metabolic acidosis and encephalopathy which may cause coma and death. Simultaneously, increased levels of hepatic transaminases (AST, ALT), lactate dehydrogenase and bilirubin are observed together with increased prothrombin levels that may appear 12 to 48 hours after administration. Liver damage is likely in adults who have taken more than the recommended amounts of paracetamol. It is considered that excess quantities of toxic metabolite (usually adequately detoxified by glutathione when normal doses of paracetamol are ingested), become irreversibly bound to liver tissue.</w:t>
      </w:r>
    </w:p>
    <w:p w14:paraId="47A1BFB8" w14:textId="77777777" w:rsidR="00A17559" w:rsidRPr="004E05E4" w:rsidRDefault="00A17559" w:rsidP="004E05E4">
      <w:pPr>
        <w:ind w:left="851"/>
        <w:rPr>
          <w:sz w:val="24"/>
          <w:szCs w:val="24"/>
          <w:lang w:val="en-US"/>
        </w:rPr>
      </w:pPr>
    </w:p>
    <w:p w14:paraId="2344D7ED" w14:textId="77777777" w:rsidR="00A17559" w:rsidRPr="004E05E4" w:rsidRDefault="00A17559" w:rsidP="004E05E4">
      <w:pPr>
        <w:ind w:left="851"/>
        <w:rPr>
          <w:sz w:val="24"/>
          <w:szCs w:val="24"/>
          <w:lang w:val="en-US"/>
        </w:rPr>
      </w:pPr>
      <w:r w:rsidRPr="004E05E4">
        <w:rPr>
          <w:sz w:val="24"/>
          <w:szCs w:val="24"/>
          <w:lang w:val="en-US"/>
        </w:rPr>
        <w:t>Some patients may be at increased risk of liver damage from paracetamol toxicity.</w:t>
      </w:r>
    </w:p>
    <w:p w14:paraId="231C7006" w14:textId="77777777" w:rsidR="00A17559" w:rsidRPr="004E05E4" w:rsidRDefault="00A17559" w:rsidP="004E05E4">
      <w:pPr>
        <w:ind w:left="851"/>
        <w:rPr>
          <w:sz w:val="24"/>
          <w:szCs w:val="24"/>
          <w:lang w:val="en-US"/>
        </w:rPr>
      </w:pPr>
    </w:p>
    <w:p w14:paraId="15025041" w14:textId="77777777" w:rsidR="00A17559" w:rsidRPr="004E05E4" w:rsidRDefault="00A17559" w:rsidP="004E05E4">
      <w:pPr>
        <w:ind w:left="851"/>
        <w:rPr>
          <w:sz w:val="24"/>
          <w:szCs w:val="24"/>
          <w:lang w:val="en-US"/>
        </w:rPr>
      </w:pPr>
      <w:r w:rsidRPr="004E05E4">
        <w:rPr>
          <w:sz w:val="24"/>
          <w:szCs w:val="24"/>
          <w:lang w:val="en-US"/>
        </w:rPr>
        <w:t xml:space="preserve">Acute renal failure with acute tubular necrosis may also develop. </w:t>
      </w:r>
    </w:p>
    <w:p w14:paraId="14CD7853" w14:textId="77777777" w:rsidR="00A17559" w:rsidRPr="004E05E4" w:rsidRDefault="00A17559" w:rsidP="004E05E4">
      <w:pPr>
        <w:ind w:left="851"/>
        <w:rPr>
          <w:sz w:val="24"/>
          <w:szCs w:val="24"/>
          <w:lang w:val="en-US"/>
        </w:rPr>
      </w:pPr>
    </w:p>
    <w:p w14:paraId="298DD029" w14:textId="77777777" w:rsidR="00A17559" w:rsidRPr="004E05E4" w:rsidRDefault="00A17559" w:rsidP="004E05E4">
      <w:pPr>
        <w:ind w:left="851"/>
        <w:rPr>
          <w:sz w:val="24"/>
          <w:szCs w:val="24"/>
          <w:lang w:val="en-US"/>
        </w:rPr>
      </w:pPr>
      <w:r w:rsidRPr="004E05E4">
        <w:rPr>
          <w:sz w:val="24"/>
          <w:szCs w:val="24"/>
          <w:lang w:val="en-US"/>
        </w:rPr>
        <w:t xml:space="preserve">Cardiac arrhythmias pancreatitis have also been reported. </w:t>
      </w:r>
    </w:p>
    <w:p w14:paraId="40777DBA" w14:textId="77777777" w:rsidR="00A17559" w:rsidRPr="004E05E4" w:rsidRDefault="00A17559" w:rsidP="004E05E4">
      <w:pPr>
        <w:ind w:left="851"/>
        <w:rPr>
          <w:sz w:val="24"/>
          <w:szCs w:val="24"/>
          <w:lang w:val="en-US"/>
        </w:rPr>
      </w:pPr>
    </w:p>
    <w:p w14:paraId="431F1153" w14:textId="77777777" w:rsidR="00A17559" w:rsidRPr="004E05E4" w:rsidRDefault="00A17559" w:rsidP="004E05E4">
      <w:pPr>
        <w:ind w:left="851"/>
        <w:rPr>
          <w:sz w:val="24"/>
          <w:szCs w:val="24"/>
          <w:lang w:val="en-US"/>
        </w:rPr>
      </w:pPr>
      <w:r w:rsidRPr="004E05E4">
        <w:rPr>
          <w:sz w:val="24"/>
          <w:szCs w:val="24"/>
          <w:lang w:val="en-US"/>
        </w:rPr>
        <w:t>Risk Factors include: If the patient:</w:t>
      </w:r>
    </w:p>
    <w:p w14:paraId="19E8854E" w14:textId="77777777" w:rsidR="00A17559" w:rsidRPr="00E62EE7" w:rsidRDefault="00A17559" w:rsidP="00E62EE7">
      <w:pPr>
        <w:pStyle w:val="Listeafsnit"/>
        <w:numPr>
          <w:ilvl w:val="0"/>
          <w:numId w:val="14"/>
        </w:numPr>
        <w:ind w:left="1276" w:hanging="425"/>
        <w:rPr>
          <w:sz w:val="24"/>
          <w:szCs w:val="24"/>
          <w:lang w:val="en-US"/>
        </w:rPr>
      </w:pPr>
      <w:r w:rsidRPr="00E62EE7">
        <w:rPr>
          <w:sz w:val="24"/>
          <w:szCs w:val="24"/>
          <w:lang w:val="en-US"/>
        </w:rPr>
        <w:lastRenderedPageBreak/>
        <w:t>is on long-term treatment with carbamazepine, phenobarbitone, phenytoin, primidone, rifampicin, St John’s Wort or other drugs that induce liver enzymes.</w:t>
      </w:r>
    </w:p>
    <w:p w14:paraId="084EC73F" w14:textId="77777777" w:rsidR="00A17559" w:rsidRPr="00E62EE7" w:rsidRDefault="00A17559" w:rsidP="00E62EE7">
      <w:pPr>
        <w:pStyle w:val="Listeafsnit"/>
        <w:numPr>
          <w:ilvl w:val="0"/>
          <w:numId w:val="14"/>
        </w:numPr>
        <w:ind w:left="1276" w:hanging="425"/>
        <w:rPr>
          <w:sz w:val="24"/>
          <w:szCs w:val="24"/>
          <w:lang w:val="en-US"/>
        </w:rPr>
      </w:pPr>
      <w:r w:rsidRPr="00E62EE7">
        <w:rPr>
          <w:sz w:val="24"/>
          <w:szCs w:val="24"/>
          <w:lang w:val="en-US"/>
        </w:rPr>
        <w:t>regularly consumes ethanol in excess of recommended amounts</w:t>
      </w:r>
    </w:p>
    <w:p w14:paraId="513E816B" w14:textId="77777777" w:rsidR="00A17559" w:rsidRPr="00E62EE7" w:rsidRDefault="00A17559" w:rsidP="00E62EE7">
      <w:pPr>
        <w:pStyle w:val="Listeafsnit"/>
        <w:numPr>
          <w:ilvl w:val="0"/>
          <w:numId w:val="14"/>
        </w:numPr>
        <w:ind w:left="1276" w:hanging="425"/>
        <w:rPr>
          <w:sz w:val="24"/>
          <w:szCs w:val="24"/>
          <w:lang w:val="en-US"/>
        </w:rPr>
      </w:pPr>
      <w:r w:rsidRPr="00E62EE7">
        <w:rPr>
          <w:sz w:val="24"/>
          <w:szCs w:val="24"/>
          <w:lang w:val="en-US"/>
        </w:rPr>
        <w:t>is likely to be glutathione depleted e.g. eating disorders, cystic fibrosis, HIV infection, starvation, cachexia</w:t>
      </w:r>
    </w:p>
    <w:p w14:paraId="65F7D54A" w14:textId="77777777" w:rsidR="00A17559" w:rsidRPr="004E05E4" w:rsidRDefault="00A17559" w:rsidP="004E05E4">
      <w:pPr>
        <w:ind w:left="851"/>
        <w:rPr>
          <w:sz w:val="24"/>
          <w:szCs w:val="24"/>
          <w:lang w:val="en-US"/>
        </w:rPr>
      </w:pPr>
    </w:p>
    <w:p w14:paraId="6FBE558A" w14:textId="37AD1B03" w:rsidR="00A17559" w:rsidRPr="004E05E4" w:rsidRDefault="00A17559" w:rsidP="004E05E4">
      <w:pPr>
        <w:ind w:left="851"/>
        <w:rPr>
          <w:sz w:val="24"/>
          <w:szCs w:val="24"/>
          <w:lang w:val="en-US"/>
        </w:rPr>
      </w:pPr>
      <w:r w:rsidRPr="004E05E4">
        <w:rPr>
          <w:sz w:val="24"/>
          <w:szCs w:val="24"/>
          <w:lang w:val="en-US"/>
        </w:rPr>
        <w:t xml:space="preserve">The </w:t>
      </w:r>
      <w:r w:rsidR="00E62EE7" w:rsidRPr="004E05E4">
        <w:rPr>
          <w:sz w:val="24"/>
          <w:szCs w:val="24"/>
          <w:lang w:val="en-US"/>
        </w:rPr>
        <w:t>above-mentioned</w:t>
      </w:r>
      <w:r w:rsidRPr="004E05E4">
        <w:rPr>
          <w:sz w:val="24"/>
          <w:szCs w:val="24"/>
          <w:lang w:val="en-US"/>
        </w:rPr>
        <w:t xml:space="preserve"> risk factors may lower the threshold for hepatotoxicity. </w:t>
      </w:r>
    </w:p>
    <w:p w14:paraId="73E49148" w14:textId="77777777" w:rsidR="00A17559" w:rsidRPr="004E05E4" w:rsidRDefault="00A17559" w:rsidP="004E05E4">
      <w:pPr>
        <w:ind w:left="851"/>
        <w:rPr>
          <w:sz w:val="24"/>
          <w:szCs w:val="24"/>
          <w:lang w:val="en-US"/>
        </w:rPr>
      </w:pPr>
    </w:p>
    <w:p w14:paraId="22A664A1" w14:textId="77777777" w:rsidR="00A17559" w:rsidRPr="004E05E4" w:rsidRDefault="00A17559" w:rsidP="004E05E4">
      <w:pPr>
        <w:ind w:left="851"/>
        <w:rPr>
          <w:sz w:val="24"/>
          <w:szCs w:val="24"/>
          <w:lang w:val="en-US"/>
        </w:rPr>
      </w:pPr>
      <w:r w:rsidRPr="004E05E4">
        <w:rPr>
          <w:sz w:val="24"/>
          <w:szCs w:val="24"/>
          <w:lang w:val="en-US"/>
        </w:rPr>
        <w:t>Emergency Procedure:</w:t>
      </w:r>
    </w:p>
    <w:p w14:paraId="646F3680" w14:textId="77777777" w:rsidR="00A17559" w:rsidRPr="004E05E4" w:rsidRDefault="00A17559" w:rsidP="004E05E4">
      <w:pPr>
        <w:ind w:left="851"/>
        <w:rPr>
          <w:sz w:val="24"/>
          <w:szCs w:val="24"/>
          <w:lang w:val="en-US"/>
        </w:rPr>
      </w:pPr>
      <w:r w:rsidRPr="004E05E4">
        <w:rPr>
          <w:sz w:val="24"/>
          <w:szCs w:val="24"/>
          <w:lang w:val="en-US"/>
        </w:rPr>
        <w:t>Immediate treatment is essential in management of paracetamol overdose. Patients should be transferred to hospital urgently for immediate medical attention.</w:t>
      </w:r>
    </w:p>
    <w:p w14:paraId="198AA751" w14:textId="77777777" w:rsidR="00A17559" w:rsidRPr="004E05E4" w:rsidRDefault="00A17559" w:rsidP="004E05E4">
      <w:pPr>
        <w:ind w:left="851"/>
        <w:rPr>
          <w:sz w:val="24"/>
          <w:szCs w:val="24"/>
          <w:lang w:val="en-US"/>
        </w:rPr>
      </w:pPr>
    </w:p>
    <w:p w14:paraId="77418798" w14:textId="77777777" w:rsidR="00A17559" w:rsidRPr="004E05E4" w:rsidRDefault="00A17559" w:rsidP="004E05E4">
      <w:pPr>
        <w:ind w:left="851"/>
        <w:rPr>
          <w:sz w:val="24"/>
          <w:szCs w:val="24"/>
          <w:lang w:val="en-US"/>
        </w:rPr>
      </w:pPr>
      <w:r w:rsidRPr="004E05E4">
        <w:rPr>
          <w:sz w:val="24"/>
          <w:szCs w:val="24"/>
          <w:lang w:val="en-US"/>
        </w:rPr>
        <w:t>Administration of activated charcoal should be considered if &gt;150mg/kg paracetamol has been taken within 1 hour.</w:t>
      </w:r>
    </w:p>
    <w:p w14:paraId="27FBC2C3" w14:textId="77777777" w:rsidR="00A17559" w:rsidRPr="004E05E4" w:rsidRDefault="00A17559" w:rsidP="004E05E4">
      <w:pPr>
        <w:ind w:left="851"/>
        <w:rPr>
          <w:sz w:val="24"/>
          <w:szCs w:val="24"/>
          <w:lang w:val="en-US"/>
        </w:rPr>
      </w:pPr>
    </w:p>
    <w:p w14:paraId="006B8617" w14:textId="77777777" w:rsidR="00A17559" w:rsidRPr="004E05E4" w:rsidRDefault="00A17559" w:rsidP="004E05E4">
      <w:pPr>
        <w:ind w:left="851"/>
        <w:rPr>
          <w:sz w:val="24"/>
          <w:szCs w:val="24"/>
          <w:lang w:val="en-US"/>
        </w:rPr>
      </w:pPr>
      <w:r w:rsidRPr="004E05E4">
        <w:rPr>
          <w:sz w:val="24"/>
          <w:szCs w:val="24"/>
          <w:lang w:val="en-US"/>
        </w:rPr>
        <w:t xml:space="preserve">Plasma paracetamol concentration should be measured at 4 hours or later after ingestion in the case of single acute overdose. Blood sampling should be used to determine the initial paracetamol plasma concentration. </w:t>
      </w:r>
    </w:p>
    <w:p w14:paraId="3803CC44" w14:textId="77777777" w:rsidR="00A17559" w:rsidRPr="004E05E4" w:rsidRDefault="00A17559" w:rsidP="004E05E4">
      <w:pPr>
        <w:ind w:left="851"/>
        <w:rPr>
          <w:sz w:val="24"/>
          <w:szCs w:val="24"/>
          <w:lang w:val="en-US"/>
        </w:rPr>
      </w:pPr>
    </w:p>
    <w:p w14:paraId="04C0111E" w14:textId="77777777" w:rsidR="00A17559" w:rsidRPr="004E05E4" w:rsidRDefault="00A17559" w:rsidP="004E05E4">
      <w:pPr>
        <w:ind w:left="851"/>
        <w:rPr>
          <w:sz w:val="24"/>
          <w:szCs w:val="24"/>
          <w:lang w:val="en-US"/>
        </w:rPr>
      </w:pPr>
      <w:r w:rsidRPr="004E05E4">
        <w:rPr>
          <w:sz w:val="24"/>
          <w:szCs w:val="24"/>
          <w:lang w:val="en-US"/>
        </w:rPr>
        <w:t>Treatment with N-acetylcysteine, should be administered as soon as possible in accordance with National treatment guidelines.</w:t>
      </w:r>
    </w:p>
    <w:p w14:paraId="575D649E" w14:textId="77777777" w:rsidR="00A17559" w:rsidRPr="004E05E4" w:rsidRDefault="00A17559" w:rsidP="004E05E4">
      <w:pPr>
        <w:ind w:left="851"/>
        <w:rPr>
          <w:sz w:val="24"/>
          <w:szCs w:val="24"/>
          <w:lang w:val="en-US"/>
        </w:rPr>
      </w:pPr>
    </w:p>
    <w:p w14:paraId="34E9EE7F" w14:textId="77777777" w:rsidR="00A17559" w:rsidRPr="004E05E4" w:rsidRDefault="00A17559" w:rsidP="004E05E4">
      <w:pPr>
        <w:ind w:left="851"/>
        <w:rPr>
          <w:sz w:val="24"/>
          <w:szCs w:val="24"/>
          <w:lang w:val="en-US"/>
        </w:rPr>
      </w:pPr>
      <w:r w:rsidRPr="004E05E4">
        <w:rPr>
          <w:sz w:val="24"/>
          <w:szCs w:val="24"/>
          <w:lang w:val="en-US"/>
        </w:rPr>
        <w:t>Symptomatic treatment should be implemented.</w:t>
      </w:r>
    </w:p>
    <w:p w14:paraId="1BD078C9" w14:textId="77777777" w:rsidR="007C5D2A" w:rsidRPr="004E05E4" w:rsidRDefault="007C5D2A" w:rsidP="003E0341">
      <w:pPr>
        <w:tabs>
          <w:tab w:val="left" w:pos="851"/>
        </w:tabs>
        <w:ind w:left="851"/>
        <w:rPr>
          <w:sz w:val="24"/>
          <w:szCs w:val="24"/>
          <w:lang w:val="en-GB"/>
        </w:rPr>
      </w:pPr>
    </w:p>
    <w:p w14:paraId="27B67237" w14:textId="77777777" w:rsidR="008F2F8C" w:rsidRPr="004E05E4" w:rsidRDefault="0042292D" w:rsidP="0042292D">
      <w:pPr>
        <w:tabs>
          <w:tab w:val="left" w:pos="851"/>
        </w:tabs>
        <w:rPr>
          <w:b/>
          <w:sz w:val="24"/>
          <w:szCs w:val="24"/>
          <w:lang w:val="en-GB"/>
        </w:rPr>
      </w:pPr>
      <w:r w:rsidRPr="004E05E4">
        <w:rPr>
          <w:b/>
          <w:sz w:val="24"/>
          <w:szCs w:val="24"/>
          <w:lang w:val="en-GB"/>
        </w:rPr>
        <w:t>4.10</w:t>
      </w:r>
      <w:r w:rsidRPr="004E05E4">
        <w:rPr>
          <w:b/>
          <w:sz w:val="24"/>
          <w:szCs w:val="24"/>
          <w:lang w:val="en-GB"/>
        </w:rPr>
        <w:tab/>
        <w:t>Legal status</w:t>
      </w:r>
    </w:p>
    <w:p w14:paraId="1F0D32A4" w14:textId="77777777" w:rsidR="002B7ACD" w:rsidRPr="002B7ACD" w:rsidRDefault="002B7ACD" w:rsidP="002B7ACD">
      <w:pPr>
        <w:ind w:left="851"/>
        <w:rPr>
          <w:sz w:val="24"/>
          <w:szCs w:val="24"/>
          <w:lang w:val="en-US"/>
        </w:rPr>
      </w:pPr>
      <w:r w:rsidRPr="002B7ACD">
        <w:rPr>
          <w:sz w:val="24"/>
          <w:szCs w:val="24"/>
          <w:lang w:val="en-US"/>
        </w:rPr>
        <w:t>HX18: Packages containing no more than 10 film-coated tablets.</w:t>
      </w:r>
    </w:p>
    <w:p w14:paraId="585C8FC6" w14:textId="77777777" w:rsidR="002B7ACD" w:rsidRPr="002B7ACD" w:rsidRDefault="002B7ACD" w:rsidP="002B7ACD">
      <w:pPr>
        <w:ind w:left="851"/>
        <w:rPr>
          <w:sz w:val="24"/>
          <w:szCs w:val="24"/>
          <w:lang w:val="en-US"/>
        </w:rPr>
      </w:pPr>
      <w:r w:rsidRPr="002B7ACD">
        <w:rPr>
          <w:sz w:val="24"/>
          <w:szCs w:val="24"/>
          <w:lang w:val="en-US"/>
        </w:rPr>
        <w:t>HA18: Packages containing no more than 20 film-coated tablets.</w:t>
      </w:r>
    </w:p>
    <w:p w14:paraId="720482BB" w14:textId="77777777" w:rsidR="002B7ACD" w:rsidRPr="002B7ACD" w:rsidRDefault="002B7ACD" w:rsidP="002B7ACD">
      <w:pPr>
        <w:ind w:left="851"/>
        <w:rPr>
          <w:sz w:val="24"/>
          <w:szCs w:val="24"/>
          <w:lang w:val="en-US"/>
        </w:rPr>
      </w:pPr>
      <w:r w:rsidRPr="002B7ACD">
        <w:rPr>
          <w:sz w:val="24"/>
          <w:szCs w:val="24"/>
          <w:lang w:val="en-US"/>
        </w:rPr>
        <w:t>B: No upper limit.</w:t>
      </w:r>
    </w:p>
    <w:p w14:paraId="7EC38853" w14:textId="77777777" w:rsidR="007C5D2A" w:rsidRPr="002B7ACD" w:rsidRDefault="007C5D2A" w:rsidP="002B7ACD">
      <w:pPr>
        <w:tabs>
          <w:tab w:val="left" w:pos="851"/>
        </w:tabs>
        <w:ind w:left="851"/>
        <w:rPr>
          <w:sz w:val="24"/>
          <w:szCs w:val="24"/>
          <w:lang w:val="en-GB"/>
        </w:rPr>
      </w:pPr>
    </w:p>
    <w:p w14:paraId="2E51CCF8" w14:textId="77777777" w:rsidR="00AD2E36" w:rsidRPr="002B7ACD" w:rsidRDefault="00AD2E36" w:rsidP="002B7ACD">
      <w:pPr>
        <w:tabs>
          <w:tab w:val="left" w:pos="851"/>
        </w:tabs>
        <w:ind w:left="851"/>
        <w:rPr>
          <w:sz w:val="24"/>
          <w:szCs w:val="24"/>
          <w:lang w:val="en-GB"/>
        </w:rPr>
      </w:pPr>
    </w:p>
    <w:p w14:paraId="13310077" w14:textId="77777777" w:rsidR="007C5D2A" w:rsidRPr="004E05E4" w:rsidRDefault="007C5D2A" w:rsidP="007C5D2A">
      <w:pPr>
        <w:tabs>
          <w:tab w:val="left" w:pos="851"/>
        </w:tabs>
        <w:rPr>
          <w:b/>
          <w:sz w:val="24"/>
          <w:szCs w:val="24"/>
          <w:lang w:val="en-GB"/>
        </w:rPr>
      </w:pPr>
      <w:r w:rsidRPr="004E05E4">
        <w:rPr>
          <w:b/>
          <w:sz w:val="24"/>
          <w:szCs w:val="24"/>
          <w:lang w:val="en-GB"/>
        </w:rPr>
        <w:t>5.</w:t>
      </w:r>
      <w:r w:rsidRPr="004E05E4">
        <w:rPr>
          <w:b/>
          <w:sz w:val="24"/>
          <w:szCs w:val="24"/>
          <w:lang w:val="en-GB"/>
        </w:rPr>
        <w:tab/>
        <w:t>PHARMACOLOGICAL PROPERTIES</w:t>
      </w:r>
    </w:p>
    <w:p w14:paraId="59EB9BD0" w14:textId="77777777" w:rsidR="007C5D2A" w:rsidRPr="004E05E4" w:rsidRDefault="007C5D2A" w:rsidP="003E0341">
      <w:pPr>
        <w:tabs>
          <w:tab w:val="left" w:pos="851"/>
        </w:tabs>
        <w:ind w:left="851"/>
        <w:rPr>
          <w:sz w:val="24"/>
          <w:szCs w:val="24"/>
          <w:lang w:val="en-GB"/>
        </w:rPr>
      </w:pPr>
    </w:p>
    <w:p w14:paraId="3EC55873" w14:textId="0016F9CD" w:rsidR="004860D3" w:rsidRPr="004E05E4" w:rsidRDefault="004860D3" w:rsidP="004860D3">
      <w:pPr>
        <w:tabs>
          <w:tab w:val="left" w:pos="851"/>
        </w:tabs>
        <w:ind w:left="851" w:hanging="851"/>
        <w:rPr>
          <w:b/>
          <w:sz w:val="24"/>
          <w:szCs w:val="24"/>
          <w:lang w:val="en-GB"/>
        </w:rPr>
      </w:pPr>
      <w:r w:rsidRPr="004E05E4">
        <w:rPr>
          <w:b/>
          <w:sz w:val="24"/>
          <w:szCs w:val="24"/>
          <w:lang w:val="en-GB"/>
        </w:rPr>
        <w:t>5.0</w:t>
      </w:r>
      <w:r w:rsidRPr="004E05E4">
        <w:rPr>
          <w:b/>
          <w:sz w:val="24"/>
          <w:szCs w:val="24"/>
          <w:lang w:val="en-GB"/>
        </w:rPr>
        <w:tab/>
        <w:t>Therapeutic</w:t>
      </w:r>
      <w:r w:rsidR="00A80446" w:rsidRPr="004E05E4">
        <w:rPr>
          <w:b/>
          <w:sz w:val="24"/>
          <w:szCs w:val="24"/>
          <w:lang w:val="en-GB"/>
        </w:rPr>
        <w:t xml:space="preserve"> classification</w:t>
      </w:r>
    </w:p>
    <w:p w14:paraId="49464E6A" w14:textId="7F832870" w:rsidR="00A17559" w:rsidRPr="004E05E4" w:rsidRDefault="004E05E4" w:rsidP="004E05E4">
      <w:pPr>
        <w:ind w:left="851"/>
        <w:rPr>
          <w:sz w:val="24"/>
          <w:szCs w:val="24"/>
          <w:lang w:val="en-US"/>
        </w:rPr>
      </w:pPr>
      <w:r w:rsidRPr="004E05E4">
        <w:rPr>
          <w:sz w:val="24"/>
          <w:szCs w:val="24"/>
          <w:lang w:val="en-US"/>
        </w:rPr>
        <w:t>ATC</w:t>
      </w:r>
      <w:r w:rsidR="00AB0BFF">
        <w:rPr>
          <w:sz w:val="24"/>
          <w:szCs w:val="24"/>
          <w:lang w:val="en-US"/>
        </w:rPr>
        <w:t>-</w:t>
      </w:r>
      <w:r w:rsidRPr="004E05E4">
        <w:rPr>
          <w:sz w:val="24"/>
          <w:szCs w:val="24"/>
          <w:lang w:val="en-US"/>
        </w:rPr>
        <w:t xml:space="preserve">code: N02B E01. </w:t>
      </w:r>
      <w:r w:rsidR="00A17559" w:rsidRPr="004E05E4">
        <w:rPr>
          <w:sz w:val="24"/>
          <w:szCs w:val="24"/>
          <w:lang w:val="en-US"/>
        </w:rPr>
        <w:t xml:space="preserve">Analgesics; Other Analgesics and Antipyretics; </w:t>
      </w:r>
      <w:proofErr w:type="spellStart"/>
      <w:r w:rsidR="00A17559" w:rsidRPr="004E05E4">
        <w:rPr>
          <w:sz w:val="24"/>
          <w:szCs w:val="24"/>
          <w:lang w:val="en-US"/>
        </w:rPr>
        <w:t>Anilides</w:t>
      </w:r>
      <w:proofErr w:type="spellEnd"/>
      <w:r w:rsidR="00A17559" w:rsidRPr="004E05E4">
        <w:rPr>
          <w:sz w:val="24"/>
          <w:szCs w:val="24"/>
          <w:lang w:val="en-US"/>
        </w:rPr>
        <w:t xml:space="preserve">. </w:t>
      </w:r>
    </w:p>
    <w:p w14:paraId="0CC732D8" w14:textId="77777777" w:rsidR="004860D3" w:rsidRPr="004E05E4" w:rsidRDefault="004860D3" w:rsidP="003E0341">
      <w:pPr>
        <w:tabs>
          <w:tab w:val="left" w:pos="851"/>
        </w:tabs>
        <w:ind w:left="851"/>
        <w:rPr>
          <w:sz w:val="24"/>
          <w:szCs w:val="24"/>
          <w:lang w:val="en-GB"/>
        </w:rPr>
      </w:pPr>
    </w:p>
    <w:p w14:paraId="50F6448F" w14:textId="77777777" w:rsidR="007C5D2A" w:rsidRPr="004E05E4" w:rsidRDefault="007C5D2A" w:rsidP="007C5D2A">
      <w:pPr>
        <w:tabs>
          <w:tab w:val="left" w:pos="851"/>
        </w:tabs>
        <w:ind w:left="851" w:hanging="851"/>
        <w:rPr>
          <w:b/>
          <w:sz w:val="24"/>
          <w:szCs w:val="24"/>
          <w:lang w:val="en-GB"/>
        </w:rPr>
      </w:pPr>
      <w:r w:rsidRPr="004E05E4">
        <w:rPr>
          <w:b/>
          <w:sz w:val="24"/>
          <w:szCs w:val="24"/>
          <w:lang w:val="en-GB"/>
        </w:rPr>
        <w:t>5.1</w:t>
      </w:r>
      <w:r w:rsidRPr="004E05E4">
        <w:rPr>
          <w:b/>
          <w:sz w:val="24"/>
          <w:szCs w:val="24"/>
          <w:lang w:val="en-GB"/>
        </w:rPr>
        <w:tab/>
        <w:t>Pharmacodynamic properties</w:t>
      </w:r>
      <w:r w:rsidRPr="004E05E4">
        <w:rPr>
          <w:b/>
          <w:sz w:val="24"/>
          <w:szCs w:val="24"/>
          <w:lang w:val="en-GB"/>
        </w:rPr>
        <w:tab/>
      </w:r>
    </w:p>
    <w:p w14:paraId="1769DDB4" w14:textId="77777777" w:rsidR="00A17559" w:rsidRPr="004E05E4" w:rsidRDefault="00A17559" w:rsidP="004E05E4">
      <w:pPr>
        <w:ind w:left="851"/>
        <w:rPr>
          <w:sz w:val="24"/>
          <w:szCs w:val="24"/>
          <w:lang w:val="en-US"/>
        </w:rPr>
      </w:pPr>
      <w:r w:rsidRPr="004E05E4">
        <w:rPr>
          <w:sz w:val="24"/>
          <w:szCs w:val="24"/>
          <w:lang w:val="en-US"/>
        </w:rPr>
        <w:t xml:space="preserve">Paracetamol has analgesic and antipyretic actions. The analgesic and antipyretic mechanism of action of paracetamol has not been clearly elucidated. A central and peripheral action is probable. Marked inhibition of cerebral prostaglandin synthesis has been demonstrated, whereas peripheral prostaglandin synthesis is only weakly inhibited. Furthermore, paracetamol inhibits the effect of endogenous pyrogens on the hypothalamic </w:t>
      </w:r>
      <w:proofErr w:type="gramStart"/>
      <w:r w:rsidRPr="004E05E4">
        <w:rPr>
          <w:sz w:val="24"/>
          <w:szCs w:val="24"/>
          <w:lang w:val="en-US"/>
        </w:rPr>
        <w:t>temperatures</w:t>
      </w:r>
      <w:proofErr w:type="gramEnd"/>
      <w:r w:rsidRPr="004E05E4">
        <w:rPr>
          <w:sz w:val="24"/>
          <w:szCs w:val="24"/>
          <w:lang w:val="en-US"/>
        </w:rPr>
        <w:t xml:space="preserve"> regulation. </w:t>
      </w:r>
    </w:p>
    <w:p w14:paraId="2E9AD94F" w14:textId="77777777" w:rsidR="007C5D2A" w:rsidRPr="004E05E4" w:rsidRDefault="007C5D2A" w:rsidP="003E0341">
      <w:pPr>
        <w:tabs>
          <w:tab w:val="left" w:pos="851"/>
        </w:tabs>
        <w:ind w:left="851"/>
        <w:rPr>
          <w:sz w:val="24"/>
          <w:szCs w:val="24"/>
          <w:lang w:val="en-GB"/>
        </w:rPr>
      </w:pPr>
    </w:p>
    <w:p w14:paraId="058F7EA6" w14:textId="0C79EDD7" w:rsidR="007C5D2A" w:rsidRPr="004E05E4" w:rsidRDefault="007C5D2A" w:rsidP="007C5D2A">
      <w:pPr>
        <w:tabs>
          <w:tab w:val="left" w:pos="851"/>
        </w:tabs>
        <w:ind w:left="851" w:hanging="851"/>
        <w:rPr>
          <w:b/>
          <w:sz w:val="24"/>
          <w:szCs w:val="24"/>
          <w:lang w:val="en-GB"/>
        </w:rPr>
      </w:pPr>
      <w:r w:rsidRPr="004E05E4">
        <w:rPr>
          <w:b/>
          <w:sz w:val="24"/>
          <w:szCs w:val="24"/>
          <w:lang w:val="en-GB"/>
        </w:rPr>
        <w:t>5.2</w:t>
      </w:r>
      <w:r w:rsidRPr="004E05E4">
        <w:rPr>
          <w:b/>
          <w:sz w:val="24"/>
          <w:szCs w:val="24"/>
          <w:lang w:val="en-GB"/>
        </w:rPr>
        <w:tab/>
        <w:t>Pharmacokinetic properties</w:t>
      </w:r>
    </w:p>
    <w:p w14:paraId="43E52CBD" w14:textId="77777777" w:rsidR="00A17559" w:rsidRPr="004E05E4" w:rsidRDefault="00A17559" w:rsidP="004E05E4">
      <w:pPr>
        <w:ind w:left="851"/>
        <w:rPr>
          <w:sz w:val="24"/>
          <w:szCs w:val="24"/>
          <w:lang w:val="en-US"/>
        </w:rPr>
      </w:pPr>
      <w:r w:rsidRPr="004E05E4">
        <w:rPr>
          <w:sz w:val="24"/>
          <w:szCs w:val="24"/>
          <w:lang w:val="en-US"/>
        </w:rPr>
        <w:t>Paracetamol is rapidly and almost completely absorbed from the gastro-intestinal tract.</w:t>
      </w:r>
    </w:p>
    <w:p w14:paraId="49F22521" w14:textId="77777777" w:rsidR="00A17559" w:rsidRPr="004E05E4" w:rsidRDefault="00A17559" w:rsidP="004E05E4">
      <w:pPr>
        <w:ind w:left="851"/>
        <w:rPr>
          <w:sz w:val="24"/>
          <w:szCs w:val="24"/>
          <w:lang w:val="en-US"/>
        </w:rPr>
      </w:pPr>
    </w:p>
    <w:p w14:paraId="69872DFD" w14:textId="19B30FD2" w:rsidR="00A17559" w:rsidRPr="004E05E4" w:rsidRDefault="00A17559" w:rsidP="004E05E4">
      <w:pPr>
        <w:ind w:left="851"/>
        <w:rPr>
          <w:sz w:val="24"/>
          <w:szCs w:val="24"/>
          <w:lang w:val="en-US"/>
        </w:rPr>
      </w:pPr>
      <w:r w:rsidRPr="004E05E4">
        <w:rPr>
          <w:sz w:val="24"/>
          <w:szCs w:val="24"/>
          <w:lang w:val="en-US"/>
        </w:rPr>
        <w:t xml:space="preserve">Human pharmacokinetic data demonstrate that early absorption of paracetamol (fraction of dose over the first 60 minutes) is 32% greater from </w:t>
      </w:r>
      <w:r w:rsidR="00E62EE7">
        <w:rPr>
          <w:sz w:val="24"/>
          <w:szCs w:val="24"/>
          <w:lang w:val="en-US"/>
        </w:rPr>
        <w:t>Paracetamol "Teva"</w:t>
      </w:r>
      <w:r w:rsidRPr="004E05E4">
        <w:rPr>
          <w:sz w:val="24"/>
          <w:szCs w:val="24"/>
          <w:lang w:val="en-US"/>
        </w:rPr>
        <w:t xml:space="preserve"> compared to standard paracetamol tablet (p&lt;0.0001) and less between-subject and less within-subject variability (p&lt;0.0001) in early absorption of paracetamol from </w:t>
      </w:r>
      <w:r w:rsidR="00E62EE7">
        <w:rPr>
          <w:sz w:val="24"/>
          <w:szCs w:val="24"/>
          <w:lang w:val="en-US"/>
        </w:rPr>
        <w:t>Paracetamol "Teva"</w:t>
      </w:r>
      <w:r w:rsidRPr="004E05E4">
        <w:rPr>
          <w:sz w:val="24"/>
          <w:szCs w:val="24"/>
          <w:lang w:val="en-US"/>
        </w:rPr>
        <w:t xml:space="preserve"> compared to standard paracetamol tablets.</w:t>
      </w:r>
    </w:p>
    <w:p w14:paraId="01FC3C4C" w14:textId="77777777" w:rsidR="00A17559" w:rsidRPr="004E05E4" w:rsidRDefault="00A17559" w:rsidP="004E05E4">
      <w:pPr>
        <w:ind w:left="851"/>
        <w:rPr>
          <w:sz w:val="24"/>
          <w:szCs w:val="24"/>
          <w:lang w:val="en-US"/>
        </w:rPr>
      </w:pPr>
    </w:p>
    <w:p w14:paraId="44A1ECFA" w14:textId="1938F744" w:rsidR="00A17559" w:rsidRPr="004E05E4" w:rsidRDefault="00A17559" w:rsidP="004E05E4">
      <w:pPr>
        <w:ind w:left="851"/>
        <w:rPr>
          <w:sz w:val="24"/>
          <w:szCs w:val="24"/>
          <w:lang w:val="en-US"/>
        </w:rPr>
      </w:pPr>
      <w:r w:rsidRPr="004E05E4">
        <w:rPr>
          <w:sz w:val="24"/>
          <w:szCs w:val="24"/>
          <w:lang w:val="en-US"/>
        </w:rPr>
        <w:t xml:space="preserve">Human pharmacokinetic data demonstrate that maximum plasma concentration of paracetamol is reached at least 25% faster for </w:t>
      </w:r>
      <w:r w:rsidR="00E62EE7">
        <w:rPr>
          <w:sz w:val="24"/>
          <w:szCs w:val="24"/>
          <w:lang w:val="en-US"/>
        </w:rPr>
        <w:t>Paracetamol "Teva"</w:t>
      </w:r>
      <w:r w:rsidRPr="004E05E4">
        <w:rPr>
          <w:sz w:val="24"/>
          <w:szCs w:val="24"/>
          <w:lang w:val="en-US"/>
        </w:rPr>
        <w:t xml:space="preserve"> compared to standard paracetamol tablets in fasted and fed states (p &lt;0.01). Concentration in plasma reaches a peak in 25 minutes. </w:t>
      </w:r>
    </w:p>
    <w:p w14:paraId="130D0399" w14:textId="77777777" w:rsidR="00A17559" w:rsidRPr="004E05E4" w:rsidRDefault="00A17559" w:rsidP="004E05E4">
      <w:pPr>
        <w:ind w:left="851"/>
        <w:rPr>
          <w:sz w:val="24"/>
          <w:szCs w:val="24"/>
          <w:lang w:val="en-US"/>
        </w:rPr>
      </w:pPr>
    </w:p>
    <w:p w14:paraId="754FC7B7" w14:textId="7F1A84D1" w:rsidR="00A17559" w:rsidRPr="004E05E4" w:rsidRDefault="00A17559" w:rsidP="004E05E4">
      <w:pPr>
        <w:ind w:left="851"/>
        <w:rPr>
          <w:sz w:val="24"/>
          <w:szCs w:val="24"/>
          <w:lang w:val="en-US"/>
        </w:rPr>
      </w:pPr>
      <w:r w:rsidRPr="004E05E4">
        <w:rPr>
          <w:sz w:val="24"/>
          <w:szCs w:val="24"/>
          <w:lang w:val="en-US"/>
        </w:rPr>
        <w:t xml:space="preserve">Total extent of absorption of paracetamol from </w:t>
      </w:r>
      <w:r w:rsidR="00E62EE7">
        <w:rPr>
          <w:sz w:val="24"/>
          <w:szCs w:val="24"/>
          <w:lang w:val="en-US"/>
        </w:rPr>
        <w:t>Paracetamol "Teva"</w:t>
      </w:r>
      <w:r w:rsidRPr="004E05E4">
        <w:rPr>
          <w:sz w:val="24"/>
          <w:szCs w:val="24"/>
          <w:lang w:val="en-US"/>
        </w:rPr>
        <w:t xml:space="preserve"> is equivalent to that from standard paracetamol tablets.</w:t>
      </w:r>
    </w:p>
    <w:p w14:paraId="10ADAE18" w14:textId="77777777" w:rsidR="00A17559" w:rsidRPr="004E05E4" w:rsidRDefault="00A17559" w:rsidP="004E05E4">
      <w:pPr>
        <w:ind w:left="851"/>
        <w:rPr>
          <w:iCs/>
          <w:noProof/>
          <w:sz w:val="24"/>
          <w:szCs w:val="24"/>
          <w:u w:val="single"/>
          <w:lang w:val="en-US"/>
        </w:rPr>
      </w:pPr>
    </w:p>
    <w:p w14:paraId="71FC96DF" w14:textId="77777777" w:rsidR="00A17559" w:rsidRPr="004E05E4" w:rsidRDefault="00A17559" w:rsidP="004E05E4">
      <w:pPr>
        <w:ind w:left="851"/>
        <w:rPr>
          <w:iCs/>
          <w:noProof/>
          <w:sz w:val="24"/>
          <w:szCs w:val="24"/>
          <w:lang w:val="en-US"/>
        </w:rPr>
      </w:pPr>
      <w:r w:rsidRPr="004E05E4">
        <w:rPr>
          <w:iCs/>
          <w:noProof/>
          <w:sz w:val="24"/>
          <w:szCs w:val="24"/>
          <w:lang w:val="en-US"/>
        </w:rPr>
        <w:t>In a BV study, the following results were obtained compared to the reference product Panadol Film</w:t>
      </w:r>
      <w:r w:rsidRPr="004E05E4">
        <w:rPr>
          <w:iCs/>
          <w:noProof/>
          <w:sz w:val="24"/>
          <w:szCs w:val="24"/>
          <w:lang w:val="en-US"/>
        </w:rPr>
        <w:noBreakHyphen/>
        <w:t>coated tablets *Study number: BE-1967-19):</w:t>
      </w:r>
    </w:p>
    <w:p w14:paraId="0234E625" w14:textId="77777777" w:rsidR="00A17559" w:rsidRPr="004E05E4" w:rsidRDefault="00A17559" w:rsidP="00A17559">
      <w:pPr>
        <w:numPr>
          <w:ilvl w:val="12"/>
          <w:numId w:val="0"/>
        </w:numPr>
        <w:ind w:right="-2"/>
        <w:rPr>
          <w:iCs/>
          <w:noProof/>
          <w:sz w:val="24"/>
          <w:szCs w:val="24"/>
          <w:u w:val="single"/>
          <w:lang w:val="en-US"/>
        </w:rPr>
      </w:pPr>
    </w:p>
    <w:tbl>
      <w:tblPr>
        <w:tblW w:w="0" w:type="auto"/>
        <w:tblInd w:w="846" w:type="dxa"/>
        <w:tblLayout w:type="fixed"/>
        <w:tblCellMar>
          <w:left w:w="0" w:type="dxa"/>
          <w:right w:w="0" w:type="dxa"/>
        </w:tblCellMar>
        <w:tblLook w:val="04A0" w:firstRow="1" w:lastRow="0" w:firstColumn="1" w:lastColumn="0" w:noHBand="0" w:noVBand="1"/>
      </w:tblPr>
      <w:tblGrid>
        <w:gridCol w:w="2503"/>
        <w:gridCol w:w="1148"/>
        <w:gridCol w:w="1018"/>
        <w:gridCol w:w="718"/>
        <w:gridCol w:w="1103"/>
        <w:gridCol w:w="1018"/>
        <w:gridCol w:w="714"/>
      </w:tblGrid>
      <w:tr w:rsidR="00A17559" w:rsidRPr="00E62EE7" w14:paraId="1C04702D" w14:textId="77777777" w:rsidTr="00E62EE7">
        <w:trPr>
          <w:trHeight w:val="20"/>
        </w:trPr>
        <w:tc>
          <w:tcPr>
            <w:tcW w:w="2503" w:type="dxa"/>
            <w:tcBorders>
              <w:top w:val="single" w:sz="4" w:space="0" w:color="000000"/>
              <w:left w:val="single" w:sz="4" w:space="0" w:color="000000"/>
              <w:bottom w:val="single" w:sz="4" w:space="0" w:color="000000"/>
              <w:right w:val="single" w:sz="4" w:space="0" w:color="000000"/>
            </w:tcBorders>
          </w:tcPr>
          <w:p w14:paraId="426DDA1B" w14:textId="77777777" w:rsidR="00A17559" w:rsidRPr="00E62EE7" w:rsidRDefault="00A17559">
            <w:pPr>
              <w:autoSpaceDE w:val="0"/>
              <w:autoSpaceDN w:val="0"/>
              <w:adjustRightInd w:val="0"/>
              <w:rPr>
                <w:sz w:val="20"/>
                <w:lang w:val="en-US" w:eastAsia="de-DE"/>
              </w:rPr>
            </w:pPr>
          </w:p>
        </w:tc>
        <w:tc>
          <w:tcPr>
            <w:tcW w:w="2884" w:type="dxa"/>
            <w:gridSpan w:val="3"/>
            <w:tcBorders>
              <w:top w:val="single" w:sz="4" w:space="0" w:color="000000"/>
              <w:left w:val="single" w:sz="4" w:space="0" w:color="000000"/>
              <w:bottom w:val="single" w:sz="4" w:space="0" w:color="000000"/>
              <w:right w:val="single" w:sz="4" w:space="0" w:color="000000"/>
            </w:tcBorders>
            <w:hideMark/>
          </w:tcPr>
          <w:p w14:paraId="0B550E4A" w14:textId="77777777" w:rsidR="00A17559" w:rsidRPr="00E62EE7" w:rsidRDefault="00A17559">
            <w:pPr>
              <w:autoSpaceDE w:val="0"/>
              <w:autoSpaceDN w:val="0"/>
              <w:adjustRightInd w:val="0"/>
              <w:spacing w:line="228" w:lineRule="exact"/>
              <w:ind w:left="661" w:right="-20"/>
              <w:rPr>
                <w:sz w:val="20"/>
                <w:lang w:eastAsia="de-DE"/>
              </w:rPr>
            </w:pPr>
            <w:r w:rsidRPr="00E62EE7">
              <w:rPr>
                <w:b/>
                <w:bCs/>
                <w:spacing w:val="1"/>
                <w:sz w:val="20"/>
                <w:lang w:eastAsia="de-DE"/>
              </w:rPr>
              <w:t>R</w:t>
            </w:r>
            <w:r w:rsidRPr="00E62EE7">
              <w:rPr>
                <w:b/>
                <w:bCs/>
                <w:sz w:val="20"/>
                <w:lang w:eastAsia="de-DE"/>
              </w:rPr>
              <w:t>efer</w:t>
            </w:r>
            <w:r w:rsidRPr="00E62EE7">
              <w:rPr>
                <w:b/>
                <w:bCs/>
                <w:spacing w:val="-1"/>
                <w:sz w:val="20"/>
                <w:lang w:eastAsia="de-DE"/>
              </w:rPr>
              <w:t>e</w:t>
            </w:r>
            <w:r w:rsidRPr="00E62EE7">
              <w:rPr>
                <w:b/>
                <w:bCs/>
                <w:sz w:val="20"/>
                <w:lang w:eastAsia="de-DE"/>
              </w:rPr>
              <w:t>nce P</w:t>
            </w:r>
            <w:r w:rsidRPr="00E62EE7">
              <w:rPr>
                <w:b/>
                <w:bCs/>
                <w:spacing w:val="-1"/>
                <w:sz w:val="20"/>
                <w:lang w:eastAsia="de-DE"/>
              </w:rPr>
              <w:t>ro</w:t>
            </w:r>
            <w:r w:rsidRPr="00E62EE7">
              <w:rPr>
                <w:b/>
                <w:bCs/>
                <w:sz w:val="20"/>
                <w:lang w:eastAsia="de-DE"/>
              </w:rPr>
              <w:t xml:space="preserve">duct </w:t>
            </w:r>
            <w:r w:rsidRPr="00E62EE7">
              <w:rPr>
                <w:b/>
                <w:bCs/>
                <w:spacing w:val="-1"/>
                <w:sz w:val="20"/>
                <w:lang w:eastAsia="de-DE"/>
              </w:rPr>
              <w:t>(</w:t>
            </w:r>
            <w:r w:rsidRPr="00E62EE7">
              <w:rPr>
                <w:b/>
                <w:bCs/>
                <w:spacing w:val="1"/>
                <w:sz w:val="20"/>
                <w:lang w:eastAsia="de-DE"/>
              </w:rPr>
              <w:t>R</w:t>
            </w:r>
            <w:r w:rsidRPr="00E62EE7">
              <w:rPr>
                <w:b/>
                <w:bCs/>
                <w:sz w:val="20"/>
                <w:lang w:eastAsia="de-DE"/>
              </w:rPr>
              <w:t>)</w:t>
            </w:r>
          </w:p>
        </w:tc>
        <w:tc>
          <w:tcPr>
            <w:tcW w:w="2835" w:type="dxa"/>
            <w:gridSpan w:val="3"/>
            <w:tcBorders>
              <w:top w:val="single" w:sz="4" w:space="0" w:color="000000"/>
              <w:left w:val="single" w:sz="4" w:space="0" w:color="000000"/>
              <w:bottom w:val="single" w:sz="4" w:space="0" w:color="000000"/>
              <w:right w:val="single" w:sz="4" w:space="0" w:color="000000"/>
            </w:tcBorders>
            <w:hideMark/>
          </w:tcPr>
          <w:p w14:paraId="5911D425" w14:textId="77777777" w:rsidR="00A17559" w:rsidRPr="00E62EE7" w:rsidRDefault="00A17559">
            <w:pPr>
              <w:autoSpaceDE w:val="0"/>
              <w:autoSpaceDN w:val="0"/>
              <w:adjustRightInd w:val="0"/>
              <w:spacing w:line="228" w:lineRule="exact"/>
              <w:ind w:left="910" w:right="-20"/>
              <w:rPr>
                <w:sz w:val="20"/>
                <w:lang w:eastAsia="de-DE"/>
              </w:rPr>
            </w:pPr>
            <w:r w:rsidRPr="00E62EE7">
              <w:rPr>
                <w:b/>
                <w:bCs/>
                <w:sz w:val="20"/>
                <w:lang w:eastAsia="de-DE"/>
              </w:rPr>
              <w:t>Test</w:t>
            </w:r>
            <w:r w:rsidRPr="00E62EE7">
              <w:rPr>
                <w:b/>
                <w:bCs/>
                <w:spacing w:val="1"/>
                <w:sz w:val="20"/>
                <w:lang w:eastAsia="de-DE"/>
              </w:rPr>
              <w:t xml:space="preserve"> </w:t>
            </w:r>
            <w:r w:rsidRPr="00E62EE7">
              <w:rPr>
                <w:b/>
                <w:bCs/>
                <w:sz w:val="20"/>
                <w:lang w:eastAsia="de-DE"/>
              </w:rPr>
              <w:t>P</w:t>
            </w:r>
            <w:r w:rsidRPr="00E62EE7">
              <w:rPr>
                <w:b/>
                <w:bCs/>
                <w:spacing w:val="-1"/>
                <w:sz w:val="20"/>
                <w:lang w:eastAsia="de-DE"/>
              </w:rPr>
              <w:t>r</w:t>
            </w:r>
            <w:r w:rsidRPr="00E62EE7">
              <w:rPr>
                <w:b/>
                <w:bCs/>
                <w:spacing w:val="1"/>
                <w:sz w:val="20"/>
                <w:lang w:eastAsia="de-DE"/>
              </w:rPr>
              <w:t>o</w:t>
            </w:r>
            <w:r w:rsidRPr="00E62EE7">
              <w:rPr>
                <w:b/>
                <w:bCs/>
                <w:sz w:val="20"/>
                <w:lang w:eastAsia="de-DE"/>
              </w:rPr>
              <w:t>du</w:t>
            </w:r>
            <w:r w:rsidRPr="00E62EE7">
              <w:rPr>
                <w:b/>
                <w:bCs/>
                <w:spacing w:val="-1"/>
                <w:sz w:val="20"/>
                <w:lang w:eastAsia="de-DE"/>
              </w:rPr>
              <w:t>c</w:t>
            </w:r>
            <w:r w:rsidRPr="00E62EE7">
              <w:rPr>
                <w:b/>
                <w:bCs/>
                <w:sz w:val="20"/>
                <w:lang w:eastAsia="de-DE"/>
              </w:rPr>
              <w:t xml:space="preserve">t </w:t>
            </w:r>
            <w:r w:rsidRPr="00E62EE7">
              <w:rPr>
                <w:b/>
                <w:bCs/>
                <w:spacing w:val="-1"/>
                <w:sz w:val="20"/>
                <w:lang w:eastAsia="de-DE"/>
              </w:rPr>
              <w:t>(</w:t>
            </w:r>
            <w:r w:rsidRPr="00E62EE7">
              <w:rPr>
                <w:b/>
                <w:bCs/>
                <w:sz w:val="20"/>
                <w:lang w:eastAsia="de-DE"/>
              </w:rPr>
              <w:t>T)</w:t>
            </w:r>
          </w:p>
        </w:tc>
      </w:tr>
      <w:tr w:rsidR="00A17559" w:rsidRPr="00E62EE7" w14:paraId="5CF2B8B9" w14:textId="77777777" w:rsidTr="00E62EE7">
        <w:trPr>
          <w:trHeight w:val="20"/>
        </w:trPr>
        <w:tc>
          <w:tcPr>
            <w:tcW w:w="2503" w:type="dxa"/>
            <w:tcBorders>
              <w:top w:val="single" w:sz="4" w:space="0" w:color="000000"/>
              <w:left w:val="single" w:sz="4" w:space="0" w:color="000000"/>
              <w:bottom w:val="single" w:sz="4" w:space="0" w:color="000000"/>
              <w:right w:val="single" w:sz="4" w:space="0" w:color="000000"/>
            </w:tcBorders>
            <w:hideMark/>
          </w:tcPr>
          <w:p w14:paraId="715034ED" w14:textId="77777777" w:rsidR="00A17559" w:rsidRPr="00E62EE7" w:rsidRDefault="00A17559">
            <w:pPr>
              <w:autoSpaceDE w:val="0"/>
              <w:autoSpaceDN w:val="0"/>
              <w:adjustRightInd w:val="0"/>
              <w:spacing w:line="229" w:lineRule="exact"/>
              <w:ind w:left="481" w:right="461"/>
              <w:jc w:val="center"/>
              <w:rPr>
                <w:sz w:val="20"/>
                <w:lang w:eastAsia="de-DE"/>
              </w:rPr>
            </w:pPr>
            <w:proofErr w:type="spellStart"/>
            <w:r w:rsidRPr="00E62EE7">
              <w:rPr>
                <w:b/>
                <w:bCs/>
                <w:sz w:val="20"/>
                <w:lang w:eastAsia="de-DE"/>
              </w:rPr>
              <w:t>Ph</w:t>
            </w:r>
            <w:r w:rsidRPr="00E62EE7">
              <w:rPr>
                <w:b/>
                <w:bCs/>
                <w:spacing w:val="1"/>
                <w:sz w:val="20"/>
                <w:lang w:eastAsia="de-DE"/>
              </w:rPr>
              <w:t>a</w:t>
            </w:r>
            <w:r w:rsidRPr="00E62EE7">
              <w:rPr>
                <w:b/>
                <w:bCs/>
                <w:sz w:val="20"/>
                <w:lang w:eastAsia="de-DE"/>
              </w:rPr>
              <w:t>r</w:t>
            </w:r>
            <w:r w:rsidRPr="00E62EE7">
              <w:rPr>
                <w:b/>
                <w:bCs/>
                <w:spacing w:val="-1"/>
                <w:sz w:val="20"/>
                <w:lang w:eastAsia="de-DE"/>
              </w:rPr>
              <w:t>m</w:t>
            </w:r>
            <w:r w:rsidRPr="00E62EE7">
              <w:rPr>
                <w:b/>
                <w:bCs/>
                <w:spacing w:val="1"/>
                <w:sz w:val="20"/>
                <w:lang w:eastAsia="de-DE"/>
              </w:rPr>
              <w:t>a</w:t>
            </w:r>
            <w:r w:rsidRPr="00E62EE7">
              <w:rPr>
                <w:b/>
                <w:bCs/>
                <w:spacing w:val="-1"/>
                <w:sz w:val="20"/>
                <w:lang w:eastAsia="de-DE"/>
              </w:rPr>
              <w:t>c</w:t>
            </w:r>
            <w:r w:rsidRPr="00E62EE7">
              <w:rPr>
                <w:b/>
                <w:bCs/>
                <w:spacing w:val="1"/>
                <w:sz w:val="20"/>
                <w:lang w:eastAsia="de-DE"/>
              </w:rPr>
              <w:t>o</w:t>
            </w:r>
            <w:r w:rsidRPr="00E62EE7">
              <w:rPr>
                <w:b/>
                <w:bCs/>
                <w:sz w:val="20"/>
                <w:lang w:eastAsia="de-DE"/>
              </w:rPr>
              <w:t>k</w:t>
            </w:r>
            <w:r w:rsidRPr="00E62EE7">
              <w:rPr>
                <w:b/>
                <w:bCs/>
                <w:spacing w:val="-1"/>
                <w:sz w:val="20"/>
                <w:lang w:eastAsia="de-DE"/>
              </w:rPr>
              <w:t>in</w:t>
            </w:r>
            <w:r w:rsidRPr="00E62EE7">
              <w:rPr>
                <w:b/>
                <w:bCs/>
                <w:sz w:val="20"/>
                <w:lang w:eastAsia="de-DE"/>
              </w:rPr>
              <w:t>et</w:t>
            </w:r>
            <w:r w:rsidRPr="00E62EE7">
              <w:rPr>
                <w:b/>
                <w:bCs/>
                <w:spacing w:val="-1"/>
                <w:sz w:val="20"/>
                <w:lang w:eastAsia="de-DE"/>
              </w:rPr>
              <w:t>i</w:t>
            </w:r>
            <w:r w:rsidRPr="00E62EE7">
              <w:rPr>
                <w:b/>
                <w:bCs/>
                <w:sz w:val="20"/>
                <w:lang w:eastAsia="de-DE"/>
              </w:rPr>
              <w:t>c</w:t>
            </w:r>
            <w:proofErr w:type="spellEnd"/>
          </w:p>
          <w:p w14:paraId="2D0B6C59" w14:textId="77777777" w:rsidR="00A17559" w:rsidRPr="00E62EE7" w:rsidRDefault="00A17559">
            <w:pPr>
              <w:autoSpaceDE w:val="0"/>
              <w:autoSpaceDN w:val="0"/>
              <w:adjustRightInd w:val="0"/>
              <w:spacing w:line="229" w:lineRule="exact"/>
              <w:ind w:left="650" w:right="629"/>
              <w:jc w:val="center"/>
              <w:rPr>
                <w:sz w:val="20"/>
                <w:lang w:eastAsia="de-DE"/>
              </w:rPr>
            </w:pPr>
            <w:r w:rsidRPr="00E62EE7">
              <w:rPr>
                <w:b/>
                <w:bCs/>
                <w:sz w:val="20"/>
                <w:lang w:eastAsia="de-DE"/>
              </w:rPr>
              <w:t>P</w:t>
            </w:r>
            <w:r w:rsidRPr="00E62EE7">
              <w:rPr>
                <w:b/>
                <w:bCs/>
                <w:spacing w:val="1"/>
                <w:sz w:val="20"/>
                <w:lang w:eastAsia="de-DE"/>
              </w:rPr>
              <w:t>a</w:t>
            </w:r>
            <w:r w:rsidRPr="00E62EE7">
              <w:rPr>
                <w:b/>
                <w:bCs/>
                <w:spacing w:val="-1"/>
                <w:sz w:val="20"/>
                <w:lang w:eastAsia="de-DE"/>
              </w:rPr>
              <w:t>r</w:t>
            </w:r>
            <w:r w:rsidRPr="00E62EE7">
              <w:rPr>
                <w:b/>
                <w:bCs/>
                <w:spacing w:val="1"/>
                <w:sz w:val="20"/>
                <w:lang w:eastAsia="de-DE"/>
              </w:rPr>
              <w:t>a</w:t>
            </w:r>
            <w:r w:rsidRPr="00E62EE7">
              <w:rPr>
                <w:b/>
                <w:bCs/>
                <w:sz w:val="20"/>
                <w:lang w:eastAsia="de-DE"/>
              </w:rPr>
              <w:t>mete</w:t>
            </w:r>
            <w:r w:rsidRPr="00E62EE7">
              <w:rPr>
                <w:b/>
                <w:bCs/>
                <w:spacing w:val="-1"/>
                <w:sz w:val="20"/>
                <w:lang w:eastAsia="de-DE"/>
              </w:rPr>
              <w:t>r</w:t>
            </w:r>
            <w:r w:rsidRPr="00E62EE7">
              <w:rPr>
                <w:b/>
                <w:bCs/>
                <w:sz w:val="20"/>
                <w:lang w:eastAsia="de-DE"/>
              </w:rPr>
              <w:t>(s)</w:t>
            </w:r>
          </w:p>
        </w:tc>
        <w:tc>
          <w:tcPr>
            <w:tcW w:w="1148" w:type="dxa"/>
            <w:tcBorders>
              <w:top w:val="single" w:sz="4" w:space="0" w:color="000000"/>
              <w:left w:val="single" w:sz="4" w:space="0" w:color="000000"/>
              <w:bottom w:val="single" w:sz="4" w:space="0" w:color="000000"/>
              <w:right w:val="single" w:sz="4" w:space="0" w:color="000000"/>
            </w:tcBorders>
            <w:hideMark/>
          </w:tcPr>
          <w:p w14:paraId="2A485CBD" w14:textId="77777777" w:rsidR="00A17559" w:rsidRPr="00E62EE7" w:rsidRDefault="00A17559">
            <w:pPr>
              <w:autoSpaceDE w:val="0"/>
              <w:autoSpaceDN w:val="0"/>
              <w:adjustRightInd w:val="0"/>
              <w:spacing w:before="2" w:line="230" w:lineRule="exact"/>
              <w:ind w:left="334" w:right="48" w:hanging="233"/>
              <w:rPr>
                <w:sz w:val="20"/>
                <w:lang w:eastAsia="de-DE"/>
              </w:rPr>
            </w:pPr>
            <w:proofErr w:type="spellStart"/>
            <w:r w:rsidRPr="00E62EE7">
              <w:rPr>
                <w:b/>
                <w:bCs/>
                <w:spacing w:val="1"/>
                <w:sz w:val="20"/>
                <w:lang w:eastAsia="de-DE"/>
              </w:rPr>
              <w:t>A</w:t>
            </w:r>
            <w:r w:rsidRPr="00E62EE7">
              <w:rPr>
                <w:b/>
                <w:bCs/>
                <w:sz w:val="20"/>
                <w:lang w:eastAsia="de-DE"/>
              </w:rPr>
              <w:t>r</w:t>
            </w:r>
            <w:r w:rsidRPr="00E62EE7">
              <w:rPr>
                <w:b/>
                <w:bCs/>
                <w:spacing w:val="-1"/>
                <w:sz w:val="20"/>
                <w:lang w:eastAsia="de-DE"/>
              </w:rPr>
              <w:t>i</w:t>
            </w:r>
            <w:r w:rsidRPr="00E62EE7">
              <w:rPr>
                <w:b/>
                <w:bCs/>
                <w:sz w:val="20"/>
                <w:lang w:eastAsia="de-DE"/>
              </w:rPr>
              <w:t>thm</w:t>
            </w:r>
            <w:r w:rsidRPr="00E62EE7">
              <w:rPr>
                <w:b/>
                <w:bCs/>
                <w:spacing w:val="-1"/>
                <w:sz w:val="20"/>
                <w:lang w:eastAsia="de-DE"/>
              </w:rPr>
              <w:t>e</w:t>
            </w:r>
            <w:r w:rsidRPr="00E62EE7">
              <w:rPr>
                <w:b/>
                <w:bCs/>
                <w:sz w:val="20"/>
                <w:lang w:eastAsia="de-DE"/>
              </w:rPr>
              <w:t>t</w:t>
            </w:r>
            <w:r w:rsidRPr="00E62EE7">
              <w:rPr>
                <w:b/>
                <w:bCs/>
                <w:spacing w:val="-1"/>
                <w:sz w:val="20"/>
                <w:lang w:eastAsia="de-DE"/>
              </w:rPr>
              <w:t>i</w:t>
            </w:r>
            <w:r w:rsidRPr="00E62EE7">
              <w:rPr>
                <w:b/>
                <w:bCs/>
                <w:sz w:val="20"/>
                <w:lang w:eastAsia="de-DE"/>
              </w:rPr>
              <w:t>c</w:t>
            </w:r>
            <w:proofErr w:type="spellEnd"/>
            <w:r w:rsidRPr="00E62EE7">
              <w:rPr>
                <w:b/>
                <w:bCs/>
                <w:sz w:val="20"/>
                <w:lang w:eastAsia="de-DE"/>
              </w:rPr>
              <w:t xml:space="preserve"> </w:t>
            </w:r>
            <w:proofErr w:type="spellStart"/>
            <w:r w:rsidRPr="00E62EE7">
              <w:rPr>
                <w:b/>
                <w:bCs/>
                <w:sz w:val="20"/>
                <w:lang w:eastAsia="de-DE"/>
              </w:rPr>
              <w:t>me</w:t>
            </w:r>
            <w:r w:rsidRPr="00E62EE7">
              <w:rPr>
                <w:b/>
                <w:bCs/>
                <w:spacing w:val="1"/>
                <w:sz w:val="20"/>
                <w:lang w:eastAsia="de-DE"/>
              </w:rPr>
              <w:t>a</w:t>
            </w:r>
            <w:r w:rsidRPr="00E62EE7">
              <w:rPr>
                <w:b/>
                <w:bCs/>
                <w:sz w:val="20"/>
                <w:lang w:eastAsia="de-DE"/>
              </w:rPr>
              <w:t>n</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14:paraId="351A804C" w14:textId="77777777" w:rsidR="00A17559" w:rsidRPr="00E62EE7" w:rsidRDefault="00A17559">
            <w:pPr>
              <w:autoSpaceDE w:val="0"/>
              <w:autoSpaceDN w:val="0"/>
              <w:adjustRightInd w:val="0"/>
              <w:spacing w:before="2" w:line="230" w:lineRule="exact"/>
              <w:ind w:left="109" w:right="49" w:hanging="7"/>
              <w:rPr>
                <w:sz w:val="20"/>
                <w:lang w:eastAsia="de-DE"/>
              </w:rPr>
            </w:pPr>
            <w:r w:rsidRPr="00E62EE7">
              <w:rPr>
                <w:b/>
                <w:bCs/>
                <w:sz w:val="20"/>
                <w:lang w:eastAsia="de-DE"/>
              </w:rPr>
              <w:t>St</w:t>
            </w:r>
            <w:r w:rsidRPr="00E62EE7">
              <w:rPr>
                <w:b/>
                <w:bCs/>
                <w:spacing w:val="-1"/>
                <w:sz w:val="20"/>
                <w:lang w:eastAsia="de-DE"/>
              </w:rPr>
              <w:t>a</w:t>
            </w:r>
            <w:r w:rsidRPr="00E62EE7">
              <w:rPr>
                <w:b/>
                <w:bCs/>
                <w:sz w:val="20"/>
                <w:lang w:eastAsia="de-DE"/>
              </w:rPr>
              <w:t>n</w:t>
            </w:r>
            <w:r w:rsidRPr="00E62EE7">
              <w:rPr>
                <w:b/>
                <w:bCs/>
                <w:spacing w:val="-1"/>
                <w:sz w:val="20"/>
                <w:lang w:eastAsia="de-DE"/>
              </w:rPr>
              <w:t>d</w:t>
            </w:r>
            <w:r w:rsidRPr="00E62EE7">
              <w:rPr>
                <w:b/>
                <w:bCs/>
                <w:spacing w:val="1"/>
                <w:sz w:val="20"/>
                <w:lang w:eastAsia="de-DE"/>
              </w:rPr>
              <w:t>a</w:t>
            </w:r>
            <w:r w:rsidRPr="00E62EE7">
              <w:rPr>
                <w:b/>
                <w:bCs/>
                <w:sz w:val="20"/>
                <w:lang w:eastAsia="de-DE"/>
              </w:rPr>
              <w:t>rd de</w:t>
            </w:r>
            <w:r w:rsidRPr="00E62EE7">
              <w:rPr>
                <w:b/>
                <w:bCs/>
                <w:spacing w:val="1"/>
                <w:sz w:val="20"/>
                <w:lang w:eastAsia="de-DE"/>
              </w:rPr>
              <w:t>v</w:t>
            </w:r>
            <w:r w:rsidRPr="00E62EE7">
              <w:rPr>
                <w:b/>
                <w:bCs/>
                <w:spacing w:val="-1"/>
                <w:sz w:val="20"/>
                <w:lang w:eastAsia="de-DE"/>
              </w:rPr>
              <w:t>ia</w:t>
            </w:r>
            <w:r w:rsidRPr="00E62EE7">
              <w:rPr>
                <w:b/>
                <w:bCs/>
                <w:sz w:val="20"/>
                <w:lang w:eastAsia="de-DE"/>
              </w:rPr>
              <w:t>t</w:t>
            </w:r>
            <w:r w:rsidRPr="00E62EE7">
              <w:rPr>
                <w:b/>
                <w:bCs/>
                <w:spacing w:val="-1"/>
                <w:sz w:val="20"/>
                <w:lang w:eastAsia="de-DE"/>
              </w:rPr>
              <w:t>ion</w:t>
            </w:r>
          </w:p>
        </w:tc>
        <w:tc>
          <w:tcPr>
            <w:tcW w:w="718" w:type="dxa"/>
            <w:tcBorders>
              <w:top w:val="single" w:sz="4" w:space="0" w:color="000000"/>
              <w:left w:val="single" w:sz="4" w:space="0" w:color="000000"/>
              <w:bottom w:val="single" w:sz="4" w:space="0" w:color="000000"/>
              <w:right w:val="single" w:sz="4" w:space="0" w:color="000000"/>
            </w:tcBorders>
            <w:hideMark/>
          </w:tcPr>
          <w:p w14:paraId="54B8C1F1" w14:textId="77777777" w:rsidR="00A17559" w:rsidRPr="00E62EE7" w:rsidRDefault="00A17559">
            <w:pPr>
              <w:autoSpaceDE w:val="0"/>
              <w:autoSpaceDN w:val="0"/>
              <w:adjustRightInd w:val="0"/>
              <w:spacing w:before="2" w:line="230" w:lineRule="exact"/>
              <w:ind w:left="163" w:right="115" w:firstLine="23"/>
              <w:rPr>
                <w:sz w:val="20"/>
                <w:lang w:eastAsia="de-DE"/>
              </w:rPr>
            </w:pPr>
            <w:r w:rsidRPr="00E62EE7">
              <w:rPr>
                <w:b/>
                <w:bCs/>
                <w:spacing w:val="1"/>
                <w:sz w:val="20"/>
                <w:lang w:eastAsia="de-DE"/>
              </w:rPr>
              <w:t>C</w:t>
            </w:r>
            <w:r w:rsidRPr="00E62EE7">
              <w:rPr>
                <w:b/>
                <w:bCs/>
                <w:sz w:val="20"/>
                <w:lang w:eastAsia="de-DE"/>
              </w:rPr>
              <w:t xml:space="preserve">V </w:t>
            </w:r>
            <w:r w:rsidRPr="00E62EE7">
              <w:rPr>
                <w:b/>
                <w:bCs/>
                <w:spacing w:val="2"/>
                <w:sz w:val="20"/>
                <w:lang w:eastAsia="de-DE"/>
              </w:rPr>
              <w:t>(</w:t>
            </w:r>
            <w:r w:rsidRPr="00E62EE7">
              <w:rPr>
                <w:b/>
                <w:bCs/>
                <w:spacing w:val="-4"/>
                <w:sz w:val="20"/>
                <w:lang w:eastAsia="de-DE"/>
              </w:rPr>
              <w:t>%)</w:t>
            </w:r>
          </w:p>
        </w:tc>
        <w:tc>
          <w:tcPr>
            <w:tcW w:w="1103" w:type="dxa"/>
            <w:tcBorders>
              <w:top w:val="single" w:sz="4" w:space="0" w:color="000000"/>
              <w:left w:val="single" w:sz="4" w:space="0" w:color="000000"/>
              <w:bottom w:val="single" w:sz="4" w:space="0" w:color="000000"/>
              <w:right w:val="single" w:sz="4" w:space="0" w:color="000000"/>
            </w:tcBorders>
            <w:hideMark/>
          </w:tcPr>
          <w:p w14:paraId="4EF52EB0" w14:textId="77777777" w:rsidR="00A17559" w:rsidRPr="00E62EE7" w:rsidRDefault="00A17559">
            <w:pPr>
              <w:autoSpaceDE w:val="0"/>
              <w:autoSpaceDN w:val="0"/>
              <w:adjustRightInd w:val="0"/>
              <w:spacing w:before="2" w:line="230" w:lineRule="exact"/>
              <w:ind w:left="334" w:right="48" w:hanging="233"/>
              <w:rPr>
                <w:sz w:val="20"/>
                <w:lang w:eastAsia="de-DE"/>
              </w:rPr>
            </w:pPr>
            <w:proofErr w:type="spellStart"/>
            <w:r w:rsidRPr="00E62EE7">
              <w:rPr>
                <w:b/>
                <w:bCs/>
                <w:spacing w:val="1"/>
                <w:sz w:val="20"/>
                <w:lang w:eastAsia="de-DE"/>
              </w:rPr>
              <w:t>A</w:t>
            </w:r>
            <w:r w:rsidRPr="00E62EE7">
              <w:rPr>
                <w:b/>
                <w:bCs/>
                <w:sz w:val="20"/>
                <w:lang w:eastAsia="de-DE"/>
              </w:rPr>
              <w:t>r</w:t>
            </w:r>
            <w:r w:rsidRPr="00E62EE7">
              <w:rPr>
                <w:b/>
                <w:bCs/>
                <w:spacing w:val="-1"/>
                <w:sz w:val="20"/>
                <w:lang w:eastAsia="de-DE"/>
              </w:rPr>
              <w:t>i</w:t>
            </w:r>
            <w:r w:rsidRPr="00E62EE7">
              <w:rPr>
                <w:b/>
                <w:bCs/>
                <w:sz w:val="20"/>
                <w:lang w:eastAsia="de-DE"/>
              </w:rPr>
              <w:t>thm</w:t>
            </w:r>
            <w:r w:rsidRPr="00E62EE7">
              <w:rPr>
                <w:b/>
                <w:bCs/>
                <w:spacing w:val="-1"/>
                <w:sz w:val="20"/>
                <w:lang w:eastAsia="de-DE"/>
              </w:rPr>
              <w:t>e</w:t>
            </w:r>
            <w:r w:rsidRPr="00E62EE7">
              <w:rPr>
                <w:b/>
                <w:bCs/>
                <w:sz w:val="20"/>
                <w:lang w:eastAsia="de-DE"/>
              </w:rPr>
              <w:t>t</w:t>
            </w:r>
            <w:r w:rsidRPr="00E62EE7">
              <w:rPr>
                <w:b/>
                <w:bCs/>
                <w:spacing w:val="-1"/>
                <w:sz w:val="20"/>
                <w:lang w:eastAsia="de-DE"/>
              </w:rPr>
              <w:t>i</w:t>
            </w:r>
            <w:r w:rsidRPr="00E62EE7">
              <w:rPr>
                <w:b/>
                <w:bCs/>
                <w:sz w:val="20"/>
                <w:lang w:eastAsia="de-DE"/>
              </w:rPr>
              <w:t>c</w:t>
            </w:r>
            <w:proofErr w:type="spellEnd"/>
            <w:r w:rsidRPr="00E62EE7">
              <w:rPr>
                <w:b/>
                <w:bCs/>
                <w:sz w:val="20"/>
                <w:lang w:eastAsia="de-DE"/>
              </w:rPr>
              <w:t xml:space="preserve"> </w:t>
            </w:r>
            <w:proofErr w:type="spellStart"/>
            <w:r w:rsidRPr="00E62EE7">
              <w:rPr>
                <w:b/>
                <w:bCs/>
                <w:sz w:val="20"/>
                <w:lang w:eastAsia="de-DE"/>
              </w:rPr>
              <w:t>me</w:t>
            </w:r>
            <w:r w:rsidRPr="00E62EE7">
              <w:rPr>
                <w:b/>
                <w:bCs/>
                <w:spacing w:val="1"/>
                <w:sz w:val="20"/>
                <w:lang w:eastAsia="de-DE"/>
              </w:rPr>
              <w:t>a</w:t>
            </w:r>
            <w:r w:rsidRPr="00E62EE7">
              <w:rPr>
                <w:b/>
                <w:bCs/>
                <w:sz w:val="20"/>
                <w:lang w:eastAsia="de-DE"/>
              </w:rPr>
              <w:t>n</w:t>
            </w:r>
            <w:proofErr w:type="spellEnd"/>
          </w:p>
        </w:tc>
        <w:tc>
          <w:tcPr>
            <w:tcW w:w="1018" w:type="dxa"/>
            <w:tcBorders>
              <w:top w:val="single" w:sz="4" w:space="0" w:color="000000"/>
              <w:left w:val="single" w:sz="4" w:space="0" w:color="000000"/>
              <w:bottom w:val="single" w:sz="4" w:space="0" w:color="000000"/>
              <w:right w:val="single" w:sz="4" w:space="0" w:color="000000"/>
            </w:tcBorders>
            <w:hideMark/>
          </w:tcPr>
          <w:p w14:paraId="2F0D049C" w14:textId="77777777" w:rsidR="00A17559" w:rsidRPr="00E62EE7" w:rsidRDefault="00A17559">
            <w:pPr>
              <w:autoSpaceDE w:val="0"/>
              <w:autoSpaceDN w:val="0"/>
              <w:adjustRightInd w:val="0"/>
              <w:spacing w:before="2" w:line="230" w:lineRule="exact"/>
              <w:ind w:left="109" w:right="49" w:hanging="7"/>
              <w:rPr>
                <w:sz w:val="20"/>
                <w:lang w:eastAsia="de-DE"/>
              </w:rPr>
            </w:pPr>
            <w:r w:rsidRPr="00E62EE7">
              <w:rPr>
                <w:b/>
                <w:bCs/>
                <w:sz w:val="20"/>
                <w:lang w:eastAsia="de-DE"/>
              </w:rPr>
              <w:t>St</w:t>
            </w:r>
            <w:r w:rsidRPr="00E62EE7">
              <w:rPr>
                <w:b/>
                <w:bCs/>
                <w:spacing w:val="-1"/>
                <w:sz w:val="20"/>
                <w:lang w:eastAsia="de-DE"/>
              </w:rPr>
              <w:t>a</w:t>
            </w:r>
            <w:r w:rsidRPr="00E62EE7">
              <w:rPr>
                <w:b/>
                <w:bCs/>
                <w:sz w:val="20"/>
                <w:lang w:eastAsia="de-DE"/>
              </w:rPr>
              <w:t>n</w:t>
            </w:r>
            <w:r w:rsidRPr="00E62EE7">
              <w:rPr>
                <w:b/>
                <w:bCs/>
                <w:spacing w:val="-1"/>
                <w:sz w:val="20"/>
                <w:lang w:eastAsia="de-DE"/>
              </w:rPr>
              <w:t>d</w:t>
            </w:r>
            <w:r w:rsidRPr="00E62EE7">
              <w:rPr>
                <w:b/>
                <w:bCs/>
                <w:spacing w:val="1"/>
                <w:sz w:val="20"/>
                <w:lang w:eastAsia="de-DE"/>
              </w:rPr>
              <w:t>a</w:t>
            </w:r>
            <w:r w:rsidRPr="00E62EE7">
              <w:rPr>
                <w:b/>
                <w:bCs/>
                <w:sz w:val="20"/>
                <w:lang w:eastAsia="de-DE"/>
              </w:rPr>
              <w:t>rd de</w:t>
            </w:r>
            <w:r w:rsidRPr="00E62EE7">
              <w:rPr>
                <w:b/>
                <w:bCs/>
                <w:spacing w:val="1"/>
                <w:sz w:val="20"/>
                <w:lang w:eastAsia="de-DE"/>
              </w:rPr>
              <w:t>v</w:t>
            </w:r>
            <w:r w:rsidRPr="00E62EE7">
              <w:rPr>
                <w:b/>
                <w:bCs/>
                <w:spacing w:val="-1"/>
                <w:sz w:val="20"/>
                <w:lang w:eastAsia="de-DE"/>
              </w:rPr>
              <w:t>ia</w:t>
            </w:r>
            <w:r w:rsidRPr="00E62EE7">
              <w:rPr>
                <w:b/>
                <w:bCs/>
                <w:sz w:val="20"/>
                <w:lang w:eastAsia="de-DE"/>
              </w:rPr>
              <w:t>t</w:t>
            </w:r>
            <w:r w:rsidRPr="00E62EE7">
              <w:rPr>
                <w:b/>
                <w:bCs/>
                <w:spacing w:val="-1"/>
                <w:sz w:val="20"/>
                <w:lang w:eastAsia="de-DE"/>
              </w:rPr>
              <w:t>ion</w:t>
            </w:r>
          </w:p>
        </w:tc>
        <w:tc>
          <w:tcPr>
            <w:tcW w:w="714" w:type="dxa"/>
            <w:tcBorders>
              <w:top w:val="single" w:sz="4" w:space="0" w:color="000000"/>
              <w:left w:val="single" w:sz="4" w:space="0" w:color="000000"/>
              <w:bottom w:val="single" w:sz="4" w:space="0" w:color="000000"/>
              <w:right w:val="single" w:sz="4" w:space="0" w:color="000000"/>
            </w:tcBorders>
            <w:hideMark/>
          </w:tcPr>
          <w:p w14:paraId="21769304" w14:textId="77777777" w:rsidR="00A17559" w:rsidRPr="00E62EE7" w:rsidRDefault="00A17559">
            <w:pPr>
              <w:autoSpaceDE w:val="0"/>
              <w:autoSpaceDN w:val="0"/>
              <w:adjustRightInd w:val="0"/>
              <w:spacing w:before="2" w:line="230" w:lineRule="exact"/>
              <w:ind w:left="162" w:right="114" w:firstLine="23"/>
              <w:rPr>
                <w:sz w:val="20"/>
                <w:lang w:eastAsia="de-DE"/>
              </w:rPr>
            </w:pPr>
            <w:r w:rsidRPr="00E62EE7">
              <w:rPr>
                <w:b/>
                <w:bCs/>
                <w:spacing w:val="1"/>
                <w:sz w:val="20"/>
                <w:lang w:eastAsia="de-DE"/>
              </w:rPr>
              <w:t>C</w:t>
            </w:r>
            <w:r w:rsidRPr="00E62EE7">
              <w:rPr>
                <w:b/>
                <w:bCs/>
                <w:sz w:val="20"/>
                <w:lang w:eastAsia="de-DE"/>
              </w:rPr>
              <w:t xml:space="preserve">V </w:t>
            </w:r>
            <w:r w:rsidRPr="00E62EE7">
              <w:rPr>
                <w:b/>
                <w:bCs/>
                <w:spacing w:val="2"/>
                <w:sz w:val="20"/>
                <w:lang w:eastAsia="de-DE"/>
              </w:rPr>
              <w:t>(</w:t>
            </w:r>
            <w:r w:rsidRPr="00E62EE7">
              <w:rPr>
                <w:b/>
                <w:bCs/>
                <w:spacing w:val="-4"/>
                <w:sz w:val="20"/>
                <w:lang w:eastAsia="de-DE"/>
              </w:rPr>
              <w:t>%)</w:t>
            </w:r>
          </w:p>
        </w:tc>
      </w:tr>
      <w:tr w:rsidR="00A17559" w:rsidRPr="00E62EE7" w14:paraId="598E045F" w14:textId="77777777" w:rsidTr="00E62EE7">
        <w:trPr>
          <w:trHeight w:val="20"/>
        </w:trPr>
        <w:tc>
          <w:tcPr>
            <w:tcW w:w="2503" w:type="dxa"/>
            <w:tcBorders>
              <w:top w:val="single" w:sz="4" w:space="0" w:color="000000"/>
              <w:left w:val="single" w:sz="4" w:space="0" w:color="000000"/>
              <w:bottom w:val="single" w:sz="4" w:space="0" w:color="000000"/>
              <w:right w:val="single" w:sz="4" w:space="0" w:color="000000"/>
            </w:tcBorders>
            <w:hideMark/>
          </w:tcPr>
          <w:p w14:paraId="66A57ADB" w14:textId="77777777" w:rsidR="00A17559" w:rsidRPr="00E62EE7" w:rsidRDefault="00A17559">
            <w:pPr>
              <w:autoSpaceDE w:val="0"/>
              <w:autoSpaceDN w:val="0"/>
              <w:adjustRightInd w:val="0"/>
              <w:spacing w:line="228" w:lineRule="exact"/>
              <w:ind w:left="102" w:right="-20"/>
              <w:rPr>
                <w:sz w:val="20"/>
                <w:lang w:eastAsia="de-DE"/>
              </w:rPr>
            </w:pPr>
            <w:r w:rsidRPr="00E62EE7">
              <w:rPr>
                <w:spacing w:val="1"/>
                <w:sz w:val="20"/>
                <w:lang w:eastAsia="de-DE"/>
              </w:rPr>
              <w:t>*</w:t>
            </w:r>
            <w:r w:rsidRPr="00E62EE7">
              <w:rPr>
                <w:sz w:val="20"/>
                <w:lang w:eastAsia="de-DE"/>
              </w:rPr>
              <w:t>T</w:t>
            </w:r>
            <w:r w:rsidRPr="00E62EE7">
              <w:rPr>
                <w:spacing w:val="-1"/>
                <w:position w:val="-2"/>
                <w:sz w:val="20"/>
                <w:lang w:eastAsia="de-DE"/>
              </w:rPr>
              <w:t>m</w:t>
            </w:r>
            <w:r w:rsidRPr="00E62EE7">
              <w:rPr>
                <w:position w:val="-2"/>
                <w:sz w:val="20"/>
                <w:lang w:eastAsia="de-DE"/>
              </w:rPr>
              <w:t>ax</w:t>
            </w:r>
            <w:r w:rsidRPr="00E62EE7">
              <w:rPr>
                <w:spacing w:val="15"/>
                <w:position w:val="-2"/>
                <w:sz w:val="20"/>
                <w:lang w:eastAsia="de-DE"/>
              </w:rPr>
              <w:t xml:space="preserve"> </w:t>
            </w:r>
            <w:r w:rsidRPr="00E62EE7">
              <w:rPr>
                <w:sz w:val="20"/>
                <w:lang w:eastAsia="de-DE"/>
              </w:rPr>
              <w:t>(</w:t>
            </w:r>
            <w:r w:rsidRPr="00E62EE7">
              <w:rPr>
                <w:spacing w:val="1"/>
                <w:sz w:val="20"/>
                <w:lang w:eastAsia="de-DE"/>
              </w:rPr>
              <w:t>h</w:t>
            </w:r>
            <w:r w:rsidRPr="00E62EE7">
              <w:rPr>
                <w:sz w:val="20"/>
                <w:lang w:eastAsia="de-DE"/>
              </w:rPr>
              <w:t>)</w:t>
            </w:r>
          </w:p>
        </w:tc>
        <w:tc>
          <w:tcPr>
            <w:tcW w:w="1148" w:type="dxa"/>
            <w:tcBorders>
              <w:top w:val="single" w:sz="4" w:space="0" w:color="000000"/>
              <w:left w:val="single" w:sz="4" w:space="0" w:color="000000"/>
              <w:bottom w:val="single" w:sz="4" w:space="0" w:color="000000"/>
              <w:right w:val="single" w:sz="4" w:space="0" w:color="000000"/>
            </w:tcBorders>
            <w:hideMark/>
          </w:tcPr>
          <w:p w14:paraId="756701BE" w14:textId="77777777" w:rsidR="00A17559" w:rsidRPr="00E62EE7" w:rsidRDefault="00A17559">
            <w:pPr>
              <w:autoSpaceDE w:val="0"/>
              <w:autoSpaceDN w:val="0"/>
              <w:adjustRightInd w:val="0"/>
              <w:spacing w:line="227" w:lineRule="exact"/>
              <w:ind w:left="356" w:right="339"/>
              <w:jc w:val="center"/>
              <w:rPr>
                <w:sz w:val="20"/>
                <w:lang w:eastAsia="de-DE"/>
              </w:rPr>
            </w:pPr>
            <w:r w:rsidRPr="00E62EE7">
              <w:rPr>
                <w:spacing w:val="1"/>
                <w:sz w:val="20"/>
                <w:lang w:eastAsia="de-DE"/>
              </w:rPr>
              <w:t>0</w:t>
            </w:r>
            <w:r w:rsidRPr="00E62EE7">
              <w:rPr>
                <w:spacing w:val="-1"/>
                <w:sz w:val="20"/>
                <w:lang w:eastAsia="de-DE"/>
              </w:rPr>
              <w:t>.</w:t>
            </w:r>
            <w:r w:rsidRPr="00E62EE7">
              <w:rPr>
                <w:spacing w:val="1"/>
                <w:sz w:val="20"/>
                <w:lang w:eastAsia="de-DE"/>
              </w:rPr>
              <w:t>68</w:t>
            </w:r>
          </w:p>
        </w:tc>
        <w:tc>
          <w:tcPr>
            <w:tcW w:w="1736" w:type="dxa"/>
            <w:gridSpan w:val="2"/>
            <w:tcBorders>
              <w:top w:val="single" w:sz="4" w:space="0" w:color="000000"/>
              <w:left w:val="single" w:sz="4" w:space="0" w:color="000000"/>
              <w:bottom w:val="single" w:sz="4" w:space="0" w:color="000000"/>
              <w:right w:val="single" w:sz="4" w:space="0" w:color="000000"/>
            </w:tcBorders>
            <w:hideMark/>
          </w:tcPr>
          <w:p w14:paraId="0BBABC3B" w14:textId="77777777" w:rsidR="00A17559" w:rsidRPr="00E62EE7" w:rsidRDefault="00A17559">
            <w:pPr>
              <w:autoSpaceDE w:val="0"/>
              <w:autoSpaceDN w:val="0"/>
              <w:adjustRightInd w:val="0"/>
              <w:spacing w:line="227" w:lineRule="exact"/>
              <w:ind w:left="456" w:right="-20"/>
              <w:rPr>
                <w:sz w:val="20"/>
                <w:lang w:eastAsia="de-DE"/>
              </w:rPr>
            </w:pPr>
            <w:r w:rsidRPr="00E62EE7">
              <w:rPr>
                <w:spacing w:val="1"/>
                <w:sz w:val="20"/>
                <w:lang w:eastAsia="de-DE"/>
              </w:rPr>
              <w:t>0</w:t>
            </w:r>
            <w:r w:rsidRPr="00E62EE7">
              <w:rPr>
                <w:spacing w:val="-1"/>
                <w:sz w:val="20"/>
                <w:lang w:eastAsia="de-DE"/>
              </w:rPr>
              <w:t>.</w:t>
            </w:r>
            <w:r w:rsidRPr="00E62EE7">
              <w:rPr>
                <w:spacing w:val="1"/>
                <w:sz w:val="20"/>
                <w:lang w:eastAsia="de-DE"/>
              </w:rPr>
              <w:t>2</w:t>
            </w:r>
            <w:r w:rsidRPr="00E62EE7">
              <w:rPr>
                <w:spacing w:val="-1"/>
                <w:sz w:val="20"/>
                <w:lang w:eastAsia="de-DE"/>
              </w:rPr>
              <w:t>5-</w:t>
            </w:r>
            <w:r w:rsidRPr="00E62EE7">
              <w:rPr>
                <w:spacing w:val="1"/>
                <w:sz w:val="20"/>
                <w:lang w:eastAsia="de-DE"/>
              </w:rPr>
              <w:t>2</w:t>
            </w:r>
            <w:r w:rsidRPr="00E62EE7">
              <w:rPr>
                <w:spacing w:val="-1"/>
                <w:sz w:val="20"/>
                <w:lang w:eastAsia="de-DE"/>
              </w:rPr>
              <w:t>.</w:t>
            </w:r>
            <w:r w:rsidRPr="00E62EE7">
              <w:rPr>
                <w:spacing w:val="1"/>
                <w:sz w:val="20"/>
                <w:lang w:eastAsia="de-DE"/>
              </w:rPr>
              <w:t>25</w:t>
            </w:r>
          </w:p>
        </w:tc>
        <w:tc>
          <w:tcPr>
            <w:tcW w:w="1103" w:type="dxa"/>
            <w:tcBorders>
              <w:top w:val="single" w:sz="4" w:space="0" w:color="000000"/>
              <w:left w:val="single" w:sz="4" w:space="0" w:color="000000"/>
              <w:bottom w:val="single" w:sz="4" w:space="0" w:color="000000"/>
              <w:right w:val="single" w:sz="4" w:space="0" w:color="000000"/>
            </w:tcBorders>
            <w:hideMark/>
          </w:tcPr>
          <w:p w14:paraId="15D3CD9F" w14:textId="77777777" w:rsidR="00A17559" w:rsidRPr="00E62EE7" w:rsidRDefault="00A17559">
            <w:pPr>
              <w:autoSpaceDE w:val="0"/>
              <w:autoSpaceDN w:val="0"/>
              <w:adjustRightInd w:val="0"/>
              <w:spacing w:line="227" w:lineRule="exact"/>
              <w:ind w:left="356" w:right="339"/>
              <w:jc w:val="center"/>
              <w:rPr>
                <w:sz w:val="20"/>
                <w:lang w:eastAsia="de-DE"/>
              </w:rPr>
            </w:pPr>
            <w:r w:rsidRPr="00E62EE7">
              <w:rPr>
                <w:spacing w:val="1"/>
                <w:sz w:val="20"/>
                <w:lang w:eastAsia="de-DE"/>
              </w:rPr>
              <w:t>0</w:t>
            </w:r>
            <w:r w:rsidRPr="00E62EE7">
              <w:rPr>
                <w:spacing w:val="-1"/>
                <w:sz w:val="20"/>
                <w:lang w:eastAsia="de-DE"/>
              </w:rPr>
              <w:t>.</w:t>
            </w:r>
            <w:r w:rsidRPr="00E62EE7">
              <w:rPr>
                <w:spacing w:val="1"/>
                <w:sz w:val="20"/>
                <w:lang w:eastAsia="de-DE"/>
              </w:rPr>
              <w:t>42</w:t>
            </w:r>
          </w:p>
        </w:tc>
        <w:tc>
          <w:tcPr>
            <w:tcW w:w="1732" w:type="dxa"/>
            <w:gridSpan w:val="2"/>
            <w:tcBorders>
              <w:top w:val="single" w:sz="4" w:space="0" w:color="000000"/>
              <w:left w:val="single" w:sz="4" w:space="0" w:color="000000"/>
              <w:bottom w:val="single" w:sz="4" w:space="0" w:color="000000"/>
              <w:right w:val="single" w:sz="4" w:space="0" w:color="000000"/>
            </w:tcBorders>
            <w:hideMark/>
          </w:tcPr>
          <w:p w14:paraId="79840A59" w14:textId="77777777" w:rsidR="00A17559" w:rsidRPr="00E62EE7" w:rsidRDefault="00A17559">
            <w:pPr>
              <w:autoSpaceDE w:val="0"/>
              <w:autoSpaceDN w:val="0"/>
              <w:adjustRightInd w:val="0"/>
              <w:spacing w:line="227" w:lineRule="exact"/>
              <w:ind w:left="455" w:right="-20"/>
              <w:rPr>
                <w:sz w:val="20"/>
                <w:lang w:eastAsia="de-DE"/>
              </w:rPr>
            </w:pPr>
            <w:r w:rsidRPr="00E62EE7">
              <w:rPr>
                <w:spacing w:val="1"/>
                <w:sz w:val="20"/>
                <w:lang w:eastAsia="de-DE"/>
              </w:rPr>
              <w:t>0</w:t>
            </w:r>
            <w:r w:rsidRPr="00E62EE7">
              <w:rPr>
                <w:spacing w:val="-1"/>
                <w:sz w:val="20"/>
                <w:lang w:eastAsia="de-DE"/>
              </w:rPr>
              <w:t>.</w:t>
            </w:r>
            <w:r w:rsidRPr="00E62EE7">
              <w:rPr>
                <w:spacing w:val="1"/>
                <w:sz w:val="20"/>
                <w:lang w:eastAsia="de-DE"/>
              </w:rPr>
              <w:t>2</w:t>
            </w:r>
            <w:r w:rsidRPr="00E62EE7">
              <w:rPr>
                <w:spacing w:val="-1"/>
                <w:sz w:val="20"/>
                <w:lang w:eastAsia="de-DE"/>
              </w:rPr>
              <w:t>2-</w:t>
            </w:r>
            <w:r w:rsidRPr="00E62EE7">
              <w:rPr>
                <w:spacing w:val="1"/>
                <w:sz w:val="20"/>
                <w:lang w:eastAsia="de-DE"/>
              </w:rPr>
              <w:t>1</w:t>
            </w:r>
            <w:r w:rsidRPr="00E62EE7">
              <w:rPr>
                <w:spacing w:val="-1"/>
                <w:sz w:val="20"/>
                <w:lang w:eastAsia="de-DE"/>
              </w:rPr>
              <w:t>.</w:t>
            </w:r>
            <w:r w:rsidRPr="00E62EE7">
              <w:rPr>
                <w:spacing w:val="1"/>
                <w:sz w:val="20"/>
                <w:lang w:eastAsia="de-DE"/>
              </w:rPr>
              <w:t>33</w:t>
            </w:r>
          </w:p>
        </w:tc>
      </w:tr>
    </w:tbl>
    <w:p w14:paraId="384A9D15" w14:textId="77777777" w:rsidR="00A17559" w:rsidRPr="004E05E4" w:rsidRDefault="00A17559" w:rsidP="004E05E4">
      <w:pPr>
        <w:ind w:left="851"/>
        <w:rPr>
          <w:noProof/>
          <w:sz w:val="24"/>
          <w:szCs w:val="24"/>
          <w:lang w:val="en-GB" w:eastAsia="en-US"/>
        </w:rPr>
      </w:pPr>
      <w:r w:rsidRPr="004E05E4">
        <w:rPr>
          <w:noProof/>
          <w:sz w:val="24"/>
          <w:szCs w:val="24"/>
        </w:rPr>
        <w:t>*median &amp; range reported</w:t>
      </w:r>
    </w:p>
    <w:p w14:paraId="2179100A" w14:textId="77777777" w:rsidR="00A17559" w:rsidRPr="004E05E4" w:rsidRDefault="00A17559" w:rsidP="004E05E4">
      <w:pPr>
        <w:ind w:left="851"/>
        <w:rPr>
          <w:noProof/>
          <w:sz w:val="24"/>
          <w:szCs w:val="24"/>
          <w:u w:val="single"/>
        </w:rPr>
      </w:pPr>
    </w:p>
    <w:p w14:paraId="3C690834" w14:textId="691617BC" w:rsidR="00A17559" w:rsidRPr="004E05E4" w:rsidRDefault="00A17559" w:rsidP="004E05E4">
      <w:pPr>
        <w:ind w:left="851"/>
        <w:rPr>
          <w:sz w:val="24"/>
          <w:szCs w:val="24"/>
          <w:lang w:val="en-US"/>
        </w:rPr>
      </w:pPr>
      <w:r w:rsidRPr="004E05E4">
        <w:rPr>
          <w:sz w:val="24"/>
          <w:szCs w:val="24"/>
          <w:lang w:val="en-US"/>
        </w:rPr>
        <w:t xml:space="preserve">Human scintigraphy data demonstrate that </w:t>
      </w:r>
      <w:r w:rsidR="00E62EE7">
        <w:rPr>
          <w:sz w:val="24"/>
          <w:szCs w:val="24"/>
          <w:lang w:val="en-US"/>
        </w:rPr>
        <w:t>Paracetamol "Teva"</w:t>
      </w:r>
      <w:r w:rsidRPr="004E05E4">
        <w:rPr>
          <w:sz w:val="24"/>
          <w:szCs w:val="24"/>
          <w:lang w:val="en-US"/>
        </w:rPr>
        <w:t xml:space="preserve"> generally start to disintegrate by 5 minutes post dose. Human pharmacokinetic data demonstrate that paracetamol can generally be detected in plasma by 10 minutes.</w:t>
      </w:r>
    </w:p>
    <w:p w14:paraId="246C920D" w14:textId="77777777" w:rsidR="00A17559" w:rsidRPr="004E05E4" w:rsidRDefault="00A17559" w:rsidP="004E05E4">
      <w:pPr>
        <w:ind w:left="851"/>
        <w:rPr>
          <w:sz w:val="24"/>
          <w:szCs w:val="24"/>
          <w:lang w:val="en-US"/>
        </w:rPr>
      </w:pPr>
    </w:p>
    <w:p w14:paraId="742BCA6C" w14:textId="1026A8B8" w:rsidR="00A17559" w:rsidRPr="004E05E4" w:rsidRDefault="00A17559" w:rsidP="004E05E4">
      <w:pPr>
        <w:ind w:left="851"/>
        <w:rPr>
          <w:sz w:val="24"/>
          <w:szCs w:val="24"/>
          <w:lang w:val="en-US"/>
        </w:rPr>
      </w:pPr>
      <w:r w:rsidRPr="004E05E4">
        <w:rPr>
          <w:sz w:val="24"/>
          <w:szCs w:val="24"/>
          <w:lang w:val="en-US"/>
        </w:rPr>
        <w:t xml:space="preserve">Plasma protein binding is variable. Plasma half-life is 1 – 4 hours. Maximum plasma concentration of paracetamol is reached faster for </w:t>
      </w:r>
      <w:r w:rsidR="00E62EE7">
        <w:rPr>
          <w:sz w:val="24"/>
          <w:szCs w:val="24"/>
          <w:lang w:val="en-US"/>
        </w:rPr>
        <w:t>Paracetamol "Teva"</w:t>
      </w:r>
      <w:r w:rsidRPr="004E05E4">
        <w:rPr>
          <w:sz w:val="24"/>
          <w:szCs w:val="24"/>
          <w:lang w:val="en-US"/>
        </w:rPr>
        <w:t xml:space="preserve"> compared to standard paracetamol tablet in fasted and fed states (p &lt; 0.01).</w:t>
      </w:r>
    </w:p>
    <w:p w14:paraId="4F0178EF" w14:textId="77777777" w:rsidR="00A17559" w:rsidRPr="004E05E4" w:rsidRDefault="00A17559" w:rsidP="004E05E4">
      <w:pPr>
        <w:ind w:left="851"/>
        <w:rPr>
          <w:noProof/>
          <w:sz w:val="24"/>
          <w:szCs w:val="24"/>
          <w:u w:val="single"/>
          <w:lang w:val="en-US"/>
        </w:rPr>
      </w:pPr>
    </w:p>
    <w:p w14:paraId="068951A7" w14:textId="77777777" w:rsidR="00A17559" w:rsidRPr="004E05E4" w:rsidRDefault="00A17559" w:rsidP="004E05E4">
      <w:pPr>
        <w:ind w:left="851"/>
        <w:rPr>
          <w:sz w:val="24"/>
          <w:szCs w:val="24"/>
          <w:lang w:val="en-US"/>
        </w:rPr>
      </w:pPr>
      <w:r w:rsidRPr="004E05E4">
        <w:rPr>
          <w:sz w:val="24"/>
          <w:szCs w:val="24"/>
          <w:lang w:val="en-US"/>
        </w:rPr>
        <w:t>Paracetamol is relatively uniformly distributed throughout most body fluids.</w:t>
      </w:r>
    </w:p>
    <w:p w14:paraId="5D0E2B90" w14:textId="77777777" w:rsidR="00A17559" w:rsidRPr="004E05E4" w:rsidRDefault="00A17559" w:rsidP="004E05E4">
      <w:pPr>
        <w:ind w:left="851"/>
        <w:rPr>
          <w:noProof/>
          <w:sz w:val="24"/>
          <w:szCs w:val="24"/>
          <w:u w:val="single"/>
          <w:lang w:val="en-US"/>
        </w:rPr>
      </w:pPr>
    </w:p>
    <w:p w14:paraId="03AA207D" w14:textId="77777777" w:rsidR="00A17559" w:rsidRPr="004E05E4" w:rsidRDefault="00A17559" w:rsidP="004E05E4">
      <w:pPr>
        <w:ind w:left="851"/>
        <w:rPr>
          <w:sz w:val="24"/>
          <w:szCs w:val="24"/>
          <w:lang w:val="en-US"/>
        </w:rPr>
      </w:pPr>
      <w:r w:rsidRPr="004E05E4">
        <w:rPr>
          <w:sz w:val="24"/>
          <w:szCs w:val="24"/>
          <w:lang w:val="en-US"/>
        </w:rPr>
        <w:t>Excretion is almost exclusively renal, in the form of conjugated metabolites.</w:t>
      </w:r>
    </w:p>
    <w:p w14:paraId="5BC33A48" w14:textId="77777777" w:rsidR="007C5D2A" w:rsidRPr="004E05E4" w:rsidRDefault="007C5D2A" w:rsidP="003E0341">
      <w:pPr>
        <w:tabs>
          <w:tab w:val="left" w:pos="851"/>
        </w:tabs>
        <w:ind w:left="851"/>
        <w:rPr>
          <w:sz w:val="24"/>
          <w:szCs w:val="24"/>
          <w:lang w:val="en-GB"/>
        </w:rPr>
      </w:pPr>
    </w:p>
    <w:p w14:paraId="6B9FD4B7" w14:textId="77777777" w:rsidR="007C5D2A" w:rsidRPr="004E05E4" w:rsidRDefault="00180A12" w:rsidP="007C5D2A">
      <w:pPr>
        <w:tabs>
          <w:tab w:val="left" w:pos="851"/>
        </w:tabs>
        <w:ind w:left="851" w:hanging="851"/>
        <w:rPr>
          <w:b/>
          <w:sz w:val="24"/>
          <w:szCs w:val="24"/>
          <w:lang w:val="en-GB"/>
        </w:rPr>
      </w:pPr>
      <w:r w:rsidRPr="004E05E4">
        <w:rPr>
          <w:b/>
          <w:sz w:val="24"/>
          <w:szCs w:val="24"/>
          <w:lang w:val="en-GB"/>
        </w:rPr>
        <w:t>5.3</w:t>
      </w:r>
      <w:r w:rsidRPr="004E05E4">
        <w:rPr>
          <w:b/>
          <w:sz w:val="24"/>
          <w:szCs w:val="24"/>
          <w:lang w:val="en-GB"/>
        </w:rPr>
        <w:tab/>
        <w:t>Preclinical safety data</w:t>
      </w:r>
    </w:p>
    <w:p w14:paraId="26D1D07E" w14:textId="77777777" w:rsidR="00A17559" w:rsidRPr="004E05E4" w:rsidRDefault="00A17559" w:rsidP="004E05E4">
      <w:pPr>
        <w:ind w:left="851"/>
        <w:rPr>
          <w:sz w:val="24"/>
          <w:szCs w:val="24"/>
          <w:lang w:val="en-US"/>
        </w:rPr>
      </w:pPr>
      <w:r w:rsidRPr="004E05E4">
        <w:rPr>
          <w:sz w:val="24"/>
          <w:szCs w:val="24"/>
          <w:lang w:val="en-US"/>
        </w:rPr>
        <w:t xml:space="preserve">Extensive studies revealed no evidence of a relevant genotoxic risk for paracetamol within the therapeutic, i.e. nontoxic, dose range. </w:t>
      </w:r>
    </w:p>
    <w:p w14:paraId="5A38441E" w14:textId="77777777" w:rsidR="00A17559" w:rsidRPr="004E05E4" w:rsidRDefault="00A17559" w:rsidP="004E05E4">
      <w:pPr>
        <w:ind w:left="851"/>
        <w:rPr>
          <w:sz w:val="24"/>
          <w:szCs w:val="24"/>
          <w:lang w:val="en-US"/>
        </w:rPr>
      </w:pPr>
    </w:p>
    <w:p w14:paraId="3B9A24A4" w14:textId="77777777" w:rsidR="00A17559" w:rsidRPr="004E05E4" w:rsidRDefault="00A17559" w:rsidP="004E05E4">
      <w:pPr>
        <w:ind w:left="851"/>
        <w:rPr>
          <w:sz w:val="24"/>
          <w:szCs w:val="24"/>
          <w:lang w:val="en-US"/>
        </w:rPr>
      </w:pPr>
      <w:r w:rsidRPr="004E05E4">
        <w:rPr>
          <w:sz w:val="24"/>
          <w:szCs w:val="24"/>
          <w:lang w:val="en-US"/>
        </w:rPr>
        <w:t xml:space="preserve">Long-term studies on rats and mice do not indicate any relevant tumorigenic effects at non-hepatotoxic doses of paracetamol. </w:t>
      </w:r>
    </w:p>
    <w:p w14:paraId="237C7714" w14:textId="77777777" w:rsidR="00A17559" w:rsidRPr="004E05E4" w:rsidRDefault="00A17559" w:rsidP="004E05E4">
      <w:pPr>
        <w:ind w:left="851"/>
        <w:rPr>
          <w:sz w:val="24"/>
          <w:szCs w:val="24"/>
          <w:lang w:val="en-US"/>
        </w:rPr>
      </w:pPr>
    </w:p>
    <w:p w14:paraId="78F10963" w14:textId="77777777" w:rsidR="00A17559" w:rsidRPr="004E05E4" w:rsidRDefault="00A17559" w:rsidP="004E05E4">
      <w:pPr>
        <w:ind w:left="851"/>
        <w:rPr>
          <w:b/>
          <w:sz w:val="24"/>
          <w:szCs w:val="24"/>
          <w:lang w:val="en-US"/>
        </w:rPr>
      </w:pPr>
      <w:r w:rsidRPr="004E05E4">
        <w:rPr>
          <w:sz w:val="24"/>
          <w:szCs w:val="24"/>
          <w:lang w:val="en-US"/>
        </w:rPr>
        <w:t xml:space="preserve">Conventional studies using the currently accepted standards for the evaluation of toxicity to reproduction and development are not available. </w:t>
      </w:r>
    </w:p>
    <w:p w14:paraId="209E4C43" w14:textId="77777777" w:rsidR="007C5D2A" w:rsidRPr="004E05E4" w:rsidRDefault="007C5D2A" w:rsidP="003E0341">
      <w:pPr>
        <w:tabs>
          <w:tab w:val="left" w:pos="851"/>
        </w:tabs>
        <w:ind w:left="851"/>
        <w:rPr>
          <w:sz w:val="24"/>
          <w:szCs w:val="24"/>
          <w:lang w:val="en-GB"/>
        </w:rPr>
      </w:pPr>
    </w:p>
    <w:p w14:paraId="73E074C9" w14:textId="77777777" w:rsidR="007C5D2A" w:rsidRPr="004E05E4" w:rsidRDefault="007C5D2A" w:rsidP="003E0341">
      <w:pPr>
        <w:tabs>
          <w:tab w:val="left" w:pos="851"/>
        </w:tabs>
        <w:ind w:left="851"/>
        <w:rPr>
          <w:sz w:val="24"/>
          <w:szCs w:val="24"/>
          <w:lang w:val="en-GB"/>
        </w:rPr>
      </w:pPr>
    </w:p>
    <w:p w14:paraId="04ED4A0B" w14:textId="77777777" w:rsidR="007C5D2A" w:rsidRPr="004E05E4" w:rsidRDefault="009925C9" w:rsidP="007C5D2A">
      <w:pPr>
        <w:ind w:left="851" w:hanging="851"/>
        <w:rPr>
          <w:b/>
          <w:sz w:val="24"/>
          <w:szCs w:val="24"/>
          <w:lang w:val="en-GB"/>
        </w:rPr>
      </w:pPr>
      <w:r w:rsidRPr="004E05E4">
        <w:rPr>
          <w:b/>
          <w:sz w:val="24"/>
          <w:szCs w:val="24"/>
          <w:lang w:val="en-GB"/>
        </w:rPr>
        <w:t>6.</w:t>
      </w:r>
      <w:r w:rsidR="007C5D2A" w:rsidRPr="004E05E4">
        <w:rPr>
          <w:b/>
          <w:sz w:val="24"/>
          <w:szCs w:val="24"/>
          <w:lang w:val="en-GB"/>
        </w:rPr>
        <w:tab/>
        <w:t>PHARMACEUTICAL PARTICULARS</w:t>
      </w:r>
    </w:p>
    <w:p w14:paraId="1E3E47C3" w14:textId="77777777" w:rsidR="007C5D2A" w:rsidRPr="004E05E4" w:rsidRDefault="007C5D2A" w:rsidP="003E0341">
      <w:pPr>
        <w:tabs>
          <w:tab w:val="left" w:pos="851"/>
        </w:tabs>
        <w:ind w:left="851"/>
        <w:rPr>
          <w:sz w:val="24"/>
          <w:szCs w:val="24"/>
          <w:lang w:val="en-GB"/>
        </w:rPr>
      </w:pPr>
    </w:p>
    <w:p w14:paraId="5653CD6B" w14:textId="77777777" w:rsidR="007C5D2A" w:rsidRPr="004E05E4" w:rsidRDefault="007C5D2A" w:rsidP="007C5D2A">
      <w:pPr>
        <w:ind w:left="851" w:hanging="851"/>
        <w:rPr>
          <w:b/>
          <w:sz w:val="24"/>
          <w:szCs w:val="24"/>
          <w:lang w:val="en-GB"/>
        </w:rPr>
      </w:pPr>
      <w:r w:rsidRPr="004E05E4">
        <w:rPr>
          <w:b/>
          <w:sz w:val="24"/>
          <w:szCs w:val="24"/>
          <w:lang w:val="en-GB"/>
        </w:rPr>
        <w:t>6.1</w:t>
      </w:r>
      <w:r w:rsidRPr="004E05E4">
        <w:rPr>
          <w:b/>
          <w:sz w:val="24"/>
          <w:szCs w:val="24"/>
          <w:lang w:val="en-GB"/>
        </w:rPr>
        <w:tab/>
        <w:t>List of excipients</w:t>
      </w:r>
    </w:p>
    <w:p w14:paraId="4C8CE0F1" w14:textId="77777777" w:rsidR="00E62EE7" w:rsidRDefault="00E62EE7" w:rsidP="004E05E4">
      <w:pPr>
        <w:ind w:left="851"/>
        <w:rPr>
          <w:sz w:val="24"/>
          <w:szCs w:val="24"/>
          <w:lang w:val="en-US"/>
        </w:rPr>
      </w:pPr>
    </w:p>
    <w:p w14:paraId="4AE0017B" w14:textId="31816859" w:rsidR="00A17559" w:rsidRPr="00E62EE7" w:rsidRDefault="00A17559" w:rsidP="004E05E4">
      <w:pPr>
        <w:ind w:left="851"/>
        <w:rPr>
          <w:sz w:val="24"/>
          <w:szCs w:val="24"/>
          <w:u w:val="single"/>
          <w:lang w:val="en-US"/>
        </w:rPr>
      </w:pPr>
      <w:r w:rsidRPr="00E62EE7">
        <w:rPr>
          <w:sz w:val="24"/>
          <w:szCs w:val="24"/>
          <w:u w:val="single"/>
          <w:lang w:val="en-US"/>
        </w:rPr>
        <w:t xml:space="preserve">Tablet core: </w:t>
      </w:r>
    </w:p>
    <w:p w14:paraId="0EA59EB5" w14:textId="77777777" w:rsidR="00A17559" w:rsidRPr="004E05E4" w:rsidRDefault="00A17559" w:rsidP="004E05E4">
      <w:pPr>
        <w:ind w:left="851"/>
        <w:rPr>
          <w:sz w:val="24"/>
          <w:szCs w:val="24"/>
          <w:lang w:val="en-US"/>
        </w:rPr>
      </w:pPr>
      <w:r w:rsidRPr="004E05E4">
        <w:rPr>
          <w:sz w:val="24"/>
          <w:szCs w:val="24"/>
          <w:lang w:val="en-US"/>
        </w:rPr>
        <w:t xml:space="preserve">Starch, pregelatinized (maize) </w:t>
      </w:r>
    </w:p>
    <w:p w14:paraId="02C64320" w14:textId="77777777" w:rsidR="00A17559" w:rsidRPr="004E05E4" w:rsidRDefault="00A17559" w:rsidP="004E05E4">
      <w:pPr>
        <w:ind w:left="851"/>
        <w:rPr>
          <w:sz w:val="24"/>
          <w:szCs w:val="24"/>
          <w:lang w:val="en-US"/>
        </w:rPr>
      </w:pPr>
      <w:r w:rsidRPr="004E05E4">
        <w:rPr>
          <w:sz w:val="24"/>
          <w:szCs w:val="24"/>
          <w:lang w:val="en-US"/>
        </w:rPr>
        <w:t>Calcium carbonate</w:t>
      </w:r>
    </w:p>
    <w:p w14:paraId="0B09CD0A" w14:textId="77777777" w:rsidR="00A17559" w:rsidRPr="004E05E4" w:rsidRDefault="00A17559" w:rsidP="004E05E4">
      <w:pPr>
        <w:ind w:left="851"/>
        <w:rPr>
          <w:sz w:val="24"/>
          <w:szCs w:val="24"/>
          <w:lang w:val="en-US"/>
        </w:rPr>
      </w:pPr>
      <w:r w:rsidRPr="004E05E4">
        <w:rPr>
          <w:sz w:val="24"/>
          <w:szCs w:val="24"/>
          <w:lang w:val="en-US"/>
        </w:rPr>
        <w:t>Povidone (K-25)</w:t>
      </w:r>
    </w:p>
    <w:p w14:paraId="120BA4C5" w14:textId="77777777" w:rsidR="00A17559" w:rsidRPr="004E05E4" w:rsidRDefault="00A17559" w:rsidP="004E05E4">
      <w:pPr>
        <w:ind w:left="851"/>
        <w:rPr>
          <w:sz w:val="24"/>
          <w:szCs w:val="24"/>
          <w:lang w:val="en-US"/>
        </w:rPr>
      </w:pPr>
      <w:proofErr w:type="spellStart"/>
      <w:r w:rsidRPr="004E05E4">
        <w:rPr>
          <w:sz w:val="24"/>
          <w:szCs w:val="24"/>
          <w:lang w:val="en-US"/>
        </w:rPr>
        <w:t>Crospovidone</w:t>
      </w:r>
      <w:proofErr w:type="spellEnd"/>
      <w:r w:rsidRPr="004E05E4">
        <w:rPr>
          <w:sz w:val="24"/>
          <w:szCs w:val="24"/>
          <w:lang w:val="en-US"/>
        </w:rPr>
        <w:t xml:space="preserve"> (type B)</w:t>
      </w:r>
    </w:p>
    <w:p w14:paraId="63BCE382" w14:textId="77777777" w:rsidR="00A17559" w:rsidRPr="004E05E4" w:rsidRDefault="00A17559" w:rsidP="004E05E4">
      <w:pPr>
        <w:ind w:left="851"/>
        <w:rPr>
          <w:sz w:val="24"/>
          <w:szCs w:val="24"/>
          <w:lang w:val="en-US"/>
        </w:rPr>
      </w:pPr>
      <w:r w:rsidRPr="004E05E4">
        <w:rPr>
          <w:sz w:val="24"/>
          <w:szCs w:val="24"/>
          <w:lang w:val="en-US"/>
        </w:rPr>
        <w:t>Alginic acid</w:t>
      </w:r>
    </w:p>
    <w:p w14:paraId="6070EDE5" w14:textId="77777777" w:rsidR="00A17559" w:rsidRPr="004E05E4" w:rsidRDefault="00A17559" w:rsidP="004E05E4">
      <w:pPr>
        <w:ind w:left="851"/>
        <w:rPr>
          <w:sz w:val="24"/>
          <w:szCs w:val="24"/>
          <w:lang w:val="en-US"/>
        </w:rPr>
      </w:pPr>
      <w:r w:rsidRPr="004E05E4">
        <w:rPr>
          <w:sz w:val="24"/>
          <w:szCs w:val="24"/>
          <w:lang w:val="en-US"/>
        </w:rPr>
        <w:lastRenderedPageBreak/>
        <w:t>Silica, colloidal anhydrous</w:t>
      </w:r>
    </w:p>
    <w:p w14:paraId="67634F7E" w14:textId="77777777" w:rsidR="00A17559" w:rsidRPr="004E05E4" w:rsidRDefault="00A17559" w:rsidP="004E05E4">
      <w:pPr>
        <w:ind w:left="851"/>
        <w:rPr>
          <w:sz w:val="24"/>
          <w:szCs w:val="24"/>
          <w:lang w:val="en-US"/>
        </w:rPr>
      </w:pPr>
      <w:r w:rsidRPr="004E05E4">
        <w:rPr>
          <w:sz w:val="24"/>
          <w:szCs w:val="24"/>
          <w:lang w:val="en-US"/>
        </w:rPr>
        <w:t>Magnesium stearate</w:t>
      </w:r>
    </w:p>
    <w:p w14:paraId="67ED84CA" w14:textId="77777777" w:rsidR="00A17559" w:rsidRPr="004E05E4" w:rsidRDefault="00A17559" w:rsidP="004E05E4">
      <w:pPr>
        <w:ind w:left="851"/>
        <w:rPr>
          <w:sz w:val="24"/>
          <w:szCs w:val="24"/>
          <w:lang w:val="en-US"/>
        </w:rPr>
      </w:pPr>
    </w:p>
    <w:p w14:paraId="1E0C286E" w14:textId="77777777" w:rsidR="00A17559" w:rsidRPr="00E62EE7" w:rsidRDefault="00A17559" w:rsidP="004E05E4">
      <w:pPr>
        <w:ind w:left="851"/>
        <w:rPr>
          <w:sz w:val="24"/>
          <w:szCs w:val="24"/>
          <w:u w:val="single"/>
          <w:lang w:val="en-US"/>
        </w:rPr>
      </w:pPr>
      <w:r w:rsidRPr="00E62EE7">
        <w:rPr>
          <w:sz w:val="24"/>
          <w:szCs w:val="24"/>
          <w:u w:val="single"/>
          <w:lang w:val="en-US"/>
        </w:rPr>
        <w:t xml:space="preserve">Film coating: </w:t>
      </w:r>
    </w:p>
    <w:p w14:paraId="5377BEC7" w14:textId="77777777" w:rsidR="00A17559" w:rsidRPr="004E05E4" w:rsidRDefault="00A17559" w:rsidP="004E05E4">
      <w:pPr>
        <w:ind w:left="851"/>
        <w:rPr>
          <w:sz w:val="24"/>
          <w:szCs w:val="24"/>
          <w:lang w:val="en-US"/>
        </w:rPr>
      </w:pPr>
      <w:r w:rsidRPr="004E05E4">
        <w:rPr>
          <w:sz w:val="24"/>
          <w:szCs w:val="24"/>
          <w:lang w:val="en-US"/>
        </w:rPr>
        <w:t xml:space="preserve">Hypromellose </w:t>
      </w:r>
    </w:p>
    <w:p w14:paraId="33DEC8B0" w14:textId="77777777" w:rsidR="00A17559" w:rsidRPr="004E05E4" w:rsidRDefault="00A17559" w:rsidP="004E05E4">
      <w:pPr>
        <w:ind w:left="851"/>
        <w:rPr>
          <w:sz w:val="24"/>
          <w:szCs w:val="24"/>
          <w:lang w:val="en-US"/>
        </w:rPr>
      </w:pPr>
      <w:r w:rsidRPr="004E05E4">
        <w:rPr>
          <w:sz w:val="24"/>
          <w:szCs w:val="24"/>
          <w:lang w:val="en-US"/>
        </w:rPr>
        <w:t>Polydextrose (contains sorbitol and glucose)</w:t>
      </w:r>
    </w:p>
    <w:p w14:paraId="04C5CD1A" w14:textId="77777777" w:rsidR="00A17559" w:rsidRPr="004E05E4" w:rsidRDefault="00A17559" w:rsidP="004E05E4">
      <w:pPr>
        <w:ind w:left="851"/>
        <w:rPr>
          <w:sz w:val="24"/>
          <w:szCs w:val="24"/>
          <w:lang w:val="en-US"/>
        </w:rPr>
      </w:pPr>
      <w:r w:rsidRPr="004E05E4">
        <w:rPr>
          <w:sz w:val="24"/>
          <w:szCs w:val="24"/>
          <w:lang w:val="en-US"/>
        </w:rPr>
        <w:t xml:space="preserve">Triglycerides, medium chain </w:t>
      </w:r>
    </w:p>
    <w:p w14:paraId="335A04A9" w14:textId="77777777" w:rsidR="00A17559" w:rsidRPr="004E05E4" w:rsidRDefault="00A17559" w:rsidP="004E05E4">
      <w:pPr>
        <w:ind w:left="851"/>
        <w:rPr>
          <w:sz w:val="24"/>
          <w:szCs w:val="24"/>
          <w:lang w:val="en-US"/>
        </w:rPr>
      </w:pPr>
      <w:r w:rsidRPr="004E05E4">
        <w:rPr>
          <w:sz w:val="24"/>
          <w:szCs w:val="24"/>
          <w:lang w:val="en-US"/>
        </w:rPr>
        <w:t xml:space="preserve">Macrogol 3350 </w:t>
      </w:r>
    </w:p>
    <w:p w14:paraId="1F71934D" w14:textId="77777777" w:rsidR="00A17559" w:rsidRPr="004E05E4" w:rsidRDefault="00A17559" w:rsidP="004E05E4">
      <w:pPr>
        <w:ind w:left="851"/>
        <w:rPr>
          <w:sz w:val="24"/>
          <w:szCs w:val="24"/>
          <w:lang w:val="en-US"/>
        </w:rPr>
      </w:pPr>
      <w:r w:rsidRPr="004E05E4">
        <w:rPr>
          <w:sz w:val="24"/>
          <w:szCs w:val="24"/>
          <w:lang w:val="en-US"/>
        </w:rPr>
        <w:t xml:space="preserve">Calcium carbonate </w:t>
      </w:r>
    </w:p>
    <w:p w14:paraId="632CA486" w14:textId="77777777" w:rsidR="00A17559" w:rsidRPr="004E05E4" w:rsidRDefault="00A17559" w:rsidP="004E05E4">
      <w:pPr>
        <w:ind w:left="851"/>
        <w:rPr>
          <w:sz w:val="24"/>
          <w:szCs w:val="24"/>
          <w:lang w:val="en-US"/>
        </w:rPr>
      </w:pPr>
      <w:proofErr w:type="spellStart"/>
      <w:r w:rsidRPr="004E05E4">
        <w:rPr>
          <w:sz w:val="24"/>
          <w:szCs w:val="24"/>
          <w:lang w:val="en-US"/>
        </w:rPr>
        <w:t>Deoiled</w:t>
      </w:r>
      <w:proofErr w:type="spellEnd"/>
      <w:r w:rsidRPr="004E05E4">
        <w:rPr>
          <w:sz w:val="24"/>
          <w:szCs w:val="24"/>
          <w:lang w:val="en-US"/>
        </w:rPr>
        <w:t xml:space="preserve"> sunflower lecithin (E322)</w:t>
      </w:r>
    </w:p>
    <w:p w14:paraId="42B08152" w14:textId="77777777" w:rsidR="00A17559" w:rsidRPr="004E05E4" w:rsidRDefault="00A17559" w:rsidP="004E05E4">
      <w:pPr>
        <w:ind w:left="851"/>
        <w:rPr>
          <w:sz w:val="24"/>
          <w:szCs w:val="24"/>
          <w:lang w:val="en-US"/>
        </w:rPr>
      </w:pPr>
      <w:r w:rsidRPr="004E05E4">
        <w:rPr>
          <w:sz w:val="24"/>
          <w:szCs w:val="24"/>
          <w:lang w:val="en-US"/>
        </w:rPr>
        <w:t>Macrogol 400</w:t>
      </w:r>
    </w:p>
    <w:p w14:paraId="59794E37" w14:textId="77777777" w:rsidR="007C5D2A" w:rsidRPr="004E05E4" w:rsidRDefault="007C5D2A" w:rsidP="003D727E">
      <w:pPr>
        <w:tabs>
          <w:tab w:val="left" w:pos="851"/>
        </w:tabs>
        <w:ind w:left="851"/>
        <w:rPr>
          <w:sz w:val="24"/>
          <w:szCs w:val="24"/>
          <w:lang w:val="en-GB"/>
        </w:rPr>
      </w:pPr>
    </w:p>
    <w:p w14:paraId="1DBA8400" w14:textId="77777777" w:rsidR="007C5D2A" w:rsidRPr="004E05E4" w:rsidRDefault="007C5D2A" w:rsidP="007C5D2A">
      <w:pPr>
        <w:ind w:left="851" w:hanging="851"/>
        <w:rPr>
          <w:b/>
          <w:sz w:val="24"/>
          <w:szCs w:val="24"/>
          <w:lang w:val="en-GB"/>
        </w:rPr>
      </w:pPr>
      <w:r w:rsidRPr="004E05E4">
        <w:rPr>
          <w:b/>
          <w:sz w:val="24"/>
          <w:szCs w:val="24"/>
          <w:lang w:val="en-GB"/>
        </w:rPr>
        <w:t>6.2</w:t>
      </w:r>
      <w:r w:rsidRPr="004E05E4">
        <w:rPr>
          <w:b/>
          <w:sz w:val="24"/>
          <w:szCs w:val="24"/>
          <w:lang w:val="en-GB"/>
        </w:rPr>
        <w:tab/>
        <w:t>Incompatibilities</w:t>
      </w:r>
    </w:p>
    <w:p w14:paraId="429BB54E" w14:textId="77777777" w:rsidR="00A17559" w:rsidRPr="002B7ACD" w:rsidRDefault="00A17559" w:rsidP="004E05E4">
      <w:pPr>
        <w:ind w:left="851"/>
        <w:rPr>
          <w:sz w:val="24"/>
          <w:szCs w:val="24"/>
          <w:lang w:val="en-US"/>
        </w:rPr>
      </w:pPr>
      <w:r w:rsidRPr="002B7ACD">
        <w:rPr>
          <w:sz w:val="24"/>
          <w:szCs w:val="24"/>
          <w:lang w:val="en-US"/>
        </w:rPr>
        <w:t>Not applicable.</w:t>
      </w:r>
    </w:p>
    <w:p w14:paraId="5B614064" w14:textId="77777777" w:rsidR="007C5D2A" w:rsidRPr="004E05E4" w:rsidRDefault="007C5D2A" w:rsidP="003E0341">
      <w:pPr>
        <w:tabs>
          <w:tab w:val="left" w:pos="851"/>
        </w:tabs>
        <w:ind w:left="851"/>
        <w:rPr>
          <w:sz w:val="24"/>
          <w:szCs w:val="24"/>
          <w:lang w:val="en-GB"/>
        </w:rPr>
      </w:pPr>
    </w:p>
    <w:p w14:paraId="3CF02CB9" w14:textId="77777777" w:rsidR="007C5D2A" w:rsidRPr="004E05E4" w:rsidRDefault="007C5D2A" w:rsidP="007C5D2A">
      <w:pPr>
        <w:ind w:left="851" w:hanging="851"/>
        <w:rPr>
          <w:b/>
          <w:sz w:val="24"/>
          <w:szCs w:val="24"/>
          <w:lang w:val="en-GB"/>
        </w:rPr>
      </w:pPr>
      <w:r w:rsidRPr="004E05E4">
        <w:rPr>
          <w:b/>
          <w:sz w:val="24"/>
          <w:szCs w:val="24"/>
          <w:lang w:val="en-GB"/>
        </w:rPr>
        <w:t>6.3</w:t>
      </w:r>
      <w:r w:rsidRPr="004E05E4">
        <w:rPr>
          <w:b/>
          <w:sz w:val="24"/>
          <w:szCs w:val="24"/>
          <w:lang w:val="en-GB"/>
        </w:rPr>
        <w:tab/>
        <w:t>Shelf</w:t>
      </w:r>
      <w:r w:rsidR="00FD652E" w:rsidRPr="004E05E4">
        <w:rPr>
          <w:b/>
          <w:sz w:val="24"/>
          <w:szCs w:val="24"/>
          <w:lang w:val="en-GB"/>
        </w:rPr>
        <w:t>-</w:t>
      </w:r>
      <w:r w:rsidRPr="004E05E4">
        <w:rPr>
          <w:b/>
          <w:sz w:val="24"/>
          <w:szCs w:val="24"/>
          <w:lang w:val="en-GB"/>
        </w:rPr>
        <w:t>life</w:t>
      </w:r>
    </w:p>
    <w:p w14:paraId="7C2243D8" w14:textId="77777777" w:rsidR="00A17559" w:rsidRPr="004E05E4" w:rsidRDefault="00A17559" w:rsidP="004E05E4">
      <w:pPr>
        <w:ind w:left="851"/>
        <w:rPr>
          <w:sz w:val="24"/>
          <w:szCs w:val="24"/>
          <w:lang w:val="en-US"/>
        </w:rPr>
      </w:pPr>
      <w:r w:rsidRPr="004E05E4">
        <w:rPr>
          <w:sz w:val="24"/>
          <w:szCs w:val="24"/>
          <w:lang w:val="en-US"/>
        </w:rPr>
        <w:t>30 months.</w:t>
      </w:r>
    </w:p>
    <w:p w14:paraId="789334B9" w14:textId="77777777" w:rsidR="007C5D2A" w:rsidRPr="004E05E4" w:rsidRDefault="007C5D2A" w:rsidP="003E0341">
      <w:pPr>
        <w:tabs>
          <w:tab w:val="left" w:pos="851"/>
        </w:tabs>
        <w:ind w:left="851"/>
        <w:rPr>
          <w:sz w:val="24"/>
          <w:szCs w:val="24"/>
          <w:lang w:val="en-GB"/>
        </w:rPr>
      </w:pPr>
    </w:p>
    <w:p w14:paraId="425A8F79" w14:textId="77777777" w:rsidR="007C5D2A" w:rsidRPr="004E05E4" w:rsidRDefault="007C5D2A" w:rsidP="007C5D2A">
      <w:pPr>
        <w:ind w:left="851" w:hanging="851"/>
        <w:rPr>
          <w:b/>
          <w:sz w:val="24"/>
          <w:szCs w:val="24"/>
          <w:lang w:val="en-GB"/>
        </w:rPr>
      </w:pPr>
      <w:r w:rsidRPr="004E05E4">
        <w:rPr>
          <w:b/>
          <w:sz w:val="24"/>
          <w:szCs w:val="24"/>
          <w:lang w:val="en-GB"/>
        </w:rPr>
        <w:t>6.4</w:t>
      </w:r>
      <w:r w:rsidRPr="004E05E4">
        <w:rPr>
          <w:b/>
          <w:sz w:val="24"/>
          <w:szCs w:val="24"/>
          <w:lang w:val="en-GB"/>
        </w:rPr>
        <w:tab/>
        <w:t>Special precautions for storage</w:t>
      </w:r>
    </w:p>
    <w:p w14:paraId="0C5AC646" w14:textId="77777777" w:rsidR="00A17559" w:rsidRPr="004E05E4" w:rsidRDefault="00A17559" w:rsidP="004E05E4">
      <w:pPr>
        <w:ind w:left="851"/>
        <w:rPr>
          <w:noProof/>
          <w:sz w:val="24"/>
          <w:szCs w:val="24"/>
          <w:lang w:val="en-US"/>
        </w:rPr>
      </w:pPr>
      <w:r w:rsidRPr="004E05E4">
        <w:rPr>
          <w:sz w:val="24"/>
          <w:szCs w:val="24"/>
          <w:lang w:val="en-US"/>
        </w:rPr>
        <w:t>This medicinal product does not require any special storage conditions</w:t>
      </w:r>
      <w:r w:rsidRPr="004E05E4">
        <w:rPr>
          <w:noProof/>
          <w:sz w:val="24"/>
          <w:szCs w:val="24"/>
          <w:lang w:val="en-US"/>
        </w:rPr>
        <w:t>.</w:t>
      </w:r>
    </w:p>
    <w:p w14:paraId="34619986" w14:textId="77777777" w:rsidR="007C5D2A" w:rsidRPr="004E05E4" w:rsidRDefault="007C5D2A" w:rsidP="003E0341">
      <w:pPr>
        <w:tabs>
          <w:tab w:val="left" w:pos="851"/>
        </w:tabs>
        <w:ind w:left="851"/>
        <w:rPr>
          <w:sz w:val="24"/>
          <w:szCs w:val="24"/>
          <w:lang w:val="en-GB"/>
        </w:rPr>
      </w:pPr>
    </w:p>
    <w:p w14:paraId="1F4B7AD4" w14:textId="77777777" w:rsidR="007C5D2A" w:rsidRPr="004E05E4" w:rsidRDefault="007C5D2A" w:rsidP="007C5D2A">
      <w:pPr>
        <w:ind w:left="851" w:hanging="851"/>
        <w:rPr>
          <w:b/>
          <w:sz w:val="24"/>
          <w:szCs w:val="24"/>
          <w:lang w:val="en-GB"/>
        </w:rPr>
      </w:pPr>
      <w:r w:rsidRPr="004E05E4">
        <w:rPr>
          <w:b/>
          <w:sz w:val="24"/>
          <w:szCs w:val="24"/>
          <w:lang w:val="en-GB"/>
        </w:rPr>
        <w:t>6.5</w:t>
      </w:r>
      <w:r w:rsidRPr="004E05E4">
        <w:rPr>
          <w:b/>
          <w:sz w:val="24"/>
          <w:szCs w:val="24"/>
          <w:lang w:val="en-GB"/>
        </w:rPr>
        <w:tab/>
        <w:t>Nature and contents of container</w:t>
      </w:r>
    </w:p>
    <w:p w14:paraId="087A6D1A" w14:textId="77777777" w:rsidR="00A17559" w:rsidRPr="004E05E4" w:rsidRDefault="00A17559" w:rsidP="004E05E4">
      <w:pPr>
        <w:ind w:left="851"/>
        <w:rPr>
          <w:noProof/>
          <w:sz w:val="24"/>
          <w:szCs w:val="24"/>
          <w:lang w:val="en-US"/>
        </w:rPr>
      </w:pPr>
      <w:r w:rsidRPr="004E05E4">
        <w:rPr>
          <w:noProof/>
          <w:sz w:val="24"/>
          <w:szCs w:val="24"/>
          <w:lang w:val="en-US"/>
        </w:rPr>
        <w:t>PVC/PVdC</w:t>
      </w:r>
      <w:r w:rsidRPr="004E05E4">
        <w:rPr>
          <w:noProof/>
          <w:sz w:val="24"/>
          <w:szCs w:val="24"/>
          <w:lang w:val="en-US"/>
        </w:rPr>
        <w:noBreakHyphen/>
        <w:t>Aluminium blisters and OPA/Alu/PVC</w:t>
      </w:r>
      <w:r w:rsidRPr="004E05E4">
        <w:rPr>
          <w:noProof/>
          <w:sz w:val="24"/>
          <w:szCs w:val="24"/>
          <w:lang w:val="en-US"/>
        </w:rPr>
        <w:noBreakHyphen/>
        <w:t>Aluminium blisters.</w:t>
      </w:r>
    </w:p>
    <w:p w14:paraId="5BB822A2" w14:textId="77777777" w:rsidR="00A17559" w:rsidRPr="004E05E4" w:rsidRDefault="00A17559" w:rsidP="004E05E4">
      <w:pPr>
        <w:ind w:left="851"/>
        <w:rPr>
          <w:noProof/>
          <w:sz w:val="24"/>
          <w:szCs w:val="24"/>
          <w:lang w:val="en-US"/>
        </w:rPr>
      </w:pPr>
      <w:r w:rsidRPr="004E05E4">
        <w:rPr>
          <w:noProof/>
          <w:sz w:val="24"/>
          <w:szCs w:val="24"/>
          <w:lang w:val="en-US"/>
        </w:rPr>
        <w:t xml:space="preserve">Pack sizes: 10, 20, 30, 50 and 100 film-coated tablets. </w:t>
      </w:r>
    </w:p>
    <w:p w14:paraId="421596CA" w14:textId="77777777" w:rsidR="00A17559" w:rsidRPr="004E05E4" w:rsidRDefault="00A17559" w:rsidP="004E05E4">
      <w:pPr>
        <w:ind w:left="851"/>
        <w:rPr>
          <w:noProof/>
          <w:sz w:val="24"/>
          <w:szCs w:val="24"/>
          <w:lang w:val="en-US"/>
        </w:rPr>
      </w:pPr>
    </w:p>
    <w:p w14:paraId="5146997A" w14:textId="77777777" w:rsidR="00A17559" w:rsidRPr="004E05E4" w:rsidRDefault="00A17559" w:rsidP="004E05E4">
      <w:pPr>
        <w:ind w:left="851"/>
        <w:rPr>
          <w:sz w:val="24"/>
          <w:szCs w:val="24"/>
          <w:lang w:val="en-US"/>
        </w:rPr>
      </w:pPr>
      <w:r w:rsidRPr="004E05E4">
        <w:rPr>
          <w:sz w:val="24"/>
          <w:szCs w:val="24"/>
          <w:lang w:val="en-US"/>
        </w:rPr>
        <w:t>Not all pack sizes may be marketed.</w:t>
      </w:r>
    </w:p>
    <w:p w14:paraId="698B05FB" w14:textId="77777777" w:rsidR="007C5D2A" w:rsidRPr="004E05E4" w:rsidRDefault="007C5D2A" w:rsidP="003E0341">
      <w:pPr>
        <w:tabs>
          <w:tab w:val="left" w:pos="851"/>
        </w:tabs>
        <w:ind w:left="851"/>
        <w:rPr>
          <w:sz w:val="24"/>
          <w:szCs w:val="24"/>
          <w:lang w:val="en-GB"/>
        </w:rPr>
      </w:pPr>
    </w:p>
    <w:p w14:paraId="15715DAE" w14:textId="77777777" w:rsidR="007C5D2A" w:rsidRPr="004E05E4" w:rsidRDefault="007C5D2A" w:rsidP="007C5D2A">
      <w:pPr>
        <w:ind w:left="851" w:hanging="851"/>
        <w:rPr>
          <w:b/>
          <w:sz w:val="24"/>
          <w:szCs w:val="24"/>
          <w:lang w:val="en-GB"/>
        </w:rPr>
      </w:pPr>
      <w:r w:rsidRPr="004E05E4">
        <w:rPr>
          <w:b/>
          <w:sz w:val="24"/>
          <w:szCs w:val="24"/>
          <w:lang w:val="en-GB"/>
        </w:rPr>
        <w:t>6.6</w:t>
      </w:r>
      <w:r w:rsidRPr="004E05E4">
        <w:rPr>
          <w:b/>
          <w:sz w:val="24"/>
          <w:szCs w:val="24"/>
          <w:lang w:val="en-GB"/>
        </w:rPr>
        <w:tab/>
        <w:t>Special precautions for disposal and other handling</w:t>
      </w:r>
    </w:p>
    <w:p w14:paraId="273801BD" w14:textId="77777777" w:rsidR="00A17559" w:rsidRPr="004E05E4" w:rsidRDefault="00A17559" w:rsidP="004E05E4">
      <w:pPr>
        <w:ind w:left="851"/>
        <w:rPr>
          <w:sz w:val="24"/>
          <w:szCs w:val="24"/>
          <w:lang w:val="en-US"/>
        </w:rPr>
      </w:pPr>
      <w:r w:rsidRPr="004E05E4">
        <w:rPr>
          <w:sz w:val="24"/>
          <w:szCs w:val="24"/>
          <w:lang w:val="en-US"/>
        </w:rPr>
        <w:t>Any unused medicinal product or waste material should be disposed of in accordance with local requirements.</w:t>
      </w:r>
    </w:p>
    <w:p w14:paraId="25EA11FD" w14:textId="77777777" w:rsidR="007C5D2A" w:rsidRPr="004E05E4" w:rsidRDefault="007C5D2A" w:rsidP="00AB4376">
      <w:pPr>
        <w:tabs>
          <w:tab w:val="left" w:pos="851"/>
        </w:tabs>
        <w:ind w:left="851"/>
        <w:rPr>
          <w:sz w:val="24"/>
          <w:szCs w:val="24"/>
          <w:lang w:val="en-GB"/>
        </w:rPr>
      </w:pPr>
    </w:p>
    <w:p w14:paraId="1FC0DE52" w14:textId="77777777" w:rsidR="007C5D2A" w:rsidRPr="004E05E4" w:rsidRDefault="007C5D2A" w:rsidP="007C5D2A">
      <w:pPr>
        <w:tabs>
          <w:tab w:val="left" w:pos="851"/>
        </w:tabs>
        <w:ind w:left="851" w:hanging="851"/>
        <w:jc w:val="both"/>
        <w:rPr>
          <w:b/>
          <w:sz w:val="24"/>
          <w:szCs w:val="24"/>
          <w:lang w:val="en-GB"/>
        </w:rPr>
      </w:pPr>
      <w:r w:rsidRPr="004E05E4">
        <w:rPr>
          <w:b/>
          <w:sz w:val="24"/>
          <w:szCs w:val="24"/>
          <w:lang w:val="en-GB"/>
        </w:rPr>
        <w:t>7.</w:t>
      </w:r>
      <w:r w:rsidRPr="004E05E4">
        <w:rPr>
          <w:b/>
          <w:sz w:val="24"/>
          <w:szCs w:val="24"/>
          <w:lang w:val="en-GB"/>
        </w:rPr>
        <w:tab/>
        <w:t>MARKETING AUTHORISATION HOLDER</w:t>
      </w:r>
    </w:p>
    <w:p w14:paraId="1DA59286" w14:textId="3D36D139" w:rsidR="007C5D2A" w:rsidRPr="004E05E4" w:rsidRDefault="00A17559" w:rsidP="003E0341">
      <w:pPr>
        <w:tabs>
          <w:tab w:val="left" w:pos="851"/>
        </w:tabs>
        <w:ind w:left="851"/>
        <w:jc w:val="both"/>
        <w:rPr>
          <w:sz w:val="24"/>
          <w:szCs w:val="24"/>
          <w:lang w:val="en-GB"/>
        </w:rPr>
      </w:pPr>
      <w:r w:rsidRPr="004E05E4">
        <w:rPr>
          <w:sz w:val="24"/>
          <w:szCs w:val="24"/>
          <w:lang w:val="en-GB"/>
        </w:rPr>
        <w:t>Teva B.V.</w:t>
      </w:r>
    </w:p>
    <w:p w14:paraId="7B0540E9" w14:textId="0B807215" w:rsidR="00A17559" w:rsidRPr="004E05E4" w:rsidRDefault="00A17559" w:rsidP="003E0341">
      <w:pPr>
        <w:tabs>
          <w:tab w:val="left" w:pos="851"/>
        </w:tabs>
        <w:ind w:left="851"/>
        <w:jc w:val="both"/>
        <w:rPr>
          <w:sz w:val="24"/>
          <w:szCs w:val="24"/>
          <w:lang w:val="en-GB"/>
        </w:rPr>
      </w:pPr>
      <w:proofErr w:type="spellStart"/>
      <w:r w:rsidRPr="004E05E4">
        <w:rPr>
          <w:sz w:val="24"/>
          <w:szCs w:val="24"/>
          <w:lang w:val="en-GB"/>
        </w:rPr>
        <w:t>Swensweg</w:t>
      </w:r>
      <w:proofErr w:type="spellEnd"/>
      <w:r w:rsidRPr="004E05E4">
        <w:rPr>
          <w:sz w:val="24"/>
          <w:szCs w:val="24"/>
          <w:lang w:val="en-GB"/>
        </w:rPr>
        <w:t xml:space="preserve"> 5</w:t>
      </w:r>
    </w:p>
    <w:p w14:paraId="5ED271E5" w14:textId="7466146A" w:rsidR="00A17559" w:rsidRPr="004E05E4" w:rsidRDefault="00A17559" w:rsidP="00A17559">
      <w:pPr>
        <w:tabs>
          <w:tab w:val="left" w:pos="851"/>
        </w:tabs>
        <w:ind w:left="851"/>
        <w:jc w:val="both"/>
        <w:rPr>
          <w:sz w:val="24"/>
          <w:szCs w:val="24"/>
          <w:lang w:val="en-GB"/>
        </w:rPr>
      </w:pPr>
      <w:r w:rsidRPr="004E05E4">
        <w:rPr>
          <w:sz w:val="24"/>
          <w:szCs w:val="24"/>
          <w:lang w:val="en-GB"/>
        </w:rPr>
        <w:t>2031GA Haarlem</w:t>
      </w:r>
    </w:p>
    <w:p w14:paraId="0B2A0957" w14:textId="004C7923" w:rsidR="00A17559" w:rsidRPr="004E05E4" w:rsidRDefault="00A17559" w:rsidP="00A17559">
      <w:pPr>
        <w:tabs>
          <w:tab w:val="left" w:pos="851"/>
        </w:tabs>
        <w:ind w:left="851"/>
        <w:jc w:val="both"/>
        <w:rPr>
          <w:sz w:val="24"/>
          <w:szCs w:val="24"/>
          <w:lang w:val="en-GB"/>
        </w:rPr>
      </w:pPr>
      <w:r w:rsidRPr="004E05E4">
        <w:rPr>
          <w:sz w:val="24"/>
          <w:szCs w:val="24"/>
          <w:lang w:val="en-GB"/>
        </w:rPr>
        <w:t>Holland</w:t>
      </w:r>
    </w:p>
    <w:p w14:paraId="10CFF6DB" w14:textId="153DD973" w:rsidR="00A17559" w:rsidRPr="004E05E4" w:rsidRDefault="00A17559" w:rsidP="00A17559">
      <w:pPr>
        <w:tabs>
          <w:tab w:val="left" w:pos="851"/>
        </w:tabs>
        <w:ind w:left="851"/>
        <w:jc w:val="both"/>
        <w:rPr>
          <w:sz w:val="24"/>
          <w:szCs w:val="24"/>
          <w:lang w:val="en-GB"/>
        </w:rPr>
      </w:pPr>
    </w:p>
    <w:p w14:paraId="00CBC0DE" w14:textId="581CD7CB" w:rsidR="00A17559" w:rsidRPr="00E62EE7" w:rsidRDefault="00A17559" w:rsidP="00E62EE7">
      <w:pPr>
        <w:tabs>
          <w:tab w:val="left" w:pos="851"/>
        </w:tabs>
        <w:ind w:left="851"/>
        <w:rPr>
          <w:b/>
          <w:sz w:val="24"/>
          <w:szCs w:val="24"/>
          <w:lang w:val="en-GB"/>
        </w:rPr>
      </w:pPr>
      <w:r w:rsidRPr="00E62EE7">
        <w:rPr>
          <w:b/>
          <w:sz w:val="24"/>
          <w:szCs w:val="24"/>
          <w:lang w:val="en-GB"/>
        </w:rPr>
        <w:t>Representative</w:t>
      </w:r>
    </w:p>
    <w:p w14:paraId="658F5FAF" w14:textId="58746ABB" w:rsidR="00A17559" w:rsidRPr="004E05E4" w:rsidRDefault="00A17559" w:rsidP="00A17559">
      <w:pPr>
        <w:tabs>
          <w:tab w:val="left" w:pos="851"/>
        </w:tabs>
        <w:ind w:left="851"/>
        <w:jc w:val="both"/>
        <w:rPr>
          <w:sz w:val="24"/>
          <w:szCs w:val="24"/>
          <w:lang w:val="en-GB"/>
        </w:rPr>
      </w:pPr>
      <w:r w:rsidRPr="004E05E4">
        <w:rPr>
          <w:sz w:val="24"/>
          <w:szCs w:val="24"/>
          <w:lang w:val="en-GB"/>
        </w:rPr>
        <w:t>Teva Denmark A/S</w:t>
      </w:r>
    </w:p>
    <w:p w14:paraId="052F6500" w14:textId="351DF837" w:rsidR="00A17559" w:rsidRPr="004E05E4" w:rsidRDefault="00A17559" w:rsidP="00A17559">
      <w:pPr>
        <w:tabs>
          <w:tab w:val="left" w:pos="851"/>
        </w:tabs>
        <w:ind w:left="851"/>
        <w:jc w:val="both"/>
        <w:rPr>
          <w:sz w:val="24"/>
          <w:szCs w:val="24"/>
          <w:lang w:val="en-GB"/>
        </w:rPr>
      </w:pPr>
      <w:proofErr w:type="spellStart"/>
      <w:r w:rsidRPr="004E05E4">
        <w:rPr>
          <w:sz w:val="24"/>
          <w:szCs w:val="24"/>
          <w:lang w:val="en-GB"/>
        </w:rPr>
        <w:t>Vandtårnsvej</w:t>
      </w:r>
      <w:proofErr w:type="spellEnd"/>
      <w:r w:rsidRPr="004E05E4">
        <w:rPr>
          <w:sz w:val="24"/>
          <w:szCs w:val="24"/>
          <w:lang w:val="en-GB"/>
        </w:rPr>
        <w:t xml:space="preserve"> 83A</w:t>
      </w:r>
    </w:p>
    <w:p w14:paraId="59C81E49" w14:textId="1B9C7177" w:rsidR="00A17559" w:rsidRPr="004E05E4" w:rsidRDefault="004E05E4" w:rsidP="00A17559">
      <w:pPr>
        <w:tabs>
          <w:tab w:val="left" w:pos="851"/>
        </w:tabs>
        <w:ind w:left="851"/>
        <w:jc w:val="both"/>
        <w:rPr>
          <w:sz w:val="24"/>
          <w:szCs w:val="24"/>
          <w:lang w:val="en-GB"/>
        </w:rPr>
      </w:pPr>
      <w:r w:rsidRPr="004E05E4">
        <w:rPr>
          <w:sz w:val="24"/>
          <w:szCs w:val="24"/>
          <w:lang w:val="en-GB"/>
        </w:rPr>
        <w:t xml:space="preserve">2860 </w:t>
      </w:r>
      <w:proofErr w:type="spellStart"/>
      <w:r w:rsidRPr="004E05E4">
        <w:rPr>
          <w:sz w:val="24"/>
          <w:szCs w:val="24"/>
          <w:lang w:val="en-GB"/>
        </w:rPr>
        <w:t>Søborg</w:t>
      </w:r>
      <w:proofErr w:type="spellEnd"/>
    </w:p>
    <w:p w14:paraId="5BB9B51A" w14:textId="77777777" w:rsidR="004E05E4" w:rsidRPr="004E05E4" w:rsidRDefault="004E05E4" w:rsidP="00A17559">
      <w:pPr>
        <w:tabs>
          <w:tab w:val="left" w:pos="851"/>
        </w:tabs>
        <w:ind w:left="851"/>
        <w:jc w:val="both"/>
        <w:rPr>
          <w:sz w:val="24"/>
          <w:szCs w:val="24"/>
          <w:lang w:val="en-GB"/>
        </w:rPr>
      </w:pPr>
    </w:p>
    <w:p w14:paraId="73F2DD77" w14:textId="77777777" w:rsidR="007C5D2A" w:rsidRPr="004E05E4" w:rsidRDefault="007C5D2A" w:rsidP="007C5D2A">
      <w:pPr>
        <w:ind w:left="851" w:hanging="851"/>
        <w:jc w:val="both"/>
        <w:rPr>
          <w:b/>
          <w:sz w:val="24"/>
          <w:szCs w:val="24"/>
          <w:lang w:val="en-GB"/>
        </w:rPr>
      </w:pPr>
      <w:r w:rsidRPr="004E05E4">
        <w:rPr>
          <w:b/>
          <w:sz w:val="24"/>
          <w:szCs w:val="24"/>
          <w:lang w:val="en-GB"/>
        </w:rPr>
        <w:t>8.</w:t>
      </w:r>
      <w:r w:rsidRPr="004E05E4">
        <w:rPr>
          <w:b/>
          <w:sz w:val="24"/>
          <w:szCs w:val="24"/>
          <w:lang w:val="en-GB"/>
        </w:rPr>
        <w:tab/>
        <w:t>MARKETING AUTHORISATION NUMBER(S)</w:t>
      </w:r>
    </w:p>
    <w:p w14:paraId="472726AD" w14:textId="609537A3" w:rsidR="007C5D2A" w:rsidRPr="004E05E4" w:rsidRDefault="004E05E4" w:rsidP="00A85D26">
      <w:pPr>
        <w:tabs>
          <w:tab w:val="left" w:pos="851"/>
        </w:tabs>
        <w:ind w:left="851"/>
        <w:jc w:val="both"/>
        <w:rPr>
          <w:sz w:val="24"/>
          <w:szCs w:val="24"/>
          <w:lang w:val="en-GB"/>
        </w:rPr>
      </w:pPr>
      <w:r w:rsidRPr="004E05E4">
        <w:rPr>
          <w:sz w:val="24"/>
          <w:szCs w:val="24"/>
          <w:lang w:val="en-GB"/>
        </w:rPr>
        <w:t>64965</w:t>
      </w:r>
    </w:p>
    <w:p w14:paraId="44038BD8" w14:textId="77777777" w:rsidR="007C5D2A" w:rsidRPr="004E05E4" w:rsidRDefault="007C5D2A" w:rsidP="00180A12">
      <w:pPr>
        <w:tabs>
          <w:tab w:val="left" w:pos="851"/>
        </w:tabs>
        <w:ind w:left="851"/>
        <w:jc w:val="both"/>
        <w:rPr>
          <w:sz w:val="24"/>
          <w:szCs w:val="24"/>
          <w:lang w:val="en-GB"/>
        </w:rPr>
      </w:pPr>
    </w:p>
    <w:p w14:paraId="5718C4DE" w14:textId="77777777" w:rsidR="007C5D2A" w:rsidRPr="004E05E4" w:rsidRDefault="007C5D2A" w:rsidP="007C5D2A">
      <w:pPr>
        <w:tabs>
          <w:tab w:val="left" w:pos="851"/>
        </w:tabs>
        <w:jc w:val="both"/>
        <w:rPr>
          <w:sz w:val="24"/>
          <w:szCs w:val="24"/>
          <w:lang w:val="en-GB"/>
        </w:rPr>
      </w:pPr>
      <w:r w:rsidRPr="004E05E4">
        <w:rPr>
          <w:b/>
          <w:sz w:val="24"/>
          <w:szCs w:val="24"/>
          <w:lang w:val="en-GB"/>
        </w:rPr>
        <w:t>9.</w:t>
      </w:r>
      <w:r w:rsidRPr="004E05E4">
        <w:rPr>
          <w:b/>
          <w:sz w:val="24"/>
          <w:szCs w:val="24"/>
          <w:lang w:val="en-GB"/>
        </w:rPr>
        <w:tab/>
        <w:t>DATE OF FIRST AUTHORISATION</w:t>
      </w:r>
    </w:p>
    <w:p w14:paraId="6C456BF6" w14:textId="1AC578A7" w:rsidR="007C5D2A" w:rsidRPr="004E05E4" w:rsidRDefault="002B7ACD" w:rsidP="00A85D26">
      <w:pPr>
        <w:ind w:left="851"/>
        <w:jc w:val="both"/>
        <w:rPr>
          <w:sz w:val="24"/>
          <w:szCs w:val="24"/>
          <w:lang w:val="en-GB"/>
        </w:rPr>
      </w:pPr>
      <w:r>
        <w:rPr>
          <w:sz w:val="24"/>
          <w:szCs w:val="24"/>
          <w:lang w:val="en-GB"/>
        </w:rPr>
        <w:t>27 September 2022</w:t>
      </w:r>
    </w:p>
    <w:p w14:paraId="3E4BAB1D" w14:textId="77777777" w:rsidR="007C5D2A" w:rsidRPr="004E05E4" w:rsidRDefault="007C5D2A" w:rsidP="003E0341">
      <w:pPr>
        <w:tabs>
          <w:tab w:val="left" w:pos="851"/>
        </w:tabs>
        <w:ind w:left="851"/>
        <w:jc w:val="both"/>
        <w:rPr>
          <w:sz w:val="24"/>
          <w:szCs w:val="24"/>
          <w:lang w:val="en-GB"/>
        </w:rPr>
      </w:pPr>
    </w:p>
    <w:p w14:paraId="77F03CFE" w14:textId="77777777" w:rsidR="007C5D2A" w:rsidRPr="004E05E4" w:rsidRDefault="007C5D2A" w:rsidP="007C5D2A">
      <w:pPr>
        <w:tabs>
          <w:tab w:val="left" w:pos="851"/>
        </w:tabs>
        <w:jc w:val="both"/>
        <w:rPr>
          <w:sz w:val="24"/>
          <w:szCs w:val="24"/>
          <w:lang w:val="en-GB"/>
        </w:rPr>
      </w:pPr>
      <w:r w:rsidRPr="004E05E4">
        <w:rPr>
          <w:b/>
          <w:sz w:val="24"/>
          <w:szCs w:val="24"/>
          <w:lang w:val="en-GB"/>
        </w:rPr>
        <w:t>10.</w:t>
      </w:r>
      <w:r w:rsidRPr="004E05E4">
        <w:rPr>
          <w:b/>
          <w:sz w:val="24"/>
          <w:szCs w:val="24"/>
          <w:lang w:val="en-GB"/>
        </w:rPr>
        <w:tab/>
        <w:t>DATE OF REVISION OF THE TEXT</w:t>
      </w:r>
    </w:p>
    <w:p w14:paraId="5660C4B9" w14:textId="282C286C" w:rsidR="007C5D2A" w:rsidRPr="004E05E4" w:rsidRDefault="00E519B8" w:rsidP="003E0341">
      <w:pPr>
        <w:tabs>
          <w:tab w:val="left" w:pos="851"/>
        </w:tabs>
        <w:ind w:left="851"/>
        <w:jc w:val="both"/>
        <w:rPr>
          <w:sz w:val="24"/>
          <w:szCs w:val="24"/>
          <w:lang w:val="en-GB"/>
        </w:rPr>
      </w:pPr>
      <w:r>
        <w:rPr>
          <w:sz w:val="24"/>
          <w:szCs w:val="24"/>
          <w:lang w:val="en-GB"/>
        </w:rPr>
        <w:t>2</w:t>
      </w:r>
      <w:r w:rsidR="00E44226">
        <w:rPr>
          <w:sz w:val="24"/>
          <w:szCs w:val="24"/>
          <w:lang w:val="en-GB"/>
        </w:rPr>
        <w:t>7</w:t>
      </w:r>
      <w:r>
        <w:rPr>
          <w:sz w:val="24"/>
          <w:szCs w:val="24"/>
          <w:lang w:val="en-GB"/>
        </w:rPr>
        <w:t xml:space="preserve"> March 2025</w:t>
      </w:r>
    </w:p>
    <w:sectPr w:rsidR="007C5D2A" w:rsidRPr="004E05E4"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8C6C" w14:textId="77777777" w:rsidR="00CC1E23" w:rsidRDefault="00CC1E23">
      <w:r>
        <w:separator/>
      </w:r>
    </w:p>
  </w:endnote>
  <w:endnote w:type="continuationSeparator" w:id="0">
    <w:p w14:paraId="15391FEB" w14:textId="77777777" w:rsidR="00CC1E23" w:rsidRDefault="00CC1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1E572"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B5590" w14:textId="77777777" w:rsidR="00864538" w:rsidRDefault="00864538">
    <w:pPr>
      <w:pStyle w:val="Sidefod"/>
      <w:pBdr>
        <w:bottom w:val="single" w:sz="6" w:space="1" w:color="auto"/>
      </w:pBdr>
    </w:pPr>
  </w:p>
  <w:p w14:paraId="3CFE6D46" w14:textId="77777777" w:rsidR="00864538" w:rsidRDefault="00864538">
    <w:pPr>
      <w:pStyle w:val="Sidefod"/>
      <w:tabs>
        <w:tab w:val="clear" w:pos="4819"/>
        <w:tab w:val="left" w:pos="8647"/>
      </w:tabs>
      <w:rPr>
        <w:i/>
        <w:snapToGrid w:val="0"/>
        <w:sz w:val="18"/>
      </w:rPr>
    </w:pPr>
  </w:p>
  <w:p w14:paraId="07B2E8EE" w14:textId="7F9BFCF1"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02DAE">
      <w:rPr>
        <w:i/>
        <w:noProof/>
        <w:snapToGrid w:val="0"/>
        <w:sz w:val="18"/>
      </w:rPr>
      <w:t>Paracetamol Teva, filmovertrukne tabletter 500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6A7BE" w14:textId="77777777" w:rsidR="00864538" w:rsidRDefault="00864538">
    <w:pPr>
      <w:pStyle w:val="Sidefod"/>
      <w:pBdr>
        <w:bottom w:val="single" w:sz="6" w:space="1" w:color="auto"/>
      </w:pBdr>
      <w:tabs>
        <w:tab w:val="clear" w:pos="4819"/>
        <w:tab w:val="left" w:pos="8789"/>
      </w:tabs>
      <w:rPr>
        <w:i/>
        <w:snapToGrid w:val="0"/>
        <w:sz w:val="18"/>
      </w:rPr>
    </w:pPr>
  </w:p>
  <w:p w14:paraId="717DDDF1" w14:textId="77777777" w:rsidR="00864538" w:rsidRDefault="00864538">
    <w:pPr>
      <w:pStyle w:val="Sidefod"/>
      <w:tabs>
        <w:tab w:val="clear" w:pos="4819"/>
        <w:tab w:val="left" w:pos="8789"/>
      </w:tabs>
      <w:rPr>
        <w:i/>
        <w:snapToGrid w:val="0"/>
        <w:sz w:val="18"/>
      </w:rPr>
    </w:pPr>
  </w:p>
  <w:p w14:paraId="04B8500E" w14:textId="26A5CDE9"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02DAE">
      <w:rPr>
        <w:i/>
        <w:noProof/>
        <w:snapToGrid w:val="0"/>
        <w:sz w:val="18"/>
      </w:rPr>
      <w:t>Paracetamol Teva, filmovertrukne tabletter 500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8994E" w14:textId="77777777" w:rsidR="00CC1E23" w:rsidRDefault="00CC1E23">
      <w:r>
        <w:separator/>
      </w:r>
    </w:p>
  </w:footnote>
  <w:footnote w:type="continuationSeparator" w:id="0">
    <w:p w14:paraId="6F04480A" w14:textId="77777777" w:rsidR="00CC1E23" w:rsidRDefault="00CC1E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D83FF"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48AE2"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C9AC3"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53E3A34"/>
    <w:multiLevelType w:val="hybridMultilevel"/>
    <w:tmpl w:val="454E1390"/>
    <w:lvl w:ilvl="0" w:tplc="28663F5C">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B03CF3"/>
    <w:multiLevelType w:val="hybridMultilevel"/>
    <w:tmpl w:val="D80CBD7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6A77BF0"/>
    <w:multiLevelType w:val="hybridMultilevel"/>
    <w:tmpl w:val="2676E058"/>
    <w:lvl w:ilvl="0" w:tplc="00503E34">
      <w:start w:val="7"/>
      <w:numFmt w:val="bullet"/>
      <w:lvlText w:val="-"/>
      <w:lvlJc w:val="left"/>
      <w:pPr>
        <w:tabs>
          <w:tab w:val="num" w:pos="360"/>
        </w:tabs>
        <w:ind w:left="360" w:hanging="360"/>
      </w:pPr>
      <w:rPr>
        <w:rFonts w:ascii="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8F8611A"/>
    <w:multiLevelType w:val="hybridMultilevel"/>
    <w:tmpl w:val="20B2BE84"/>
    <w:lvl w:ilvl="0" w:tplc="28663F5C">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BDD082D"/>
    <w:multiLevelType w:val="hybridMultilevel"/>
    <w:tmpl w:val="CF4889C2"/>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781CDB"/>
    <w:multiLevelType w:val="hybridMultilevel"/>
    <w:tmpl w:val="78026738"/>
    <w:lvl w:ilvl="0" w:tplc="28663F5C">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38F71F80"/>
    <w:multiLevelType w:val="hybridMultilevel"/>
    <w:tmpl w:val="3E468FF2"/>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CEE402D"/>
    <w:multiLevelType w:val="hybridMultilevel"/>
    <w:tmpl w:val="905ED726"/>
    <w:lvl w:ilvl="0" w:tplc="28663F5C">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2" w15:restartNumberingAfterBreak="0">
    <w:nsid w:val="7ED51523"/>
    <w:multiLevelType w:val="hybridMultilevel"/>
    <w:tmpl w:val="4D52A402"/>
    <w:lvl w:ilvl="0" w:tplc="28663F5C">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11"/>
  </w:num>
  <w:num w:numId="4">
    <w:abstractNumId w:val="1"/>
  </w:num>
  <w:num w:numId="5">
    <w:abstractNumId w:val="6"/>
  </w:num>
  <w:num w:numId="6">
    <w:abstractNumId w:val="7"/>
  </w:num>
  <w:num w:numId="7">
    <w:abstractNumId w:val="5"/>
  </w:num>
  <w:num w:numId="8">
    <w:abstractNumId w:val="9"/>
  </w:num>
  <w:num w:numId="9">
    <w:abstractNumId w:val="4"/>
  </w:num>
  <w:num w:numId="10">
    <w:abstractNumId w:val="6"/>
  </w:num>
  <w:num w:numId="11">
    <w:abstractNumId w:val="8"/>
  </w:num>
  <w:num w:numId="12">
    <w:abstractNumId w:val="2"/>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23"/>
    <w:rsid w:val="00056601"/>
    <w:rsid w:val="000C3846"/>
    <w:rsid w:val="000C6218"/>
    <w:rsid w:val="000D3C9D"/>
    <w:rsid w:val="000F0D47"/>
    <w:rsid w:val="001242DE"/>
    <w:rsid w:val="00180A12"/>
    <w:rsid w:val="00214331"/>
    <w:rsid w:val="00214CF4"/>
    <w:rsid w:val="00281F03"/>
    <w:rsid w:val="0029458A"/>
    <w:rsid w:val="002A1587"/>
    <w:rsid w:val="002B27C5"/>
    <w:rsid w:val="002B7ACD"/>
    <w:rsid w:val="00303008"/>
    <w:rsid w:val="00373B55"/>
    <w:rsid w:val="003D727E"/>
    <w:rsid w:val="003E0341"/>
    <w:rsid w:val="003E3402"/>
    <w:rsid w:val="003F4736"/>
    <w:rsid w:val="00401B49"/>
    <w:rsid w:val="0042292D"/>
    <w:rsid w:val="00440254"/>
    <w:rsid w:val="004823F1"/>
    <w:rsid w:val="004860D3"/>
    <w:rsid w:val="004A3BF4"/>
    <w:rsid w:val="004A5DB3"/>
    <w:rsid w:val="004E05E4"/>
    <w:rsid w:val="005152D9"/>
    <w:rsid w:val="00533AD4"/>
    <w:rsid w:val="00534849"/>
    <w:rsid w:val="00560102"/>
    <w:rsid w:val="00562EA1"/>
    <w:rsid w:val="00617BB8"/>
    <w:rsid w:val="00680052"/>
    <w:rsid w:val="00683267"/>
    <w:rsid w:val="006844E9"/>
    <w:rsid w:val="006B3847"/>
    <w:rsid w:val="006C488C"/>
    <w:rsid w:val="0075453D"/>
    <w:rsid w:val="007A4CC6"/>
    <w:rsid w:val="007C3623"/>
    <w:rsid w:val="007C5D2A"/>
    <w:rsid w:val="007F1E00"/>
    <w:rsid w:val="008400E3"/>
    <w:rsid w:val="00864538"/>
    <w:rsid w:val="00873B4F"/>
    <w:rsid w:val="008E51AE"/>
    <w:rsid w:val="008F2F8C"/>
    <w:rsid w:val="009225F6"/>
    <w:rsid w:val="009925C9"/>
    <w:rsid w:val="009A27D5"/>
    <w:rsid w:val="00A02DAE"/>
    <w:rsid w:val="00A034D9"/>
    <w:rsid w:val="00A17559"/>
    <w:rsid w:val="00A179D0"/>
    <w:rsid w:val="00A358A3"/>
    <w:rsid w:val="00A46747"/>
    <w:rsid w:val="00A80446"/>
    <w:rsid w:val="00A85D26"/>
    <w:rsid w:val="00A9153A"/>
    <w:rsid w:val="00AB0BFF"/>
    <w:rsid w:val="00AB4376"/>
    <w:rsid w:val="00AC033C"/>
    <w:rsid w:val="00AD2E36"/>
    <w:rsid w:val="00BD3490"/>
    <w:rsid w:val="00C26226"/>
    <w:rsid w:val="00C3571D"/>
    <w:rsid w:val="00C54F0B"/>
    <w:rsid w:val="00C82621"/>
    <w:rsid w:val="00CB1423"/>
    <w:rsid w:val="00CC1E23"/>
    <w:rsid w:val="00D02508"/>
    <w:rsid w:val="00D778CC"/>
    <w:rsid w:val="00D82FE9"/>
    <w:rsid w:val="00D97B77"/>
    <w:rsid w:val="00DB6A85"/>
    <w:rsid w:val="00DC5567"/>
    <w:rsid w:val="00E06B32"/>
    <w:rsid w:val="00E1290F"/>
    <w:rsid w:val="00E36A80"/>
    <w:rsid w:val="00E44226"/>
    <w:rsid w:val="00E519B8"/>
    <w:rsid w:val="00E62EE7"/>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12FB0"/>
  <w15:chartTrackingRefBased/>
  <w15:docId w15:val="{3D720968-D6D4-4A97-9F3F-7B8589B2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A17559"/>
    <w:pPr>
      <w:spacing w:before="120" w:after="120"/>
      <w:jc w:val="both"/>
    </w:pPr>
    <w:rPr>
      <w:sz w:val="22"/>
      <w:lang w:val="en-US" w:eastAsia="en-US"/>
    </w:rPr>
  </w:style>
  <w:style w:type="character" w:styleId="Hyperlink">
    <w:name w:val="Hyperlink"/>
    <w:unhideWhenUsed/>
    <w:rsid w:val="00A17559"/>
    <w:rPr>
      <w:color w:val="0000FF"/>
      <w:u w:val="single"/>
    </w:rPr>
  </w:style>
  <w:style w:type="paragraph" w:styleId="Listeafsnit">
    <w:name w:val="List Paragraph"/>
    <w:basedOn w:val="Normal"/>
    <w:uiPriority w:val="34"/>
    <w:qFormat/>
    <w:rsid w:val="00E62EE7"/>
    <w:pPr>
      <w:ind w:left="720"/>
      <w:contextualSpacing/>
    </w:pPr>
  </w:style>
  <w:style w:type="character" w:styleId="Ulstomtale">
    <w:name w:val="Unresolved Mention"/>
    <w:basedOn w:val="Standardskrifttypeiafsnit"/>
    <w:uiPriority w:val="99"/>
    <w:semiHidden/>
    <w:unhideWhenUsed/>
    <w:rsid w:val="00E51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8203">
      <w:bodyDiv w:val="1"/>
      <w:marLeft w:val="0"/>
      <w:marRight w:val="0"/>
      <w:marTop w:val="0"/>
      <w:marBottom w:val="0"/>
      <w:divBdr>
        <w:top w:val="none" w:sz="0" w:space="0" w:color="auto"/>
        <w:left w:val="none" w:sz="0" w:space="0" w:color="auto"/>
        <w:bottom w:val="none" w:sz="0" w:space="0" w:color="auto"/>
        <w:right w:val="none" w:sz="0" w:space="0" w:color="auto"/>
      </w:divBdr>
    </w:div>
    <w:div w:id="295180088">
      <w:bodyDiv w:val="1"/>
      <w:marLeft w:val="0"/>
      <w:marRight w:val="0"/>
      <w:marTop w:val="0"/>
      <w:marBottom w:val="0"/>
      <w:divBdr>
        <w:top w:val="none" w:sz="0" w:space="0" w:color="auto"/>
        <w:left w:val="none" w:sz="0" w:space="0" w:color="auto"/>
        <w:bottom w:val="none" w:sz="0" w:space="0" w:color="auto"/>
        <w:right w:val="none" w:sz="0" w:space="0" w:color="auto"/>
      </w:divBdr>
    </w:div>
    <w:div w:id="623199289">
      <w:bodyDiv w:val="1"/>
      <w:marLeft w:val="0"/>
      <w:marRight w:val="0"/>
      <w:marTop w:val="0"/>
      <w:marBottom w:val="0"/>
      <w:divBdr>
        <w:top w:val="none" w:sz="0" w:space="0" w:color="auto"/>
        <w:left w:val="none" w:sz="0" w:space="0" w:color="auto"/>
        <w:bottom w:val="none" w:sz="0" w:space="0" w:color="auto"/>
        <w:right w:val="none" w:sz="0" w:space="0" w:color="auto"/>
      </w:divBdr>
    </w:div>
    <w:div w:id="626393216">
      <w:bodyDiv w:val="1"/>
      <w:marLeft w:val="0"/>
      <w:marRight w:val="0"/>
      <w:marTop w:val="0"/>
      <w:marBottom w:val="0"/>
      <w:divBdr>
        <w:top w:val="none" w:sz="0" w:space="0" w:color="auto"/>
        <w:left w:val="none" w:sz="0" w:space="0" w:color="auto"/>
        <w:bottom w:val="none" w:sz="0" w:space="0" w:color="auto"/>
        <w:right w:val="none" w:sz="0" w:space="0" w:color="auto"/>
      </w:divBdr>
    </w:div>
    <w:div w:id="655032871">
      <w:bodyDiv w:val="1"/>
      <w:marLeft w:val="0"/>
      <w:marRight w:val="0"/>
      <w:marTop w:val="0"/>
      <w:marBottom w:val="0"/>
      <w:divBdr>
        <w:top w:val="none" w:sz="0" w:space="0" w:color="auto"/>
        <w:left w:val="none" w:sz="0" w:space="0" w:color="auto"/>
        <w:bottom w:val="none" w:sz="0" w:space="0" w:color="auto"/>
        <w:right w:val="none" w:sz="0" w:space="0" w:color="auto"/>
      </w:divBdr>
    </w:div>
    <w:div w:id="753011712">
      <w:bodyDiv w:val="1"/>
      <w:marLeft w:val="0"/>
      <w:marRight w:val="0"/>
      <w:marTop w:val="0"/>
      <w:marBottom w:val="0"/>
      <w:divBdr>
        <w:top w:val="none" w:sz="0" w:space="0" w:color="auto"/>
        <w:left w:val="none" w:sz="0" w:space="0" w:color="auto"/>
        <w:bottom w:val="none" w:sz="0" w:space="0" w:color="auto"/>
        <w:right w:val="none" w:sz="0" w:space="0" w:color="auto"/>
      </w:divBdr>
    </w:div>
    <w:div w:id="879896822">
      <w:bodyDiv w:val="1"/>
      <w:marLeft w:val="0"/>
      <w:marRight w:val="0"/>
      <w:marTop w:val="0"/>
      <w:marBottom w:val="0"/>
      <w:divBdr>
        <w:top w:val="none" w:sz="0" w:space="0" w:color="auto"/>
        <w:left w:val="none" w:sz="0" w:space="0" w:color="auto"/>
        <w:bottom w:val="none" w:sz="0" w:space="0" w:color="auto"/>
        <w:right w:val="none" w:sz="0" w:space="0" w:color="auto"/>
      </w:divBdr>
    </w:div>
    <w:div w:id="898245967">
      <w:bodyDiv w:val="1"/>
      <w:marLeft w:val="0"/>
      <w:marRight w:val="0"/>
      <w:marTop w:val="0"/>
      <w:marBottom w:val="0"/>
      <w:divBdr>
        <w:top w:val="none" w:sz="0" w:space="0" w:color="auto"/>
        <w:left w:val="none" w:sz="0" w:space="0" w:color="auto"/>
        <w:bottom w:val="none" w:sz="0" w:space="0" w:color="auto"/>
        <w:right w:val="none" w:sz="0" w:space="0" w:color="auto"/>
      </w:divBdr>
    </w:div>
    <w:div w:id="906379233">
      <w:bodyDiv w:val="1"/>
      <w:marLeft w:val="0"/>
      <w:marRight w:val="0"/>
      <w:marTop w:val="0"/>
      <w:marBottom w:val="0"/>
      <w:divBdr>
        <w:top w:val="none" w:sz="0" w:space="0" w:color="auto"/>
        <w:left w:val="none" w:sz="0" w:space="0" w:color="auto"/>
        <w:bottom w:val="none" w:sz="0" w:space="0" w:color="auto"/>
        <w:right w:val="none" w:sz="0" w:space="0" w:color="auto"/>
      </w:divBdr>
    </w:div>
    <w:div w:id="939798432">
      <w:bodyDiv w:val="1"/>
      <w:marLeft w:val="0"/>
      <w:marRight w:val="0"/>
      <w:marTop w:val="0"/>
      <w:marBottom w:val="0"/>
      <w:divBdr>
        <w:top w:val="none" w:sz="0" w:space="0" w:color="auto"/>
        <w:left w:val="none" w:sz="0" w:space="0" w:color="auto"/>
        <w:bottom w:val="none" w:sz="0" w:space="0" w:color="auto"/>
        <w:right w:val="none" w:sz="0" w:space="0" w:color="auto"/>
      </w:divBdr>
    </w:div>
    <w:div w:id="958923601">
      <w:bodyDiv w:val="1"/>
      <w:marLeft w:val="0"/>
      <w:marRight w:val="0"/>
      <w:marTop w:val="0"/>
      <w:marBottom w:val="0"/>
      <w:divBdr>
        <w:top w:val="none" w:sz="0" w:space="0" w:color="auto"/>
        <w:left w:val="none" w:sz="0" w:space="0" w:color="auto"/>
        <w:bottom w:val="none" w:sz="0" w:space="0" w:color="auto"/>
        <w:right w:val="none" w:sz="0" w:space="0" w:color="auto"/>
      </w:divBdr>
    </w:div>
    <w:div w:id="1025713334">
      <w:bodyDiv w:val="1"/>
      <w:marLeft w:val="0"/>
      <w:marRight w:val="0"/>
      <w:marTop w:val="0"/>
      <w:marBottom w:val="0"/>
      <w:divBdr>
        <w:top w:val="none" w:sz="0" w:space="0" w:color="auto"/>
        <w:left w:val="none" w:sz="0" w:space="0" w:color="auto"/>
        <w:bottom w:val="none" w:sz="0" w:space="0" w:color="auto"/>
        <w:right w:val="none" w:sz="0" w:space="0" w:color="auto"/>
      </w:divBdr>
    </w:div>
    <w:div w:id="1041173419">
      <w:bodyDiv w:val="1"/>
      <w:marLeft w:val="0"/>
      <w:marRight w:val="0"/>
      <w:marTop w:val="0"/>
      <w:marBottom w:val="0"/>
      <w:divBdr>
        <w:top w:val="none" w:sz="0" w:space="0" w:color="auto"/>
        <w:left w:val="none" w:sz="0" w:space="0" w:color="auto"/>
        <w:bottom w:val="none" w:sz="0" w:space="0" w:color="auto"/>
        <w:right w:val="none" w:sz="0" w:space="0" w:color="auto"/>
      </w:divBdr>
    </w:div>
    <w:div w:id="1087576045">
      <w:bodyDiv w:val="1"/>
      <w:marLeft w:val="0"/>
      <w:marRight w:val="0"/>
      <w:marTop w:val="0"/>
      <w:marBottom w:val="0"/>
      <w:divBdr>
        <w:top w:val="none" w:sz="0" w:space="0" w:color="auto"/>
        <w:left w:val="none" w:sz="0" w:space="0" w:color="auto"/>
        <w:bottom w:val="none" w:sz="0" w:space="0" w:color="auto"/>
        <w:right w:val="none" w:sz="0" w:space="0" w:color="auto"/>
      </w:divBdr>
    </w:div>
    <w:div w:id="1145315928">
      <w:bodyDiv w:val="1"/>
      <w:marLeft w:val="0"/>
      <w:marRight w:val="0"/>
      <w:marTop w:val="0"/>
      <w:marBottom w:val="0"/>
      <w:divBdr>
        <w:top w:val="none" w:sz="0" w:space="0" w:color="auto"/>
        <w:left w:val="none" w:sz="0" w:space="0" w:color="auto"/>
        <w:bottom w:val="none" w:sz="0" w:space="0" w:color="auto"/>
        <w:right w:val="none" w:sz="0" w:space="0" w:color="auto"/>
      </w:divBdr>
    </w:div>
    <w:div w:id="1312516406">
      <w:bodyDiv w:val="1"/>
      <w:marLeft w:val="0"/>
      <w:marRight w:val="0"/>
      <w:marTop w:val="0"/>
      <w:marBottom w:val="0"/>
      <w:divBdr>
        <w:top w:val="none" w:sz="0" w:space="0" w:color="auto"/>
        <w:left w:val="none" w:sz="0" w:space="0" w:color="auto"/>
        <w:bottom w:val="none" w:sz="0" w:space="0" w:color="auto"/>
        <w:right w:val="none" w:sz="0" w:space="0" w:color="auto"/>
      </w:divBdr>
    </w:div>
    <w:div w:id="1343047164">
      <w:bodyDiv w:val="1"/>
      <w:marLeft w:val="0"/>
      <w:marRight w:val="0"/>
      <w:marTop w:val="0"/>
      <w:marBottom w:val="0"/>
      <w:divBdr>
        <w:top w:val="none" w:sz="0" w:space="0" w:color="auto"/>
        <w:left w:val="none" w:sz="0" w:space="0" w:color="auto"/>
        <w:bottom w:val="none" w:sz="0" w:space="0" w:color="auto"/>
        <w:right w:val="none" w:sz="0" w:space="0" w:color="auto"/>
      </w:divBdr>
    </w:div>
    <w:div w:id="1424766539">
      <w:bodyDiv w:val="1"/>
      <w:marLeft w:val="0"/>
      <w:marRight w:val="0"/>
      <w:marTop w:val="0"/>
      <w:marBottom w:val="0"/>
      <w:divBdr>
        <w:top w:val="none" w:sz="0" w:space="0" w:color="auto"/>
        <w:left w:val="none" w:sz="0" w:space="0" w:color="auto"/>
        <w:bottom w:val="none" w:sz="0" w:space="0" w:color="auto"/>
        <w:right w:val="none" w:sz="0" w:space="0" w:color="auto"/>
      </w:divBdr>
    </w:div>
    <w:div w:id="1549030561">
      <w:bodyDiv w:val="1"/>
      <w:marLeft w:val="0"/>
      <w:marRight w:val="0"/>
      <w:marTop w:val="0"/>
      <w:marBottom w:val="0"/>
      <w:divBdr>
        <w:top w:val="none" w:sz="0" w:space="0" w:color="auto"/>
        <w:left w:val="none" w:sz="0" w:space="0" w:color="auto"/>
        <w:bottom w:val="none" w:sz="0" w:space="0" w:color="auto"/>
        <w:right w:val="none" w:sz="0" w:space="0" w:color="auto"/>
      </w:divBdr>
    </w:div>
    <w:div w:id="1711685886">
      <w:bodyDiv w:val="1"/>
      <w:marLeft w:val="0"/>
      <w:marRight w:val="0"/>
      <w:marTop w:val="0"/>
      <w:marBottom w:val="0"/>
      <w:divBdr>
        <w:top w:val="none" w:sz="0" w:space="0" w:color="auto"/>
        <w:left w:val="none" w:sz="0" w:space="0" w:color="auto"/>
        <w:bottom w:val="none" w:sz="0" w:space="0" w:color="auto"/>
        <w:right w:val="none" w:sz="0" w:space="0" w:color="auto"/>
      </w:divBdr>
    </w:div>
    <w:div w:id="1869416897">
      <w:bodyDiv w:val="1"/>
      <w:marLeft w:val="0"/>
      <w:marRight w:val="0"/>
      <w:marTop w:val="0"/>
      <w:marBottom w:val="0"/>
      <w:divBdr>
        <w:top w:val="none" w:sz="0" w:space="0" w:color="auto"/>
        <w:left w:val="none" w:sz="0" w:space="0" w:color="auto"/>
        <w:bottom w:val="none" w:sz="0" w:space="0" w:color="auto"/>
        <w:right w:val="none" w:sz="0" w:space="0" w:color="auto"/>
      </w:divBdr>
    </w:div>
    <w:div w:id="1870291357">
      <w:bodyDiv w:val="1"/>
      <w:marLeft w:val="0"/>
      <w:marRight w:val="0"/>
      <w:marTop w:val="0"/>
      <w:marBottom w:val="0"/>
      <w:divBdr>
        <w:top w:val="none" w:sz="0" w:space="0" w:color="auto"/>
        <w:left w:val="none" w:sz="0" w:space="0" w:color="auto"/>
        <w:bottom w:val="none" w:sz="0" w:space="0" w:color="auto"/>
        <w:right w:val="none" w:sz="0" w:space="0" w:color="auto"/>
      </w:divBdr>
    </w:div>
    <w:div w:id="211061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3090</Words>
  <Characters>18852</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2022040811 - pkt. 4.4, 4.5</dc:description>
  <cp:lastModifiedBy>Line Aaboe Würtz</cp:lastModifiedBy>
  <cp:revision>5</cp:revision>
  <cp:lastPrinted>2006-02-24T09:31:00Z</cp:lastPrinted>
  <dcterms:created xsi:type="dcterms:W3CDTF">2025-03-24T15:46:00Z</dcterms:created>
  <dcterms:modified xsi:type="dcterms:W3CDTF">2025-03-25T13:25:00Z</dcterms:modified>
</cp:coreProperties>
</file>