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732A6" w14:textId="7F251223" w:rsidR="009260DE" w:rsidRPr="0026740E" w:rsidRDefault="0021526C" w:rsidP="00A35769">
      <w:pPr>
        <w:rPr>
          <w:b/>
          <w:sz w:val="24"/>
          <w:szCs w:val="24"/>
        </w:rPr>
      </w:pPr>
      <w:r w:rsidRPr="0026740E">
        <w:rPr>
          <w:noProof/>
          <w:sz w:val="24"/>
          <w:szCs w:val="24"/>
          <w:lang w:eastAsia="da-DK"/>
        </w:rPr>
        <w:drawing>
          <wp:anchor distT="0" distB="0" distL="114300" distR="114300" simplePos="0" relativeHeight="251658240" behindDoc="0" locked="0" layoutInCell="1" allowOverlap="1" wp14:anchorId="2F7D6732" wp14:editId="78ECB4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6740E">
        <w:rPr>
          <w:sz w:val="24"/>
          <w:szCs w:val="24"/>
        </w:rPr>
        <w:br w:type="textWrapping" w:clear="all"/>
      </w:r>
    </w:p>
    <w:p w14:paraId="313EF514" w14:textId="2E8F3695" w:rsidR="009260DE" w:rsidRPr="0026740E" w:rsidRDefault="009260DE" w:rsidP="009260DE">
      <w:pPr>
        <w:pStyle w:val="Titel"/>
        <w:tabs>
          <w:tab w:val="right" w:pos="9356"/>
        </w:tabs>
        <w:jc w:val="left"/>
        <w:rPr>
          <w:b w:val="0"/>
          <w:szCs w:val="24"/>
          <w:lang w:eastAsia="en-US"/>
        </w:rPr>
      </w:pPr>
      <w:r w:rsidRPr="0026740E">
        <w:rPr>
          <w:b w:val="0"/>
          <w:szCs w:val="24"/>
          <w:lang w:eastAsia="en-US"/>
        </w:rPr>
        <w:tab/>
      </w:r>
      <w:r w:rsidR="00E97793">
        <w:rPr>
          <w:szCs w:val="24"/>
        </w:rPr>
        <w:t>1</w:t>
      </w:r>
      <w:r w:rsidR="009978B4">
        <w:rPr>
          <w:szCs w:val="24"/>
        </w:rPr>
        <w:t>7</w:t>
      </w:r>
      <w:r w:rsidR="00E97793">
        <w:rPr>
          <w:szCs w:val="24"/>
        </w:rPr>
        <w:t>. september 2024</w:t>
      </w:r>
    </w:p>
    <w:p w14:paraId="1E826626" w14:textId="77777777" w:rsidR="009260DE" w:rsidRPr="0026740E" w:rsidRDefault="009260DE" w:rsidP="009260DE">
      <w:pPr>
        <w:pStyle w:val="Titel"/>
        <w:jc w:val="left"/>
        <w:rPr>
          <w:b w:val="0"/>
          <w:szCs w:val="24"/>
        </w:rPr>
      </w:pPr>
    </w:p>
    <w:p w14:paraId="0B95954D" w14:textId="77777777" w:rsidR="009260DE" w:rsidRPr="0026740E" w:rsidRDefault="009260DE" w:rsidP="009260DE">
      <w:pPr>
        <w:jc w:val="center"/>
        <w:rPr>
          <w:b/>
          <w:sz w:val="24"/>
          <w:szCs w:val="24"/>
        </w:rPr>
      </w:pPr>
      <w:r w:rsidRPr="0026740E">
        <w:rPr>
          <w:b/>
          <w:sz w:val="24"/>
          <w:szCs w:val="24"/>
        </w:rPr>
        <w:t>PRODUKTRESUMÉ</w:t>
      </w:r>
    </w:p>
    <w:p w14:paraId="048D681E" w14:textId="77777777" w:rsidR="009260DE" w:rsidRPr="0026740E" w:rsidRDefault="009260DE" w:rsidP="009260DE">
      <w:pPr>
        <w:jc w:val="center"/>
        <w:rPr>
          <w:b/>
          <w:sz w:val="24"/>
          <w:szCs w:val="24"/>
        </w:rPr>
      </w:pPr>
    </w:p>
    <w:p w14:paraId="3FE002C4" w14:textId="77777777" w:rsidR="009260DE" w:rsidRPr="0026740E" w:rsidRDefault="009260DE" w:rsidP="009260DE">
      <w:pPr>
        <w:jc w:val="center"/>
        <w:rPr>
          <w:b/>
          <w:sz w:val="24"/>
          <w:szCs w:val="24"/>
        </w:rPr>
      </w:pPr>
      <w:r w:rsidRPr="0026740E">
        <w:rPr>
          <w:b/>
          <w:sz w:val="24"/>
          <w:szCs w:val="24"/>
        </w:rPr>
        <w:t>for</w:t>
      </w:r>
    </w:p>
    <w:p w14:paraId="0FD6F811" w14:textId="77777777" w:rsidR="000B058C" w:rsidRPr="0026740E" w:rsidRDefault="000B058C" w:rsidP="009260DE">
      <w:pPr>
        <w:jc w:val="center"/>
        <w:rPr>
          <w:b/>
          <w:sz w:val="24"/>
          <w:szCs w:val="24"/>
        </w:rPr>
      </w:pPr>
    </w:p>
    <w:p w14:paraId="44F75601" w14:textId="03D379A7" w:rsidR="009260DE" w:rsidRPr="0026740E" w:rsidRDefault="008F3D34" w:rsidP="009260DE">
      <w:pPr>
        <w:jc w:val="center"/>
        <w:rPr>
          <w:b/>
          <w:sz w:val="24"/>
          <w:szCs w:val="24"/>
        </w:rPr>
      </w:pPr>
      <w:r w:rsidRPr="0026740E">
        <w:rPr>
          <w:b/>
          <w:sz w:val="24"/>
          <w:szCs w:val="24"/>
        </w:rPr>
        <w:t>Paracetamol "</w:t>
      </w:r>
      <w:proofErr w:type="spellStart"/>
      <w:r w:rsidRPr="0026740E">
        <w:rPr>
          <w:b/>
          <w:sz w:val="24"/>
          <w:szCs w:val="24"/>
        </w:rPr>
        <w:t>Zentiva</w:t>
      </w:r>
      <w:proofErr w:type="spellEnd"/>
      <w:r w:rsidRPr="0026740E">
        <w:rPr>
          <w:b/>
          <w:sz w:val="24"/>
          <w:szCs w:val="24"/>
        </w:rPr>
        <w:t>", tabletter</w:t>
      </w:r>
    </w:p>
    <w:p w14:paraId="5FAB362F" w14:textId="77777777" w:rsidR="009260DE" w:rsidRPr="0026740E" w:rsidRDefault="009260DE" w:rsidP="009260DE">
      <w:pPr>
        <w:jc w:val="both"/>
        <w:rPr>
          <w:sz w:val="24"/>
          <w:szCs w:val="24"/>
        </w:rPr>
      </w:pPr>
    </w:p>
    <w:p w14:paraId="464A9066" w14:textId="77777777" w:rsidR="009260DE" w:rsidRPr="0026740E" w:rsidRDefault="009260DE" w:rsidP="009260DE">
      <w:pPr>
        <w:jc w:val="both"/>
        <w:rPr>
          <w:sz w:val="24"/>
          <w:szCs w:val="24"/>
        </w:rPr>
      </w:pPr>
    </w:p>
    <w:p w14:paraId="35928567" w14:textId="77777777" w:rsidR="009260DE" w:rsidRPr="0026740E" w:rsidRDefault="009260DE" w:rsidP="009260DE">
      <w:pPr>
        <w:tabs>
          <w:tab w:val="left" w:pos="851"/>
        </w:tabs>
        <w:ind w:left="851" w:hanging="851"/>
        <w:rPr>
          <w:b/>
          <w:sz w:val="24"/>
          <w:szCs w:val="24"/>
        </w:rPr>
      </w:pPr>
      <w:r w:rsidRPr="0026740E">
        <w:rPr>
          <w:b/>
          <w:sz w:val="24"/>
          <w:szCs w:val="24"/>
        </w:rPr>
        <w:t>0.</w:t>
      </w:r>
      <w:r w:rsidRPr="0026740E">
        <w:rPr>
          <w:b/>
          <w:sz w:val="24"/>
          <w:szCs w:val="24"/>
        </w:rPr>
        <w:tab/>
        <w:t>D.SP.NR.</w:t>
      </w:r>
    </w:p>
    <w:p w14:paraId="51148CEB" w14:textId="5714F87A" w:rsidR="009260DE" w:rsidRPr="0026740E" w:rsidRDefault="008F3D34" w:rsidP="009260DE">
      <w:pPr>
        <w:tabs>
          <w:tab w:val="left" w:pos="851"/>
        </w:tabs>
        <w:ind w:left="851"/>
        <w:rPr>
          <w:sz w:val="24"/>
          <w:szCs w:val="24"/>
        </w:rPr>
      </w:pPr>
      <w:r w:rsidRPr="0026740E">
        <w:rPr>
          <w:sz w:val="24"/>
          <w:szCs w:val="24"/>
        </w:rPr>
        <w:t>32405</w:t>
      </w:r>
    </w:p>
    <w:p w14:paraId="1C6EFEAC" w14:textId="77777777" w:rsidR="009260DE" w:rsidRPr="0026740E" w:rsidRDefault="009260DE" w:rsidP="009260DE">
      <w:pPr>
        <w:tabs>
          <w:tab w:val="left" w:pos="851"/>
        </w:tabs>
        <w:ind w:left="851"/>
        <w:rPr>
          <w:sz w:val="24"/>
          <w:szCs w:val="24"/>
        </w:rPr>
      </w:pPr>
    </w:p>
    <w:p w14:paraId="692CC427" w14:textId="77777777" w:rsidR="009260DE" w:rsidRPr="0026740E" w:rsidRDefault="009260DE" w:rsidP="009260DE">
      <w:pPr>
        <w:tabs>
          <w:tab w:val="left" w:pos="851"/>
        </w:tabs>
        <w:ind w:left="851" w:hanging="851"/>
        <w:rPr>
          <w:b/>
          <w:sz w:val="24"/>
          <w:szCs w:val="24"/>
        </w:rPr>
      </w:pPr>
      <w:r w:rsidRPr="0026740E">
        <w:rPr>
          <w:b/>
          <w:sz w:val="24"/>
          <w:szCs w:val="24"/>
        </w:rPr>
        <w:t>1.</w:t>
      </w:r>
      <w:r w:rsidRPr="0026740E">
        <w:rPr>
          <w:b/>
          <w:sz w:val="24"/>
          <w:szCs w:val="24"/>
        </w:rPr>
        <w:tab/>
        <w:t>LÆGEMIDLETS NAVN</w:t>
      </w:r>
    </w:p>
    <w:p w14:paraId="756E0ACB" w14:textId="3F6D6149" w:rsidR="009260DE" w:rsidRPr="0026740E" w:rsidRDefault="008F3D34" w:rsidP="009260DE">
      <w:pPr>
        <w:tabs>
          <w:tab w:val="left" w:pos="851"/>
        </w:tabs>
        <w:ind w:left="851"/>
        <w:rPr>
          <w:sz w:val="24"/>
          <w:szCs w:val="24"/>
        </w:rPr>
      </w:pPr>
      <w:r w:rsidRPr="0026740E">
        <w:rPr>
          <w:sz w:val="24"/>
          <w:szCs w:val="24"/>
        </w:rPr>
        <w:t>Paracetamol "</w:t>
      </w:r>
      <w:proofErr w:type="spellStart"/>
      <w:r w:rsidRPr="0026740E">
        <w:rPr>
          <w:sz w:val="24"/>
          <w:szCs w:val="24"/>
        </w:rPr>
        <w:t>Zentiva</w:t>
      </w:r>
      <w:proofErr w:type="spellEnd"/>
      <w:r w:rsidRPr="0026740E">
        <w:rPr>
          <w:sz w:val="24"/>
          <w:szCs w:val="24"/>
        </w:rPr>
        <w:t>"</w:t>
      </w:r>
    </w:p>
    <w:p w14:paraId="19A10CE7" w14:textId="77777777" w:rsidR="009260DE" w:rsidRPr="0026740E" w:rsidRDefault="009260DE" w:rsidP="009260DE">
      <w:pPr>
        <w:tabs>
          <w:tab w:val="left" w:pos="851"/>
        </w:tabs>
        <w:ind w:left="851"/>
        <w:rPr>
          <w:sz w:val="24"/>
          <w:szCs w:val="24"/>
        </w:rPr>
      </w:pPr>
    </w:p>
    <w:p w14:paraId="5278B6D5" w14:textId="77777777" w:rsidR="009260DE" w:rsidRPr="0026740E" w:rsidRDefault="009260DE" w:rsidP="009260DE">
      <w:pPr>
        <w:tabs>
          <w:tab w:val="left" w:pos="851"/>
        </w:tabs>
        <w:ind w:left="851" w:hanging="851"/>
        <w:rPr>
          <w:b/>
          <w:sz w:val="24"/>
          <w:szCs w:val="24"/>
        </w:rPr>
      </w:pPr>
      <w:r w:rsidRPr="0026740E">
        <w:rPr>
          <w:b/>
          <w:sz w:val="24"/>
          <w:szCs w:val="24"/>
        </w:rPr>
        <w:t>2.</w:t>
      </w:r>
      <w:r w:rsidRPr="0026740E">
        <w:rPr>
          <w:b/>
          <w:sz w:val="24"/>
          <w:szCs w:val="24"/>
        </w:rPr>
        <w:tab/>
        <w:t>KVALITATIV OG KVANTITATIV SAMMENSÆTNING</w:t>
      </w:r>
    </w:p>
    <w:p w14:paraId="4B70BD77" w14:textId="744981EC" w:rsidR="007A225F" w:rsidRPr="0026740E" w:rsidRDefault="007A225F" w:rsidP="007A225F">
      <w:pPr>
        <w:tabs>
          <w:tab w:val="left" w:pos="851"/>
        </w:tabs>
        <w:ind w:left="851"/>
        <w:rPr>
          <w:sz w:val="24"/>
          <w:szCs w:val="24"/>
          <w:lang w:eastAsia="da-DK"/>
        </w:rPr>
      </w:pPr>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500 mg tabletter: Hver tablet indeholder 500 mg paracetamol.</w:t>
      </w:r>
    </w:p>
    <w:p w14:paraId="3F216854" w14:textId="7B0AF4ED" w:rsidR="007A225F" w:rsidRPr="0026740E" w:rsidRDefault="007A225F" w:rsidP="007A225F">
      <w:pPr>
        <w:tabs>
          <w:tab w:val="left" w:pos="851"/>
        </w:tabs>
        <w:ind w:left="851"/>
        <w:rPr>
          <w:sz w:val="24"/>
          <w:szCs w:val="24"/>
        </w:rPr>
      </w:pPr>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1.000 mg tabletter: Hver tablet indeholder 1.000 mg paracetamol.</w:t>
      </w:r>
    </w:p>
    <w:p w14:paraId="7FAC4025" w14:textId="77777777" w:rsidR="007A225F" w:rsidRPr="0026740E" w:rsidRDefault="007A225F" w:rsidP="007A225F">
      <w:pPr>
        <w:tabs>
          <w:tab w:val="left" w:pos="851"/>
        </w:tabs>
        <w:ind w:left="851"/>
        <w:rPr>
          <w:sz w:val="24"/>
          <w:szCs w:val="24"/>
        </w:rPr>
      </w:pPr>
    </w:p>
    <w:p w14:paraId="0E25BF49" w14:textId="77777777" w:rsidR="007A225F" w:rsidRPr="0026740E" w:rsidRDefault="007A225F" w:rsidP="007A225F">
      <w:pPr>
        <w:tabs>
          <w:tab w:val="left" w:pos="851"/>
        </w:tabs>
        <w:ind w:left="851"/>
        <w:rPr>
          <w:sz w:val="24"/>
          <w:szCs w:val="24"/>
        </w:rPr>
      </w:pPr>
      <w:r w:rsidRPr="0026740E">
        <w:rPr>
          <w:sz w:val="24"/>
          <w:szCs w:val="24"/>
        </w:rPr>
        <w:t>Alle hjælpestoffer er anført under pkt. 6.1.</w:t>
      </w:r>
    </w:p>
    <w:p w14:paraId="4C9B6066" w14:textId="77777777" w:rsidR="009260DE" w:rsidRPr="0026740E" w:rsidRDefault="009260DE" w:rsidP="009260DE">
      <w:pPr>
        <w:tabs>
          <w:tab w:val="left" w:pos="851"/>
        </w:tabs>
        <w:ind w:left="851"/>
        <w:rPr>
          <w:sz w:val="24"/>
          <w:szCs w:val="24"/>
        </w:rPr>
      </w:pPr>
    </w:p>
    <w:p w14:paraId="7FCE0031" w14:textId="77777777" w:rsidR="009260DE" w:rsidRPr="0026740E" w:rsidRDefault="009260DE" w:rsidP="009260DE">
      <w:pPr>
        <w:tabs>
          <w:tab w:val="left" w:pos="851"/>
        </w:tabs>
        <w:ind w:left="851" w:hanging="851"/>
        <w:rPr>
          <w:b/>
          <w:sz w:val="24"/>
          <w:szCs w:val="24"/>
        </w:rPr>
      </w:pPr>
      <w:r w:rsidRPr="0026740E">
        <w:rPr>
          <w:b/>
          <w:sz w:val="24"/>
          <w:szCs w:val="24"/>
        </w:rPr>
        <w:t>3.</w:t>
      </w:r>
      <w:r w:rsidRPr="0026740E">
        <w:rPr>
          <w:b/>
          <w:sz w:val="24"/>
          <w:szCs w:val="24"/>
        </w:rPr>
        <w:tab/>
        <w:t>LÆGEMIDDELFORM</w:t>
      </w:r>
    </w:p>
    <w:p w14:paraId="4F16287D" w14:textId="5BBBC9D0" w:rsidR="007A225F" w:rsidRPr="0026740E" w:rsidRDefault="007A225F" w:rsidP="007A225F">
      <w:pPr>
        <w:tabs>
          <w:tab w:val="left" w:pos="851"/>
        </w:tabs>
        <w:ind w:left="851"/>
        <w:rPr>
          <w:sz w:val="24"/>
          <w:szCs w:val="24"/>
          <w:lang w:eastAsia="da-DK"/>
        </w:rPr>
      </w:pPr>
      <w:r w:rsidRPr="0026740E">
        <w:rPr>
          <w:sz w:val="24"/>
          <w:szCs w:val="24"/>
        </w:rPr>
        <w:t>Tabletter</w:t>
      </w:r>
    </w:p>
    <w:p w14:paraId="201C238C" w14:textId="77777777" w:rsidR="007A225F" w:rsidRPr="0026740E" w:rsidRDefault="007A225F" w:rsidP="007A225F">
      <w:pPr>
        <w:tabs>
          <w:tab w:val="left" w:pos="851"/>
        </w:tabs>
        <w:ind w:left="851"/>
        <w:rPr>
          <w:sz w:val="24"/>
          <w:szCs w:val="24"/>
        </w:rPr>
      </w:pPr>
    </w:p>
    <w:p w14:paraId="728C670E" w14:textId="6ECB6FBF" w:rsidR="007A225F" w:rsidRPr="0026740E" w:rsidRDefault="007A225F" w:rsidP="007A225F">
      <w:pPr>
        <w:tabs>
          <w:tab w:val="left" w:pos="851"/>
        </w:tabs>
        <w:ind w:left="851"/>
        <w:rPr>
          <w:sz w:val="24"/>
          <w:szCs w:val="24"/>
        </w:rPr>
      </w:pPr>
      <w:bookmarkStart w:id="0" w:name="_Hlk95478190"/>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500 mg tabletter: </w:t>
      </w:r>
    </w:p>
    <w:p w14:paraId="0F5A82F1" w14:textId="77777777" w:rsidR="007A225F" w:rsidRPr="0026740E" w:rsidRDefault="007A225F" w:rsidP="007A225F">
      <w:pPr>
        <w:tabs>
          <w:tab w:val="left" w:pos="851"/>
        </w:tabs>
        <w:ind w:left="851"/>
        <w:rPr>
          <w:sz w:val="24"/>
          <w:szCs w:val="24"/>
        </w:rPr>
      </w:pPr>
      <w:r w:rsidRPr="0026740E">
        <w:rPr>
          <w:sz w:val="24"/>
          <w:szCs w:val="24"/>
        </w:rPr>
        <w:t xml:space="preserve">Hvid kapselformet tablet med flade kanter, der måler ca. 17 mm × 7 mm, </w:t>
      </w:r>
      <w:r w:rsidRPr="0026740E">
        <w:rPr>
          <w:bCs/>
          <w:sz w:val="24"/>
          <w:szCs w:val="24"/>
        </w:rPr>
        <w:t>S delekærv 1 (S|1) på den ene side</w:t>
      </w:r>
      <w:r w:rsidRPr="0026740E">
        <w:rPr>
          <w:sz w:val="24"/>
          <w:szCs w:val="24"/>
        </w:rPr>
        <w:t>. Tabletten kan deles i to lige store doser.</w:t>
      </w:r>
    </w:p>
    <w:p w14:paraId="1E5E1EF6" w14:textId="77777777" w:rsidR="007A225F" w:rsidRPr="0026740E" w:rsidRDefault="007A225F" w:rsidP="007A225F">
      <w:pPr>
        <w:tabs>
          <w:tab w:val="left" w:pos="851"/>
        </w:tabs>
        <w:ind w:left="851"/>
        <w:rPr>
          <w:sz w:val="24"/>
          <w:szCs w:val="24"/>
        </w:rPr>
      </w:pPr>
    </w:p>
    <w:p w14:paraId="1BD67AD1" w14:textId="24D47043" w:rsidR="007A225F" w:rsidRPr="0026740E" w:rsidRDefault="007A225F" w:rsidP="007A225F">
      <w:pPr>
        <w:tabs>
          <w:tab w:val="left" w:pos="851"/>
        </w:tabs>
        <w:ind w:left="851"/>
        <w:rPr>
          <w:sz w:val="24"/>
          <w:szCs w:val="24"/>
        </w:rPr>
      </w:pPr>
      <w:bookmarkStart w:id="1" w:name="_Hlk95485355"/>
      <w:bookmarkEnd w:id="0"/>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1.000 mg tabletter:</w:t>
      </w:r>
    </w:p>
    <w:p w14:paraId="0E32674A" w14:textId="77777777" w:rsidR="007A225F" w:rsidRPr="0026740E" w:rsidRDefault="007A225F" w:rsidP="007A225F">
      <w:pPr>
        <w:tabs>
          <w:tab w:val="left" w:pos="851"/>
        </w:tabs>
        <w:ind w:left="851"/>
        <w:rPr>
          <w:sz w:val="24"/>
          <w:szCs w:val="24"/>
        </w:rPr>
      </w:pPr>
      <w:r w:rsidRPr="0026740E">
        <w:rPr>
          <w:sz w:val="24"/>
          <w:szCs w:val="24"/>
        </w:rPr>
        <w:t xml:space="preserve"> Hvid kapselformet tablet med skrå kanter, der måler ca. 20 mm × 10 mm, </w:t>
      </w:r>
      <w:r w:rsidRPr="0026740E">
        <w:rPr>
          <w:bCs/>
          <w:sz w:val="24"/>
          <w:szCs w:val="24"/>
        </w:rPr>
        <w:t>delekærv på den ene side</w:t>
      </w:r>
      <w:r w:rsidRPr="0026740E">
        <w:rPr>
          <w:sz w:val="24"/>
          <w:szCs w:val="24"/>
        </w:rPr>
        <w:t xml:space="preserve">. </w:t>
      </w:r>
      <w:bookmarkStart w:id="2" w:name="_Hlk95485024"/>
      <w:r w:rsidRPr="0026740E">
        <w:rPr>
          <w:sz w:val="24"/>
          <w:szCs w:val="24"/>
        </w:rPr>
        <w:t>Delekærven er der, for at tabletten kan deles, så den er nemmere at sluge, ikke for at kunne dosere to halve tabletter</w:t>
      </w:r>
      <w:bookmarkEnd w:id="2"/>
      <w:r w:rsidRPr="0026740E">
        <w:rPr>
          <w:sz w:val="24"/>
          <w:szCs w:val="24"/>
        </w:rPr>
        <w:t>.</w:t>
      </w:r>
      <w:bookmarkEnd w:id="1"/>
    </w:p>
    <w:p w14:paraId="66ABFFC2" w14:textId="77777777" w:rsidR="009260DE" w:rsidRPr="0026740E" w:rsidRDefault="009260DE" w:rsidP="009260DE">
      <w:pPr>
        <w:tabs>
          <w:tab w:val="left" w:pos="851"/>
        </w:tabs>
        <w:ind w:left="851"/>
        <w:rPr>
          <w:sz w:val="24"/>
          <w:szCs w:val="24"/>
        </w:rPr>
      </w:pPr>
    </w:p>
    <w:p w14:paraId="6F7FAA83" w14:textId="77777777" w:rsidR="009260DE" w:rsidRPr="0026740E" w:rsidRDefault="009260DE" w:rsidP="009260DE">
      <w:pPr>
        <w:tabs>
          <w:tab w:val="left" w:pos="851"/>
        </w:tabs>
        <w:ind w:left="851"/>
        <w:rPr>
          <w:sz w:val="24"/>
          <w:szCs w:val="24"/>
        </w:rPr>
      </w:pPr>
    </w:p>
    <w:p w14:paraId="0FBD5928" w14:textId="77777777" w:rsidR="009260DE" w:rsidRPr="0026740E" w:rsidRDefault="009260DE" w:rsidP="009260DE">
      <w:pPr>
        <w:tabs>
          <w:tab w:val="left" w:pos="851"/>
        </w:tabs>
        <w:ind w:left="851" w:hanging="851"/>
        <w:rPr>
          <w:b/>
          <w:sz w:val="24"/>
          <w:szCs w:val="24"/>
        </w:rPr>
      </w:pPr>
      <w:r w:rsidRPr="0026740E">
        <w:rPr>
          <w:b/>
          <w:sz w:val="24"/>
          <w:szCs w:val="24"/>
        </w:rPr>
        <w:t>4.</w:t>
      </w:r>
      <w:r w:rsidRPr="0026740E">
        <w:rPr>
          <w:b/>
          <w:sz w:val="24"/>
          <w:szCs w:val="24"/>
        </w:rPr>
        <w:tab/>
        <w:t>KLINISKE OPLYSNINGER</w:t>
      </w:r>
    </w:p>
    <w:p w14:paraId="6E1206DB" w14:textId="77777777" w:rsidR="009260DE" w:rsidRPr="0026740E" w:rsidRDefault="009260DE" w:rsidP="009260DE">
      <w:pPr>
        <w:tabs>
          <w:tab w:val="left" w:pos="851"/>
        </w:tabs>
        <w:ind w:left="851"/>
        <w:rPr>
          <w:b/>
          <w:sz w:val="24"/>
          <w:szCs w:val="24"/>
        </w:rPr>
      </w:pPr>
    </w:p>
    <w:p w14:paraId="449DE9A8" w14:textId="77777777" w:rsidR="009260DE" w:rsidRPr="0026740E" w:rsidRDefault="009260DE" w:rsidP="009260DE">
      <w:pPr>
        <w:tabs>
          <w:tab w:val="left" w:pos="851"/>
        </w:tabs>
        <w:ind w:left="851" w:hanging="851"/>
        <w:rPr>
          <w:b/>
          <w:sz w:val="24"/>
          <w:szCs w:val="24"/>
          <w:u w:val="single"/>
        </w:rPr>
      </w:pPr>
      <w:r w:rsidRPr="0026740E">
        <w:rPr>
          <w:b/>
          <w:sz w:val="24"/>
          <w:szCs w:val="24"/>
        </w:rPr>
        <w:t>4.1</w:t>
      </w:r>
      <w:r w:rsidRPr="0026740E">
        <w:rPr>
          <w:b/>
          <w:sz w:val="24"/>
          <w:szCs w:val="24"/>
        </w:rPr>
        <w:tab/>
        <w:t>Terapeutiske indikationer</w:t>
      </w:r>
    </w:p>
    <w:p w14:paraId="5E90E8A5" w14:textId="77777777" w:rsidR="007A225F" w:rsidRPr="0026740E" w:rsidRDefault="007A225F" w:rsidP="007A225F">
      <w:pPr>
        <w:tabs>
          <w:tab w:val="left" w:pos="851"/>
        </w:tabs>
        <w:ind w:left="851"/>
        <w:rPr>
          <w:sz w:val="24"/>
          <w:szCs w:val="24"/>
          <w:lang w:eastAsia="da-DK"/>
        </w:rPr>
      </w:pPr>
      <w:r w:rsidRPr="0026740E">
        <w:rPr>
          <w:sz w:val="24"/>
          <w:szCs w:val="24"/>
        </w:rPr>
        <w:t>Kortvarig symptomatisk behandling af lette til moderate smerter og/eller feber.</w:t>
      </w:r>
    </w:p>
    <w:p w14:paraId="7839EE96" w14:textId="26D5BB9F" w:rsidR="007A225F" w:rsidRPr="0026740E" w:rsidRDefault="007A225F" w:rsidP="007A225F">
      <w:pPr>
        <w:tabs>
          <w:tab w:val="left" w:pos="851"/>
        </w:tabs>
        <w:ind w:left="851"/>
        <w:rPr>
          <w:sz w:val="24"/>
          <w:szCs w:val="24"/>
        </w:rPr>
      </w:pPr>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500 mg tabletter er beregnet til voksne, unge og børn, med en kropsvægt over 21 kg (i alderen 6 år og derover).</w:t>
      </w:r>
    </w:p>
    <w:p w14:paraId="6182D8DE" w14:textId="34B08C63" w:rsidR="007A225F" w:rsidRPr="0026740E" w:rsidRDefault="007A225F" w:rsidP="007A225F">
      <w:pPr>
        <w:tabs>
          <w:tab w:val="left" w:pos="851"/>
        </w:tabs>
        <w:ind w:left="851"/>
        <w:rPr>
          <w:sz w:val="24"/>
          <w:szCs w:val="24"/>
        </w:rPr>
      </w:pPr>
      <w:bookmarkStart w:id="3" w:name="_Hlk95483447"/>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1.000 mg tabletter er beregnet til voksne og unge, med en kropsvægt over 60 kg (i alderen 15 år og derover).</w:t>
      </w:r>
      <w:bookmarkEnd w:id="3"/>
    </w:p>
    <w:p w14:paraId="6A0E4E3B" w14:textId="4E3A1C4F" w:rsidR="0026740E" w:rsidRDefault="0026740E">
      <w:pPr>
        <w:rPr>
          <w:sz w:val="24"/>
          <w:szCs w:val="24"/>
        </w:rPr>
      </w:pPr>
      <w:r>
        <w:rPr>
          <w:sz w:val="24"/>
          <w:szCs w:val="24"/>
        </w:rPr>
        <w:br w:type="page"/>
      </w:r>
    </w:p>
    <w:p w14:paraId="265CE42F" w14:textId="77777777" w:rsidR="009260DE" w:rsidRPr="0026740E" w:rsidRDefault="009260DE" w:rsidP="009260DE">
      <w:pPr>
        <w:tabs>
          <w:tab w:val="left" w:pos="851"/>
        </w:tabs>
        <w:ind w:left="851"/>
        <w:rPr>
          <w:sz w:val="24"/>
          <w:szCs w:val="24"/>
        </w:rPr>
      </w:pPr>
    </w:p>
    <w:p w14:paraId="41DC26BE" w14:textId="12EEB18F" w:rsidR="009260DE" w:rsidRPr="0026740E" w:rsidRDefault="009260DE" w:rsidP="009260DE">
      <w:pPr>
        <w:tabs>
          <w:tab w:val="left" w:pos="851"/>
        </w:tabs>
        <w:ind w:left="851" w:hanging="851"/>
        <w:rPr>
          <w:b/>
          <w:sz w:val="24"/>
          <w:szCs w:val="24"/>
        </w:rPr>
      </w:pPr>
      <w:r w:rsidRPr="0026740E">
        <w:rPr>
          <w:b/>
          <w:sz w:val="24"/>
          <w:szCs w:val="24"/>
        </w:rPr>
        <w:t>4.2</w:t>
      </w:r>
      <w:r w:rsidRPr="0026740E">
        <w:rPr>
          <w:b/>
          <w:sz w:val="24"/>
          <w:szCs w:val="24"/>
        </w:rPr>
        <w:tab/>
      </w:r>
      <w:bookmarkStart w:id="4" w:name="_Hlk121742956"/>
      <w:r w:rsidR="00833002" w:rsidRPr="00BA4587">
        <w:rPr>
          <w:b/>
          <w:sz w:val="24"/>
          <w:szCs w:val="24"/>
        </w:rPr>
        <w:t>Dosering og administration</w:t>
      </w:r>
      <w:bookmarkEnd w:id="4"/>
    </w:p>
    <w:p w14:paraId="6EFC73F8" w14:textId="77777777" w:rsidR="002E60D9" w:rsidRDefault="002E60D9" w:rsidP="00A35769">
      <w:pPr>
        <w:ind w:left="851"/>
        <w:rPr>
          <w:sz w:val="24"/>
          <w:szCs w:val="24"/>
          <w:u w:val="single"/>
        </w:rPr>
      </w:pPr>
    </w:p>
    <w:p w14:paraId="76D54603" w14:textId="0304ECC8" w:rsidR="007A225F" w:rsidRPr="0026740E" w:rsidRDefault="007A225F" w:rsidP="00A35769">
      <w:pPr>
        <w:ind w:left="851"/>
        <w:rPr>
          <w:sz w:val="24"/>
          <w:szCs w:val="24"/>
          <w:u w:val="single"/>
          <w:lang w:eastAsia="da-DK"/>
        </w:rPr>
      </w:pPr>
      <w:r w:rsidRPr="0026740E">
        <w:rPr>
          <w:sz w:val="24"/>
          <w:szCs w:val="24"/>
          <w:u w:val="single"/>
        </w:rPr>
        <w:t>Dosering</w:t>
      </w:r>
    </w:p>
    <w:p w14:paraId="6EEBD9CC" w14:textId="77777777" w:rsidR="007A225F" w:rsidRPr="0026740E" w:rsidRDefault="007A225F" w:rsidP="007A225F">
      <w:pPr>
        <w:tabs>
          <w:tab w:val="left" w:pos="851"/>
        </w:tabs>
        <w:ind w:left="851"/>
        <w:rPr>
          <w:sz w:val="24"/>
          <w:szCs w:val="24"/>
        </w:rPr>
      </w:pPr>
      <w:r w:rsidRPr="0026740E">
        <w:rPr>
          <w:sz w:val="24"/>
          <w:szCs w:val="24"/>
        </w:rPr>
        <w:t>Den laveste effektive dosis bør anvendes i kortest mulig tid. Den maksimale døgndosis må ikke overskrides.</w:t>
      </w:r>
    </w:p>
    <w:p w14:paraId="690F58EC" w14:textId="77777777" w:rsidR="007A225F" w:rsidRPr="0026740E" w:rsidRDefault="007A225F" w:rsidP="007A225F">
      <w:pPr>
        <w:tabs>
          <w:tab w:val="left" w:pos="851"/>
        </w:tabs>
        <w:ind w:left="851"/>
        <w:rPr>
          <w:sz w:val="24"/>
          <w:szCs w:val="24"/>
        </w:rPr>
      </w:pPr>
    </w:p>
    <w:p w14:paraId="0CD352A5" w14:textId="77777777" w:rsidR="007A225F" w:rsidRPr="0026740E" w:rsidRDefault="007A225F" w:rsidP="007A225F">
      <w:pPr>
        <w:tabs>
          <w:tab w:val="left" w:pos="851"/>
        </w:tabs>
        <w:ind w:left="851"/>
        <w:rPr>
          <w:sz w:val="24"/>
          <w:szCs w:val="24"/>
        </w:rPr>
      </w:pPr>
      <w:r w:rsidRPr="0026740E">
        <w:rPr>
          <w:sz w:val="24"/>
          <w:szCs w:val="24"/>
        </w:rPr>
        <w:t>Paracetamol doseres afhængigt af kropsvægt og alder, normalt 10</w:t>
      </w:r>
      <w:r w:rsidRPr="0026740E">
        <w:rPr>
          <w:sz w:val="24"/>
          <w:szCs w:val="24"/>
        </w:rPr>
        <w:noBreakHyphen/>
        <w:t>15 mg/kg kropsvægt som en enkelt-dosis, op til en maksimal daglig dosis på 60 mg/kg kropsvægt. For dosering i henhold til kropsvægt og alder, se tabellerne.</w:t>
      </w:r>
    </w:p>
    <w:p w14:paraId="22162F8D" w14:textId="77777777" w:rsidR="007A225F" w:rsidRPr="0026740E" w:rsidRDefault="007A225F" w:rsidP="007A225F">
      <w:pPr>
        <w:tabs>
          <w:tab w:val="left" w:pos="851"/>
        </w:tabs>
        <w:ind w:left="851"/>
        <w:rPr>
          <w:sz w:val="24"/>
          <w:szCs w:val="24"/>
        </w:rPr>
      </w:pPr>
    </w:p>
    <w:p w14:paraId="482B031F" w14:textId="3B7BA082" w:rsidR="007A225F" w:rsidRPr="0026740E" w:rsidRDefault="007A225F" w:rsidP="007A225F">
      <w:pPr>
        <w:tabs>
          <w:tab w:val="left" w:pos="851"/>
        </w:tabs>
        <w:ind w:left="851"/>
        <w:rPr>
          <w:sz w:val="24"/>
          <w:szCs w:val="24"/>
        </w:rPr>
      </w:pPr>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500 mg tabletter:</w:t>
      </w:r>
    </w:p>
    <w:p w14:paraId="730C821A" w14:textId="77777777" w:rsidR="00835B5A" w:rsidRPr="0026740E" w:rsidRDefault="007A225F" w:rsidP="00835B5A">
      <w:pPr>
        <w:tabs>
          <w:tab w:val="left" w:pos="851"/>
        </w:tabs>
        <w:ind w:left="851"/>
        <w:rPr>
          <w:sz w:val="24"/>
          <w:szCs w:val="24"/>
        </w:rPr>
      </w:pPr>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500 mg tabletter er ikke beregnet til børn under 6 år med en </w:t>
      </w:r>
      <w:r w:rsidR="00835B5A" w:rsidRPr="0026740E">
        <w:rPr>
          <w:sz w:val="24"/>
          <w:szCs w:val="24"/>
        </w:rPr>
        <w:t>kropsvægt under 21 kg.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50"/>
        <w:gridCol w:w="2385"/>
        <w:gridCol w:w="2410"/>
        <w:gridCol w:w="1269"/>
      </w:tblGrid>
      <w:tr w:rsidR="00835B5A" w:rsidRPr="0026740E" w14:paraId="1748C1B3" w14:textId="77777777" w:rsidTr="00606882">
        <w:tc>
          <w:tcPr>
            <w:tcW w:w="1363" w:type="dxa"/>
            <w:tcBorders>
              <w:top w:val="single" w:sz="4" w:space="0" w:color="auto"/>
              <w:left w:val="single" w:sz="4" w:space="0" w:color="auto"/>
              <w:bottom w:val="single" w:sz="4" w:space="0" w:color="auto"/>
              <w:right w:val="single" w:sz="4" w:space="0" w:color="auto"/>
            </w:tcBorders>
            <w:hideMark/>
          </w:tcPr>
          <w:p w14:paraId="41E80D84" w14:textId="77777777" w:rsidR="00835B5A" w:rsidRPr="0026740E" w:rsidRDefault="00835B5A" w:rsidP="00606882">
            <w:pPr>
              <w:tabs>
                <w:tab w:val="left" w:pos="851"/>
              </w:tabs>
              <w:rPr>
                <w:b/>
                <w:bCs/>
                <w:sz w:val="24"/>
                <w:szCs w:val="24"/>
              </w:rPr>
            </w:pPr>
            <w:r w:rsidRPr="009613A8">
              <w:rPr>
                <w:b/>
                <w:bCs/>
                <w:sz w:val="24"/>
                <w:szCs w:val="24"/>
              </w:rPr>
              <w:t xml:space="preserve">Omtrentlig </w:t>
            </w:r>
            <w:r>
              <w:rPr>
                <w:b/>
                <w:bCs/>
                <w:sz w:val="24"/>
                <w:szCs w:val="24"/>
              </w:rPr>
              <w:t>a</w:t>
            </w:r>
            <w:r w:rsidRPr="0026740E">
              <w:rPr>
                <w:b/>
                <w:bCs/>
                <w:sz w:val="24"/>
                <w:szCs w:val="24"/>
              </w:rPr>
              <w:t>lder</w:t>
            </w:r>
          </w:p>
        </w:tc>
        <w:tc>
          <w:tcPr>
            <w:tcW w:w="1350" w:type="dxa"/>
            <w:tcBorders>
              <w:top w:val="single" w:sz="4" w:space="0" w:color="auto"/>
              <w:left w:val="single" w:sz="4" w:space="0" w:color="auto"/>
              <w:bottom w:val="single" w:sz="4" w:space="0" w:color="auto"/>
              <w:right w:val="single" w:sz="4" w:space="0" w:color="auto"/>
            </w:tcBorders>
            <w:hideMark/>
          </w:tcPr>
          <w:p w14:paraId="7E5B5458" w14:textId="77777777" w:rsidR="00835B5A" w:rsidRPr="0026740E" w:rsidRDefault="00835B5A" w:rsidP="00606882">
            <w:pPr>
              <w:tabs>
                <w:tab w:val="left" w:pos="851"/>
              </w:tabs>
              <w:rPr>
                <w:b/>
                <w:bCs/>
                <w:sz w:val="24"/>
                <w:szCs w:val="24"/>
              </w:rPr>
            </w:pPr>
            <w:r w:rsidRPr="0026740E">
              <w:rPr>
                <w:b/>
                <w:bCs/>
                <w:sz w:val="24"/>
                <w:szCs w:val="24"/>
              </w:rPr>
              <w:t>Kropsvægt</w:t>
            </w:r>
          </w:p>
        </w:tc>
        <w:tc>
          <w:tcPr>
            <w:tcW w:w="2385" w:type="dxa"/>
            <w:tcBorders>
              <w:top w:val="single" w:sz="4" w:space="0" w:color="auto"/>
              <w:left w:val="single" w:sz="4" w:space="0" w:color="auto"/>
              <w:bottom w:val="single" w:sz="4" w:space="0" w:color="auto"/>
              <w:right w:val="single" w:sz="4" w:space="0" w:color="auto"/>
            </w:tcBorders>
            <w:hideMark/>
          </w:tcPr>
          <w:p w14:paraId="10BFBA8B" w14:textId="77777777" w:rsidR="00835B5A" w:rsidRPr="0026740E" w:rsidRDefault="00835B5A" w:rsidP="00606882">
            <w:pPr>
              <w:tabs>
                <w:tab w:val="left" w:pos="851"/>
              </w:tabs>
              <w:rPr>
                <w:b/>
                <w:bCs/>
                <w:sz w:val="24"/>
                <w:szCs w:val="24"/>
              </w:rPr>
            </w:pPr>
            <w:r w:rsidRPr="0026740E">
              <w:rPr>
                <w:b/>
                <w:bCs/>
                <w:sz w:val="24"/>
                <w:szCs w:val="24"/>
              </w:rPr>
              <w:t>Enkeltdosis</w:t>
            </w:r>
          </w:p>
        </w:tc>
        <w:tc>
          <w:tcPr>
            <w:tcW w:w="2410" w:type="dxa"/>
            <w:tcBorders>
              <w:top w:val="single" w:sz="4" w:space="0" w:color="auto"/>
              <w:left w:val="single" w:sz="4" w:space="0" w:color="auto"/>
              <w:bottom w:val="single" w:sz="4" w:space="0" w:color="auto"/>
              <w:right w:val="single" w:sz="4" w:space="0" w:color="auto"/>
            </w:tcBorders>
            <w:hideMark/>
          </w:tcPr>
          <w:p w14:paraId="266422AA" w14:textId="77777777" w:rsidR="00835B5A" w:rsidRPr="0026740E" w:rsidRDefault="00835B5A" w:rsidP="00606882">
            <w:pPr>
              <w:tabs>
                <w:tab w:val="left" w:pos="851"/>
              </w:tabs>
              <w:rPr>
                <w:b/>
                <w:bCs/>
                <w:sz w:val="24"/>
                <w:szCs w:val="24"/>
              </w:rPr>
            </w:pPr>
            <w:r w:rsidRPr="0026740E">
              <w:rPr>
                <w:b/>
                <w:bCs/>
                <w:sz w:val="24"/>
                <w:szCs w:val="24"/>
              </w:rPr>
              <w:t>Maksimal daglig dosis</w:t>
            </w:r>
          </w:p>
        </w:tc>
        <w:tc>
          <w:tcPr>
            <w:tcW w:w="1269" w:type="dxa"/>
            <w:tcBorders>
              <w:top w:val="single" w:sz="4" w:space="0" w:color="auto"/>
              <w:left w:val="single" w:sz="4" w:space="0" w:color="auto"/>
              <w:bottom w:val="single" w:sz="4" w:space="0" w:color="auto"/>
              <w:right w:val="single" w:sz="4" w:space="0" w:color="auto"/>
            </w:tcBorders>
          </w:tcPr>
          <w:p w14:paraId="6A92A820" w14:textId="77777777" w:rsidR="00835B5A" w:rsidRPr="0026740E" w:rsidRDefault="00835B5A" w:rsidP="00606882">
            <w:pPr>
              <w:tabs>
                <w:tab w:val="left" w:pos="851"/>
              </w:tabs>
              <w:rPr>
                <w:b/>
                <w:bCs/>
                <w:sz w:val="24"/>
                <w:szCs w:val="24"/>
              </w:rPr>
            </w:pPr>
          </w:p>
        </w:tc>
      </w:tr>
      <w:tr w:rsidR="00835B5A" w:rsidRPr="0026740E" w14:paraId="41925292" w14:textId="77777777" w:rsidTr="00606882">
        <w:tc>
          <w:tcPr>
            <w:tcW w:w="1363" w:type="dxa"/>
            <w:tcBorders>
              <w:top w:val="single" w:sz="4" w:space="0" w:color="auto"/>
              <w:left w:val="single" w:sz="4" w:space="0" w:color="auto"/>
              <w:bottom w:val="single" w:sz="4" w:space="0" w:color="auto"/>
              <w:right w:val="single" w:sz="4" w:space="0" w:color="auto"/>
            </w:tcBorders>
            <w:hideMark/>
          </w:tcPr>
          <w:p w14:paraId="5D3B9CFC" w14:textId="77777777" w:rsidR="00835B5A" w:rsidRPr="0026740E" w:rsidRDefault="00835B5A" w:rsidP="00606882">
            <w:pPr>
              <w:tabs>
                <w:tab w:val="left" w:pos="851"/>
              </w:tabs>
              <w:rPr>
                <w:sz w:val="24"/>
                <w:szCs w:val="24"/>
              </w:rPr>
            </w:pPr>
            <w:r w:rsidRPr="0026740E">
              <w:rPr>
                <w:sz w:val="24"/>
                <w:szCs w:val="24"/>
              </w:rPr>
              <w:t>6-8 år</w:t>
            </w:r>
          </w:p>
        </w:tc>
        <w:tc>
          <w:tcPr>
            <w:tcW w:w="1350" w:type="dxa"/>
            <w:tcBorders>
              <w:top w:val="single" w:sz="4" w:space="0" w:color="auto"/>
              <w:left w:val="single" w:sz="4" w:space="0" w:color="auto"/>
              <w:bottom w:val="single" w:sz="4" w:space="0" w:color="auto"/>
              <w:right w:val="single" w:sz="4" w:space="0" w:color="auto"/>
            </w:tcBorders>
            <w:hideMark/>
          </w:tcPr>
          <w:p w14:paraId="530248C9" w14:textId="77777777" w:rsidR="00835B5A" w:rsidRPr="0026740E" w:rsidRDefault="00835B5A" w:rsidP="00606882">
            <w:pPr>
              <w:tabs>
                <w:tab w:val="left" w:pos="851"/>
              </w:tabs>
              <w:rPr>
                <w:sz w:val="24"/>
                <w:szCs w:val="24"/>
              </w:rPr>
            </w:pPr>
            <w:r w:rsidRPr="0026740E">
              <w:rPr>
                <w:sz w:val="24"/>
                <w:szCs w:val="24"/>
              </w:rPr>
              <w:t>21-24 kg</w:t>
            </w:r>
          </w:p>
        </w:tc>
        <w:tc>
          <w:tcPr>
            <w:tcW w:w="2385" w:type="dxa"/>
            <w:tcBorders>
              <w:top w:val="single" w:sz="4" w:space="0" w:color="auto"/>
              <w:left w:val="single" w:sz="4" w:space="0" w:color="auto"/>
              <w:bottom w:val="single" w:sz="4" w:space="0" w:color="auto"/>
              <w:right w:val="single" w:sz="4" w:space="0" w:color="auto"/>
            </w:tcBorders>
            <w:hideMark/>
          </w:tcPr>
          <w:p w14:paraId="19AF2DAD" w14:textId="77777777" w:rsidR="00835B5A" w:rsidRPr="0026740E" w:rsidRDefault="00835B5A" w:rsidP="00606882">
            <w:pPr>
              <w:tabs>
                <w:tab w:val="left" w:pos="851"/>
              </w:tabs>
              <w:rPr>
                <w:sz w:val="24"/>
                <w:szCs w:val="24"/>
              </w:rPr>
            </w:pPr>
            <w:r w:rsidRPr="0026740E">
              <w:rPr>
                <w:sz w:val="24"/>
                <w:szCs w:val="24"/>
              </w:rPr>
              <w:t>250 mg</w:t>
            </w:r>
            <w:r>
              <w:rPr>
                <w:sz w:val="24"/>
                <w:szCs w:val="24"/>
              </w:rPr>
              <w:t xml:space="preserve"> </w:t>
            </w:r>
            <w:r w:rsidRPr="008E11D2">
              <w:rPr>
                <w:sz w:val="24"/>
                <w:szCs w:val="24"/>
                <w:lang w:val="en-GB"/>
              </w:rPr>
              <w:t>(½</w:t>
            </w:r>
            <w:r w:rsidRPr="008E11D2">
              <w:rPr>
                <w:sz w:val="24"/>
                <w:szCs w:val="24"/>
                <w:lang w:val="en-US"/>
              </w:rPr>
              <w:t xml:space="preserve"> tablet)</w:t>
            </w:r>
          </w:p>
        </w:tc>
        <w:tc>
          <w:tcPr>
            <w:tcW w:w="2410" w:type="dxa"/>
            <w:tcBorders>
              <w:top w:val="single" w:sz="4" w:space="0" w:color="auto"/>
              <w:left w:val="single" w:sz="4" w:space="0" w:color="auto"/>
              <w:bottom w:val="single" w:sz="4" w:space="0" w:color="auto"/>
              <w:right w:val="single" w:sz="4" w:space="0" w:color="auto"/>
            </w:tcBorders>
            <w:hideMark/>
          </w:tcPr>
          <w:p w14:paraId="7077F37A" w14:textId="77777777" w:rsidR="00835B5A" w:rsidRPr="0026740E" w:rsidRDefault="00835B5A" w:rsidP="00606882">
            <w:pPr>
              <w:tabs>
                <w:tab w:val="left" w:pos="851"/>
              </w:tabs>
              <w:rPr>
                <w:sz w:val="24"/>
                <w:szCs w:val="24"/>
              </w:rPr>
            </w:pPr>
            <w:r w:rsidRPr="0026740E">
              <w:rPr>
                <w:sz w:val="24"/>
                <w:szCs w:val="24"/>
              </w:rPr>
              <w:t>1 g</w:t>
            </w:r>
            <w:r>
              <w:rPr>
                <w:sz w:val="24"/>
                <w:szCs w:val="24"/>
              </w:rPr>
              <w:t xml:space="preserve"> </w:t>
            </w:r>
            <w:r w:rsidRPr="008E11D2">
              <w:rPr>
                <w:sz w:val="24"/>
                <w:szCs w:val="24"/>
                <w:lang w:val="en-GB"/>
              </w:rPr>
              <w:t>(</w:t>
            </w:r>
            <w:r>
              <w:rPr>
                <w:sz w:val="24"/>
                <w:szCs w:val="24"/>
                <w:lang w:val="en-GB"/>
              </w:rPr>
              <w:t>2</w:t>
            </w:r>
            <w:r w:rsidRPr="008E11D2">
              <w:rPr>
                <w:sz w:val="24"/>
                <w:szCs w:val="24"/>
                <w:lang w:val="en-US"/>
              </w:rPr>
              <w:t xml:space="preserve"> tablet)</w:t>
            </w:r>
          </w:p>
        </w:tc>
        <w:tc>
          <w:tcPr>
            <w:tcW w:w="1269" w:type="dxa"/>
            <w:vMerge w:val="restart"/>
            <w:tcBorders>
              <w:top w:val="single" w:sz="4" w:space="0" w:color="auto"/>
              <w:left w:val="single" w:sz="4" w:space="0" w:color="auto"/>
              <w:bottom w:val="single" w:sz="4" w:space="0" w:color="auto"/>
              <w:right w:val="single" w:sz="4" w:space="0" w:color="auto"/>
            </w:tcBorders>
          </w:tcPr>
          <w:p w14:paraId="44C480E9" w14:textId="77777777" w:rsidR="00835B5A" w:rsidRPr="0026740E" w:rsidRDefault="00835B5A" w:rsidP="00606882">
            <w:pPr>
              <w:tabs>
                <w:tab w:val="left" w:pos="851"/>
              </w:tabs>
              <w:rPr>
                <w:sz w:val="24"/>
                <w:szCs w:val="24"/>
              </w:rPr>
            </w:pPr>
          </w:p>
        </w:tc>
      </w:tr>
      <w:tr w:rsidR="00835B5A" w:rsidRPr="0026740E" w14:paraId="32699565" w14:textId="77777777" w:rsidTr="00606882">
        <w:tc>
          <w:tcPr>
            <w:tcW w:w="1363" w:type="dxa"/>
            <w:tcBorders>
              <w:top w:val="single" w:sz="4" w:space="0" w:color="auto"/>
              <w:left w:val="single" w:sz="4" w:space="0" w:color="auto"/>
              <w:bottom w:val="single" w:sz="4" w:space="0" w:color="auto"/>
              <w:right w:val="single" w:sz="4" w:space="0" w:color="auto"/>
            </w:tcBorders>
            <w:hideMark/>
          </w:tcPr>
          <w:p w14:paraId="25768268" w14:textId="77777777" w:rsidR="00835B5A" w:rsidRPr="0026740E" w:rsidRDefault="00835B5A" w:rsidP="00606882">
            <w:pPr>
              <w:tabs>
                <w:tab w:val="left" w:pos="851"/>
              </w:tabs>
              <w:rPr>
                <w:sz w:val="24"/>
                <w:szCs w:val="24"/>
              </w:rPr>
            </w:pPr>
            <w:r w:rsidRPr="0026740E">
              <w:rPr>
                <w:sz w:val="24"/>
                <w:szCs w:val="24"/>
              </w:rPr>
              <w:t>9-10 år</w:t>
            </w:r>
          </w:p>
        </w:tc>
        <w:tc>
          <w:tcPr>
            <w:tcW w:w="1350" w:type="dxa"/>
            <w:tcBorders>
              <w:top w:val="single" w:sz="4" w:space="0" w:color="auto"/>
              <w:left w:val="single" w:sz="4" w:space="0" w:color="auto"/>
              <w:bottom w:val="single" w:sz="4" w:space="0" w:color="auto"/>
              <w:right w:val="single" w:sz="4" w:space="0" w:color="auto"/>
            </w:tcBorders>
            <w:hideMark/>
          </w:tcPr>
          <w:p w14:paraId="4E75A1AD" w14:textId="77777777" w:rsidR="00835B5A" w:rsidRPr="0026740E" w:rsidRDefault="00835B5A" w:rsidP="00606882">
            <w:pPr>
              <w:tabs>
                <w:tab w:val="left" w:pos="851"/>
              </w:tabs>
              <w:rPr>
                <w:sz w:val="24"/>
                <w:szCs w:val="24"/>
              </w:rPr>
            </w:pPr>
            <w:r w:rsidRPr="0026740E">
              <w:rPr>
                <w:sz w:val="24"/>
                <w:szCs w:val="24"/>
              </w:rPr>
              <w:t>25-3</w:t>
            </w:r>
            <w:r>
              <w:rPr>
                <w:sz w:val="24"/>
                <w:szCs w:val="24"/>
              </w:rPr>
              <w:t>3</w:t>
            </w:r>
            <w:r w:rsidRPr="0026740E">
              <w:rPr>
                <w:sz w:val="24"/>
                <w:szCs w:val="24"/>
              </w:rPr>
              <w:t> kg</w:t>
            </w:r>
          </w:p>
        </w:tc>
        <w:tc>
          <w:tcPr>
            <w:tcW w:w="2385" w:type="dxa"/>
            <w:tcBorders>
              <w:top w:val="single" w:sz="4" w:space="0" w:color="auto"/>
              <w:left w:val="single" w:sz="4" w:space="0" w:color="auto"/>
              <w:bottom w:val="single" w:sz="4" w:space="0" w:color="auto"/>
              <w:right w:val="single" w:sz="4" w:space="0" w:color="auto"/>
            </w:tcBorders>
            <w:hideMark/>
          </w:tcPr>
          <w:p w14:paraId="11C85825" w14:textId="77777777" w:rsidR="00835B5A" w:rsidRPr="0026740E" w:rsidRDefault="00835B5A" w:rsidP="00606882">
            <w:pPr>
              <w:tabs>
                <w:tab w:val="left" w:pos="851"/>
              </w:tabs>
              <w:rPr>
                <w:sz w:val="24"/>
                <w:szCs w:val="24"/>
              </w:rPr>
            </w:pPr>
            <w:r w:rsidRPr="0026740E">
              <w:rPr>
                <w:sz w:val="24"/>
                <w:szCs w:val="24"/>
              </w:rPr>
              <w:t>250 mg</w:t>
            </w:r>
            <w:r>
              <w:rPr>
                <w:sz w:val="24"/>
                <w:szCs w:val="24"/>
              </w:rPr>
              <w:t xml:space="preserve"> </w:t>
            </w:r>
            <w:r w:rsidRPr="008E11D2">
              <w:rPr>
                <w:sz w:val="24"/>
                <w:szCs w:val="24"/>
                <w:lang w:val="en-GB"/>
              </w:rPr>
              <w:t>(½</w:t>
            </w:r>
            <w:r w:rsidRPr="008E11D2">
              <w:rPr>
                <w:sz w:val="24"/>
                <w:szCs w:val="24"/>
                <w:lang w:val="en-US"/>
              </w:rPr>
              <w:t xml:space="preserve"> tablet)</w:t>
            </w:r>
          </w:p>
        </w:tc>
        <w:tc>
          <w:tcPr>
            <w:tcW w:w="2410" w:type="dxa"/>
            <w:tcBorders>
              <w:top w:val="single" w:sz="4" w:space="0" w:color="auto"/>
              <w:left w:val="single" w:sz="4" w:space="0" w:color="auto"/>
              <w:bottom w:val="single" w:sz="4" w:space="0" w:color="auto"/>
              <w:right w:val="single" w:sz="4" w:space="0" w:color="auto"/>
            </w:tcBorders>
            <w:hideMark/>
          </w:tcPr>
          <w:p w14:paraId="4DEA454E" w14:textId="77777777" w:rsidR="00835B5A" w:rsidRPr="0026740E" w:rsidRDefault="00835B5A" w:rsidP="00606882">
            <w:pPr>
              <w:tabs>
                <w:tab w:val="left" w:pos="851"/>
              </w:tabs>
              <w:rPr>
                <w:sz w:val="24"/>
                <w:szCs w:val="24"/>
              </w:rPr>
            </w:pPr>
            <w:r w:rsidRPr="0026740E">
              <w:rPr>
                <w:sz w:val="24"/>
                <w:szCs w:val="24"/>
              </w:rPr>
              <w:t>1,5 g</w:t>
            </w:r>
            <w:r>
              <w:rPr>
                <w:sz w:val="24"/>
                <w:szCs w:val="24"/>
              </w:rPr>
              <w:t xml:space="preserve"> </w:t>
            </w:r>
            <w:r w:rsidRPr="008E11D2">
              <w:rPr>
                <w:sz w:val="24"/>
                <w:szCs w:val="24"/>
                <w:lang w:val="en-GB"/>
              </w:rPr>
              <w:t>(</w:t>
            </w:r>
            <w:r>
              <w:rPr>
                <w:sz w:val="24"/>
                <w:szCs w:val="24"/>
                <w:lang w:val="en-GB"/>
              </w:rPr>
              <w:t>3</w:t>
            </w:r>
            <w:r w:rsidRPr="008E11D2">
              <w:rPr>
                <w:sz w:val="24"/>
                <w:szCs w:val="24"/>
                <w:lang w:val="en-US"/>
              </w:rPr>
              <w:t xml:space="preserve"> </w:t>
            </w:r>
            <w:proofErr w:type="spellStart"/>
            <w:r w:rsidRPr="008E11D2">
              <w:rPr>
                <w:sz w:val="24"/>
                <w:szCs w:val="24"/>
                <w:lang w:val="en-US"/>
              </w:rPr>
              <w:t>tablet</w:t>
            </w:r>
            <w:r>
              <w:rPr>
                <w:sz w:val="24"/>
                <w:szCs w:val="24"/>
                <w:lang w:val="en-US"/>
              </w:rPr>
              <w:t>ter</w:t>
            </w:r>
            <w:proofErr w:type="spellEnd"/>
            <w:r w:rsidRPr="008E11D2">
              <w:rPr>
                <w:sz w:val="24"/>
                <w:szCs w:val="24"/>
                <w:lang w:val="en-US"/>
              </w:rPr>
              <w:t>)</w:t>
            </w:r>
          </w:p>
        </w:tc>
        <w:tc>
          <w:tcPr>
            <w:tcW w:w="1269" w:type="dxa"/>
            <w:vMerge/>
            <w:tcBorders>
              <w:top w:val="single" w:sz="4" w:space="0" w:color="auto"/>
              <w:left w:val="single" w:sz="4" w:space="0" w:color="auto"/>
              <w:bottom w:val="single" w:sz="4" w:space="0" w:color="auto"/>
              <w:right w:val="single" w:sz="4" w:space="0" w:color="auto"/>
            </w:tcBorders>
            <w:vAlign w:val="center"/>
          </w:tcPr>
          <w:p w14:paraId="2F718E37" w14:textId="77777777" w:rsidR="00835B5A" w:rsidRPr="0026740E" w:rsidRDefault="00835B5A" w:rsidP="00606882">
            <w:pPr>
              <w:rPr>
                <w:sz w:val="24"/>
                <w:szCs w:val="24"/>
              </w:rPr>
            </w:pPr>
          </w:p>
        </w:tc>
      </w:tr>
      <w:tr w:rsidR="00835B5A" w:rsidRPr="0026740E" w14:paraId="5F0CEF66" w14:textId="77777777" w:rsidTr="00606882">
        <w:tc>
          <w:tcPr>
            <w:tcW w:w="1363" w:type="dxa"/>
            <w:tcBorders>
              <w:top w:val="single" w:sz="4" w:space="0" w:color="auto"/>
              <w:left w:val="single" w:sz="4" w:space="0" w:color="auto"/>
              <w:bottom w:val="single" w:sz="4" w:space="0" w:color="auto"/>
              <w:right w:val="single" w:sz="4" w:space="0" w:color="auto"/>
            </w:tcBorders>
            <w:hideMark/>
          </w:tcPr>
          <w:p w14:paraId="17950D20" w14:textId="77777777" w:rsidR="00835B5A" w:rsidRPr="0026740E" w:rsidRDefault="00835B5A" w:rsidP="00606882">
            <w:pPr>
              <w:tabs>
                <w:tab w:val="left" w:pos="851"/>
              </w:tabs>
              <w:rPr>
                <w:sz w:val="24"/>
                <w:szCs w:val="24"/>
              </w:rPr>
            </w:pPr>
            <w:r w:rsidRPr="0026740E">
              <w:rPr>
                <w:sz w:val="24"/>
                <w:szCs w:val="24"/>
              </w:rPr>
              <w:t>10-12 år</w:t>
            </w:r>
          </w:p>
        </w:tc>
        <w:tc>
          <w:tcPr>
            <w:tcW w:w="1350" w:type="dxa"/>
            <w:tcBorders>
              <w:top w:val="single" w:sz="4" w:space="0" w:color="auto"/>
              <w:left w:val="single" w:sz="4" w:space="0" w:color="auto"/>
              <w:bottom w:val="single" w:sz="4" w:space="0" w:color="auto"/>
              <w:right w:val="single" w:sz="4" w:space="0" w:color="auto"/>
            </w:tcBorders>
            <w:hideMark/>
          </w:tcPr>
          <w:p w14:paraId="4C253866" w14:textId="77777777" w:rsidR="00835B5A" w:rsidRPr="0026740E" w:rsidRDefault="00835B5A" w:rsidP="00606882">
            <w:pPr>
              <w:tabs>
                <w:tab w:val="left" w:pos="851"/>
              </w:tabs>
              <w:rPr>
                <w:sz w:val="24"/>
                <w:szCs w:val="24"/>
              </w:rPr>
            </w:pPr>
            <w:r>
              <w:rPr>
                <w:sz w:val="24"/>
                <w:szCs w:val="24"/>
              </w:rPr>
              <w:t>34-41</w:t>
            </w:r>
            <w:r w:rsidRPr="0026740E">
              <w:rPr>
                <w:sz w:val="24"/>
                <w:szCs w:val="24"/>
              </w:rPr>
              <w:t> kg</w:t>
            </w:r>
          </w:p>
        </w:tc>
        <w:tc>
          <w:tcPr>
            <w:tcW w:w="2385" w:type="dxa"/>
            <w:tcBorders>
              <w:top w:val="single" w:sz="4" w:space="0" w:color="auto"/>
              <w:left w:val="single" w:sz="4" w:space="0" w:color="auto"/>
              <w:bottom w:val="single" w:sz="4" w:space="0" w:color="auto"/>
              <w:right w:val="single" w:sz="4" w:space="0" w:color="auto"/>
            </w:tcBorders>
            <w:hideMark/>
          </w:tcPr>
          <w:p w14:paraId="4AF18E99" w14:textId="77777777" w:rsidR="00835B5A" w:rsidRPr="0026740E" w:rsidRDefault="00835B5A" w:rsidP="00606882">
            <w:pPr>
              <w:tabs>
                <w:tab w:val="left" w:pos="851"/>
              </w:tabs>
              <w:rPr>
                <w:sz w:val="24"/>
                <w:szCs w:val="24"/>
              </w:rPr>
            </w:pPr>
            <w:r w:rsidRPr="0026740E">
              <w:rPr>
                <w:sz w:val="24"/>
                <w:szCs w:val="24"/>
              </w:rPr>
              <w:t>500 mg</w:t>
            </w:r>
            <w:r>
              <w:rPr>
                <w:sz w:val="24"/>
                <w:szCs w:val="24"/>
              </w:rPr>
              <w:t xml:space="preserve"> </w:t>
            </w:r>
            <w:r w:rsidRPr="008E11D2">
              <w:rPr>
                <w:sz w:val="24"/>
                <w:szCs w:val="24"/>
                <w:lang w:val="en-GB"/>
              </w:rPr>
              <w:t>(</w:t>
            </w:r>
            <w:r>
              <w:rPr>
                <w:sz w:val="24"/>
                <w:szCs w:val="24"/>
                <w:lang w:val="en-GB"/>
              </w:rPr>
              <w:t>1</w:t>
            </w:r>
            <w:r w:rsidRPr="008E11D2">
              <w:rPr>
                <w:sz w:val="24"/>
                <w:szCs w:val="24"/>
                <w:lang w:val="en-US"/>
              </w:rPr>
              <w:t xml:space="preserve"> tablet)</w:t>
            </w:r>
          </w:p>
        </w:tc>
        <w:tc>
          <w:tcPr>
            <w:tcW w:w="2410" w:type="dxa"/>
            <w:tcBorders>
              <w:top w:val="single" w:sz="4" w:space="0" w:color="auto"/>
              <w:left w:val="single" w:sz="4" w:space="0" w:color="auto"/>
              <w:bottom w:val="single" w:sz="4" w:space="0" w:color="auto"/>
              <w:right w:val="single" w:sz="4" w:space="0" w:color="auto"/>
            </w:tcBorders>
            <w:hideMark/>
          </w:tcPr>
          <w:p w14:paraId="2FF872DA" w14:textId="77777777" w:rsidR="00835B5A" w:rsidRPr="0026740E" w:rsidRDefault="00835B5A" w:rsidP="00606882">
            <w:pPr>
              <w:tabs>
                <w:tab w:val="left" w:pos="851"/>
              </w:tabs>
              <w:rPr>
                <w:sz w:val="24"/>
                <w:szCs w:val="24"/>
              </w:rPr>
            </w:pPr>
            <w:r w:rsidRPr="0026740E">
              <w:rPr>
                <w:sz w:val="24"/>
                <w:szCs w:val="24"/>
              </w:rPr>
              <w:t>2 g</w:t>
            </w:r>
            <w:r>
              <w:rPr>
                <w:sz w:val="24"/>
                <w:szCs w:val="24"/>
              </w:rPr>
              <w:t xml:space="preserve"> </w:t>
            </w:r>
            <w:r w:rsidRPr="008E11D2">
              <w:rPr>
                <w:sz w:val="24"/>
                <w:szCs w:val="24"/>
                <w:lang w:val="en-GB"/>
              </w:rPr>
              <w:t>(</w:t>
            </w:r>
            <w:r>
              <w:rPr>
                <w:sz w:val="24"/>
                <w:szCs w:val="24"/>
                <w:lang w:val="en-GB"/>
              </w:rPr>
              <w:t xml:space="preserve">4 </w:t>
            </w:r>
            <w:proofErr w:type="spellStart"/>
            <w:r w:rsidRPr="008E11D2">
              <w:rPr>
                <w:sz w:val="24"/>
                <w:szCs w:val="24"/>
                <w:lang w:val="en-US"/>
              </w:rPr>
              <w:t>tablet</w:t>
            </w:r>
            <w:r>
              <w:rPr>
                <w:sz w:val="24"/>
                <w:szCs w:val="24"/>
                <w:lang w:val="en-US"/>
              </w:rPr>
              <w:t>ter</w:t>
            </w:r>
            <w:proofErr w:type="spellEnd"/>
            <w:r w:rsidRPr="008E11D2">
              <w:rPr>
                <w:sz w:val="24"/>
                <w:szCs w:val="24"/>
                <w:lang w:val="en-US"/>
              </w:rPr>
              <w:t>)</w:t>
            </w:r>
          </w:p>
        </w:tc>
        <w:tc>
          <w:tcPr>
            <w:tcW w:w="1269" w:type="dxa"/>
            <w:vMerge/>
            <w:tcBorders>
              <w:top w:val="single" w:sz="4" w:space="0" w:color="auto"/>
              <w:left w:val="single" w:sz="4" w:space="0" w:color="auto"/>
              <w:bottom w:val="single" w:sz="4" w:space="0" w:color="auto"/>
              <w:right w:val="single" w:sz="4" w:space="0" w:color="auto"/>
            </w:tcBorders>
            <w:vAlign w:val="center"/>
          </w:tcPr>
          <w:p w14:paraId="695AE4EB" w14:textId="77777777" w:rsidR="00835B5A" w:rsidRPr="0026740E" w:rsidRDefault="00835B5A" w:rsidP="00606882">
            <w:pPr>
              <w:rPr>
                <w:sz w:val="24"/>
                <w:szCs w:val="24"/>
              </w:rPr>
            </w:pPr>
          </w:p>
        </w:tc>
      </w:tr>
      <w:tr w:rsidR="00835B5A" w:rsidRPr="0026740E" w14:paraId="6E683F65" w14:textId="77777777" w:rsidTr="00606882">
        <w:tc>
          <w:tcPr>
            <w:tcW w:w="1363" w:type="dxa"/>
            <w:tcBorders>
              <w:top w:val="single" w:sz="4" w:space="0" w:color="auto"/>
              <w:left w:val="single" w:sz="4" w:space="0" w:color="auto"/>
              <w:bottom w:val="single" w:sz="4" w:space="0" w:color="auto"/>
              <w:right w:val="single" w:sz="4" w:space="0" w:color="auto"/>
            </w:tcBorders>
            <w:hideMark/>
          </w:tcPr>
          <w:p w14:paraId="0E4908B4" w14:textId="77777777" w:rsidR="00835B5A" w:rsidRPr="0026740E" w:rsidRDefault="00835B5A" w:rsidP="00606882">
            <w:pPr>
              <w:tabs>
                <w:tab w:val="left" w:pos="851"/>
              </w:tabs>
              <w:rPr>
                <w:sz w:val="24"/>
                <w:szCs w:val="24"/>
              </w:rPr>
            </w:pPr>
            <w:r w:rsidRPr="0026740E">
              <w:rPr>
                <w:sz w:val="24"/>
                <w:szCs w:val="24"/>
              </w:rPr>
              <w:t>12-15 år</w:t>
            </w:r>
          </w:p>
        </w:tc>
        <w:tc>
          <w:tcPr>
            <w:tcW w:w="1350" w:type="dxa"/>
            <w:tcBorders>
              <w:top w:val="single" w:sz="4" w:space="0" w:color="auto"/>
              <w:left w:val="single" w:sz="4" w:space="0" w:color="auto"/>
              <w:bottom w:val="single" w:sz="4" w:space="0" w:color="auto"/>
              <w:right w:val="single" w:sz="4" w:space="0" w:color="auto"/>
            </w:tcBorders>
            <w:hideMark/>
          </w:tcPr>
          <w:p w14:paraId="22DFA368" w14:textId="77777777" w:rsidR="00835B5A" w:rsidRPr="0026740E" w:rsidRDefault="00835B5A" w:rsidP="00606882">
            <w:pPr>
              <w:tabs>
                <w:tab w:val="left" w:pos="851"/>
              </w:tabs>
              <w:rPr>
                <w:sz w:val="24"/>
                <w:szCs w:val="24"/>
              </w:rPr>
            </w:pPr>
            <w:r>
              <w:rPr>
                <w:sz w:val="24"/>
                <w:szCs w:val="24"/>
              </w:rPr>
              <w:t>42-49</w:t>
            </w:r>
            <w:r w:rsidRPr="0026740E">
              <w:rPr>
                <w:sz w:val="24"/>
                <w:szCs w:val="24"/>
              </w:rPr>
              <w:t> kg</w:t>
            </w:r>
          </w:p>
        </w:tc>
        <w:tc>
          <w:tcPr>
            <w:tcW w:w="2385" w:type="dxa"/>
            <w:tcBorders>
              <w:top w:val="single" w:sz="4" w:space="0" w:color="auto"/>
              <w:left w:val="single" w:sz="4" w:space="0" w:color="auto"/>
              <w:bottom w:val="single" w:sz="4" w:space="0" w:color="auto"/>
              <w:right w:val="single" w:sz="4" w:space="0" w:color="auto"/>
            </w:tcBorders>
            <w:hideMark/>
          </w:tcPr>
          <w:p w14:paraId="788C813A" w14:textId="77777777" w:rsidR="00835B5A" w:rsidRPr="0026740E" w:rsidRDefault="00835B5A" w:rsidP="00606882">
            <w:pPr>
              <w:tabs>
                <w:tab w:val="left" w:pos="851"/>
              </w:tabs>
              <w:rPr>
                <w:sz w:val="24"/>
                <w:szCs w:val="24"/>
              </w:rPr>
            </w:pPr>
            <w:r w:rsidRPr="0026740E">
              <w:rPr>
                <w:sz w:val="24"/>
                <w:szCs w:val="24"/>
              </w:rPr>
              <w:t>500 mg</w:t>
            </w:r>
            <w:r>
              <w:rPr>
                <w:sz w:val="24"/>
                <w:szCs w:val="24"/>
              </w:rPr>
              <w:t xml:space="preserve"> </w:t>
            </w:r>
            <w:r w:rsidRPr="008E11D2">
              <w:rPr>
                <w:sz w:val="24"/>
                <w:szCs w:val="24"/>
                <w:lang w:val="en-GB"/>
              </w:rPr>
              <w:t>(</w:t>
            </w:r>
            <w:r>
              <w:rPr>
                <w:sz w:val="24"/>
                <w:szCs w:val="24"/>
                <w:lang w:val="en-GB"/>
              </w:rPr>
              <w:t>1</w:t>
            </w:r>
            <w:r w:rsidRPr="008E11D2">
              <w:rPr>
                <w:sz w:val="24"/>
                <w:szCs w:val="24"/>
                <w:lang w:val="en-US"/>
              </w:rPr>
              <w:t xml:space="preserve"> tablet)</w:t>
            </w:r>
          </w:p>
        </w:tc>
        <w:tc>
          <w:tcPr>
            <w:tcW w:w="2410" w:type="dxa"/>
            <w:tcBorders>
              <w:top w:val="single" w:sz="4" w:space="0" w:color="auto"/>
              <w:left w:val="single" w:sz="4" w:space="0" w:color="auto"/>
              <w:bottom w:val="single" w:sz="4" w:space="0" w:color="auto"/>
              <w:right w:val="single" w:sz="4" w:space="0" w:color="auto"/>
            </w:tcBorders>
            <w:hideMark/>
          </w:tcPr>
          <w:p w14:paraId="414693F8" w14:textId="77777777" w:rsidR="00835B5A" w:rsidRPr="0026740E" w:rsidRDefault="00835B5A" w:rsidP="00606882">
            <w:pPr>
              <w:tabs>
                <w:tab w:val="left" w:pos="851"/>
              </w:tabs>
              <w:rPr>
                <w:sz w:val="24"/>
                <w:szCs w:val="24"/>
              </w:rPr>
            </w:pPr>
            <w:r>
              <w:rPr>
                <w:sz w:val="24"/>
                <w:szCs w:val="24"/>
              </w:rPr>
              <w:t>2,5</w:t>
            </w:r>
            <w:r w:rsidRPr="0026740E">
              <w:rPr>
                <w:sz w:val="24"/>
                <w:szCs w:val="24"/>
              </w:rPr>
              <w:t> g</w:t>
            </w:r>
            <w:r>
              <w:rPr>
                <w:sz w:val="24"/>
                <w:szCs w:val="24"/>
              </w:rPr>
              <w:t xml:space="preserve"> </w:t>
            </w:r>
            <w:r w:rsidRPr="008E11D2">
              <w:rPr>
                <w:sz w:val="24"/>
                <w:szCs w:val="24"/>
                <w:lang w:val="en-GB"/>
              </w:rPr>
              <w:t>(</w:t>
            </w:r>
            <w:r>
              <w:rPr>
                <w:sz w:val="24"/>
                <w:szCs w:val="24"/>
                <w:lang w:val="en-GB"/>
              </w:rPr>
              <w:t>5</w:t>
            </w:r>
            <w:r w:rsidRPr="008E11D2">
              <w:rPr>
                <w:sz w:val="24"/>
                <w:szCs w:val="24"/>
                <w:lang w:val="en-US"/>
              </w:rPr>
              <w:t xml:space="preserve"> </w:t>
            </w:r>
            <w:proofErr w:type="spellStart"/>
            <w:r w:rsidRPr="008E11D2">
              <w:rPr>
                <w:sz w:val="24"/>
                <w:szCs w:val="24"/>
                <w:lang w:val="en-US"/>
              </w:rPr>
              <w:t>tablet</w:t>
            </w:r>
            <w:r>
              <w:rPr>
                <w:sz w:val="24"/>
                <w:szCs w:val="24"/>
                <w:lang w:val="en-US"/>
              </w:rPr>
              <w:t>ter</w:t>
            </w:r>
            <w:proofErr w:type="spellEnd"/>
            <w:r w:rsidRPr="008E11D2">
              <w:rPr>
                <w:sz w:val="24"/>
                <w:szCs w:val="24"/>
                <w:lang w:val="en-US"/>
              </w:rPr>
              <w:t>)</w:t>
            </w:r>
          </w:p>
        </w:tc>
        <w:tc>
          <w:tcPr>
            <w:tcW w:w="1269" w:type="dxa"/>
            <w:tcBorders>
              <w:top w:val="single" w:sz="4" w:space="0" w:color="auto"/>
              <w:left w:val="single" w:sz="4" w:space="0" w:color="auto"/>
              <w:bottom w:val="single" w:sz="4" w:space="0" w:color="auto"/>
              <w:right w:val="single" w:sz="4" w:space="0" w:color="auto"/>
            </w:tcBorders>
          </w:tcPr>
          <w:p w14:paraId="4BA75B59" w14:textId="77777777" w:rsidR="00835B5A" w:rsidRPr="0026740E" w:rsidRDefault="00835B5A" w:rsidP="00606882">
            <w:pPr>
              <w:tabs>
                <w:tab w:val="left" w:pos="851"/>
              </w:tabs>
              <w:rPr>
                <w:sz w:val="24"/>
                <w:szCs w:val="24"/>
              </w:rPr>
            </w:pPr>
          </w:p>
        </w:tc>
      </w:tr>
      <w:tr w:rsidR="00835B5A" w:rsidRPr="0026740E" w14:paraId="01100B61" w14:textId="77777777" w:rsidTr="00606882">
        <w:tc>
          <w:tcPr>
            <w:tcW w:w="1363" w:type="dxa"/>
            <w:vMerge w:val="restart"/>
            <w:tcBorders>
              <w:top w:val="single" w:sz="4" w:space="0" w:color="auto"/>
              <w:left w:val="single" w:sz="4" w:space="0" w:color="auto"/>
              <w:bottom w:val="single" w:sz="4" w:space="0" w:color="auto"/>
              <w:right w:val="single" w:sz="4" w:space="0" w:color="auto"/>
            </w:tcBorders>
            <w:hideMark/>
          </w:tcPr>
          <w:p w14:paraId="3054EC45" w14:textId="77777777" w:rsidR="00835B5A" w:rsidRPr="0026740E" w:rsidRDefault="00835B5A" w:rsidP="00606882">
            <w:pPr>
              <w:tabs>
                <w:tab w:val="left" w:pos="851"/>
              </w:tabs>
              <w:rPr>
                <w:sz w:val="24"/>
                <w:szCs w:val="24"/>
              </w:rPr>
            </w:pPr>
            <w:r w:rsidRPr="0026740E">
              <w:rPr>
                <w:sz w:val="24"/>
                <w:szCs w:val="24"/>
              </w:rPr>
              <w:t>&gt; 15 år</w:t>
            </w:r>
          </w:p>
        </w:tc>
        <w:tc>
          <w:tcPr>
            <w:tcW w:w="1350" w:type="dxa"/>
            <w:tcBorders>
              <w:top w:val="single" w:sz="4" w:space="0" w:color="auto"/>
              <w:left w:val="single" w:sz="4" w:space="0" w:color="auto"/>
              <w:bottom w:val="single" w:sz="4" w:space="0" w:color="auto"/>
              <w:right w:val="single" w:sz="4" w:space="0" w:color="auto"/>
            </w:tcBorders>
            <w:hideMark/>
          </w:tcPr>
          <w:p w14:paraId="44F8E02B" w14:textId="77777777" w:rsidR="00835B5A" w:rsidRPr="0026740E" w:rsidRDefault="00835B5A" w:rsidP="00606882">
            <w:pPr>
              <w:tabs>
                <w:tab w:val="left" w:pos="851"/>
              </w:tabs>
              <w:rPr>
                <w:sz w:val="24"/>
                <w:szCs w:val="24"/>
              </w:rPr>
            </w:pPr>
            <w:r>
              <w:rPr>
                <w:sz w:val="24"/>
                <w:szCs w:val="24"/>
              </w:rPr>
              <w:t>50</w:t>
            </w:r>
            <w:r w:rsidRPr="0026740E">
              <w:rPr>
                <w:sz w:val="24"/>
                <w:szCs w:val="24"/>
              </w:rPr>
              <w:t>-60 kg</w:t>
            </w:r>
          </w:p>
        </w:tc>
        <w:tc>
          <w:tcPr>
            <w:tcW w:w="2385" w:type="dxa"/>
            <w:tcBorders>
              <w:top w:val="single" w:sz="4" w:space="0" w:color="auto"/>
              <w:left w:val="single" w:sz="4" w:space="0" w:color="auto"/>
              <w:bottom w:val="single" w:sz="4" w:space="0" w:color="auto"/>
              <w:right w:val="single" w:sz="4" w:space="0" w:color="auto"/>
            </w:tcBorders>
            <w:hideMark/>
          </w:tcPr>
          <w:p w14:paraId="1ABCA7F1" w14:textId="77777777" w:rsidR="00835B5A" w:rsidRPr="0026740E" w:rsidRDefault="00835B5A" w:rsidP="00606882">
            <w:pPr>
              <w:tabs>
                <w:tab w:val="left" w:pos="851"/>
              </w:tabs>
              <w:rPr>
                <w:sz w:val="24"/>
                <w:szCs w:val="24"/>
              </w:rPr>
            </w:pPr>
            <w:r w:rsidRPr="0026740E">
              <w:rPr>
                <w:sz w:val="24"/>
                <w:szCs w:val="24"/>
              </w:rPr>
              <w:t>500</w:t>
            </w:r>
            <w:r>
              <w:rPr>
                <w:sz w:val="24"/>
                <w:szCs w:val="24"/>
              </w:rPr>
              <w:t xml:space="preserve"> </w:t>
            </w:r>
            <w:r w:rsidRPr="008E11D2">
              <w:rPr>
                <w:sz w:val="24"/>
                <w:szCs w:val="24"/>
                <w:lang w:val="en-GB"/>
              </w:rPr>
              <w:t>(</w:t>
            </w:r>
            <w:r>
              <w:rPr>
                <w:sz w:val="24"/>
                <w:szCs w:val="24"/>
                <w:lang w:val="en-GB"/>
              </w:rPr>
              <w:t>1</w:t>
            </w:r>
            <w:r w:rsidRPr="008E11D2">
              <w:rPr>
                <w:sz w:val="24"/>
                <w:szCs w:val="24"/>
                <w:lang w:val="en-US"/>
              </w:rPr>
              <w:t xml:space="preserve"> tablet)</w:t>
            </w:r>
          </w:p>
        </w:tc>
        <w:tc>
          <w:tcPr>
            <w:tcW w:w="2410" w:type="dxa"/>
            <w:tcBorders>
              <w:top w:val="single" w:sz="4" w:space="0" w:color="auto"/>
              <w:left w:val="single" w:sz="4" w:space="0" w:color="auto"/>
              <w:bottom w:val="single" w:sz="4" w:space="0" w:color="auto"/>
              <w:right w:val="single" w:sz="4" w:space="0" w:color="auto"/>
            </w:tcBorders>
            <w:hideMark/>
          </w:tcPr>
          <w:p w14:paraId="5283859E" w14:textId="77777777" w:rsidR="00835B5A" w:rsidRPr="0026740E" w:rsidRDefault="00835B5A" w:rsidP="00606882">
            <w:pPr>
              <w:tabs>
                <w:tab w:val="left" w:pos="851"/>
              </w:tabs>
              <w:rPr>
                <w:sz w:val="24"/>
                <w:szCs w:val="24"/>
              </w:rPr>
            </w:pPr>
            <w:r w:rsidRPr="0026740E">
              <w:rPr>
                <w:sz w:val="24"/>
                <w:szCs w:val="24"/>
              </w:rPr>
              <w:t>3 g</w:t>
            </w:r>
            <w:r>
              <w:rPr>
                <w:sz w:val="24"/>
                <w:szCs w:val="24"/>
              </w:rPr>
              <w:t xml:space="preserve"> </w:t>
            </w:r>
            <w:r w:rsidRPr="008E11D2">
              <w:rPr>
                <w:sz w:val="24"/>
                <w:szCs w:val="24"/>
                <w:lang w:val="en-GB"/>
              </w:rPr>
              <w:t>(</w:t>
            </w:r>
            <w:r>
              <w:rPr>
                <w:sz w:val="24"/>
                <w:szCs w:val="24"/>
                <w:lang w:val="en-GB"/>
              </w:rPr>
              <w:t>6</w:t>
            </w:r>
            <w:r w:rsidRPr="008E11D2">
              <w:rPr>
                <w:sz w:val="24"/>
                <w:szCs w:val="24"/>
                <w:lang w:val="en-US"/>
              </w:rPr>
              <w:t xml:space="preserve"> </w:t>
            </w:r>
            <w:proofErr w:type="spellStart"/>
            <w:r w:rsidRPr="008E11D2">
              <w:rPr>
                <w:sz w:val="24"/>
                <w:szCs w:val="24"/>
                <w:lang w:val="en-US"/>
              </w:rPr>
              <w:t>table</w:t>
            </w:r>
            <w:r>
              <w:rPr>
                <w:sz w:val="24"/>
                <w:szCs w:val="24"/>
                <w:lang w:val="en-US"/>
              </w:rPr>
              <w:t>t</w:t>
            </w:r>
            <w:r w:rsidRPr="008E11D2">
              <w:rPr>
                <w:sz w:val="24"/>
                <w:szCs w:val="24"/>
                <w:lang w:val="en-US"/>
              </w:rPr>
              <w:t>t</w:t>
            </w:r>
            <w:r>
              <w:rPr>
                <w:sz w:val="24"/>
                <w:szCs w:val="24"/>
                <w:lang w:val="en-US"/>
              </w:rPr>
              <w:t>er</w:t>
            </w:r>
            <w:proofErr w:type="spellEnd"/>
            <w:r w:rsidRPr="008E11D2">
              <w:rPr>
                <w:sz w:val="24"/>
                <w:szCs w:val="24"/>
                <w:lang w:val="en-US"/>
              </w:rPr>
              <w:t>)</w:t>
            </w:r>
          </w:p>
        </w:tc>
        <w:tc>
          <w:tcPr>
            <w:tcW w:w="1269" w:type="dxa"/>
            <w:vMerge w:val="restart"/>
            <w:tcBorders>
              <w:top w:val="single" w:sz="4" w:space="0" w:color="auto"/>
              <w:left w:val="single" w:sz="4" w:space="0" w:color="auto"/>
              <w:bottom w:val="single" w:sz="4" w:space="0" w:color="auto"/>
              <w:right w:val="single" w:sz="4" w:space="0" w:color="auto"/>
            </w:tcBorders>
          </w:tcPr>
          <w:p w14:paraId="1AA9D9AA" w14:textId="77777777" w:rsidR="00835B5A" w:rsidRPr="0026740E" w:rsidRDefault="00835B5A" w:rsidP="00606882">
            <w:pPr>
              <w:tabs>
                <w:tab w:val="left" w:pos="851"/>
              </w:tabs>
              <w:rPr>
                <w:sz w:val="24"/>
                <w:szCs w:val="24"/>
              </w:rPr>
            </w:pPr>
          </w:p>
        </w:tc>
      </w:tr>
      <w:tr w:rsidR="00835B5A" w:rsidRPr="0026740E" w14:paraId="61DF81F8" w14:textId="77777777" w:rsidTr="00606882">
        <w:tc>
          <w:tcPr>
            <w:tcW w:w="0" w:type="auto"/>
            <w:vMerge/>
            <w:tcBorders>
              <w:top w:val="single" w:sz="4" w:space="0" w:color="auto"/>
              <w:left w:val="single" w:sz="4" w:space="0" w:color="auto"/>
              <w:bottom w:val="single" w:sz="4" w:space="0" w:color="auto"/>
              <w:right w:val="single" w:sz="4" w:space="0" w:color="auto"/>
            </w:tcBorders>
            <w:vAlign w:val="center"/>
            <w:hideMark/>
          </w:tcPr>
          <w:p w14:paraId="5F9139B0" w14:textId="77777777" w:rsidR="00835B5A" w:rsidRPr="0026740E" w:rsidRDefault="00835B5A" w:rsidP="00606882">
            <w:pPr>
              <w:rPr>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615F10A5" w14:textId="77777777" w:rsidR="00835B5A" w:rsidRPr="0026740E" w:rsidRDefault="00835B5A" w:rsidP="00606882">
            <w:pPr>
              <w:tabs>
                <w:tab w:val="left" w:pos="851"/>
              </w:tabs>
              <w:rPr>
                <w:sz w:val="24"/>
                <w:szCs w:val="24"/>
              </w:rPr>
            </w:pPr>
            <w:r w:rsidRPr="0026740E">
              <w:rPr>
                <w:sz w:val="24"/>
                <w:szCs w:val="24"/>
              </w:rPr>
              <w:t>&gt; 60 kg</w:t>
            </w:r>
          </w:p>
        </w:tc>
        <w:tc>
          <w:tcPr>
            <w:tcW w:w="2385" w:type="dxa"/>
            <w:tcBorders>
              <w:top w:val="single" w:sz="4" w:space="0" w:color="auto"/>
              <w:left w:val="single" w:sz="4" w:space="0" w:color="auto"/>
              <w:bottom w:val="single" w:sz="4" w:space="0" w:color="auto"/>
              <w:right w:val="single" w:sz="4" w:space="0" w:color="auto"/>
            </w:tcBorders>
            <w:hideMark/>
          </w:tcPr>
          <w:p w14:paraId="170E6AFA" w14:textId="77777777" w:rsidR="00835B5A" w:rsidRPr="0026740E" w:rsidRDefault="00835B5A" w:rsidP="00606882">
            <w:pPr>
              <w:tabs>
                <w:tab w:val="left" w:pos="851"/>
              </w:tabs>
              <w:rPr>
                <w:sz w:val="24"/>
                <w:szCs w:val="24"/>
              </w:rPr>
            </w:pPr>
            <w:r w:rsidRPr="0026740E">
              <w:rPr>
                <w:sz w:val="24"/>
                <w:szCs w:val="24"/>
              </w:rPr>
              <w:t>500-1.000 mg</w:t>
            </w:r>
            <w:r>
              <w:rPr>
                <w:sz w:val="24"/>
                <w:szCs w:val="24"/>
              </w:rPr>
              <w:t xml:space="preserve"> </w:t>
            </w:r>
            <w:r w:rsidRPr="008E11D2">
              <w:rPr>
                <w:sz w:val="24"/>
                <w:szCs w:val="24"/>
                <w:lang w:val="en-GB"/>
              </w:rPr>
              <w:t>(</w:t>
            </w:r>
            <w:r>
              <w:rPr>
                <w:sz w:val="24"/>
                <w:szCs w:val="24"/>
                <w:lang w:val="en-GB"/>
              </w:rPr>
              <w:t>1-2</w:t>
            </w:r>
            <w:r w:rsidRPr="008E11D2">
              <w:rPr>
                <w:sz w:val="24"/>
                <w:szCs w:val="24"/>
                <w:lang w:val="en-US"/>
              </w:rPr>
              <w:t xml:space="preserve"> </w:t>
            </w:r>
            <w:proofErr w:type="spellStart"/>
            <w:r w:rsidRPr="008E11D2">
              <w:rPr>
                <w:sz w:val="24"/>
                <w:szCs w:val="24"/>
                <w:lang w:val="en-US"/>
              </w:rPr>
              <w:t>table</w:t>
            </w:r>
            <w:r>
              <w:rPr>
                <w:sz w:val="24"/>
                <w:szCs w:val="24"/>
                <w:lang w:val="en-US"/>
              </w:rPr>
              <w:t>t</w:t>
            </w:r>
            <w:r w:rsidRPr="008E11D2">
              <w:rPr>
                <w:sz w:val="24"/>
                <w:szCs w:val="24"/>
                <w:lang w:val="en-US"/>
              </w:rPr>
              <w:t>t</w:t>
            </w:r>
            <w:r>
              <w:rPr>
                <w:sz w:val="24"/>
                <w:szCs w:val="24"/>
                <w:lang w:val="en-US"/>
              </w:rPr>
              <w:t>er</w:t>
            </w:r>
            <w:proofErr w:type="spellEnd"/>
            <w:r w:rsidRPr="008E11D2">
              <w:rPr>
                <w:sz w:val="24"/>
                <w:szCs w:val="24"/>
                <w:lang w:val="en-US"/>
              </w:rPr>
              <w:t>)</w:t>
            </w:r>
          </w:p>
        </w:tc>
        <w:tc>
          <w:tcPr>
            <w:tcW w:w="2410" w:type="dxa"/>
            <w:tcBorders>
              <w:top w:val="single" w:sz="4" w:space="0" w:color="auto"/>
              <w:left w:val="single" w:sz="4" w:space="0" w:color="auto"/>
              <w:bottom w:val="single" w:sz="4" w:space="0" w:color="auto"/>
              <w:right w:val="single" w:sz="4" w:space="0" w:color="auto"/>
            </w:tcBorders>
            <w:hideMark/>
          </w:tcPr>
          <w:p w14:paraId="1F2AB4EA" w14:textId="77777777" w:rsidR="00835B5A" w:rsidRPr="0026740E" w:rsidRDefault="00835B5A" w:rsidP="00606882">
            <w:pPr>
              <w:tabs>
                <w:tab w:val="left" w:pos="851"/>
              </w:tabs>
              <w:rPr>
                <w:sz w:val="24"/>
                <w:szCs w:val="24"/>
              </w:rPr>
            </w:pPr>
            <w:r w:rsidRPr="0026740E">
              <w:rPr>
                <w:sz w:val="24"/>
                <w:szCs w:val="24"/>
              </w:rPr>
              <w:t>3 g</w:t>
            </w:r>
            <w:r>
              <w:rPr>
                <w:sz w:val="24"/>
                <w:szCs w:val="24"/>
              </w:rPr>
              <w:t xml:space="preserve"> </w:t>
            </w:r>
            <w:r w:rsidRPr="008E11D2">
              <w:rPr>
                <w:sz w:val="24"/>
                <w:szCs w:val="24"/>
                <w:lang w:val="en-GB"/>
              </w:rPr>
              <w:t>(</w:t>
            </w:r>
            <w:r>
              <w:rPr>
                <w:sz w:val="24"/>
                <w:szCs w:val="24"/>
                <w:lang w:val="en-GB"/>
              </w:rPr>
              <w:t>6</w:t>
            </w:r>
            <w:r w:rsidRPr="008E11D2">
              <w:rPr>
                <w:sz w:val="24"/>
                <w:szCs w:val="24"/>
                <w:lang w:val="en-US"/>
              </w:rPr>
              <w:t xml:space="preserve"> </w:t>
            </w:r>
            <w:proofErr w:type="spellStart"/>
            <w:proofErr w:type="gramStart"/>
            <w:r w:rsidRPr="008E11D2">
              <w:rPr>
                <w:sz w:val="24"/>
                <w:szCs w:val="24"/>
                <w:lang w:val="en-US"/>
              </w:rPr>
              <w:t>tablet</w:t>
            </w:r>
            <w:r>
              <w:rPr>
                <w:sz w:val="24"/>
                <w:szCs w:val="24"/>
                <w:lang w:val="en-US"/>
              </w:rPr>
              <w:t>ter</w:t>
            </w:r>
            <w:proofErr w:type="spellEnd"/>
            <w:r w:rsidRPr="008E11D2">
              <w:rPr>
                <w:sz w:val="24"/>
                <w:szCs w:val="24"/>
                <w:lang w:val="en-US"/>
              </w:rPr>
              <w:t>)</w:t>
            </w:r>
            <w:r w:rsidRPr="0026740E">
              <w:rPr>
                <w:sz w:val="24"/>
                <w:szCs w:val="24"/>
              </w:rPr>
              <w:t>*</w:t>
            </w:r>
            <w:proofErr w:type="gramEnd"/>
          </w:p>
        </w:tc>
        <w:tc>
          <w:tcPr>
            <w:tcW w:w="1269" w:type="dxa"/>
            <w:vMerge/>
            <w:tcBorders>
              <w:top w:val="single" w:sz="4" w:space="0" w:color="auto"/>
              <w:left w:val="single" w:sz="4" w:space="0" w:color="auto"/>
              <w:bottom w:val="single" w:sz="4" w:space="0" w:color="auto"/>
              <w:right w:val="single" w:sz="4" w:space="0" w:color="auto"/>
            </w:tcBorders>
            <w:vAlign w:val="center"/>
          </w:tcPr>
          <w:p w14:paraId="446B4269" w14:textId="77777777" w:rsidR="00835B5A" w:rsidRPr="0026740E" w:rsidRDefault="00835B5A" w:rsidP="00606882">
            <w:pPr>
              <w:rPr>
                <w:sz w:val="24"/>
                <w:szCs w:val="24"/>
              </w:rPr>
            </w:pPr>
          </w:p>
        </w:tc>
      </w:tr>
    </w:tbl>
    <w:p w14:paraId="568A0067" w14:textId="77777777" w:rsidR="00835B5A" w:rsidRDefault="00835B5A" w:rsidP="00835B5A">
      <w:pPr>
        <w:spacing w:after="60"/>
        <w:ind w:left="850"/>
        <w:jc w:val="both"/>
        <w:rPr>
          <w:sz w:val="24"/>
          <w:szCs w:val="24"/>
        </w:rPr>
      </w:pPr>
      <w:r w:rsidRPr="0026740E">
        <w:rPr>
          <w:sz w:val="24"/>
          <w:szCs w:val="24"/>
        </w:rPr>
        <w:t>* Kun efter konsultation med en læge kan den maksimale daglige dosis hos patienter med en kropsvægt &gt; 60 kg øges til 4 g paracetamol.</w:t>
      </w:r>
    </w:p>
    <w:p w14:paraId="073E4C2F" w14:textId="77777777" w:rsidR="00835B5A" w:rsidRPr="0026740E" w:rsidRDefault="00835B5A" w:rsidP="00835B5A">
      <w:pPr>
        <w:spacing w:after="60"/>
        <w:ind w:left="850"/>
        <w:jc w:val="both"/>
        <w:rPr>
          <w:sz w:val="24"/>
          <w:szCs w:val="24"/>
        </w:rPr>
      </w:pPr>
      <w:r w:rsidRPr="00103F7E">
        <w:rPr>
          <w:sz w:val="24"/>
          <w:szCs w:val="24"/>
        </w:rPr>
        <w:t>Enkeltdosis kan gentages efter behov med et interval på mindst 4-6 timer.</w:t>
      </w:r>
    </w:p>
    <w:p w14:paraId="2B4F9E79" w14:textId="16E890ED" w:rsidR="007A225F" w:rsidRPr="0026740E" w:rsidRDefault="007A225F" w:rsidP="00835B5A">
      <w:pPr>
        <w:tabs>
          <w:tab w:val="left" w:pos="851"/>
        </w:tabs>
        <w:ind w:left="851"/>
        <w:rPr>
          <w:sz w:val="24"/>
          <w:szCs w:val="24"/>
        </w:rPr>
      </w:pPr>
    </w:p>
    <w:p w14:paraId="287F4181" w14:textId="3F099C45" w:rsidR="007A225F" w:rsidRPr="0026740E" w:rsidRDefault="007A225F" w:rsidP="007A225F">
      <w:pPr>
        <w:tabs>
          <w:tab w:val="left" w:pos="851"/>
        </w:tabs>
        <w:ind w:left="851"/>
        <w:rPr>
          <w:sz w:val="24"/>
          <w:szCs w:val="24"/>
        </w:rPr>
      </w:pPr>
      <w:bookmarkStart w:id="5" w:name="_Hlk95484718"/>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1.000 mg tabletter:</w:t>
      </w:r>
    </w:p>
    <w:p w14:paraId="785B1DBF" w14:textId="77777777" w:rsidR="00835B5A" w:rsidRPr="0026740E" w:rsidRDefault="007A225F" w:rsidP="00835B5A">
      <w:pPr>
        <w:tabs>
          <w:tab w:val="left" w:pos="851"/>
        </w:tabs>
        <w:ind w:left="851"/>
        <w:rPr>
          <w:sz w:val="24"/>
          <w:szCs w:val="24"/>
        </w:rPr>
      </w:pPr>
      <w:r w:rsidRPr="0026740E">
        <w:rPr>
          <w:sz w:val="24"/>
          <w:szCs w:val="24"/>
        </w:rPr>
        <w:t xml:space="preserve">Paracetamol </w:t>
      </w:r>
      <w:r w:rsidR="0026740E" w:rsidRPr="0026740E">
        <w:rPr>
          <w:sz w:val="24"/>
          <w:szCs w:val="24"/>
        </w:rPr>
        <w:t>"</w:t>
      </w:r>
      <w:proofErr w:type="spellStart"/>
      <w:r w:rsidR="0026740E" w:rsidRPr="0026740E">
        <w:rPr>
          <w:sz w:val="24"/>
          <w:szCs w:val="24"/>
        </w:rPr>
        <w:t>Zentiva</w:t>
      </w:r>
      <w:proofErr w:type="spellEnd"/>
      <w:r w:rsidR="0026740E" w:rsidRPr="0026740E">
        <w:rPr>
          <w:sz w:val="24"/>
          <w:szCs w:val="24"/>
        </w:rPr>
        <w:t>"</w:t>
      </w:r>
      <w:r w:rsidRPr="0026740E">
        <w:rPr>
          <w:sz w:val="24"/>
          <w:szCs w:val="24"/>
        </w:rPr>
        <w:t xml:space="preserve"> 1.000 mg tabletter er ikke beregnet til børn under 15 år med en </w:t>
      </w:r>
      <w:bookmarkEnd w:id="5"/>
      <w:r w:rsidR="00835B5A" w:rsidRPr="0026740E">
        <w:rPr>
          <w:sz w:val="24"/>
          <w:szCs w:val="24"/>
        </w:rPr>
        <w:t>kropsvægt under 60 kg.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350"/>
        <w:gridCol w:w="1404"/>
        <w:gridCol w:w="2497"/>
        <w:gridCol w:w="222"/>
      </w:tblGrid>
      <w:tr w:rsidR="00835B5A" w:rsidRPr="0026740E" w14:paraId="2723A1E0" w14:textId="77777777" w:rsidTr="00606882">
        <w:tc>
          <w:tcPr>
            <w:tcW w:w="0" w:type="auto"/>
            <w:tcBorders>
              <w:top w:val="single" w:sz="4" w:space="0" w:color="auto"/>
              <w:left w:val="single" w:sz="4" w:space="0" w:color="auto"/>
              <w:bottom w:val="single" w:sz="4" w:space="0" w:color="auto"/>
              <w:right w:val="single" w:sz="4" w:space="0" w:color="auto"/>
            </w:tcBorders>
            <w:hideMark/>
          </w:tcPr>
          <w:p w14:paraId="5A911734" w14:textId="77777777" w:rsidR="00835B5A" w:rsidRPr="0026740E" w:rsidRDefault="00835B5A" w:rsidP="00606882">
            <w:pPr>
              <w:tabs>
                <w:tab w:val="left" w:pos="851"/>
              </w:tabs>
              <w:rPr>
                <w:b/>
                <w:bCs/>
                <w:sz w:val="24"/>
                <w:szCs w:val="24"/>
              </w:rPr>
            </w:pPr>
            <w:r w:rsidRPr="009613A8">
              <w:rPr>
                <w:b/>
                <w:bCs/>
                <w:sz w:val="24"/>
                <w:szCs w:val="24"/>
              </w:rPr>
              <w:t xml:space="preserve">Omtrentlig </w:t>
            </w:r>
            <w:r>
              <w:rPr>
                <w:b/>
                <w:bCs/>
                <w:sz w:val="24"/>
                <w:szCs w:val="24"/>
              </w:rPr>
              <w:t>a</w:t>
            </w:r>
            <w:r w:rsidRPr="0026740E">
              <w:rPr>
                <w:b/>
                <w:bCs/>
                <w:sz w:val="24"/>
                <w:szCs w:val="24"/>
              </w:rPr>
              <w:t>lder</w:t>
            </w:r>
          </w:p>
        </w:tc>
        <w:tc>
          <w:tcPr>
            <w:tcW w:w="0" w:type="auto"/>
            <w:tcBorders>
              <w:top w:val="single" w:sz="4" w:space="0" w:color="auto"/>
              <w:left w:val="single" w:sz="4" w:space="0" w:color="auto"/>
              <w:bottom w:val="single" w:sz="4" w:space="0" w:color="auto"/>
              <w:right w:val="single" w:sz="4" w:space="0" w:color="auto"/>
            </w:tcBorders>
            <w:hideMark/>
          </w:tcPr>
          <w:p w14:paraId="0B34189C" w14:textId="77777777" w:rsidR="00835B5A" w:rsidRPr="0026740E" w:rsidRDefault="00835B5A" w:rsidP="00606882">
            <w:pPr>
              <w:tabs>
                <w:tab w:val="left" w:pos="851"/>
              </w:tabs>
              <w:rPr>
                <w:b/>
                <w:bCs/>
                <w:sz w:val="24"/>
                <w:szCs w:val="24"/>
              </w:rPr>
            </w:pPr>
            <w:r w:rsidRPr="0026740E">
              <w:rPr>
                <w:b/>
                <w:bCs/>
                <w:sz w:val="24"/>
                <w:szCs w:val="24"/>
              </w:rPr>
              <w:t>Kropsvægt</w:t>
            </w:r>
          </w:p>
        </w:tc>
        <w:tc>
          <w:tcPr>
            <w:tcW w:w="0" w:type="auto"/>
            <w:tcBorders>
              <w:top w:val="single" w:sz="4" w:space="0" w:color="auto"/>
              <w:left w:val="single" w:sz="4" w:space="0" w:color="auto"/>
              <w:bottom w:val="single" w:sz="4" w:space="0" w:color="auto"/>
              <w:right w:val="single" w:sz="4" w:space="0" w:color="auto"/>
            </w:tcBorders>
            <w:hideMark/>
          </w:tcPr>
          <w:p w14:paraId="68A0CFAB" w14:textId="77777777" w:rsidR="00835B5A" w:rsidRPr="0026740E" w:rsidRDefault="00835B5A" w:rsidP="00606882">
            <w:pPr>
              <w:tabs>
                <w:tab w:val="left" w:pos="851"/>
              </w:tabs>
              <w:rPr>
                <w:b/>
                <w:bCs/>
                <w:sz w:val="24"/>
                <w:szCs w:val="24"/>
              </w:rPr>
            </w:pPr>
            <w:r w:rsidRPr="0026740E">
              <w:rPr>
                <w:b/>
                <w:bCs/>
                <w:sz w:val="24"/>
                <w:szCs w:val="24"/>
              </w:rPr>
              <w:t>Enkeltdosis</w:t>
            </w:r>
          </w:p>
        </w:tc>
        <w:tc>
          <w:tcPr>
            <w:tcW w:w="0" w:type="auto"/>
            <w:tcBorders>
              <w:top w:val="single" w:sz="4" w:space="0" w:color="auto"/>
              <w:left w:val="single" w:sz="4" w:space="0" w:color="auto"/>
              <w:bottom w:val="single" w:sz="4" w:space="0" w:color="auto"/>
              <w:right w:val="single" w:sz="4" w:space="0" w:color="auto"/>
            </w:tcBorders>
            <w:hideMark/>
          </w:tcPr>
          <w:p w14:paraId="7C4BB965" w14:textId="77777777" w:rsidR="00835B5A" w:rsidRPr="0026740E" w:rsidRDefault="00835B5A" w:rsidP="00606882">
            <w:pPr>
              <w:tabs>
                <w:tab w:val="left" w:pos="851"/>
              </w:tabs>
              <w:rPr>
                <w:b/>
                <w:bCs/>
                <w:sz w:val="24"/>
                <w:szCs w:val="24"/>
              </w:rPr>
            </w:pPr>
            <w:r w:rsidRPr="0026740E">
              <w:rPr>
                <w:b/>
                <w:bCs/>
                <w:sz w:val="24"/>
                <w:szCs w:val="24"/>
              </w:rPr>
              <w:t>Maksimal daglig dosis</w:t>
            </w:r>
          </w:p>
        </w:tc>
        <w:tc>
          <w:tcPr>
            <w:tcW w:w="0" w:type="auto"/>
            <w:tcBorders>
              <w:top w:val="single" w:sz="4" w:space="0" w:color="auto"/>
              <w:left w:val="single" w:sz="4" w:space="0" w:color="auto"/>
              <w:bottom w:val="single" w:sz="4" w:space="0" w:color="auto"/>
              <w:right w:val="single" w:sz="4" w:space="0" w:color="auto"/>
            </w:tcBorders>
          </w:tcPr>
          <w:p w14:paraId="00145593" w14:textId="77777777" w:rsidR="00835B5A" w:rsidRPr="0026740E" w:rsidRDefault="00835B5A" w:rsidP="00606882">
            <w:pPr>
              <w:tabs>
                <w:tab w:val="left" w:pos="851"/>
              </w:tabs>
              <w:rPr>
                <w:b/>
                <w:bCs/>
                <w:sz w:val="24"/>
                <w:szCs w:val="24"/>
              </w:rPr>
            </w:pPr>
          </w:p>
        </w:tc>
      </w:tr>
      <w:tr w:rsidR="00835B5A" w:rsidRPr="0026740E" w14:paraId="6520B307" w14:textId="77777777" w:rsidTr="00606882">
        <w:tc>
          <w:tcPr>
            <w:tcW w:w="0" w:type="auto"/>
            <w:tcBorders>
              <w:top w:val="single" w:sz="4" w:space="0" w:color="auto"/>
              <w:left w:val="single" w:sz="4" w:space="0" w:color="auto"/>
              <w:bottom w:val="single" w:sz="4" w:space="0" w:color="auto"/>
              <w:right w:val="single" w:sz="4" w:space="0" w:color="auto"/>
            </w:tcBorders>
            <w:hideMark/>
          </w:tcPr>
          <w:p w14:paraId="1D05CE11" w14:textId="77777777" w:rsidR="00835B5A" w:rsidRPr="0026740E" w:rsidRDefault="00835B5A" w:rsidP="00606882">
            <w:pPr>
              <w:tabs>
                <w:tab w:val="left" w:pos="851"/>
              </w:tabs>
              <w:rPr>
                <w:sz w:val="24"/>
                <w:szCs w:val="24"/>
              </w:rPr>
            </w:pPr>
            <w:r w:rsidRPr="0026740E">
              <w:rPr>
                <w:sz w:val="24"/>
                <w:szCs w:val="24"/>
              </w:rPr>
              <w:t>&gt; 15 år</w:t>
            </w:r>
          </w:p>
        </w:tc>
        <w:tc>
          <w:tcPr>
            <w:tcW w:w="0" w:type="auto"/>
            <w:tcBorders>
              <w:top w:val="single" w:sz="4" w:space="0" w:color="auto"/>
              <w:left w:val="single" w:sz="4" w:space="0" w:color="auto"/>
              <w:bottom w:val="single" w:sz="4" w:space="0" w:color="auto"/>
              <w:right w:val="single" w:sz="4" w:space="0" w:color="auto"/>
            </w:tcBorders>
            <w:hideMark/>
          </w:tcPr>
          <w:p w14:paraId="02BF326E" w14:textId="77777777" w:rsidR="00835B5A" w:rsidRPr="0026740E" w:rsidRDefault="00835B5A" w:rsidP="00606882">
            <w:pPr>
              <w:tabs>
                <w:tab w:val="left" w:pos="851"/>
              </w:tabs>
              <w:rPr>
                <w:sz w:val="24"/>
                <w:szCs w:val="24"/>
              </w:rPr>
            </w:pPr>
            <w:r w:rsidRPr="0026740E">
              <w:rPr>
                <w:sz w:val="24"/>
                <w:szCs w:val="24"/>
              </w:rPr>
              <w:t>&gt; 60 kg</w:t>
            </w:r>
          </w:p>
        </w:tc>
        <w:tc>
          <w:tcPr>
            <w:tcW w:w="0" w:type="auto"/>
            <w:tcBorders>
              <w:top w:val="single" w:sz="4" w:space="0" w:color="auto"/>
              <w:left w:val="single" w:sz="4" w:space="0" w:color="auto"/>
              <w:bottom w:val="single" w:sz="4" w:space="0" w:color="auto"/>
              <w:right w:val="single" w:sz="4" w:space="0" w:color="auto"/>
            </w:tcBorders>
            <w:hideMark/>
          </w:tcPr>
          <w:p w14:paraId="7BFE47AD" w14:textId="77777777" w:rsidR="00835B5A" w:rsidRPr="0026740E" w:rsidRDefault="00835B5A" w:rsidP="00606882">
            <w:pPr>
              <w:tabs>
                <w:tab w:val="left" w:pos="851"/>
              </w:tabs>
              <w:rPr>
                <w:sz w:val="24"/>
                <w:szCs w:val="24"/>
              </w:rPr>
            </w:pPr>
            <w:r w:rsidRPr="0026740E">
              <w:rPr>
                <w:sz w:val="24"/>
                <w:szCs w:val="24"/>
              </w:rPr>
              <w:t>1.000 mg</w:t>
            </w:r>
          </w:p>
        </w:tc>
        <w:tc>
          <w:tcPr>
            <w:tcW w:w="0" w:type="auto"/>
            <w:tcBorders>
              <w:top w:val="single" w:sz="4" w:space="0" w:color="auto"/>
              <w:left w:val="single" w:sz="4" w:space="0" w:color="auto"/>
              <w:bottom w:val="single" w:sz="4" w:space="0" w:color="auto"/>
              <w:right w:val="single" w:sz="4" w:space="0" w:color="auto"/>
            </w:tcBorders>
            <w:hideMark/>
          </w:tcPr>
          <w:p w14:paraId="6510AE03" w14:textId="77777777" w:rsidR="00835B5A" w:rsidRPr="0026740E" w:rsidRDefault="00835B5A" w:rsidP="00606882">
            <w:pPr>
              <w:tabs>
                <w:tab w:val="left" w:pos="851"/>
              </w:tabs>
              <w:rPr>
                <w:sz w:val="24"/>
                <w:szCs w:val="24"/>
              </w:rPr>
            </w:pPr>
            <w:r w:rsidRPr="0026740E">
              <w:rPr>
                <w:sz w:val="24"/>
                <w:szCs w:val="24"/>
              </w:rPr>
              <w:t>3 g*</w:t>
            </w:r>
          </w:p>
        </w:tc>
        <w:tc>
          <w:tcPr>
            <w:tcW w:w="0" w:type="auto"/>
            <w:tcBorders>
              <w:top w:val="single" w:sz="4" w:space="0" w:color="auto"/>
              <w:left w:val="single" w:sz="4" w:space="0" w:color="auto"/>
              <w:bottom w:val="single" w:sz="4" w:space="0" w:color="auto"/>
              <w:right w:val="single" w:sz="4" w:space="0" w:color="auto"/>
            </w:tcBorders>
          </w:tcPr>
          <w:p w14:paraId="4BF084BA" w14:textId="77777777" w:rsidR="00835B5A" w:rsidRPr="0026740E" w:rsidRDefault="00835B5A" w:rsidP="00606882">
            <w:pPr>
              <w:tabs>
                <w:tab w:val="left" w:pos="851"/>
              </w:tabs>
              <w:rPr>
                <w:sz w:val="24"/>
                <w:szCs w:val="24"/>
              </w:rPr>
            </w:pPr>
          </w:p>
        </w:tc>
      </w:tr>
    </w:tbl>
    <w:p w14:paraId="3280FD1E" w14:textId="77777777" w:rsidR="00835B5A" w:rsidRDefault="00835B5A" w:rsidP="00835B5A">
      <w:pPr>
        <w:spacing w:after="60"/>
        <w:ind w:left="850"/>
        <w:jc w:val="both"/>
        <w:rPr>
          <w:sz w:val="24"/>
          <w:szCs w:val="24"/>
        </w:rPr>
      </w:pPr>
      <w:r w:rsidRPr="0026740E">
        <w:rPr>
          <w:sz w:val="24"/>
          <w:szCs w:val="24"/>
        </w:rPr>
        <w:t>* Kun efter konsultation med en læge kan den maksimale daglige dosis hos patienter med en kropsvægt &gt; 60 kg øges til 4 g paracetamol.</w:t>
      </w:r>
    </w:p>
    <w:p w14:paraId="197B3F1E" w14:textId="77777777" w:rsidR="00835B5A" w:rsidRPr="0026740E" w:rsidRDefault="00835B5A" w:rsidP="00835B5A">
      <w:pPr>
        <w:spacing w:after="60"/>
        <w:ind w:left="850"/>
        <w:jc w:val="both"/>
        <w:rPr>
          <w:sz w:val="24"/>
          <w:szCs w:val="24"/>
        </w:rPr>
      </w:pPr>
      <w:r w:rsidRPr="00103F7E">
        <w:rPr>
          <w:sz w:val="24"/>
          <w:szCs w:val="24"/>
        </w:rPr>
        <w:t>Enkeltdosis kan gentages efter behov med et interval på mindst 4-6 timer.</w:t>
      </w:r>
    </w:p>
    <w:p w14:paraId="1A56D6C9" w14:textId="6BD57E4C" w:rsidR="007A225F" w:rsidRPr="0026740E" w:rsidRDefault="007A225F" w:rsidP="00835B5A">
      <w:pPr>
        <w:tabs>
          <w:tab w:val="left" w:pos="851"/>
        </w:tabs>
        <w:ind w:left="851"/>
        <w:rPr>
          <w:sz w:val="24"/>
          <w:szCs w:val="24"/>
        </w:rPr>
      </w:pPr>
    </w:p>
    <w:p w14:paraId="107AAD32" w14:textId="77777777" w:rsidR="007A225F" w:rsidRPr="0026740E" w:rsidRDefault="007A225F" w:rsidP="007A225F">
      <w:pPr>
        <w:tabs>
          <w:tab w:val="left" w:pos="851"/>
        </w:tabs>
        <w:ind w:left="851"/>
        <w:rPr>
          <w:sz w:val="24"/>
          <w:szCs w:val="24"/>
        </w:rPr>
      </w:pPr>
      <w:r w:rsidRPr="0026740E">
        <w:rPr>
          <w:i/>
          <w:iCs/>
          <w:sz w:val="24"/>
          <w:szCs w:val="24"/>
        </w:rPr>
        <w:t xml:space="preserve">Nedsat nyrefunktion </w:t>
      </w:r>
    </w:p>
    <w:p w14:paraId="4D531847" w14:textId="77777777" w:rsidR="007A225F" w:rsidRPr="0026740E" w:rsidRDefault="007A225F" w:rsidP="007A225F">
      <w:pPr>
        <w:ind w:left="850"/>
        <w:rPr>
          <w:sz w:val="24"/>
          <w:szCs w:val="24"/>
        </w:rPr>
      </w:pPr>
      <w:r w:rsidRPr="0026740E">
        <w:rPr>
          <w:sz w:val="24"/>
          <w:szCs w:val="24"/>
        </w:rPr>
        <w:t>Paracetamol bør anvendes med forsigtighed til patienter med nedsat nyrefunktion, da en lavere dosis og/eller forlænget doseringsinterval er nødvendig (se pkt. 4.4). Den maksimale enkeltdosis bør ikke overstige 500 mg.</w:t>
      </w:r>
    </w:p>
    <w:p w14:paraId="07D72FB7" w14:textId="77777777" w:rsidR="007A225F" w:rsidRPr="0026740E" w:rsidRDefault="007A225F" w:rsidP="007A225F">
      <w:pPr>
        <w:numPr>
          <w:ilvl w:val="0"/>
          <w:numId w:val="6"/>
        </w:numPr>
        <w:ind w:left="1210"/>
        <w:rPr>
          <w:sz w:val="24"/>
          <w:szCs w:val="24"/>
        </w:rPr>
      </w:pPr>
      <w:r w:rsidRPr="0026740E">
        <w:rPr>
          <w:sz w:val="24"/>
          <w:szCs w:val="24"/>
        </w:rPr>
        <w:t xml:space="preserve">Doseringsinterval på 6 timer anbefales ved </w:t>
      </w:r>
      <w:proofErr w:type="spellStart"/>
      <w:r w:rsidRPr="0026740E">
        <w:rPr>
          <w:sz w:val="24"/>
          <w:szCs w:val="24"/>
        </w:rPr>
        <w:t>glomerulær</w:t>
      </w:r>
      <w:proofErr w:type="spellEnd"/>
      <w:r w:rsidRPr="0026740E">
        <w:rPr>
          <w:sz w:val="24"/>
          <w:szCs w:val="24"/>
        </w:rPr>
        <w:t xml:space="preserve"> filtreringshastighed på 10</w:t>
      </w:r>
      <w:r w:rsidRPr="0026740E">
        <w:rPr>
          <w:sz w:val="24"/>
          <w:szCs w:val="24"/>
        </w:rPr>
        <w:noBreakHyphen/>
        <w:t>50 ml/min.</w:t>
      </w:r>
    </w:p>
    <w:p w14:paraId="654E43BD" w14:textId="77777777" w:rsidR="007A225F" w:rsidRPr="0026740E" w:rsidRDefault="007A225F" w:rsidP="007A225F">
      <w:pPr>
        <w:numPr>
          <w:ilvl w:val="0"/>
          <w:numId w:val="6"/>
        </w:numPr>
        <w:ind w:left="1210"/>
        <w:rPr>
          <w:sz w:val="24"/>
          <w:szCs w:val="24"/>
        </w:rPr>
      </w:pPr>
      <w:r w:rsidRPr="0026740E">
        <w:rPr>
          <w:sz w:val="24"/>
          <w:szCs w:val="24"/>
        </w:rPr>
        <w:t xml:space="preserve">Doseringsinterval på 8 timer anbefales ved </w:t>
      </w:r>
      <w:proofErr w:type="spellStart"/>
      <w:r w:rsidRPr="0026740E">
        <w:rPr>
          <w:sz w:val="24"/>
          <w:szCs w:val="24"/>
        </w:rPr>
        <w:t>glomerulær</w:t>
      </w:r>
      <w:proofErr w:type="spellEnd"/>
      <w:r w:rsidRPr="0026740E">
        <w:rPr>
          <w:sz w:val="24"/>
          <w:szCs w:val="24"/>
        </w:rPr>
        <w:t xml:space="preserve"> filtreringshastighed på mindre end 10 ml/min.</w:t>
      </w:r>
    </w:p>
    <w:p w14:paraId="068995B6" w14:textId="77777777" w:rsidR="007A225F" w:rsidRPr="0026740E" w:rsidRDefault="007A225F" w:rsidP="007A225F">
      <w:pPr>
        <w:tabs>
          <w:tab w:val="left" w:pos="851"/>
        </w:tabs>
        <w:ind w:left="851"/>
        <w:rPr>
          <w:sz w:val="24"/>
          <w:szCs w:val="24"/>
        </w:rPr>
      </w:pPr>
    </w:p>
    <w:p w14:paraId="674117BE" w14:textId="77777777" w:rsidR="007A225F" w:rsidRPr="0026740E" w:rsidRDefault="007A225F" w:rsidP="007A225F">
      <w:pPr>
        <w:tabs>
          <w:tab w:val="left" w:pos="851"/>
        </w:tabs>
        <w:ind w:left="851"/>
        <w:rPr>
          <w:sz w:val="24"/>
          <w:szCs w:val="24"/>
        </w:rPr>
      </w:pPr>
      <w:r w:rsidRPr="0026740E">
        <w:rPr>
          <w:i/>
          <w:iCs/>
          <w:sz w:val="24"/>
          <w:szCs w:val="24"/>
        </w:rPr>
        <w:t xml:space="preserve">Nedsat leverfunktion </w:t>
      </w:r>
    </w:p>
    <w:p w14:paraId="4738CFCE" w14:textId="77777777" w:rsidR="007A225F" w:rsidRPr="0026740E" w:rsidRDefault="007A225F" w:rsidP="007A225F">
      <w:pPr>
        <w:tabs>
          <w:tab w:val="left" w:pos="851"/>
        </w:tabs>
        <w:ind w:left="851"/>
        <w:rPr>
          <w:sz w:val="24"/>
          <w:szCs w:val="24"/>
        </w:rPr>
      </w:pPr>
      <w:r w:rsidRPr="0026740E">
        <w:rPr>
          <w:sz w:val="24"/>
          <w:szCs w:val="24"/>
        </w:rPr>
        <w:t xml:space="preserve">Paracetamol bør anvendes med forsigtighed til patienter med let til moderat nedsat leverfunktion eller Gilberts syndrom, da dosis skal reduceres eller doseringsintervallet forlænges (se pkt. 4.4). Hos disse patienter bør den daglige dosis ikke overstige 60 mg/kg </w:t>
      </w:r>
      <w:r w:rsidRPr="0026740E">
        <w:rPr>
          <w:sz w:val="24"/>
          <w:szCs w:val="24"/>
        </w:rPr>
        <w:lastRenderedPageBreak/>
        <w:t>(maksimalt 2 g/dag). Brug af dette lægemiddel er kontraindiceret hos patienter med svær leverinsufficiens (se pkt. 4.3).</w:t>
      </w:r>
    </w:p>
    <w:p w14:paraId="3093C813" w14:textId="77777777" w:rsidR="007A225F" w:rsidRPr="0026740E" w:rsidRDefault="007A225F" w:rsidP="007A225F">
      <w:pPr>
        <w:tabs>
          <w:tab w:val="left" w:pos="851"/>
        </w:tabs>
        <w:ind w:left="851"/>
        <w:rPr>
          <w:sz w:val="24"/>
          <w:szCs w:val="24"/>
        </w:rPr>
      </w:pPr>
    </w:p>
    <w:p w14:paraId="452D98DD" w14:textId="77777777" w:rsidR="007A225F" w:rsidRPr="0026740E" w:rsidRDefault="007A225F" w:rsidP="00A35769">
      <w:pPr>
        <w:ind w:left="851"/>
        <w:rPr>
          <w:i/>
          <w:sz w:val="24"/>
          <w:szCs w:val="24"/>
        </w:rPr>
      </w:pPr>
      <w:r w:rsidRPr="0026740E">
        <w:rPr>
          <w:i/>
          <w:sz w:val="24"/>
          <w:szCs w:val="24"/>
        </w:rPr>
        <w:t>Ældre</w:t>
      </w:r>
    </w:p>
    <w:p w14:paraId="014E34C6" w14:textId="77777777" w:rsidR="007A225F" w:rsidRPr="0026740E" w:rsidRDefault="007A225F" w:rsidP="00A35769">
      <w:pPr>
        <w:ind w:left="851"/>
        <w:rPr>
          <w:color w:val="000000"/>
          <w:sz w:val="24"/>
          <w:szCs w:val="24"/>
        </w:rPr>
      </w:pPr>
      <w:r w:rsidRPr="0026740E">
        <w:rPr>
          <w:color w:val="000000"/>
          <w:sz w:val="24"/>
          <w:szCs w:val="24"/>
        </w:rPr>
        <w:t>Erfaring har vist, at den normale dosis af paracetamol til voksne for det meste er velegnet. Hos svage, immobile ældre med nedsat nyre- eller leverfunktion kan det dog være hensigtsmæssigt at reducere dosen eller forlænge doseringshyppigheden (se pkt. 4.4).</w:t>
      </w:r>
    </w:p>
    <w:p w14:paraId="304B4548" w14:textId="77777777" w:rsidR="007A225F" w:rsidRPr="0026740E" w:rsidRDefault="007A225F" w:rsidP="00A35769">
      <w:pPr>
        <w:ind w:left="851"/>
        <w:rPr>
          <w:sz w:val="24"/>
          <w:szCs w:val="24"/>
        </w:rPr>
      </w:pPr>
    </w:p>
    <w:p w14:paraId="52AD9B38" w14:textId="77777777" w:rsidR="007A225F" w:rsidRPr="0026740E" w:rsidRDefault="007A225F" w:rsidP="00A35769">
      <w:pPr>
        <w:ind w:left="851"/>
        <w:rPr>
          <w:sz w:val="24"/>
          <w:szCs w:val="24"/>
          <w:u w:val="single"/>
        </w:rPr>
      </w:pPr>
      <w:r w:rsidRPr="0026740E">
        <w:rPr>
          <w:sz w:val="24"/>
          <w:szCs w:val="24"/>
          <w:u w:val="single"/>
        </w:rPr>
        <w:t>Administration</w:t>
      </w:r>
    </w:p>
    <w:p w14:paraId="6928A44C" w14:textId="77777777" w:rsidR="007A225F" w:rsidRPr="0026740E" w:rsidRDefault="007A225F" w:rsidP="00A35769">
      <w:pPr>
        <w:ind w:left="851"/>
        <w:rPr>
          <w:color w:val="000000"/>
          <w:sz w:val="24"/>
          <w:szCs w:val="24"/>
        </w:rPr>
      </w:pPr>
      <w:r w:rsidRPr="0026740E">
        <w:rPr>
          <w:color w:val="000000"/>
          <w:sz w:val="24"/>
          <w:szCs w:val="24"/>
        </w:rPr>
        <w:t>Oral anvendelse.</w:t>
      </w:r>
    </w:p>
    <w:p w14:paraId="5733DDCF" w14:textId="77777777" w:rsidR="007A225F" w:rsidRPr="0026740E" w:rsidRDefault="007A225F" w:rsidP="00A35769">
      <w:pPr>
        <w:ind w:left="851"/>
        <w:rPr>
          <w:color w:val="000000"/>
          <w:sz w:val="24"/>
          <w:szCs w:val="24"/>
        </w:rPr>
      </w:pPr>
      <w:r w:rsidRPr="0026740E">
        <w:rPr>
          <w:color w:val="000000"/>
          <w:sz w:val="24"/>
          <w:szCs w:val="24"/>
        </w:rPr>
        <w:t>Tabletter skal synkes med en tilstrækkelig mængde væske.</w:t>
      </w:r>
    </w:p>
    <w:p w14:paraId="33B4AAEA" w14:textId="77777777" w:rsidR="009260DE" w:rsidRPr="0026740E" w:rsidRDefault="009260DE" w:rsidP="009260DE">
      <w:pPr>
        <w:tabs>
          <w:tab w:val="left" w:pos="851"/>
        </w:tabs>
        <w:ind w:left="851"/>
        <w:rPr>
          <w:sz w:val="24"/>
          <w:szCs w:val="24"/>
        </w:rPr>
      </w:pPr>
    </w:p>
    <w:p w14:paraId="350DA521" w14:textId="77777777" w:rsidR="009260DE" w:rsidRPr="0026740E" w:rsidRDefault="009260DE" w:rsidP="009260DE">
      <w:pPr>
        <w:tabs>
          <w:tab w:val="left" w:pos="851"/>
        </w:tabs>
        <w:ind w:left="851" w:hanging="851"/>
        <w:rPr>
          <w:b/>
          <w:sz w:val="24"/>
          <w:szCs w:val="24"/>
        </w:rPr>
      </w:pPr>
      <w:r w:rsidRPr="0026740E">
        <w:rPr>
          <w:b/>
          <w:sz w:val="24"/>
          <w:szCs w:val="24"/>
        </w:rPr>
        <w:t>4.3</w:t>
      </w:r>
      <w:r w:rsidRPr="0026740E">
        <w:rPr>
          <w:b/>
          <w:sz w:val="24"/>
          <w:szCs w:val="24"/>
        </w:rPr>
        <w:tab/>
        <w:t>Kontraindikationer</w:t>
      </w:r>
    </w:p>
    <w:p w14:paraId="3ABDFD41" w14:textId="77777777" w:rsidR="007A225F" w:rsidRPr="0026740E" w:rsidRDefault="007A225F" w:rsidP="007A225F">
      <w:pPr>
        <w:numPr>
          <w:ilvl w:val="0"/>
          <w:numId w:val="7"/>
        </w:numPr>
        <w:ind w:left="1210"/>
        <w:rPr>
          <w:sz w:val="24"/>
          <w:szCs w:val="24"/>
          <w:lang w:eastAsia="da-DK"/>
        </w:rPr>
      </w:pPr>
      <w:r w:rsidRPr="0026740E">
        <w:rPr>
          <w:sz w:val="24"/>
          <w:szCs w:val="24"/>
        </w:rPr>
        <w:t>Overfølsomhed over for det aktive stof eller over for et eller flere af hjælpestofferne anført i pkt. 6.1.</w:t>
      </w:r>
    </w:p>
    <w:p w14:paraId="25A96FBF" w14:textId="77777777" w:rsidR="007A225F" w:rsidRPr="0026740E" w:rsidRDefault="007A225F" w:rsidP="007A225F">
      <w:pPr>
        <w:numPr>
          <w:ilvl w:val="0"/>
          <w:numId w:val="7"/>
        </w:numPr>
        <w:ind w:left="1210"/>
        <w:rPr>
          <w:sz w:val="24"/>
          <w:szCs w:val="24"/>
        </w:rPr>
      </w:pPr>
      <w:r w:rsidRPr="0026740E">
        <w:rPr>
          <w:sz w:val="24"/>
          <w:szCs w:val="24"/>
        </w:rPr>
        <w:t>Svær leverinsufficiens.</w:t>
      </w:r>
    </w:p>
    <w:p w14:paraId="7030B0A6" w14:textId="77777777" w:rsidR="007A225F" w:rsidRPr="0026740E" w:rsidRDefault="007A225F" w:rsidP="007A225F">
      <w:pPr>
        <w:numPr>
          <w:ilvl w:val="0"/>
          <w:numId w:val="7"/>
        </w:numPr>
        <w:ind w:left="1210"/>
        <w:rPr>
          <w:sz w:val="24"/>
          <w:szCs w:val="24"/>
        </w:rPr>
      </w:pPr>
      <w:r w:rsidRPr="0026740E">
        <w:rPr>
          <w:sz w:val="24"/>
          <w:szCs w:val="24"/>
        </w:rPr>
        <w:t>Akut hepatitis.</w:t>
      </w:r>
    </w:p>
    <w:p w14:paraId="6ABFDD83" w14:textId="77777777" w:rsidR="009260DE" w:rsidRPr="0026740E" w:rsidRDefault="009260DE" w:rsidP="009260DE">
      <w:pPr>
        <w:tabs>
          <w:tab w:val="left" w:pos="851"/>
        </w:tabs>
        <w:ind w:left="851"/>
        <w:rPr>
          <w:sz w:val="24"/>
          <w:szCs w:val="24"/>
        </w:rPr>
      </w:pPr>
    </w:p>
    <w:p w14:paraId="5DA1DEF4" w14:textId="77777777" w:rsidR="009260DE" w:rsidRPr="0026740E" w:rsidRDefault="009260DE" w:rsidP="009260DE">
      <w:pPr>
        <w:tabs>
          <w:tab w:val="left" w:pos="851"/>
        </w:tabs>
        <w:ind w:left="851" w:hanging="851"/>
        <w:rPr>
          <w:b/>
          <w:sz w:val="24"/>
          <w:szCs w:val="24"/>
        </w:rPr>
      </w:pPr>
      <w:r w:rsidRPr="0026740E">
        <w:rPr>
          <w:b/>
          <w:sz w:val="24"/>
          <w:szCs w:val="24"/>
        </w:rPr>
        <w:t>4.4</w:t>
      </w:r>
      <w:r w:rsidRPr="0026740E">
        <w:rPr>
          <w:b/>
          <w:sz w:val="24"/>
          <w:szCs w:val="24"/>
        </w:rPr>
        <w:tab/>
        <w:t>Særlige advarsler og forsigtighedsregler vedrørende brugen</w:t>
      </w:r>
    </w:p>
    <w:p w14:paraId="3C80CAD7" w14:textId="77777777" w:rsidR="007A225F" w:rsidRPr="0026740E" w:rsidRDefault="007A225F" w:rsidP="007A225F">
      <w:pPr>
        <w:tabs>
          <w:tab w:val="left" w:pos="851"/>
        </w:tabs>
        <w:ind w:left="851"/>
        <w:rPr>
          <w:sz w:val="24"/>
          <w:szCs w:val="24"/>
          <w:lang w:eastAsia="da-DK"/>
        </w:rPr>
      </w:pPr>
      <w:r w:rsidRPr="0026740E">
        <w:rPr>
          <w:sz w:val="24"/>
          <w:szCs w:val="24"/>
        </w:rPr>
        <w:t>Patienter bør advares mod samtidig brug af andre lægemidler, der indeholder paracetamol.</w:t>
      </w:r>
    </w:p>
    <w:p w14:paraId="33F25CB8" w14:textId="77777777" w:rsidR="007A225F" w:rsidRPr="0026740E" w:rsidRDefault="007A225F" w:rsidP="007A225F">
      <w:pPr>
        <w:tabs>
          <w:tab w:val="left" w:pos="851"/>
        </w:tabs>
        <w:ind w:left="851"/>
        <w:rPr>
          <w:sz w:val="24"/>
          <w:szCs w:val="24"/>
        </w:rPr>
      </w:pPr>
    </w:p>
    <w:p w14:paraId="73DBC4AD" w14:textId="77777777" w:rsidR="007A225F" w:rsidRPr="0026740E" w:rsidRDefault="007A225F" w:rsidP="007A225F">
      <w:pPr>
        <w:tabs>
          <w:tab w:val="left" w:pos="851"/>
        </w:tabs>
        <w:ind w:left="851"/>
        <w:rPr>
          <w:sz w:val="24"/>
          <w:szCs w:val="24"/>
        </w:rPr>
      </w:pPr>
      <w:r w:rsidRPr="0026740E">
        <w:rPr>
          <w:sz w:val="24"/>
          <w:szCs w:val="24"/>
        </w:rPr>
        <w:t xml:space="preserve">Tilfælde af paracetamol-induceret </w:t>
      </w:r>
      <w:proofErr w:type="spellStart"/>
      <w:r w:rsidRPr="0026740E">
        <w:rPr>
          <w:sz w:val="24"/>
          <w:szCs w:val="24"/>
        </w:rPr>
        <w:t>hepatotoksicitet</w:t>
      </w:r>
      <w:proofErr w:type="spellEnd"/>
      <w:r w:rsidRPr="0026740E">
        <w:rPr>
          <w:sz w:val="24"/>
          <w:szCs w:val="24"/>
        </w:rPr>
        <w:t xml:space="preserve">, herunder dødelige tilfælde, er blevet rapporteret hos patienter, der tager paracetamol i doser inden for det terapeutiske interval. Disse tilfælde blev rapporteret hos patienter med en eller flere risikofaktorer for </w:t>
      </w:r>
      <w:proofErr w:type="spellStart"/>
      <w:r w:rsidRPr="0026740E">
        <w:rPr>
          <w:sz w:val="24"/>
          <w:szCs w:val="24"/>
        </w:rPr>
        <w:t>hepatotoksicitet</w:t>
      </w:r>
      <w:proofErr w:type="spellEnd"/>
      <w:r w:rsidRPr="0026740E">
        <w:rPr>
          <w:sz w:val="24"/>
          <w:szCs w:val="24"/>
        </w:rPr>
        <w:t xml:space="preserve">, såsom lav kropsvægt (&lt; 50 kg), nedsat nyre- og leverfunktion, kronisk alkoholisme, samtidig indtag af </w:t>
      </w:r>
      <w:proofErr w:type="spellStart"/>
      <w:r w:rsidRPr="0026740E">
        <w:rPr>
          <w:sz w:val="24"/>
          <w:szCs w:val="24"/>
        </w:rPr>
        <w:t>hepatotoksiske</w:t>
      </w:r>
      <w:proofErr w:type="spellEnd"/>
      <w:r w:rsidRPr="0026740E">
        <w:rPr>
          <w:sz w:val="24"/>
          <w:szCs w:val="24"/>
        </w:rPr>
        <w:t xml:space="preserve"> lægemidler og ved akut og kronisk fejlernæring (lave reserver af </w:t>
      </w:r>
      <w:proofErr w:type="spellStart"/>
      <w:r w:rsidRPr="0026740E">
        <w:rPr>
          <w:sz w:val="24"/>
          <w:szCs w:val="24"/>
        </w:rPr>
        <w:t>hepatisk</w:t>
      </w:r>
      <w:proofErr w:type="spellEnd"/>
      <w:r w:rsidRPr="0026740E">
        <w:rPr>
          <w:sz w:val="24"/>
          <w:szCs w:val="24"/>
        </w:rPr>
        <w:t xml:space="preserve"> </w:t>
      </w:r>
      <w:proofErr w:type="spellStart"/>
      <w:r w:rsidRPr="0026740E">
        <w:rPr>
          <w:sz w:val="24"/>
          <w:szCs w:val="24"/>
        </w:rPr>
        <w:t>glutathion</w:t>
      </w:r>
      <w:proofErr w:type="spellEnd"/>
      <w:r w:rsidRPr="0026740E">
        <w:rPr>
          <w:sz w:val="24"/>
          <w:szCs w:val="24"/>
        </w:rPr>
        <w:t>).</w:t>
      </w:r>
    </w:p>
    <w:p w14:paraId="511505C6" w14:textId="77777777" w:rsidR="007A225F" w:rsidRPr="0026740E" w:rsidRDefault="007A225F" w:rsidP="007A225F">
      <w:pPr>
        <w:tabs>
          <w:tab w:val="left" w:pos="851"/>
        </w:tabs>
        <w:ind w:left="851"/>
        <w:rPr>
          <w:sz w:val="24"/>
          <w:szCs w:val="24"/>
        </w:rPr>
      </w:pPr>
    </w:p>
    <w:p w14:paraId="2E8B708C" w14:textId="306F4EFB" w:rsidR="007A225F" w:rsidRPr="0026740E" w:rsidRDefault="007A225F" w:rsidP="007A225F">
      <w:pPr>
        <w:tabs>
          <w:tab w:val="left" w:pos="851"/>
        </w:tabs>
        <w:ind w:left="851"/>
        <w:rPr>
          <w:sz w:val="24"/>
          <w:szCs w:val="24"/>
        </w:rPr>
      </w:pPr>
      <w:r w:rsidRPr="0026740E">
        <w:rPr>
          <w:sz w:val="24"/>
          <w:szCs w:val="24"/>
        </w:rPr>
        <w:t>Paracetamol bør anvendes med forsigtighed hos patienter med glucose-6-phosphat</w:t>
      </w:r>
      <w:r w:rsidR="0026740E">
        <w:rPr>
          <w:sz w:val="24"/>
          <w:szCs w:val="24"/>
        </w:rPr>
        <w:softHyphen/>
      </w:r>
      <w:r w:rsidRPr="0026740E">
        <w:rPr>
          <w:sz w:val="24"/>
          <w:szCs w:val="24"/>
        </w:rPr>
        <w:t xml:space="preserve">dehydrogenase-mangel, </w:t>
      </w:r>
      <w:proofErr w:type="spellStart"/>
      <w:r w:rsidRPr="0026740E">
        <w:rPr>
          <w:sz w:val="24"/>
          <w:szCs w:val="24"/>
        </w:rPr>
        <w:t>hæmolytisk</w:t>
      </w:r>
      <w:proofErr w:type="spellEnd"/>
      <w:r w:rsidRPr="0026740E">
        <w:rPr>
          <w:sz w:val="24"/>
          <w:szCs w:val="24"/>
        </w:rPr>
        <w:t xml:space="preserve"> anæmi, i tilfælde af mangel på </w:t>
      </w:r>
      <w:proofErr w:type="spellStart"/>
      <w:r w:rsidRPr="0026740E">
        <w:rPr>
          <w:sz w:val="24"/>
          <w:szCs w:val="24"/>
        </w:rPr>
        <w:t>glutathion</w:t>
      </w:r>
      <w:proofErr w:type="spellEnd"/>
      <w:r w:rsidRPr="0026740E">
        <w:rPr>
          <w:sz w:val="24"/>
          <w:szCs w:val="24"/>
        </w:rPr>
        <w:t>, kronisk fejlernæring, kronisk alkoholisme, dehydrering, hos ældre og patienter med let til moderat nedsat leverfunktion og/eller nedsat nyrefunktion (se pkt. 4.2).</w:t>
      </w:r>
    </w:p>
    <w:p w14:paraId="366968C0" w14:textId="77777777" w:rsidR="007A225F" w:rsidRPr="0026740E" w:rsidRDefault="007A225F" w:rsidP="007A225F">
      <w:pPr>
        <w:tabs>
          <w:tab w:val="left" w:pos="851"/>
        </w:tabs>
        <w:ind w:left="851"/>
        <w:rPr>
          <w:sz w:val="24"/>
          <w:szCs w:val="24"/>
        </w:rPr>
      </w:pPr>
    </w:p>
    <w:p w14:paraId="04E468F1" w14:textId="3935B100" w:rsidR="007A225F" w:rsidRPr="0026740E" w:rsidRDefault="007A225F" w:rsidP="007A225F">
      <w:pPr>
        <w:tabs>
          <w:tab w:val="left" w:pos="851"/>
        </w:tabs>
        <w:ind w:left="851"/>
        <w:rPr>
          <w:sz w:val="24"/>
          <w:szCs w:val="24"/>
        </w:rPr>
      </w:pPr>
      <w:r w:rsidRPr="0026740E">
        <w:rPr>
          <w:sz w:val="24"/>
          <w:szCs w:val="24"/>
        </w:rPr>
        <w:t xml:space="preserve">Regelmæssig overvågning med leverfunktionstest anbefales til patienter med nedsat leverfunktion og dem, der får høje doser af paracetamol over en lang periode. Risikoen for alvorlige </w:t>
      </w:r>
      <w:proofErr w:type="spellStart"/>
      <w:r w:rsidRPr="0026740E">
        <w:rPr>
          <w:sz w:val="24"/>
          <w:szCs w:val="24"/>
        </w:rPr>
        <w:t>hepatotoksiske</w:t>
      </w:r>
      <w:proofErr w:type="spellEnd"/>
      <w:r w:rsidRPr="0026740E">
        <w:rPr>
          <w:sz w:val="24"/>
          <w:szCs w:val="24"/>
        </w:rPr>
        <w:t xml:space="preserve"> virkninger øges markant med stigende dosis og behandlings</w:t>
      </w:r>
      <w:r w:rsidR="0026740E">
        <w:rPr>
          <w:sz w:val="24"/>
          <w:szCs w:val="24"/>
        </w:rPr>
        <w:softHyphen/>
      </w:r>
      <w:r w:rsidRPr="0026740E">
        <w:rPr>
          <w:sz w:val="24"/>
          <w:szCs w:val="24"/>
        </w:rPr>
        <w:t>varighed. Underliggende leversygdom øger risikoen for paracetamolrelateret leverskade. Risikoen for overdosering er højere hos patienter med ikke-</w:t>
      </w:r>
      <w:proofErr w:type="spellStart"/>
      <w:r w:rsidRPr="0026740E">
        <w:rPr>
          <w:sz w:val="24"/>
          <w:szCs w:val="24"/>
        </w:rPr>
        <w:t>cirrotisk</w:t>
      </w:r>
      <w:proofErr w:type="spellEnd"/>
      <w:r w:rsidRPr="0026740E">
        <w:rPr>
          <w:sz w:val="24"/>
          <w:szCs w:val="24"/>
        </w:rPr>
        <w:t xml:space="preserve"> leverskade forårsaget af alkohol.</w:t>
      </w:r>
    </w:p>
    <w:p w14:paraId="499A9B33" w14:textId="77777777" w:rsidR="007A225F" w:rsidRPr="0026740E" w:rsidRDefault="007A225F" w:rsidP="007A225F">
      <w:pPr>
        <w:tabs>
          <w:tab w:val="left" w:pos="851"/>
        </w:tabs>
        <w:ind w:left="851"/>
        <w:rPr>
          <w:sz w:val="24"/>
          <w:szCs w:val="24"/>
        </w:rPr>
      </w:pPr>
    </w:p>
    <w:p w14:paraId="4B40CF77" w14:textId="77777777" w:rsidR="007A225F" w:rsidRPr="0026740E" w:rsidRDefault="007A225F" w:rsidP="007A225F">
      <w:pPr>
        <w:tabs>
          <w:tab w:val="left" w:pos="851"/>
        </w:tabs>
        <w:ind w:left="851"/>
        <w:rPr>
          <w:sz w:val="24"/>
          <w:szCs w:val="24"/>
        </w:rPr>
      </w:pPr>
      <w:r w:rsidRPr="0026740E">
        <w:rPr>
          <w:sz w:val="24"/>
          <w:szCs w:val="24"/>
        </w:rPr>
        <w:t xml:space="preserve">Indtagelse af alkohol skal undgås under behandlingen. Langvarigt alkoholforbrug øger risikoen for paracetamol-induceret </w:t>
      </w:r>
      <w:proofErr w:type="spellStart"/>
      <w:r w:rsidRPr="0026740E">
        <w:rPr>
          <w:sz w:val="24"/>
          <w:szCs w:val="24"/>
        </w:rPr>
        <w:t>hepatotoksicitet</w:t>
      </w:r>
      <w:proofErr w:type="spellEnd"/>
      <w:r w:rsidRPr="0026740E">
        <w:rPr>
          <w:sz w:val="24"/>
          <w:szCs w:val="24"/>
        </w:rPr>
        <w:t xml:space="preserve"> signifikant.</w:t>
      </w:r>
    </w:p>
    <w:p w14:paraId="1063DD34" w14:textId="77777777" w:rsidR="007A225F" w:rsidRPr="0026740E" w:rsidRDefault="007A225F" w:rsidP="007A225F">
      <w:pPr>
        <w:tabs>
          <w:tab w:val="left" w:pos="851"/>
        </w:tabs>
        <w:ind w:left="851"/>
        <w:rPr>
          <w:sz w:val="24"/>
          <w:szCs w:val="24"/>
        </w:rPr>
      </w:pPr>
    </w:p>
    <w:p w14:paraId="6229C69E" w14:textId="77777777" w:rsidR="007A225F" w:rsidRPr="0026740E" w:rsidRDefault="007A225F" w:rsidP="007A225F">
      <w:pPr>
        <w:tabs>
          <w:tab w:val="left" w:pos="851"/>
        </w:tabs>
        <w:ind w:left="851"/>
        <w:rPr>
          <w:sz w:val="24"/>
          <w:szCs w:val="24"/>
        </w:rPr>
      </w:pPr>
      <w:r w:rsidRPr="0026740E">
        <w:rPr>
          <w:sz w:val="24"/>
          <w:szCs w:val="24"/>
        </w:rPr>
        <w:t xml:space="preserve">Måling af </w:t>
      </w:r>
      <w:proofErr w:type="spellStart"/>
      <w:r w:rsidRPr="0026740E">
        <w:rPr>
          <w:sz w:val="24"/>
          <w:szCs w:val="24"/>
        </w:rPr>
        <w:t>protrombintid</w:t>
      </w:r>
      <w:proofErr w:type="spellEnd"/>
      <w:r w:rsidRPr="0026740E">
        <w:rPr>
          <w:sz w:val="24"/>
          <w:szCs w:val="24"/>
        </w:rPr>
        <w:t xml:space="preserve"> er påkrævet ved samtidig behandling med orale </w:t>
      </w:r>
      <w:proofErr w:type="spellStart"/>
      <w:r w:rsidRPr="0026740E">
        <w:rPr>
          <w:sz w:val="24"/>
          <w:szCs w:val="24"/>
        </w:rPr>
        <w:t>antikoagulantia</w:t>
      </w:r>
      <w:proofErr w:type="spellEnd"/>
      <w:r w:rsidRPr="0026740E">
        <w:rPr>
          <w:sz w:val="24"/>
          <w:szCs w:val="24"/>
        </w:rPr>
        <w:t xml:space="preserve"> og langvarig regelmæssig daglig indtagelse af paracetamol.</w:t>
      </w:r>
    </w:p>
    <w:p w14:paraId="77B5741C" w14:textId="77777777" w:rsidR="007A225F" w:rsidRPr="0026740E" w:rsidRDefault="007A225F" w:rsidP="007A225F">
      <w:pPr>
        <w:tabs>
          <w:tab w:val="left" w:pos="851"/>
        </w:tabs>
        <w:ind w:left="851"/>
        <w:rPr>
          <w:sz w:val="24"/>
          <w:szCs w:val="24"/>
        </w:rPr>
      </w:pPr>
    </w:p>
    <w:p w14:paraId="073458C7" w14:textId="77777777" w:rsidR="007A225F" w:rsidRPr="0026740E" w:rsidRDefault="007A225F" w:rsidP="007A225F">
      <w:pPr>
        <w:tabs>
          <w:tab w:val="left" w:pos="851"/>
        </w:tabs>
        <w:ind w:left="851"/>
        <w:rPr>
          <w:sz w:val="24"/>
          <w:szCs w:val="24"/>
        </w:rPr>
      </w:pPr>
      <w:r w:rsidRPr="0026740E">
        <w:rPr>
          <w:sz w:val="24"/>
          <w:szCs w:val="24"/>
        </w:rPr>
        <w:t>Muligheden for nedsat nyrefunktion kan ikke udelukkes i den langvarige behandling.</w:t>
      </w:r>
    </w:p>
    <w:p w14:paraId="7E3E6E7B" w14:textId="77777777" w:rsidR="007A225F" w:rsidRPr="0026740E" w:rsidRDefault="007A225F" w:rsidP="007A225F">
      <w:pPr>
        <w:tabs>
          <w:tab w:val="left" w:pos="851"/>
        </w:tabs>
        <w:ind w:left="851"/>
        <w:rPr>
          <w:sz w:val="24"/>
          <w:szCs w:val="24"/>
        </w:rPr>
      </w:pPr>
    </w:p>
    <w:p w14:paraId="3C215A9F" w14:textId="77777777" w:rsidR="007A225F" w:rsidRPr="0026740E" w:rsidRDefault="007A225F" w:rsidP="007A225F">
      <w:pPr>
        <w:tabs>
          <w:tab w:val="left" w:pos="851"/>
        </w:tabs>
        <w:ind w:left="851"/>
        <w:rPr>
          <w:sz w:val="24"/>
          <w:szCs w:val="24"/>
        </w:rPr>
      </w:pPr>
      <w:r w:rsidRPr="0026740E">
        <w:rPr>
          <w:sz w:val="24"/>
          <w:szCs w:val="24"/>
        </w:rPr>
        <w:t xml:space="preserve">Forsigtighed tilrådes, når paracetamol gives samtidigt med </w:t>
      </w:r>
      <w:proofErr w:type="spellStart"/>
      <w:r w:rsidRPr="0026740E">
        <w:rPr>
          <w:sz w:val="24"/>
          <w:szCs w:val="24"/>
        </w:rPr>
        <w:t>flucloxacillin</w:t>
      </w:r>
      <w:proofErr w:type="spellEnd"/>
      <w:r w:rsidRPr="0026740E">
        <w:rPr>
          <w:sz w:val="24"/>
          <w:szCs w:val="24"/>
        </w:rPr>
        <w:t xml:space="preserve"> på grund af den forhøjede risiko for metabolisk </w:t>
      </w:r>
      <w:proofErr w:type="spellStart"/>
      <w:r w:rsidRPr="0026740E">
        <w:rPr>
          <w:sz w:val="24"/>
          <w:szCs w:val="24"/>
        </w:rPr>
        <w:t>acidose</w:t>
      </w:r>
      <w:proofErr w:type="spellEnd"/>
      <w:r w:rsidRPr="0026740E">
        <w:rPr>
          <w:sz w:val="24"/>
          <w:szCs w:val="24"/>
        </w:rPr>
        <w:t xml:space="preserve"> med højt anion-</w:t>
      </w:r>
      <w:proofErr w:type="spellStart"/>
      <w:r w:rsidRPr="0026740E">
        <w:rPr>
          <w:sz w:val="24"/>
          <w:szCs w:val="24"/>
        </w:rPr>
        <w:t>gap</w:t>
      </w:r>
      <w:proofErr w:type="spellEnd"/>
      <w:r w:rsidRPr="0026740E">
        <w:rPr>
          <w:sz w:val="24"/>
          <w:szCs w:val="24"/>
        </w:rPr>
        <w:t xml:space="preserve"> (HAGMA), særligt for patienter med svært nedsat nyrefunktion, sepsis, fejlernæring og andre kilder til </w:t>
      </w:r>
      <w:proofErr w:type="spellStart"/>
      <w:r w:rsidRPr="0026740E">
        <w:rPr>
          <w:sz w:val="24"/>
          <w:szCs w:val="24"/>
        </w:rPr>
        <w:lastRenderedPageBreak/>
        <w:t>glutathionmangel</w:t>
      </w:r>
      <w:proofErr w:type="spellEnd"/>
      <w:r w:rsidRPr="0026740E">
        <w:rPr>
          <w:sz w:val="24"/>
          <w:szCs w:val="24"/>
        </w:rPr>
        <w:t xml:space="preserve"> (f.eks. kronisk alkoholisme), så vel som for dem, der anvender maksimale daglige doser af paracetamol. Tæt monitorering anbefales herunder måling af 5-oxoprolin i urinen.</w:t>
      </w:r>
    </w:p>
    <w:p w14:paraId="794D6A88" w14:textId="77777777" w:rsidR="009260DE" w:rsidRPr="0026740E" w:rsidRDefault="009260DE" w:rsidP="009260DE">
      <w:pPr>
        <w:tabs>
          <w:tab w:val="left" w:pos="851"/>
        </w:tabs>
        <w:ind w:left="851"/>
        <w:rPr>
          <w:sz w:val="24"/>
          <w:szCs w:val="24"/>
        </w:rPr>
      </w:pPr>
    </w:p>
    <w:p w14:paraId="29FCE988" w14:textId="77777777" w:rsidR="009260DE" w:rsidRPr="0026740E" w:rsidRDefault="009260DE" w:rsidP="009260DE">
      <w:pPr>
        <w:tabs>
          <w:tab w:val="left" w:pos="851"/>
        </w:tabs>
        <w:ind w:left="851" w:hanging="851"/>
        <w:rPr>
          <w:b/>
          <w:sz w:val="24"/>
          <w:szCs w:val="24"/>
        </w:rPr>
      </w:pPr>
      <w:r w:rsidRPr="0026740E">
        <w:rPr>
          <w:b/>
          <w:sz w:val="24"/>
          <w:szCs w:val="24"/>
        </w:rPr>
        <w:t>4.5</w:t>
      </w:r>
      <w:r w:rsidRPr="0026740E">
        <w:rPr>
          <w:b/>
          <w:sz w:val="24"/>
          <w:szCs w:val="24"/>
        </w:rPr>
        <w:tab/>
        <w:t>Interaktion med andre lægemidler og andre former for interaktion</w:t>
      </w:r>
    </w:p>
    <w:p w14:paraId="3C193A4E" w14:textId="77777777" w:rsidR="007A225F" w:rsidRPr="0026740E" w:rsidRDefault="007A225F" w:rsidP="00A35769">
      <w:pPr>
        <w:ind w:left="851"/>
        <w:rPr>
          <w:sz w:val="24"/>
          <w:szCs w:val="24"/>
          <w:lang w:eastAsia="da-DK"/>
        </w:rPr>
      </w:pPr>
      <w:r w:rsidRPr="0026740E">
        <w:rPr>
          <w:sz w:val="24"/>
          <w:szCs w:val="24"/>
        </w:rPr>
        <w:t xml:space="preserve">Absorptionshastigheden af paracetamol kan forøges med </w:t>
      </w:r>
      <w:proofErr w:type="spellStart"/>
      <w:r w:rsidRPr="0026740E">
        <w:rPr>
          <w:sz w:val="24"/>
          <w:szCs w:val="24"/>
        </w:rPr>
        <w:t>metoclopramid</w:t>
      </w:r>
      <w:proofErr w:type="spellEnd"/>
      <w:r w:rsidRPr="0026740E">
        <w:rPr>
          <w:sz w:val="24"/>
          <w:szCs w:val="24"/>
        </w:rPr>
        <w:t xml:space="preserve"> eller </w:t>
      </w:r>
      <w:proofErr w:type="spellStart"/>
      <w:r w:rsidRPr="0026740E">
        <w:rPr>
          <w:sz w:val="24"/>
          <w:szCs w:val="24"/>
        </w:rPr>
        <w:t>domperidon</w:t>
      </w:r>
      <w:proofErr w:type="spellEnd"/>
      <w:r w:rsidRPr="0026740E">
        <w:rPr>
          <w:sz w:val="24"/>
          <w:szCs w:val="24"/>
        </w:rPr>
        <w:t>. Samtidig brug behøves dog ikke at undgås.</w:t>
      </w:r>
    </w:p>
    <w:p w14:paraId="2EDEA8FD" w14:textId="77777777" w:rsidR="007A225F" w:rsidRPr="0026740E" w:rsidRDefault="007A225F" w:rsidP="00A35769">
      <w:pPr>
        <w:ind w:left="851"/>
        <w:rPr>
          <w:sz w:val="24"/>
          <w:szCs w:val="24"/>
        </w:rPr>
      </w:pPr>
    </w:p>
    <w:p w14:paraId="2F05C5E8" w14:textId="77777777" w:rsidR="007A225F" w:rsidRPr="0026740E" w:rsidRDefault="007A225F" w:rsidP="007A225F">
      <w:pPr>
        <w:ind w:left="850"/>
        <w:rPr>
          <w:sz w:val="24"/>
          <w:szCs w:val="24"/>
        </w:rPr>
      </w:pPr>
      <w:proofErr w:type="spellStart"/>
      <w:r w:rsidRPr="0026740E">
        <w:rPr>
          <w:sz w:val="24"/>
          <w:szCs w:val="24"/>
        </w:rPr>
        <w:t>Cholestyramin</w:t>
      </w:r>
      <w:proofErr w:type="spellEnd"/>
      <w:r w:rsidRPr="0026740E">
        <w:rPr>
          <w:sz w:val="24"/>
          <w:szCs w:val="24"/>
        </w:rPr>
        <w:t xml:space="preserve"> reducerer absorptionen af paracetamol. Paracetamol bør administreres mindst 1 time før eller 4</w:t>
      </w:r>
      <w:r w:rsidRPr="0026740E">
        <w:rPr>
          <w:sz w:val="24"/>
          <w:szCs w:val="24"/>
        </w:rPr>
        <w:noBreakHyphen/>
        <w:t xml:space="preserve">6 timer efter </w:t>
      </w:r>
      <w:proofErr w:type="spellStart"/>
      <w:r w:rsidRPr="0026740E">
        <w:rPr>
          <w:sz w:val="24"/>
          <w:szCs w:val="24"/>
        </w:rPr>
        <w:t>cholestyramin</w:t>
      </w:r>
      <w:proofErr w:type="spellEnd"/>
      <w:r w:rsidRPr="0026740E">
        <w:rPr>
          <w:sz w:val="24"/>
          <w:szCs w:val="24"/>
        </w:rPr>
        <w:t>.</w:t>
      </w:r>
    </w:p>
    <w:p w14:paraId="0B862083" w14:textId="77777777" w:rsidR="007A225F" w:rsidRPr="0026740E" w:rsidRDefault="007A225F" w:rsidP="007A225F">
      <w:pPr>
        <w:ind w:left="850"/>
        <w:rPr>
          <w:sz w:val="24"/>
          <w:szCs w:val="24"/>
        </w:rPr>
      </w:pPr>
    </w:p>
    <w:p w14:paraId="339A0327" w14:textId="77777777" w:rsidR="007A225F" w:rsidRPr="0026740E" w:rsidRDefault="007A225F" w:rsidP="007A225F">
      <w:pPr>
        <w:ind w:left="850"/>
        <w:rPr>
          <w:sz w:val="24"/>
          <w:szCs w:val="24"/>
        </w:rPr>
      </w:pPr>
      <w:r w:rsidRPr="0026740E">
        <w:rPr>
          <w:sz w:val="24"/>
          <w:szCs w:val="24"/>
        </w:rPr>
        <w:t xml:space="preserve">Langvarig samtidig administration med acetylsalicylsyre eller andre </w:t>
      </w:r>
      <w:proofErr w:type="spellStart"/>
      <w:r w:rsidRPr="0026740E">
        <w:rPr>
          <w:sz w:val="24"/>
          <w:szCs w:val="24"/>
        </w:rPr>
        <w:t>NSAID'er</w:t>
      </w:r>
      <w:proofErr w:type="spellEnd"/>
      <w:r w:rsidRPr="0026740E">
        <w:rPr>
          <w:sz w:val="24"/>
          <w:szCs w:val="24"/>
        </w:rPr>
        <w:t xml:space="preserve"> kan føre til nyreskader.</w:t>
      </w:r>
    </w:p>
    <w:p w14:paraId="3677C689" w14:textId="77777777" w:rsidR="007A225F" w:rsidRPr="0026740E" w:rsidRDefault="007A225F" w:rsidP="007A225F">
      <w:pPr>
        <w:ind w:left="850"/>
        <w:rPr>
          <w:sz w:val="24"/>
          <w:szCs w:val="24"/>
        </w:rPr>
      </w:pPr>
    </w:p>
    <w:p w14:paraId="2C0847AB" w14:textId="77777777" w:rsidR="007A225F" w:rsidRPr="0026740E" w:rsidRDefault="007A225F" w:rsidP="007A225F">
      <w:pPr>
        <w:ind w:left="850"/>
        <w:rPr>
          <w:sz w:val="24"/>
          <w:szCs w:val="24"/>
        </w:rPr>
      </w:pPr>
      <w:r w:rsidRPr="0026740E">
        <w:rPr>
          <w:sz w:val="24"/>
          <w:szCs w:val="24"/>
        </w:rPr>
        <w:t xml:space="preserve">Den antikoagulerende effekt af </w:t>
      </w:r>
      <w:proofErr w:type="spellStart"/>
      <w:r w:rsidRPr="0026740E">
        <w:rPr>
          <w:sz w:val="24"/>
          <w:szCs w:val="24"/>
        </w:rPr>
        <w:t>warfarin</w:t>
      </w:r>
      <w:proofErr w:type="spellEnd"/>
      <w:r w:rsidRPr="0026740E">
        <w:rPr>
          <w:sz w:val="24"/>
          <w:szCs w:val="24"/>
        </w:rPr>
        <w:t xml:space="preserve"> eller andre </w:t>
      </w:r>
      <w:proofErr w:type="spellStart"/>
      <w:r w:rsidRPr="0026740E">
        <w:rPr>
          <w:sz w:val="24"/>
          <w:szCs w:val="24"/>
        </w:rPr>
        <w:t>coumarinprodukter</w:t>
      </w:r>
      <w:proofErr w:type="spellEnd"/>
      <w:r w:rsidRPr="0026740E">
        <w:rPr>
          <w:sz w:val="24"/>
          <w:szCs w:val="24"/>
        </w:rPr>
        <w:t xml:space="preserve"> kan øges sammen med en øget risiko for blødning med langvarig regelmæssig daglig indtagelse af paracetamol. Lejlighedsvis brug har ingen signifikant effekt.</w:t>
      </w:r>
    </w:p>
    <w:p w14:paraId="54B2330D" w14:textId="77777777" w:rsidR="007A225F" w:rsidRPr="0026740E" w:rsidRDefault="007A225F" w:rsidP="007A225F">
      <w:pPr>
        <w:ind w:left="850"/>
        <w:rPr>
          <w:sz w:val="24"/>
          <w:szCs w:val="24"/>
        </w:rPr>
      </w:pPr>
    </w:p>
    <w:p w14:paraId="535D61F2" w14:textId="77777777" w:rsidR="007A225F" w:rsidRPr="0026740E" w:rsidRDefault="007A225F" w:rsidP="007A225F">
      <w:pPr>
        <w:ind w:left="850"/>
        <w:rPr>
          <w:sz w:val="24"/>
          <w:szCs w:val="24"/>
        </w:rPr>
      </w:pPr>
      <w:proofErr w:type="spellStart"/>
      <w:r w:rsidRPr="0026740E">
        <w:rPr>
          <w:sz w:val="24"/>
          <w:szCs w:val="24"/>
        </w:rPr>
        <w:t>Hepatotoksiske</w:t>
      </w:r>
      <w:proofErr w:type="spellEnd"/>
      <w:r w:rsidRPr="0026740E">
        <w:rPr>
          <w:sz w:val="24"/>
          <w:szCs w:val="24"/>
        </w:rPr>
        <w:t xml:space="preserve"> stoffer kan øge den potentielle ophobning og overdosering med paracetamol.</w:t>
      </w:r>
    </w:p>
    <w:p w14:paraId="40837427" w14:textId="77777777" w:rsidR="007A225F" w:rsidRPr="0026740E" w:rsidRDefault="007A225F" w:rsidP="007A225F">
      <w:pPr>
        <w:ind w:left="850"/>
        <w:rPr>
          <w:sz w:val="24"/>
          <w:szCs w:val="24"/>
        </w:rPr>
      </w:pPr>
    </w:p>
    <w:p w14:paraId="0E0BE3F2" w14:textId="77777777" w:rsidR="007A225F" w:rsidRPr="0026740E" w:rsidRDefault="007A225F" w:rsidP="007A225F">
      <w:pPr>
        <w:ind w:left="850"/>
        <w:rPr>
          <w:sz w:val="24"/>
          <w:szCs w:val="24"/>
        </w:rPr>
      </w:pPr>
      <w:r w:rsidRPr="0026740E">
        <w:rPr>
          <w:sz w:val="24"/>
          <w:szCs w:val="24"/>
        </w:rPr>
        <w:t xml:space="preserve">Paracetamol kan påvirke </w:t>
      </w:r>
      <w:proofErr w:type="spellStart"/>
      <w:r w:rsidRPr="0026740E">
        <w:rPr>
          <w:sz w:val="24"/>
          <w:szCs w:val="24"/>
        </w:rPr>
        <w:t>chloramphenicols</w:t>
      </w:r>
      <w:proofErr w:type="spellEnd"/>
      <w:r w:rsidRPr="0026740E">
        <w:rPr>
          <w:sz w:val="24"/>
          <w:szCs w:val="24"/>
        </w:rPr>
        <w:t xml:space="preserve"> farmakokinetik. </w:t>
      </w:r>
      <w:r w:rsidRPr="0026740E">
        <w:rPr>
          <w:color w:val="000000"/>
          <w:sz w:val="24"/>
          <w:szCs w:val="24"/>
        </w:rPr>
        <w:t xml:space="preserve">Det anbefales at monitorere plasmaniveauet af </w:t>
      </w:r>
      <w:proofErr w:type="spellStart"/>
      <w:r w:rsidRPr="0026740E">
        <w:rPr>
          <w:color w:val="000000"/>
          <w:sz w:val="24"/>
          <w:szCs w:val="24"/>
        </w:rPr>
        <w:t>chloramphenicol</w:t>
      </w:r>
      <w:proofErr w:type="spellEnd"/>
      <w:r w:rsidRPr="0026740E">
        <w:rPr>
          <w:color w:val="000000"/>
          <w:sz w:val="24"/>
          <w:szCs w:val="24"/>
        </w:rPr>
        <w:t xml:space="preserve"> i tilfælde af samtidig behandling med paracetamol og </w:t>
      </w:r>
      <w:proofErr w:type="spellStart"/>
      <w:r w:rsidRPr="0026740E">
        <w:rPr>
          <w:color w:val="000000"/>
          <w:sz w:val="24"/>
          <w:szCs w:val="24"/>
        </w:rPr>
        <w:t>chloramphenicol</w:t>
      </w:r>
      <w:proofErr w:type="spellEnd"/>
      <w:r w:rsidRPr="0026740E">
        <w:rPr>
          <w:color w:val="000000"/>
          <w:sz w:val="24"/>
          <w:szCs w:val="24"/>
        </w:rPr>
        <w:t>-injektioner.</w:t>
      </w:r>
    </w:p>
    <w:p w14:paraId="79348457" w14:textId="77777777" w:rsidR="007A225F" w:rsidRPr="0026740E" w:rsidRDefault="007A225F" w:rsidP="007A225F">
      <w:pPr>
        <w:ind w:left="850"/>
        <w:rPr>
          <w:sz w:val="24"/>
          <w:szCs w:val="24"/>
        </w:rPr>
      </w:pPr>
    </w:p>
    <w:p w14:paraId="6EC5FE1B" w14:textId="77777777" w:rsidR="007A225F" w:rsidRPr="0026740E" w:rsidRDefault="007A225F" w:rsidP="007A225F">
      <w:pPr>
        <w:ind w:left="850"/>
        <w:rPr>
          <w:sz w:val="24"/>
          <w:szCs w:val="24"/>
        </w:rPr>
      </w:pPr>
      <w:proofErr w:type="spellStart"/>
      <w:r w:rsidRPr="0026740E">
        <w:rPr>
          <w:sz w:val="24"/>
          <w:szCs w:val="24"/>
        </w:rPr>
        <w:t>Probenecid</w:t>
      </w:r>
      <w:proofErr w:type="spellEnd"/>
      <w:r w:rsidRPr="0026740E">
        <w:rPr>
          <w:sz w:val="24"/>
          <w:szCs w:val="24"/>
        </w:rPr>
        <w:t xml:space="preserve"> reducerer </w:t>
      </w:r>
      <w:proofErr w:type="spellStart"/>
      <w:r w:rsidRPr="0026740E">
        <w:rPr>
          <w:i/>
          <w:iCs/>
          <w:sz w:val="24"/>
          <w:szCs w:val="24"/>
        </w:rPr>
        <w:t>clearance</w:t>
      </w:r>
      <w:proofErr w:type="spellEnd"/>
      <w:r w:rsidRPr="0026740E">
        <w:rPr>
          <w:sz w:val="24"/>
          <w:szCs w:val="24"/>
        </w:rPr>
        <w:t xml:space="preserve"> af paracetamol med næsten 50 %. Derfor kan dosis af paracetamol halveres under samtidig behandling.</w:t>
      </w:r>
    </w:p>
    <w:p w14:paraId="3CB23F6E" w14:textId="77777777" w:rsidR="007A225F" w:rsidRPr="0026740E" w:rsidRDefault="007A225F" w:rsidP="007A225F">
      <w:pPr>
        <w:ind w:left="850"/>
        <w:rPr>
          <w:sz w:val="24"/>
          <w:szCs w:val="24"/>
        </w:rPr>
      </w:pPr>
    </w:p>
    <w:p w14:paraId="1D382EE9" w14:textId="77777777" w:rsidR="007A225F" w:rsidRPr="0026740E" w:rsidRDefault="007A225F" w:rsidP="007A225F">
      <w:pPr>
        <w:ind w:left="850"/>
        <w:rPr>
          <w:sz w:val="24"/>
          <w:szCs w:val="24"/>
        </w:rPr>
      </w:pPr>
      <w:r w:rsidRPr="0026740E">
        <w:rPr>
          <w:sz w:val="24"/>
          <w:szCs w:val="24"/>
        </w:rPr>
        <w:t xml:space="preserve">Induktorer af </w:t>
      </w:r>
      <w:proofErr w:type="spellStart"/>
      <w:r w:rsidRPr="0026740E">
        <w:rPr>
          <w:sz w:val="24"/>
          <w:szCs w:val="24"/>
        </w:rPr>
        <w:t>mikrosomale</w:t>
      </w:r>
      <w:proofErr w:type="spellEnd"/>
      <w:r w:rsidRPr="0026740E">
        <w:rPr>
          <w:sz w:val="24"/>
          <w:szCs w:val="24"/>
        </w:rPr>
        <w:t xml:space="preserve"> enzymer (fx </w:t>
      </w:r>
      <w:proofErr w:type="spellStart"/>
      <w:r w:rsidRPr="0026740E">
        <w:rPr>
          <w:sz w:val="24"/>
          <w:szCs w:val="24"/>
        </w:rPr>
        <w:t>rifampicin</w:t>
      </w:r>
      <w:proofErr w:type="spellEnd"/>
      <w:r w:rsidRPr="0026740E">
        <w:rPr>
          <w:sz w:val="24"/>
          <w:szCs w:val="24"/>
        </w:rPr>
        <w:t xml:space="preserve">, </w:t>
      </w:r>
      <w:proofErr w:type="spellStart"/>
      <w:r w:rsidRPr="0026740E">
        <w:rPr>
          <w:sz w:val="24"/>
          <w:szCs w:val="24"/>
        </w:rPr>
        <w:t>phenobarbital</w:t>
      </w:r>
      <w:proofErr w:type="spellEnd"/>
      <w:r w:rsidRPr="0026740E">
        <w:rPr>
          <w:sz w:val="24"/>
          <w:szCs w:val="24"/>
        </w:rPr>
        <w:t xml:space="preserve">, </w:t>
      </w:r>
      <w:proofErr w:type="spellStart"/>
      <w:r w:rsidRPr="0026740E">
        <w:rPr>
          <w:sz w:val="24"/>
          <w:szCs w:val="24"/>
        </w:rPr>
        <w:t>phenytoin</w:t>
      </w:r>
      <w:proofErr w:type="spellEnd"/>
      <w:r w:rsidRPr="0026740E">
        <w:rPr>
          <w:sz w:val="24"/>
          <w:szCs w:val="24"/>
        </w:rPr>
        <w:t xml:space="preserve">, </w:t>
      </w:r>
      <w:proofErr w:type="spellStart"/>
      <w:r w:rsidRPr="0026740E">
        <w:rPr>
          <w:sz w:val="24"/>
          <w:szCs w:val="24"/>
        </w:rPr>
        <w:t>carbamazepin</w:t>
      </w:r>
      <w:proofErr w:type="spellEnd"/>
      <w:r w:rsidRPr="0026740E">
        <w:rPr>
          <w:sz w:val="24"/>
          <w:szCs w:val="24"/>
        </w:rPr>
        <w:t xml:space="preserve">, perikon) reducerer biotilgængeligheden af paracetamol gennem en øget </w:t>
      </w:r>
      <w:proofErr w:type="spellStart"/>
      <w:r w:rsidRPr="0026740E">
        <w:rPr>
          <w:sz w:val="24"/>
          <w:szCs w:val="24"/>
        </w:rPr>
        <w:t>glukoronidering</w:t>
      </w:r>
      <w:proofErr w:type="spellEnd"/>
      <w:r w:rsidRPr="0026740E">
        <w:rPr>
          <w:sz w:val="24"/>
          <w:szCs w:val="24"/>
        </w:rPr>
        <w:t xml:space="preserve">, og risikoen for </w:t>
      </w:r>
      <w:proofErr w:type="spellStart"/>
      <w:r w:rsidRPr="0026740E">
        <w:rPr>
          <w:sz w:val="24"/>
          <w:szCs w:val="24"/>
        </w:rPr>
        <w:t>hepatotoksicitet</w:t>
      </w:r>
      <w:proofErr w:type="spellEnd"/>
      <w:r w:rsidRPr="0026740E">
        <w:rPr>
          <w:sz w:val="24"/>
          <w:szCs w:val="24"/>
        </w:rPr>
        <w:t xml:space="preserve"> er øget. Denne slags kombination bør undgås.</w:t>
      </w:r>
    </w:p>
    <w:p w14:paraId="0F6C7338" w14:textId="77777777" w:rsidR="007A225F" w:rsidRPr="0026740E" w:rsidRDefault="007A225F" w:rsidP="007A225F">
      <w:pPr>
        <w:ind w:left="850"/>
        <w:rPr>
          <w:sz w:val="24"/>
          <w:szCs w:val="24"/>
        </w:rPr>
      </w:pPr>
    </w:p>
    <w:p w14:paraId="4E8CE543" w14:textId="77777777" w:rsidR="007A225F" w:rsidRPr="0026740E" w:rsidRDefault="007A225F" w:rsidP="007A225F">
      <w:pPr>
        <w:ind w:left="850"/>
        <w:rPr>
          <w:sz w:val="24"/>
          <w:szCs w:val="24"/>
        </w:rPr>
      </w:pPr>
      <w:r w:rsidRPr="0026740E">
        <w:rPr>
          <w:sz w:val="24"/>
          <w:szCs w:val="24"/>
        </w:rPr>
        <w:t xml:space="preserve">Samtidig brug af paracetamol og </w:t>
      </w:r>
      <w:proofErr w:type="spellStart"/>
      <w:r w:rsidRPr="0026740E">
        <w:rPr>
          <w:sz w:val="24"/>
          <w:szCs w:val="24"/>
        </w:rPr>
        <w:t>zidovudin</w:t>
      </w:r>
      <w:proofErr w:type="spellEnd"/>
      <w:r w:rsidRPr="0026740E">
        <w:rPr>
          <w:sz w:val="24"/>
          <w:szCs w:val="24"/>
        </w:rPr>
        <w:t xml:space="preserve"> kan resultere i en øget risiko for </w:t>
      </w:r>
      <w:proofErr w:type="spellStart"/>
      <w:r w:rsidRPr="0026740E">
        <w:rPr>
          <w:sz w:val="24"/>
          <w:szCs w:val="24"/>
        </w:rPr>
        <w:t>neutropeni</w:t>
      </w:r>
      <w:proofErr w:type="spellEnd"/>
      <w:r w:rsidRPr="0026740E">
        <w:rPr>
          <w:sz w:val="24"/>
          <w:szCs w:val="24"/>
        </w:rPr>
        <w:t>.</w:t>
      </w:r>
    </w:p>
    <w:p w14:paraId="0E4424D8" w14:textId="77777777" w:rsidR="007A225F" w:rsidRPr="0026740E" w:rsidRDefault="007A225F" w:rsidP="007A225F">
      <w:pPr>
        <w:ind w:left="850"/>
        <w:rPr>
          <w:sz w:val="24"/>
          <w:szCs w:val="24"/>
        </w:rPr>
      </w:pPr>
    </w:p>
    <w:p w14:paraId="67461C5A" w14:textId="77777777" w:rsidR="007A225F" w:rsidRPr="0026740E" w:rsidRDefault="007A225F" w:rsidP="007A225F">
      <w:pPr>
        <w:ind w:left="850"/>
        <w:rPr>
          <w:sz w:val="24"/>
          <w:szCs w:val="24"/>
        </w:rPr>
      </w:pPr>
      <w:r w:rsidRPr="0026740E">
        <w:rPr>
          <w:sz w:val="24"/>
          <w:szCs w:val="24"/>
        </w:rPr>
        <w:t xml:space="preserve">Samtidig brug af paracetamol og </w:t>
      </w:r>
      <w:proofErr w:type="spellStart"/>
      <w:r w:rsidRPr="0026740E">
        <w:rPr>
          <w:sz w:val="24"/>
          <w:szCs w:val="24"/>
        </w:rPr>
        <w:t>isoniazid</w:t>
      </w:r>
      <w:proofErr w:type="spellEnd"/>
      <w:r w:rsidRPr="0026740E">
        <w:rPr>
          <w:sz w:val="24"/>
          <w:szCs w:val="24"/>
        </w:rPr>
        <w:t xml:space="preserve"> kan resultere i en øget risiko for </w:t>
      </w:r>
      <w:proofErr w:type="spellStart"/>
      <w:r w:rsidRPr="0026740E">
        <w:rPr>
          <w:sz w:val="24"/>
          <w:szCs w:val="24"/>
        </w:rPr>
        <w:t>hepatotoksicitet</w:t>
      </w:r>
      <w:proofErr w:type="spellEnd"/>
      <w:r w:rsidRPr="0026740E">
        <w:rPr>
          <w:sz w:val="24"/>
          <w:szCs w:val="24"/>
        </w:rPr>
        <w:t>.</w:t>
      </w:r>
    </w:p>
    <w:p w14:paraId="07BA9725" w14:textId="77777777" w:rsidR="007A225F" w:rsidRPr="0026740E" w:rsidRDefault="007A225F" w:rsidP="007A225F">
      <w:pPr>
        <w:ind w:left="850"/>
        <w:rPr>
          <w:sz w:val="24"/>
          <w:szCs w:val="24"/>
        </w:rPr>
      </w:pPr>
    </w:p>
    <w:p w14:paraId="1C450FE1" w14:textId="716F2C5D" w:rsidR="007A225F" w:rsidRPr="0026740E" w:rsidRDefault="007A225F" w:rsidP="007A225F">
      <w:pPr>
        <w:ind w:left="850"/>
        <w:rPr>
          <w:sz w:val="24"/>
          <w:szCs w:val="24"/>
        </w:rPr>
      </w:pPr>
      <w:r w:rsidRPr="0026740E">
        <w:rPr>
          <w:sz w:val="24"/>
          <w:szCs w:val="24"/>
        </w:rPr>
        <w:t xml:space="preserve">Der bør udvises forsigtighed, når paracetamol anvendes samtidig med </w:t>
      </w:r>
      <w:proofErr w:type="spellStart"/>
      <w:r w:rsidRPr="0026740E">
        <w:rPr>
          <w:sz w:val="24"/>
          <w:szCs w:val="24"/>
        </w:rPr>
        <w:t>flucloxacillin</w:t>
      </w:r>
      <w:proofErr w:type="spellEnd"/>
      <w:r w:rsidRPr="0026740E">
        <w:rPr>
          <w:sz w:val="24"/>
          <w:szCs w:val="24"/>
        </w:rPr>
        <w:t xml:space="preserve">, idet samtidig brug kan være forbundet med metabolisk </w:t>
      </w:r>
      <w:proofErr w:type="spellStart"/>
      <w:r w:rsidRPr="0026740E">
        <w:rPr>
          <w:sz w:val="24"/>
          <w:szCs w:val="24"/>
        </w:rPr>
        <w:t>acidose</w:t>
      </w:r>
      <w:proofErr w:type="spellEnd"/>
      <w:r w:rsidRPr="0026740E">
        <w:rPr>
          <w:sz w:val="24"/>
          <w:szCs w:val="24"/>
        </w:rPr>
        <w:t xml:space="preserve"> med højt anion-</w:t>
      </w:r>
      <w:proofErr w:type="spellStart"/>
      <w:r w:rsidRPr="0026740E">
        <w:rPr>
          <w:sz w:val="24"/>
          <w:szCs w:val="24"/>
        </w:rPr>
        <w:t>gap</w:t>
      </w:r>
      <w:proofErr w:type="spellEnd"/>
      <w:r w:rsidRPr="0026740E">
        <w:rPr>
          <w:sz w:val="24"/>
          <w:szCs w:val="24"/>
        </w:rPr>
        <w:t xml:space="preserve">, særligt hos patienter med risikofaktorer (se </w:t>
      </w:r>
      <w:r w:rsidR="0026740E">
        <w:rPr>
          <w:sz w:val="24"/>
          <w:szCs w:val="24"/>
        </w:rPr>
        <w:t>pkt.</w:t>
      </w:r>
      <w:r w:rsidRPr="0026740E">
        <w:rPr>
          <w:sz w:val="24"/>
          <w:szCs w:val="24"/>
        </w:rPr>
        <w:t xml:space="preserve"> 4.4).</w:t>
      </w:r>
    </w:p>
    <w:p w14:paraId="6691DB76" w14:textId="77777777" w:rsidR="009260DE" w:rsidRPr="0026740E" w:rsidRDefault="009260DE" w:rsidP="009260DE">
      <w:pPr>
        <w:tabs>
          <w:tab w:val="left" w:pos="851"/>
        </w:tabs>
        <w:ind w:left="851"/>
        <w:rPr>
          <w:sz w:val="24"/>
          <w:szCs w:val="24"/>
        </w:rPr>
      </w:pPr>
    </w:p>
    <w:p w14:paraId="049D2173" w14:textId="5A7BEB65" w:rsidR="009260DE" w:rsidRPr="0026740E" w:rsidRDefault="009260DE" w:rsidP="009260DE">
      <w:pPr>
        <w:tabs>
          <w:tab w:val="left" w:pos="851"/>
        </w:tabs>
        <w:ind w:left="851" w:hanging="851"/>
        <w:rPr>
          <w:b/>
          <w:sz w:val="24"/>
          <w:szCs w:val="24"/>
        </w:rPr>
      </w:pPr>
      <w:r w:rsidRPr="0026740E">
        <w:rPr>
          <w:b/>
          <w:sz w:val="24"/>
          <w:szCs w:val="24"/>
        </w:rPr>
        <w:t>4.6</w:t>
      </w:r>
      <w:r w:rsidRPr="0026740E">
        <w:rPr>
          <w:b/>
          <w:sz w:val="24"/>
          <w:szCs w:val="24"/>
        </w:rPr>
        <w:tab/>
      </w:r>
      <w:bookmarkStart w:id="6" w:name="_Hlk121742971"/>
      <w:r w:rsidR="00833002" w:rsidRPr="00BA4587">
        <w:rPr>
          <w:b/>
          <w:noProof/>
          <w:sz w:val="24"/>
          <w:szCs w:val="24"/>
        </w:rPr>
        <w:t>Fertilitet, g</w:t>
      </w:r>
      <w:r w:rsidR="00833002" w:rsidRPr="00BA4587">
        <w:rPr>
          <w:b/>
          <w:sz w:val="24"/>
          <w:szCs w:val="24"/>
        </w:rPr>
        <w:t>raviditet og amning</w:t>
      </w:r>
      <w:bookmarkEnd w:id="6"/>
    </w:p>
    <w:p w14:paraId="563C949F" w14:textId="77777777" w:rsidR="00A35769" w:rsidRPr="0026740E" w:rsidRDefault="00A35769" w:rsidP="007A225F">
      <w:pPr>
        <w:ind w:left="850"/>
        <w:rPr>
          <w:sz w:val="24"/>
          <w:szCs w:val="24"/>
          <w:u w:val="single"/>
        </w:rPr>
      </w:pPr>
    </w:p>
    <w:p w14:paraId="1256D868" w14:textId="1020D29D" w:rsidR="007A225F" w:rsidRPr="0026740E" w:rsidRDefault="007A225F" w:rsidP="007A225F">
      <w:pPr>
        <w:ind w:left="850"/>
        <w:rPr>
          <w:sz w:val="24"/>
          <w:szCs w:val="24"/>
          <w:u w:val="single"/>
          <w:lang w:eastAsia="da-DK"/>
        </w:rPr>
      </w:pPr>
      <w:r w:rsidRPr="0026740E">
        <w:rPr>
          <w:sz w:val="24"/>
          <w:szCs w:val="24"/>
          <w:u w:val="single"/>
        </w:rPr>
        <w:t>Graviditet</w:t>
      </w:r>
    </w:p>
    <w:p w14:paraId="28B8D7BD" w14:textId="77777777" w:rsidR="007A225F" w:rsidRPr="0026740E" w:rsidRDefault="007A225F" w:rsidP="007A225F">
      <w:pPr>
        <w:ind w:left="850"/>
        <w:rPr>
          <w:sz w:val="24"/>
          <w:szCs w:val="24"/>
          <w:u w:val="single"/>
        </w:rPr>
      </w:pPr>
      <w:r w:rsidRPr="0026740E">
        <w:rPr>
          <w:sz w:val="24"/>
          <w:szCs w:val="24"/>
        </w:rPr>
        <w:t xml:space="preserve">En stor mængde data for gravide kvinder indikerer ingen misdannelser eller </w:t>
      </w:r>
      <w:proofErr w:type="spellStart"/>
      <w:r w:rsidRPr="0026740E">
        <w:rPr>
          <w:color w:val="000000"/>
          <w:sz w:val="24"/>
          <w:szCs w:val="24"/>
        </w:rPr>
        <w:t>føtal</w:t>
      </w:r>
      <w:proofErr w:type="spellEnd"/>
      <w:r w:rsidRPr="0026740E">
        <w:rPr>
          <w:color w:val="000000"/>
          <w:sz w:val="24"/>
          <w:szCs w:val="24"/>
        </w:rPr>
        <w:t>/neonatal toksicitet</w:t>
      </w:r>
      <w:r w:rsidRPr="0026740E">
        <w:rPr>
          <w:sz w:val="24"/>
          <w:szCs w:val="24"/>
        </w:rPr>
        <w:t xml:space="preserve">. Epidemiologiske studier vedrørende nervesystemets udvikling hos børn, der eksponeres for paracetamol </w:t>
      </w:r>
      <w:r w:rsidRPr="0026740E">
        <w:rPr>
          <w:i/>
          <w:iCs/>
          <w:sz w:val="24"/>
          <w:szCs w:val="24"/>
        </w:rPr>
        <w:t xml:space="preserve">in </w:t>
      </w:r>
      <w:proofErr w:type="spellStart"/>
      <w:r w:rsidRPr="0026740E">
        <w:rPr>
          <w:i/>
          <w:iCs/>
          <w:sz w:val="24"/>
          <w:szCs w:val="24"/>
        </w:rPr>
        <w:t>utero</w:t>
      </w:r>
      <w:proofErr w:type="spellEnd"/>
      <w:r w:rsidRPr="0026740E">
        <w:rPr>
          <w:sz w:val="24"/>
          <w:szCs w:val="24"/>
        </w:rPr>
        <w:t xml:space="preserve">, viser </w:t>
      </w:r>
      <w:proofErr w:type="spellStart"/>
      <w:r w:rsidRPr="0026740E">
        <w:rPr>
          <w:sz w:val="24"/>
          <w:szCs w:val="24"/>
        </w:rPr>
        <w:t>inkonklusive</w:t>
      </w:r>
      <w:proofErr w:type="spellEnd"/>
      <w:r w:rsidRPr="0026740E">
        <w:rPr>
          <w:sz w:val="24"/>
          <w:szCs w:val="24"/>
        </w:rPr>
        <w:t xml:space="preserve"> resultater. Paracetamol kan anvendes under graviditet ved klinisk behov, men bør tages i den laveste effektive dosis i kortest mulig tid og med laveste mulige hyppighed.</w:t>
      </w:r>
    </w:p>
    <w:p w14:paraId="56392BDA" w14:textId="5105E7CA" w:rsidR="0026740E" w:rsidRDefault="0026740E">
      <w:pPr>
        <w:rPr>
          <w:sz w:val="24"/>
          <w:szCs w:val="24"/>
          <w:u w:val="single"/>
        </w:rPr>
      </w:pPr>
      <w:r>
        <w:rPr>
          <w:sz w:val="24"/>
          <w:szCs w:val="24"/>
          <w:u w:val="single"/>
        </w:rPr>
        <w:br w:type="page"/>
      </w:r>
    </w:p>
    <w:p w14:paraId="6A9A21E6" w14:textId="77777777" w:rsidR="007A225F" w:rsidRPr="0026740E" w:rsidRDefault="007A225F" w:rsidP="007A225F">
      <w:pPr>
        <w:ind w:left="850"/>
        <w:rPr>
          <w:sz w:val="24"/>
          <w:szCs w:val="24"/>
          <w:u w:val="single"/>
        </w:rPr>
      </w:pPr>
    </w:p>
    <w:p w14:paraId="6A541AE4" w14:textId="77777777" w:rsidR="007A225F" w:rsidRPr="0026740E" w:rsidRDefault="007A225F" w:rsidP="007A225F">
      <w:pPr>
        <w:ind w:left="850"/>
        <w:rPr>
          <w:sz w:val="24"/>
          <w:szCs w:val="24"/>
          <w:u w:val="single"/>
        </w:rPr>
      </w:pPr>
      <w:r w:rsidRPr="0026740E">
        <w:rPr>
          <w:sz w:val="24"/>
          <w:szCs w:val="24"/>
          <w:u w:val="single"/>
        </w:rPr>
        <w:t>Amning</w:t>
      </w:r>
    </w:p>
    <w:p w14:paraId="37988EB8" w14:textId="77777777" w:rsidR="007A225F" w:rsidRPr="0026740E" w:rsidRDefault="007A225F" w:rsidP="007A225F">
      <w:pPr>
        <w:ind w:left="850"/>
        <w:rPr>
          <w:sz w:val="24"/>
          <w:szCs w:val="24"/>
        </w:rPr>
      </w:pPr>
      <w:r w:rsidRPr="0026740E">
        <w:rPr>
          <w:sz w:val="24"/>
          <w:szCs w:val="24"/>
        </w:rPr>
        <w:t>Paracetamol udskilles i modermælken, men det er usandsynligt at det vil påvirke barnet ved terapeutiske doser. Det er ikke nødvendigt at stoppe amningen under kortvarig behandling med anbefalede doser af dette lægemiddel.</w:t>
      </w:r>
    </w:p>
    <w:p w14:paraId="72A80647" w14:textId="77777777" w:rsidR="007A225F" w:rsidRPr="0026740E" w:rsidRDefault="007A225F" w:rsidP="007A225F">
      <w:pPr>
        <w:ind w:left="850"/>
        <w:rPr>
          <w:sz w:val="24"/>
          <w:szCs w:val="24"/>
          <w:u w:val="single"/>
        </w:rPr>
      </w:pPr>
    </w:p>
    <w:p w14:paraId="3305BF0A" w14:textId="77777777" w:rsidR="007A225F" w:rsidRPr="0026740E" w:rsidRDefault="007A225F" w:rsidP="007A225F">
      <w:pPr>
        <w:tabs>
          <w:tab w:val="left" w:pos="851"/>
        </w:tabs>
        <w:ind w:left="851"/>
        <w:rPr>
          <w:sz w:val="24"/>
          <w:szCs w:val="24"/>
        </w:rPr>
      </w:pPr>
      <w:r w:rsidRPr="0026740E">
        <w:rPr>
          <w:sz w:val="24"/>
          <w:szCs w:val="24"/>
          <w:u w:val="single"/>
        </w:rPr>
        <w:t>Fertilitet</w:t>
      </w:r>
    </w:p>
    <w:p w14:paraId="7E7EB62D" w14:textId="77777777" w:rsidR="007A225F" w:rsidRPr="0026740E" w:rsidRDefault="007A225F" w:rsidP="007A225F">
      <w:pPr>
        <w:tabs>
          <w:tab w:val="left" w:pos="851"/>
        </w:tabs>
        <w:ind w:left="851"/>
        <w:rPr>
          <w:sz w:val="24"/>
          <w:szCs w:val="24"/>
        </w:rPr>
      </w:pPr>
      <w:r w:rsidRPr="0026740E">
        <w:rPr>
          <w:sz w:val="24"/>
          <w:szCs w:val="24"/>
        </w:rPr>
        <w:t>Ingen kliniske data er tilgængelige.</w:t>
      </w:r>
    </w:p>
    <w:p w14:paraId="287990C6" w14:textId="77777777" w:rsidR="009260DE" w:rsidRPr="0026740E" w:rsidRDefault="009260DE" w:rsidP="009260DE">
      <w:pPr>
        <w:tabs>
          <w:tab w:val="left" w:pos="851"/>
        </w:tabs>
        <w:ind w:left="851"/>
        <w:rPr>
          <w:sz w:val="24"/>
          <w:szCs w:val="24"/>
        </w:rPr>
      </w:pPr>
    </w:p>
    <w:p w14:paraId="5AB3D47E" w14:textId="2F3CF947" w:rsidR="009260DE" w:rsidRPr="0026740E" w:rsidRDefault="009260DE" w:rsidP="009260DE">
      <w:pPr>
        <w:tabs>
          <w:tab w:val="left" w:pos="851"/>
        </w:tabs>
        <w:ind w:left="851" w:hanging="851"/>
        <w:rPr>
          <w:b/>
          <w:sz w:val="24"/>
          <w:szCs w:val="24"/>
        </w:rPr>
      </w:pPr>
      <w:r w:rsidRPr="0026740E">
        <w:rPr>
          <w:b/>
          <w:sz w:val="24"/>
          <w:szCs w:val="24"/>
        </w:rPr>
        <w:t>4.7</w:t>
      </w:r>
      <w:r w:rsidRPr="0026740E">
        <w:rPr>
          <w:b/>
          <w:sz w:val="24"/>
          <w:szCs w:val="24"/>
        </w:rPr>
        <w:tab/>
      </w:r>
      <w:bookmarkStart w:id="7" w:name="_Hlk121750171"/>
      <w:r w:rsidR="00833002" w:rsidRPr="00BA4587">
        <w:rPr>
          <w:b/>
          <w:sz w:val="24"/>
          <w:szCs w:val="24"/>
        </w:rPr>
        <w:t xml:space="preserve">Virkning på evnen til at føre motorkøretøj </w:t>
      </w:r>
      <w:r w:rsidR="00833002" w:rsidRPr="00BA4587">
        <w:rPr>
          <w:b/>
          <w:noProof/>
          <w:sz w:val="24"/>
          <w:szCs w:val="24"/>
        </w:rPr>
        <w:t>og</w:t>
      </w:r>
      <w:r w:rsidR="00833002" w:rsidRPr="00BA4587">
        <w:rPr>
          <w:b/>
          <w:sz w:val="24"/>
          <w:szCs w:val="24"/>
        </w:rPr>
        <w:t xml:space="preserve"> betjene maskiner</w:t>
      </w:r>
      <w:bookmarkEnd w:id="7"/>
    </w:p>
    <w:p w14:paraId="0F847DD1" w14:textId="77777777" w:rsidR="007A225F" w:rsidRPr="0026740E" w:rsidRDefault="007A225F" w:rsidP="007A225F">
      <w:pPr>
        <w:tabs>
          <w:tab w:val="left" w:pos="851"/>
        </w:tabs>
        <w:ind w:left="851"/>
        <w:rPr>
          <w:sz w:val="24"/>
          <w:szCs w:val="24"/>
          <w:lang w:val="nb-NO" w:eastAsia="da-DK"/>
        </w:rPr>
      </w:pPr>
      <w:r w:rsidRPr="0026740E">
        <w:rPr>
          <w:sz w:val="24"/>
          <w:szCs w:val="24"/>
          <w:lang w:val="nb-NO"/>
        </w:rPr>
        <w:t>Ikke mærkning.</w:t>
      </w:r>
    </w:p>
    <w:p w14:paraId="68DB8122" w14:textId="486AA8FF" w:rsidR="007A225F" w:rsidRPr="0026740E" w:rsidRDefault="007A225F" w:rsidP="007A225F">
      <w:pPr>
        <w:tabs>
          <w:tab w:val="left" w:pos="851"/>
        </w:tabs>
        <w:ind w:left="851"/>
        <w:rPr>
          <w:sz w:val="24"/>
          <w:szCs w:val="24"/>
          <w:lang w:val="nb-NO"/>
        </w:rPr>
      </w:pPr>
      <w:r w:rsidRPr="0026740E">
        <w:rPr>
          <w:sz w:val="24"/>
          <w:szCs w:val="24"/>
          <w:lang w:val="nb-NO"/>
        </w:rPr>
        <w:t xml:space="preserve">Paracetamol </w:t>
      </w:r>
      <w:r w:rsidR="0026740E" w:rsidRPr="0026740E">
        <w:rPr>
          <w:sz w:val="24"/>
          <w:szCs w:val="24"/>
          <w:lang w:val="nb-NO"/>
        </w:rPr>
        <w:t>"Zentiva"</w:t>
      </w:r>
      <w:r w:rsidRPr="0026740E">
        <w:rPr>
          <w:sz w:val="24"/>
          <w:szCs w:val="24"/>
          <w:lang w:val="nb-NO"/>
        </w:rPr>
        <w:t xml:space="preserve"> påvirker ikke eller kun i ubetydelig grad evnen til at føre motorkøretøj og betjene maskiner.</w:t>
      </w:r>
    </w:p>
    <w:p w14:paraId="5627CD68" w14:textId="77777777" w:rsidR="009260DE" w:rsidRPr="0026740E" w:rsidRDefault="009260DE" w:rsidP="009260DE">
      <w:pPr>
        <w:tabs>
          <w:tab w:val="left" w:pos="851"/>
        </w:tabs>
        <w:ind w:left="851"/>
        <w:rPr>
          <w:sz w:val="24"/>
          <w:szCs w:val="24"/>
        </w:rPr>
      </w:pPr>
    </w:p>
    <w:p w14:paraId="4FFFFD00" w14:textId="77777777" w:rsidR="009260DE" w:rsidRPr="0026740E" w:rsidRDefault="009260DE" w:rsidP="009260DE">
      <w:pPr>
        <w:tabs>
          <w:tab w:val="left" w:pos="851"/>
        </w:tabs>
        <w:ind w:left="851" w:hanging="851"/>
        <w:rPr>
          <w:b/>
          <w:sz w:val="24"/>
          <w:szCs w:val="24"/>
        </w:rPr>
      </w:pPr>
      <w:r w:rsidRPr="0026740E">
        <w:rPr>
          <w:b/>
          <w:sz w:val="24"/>
          <w:szCs w:val="24"/>
        </w:rPr>
        <w:t>4.8</w:t>
      </w:r>
      <w:r w:rsidRPr="0026740E">
        <w:rPr>
          <w:b/>
          <w:sz w:val="24"/>
          <w:szCs w:val="24"/>
        </w:rPr>
        <w:tab/>
        <w:t>Bivirkninger</w:t>
      </w:r>
    </w:p>
    <w:p w14:paraId="4FFFD756" w14:textId="77777777" w:rsidR="007A225F" w:rsidRPr="0026740E" w:rsidRDefault="007A225F" w:rsidP="00A35769">
      <w:pPr>
        <w:ind w:left="851"/>
        <w:rPr>
          <w:sz w:val="24"/>
          <w:szCs w:val="24"/>
        </w:rPr>
      </w:pPr>
      <w:r w:rsidRPr="0026740E">
        <w:rPr>
          <w:sz w:val="24"/>
          <w:szCs w:val="24"/>
        </w:rPr>
        <w:t xml:space="preserve">Administration af paracetamol kan forårsage følgende uønskede virkninger (klassificeret i grupper i henhold til </w:t>
      </w:r>
      <w:proofErr w:type="spellStart"/>
      <w:r w:rsidRPr="0026740E">
        <w:rPr>
          <w:sz w:val="24"/>
          <w:szCs w:val="24"/>
        </w:rPr>
        <w:t>MedDRA</w:t>
      </w:r>
      <w:proofErr w:type="spellEnd"/>
      <w:r w:rsidRPr="0026740E">
        <w:rPr>
          <w:sz w:val="24"/>
          <w:szCs w:val="24"/>
        </w:rPr>
        <w:t>-terminologi med indikation af hyppighed som følger: Meget almindelig (≥ 1/10); almindelig (</w:t>
      </w:r>
      <w:r w:rsidRPr="0026740E">
        <w:rPr>
          <w:sz w:val="24"/>
          <w:szCs w:val="24"/>
        </w:rPr>
        <w:sym w:font="Symbol" w:char="F0B3"/>
      </w:r>
      <w:r w:rsidRPr="0026740E">
        <w:rPr>
          <w:sz w:val="24"/>
          <w:szCs w:val="24"/>
        </w:rPr>
        <w:t> 1/100 til &lt; 1/10); ikke almindelig (</w:t>
      </w:r>
      <w:r w:rsidRPr="0026740E">
        <w:rPr>
          <w:sz w:val="24"/>
          <w:szCs w:val="24"/>
        </w:rPr>
        <w:sym w:font="Symbol" w:char="F0B3"/>
      </w:r>
      <w:r w:rsidRPr="0026740E">
        <w:rPr>
          <w:sz w:val="24"/>
          <w:szCs w:val="24"/>
        </w:rPr>
        <w:t xml:space="preserve"> 1/1.000 til &lt; 1/100); sjælden (</w:t>
      </w:r>
      <w:r w:rsidRPr="0026740E">
        <w:rPr>
          <w:sz w:val="24"/>
          <w:szCs w:val="24"/>
        </w:rPr>
        <w:sym w:font="Symbol" w:char="F0B3"/>
      </w:r>
      <w:r w:rsidRPr="0026740E">
        <w:rPr>
          <w:sz w:val="24"/>
          <w:szCs w:val="24"/>
        </w:rPr>
        <w:t xml:space="preserve"> 1/10.000 til &lt; 1/1.000); meget sjælden (&lt; 1/10.000), ikke kendt (kan ikke estimeres ud fra de tilgængelige data). </w:t>
      </w:r>
    </w:p>
    <w:p w14:paraId="24F4E113" w14:textId="77777777" w:rsidR="007A225F" w:rsidRPr="0026740E" w:rsidRDefault="007A225F" w:rsidP="007A225F">
      <w:pPr>
        <w:ind w:left="850"/>
        <w:rPr>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1"/>
        <w:gridCol w:w="1860"/>
        <w:gridCol w:w="5627"/>
      </w:tblGrid>
      <w:tr w:rsidR="007A225F" w:rsidRPr="0026740E" w14:paraId="6FAE1F1F" w14:textId="77777777" w:rsidTr="00A35769">
        <w:trPr>
          <w:jc w:val="right"/>
        </w:trPr>
        <w:tc>
          <w:tcPr>
            <w:tcW w:w="1112" w:type="pct"/>
            <w:tcBorders>
              <w:top w:val="single" w:sz="4" w:space="0" w:color="auto"/>
              <w:left w:val="single" w:sz="4" w:space="0" w:color="auto"/>
              <w:bottom w:val="single" w:sz="4" w:space="0" w:color="auto"/>
              <w:right w:val="single" w:sz="4" w:space="0" w:color="auto"/>
            </w:tcBorders>
            <w:vAlign w:val="center"/>
            <w:hideMark/>
          </w:tcPr>
          <w:p w14:paraId="616B5FC8" w14:textId="77777777" w:rsidR="007A225F" w:rsidRPr="0026740E" w:rsidRDefault="007A225F">
            <w:pPr>
              <w:pStyle w:val="Normln"/>
              <w:spacing w:after="0" w:line="240" w:lineRule="auto"/>
              <w:rPr>
                <w:rFonts w:eastAsia="Times New Roman"/>
                <w:b/>
                <w:bCs/>
                <w:sz w:val="24"/>
                <w:szCs w:val="24"/>
                <w:lang w:val="da-DK" w:eastAsia="fr-LU"/>
              </w:rPr>
            </w:pPr>
            <w:proofErr w:type="spellStart"/>
            <w:r w:rsidRPr="0026740E">
              <w:rPr>
                <w:rFonts w:eastAsia="Times New Roman"/>
                <w:b/>
                <w:bCs/>
                <w:sz w:val="24"/>
                <w:szCs w:val="24"/>
                <w:lang w:val="da-DK" w:eastAsia="fr-LU"/>
              </w:rPr>
              <w:t>MedDRA</w:t>
            </w:r>
            <w:proofErr w:type="spellEnd"/>
            <w:r w:rsidRPr="0026740E">
              <w:rPr>
                <w:rFonts w:eastAsia="Times New Roman"/>
                <w:b/>
                <w:bCs/>
                <w:sz w:val="24"/>
                <w:szCs w:val="24"/>
                <w:lang w:val="da-DK" w:eastAsia="fr-LU"/>
              </w:rPr>
              <w:t xml:space="preserve"> systemorganklasse</w:t>
            </w:r>
          </w:p>
        </w:tc>
        <w:tc>
          <w:tcPr>
            <w:tcW w:w="966" w:type="pct"/>
            <w:tcBorders>
              <w:top w:val="single" w:sz="4" w:space="0" w:color="auto"/>
              <w:left w:val="single" w:sz="4" w:space="0" w:color="auto"/>
              <w:bottom w:val="single" w:sz="4" w:space="0" w:color="auto"/>
              <w:right w:val="single" w:sz="4" w:space="0" w:color="auto"/>
            </w:tcBorders>
            <w:hideMark/>
          </w:tcPr>
          <w:p w14:paraId="6F46593D" w14:textId="77777777" w:rsidR="007A225F" w:rsidRPr="0026740E" w:rsidRDefault="007A225F">
            <w:pPr>
              <w:pStyle w:val="Normln"/>
              <w:spacing w:after="0" w:line="240" w:lineRule="auto"/>
              <w:rPr>
                <w:rFonts w:eastAsia="Times New Roman"/>
                <w:b/>
                <w:bCs/>
                <w:sz w:val="24"/>
                <w:szCs w:val="24"/>
                <w:lang w:val="da-DK" w:eastAsia="fr-LU"/>
              </w:rPr>
            </w:pPr>
            <w:r w:rsidRPr="0026740E">
              <w:rPr>
                <w:rFonts w:eastAsia="Times New Roman"/>
                <w:b/>
                <w:bCs/>
                <w:sz w:val="24"/>
                <w:szCs w:val="24"/>
                <w:lang w:val="da-DK" w:eastAsia="fr-LU"/>
              </w:rPr>
              <w:t>Frekvens</w:t>
            </w:r>
          </w:p>
        </w:tc>
        <w:tc>
          <w:tcPr>
            <w:tcW w:w="2922" w:type="pct"/>
            <w:tcBorders>
              <w:top w:val="single" w:sz="4" w:space="0" w:color="auto"/>
              <w:left w:val="single" w:sz="4" w:space="0" w:color="auto"/>
              <w:bottom w:val="single" w:sz="4" w:space="0" w:color="auto"/>
              <w:right w:val="single" w:sz="4" w:space="0" w:color="auto"/>
            </w:tcBorders>
            <w:hideMark/>
          </w:tcPr>
          <w:p w14:paraId="78DA7457" w14:textId="77777777" w:rsidR="007A225F" w:rsidRPr="0026740E" w:rsidRDefault="007A225F">
            <w:pPr>
              <w:pStyle w:val="Normln"/>
              <w:spacing w:after="0" w:line="240" w:lineRule="auto"/>
              <w:rPr>
                <w:rFonts w:eastAsia="Times New Roman"/>
                <w:b/>
                <w:bCs/>
                <w:sz w:val="24"/>
                <w:szCs w:val="24"/>
                <w:lang w:val="da-DK" w:eastAsia="fr-LU"/>
              </w:rPr>
            </w:pPr>
            <w:r w:rsidRPr="0026740E">
              <w:rPr>
                <w:rFonts w:eastAsia="Times New Roman"/>
                <w:b/>
                <w:bCs/>
                <w:sz w:val="24"/>
                <w:szCs w:val="24"/>
                <w:lang w:val="da-DK" w:eastAsia="fr-LU"/>
              </w:rPr>
              <w:t>Bivirkninger</w:t>
            </w:r>
          </w:p>
        </w:tc>
      </w:tr>
      <w:tr w:rsidR="007A225F" w:rsidRPr="0026740E" w14:paraId="49C3D377" w14:textId="77777777" w:rsidTr="00A35769">
        <w:trPr>
          <w:trHeight w:val="567"/>
          <w:jc w:val="right"/>
        </w:trPr>
        <w:tc>
          <w:tcPr>
            <w:tcW w:w="1112" w:type="pct"/>
            <w:tcBorders>
              <w:top w:val="single" w:sz="4" w:space="0" w:color="auto"/>
              <w:left w:val="single" w:sz="4" w:space="0" w:color="auto"/>
              <w:bottom w:val="single" w:sz="4" w:space="0" w:color="auto"/>
              <w:right w:val="single" w:sz="4" w:space="0" w:color="auto"/>
            </w:tcBorders>
            <w:hideMark/>
          </w:tcPr>
          <w:p w14:paraId="05ECC94C"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 xml:space="preserve">Blod og lymfesystem  </w:t>
            </w:r>
          </w:p>
        </w:tc>
        <w:tc>
          <w:tcPr>
            <w:tcW w:w="966" w:type="pct"/>
            <w:tcBorders>
              <w:top w:val="single" w:sz="4" w:space="0" w:color="auto"/>
              <w:left w:val="single" w:sz="4" w:space="0" w:color="auto"/>
              <w:bottom w:val="single" w:sz="4" w:space="0" w:color="auto"/>
              <w:right w:val="single" w:sz="4" w:space="0" w:color="auto"/>
            </w:tcBorders>
            <w:hideMark/>
          </w:tcPr>
          <w:p w14:paraId="67F324C6"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Meget sjælden</w:t>
            </w:r>
          </w:p>
        </w:tc>
        <w:tc>
          <w:tcPr>
            <w:tcW w:w="2922" w:type="pct"/>
            <w:tcBorders>
              <w:top w:val="single" w:sz="4" w:space="0" w:color="auto"/>
              <w:left w:val="single" w:sz="4" w:space="0" w:color="auto"/>
              <w:bottom w:val="single" w:sz="4" w:space="0" w:color="auto"/>
              <w:right w:val="single" w:sz="4" w:space="0" w:color="auto"/>
            </w:tcBorders>
            <w:hideMark/>
          </w:tcPr>
          <w:p w14:paraId="75D6BAA9" w14:textId="77777777" w:rsidR="007A225F" w:rsidRPr="0026740E" w:rsidRDefault="007A225F">
            <w:pPr>
              <w:autoSpaceDE w:val="0"/>
              <w:autoSpaceDN w:val="0"/>
              <w:adjustRightInd w:val="0"/>
              <w:rPr>
                <w:sz w:val="24"/>
                <w:szCs w:val="24"/>
                <w:lang w:eastAsia="da-DK"/>
              </w:rPr>
            </w:pPr>
            <w:proofErr w:type="spellStart"/>
            <w:r w:rsidRPr="0026740E">
              <w:rPr>
                <w:sz w:val="24"/>
                <w:szCs w:val="24"/>
              </w:rPr>
              <w:t>Trombocytopeni</w:t>
            </w:r>
            <w:proofErr w:type="spellEnd"/>
          </w:p>
        </w:tc>
      </w:tr>
      <w:tr w:rsidR="007A225F" w:rsidRPr="0026740E" w14:paraId="41840897" w14:textId="77777777" w:rsidTr="00A35769">
        <w:trPr>
          <w:jc w:val="right"/>
        </w:trPr>
        <w:tc>
          <w:tcPr>
            <w:tcW w:w="1112" w:type="pct"/>
            <w:vMerge w:val="restart"/>
            <w:tcBorders>
              <w:top w:val="single" w:sz="4" w:space="0" w:color="auto"/>
              <w:left w:val="single" w:sz="4" w:space="0" w:color="auto"/>
              <w:bottom w:val="single" w:sz="4" w:space="0" w:color="auto"/>
              <w:right w:val="single" w:sz="4" w:space="0" w:color="auto"/>
            </w:tcBorders>
            <w:hideMark/>
          </w:tcPr>
          <w:p w14:paraId="78944F9F"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Immunsystemet</w:t>
            </w:r>
          </w:p>
        </w:tc>
        <w:tc>
          <w:tcPr>
            <w:tcW w:w="966" w:type="pct"/>
            <w:tcBorders>
              <w:top w:val="single" w:sz="4" w:space="0" w:color="auto"/>
              <w:left w:val="single" w:sz="4" w:space="0" w:color="auto"/>
              <w:bottom w:val="single" w:sz="4" w:space="0" w:color="auto"/>
              <w:right w:val="single" w:sz="4" w:space="0" w:color="auto"/>
            </w:tcBorders>
            <w:hideMark/>
          </w:tcPr>
          <w:p w14:paraId="6CBF8D55"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Sjælden</w:t>
            </w:r>
          </w:p>
        </w:tc>
        <w:tc>
          <w:tcPr>
            <w:tcW w:w="2922" w:type="pct"/>
            <w:tcBorders>
              <w:top w:val="single" w:sz="4" w:space="0" w:color="auto"/>
              <w:left w:val="single" w:sz="4" w:space="0" w:color="auto"/>
              <w:bottom w:val="single" w:sz="4" w:space="0" w:color="auto"/>
              <w:right w:val="single" w:sz="4" w:space="0" w:color="auto"/>
            </w:tcBorders>
            <w:hideMark/>
          </w:tcPr>
          <w:p w14:paraId="0B9DD86A" w14:textId="77777777" w:rsidR="007A225F" w:rsidRPr="0026740E" w:rsidRDefault="007A225F">
            <w:pPr>
              <w:pStyle w:val="Normln"/>
              <w:rPr>
                <w:rFonts w:eastAsia="Times New Roman"/>
                <w:sz w:val="24"/>
                <w:szCs w:val="24"/>
                <w:lang w:val="da-DK" w:eastAsia="fr-LU"/>
              </w:rPr>
            </w:pPr>
            <w:r w:rsidRPr="0026740E">
              <w:rPr>
                <w:rFonts w:eastAsia="Times New Roman"/>
                <w:sz w:val="24"/>
                <w:szCs w:val="24"/>
                <w:lang w:val="da-DK" w:eastAsia="fr-LU"/>
              </w:rPr>
              <w:t xml:space="preserve">Overfølsomhedsreaktion på huden inkl. udslæt og </w:t>
            </w:r>
            <w:proofErr w:type="spellStart"/>
            <w:r w:rsidRPr="0026740E">
              <w:rPr>
                <w:rFonts w:eastAsia="Times New Roman"/>
                <w:sz w:val="24"/>
                <w:szCs w:val="24"/>
                <w:lang w:val="da-DK" w:eastAsia="fr-LU"/>
              </w:rPr>
              <w:t>angioødem</w:t>
            </w:r>
            <w:proofErr w:type="spellEnd"/>
          </w:p>
        </w:tc>
      </w:tr>
      <w:tr w:rsidR="007A225F" w:rsidRPr="0026740E" w14:paraId="3F07965E" w14:textId="77777777" w:rsidTr="00A35769">
        <w:trPr>
          <w:jc w:val="right"/>
        </w:trPr>
        <w:tc>
          <w:tcPr>
            <w:tcW w:w="1112" w:type="pct"/>
            <w:vMerge/>
            <w:tcBorders>
              <w:top w:val="single" w:sz="4" w:space="0" w:color="auto"/>
              <w:left w:val="single" w:sz="4" w:space="0" w:color="auto"/>
              <w:bottom w:val="single" w:sz="4" w:space="0" w:color="auto"/>
              <w:right w:val="single" w:sz="4" w:space="0" w:color="auto"/>
            </w:tcBorders>
            <w:vAlign w:val="center"/>
            <w:hideMark/>
          </w:tcPr>
          <w:p w14:paraId="014A5789" w14:textId="77777777" w:rsidR="007A225F" w:rsidRPr="0026740E" w:rsidRDefault="007A225F">
            <w:pPr>
              <w:rPr>
                <w:sz w:val="24"/>
                <w:szCs w:val="24"/>
                <w:lang w:eastAsia="fr-LU"/>
              </w:rPr>
            </w:pPr>
          </w:p>
        </w:tc>
        <w:tc>
          <w:tcPr>
            <w:tcW w:w="966" w:type="pct"/>
            <w:tcBorders>
              <w:top w:val="single" w:sz="4" w:space="0" w:color="auto"/>
              <w:left w:val="single" w:sz="4" w:space="0" w:color="auto"/>
              <w:bottom w:val="single" w:sz="4" w:space="0" w:color="auto"/>
              <w:right w:val="single" w:sz="4" w:space="0" w:color="auto"/>
            </w:tcBorders>
            <w:hideMark/>
          </w:tcPr>
          <w:p w14:paraId="1C0CCB9C"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Meget sjælden</w:t>
            </w:r>
          </w:p>
        </w:tc>
        <w:tc>
          <w:tcPr>
            <w:tcW w:w="2922" w:type="pct"/>
            <w:tcBorders>
              <w:top w:val="single" w:sz="4" w:space="0" w:color="auto"/>
              <w:left w:val="single" w:sz="4" w:space="0" w:color="auto"/>
              <w:bottom w:val="single" w:sz="4" w:space="0" w:color="auto"/>
              <w:right w:val="single" w:sz="4" w:space="0" w:color="auto"/>
            </w:tcBorders>
            <w:hideMark/>
          </w:tcPr>
          <w:p w14:paraId="31EBD2ED" w14:textId="77777777" w:rsidR="007A225F" w:rsidRPr="0026740E" w:rsidRDefault="007A225F">
            <w:pPr>
              <w:pStyle w:val="Normln"/>
              <w:rPr>
                <w:rFonts w:eastAsia="Times New Roman"/>
                <w:sz w:val="24"/>
                <w:szCs w:val="24"/>
                <w:lang w:val="da-DK" w:eastAsia="fr-LU"/>
              </w:rPr>
            </w:pPr>
            <w:r w:rsidRPr="0026740E">
              <w:rPr>
                <w:rFonts w:eastAsia="Times New Roman"/>
                <w:sz w:val="24"/>
                <w:szCs w:val="24"/>
                <w:lang w:val="da-DK" w:eastAsia="fr-LU"/>
              </w:rPr>
              <w:t>Anafylaksi</w:t>
            </w:r>
          </w:p>
        </w:tc>
      </w:tr>
      <w:tr w:rsidR="007A225F" w:rsidRPr="0026740E" w14:paraId="56AD7CBC" w14:textId="77777777" w:rsidTr="00A35769">
        <w:trPr>
          <w:jc w:val="right"/>
        </w:trPr>
        <w:tc>
          <w:tcPr>
            <w:tcW w:w="1112" w:type="pct"/>
            <w:tcBorders>
              <w:top w:val="single" w:sz="4" w:space="0" w:color="auto"/>
              <w:left w:val="single" w:sz="4" w:space="0" w:color="auto"/>
              <w:bottom w:val="single" w:sz="4" w:space="0" w:color="auto"/>
              <w:right w:val="single" w:sz="4" w:space="0" w:color="auto"/>
            </w:tcBorders>
            <w:hideMark/>
          </w:tcPr>
          <w:p w14:paraId="21206230"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 xml:space="preserve">Luftveje, thorax og </w:t>
            </w:r>
            <w:proofErr w:type="spellStart"/>
            <w:r w:rsidRPr="0026740E">
              <w:rPr>
                <w:rFonts w:eastAsia="Times New Roman"/>
                <w:sz w:val="24"/>
                <w:szCs w:val="24"/>
                <w:lang w:val="da-DK" w:eastAsia="fr-LU"/>
              </w:rPr>
              <w:t>mediastinum</w:t>
            </w:r>
            <w:proofErr w:type="spellEnd"/>
          </w:p>
        </w:tc>
        <w:tc>
          <w:tcPr>
            <w:tcW w:w="966" w:type="pct"/>
            <w:tcBorders>
              <w:top w:val="single" w:sz="4" w:space="0" w:color="auto"/>
              <w:left w:val="single" w:sz="4" w:space="0" w:color="auto"/>
              <w:bottom w:val="single" w:sz="4" w:space="0" w:color="auto"/>
              <w:right w:val="single" w:sz="4" w:space="0" w:color="auto"/>
            </w:tcBorders>
            <w:hideMark/>
          </w:tcPr>
          <w:p w14:paraId="726398E9"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Meget sjælden</w:t>
            </w:r>
          </w:p>
        </w:tc>
        <w:tc>
          <w:tcPr>
            <w:tcW w:w="2922" w:type="pct"/>
            <w:tcBorders>
              <w:top w:val="single" w:sz="4" w:space="0" w:color="auto"/>
              <w:left w:val="single" w:sz="4" w:space="0" w:color="auto"/>
              <w:bottom w:val="single" w:sz="4" w:space="0" w:color="auto"/>
              <w:right w:val="single" w:sz="4" w:space="0" w:color="auto"/>
            </w:tcBorders>
            <w:hideMark/>
          </w:tcPr>
          <w:p w14:paraId="71EE1BCD" w14:textId="77777777" w:rsidR="007A225F" w:rsidRPr="0026740E" w:rsidRDefault="007A225F">
            <w:pPr>
              <w:pStyle w:val="Normln"/>
              <w:spacing w:after="0" w:line="240" w:lineRule="auto"/>
              <w:rPr>
                <w:rFonts w:eastAsia="Times New Roman"/>
                <w:sz w:val="24"/>
                <w:szCs w:val="24"/>
                <w:lang w:val="da-DK" w:eastAsia="fr-LU"/>
              </w:rPr>
            </w:pPr>
            <w:proofErr w:type="spellStart"/>
            <w:r w:rsidRPr="0026740E">
              <w:rPr>
                <w:rFonts w:eastAsia="Times New Roman"/>
                <w:sz w:val="24"/>
                <w:szCs w:val="24"/>
                <w:lang w:val="da-DK" w:eastAsia="fr-LU"/>
              </w:rPr>
              <w:t>Bronkospasmer</w:t>
            </w:r>
            <w:proofErr w:type="spellEnd"/>
            <w:r w:rsidRPr="0026740E">
              <w:rPr>
                <w:rFonts w:eastAsia="Times New Roman"/>
                <w:sz w:val="24"/>
                <w:szCs w:val="24"/>
                <w:lang w:val="da-DK" w:eastAsia="fr-LU"/>
              </w:rPr>
              <w:t>*</w:t>
            </w:r>
          </w:p>
        </w:tc>
      </w:tr>
      <w:tr w:rsidR="007A225F" w:rsidRPr="0026740E" w14:paraId="75482A43" w14:textId="77777777" w:rsidTr="00A35769">
        <w:trPr>
          <w:trHeight w:val="567"/>
          <w:jc w:val="right"/>
        </w:trPr>
        <w:tc>
          <w:tcPr>
            <w:tcW w:w="1112" w:type="pct"/>
            <w:tcBorders>
              <w:top w:val="single" w:sz="4" w:space="0" w:color="auto"/>
              <w:left w:val="single" w:sz="4" w:space="0" w:color="auto"/>
              <w:bottom w:val="single" w:sz="4" w:space="0" w:color="auto"/>
              <w:right w:val="single" w:sz="4" w:space="0" w:color="auto"/>
            </w:tcBorders>
            <w:hideMark/>
          </w:tcPr>
          <w:p w14:paraId="58971C7A"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Lever og galdeveje</w:t>
            </w:r>
          </w:p>
        </w:tc>
        <w:tc>
          <w:tcPr>
            <w:tcW w:w="966" w:type="pct"/>
            <w:tcBorders>
              <w:top w:val="single" w:sz="4" w:space="0" w:color="auto"/>
              <w:left w:val="single" w:sz="4" w:space="0" w:color="auto"/>
              <w:bottom w:val="single" w:sz="4" w:space="0" w:color="auto"/>
              <w:right w:val="single" w:sz="4" w:space="0" w:color="auto"/>
            </w:tcBorders>
            <w:hideMark/>
          </w:tcPr>
          <w:p w14:paraId="382C488A"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Meget sjælden</w:t>
            </w:r>
          </w:p>
        </w:tc>
        <w:tc>
          <w:tcPr>
            <w:tcW w:w="2922" w:type="pct"/>
            <w:tcBorders>
              <w:top w:val="single" w:sz="4" w:space="0" w:color="auto"/>
              <w:left w:val="single" w:sz="4" w:space="0" w:color="auto"/>
              <w:bottom w:val="single" w:sz="4" w:space="0" w:color="auto"/>
              <w:right w:val="single" w:sz="4" w:space="0" w:color="auto"/>
            </w:tcBorders>
            <w:hideMark/>
          </w:tcPr>
          <w:p w14:paraId="15E7B645" w14:textId="77777777" w:rsidR="007A225F" w:rsidRPr="0026740E" w:rsidRDefault="007A225F">
            <w:pPr>
              <w:pStyle w:val="Normln"/>
              <w:rPr>
                <w:rFonts w:eastAsia="Times New Roman"/>
                <w:sz w:val="24"/>
                <w:szCs w:val="24"/>
                <w:lang w:val="da-DK" w:eastAsia="fr-LU"/>
              </w:rPr>
            </w:pPr>
            <w:r w:rsidRPr="0026740E">
              <w:rPr>
                <w:rFonts w:eastAsia="Times New Roman"/>
                <w:sz w:val="24"/>
                <w:szCs w:val="24"/>
                <w:lang w:val="da-DK" w:eastAsia="fr-LU"/>
              </w:rPr>
              <w:t>Unormal leverfunktion</w:t>
            </w:r>
          </w:p>
        </w:tc>
      </w:tr>
      <w:tr w:rsidR="007A225F" w:rsidRPr="0026740E" w14:paraId="4E29F86D" w14:textId="77777777" w:rsidTr="00A35769">
        <w:trPr>
          <w:jc w:val="right"/>
        </w:trPr>
        <w:tc>
          <w:tcPr>
            <w:tcW w:w="1112" w:type="pct"/>
            <w:tcBorders>
              <w:top w:val="single" w:sz="4" w:space="0" w:color="auto"/>
              <w:left w:val="single" w:sz="4" w:space="0" w:color="auto"/>
              <w:bottom w:val="single" w:sz="4" w:space="0" w:color="auto"/>
              <w:right w:val="single" w:sz="4" w:space="0" w:color="auto"/>
            </w:tcBorders>
            <w:hideMark/>
          </w:tcPr>
          <w:p w14:paraId="6C8A4B31"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Hud og subkutane væv</w:t>
            </w:r>
          </w:p>
        </w:tc>
        <w:tc>
          <w:tcPr>
            <w:tcW w:w="966" w:type="pct"/>
            <w:tcBorders>
              <w:top w:val="single" w:sz="4" w:space="0" w:color="auto"/>
              <w:left w:val="single" w:sz="4" w:space="0" w:color="auto"/>
              <w:bottom w:val="single" w:sz="4" w:space="0" w:color="auto"/>
              <w:right w:val="single" w:sz="4" w:space="0" w:color="auto"/>
            </w:tcBorders>
            <w:hideMark/>
          </w:tcPr>
          <w:p w14:paraId="10738493" w14:textId="77777777" w:rsidR="007A225F" w:rsidRPr="0026740E" w:rsidRDefault="007A225F">
            <w:pPr>
              <w:pStyle w:val="Normln"/>
              <w:spacing w:after="0" w:line="240" w:lineRule="auto"/>
              <w:rPr>
                <w:rFonts w:eastAsia="Times New Roman"/>
                <w:sz w:val="24"/>
                <w:szCs w:val="24"/>
                <w:lang w:val="da-DK" w:eastAsia="fr-LU"/>
              </w:rPr>
            </w:pPr>
            <w:r w:rsidRPr="0026740E">
              <w:rPr>
                <w:rFonts w:eastAsia="Times New Roman"/>
                <w:sz w:val="24"/>
                <w:szCs w:val="24"/>
                <w:lang w:val="da-DK" w:eastAsia="fr-LU"/>
              </w:rPr>
              <w:t>Meget sjælden</w:t>
            </w:r>
          </w:p>
        </w:tc>
        <w:tc>
          <w:tcPr>
            <w:tcW w:w="2922" w:type="pct"/>
            <w:tcBorders>
              <w:top w:val="single" w:sz="4" w:space="0" w:color="auto"/>
              <w:left w:val="single" w:sz="4" w:space="0" w:color="auto"/>
              <w:bottom w:val="single" w:sz="4" w:space="0" w:color="auto"/>
              <w:right w:val="single" w:sz="4" w:space="0" w:color="auto"/>
            </w:tcBorders>
            <w:hideMark/>
          </w:tcPr>
          <w:p w14:paraId="3AB1B2ED" w14:textId="77777777" w:rsidR="007A225F" w:rsidRPr="0026740E" w:rsidRDefault="007A225F">
            <w:pPr>
              <w:pStyle w:val="Normln"/>
              <w:spacing w:after="0" w:line="240" w:lineRule="auto"/>
              <w:rPr>
                <w:rFonts w:eastAsia="Times New Roman"/>
                <w:sz w:val="24"/>
                <w:szCs w:val="24"/>
                <w:lang w:val="da-DK" w:eastAsia="fr-LU"/>
              </w:rPr>
            </w:pPr>
            <w:r w:rsidRPr="0026740E">
              <w:rPr>
                <w:sz w:val="24"/>
                <w:szCs w:val="24"/>
                <w:lang w:val="da-DK"/>
              </w:rPr>
              <w:t xml:space="preserve">Tilfælde af alvorlige hudreaktioner såsom toksisk </w:t>
            </w:r>
            <w:proofErr w:type="spellStart"/>
            <w:r w:rsidRPr="0026740E">
              <w:rPr>
                <w:sz w:val="24"/>
                <w:szCs w:val="24"/>
                <w:lang w:val="da-DK"/>
              </w:rPr>
              <w:t>epidermal</w:t>
            </w:r>
            <w:proofErr w:type="spellEnd"/>
            <w:r w:rsidRPr="0026740E">
              <w:rPr>
                <w:sz w:val="24"/>
                <w:szCs w:val="24"/>
                <w:lang w:val="da-DK"/>
              </w:rPr>
              <w:t xml:space="preserve"> </w:t>
            </w:r>
            <w:proofErr w:type="spellStart"/>
            <w:r w:rsidRPr="0026740E">
              <w:rPr>
                <w:sz w:val="24"/>
                <w:szCs w:val="24"/>
                <w:lang w:val="da-DK"/>
              </w:rPr>
              <w:t>nekrolyse</w:t>
            </w:r>
            <w:proofErr w:type="spellEnd"/>
            <w:r w:rsidRPr="0026740E">
              <w:rPr>
                <w:sz w:val="24"/>
                <w:szCs w:val="24"/>
                <w:lang w:val="da-DK"/>
              </w:rPr>
              <w:t xml:space="preserve"> (TEN), Stevens-Johnsons syndrom (SJS), akut generaliseret </w:t>
            </w:r>
            <w:proofErr w:type="spellStart"/>
            <w:r w:rsidRPr="0026740E">
              <w:rPr>
                <w:sz w:val="24"/>
                <w:szCs w:val="24"/>
                <w:lang w:val="da-DK"/>
              </w:rPr>
              <w:t>eksantematøs</w:t>
            </w:r>
            <w:proofErr w:type="spellEnd"/>
            <w:r w:rsidRPr="0026740E">
              <w:rPr>
                <w:sz w:val="24"/>
                <w:szCs w:val="24"/>
                <w:lang w:val="da-DK"/>
              </w:rPr>
              <w:t xml:space="preserve"> </w:t>
            </w:r>
            <w:proofErr w:type="spellStart"/>
            <w:r w:rsidRPr="0026740E">
              <w:rPr>
                <w:sz w:val="24"/>
                <w:szCs w:val="24"/>
                <w:lang w:val="da-DK"/>
              </w:rPr>
              <w:t>pustulose</w:t>
            </w:r>
            <w:proofErr w:type="spellEnd"/>
          </w:p>
        </w:tc>
      </w:tr>
    </w:tbl>
    <w:p w14:paraId="3B2C4EA1" w14:textId="77777777" w:rsidR="007A225F" w:rsidRPr="0026740E" w:rsidRDefault="007A225F" w:rsidP="0026740E">
      <w:pPr>
        <w:rPr>
          <w:sz w:val="24"/>
          <w:szCs w:val="24"/>
          <w:lang w:eastAsia="da-DK"/>
        </w:rPr>
      </w:pPr>
      <w:r w:rsidRPr="0026740E">
        <w:rPr>
          <w:sz w:val="24"/>
          <w:szCs w:val="24"/>
        </w:rPr>
        <w:t xml:space="preserve">* Hos patienter, der er følsomme over for acetylsalicylsyre eller andre </w:t>
      </w:r>
      <w:proofErr w:type="spellStart"/>
      <w:r w:rsidRPr="0026740E">
        <w:rPr>
          <w:sz w:val="24"/>
          <w:szCs w:val="24"/>
        </w:rPr>
        <w:t>NSAID'er</w:t>
      </w:r>
      <w:proofErr w:type="spellEnd"/>
      <w:r w:rsidRPr="0026740E">
        <w:rPr>
          <w:sz w:val="24"/>
          <w:szCs w:val="24"/>
        </w:rPr>
        <w:t>.</w:t>
      </w:r>
    </w:p>
    <w:p w14:paraId="2DD158F2" w14:textId="77777777" w:rsidR="007A225F" w:rsidRPr="0026740E" w:rsidRDefault="007A225F" w:rsidP="007A225F">
      <w:pPr>
        <w:tabs>
          <w:tab w:val="left" w:pos="851"/>
        </w:tabs>
        <w:ind w:left="850"/>
        <w:rPr>
          <w:sz w:val="24"/>
          <w:szCs w:val="24"/>
        </w:rPr>
      </w:pPr>
    </w:p>
    <w:p w14:paraId="534E0950" w14:textId="77777777" w:rsidR="007A225F" w:rsidRPr="0026740E" w:rsidRDefault="007A225F" w:rsidP="007A225F">
      <w:pPr>
        <w:autoSpaceDE w:val="0"/>
        <w:autoSpaceDN w:val="0"/>
        <w:adjustRightInd w:val="0"/>
        <w:ind w:left="850"/>
        <w:rPr>
          <w:sz w:val="24"/>
          <w:szCs w:val="24"/>
          <w:u w:val="single"/>
        </w:rPr>
      </w:pPr>
      <w:r w:rsidRPr="0026740E">
        <w:rPr>
          <w:noProof/>
          <w:sz w:val="24"/>
          <w:szCs w:val="24"/>
          <w:u w:val="single"/>
        </w:rPr>
        <w:t>Indberetning af formodede bivirkninger</w:t>
      </w:r>
    </w:p>
    <w:p w14:paraId="73C83440" w14:textId="77777777" w:rsidR="007A225F" w:rsidRPr="0026740E" w:rsidRDefault="007A225F" w:rsidP="007A225F">
      <w:pPr>
        <w:tabs>
          <w:tab w:val="left" w:pos="567"/>
        </w:tabs>
        <w:autoSpaceDE w:val="0"/>
        <w:autoSpaceDN w:val="0"/>
        <w:adjustRightInd w:val="0"/>
        <w:ind w:left="850"/>
        <w:rPr>
          <w:noProof/>
          <w:sz w:val="24"/>
          <w:szCs w:val="24"/>
        </w:rPr>
      </w:pPr>
      <w:r w:rsidRPr="0026740E">
        <w:rPr>
          <w:noProof/>
          <w:sz w:val="24"/>
          <w:szCs w:val="24"/>
        </w:rPr>
        <w:t>Når lægemidlet er godkendt, er indberetning af formodede bivirkninger vigtig.</w:t>
      </w:r>
      <w:r w:rsidRPr="0026740E">
        <w:rPr>
          <w:sz w:val="24"/>
          <w:szCs w:val="24"/>
        </w:rPr>
        <w:t xml:space="preserve"> </w:t>
      </w:r>
      <w:r w:rsidRPr="0026740E">
        <w:rPr>
          <w:noProof/>
          <w:sz w:val="24"/>
          <w:szCs w:val="24"/>
        </w:rPr>
        <w:t>Det muliggør løbende overvågning af benefit/risk-forholdet for lægemidlet.</w:t>
      </w:r>
      <w:r w:rsidRPr="0026740E">
        <w:rPr>
          <w:sz w:val="24"/>
          <w:szCs w:val="24"/>
        </w:rPr>
        <w:t xml:space="preserve"> </w:t>
      </w:r>
      <w:r w:rsidRPr="0026740E">
        <w:rPr>
          <w:noProof/>
          <w:sz w:val="24"/>
          <w:szCs w:val="24"/>
        </w:rPr>
        <w:t>Sundhedspersoner anmodes om at indberette alle formodede bivirkninger via:</w:t>
      </w:r>
    </w:p>
    <w:p w14:paraId="6289748F" w14:textId="77777777" w:rsidR="007A225F" w:rsidRPr="0026740E" w:rsidRDefault="007A225F" w:rsidP="007A225F">
      <w:pPr>
        <w:tabs>
          <w:tab w:val="left" w:pos="567"/>
        </w:tabs>
        <w:autoSpaceDE w:val="0"/>
        <w:autoSpaceDN w:val="0"/>
        <w:adjustRightInd w:val="0"/>
        <w:ind w:left="850"/>
        <w:rPr>
          <w:noProof/>
          <w:sz w:val="24"/>
          <w:szCs w:val="24"/>
        </w:rPr>
      </w:pPr>
    </w:p>
    <w:p w14:paraId="4E496EC9" w14:textId="77777777" w:rsidR="007A225F" w:rsidRPr="0026740E" w:rsidRDefault="007A225F" w:rsidP="007A225F">
      <w:pPr>
        <w:ind w:left="850"/>
        <w:rPr>
          <w:rFonts w:eastAsia="Calibri"/>
          <w:color w:val="000000"/>
          <w:sz w:val="24"/>
          <w:szCs w:val="24"/>
          <w:lang w:eastAsia="zh-CN"/>
        </w:rPr>
      </w:pPr>
      <w:r w:rsidRPr="0026740E">
        <w:rPr>
          <w:sz w:val="24"/>
          <w:szCs w:val="24"/>
        </w:rPr>
        <w:t>Lægemiddelstyrelsen</w:t>
      </w:r>
    </w:p>
    <w:p w14:paraId="722BF0E1" w14:textId="77777777" w:rsidR="007A225F" w:rsidRPr="0026740E" w:rsidRDefault="007A225F" w:rsidP="007A225F">
      <w:pPr>
        <w:ind w:left="850"/>
        <w:rPr>
          <w:rFonts w:eastAsia="Calibri"/>
          <w:noProof/>
          <w:sz w:val="24"/>
          <w:szCs w:val="24"/>
          <w:lang w:eastAsia="zh-CN"/>
        </w:rPr>
      </w:pPr>
      <w:r w:rsidRPr="0026740E">
        <w:rPr>
          <w:rFonts w:eastAsia="Calibri"/>
          <w:sz w:val="24"/>
          <w:szCs w:val="24"/>
          <w:lang w:eastAsia="zh-CN"/>
        </w:rPr>
        <w:t>Axel Heides Gade 1</w:t>
      </w:r>
    </w:p>
    <w:p w14:paraId="1AC4DC1B" w14:textId="77777777" w:rsidR="007A225F" w:rsidRPr="0026740E" w:rsidRDefault="007A225F" w:rsidP="007A225F">
      <w:pPr>
        <w:ind w:left="850"/>
        <w:rPr>
          <w:rFonts w:eastAsia="Calibri"/>
          <w:noProof/>
          <w:sz w:val="24"/>
          <w:szCs w:val="24"/>
          <w:lang w:eastAsia="zh-CN"/>
        </w:rPr>
      </w:pPr>
      <w:r w:rsidRPr="0026740E">
        <w:rPr>
          <w:rFonts w:eastAsia="Calibri"/>
          <w:noProof/>
          <w:sz w:val="24"/>
          <w:szCs w:val="24"/>
          <w:lang w:eastAsia="zh-CN"/>
        </w:rPr>
        <w:t xml:space="preserve">DK-2300 </w:t>
      </w:r>
      <w:r w:rsidRPr="0026740E">
        <w:rPr>
          <w:rFonts w:eastAsia="Calibri"/>
          <w:sz w:val="24"/>
          <w:szCs w:val="24"/>
          <w:lang w:eastAsia="zh-CN"/>
        </w:rPr>
        <w:t>København S</w:t>
      </w:r>
    </w:p>
    <w:p w14:paraId="0D3CAEBC" w14:textId="77777777" w:rsidR="007A225F" w:rsidRPr="0026740E" w:rsidRDefault="007A225F" w:rsidP="007A225F">
      <w:pPr>
        <w:tabs>
          <w:tab w:val="left" w:pos="-720"/>
        </w:tabs>
        <w:suppressAutoHyphens/>
        <w:ind w:left="850"/>
        <w:rPr>
          <w:rFonts w:eastAsia="Calibri"/>
          <w:noProof/>
          <w:sz w:val="24"/>
          <w:szCs w:val="24"/>
          <w:lang w:eastAsia="zh-CN"/>
        </w:rPr>
      </w:pPr>
      <w:r w:rsidRPr="0026740E">
        <w:rPr>
          <w:rFonts w:eastAsia="Calibri"/>
          <w:sz w:val="24"/>
          <w:szCs w:val="24"/>
          <w:lang w:eastAsia="zh-CN"/>
        </w:rPr>
        <w:t>Websted</w:t>
      </w:r>
      <w:r w:rsidRPr="0026740E">
        <w:rPr>
          <w:rFonts w:eastAsia="Calibri"/>
          <w:noProof/>
          <w:sz w:val="24"/>
          <w:szCs w:val="24"/>
          <w:lang w:eastAsia="zh-CN"/>
        </w:rPr>
        <w:t xml:space="preserve">: </w:t>
      </w:r>
      <w:hyperlink r:id="rId8" w:history="1">
        <w:r w:rsidRPr="0026740E">
          <w:rPr>
            <w:rStyle w:val="Hyperlink"/>
            <w:rFonts w:eastAsia="Calibri"/>
            <w:noProof/>
            <w:sz w:val="24"/>
            <w:szCs w:val="24"/>
            <w:lang w:eastAsia="zh-CN"/>
          </w:rPr>
          <w:t>www.meldenbivirkning.dk</w:t>
        </w:r>
      </w:hyperlink>
    </w:p>
    <w:p w14:paraId="68F116F9" w14:textId="7A1BB718" w:rsidR="0026740E" w:rsidRDefault="0026740E">
      <w:pPr>
        <w:rPr>
          <w:sz w:val="24"/>
          <w:szCs w:val="24"/>
        </w:rPr>
      </w:pPr>
      <w:r>
        <w:rPr>
          <w:sz w:val="24"/>
          <w:szCs w:val="24"/>
        </w:rPr>
        <w:br w:type="page"/>
      </w:r>
    </w:p>
    <w:p w14:paraId="144C0D08" w14:textId="77777777" w:rsidR="009260DE" w:rsidRPr="0026740E" w:rsidRDefault="009260DE" w:rsidP="00A10294">
      <w:pPr>
        <w:tabs>
          <w:tab w:val="left" w:pos="851"/>
        </w:tabs>
        <w:ind w:left="851"/>
        <w:rPr>
          <w:sz w:val="24"/>
          <w:szCs w:val="24"/>
        </w:rPr>
      </w:pPr>
    </w:p>
    <w:p w14:paraId="040B35DD" w14:textId="77777777" w:rsidR="009260DE" w:rsidRPr="0026740E" w:rsidRDefault="009260DE" w:rsidP="009260DE">
      <w:pPr>
        <w:tabs>
          <w:tab w:val="left" w:pos="851"/>
        </w:tabs>
        <w:ind w:left="851" w:hanging="851"/>
        <w:rPr>
          <w:b/>
          <w:sz w:val="24"/>
          <w:szCs w:val="24"/>
        </w:rPr>
      </w:pPr>
      <w:r w:rsidRPr="0026740E">
        <w:rPr>
          <w:b/>
          <w:sz w:val="24"/>
          <w:szCs w:val="24"/>
        </w:rPr>
        <w:t>4.9</w:t>
      </w:r>
      <w:r w:rsidRPr="0026740E">
        <w:rPr>
          <w:b/>
          <w:sz w:val="24"/>
          <w:szCs w:val="24"/>
        </w:rPr>
        <w:tab/>
        <w:t>Overdosering</w:t>
      </w:r>
    </w:p>
    <w:p w14:paraId="07809271" w14:textId="77777777" w:rsidR="007A225F" w:rsidRPr="0026740E" w:rsidRDefault="007A225F" w:rsidP="007A225F">
      <w:pPr>
        <w:ind w:left="850"/>
        <w:rPr>
          <w:sz w:val="24"/>
          <w:szCs w:val="24"/>
          <w:lang w:eastAsia="da-DK"/>
        </w:rPr>
      </w:pPr>
      <w:r w:rsidRPr="0026740E">
        <w:rPr>
          <w:sz w:val="24"/>
          <w:szCs w:val="24"/>
        </w:rPr>
        <w:t>I tilfælde af overdosering af paracetamol kræves øjeblikkelig lægehjælp, selvom der ikke er symptomer på overdosering.</w:t>
      </w:r>
    </w:p>
    <w:p w14:paraId="6A7EAD59" w14:textId="77777777" w:rsidR="007A225F" w:rsidRPr="0026740E" w:rsidRDefault="007A225F" w:rsidP="007A225F">
      <w:pPr>
        <w:ind w:left="850"/>
        <w:rPr>
          <w:sz w:val="24"/>
          <w:szCs w:val="24"/>
        </w:rPr>
      </w:pPr>
    </w:p>
    <w:p w14:paraId="18CD274C" w14:textId="77777777" w:rsidR="007A225F" w:rsidRPr="0026740E" w:rsidRDefault="007A225F" w:rsidP="00A35769">
      <w:pPr>
        <w:ind w:left="851"/>
        <w:rPr>
          <w:sz w:val="24"/>
          <w:szCs w:val="24"/>
          <w:u w:val="single"/>
        </w:rPr>
      </w:pPr>
      <w:r w:rsidRPr="0026740E">
        <w:rPr>
          <w:sz w:val="24"/>
          <w:szCs w:val="24"/>
          <w:u w:val="single"/>
        </w:rPr>
        <w:t>Symptomer</w:t>
      </w:r>
    </w:p>
    <w:p w14:paraId="11693AAC" w14:textId="77777777" w:rsidR="007A225F" w:rsidRPr="0026740E" w:rsidRDefault="007A225F" w:rsidP="00A35769">
      <w:pPr>
        <w:ind w:left="851"/>
        <w:rPr>
          <w:sz w:val="24"/>
          <w:szCs w:val="24"/>
        </w:rPr>
      </w:pPr>
      <w:r w:rsidRPr="0026740E">
        <w:rPr>
          <w:sz w:val="24"/>
          <w:szCs w:val="24"/>
        </w:rPr>
        <w:t xml:space="preserve">Overdosering med selv relativt lave doser af paracetamol kan resultere i en alvorlig leverskade og til tider akut </w:t>
      </w:r>
      <w:proofErr w:type="spellStart"/>
      <w:r w:rsidRPr="0026740E">
        <w:rPr>
          <w:sz w:val="24"/>
          <w:szCs w:val="24"/>
        </w:rPr>
        <w:t>renal</w:t>
      </w:r>
      <w:proofErr w:type="spellEnd"/>
      <w:r w:rsidRPr="0026740E">
        <w:rPr>
          <w:sz w:val="24"/>
          <w:szCs w:val="24"/>
        </w:rPr>
        <w:t xml:space="preserve"> </w:t>
      </w:r>
      <w:proofErr w:type="spellStart"/>
      <w:r w:rsidRPr="0026740E">
        <w:rPr>
          <w:sz w:val="24"/>
          <w:szCs w:val="24"/>
        </w:rPr>
        <w:t>tubulær</w:t>
      </w:r>
      <w:proofErr w:type="spellEnd"/>
      <w:r w:rsidRPr="0026740E">
        <w:rPr>
          <w:sz w:val="24"/>
          <w:szCs w:val="24"/>
        </w:rPr>
        <w:t xml:space="preserve"> nekrose.</w:t>
      </w:r>
    </w:p>
    <w:p w14:paraId="0CFC8479" w14:textId="77777777" w:rsidR="007A225F" w:rsidRPr="0026740E" w:rsidRDefault="007A225F" w:rsidP="007A225F">
      <w:pPr>
        <w:ind w:left="850"/>
        <w:rPr>
          <w:sz w:val="24"/>
          <w:szCs w:val="24"/>
        </w:rPr>
      </w:pPr>
      <w:r w:rsidRPr="0026740E">
        <w:rPr>
          <w:sz w:val="24"/>
          <w:szCs w:val="24"/>
        </w:rPr>
        <w:t>Kvalme, opkastning, letargi, anoreksi, bleghed og svedtendens kan forekomme inden for 24 timer, men patienter kan også være asymptomatiske. Mavesmerter kan være det første symptom på leverskade og forekommer indenfor 1</w:t>
      </w:r>
      <w:r w:rsidRPr="0026740E">
        <w:rPr>
          <w:sz w:val="24"/>
          <w:szCs w:val="24"/>
        </w:rPr>
        <w:noBreakHyphen/>
        <w:t xml:space="preserve">2 dage. Overdosering med paracetamol kan forårsage levercelle nekrose, der sandsynligvis inducere komplet og irreversibel nekrose, hvilket resulterer i </w:t>
      </w:r>
      <w:proofErr w:type="spellStart"/>
      <w:r w:rsidRPr="0026740E">
        <w:rPr>
          <w:sz w:val="24"/>
          <w:szCs w:val="24"/>
        </w:rPr>
        <w:t>hepatocellulær</w:t>
      </w:r>
      <w:proofErr w:type="spellEnd"/>
      <w:r w:rsidRPr="0026740E">
        <w:rPr>
          <w:sz w:val="24"/>
          <w:szCs w:val="24"/>
        </w:rPr>
        <w:t xml:space="preserve"> insufficiens, metabolisk </w:t>
      </w:r>
      <w:proofErr w:type="spellStart"/>
      <w:r w:rsidRPr="0026740E">
        <w:rPr>
          <w:sz w:val="24"/>
          <w:szCs w:val="24"/>
        </w:rPr>
        <w:t>acidose</w:t>
      </w:r>
      <w:proofErr w:type="spellEnd"/>
      <w:r w:rsidRPr="0026740E">
        <w:rPr>
          <w:sz w:val="24"/>
          <w:szCs w:val="24"/>
        </w:rPr>
        <w:t xml:space="preserve"> og encefalopati, som kan føre til koma og død. </w:t>
      </w:r>
      <w:r w:rsidRPr="0026740E">
        <w:rPr>
          <w:color w:val="000000"/>
          <w:sz w:val="24"/>
          <w:szCs w:val="24"/>
        </w:rPr>
        <w:t xml:space="preserve">På samme tid ses der øgede niveauer af </w:t>
      </w:r>
      <w:proofErr w:type="spellStart"/>
      <w:r w:rsidRPr="0026740E">
        <w:rPr>
          <w:color w:val="000000"/>
          <w:sz w:val="24"/>
          <w:szCs w:val="24"/>
        </w:rPr>
        <w:t>levertransaminaser</w:t>
      </w:r>
      <w:proofErr w:type="spellEnd"/>
      <w:r w:rsidRPr="0026740E">
        <w:rPr>
          <w:color w:val="000000"/>
          <w:sz w:val="24"/>
          <w:szCs w:val="24"/>
        </w:rPr>
        <w:t xml:space="preserve"> (ASAT, ALAT), </w:t>
      </w:r>
      <w:proofErr w:type="spellStart"/>
      <w:r w:rsidRPr="0026740E">
        <w:rPr>
          <w:color w:val="000000"/>
          <w:sz w:val="24"/>
          <w:szCs w:val="24"/>
        </w:rPr>
        <w:t>laktatdehydrogenase</w:t>
      </w:r>
      <w:proofErr w:type="spellEnd"/>
      <w:r w:rsidRPr="0026740E">
        <w:rPr>
          <w:color w:val="000000"/>
          <w:sz w:val="24"/>
          <w:szCs w:val="24"/>
        </w:rPr>
        <w:t xml:space="preserve"> </w:t>
      </w:r>
      <w:r w:rsidRPr="0026740E">
        <w:rPr>
          <w:sz w:val="24"/>
          <w:szCs w:val="24"/>
        </w:rPr>
        <w:t xml:space="preserve">og bilirubin sammen med forlænget </w:t>
      </w:r>
      <w:proofErr w:type="spellStart"/>
      <w:r w:rsidRPr="0026740E">
        <w:rPr>
          <w:sz w:val="24"/>
          <w:szCs w:val="24"/>
        </w:rPr>
        <w:t>protrombintid</w:t>
      </w:r>
      <w:proofErr w:type="spellEnd"/>
      <w:r w:rsidRPr="0026740E">
        <w:rPr>
          <w:sz w:val="24"/>
          <w:szCs w:val="24"/>
        </w:rPr>
        <w:t xml:space="preserve">, der kan opstå 12-48 timer efter administration. Forlængelsen af </w:t>
      </w:r>
      <w:proofErr w:type="spellStart"/>
      <w:r w:rsidRPr="0026740E">
        <w:rPr>
          <w:sz w:val="24"/>
          <w:szCs w:val="24"/>
        </w:rPr>
        <w:t>protrombintiden</w:t>
      </w:r>
      <w:proofErr w:type="spellEnd"/>
      <w:r w:rsidRPr="0026740E">
        <w:rPr>
          <w:sz w:val="24"/>
          <w:szCs w:val="24"/>
        </w:rPr>
        <w:t xml:space="preserve"> er en af indikatorerne for nedsat leverfunktion og derfor anbefales det at overvåge den. Komplikationer i forbindelse med leversvigt inkluderer cerebralt ødem, blødning, hypoglykæmi, hypotension, infektioner og nyreinsufficiens. </w:t>
      </w:r>
    </w:p>
    <w:p w14:paraId="4E72BAF9" w14:textId="77777777" w:rsidR="007A225F" w:rsidRPr="0026740E" w:rsidRDefault="007A225F" w:rsidP="007A225F">
      <w:pPr>
        <w:ind w:left="851" w:hanging="10"/>
        <w:rPr>
          <w:color w:val="000000"/>
          <w:sz w:val="24"/>
          <w:szCs w:val="24"/>
        </w:rPr>
      </w:pPr>
      <w:r w:rsidRPr="0026740E">
        <w:rPr>
          <w:color w:val="000000"/>
          <w:sz w:val="24"/>
          <w:szCs w:val="24"/>
        </w:rPr>
        <w:t>Leverskade er sandsynlig hos patienter, der har taget paracetamol i højere mængder end anbefalet. Man mener, at for store mængder af toksiske metabolitter bliver irreversibelt bundet til levervæv. Nogle patienter kan have en øget risiko for leverskade som følge af paracetamoltoksicitet. Risikofaktorerne omfatter:</w:t>
      </w:r>
    </w:p>
    <w:p w14:paraId="227BB1F5" w14:textId="77777777" w:rsidR="007A225F" w:rsidRPr="0026740E" w:rsidRDefault="007A225F" w:rsidP="007A225F">
      <w:pPr>
        <w:numPr>
          <w:ilvl w:val="0"/>
          <w:numId w:val="8"/>
        </w:numPr>
        <w:ind w:left="1210"/>
        <w:rPr>
          <w:sz w:val="24"/>
          <w:szCs w:val="24"/>
        </w:rPr>
      </w:pPr>
      <w:r w:rsidRPr="0026740E">
        <w:rPr>
          <w:sz w:val="24"/>
          <w:szCs w:val="24"/>
        </w:rPr>
        <w:t>Patienter med leversygdom</w:t>
      </w:r>
    </w:p>
    <w:p w14:paraId="7E66D320" w14:textId="77777777" w:rsidR="007A225F" w:rsidRPr="0026740E" w:rsidRDefault="007A225F" w:rsidP="007A225F">
      <w:pPr>
        <w:numPr>
          <w:ilvl w:val="0"/>
          <w:numId w:val="8"/>
        </w:numPr>
        <w:ind w:left="1210"/>
        <w:rPr>
          <w:sz w:val="24"/>
          <w:szCs w:val="24"/>
        </w:rPr>
      </w:pPr>
      <w:r w:rsidRPr="0026740E">
        <w:rPr>
          <w:sz w:val="24"/>
          <w:szCs w:val="24"/>
        </w:rPr>
        <w:t>Ældre patienter</w:t>
      </w:r>
    </w:p>
    <w:p w14:paraId="49BE6BA2" w14:textId="77777777" w:rsidR="007A225F" w:rsidRPr="0026740E" w:rsidRDefault="007A225F" w:rsidP="007A225F">
      <w:pPr>
        <w:numPr>
          <w:ilvl w:val="0"/>
          <w:numId w:val="8"/>
        </w:numPr>
        <w:ind w:left="1210"/>
        <w:rPr>
          <w:sz w:val="24"/>
          <w:szCs w:val="24"/>
        </w:rPr>
      </w:pPr>
      <w:r w:rsidRPr="0026740E">
        <w:rPr>
          <w:sz w:val="24"/>
          <w:szCs w:val="24"/>
        </w:rPr>
        <w:t>Små børn</w:t>
      </w:r>
    </w:p>
    <w:p w14:paraId="29340D2E" w14:textId="77777777" w:rsidR="007A225F" w:rsidRPr="0026740E" w:rsidRDefault="007A225F" w:rsidP="007A225F">
      <w:pPr>
        <w:numPr>
          <w:ilvl w:val="0"/>
          <w:numId w:val="8"/>
        </w:numPr>
        <w:ind w:left="1210"/>
        <w:rPr>
          <w:sz w:val="24"/>
          <w:szCs w:val="24"/>
        </w:rPr>
      </w:pPr>
      <w:r w:rsidRPr="0026740E">
        <w:rPr>
          <w:sz w:val="24"/>
          <w:szCs w:val="24"/>
        </w:rPr>
        <w:t xml:space="preserve">Patienter, der får langvarig behandling med </w:t>
      </w:r>
      <w:proofErr w:type="spellStart"/>
      <w:r w:rsidRPr="0026740E">
        <w:rPr>
          <w:sz w:val="24"/>
          <w:szCs w:val="24"/>
        </w:rPr>
        <w:t>carbamazepin</w:t>
      </w:r>
      <w:proofErr w:type="spellEnd"/>
      <w:r w:rsidRPr="0026740E">
        <w:rPr>
          <w:sz w:val="24"/>
          <w:szCs w:val="24"/>
        </w:rPr>
        <w:t xml:space="preserve">, </w:t>
      </w:r>
      <w:proofErr w:type="spellStart"/>
      <w:r w:rsidRPr="0026740E">
        <w:rPr>
          <w:sz w:val="24"/>
          <w:szCs w:val="24"/>
        </w:rPr>
        <w:t>phenobarbital</w:t>
      </w:r>
      <w:proofErr w:type="spellEnd"/>
      <w:r w:rsidRPr="0026740E">
        <w:rPr>
          <w:sz w:val="24"/>
          <w:szCs w:val="24"/>
        </w:rPr>
        <w:t xml:space="preserve">, </w:t>
      </w:r>
      <w:proofErr w:type="spellStart"/>
      <w:r w:rsidRPr="0026740E">
        <w:rPr>
          <w:sz w:val="24"/>
          <w:szCs w:val="24"/>
        </w:rPr>
        <w:t>phenytoin</w:t>
      </w:r>
      <w:proofErr w:type="spellEnd"/>
      <w:r w:rsidRPr="0026740E">
        <w:rPr>
          <w:sz w:val="24"/>
          <w:szCs w:val="24"/>
        </w:rPr>
        <w:t xml:space="preserve">, </w:t>
      </w:r>
      <w:proofErr w:type="spellStart"/>
      <w:r w:rsidRPr="0026740E">
        <w:rPr>
          <w:sz w:val="24"/>
          <w:szCs w:val="24"/>
        </w:rPr>
        <w:t>primidon</w:t>
      </w:r>
      <w:proofErr w:type="spellEnd"/>
      <w:r w:rsidRPr="0026740E">
        <w:rPr>
          <w:sz w:val="24"/>
          <w:szCs w:val="24"/>
        </w:rPr>
        <w:t xml:space="preserve">, </w:t>
      </w:r>
      <w:proofErr w:type="spellStart"/>
      <w:r w:rsidRPr="0026740E">
        <w:rPr>
          <w:sz w:val="24"/>
          <w:szCs w:val="24"/>
        </w:rPr>
        <w:t>rifampicin</w:t>
      </w:r>
      <w:proofErr w:type="spellEnd"/>
      <w:r w:rsidRPr="0026740E">
        <w:rPr>
          <w:sz w:val="24"/>
          <w:szCs w:val="24"/>
        </w:rPr>
        <w:t>, perikon eller andre lægemidler, der inducerer leverenzymer</w:t>
      </w:r>
    </w:p>
    <w:p w14:paraId="4CEA63B2" w14:textId="77777777" w:rsidR="007A225F" w:rsidRPr="0026740E" w:rsidRDefault="007A225F" w:rsidP="007A225F">
      <w:pPr>
        <w:numPr>
          <w:ilvl w:val="0"/>
          <w:numId w:val="8"/>
        </w:numPr>
        <w:ind w:left="1210"/>
        <w:rPr>
          <w:sz w:val="24"/>
          <w:szCs w:val="24"/>
        </w:rPr>
      </w:pPr>
      <w:r w:rsidRPr="0026740E">
        <w:rPr>
          <w:sz w:val="24"/>
          <w:szCs w:val="24"/>
        </w:rPr>
        <w:t>Patienter, der regelmæssigt indtager alkohol i større mængder end anbefalet</w:t>
      </w:r>
    </w:p>
    <w:p w14:paraId="56FF702A" w14:textId="77777777" w:rsidR="007A225F" w:rsidRPr="0026740E" w:rsidRDefault="007A225F" w:rsidP="007A225F">
      <w:pPr>
        <w:numPr>
          <w:ilvl w:val="0"/>
          <w:numId w:val="8"/>
        </w:numPr>
        <w:ind w:left="1210"/>
        <w:rPr>
          <w:sz w:val="24"/>
          <w:szCs w:val="24"/>
        </w:rPr>
      </w:pPr>
      <w:r w:rsidRPr="0026740E">
        <w:rPr>
          <w:sz w:val="24"/>
          <w:szCs w:val="24"/>
        </w:rPr>
        <w:t xml:space="preserve">Patienter med underskud af </w:t>
      </w:r>
      <w:proofErr w:type="spellStart"/>
      <w:r w:rsidRPr="0026740E">
        <w:rPr>
          <w:sz w:val="24"/>
          <w:szCs w:val="24"/>
        </w:rPr>
        <w:t>glutathion</w:t>
      </w:r>
      <w:proofErr w:type="spellEnd"/>
      <w:r w:rsidRPr="0026740E">
        <w:rPr>
          <w:sz w:val="24"/>
          <w:szCs w:val="24"/>
        </w:rPr>
        <w:t>, fx spiseforstyrrelser, cystisk fibrose, hiv</w:t>
      </w:r>
      <w:r w:rsidRPr="0026740E">
        <w:rPr>
          <w:sz w:val="24"/>
          <w:szCs w:val="24"/>
        </w:rPr>
        <w:noBreakHyphen/>
        <w:t xml:space="preserve">infektion, </w:t>
      </w:r>
      <w:r w:rsidRPr="0026740E">
        <w:rPr>
          <w:color w:val="000000"/>
          <w:sz w:val="24"/>
          <w:szCs w:val="24"/>
        </w:rPr>
        <w:t>underernæring</w:t>
      </w:r>
      <w:r w:rsidRPr="0026740E">
        <w:rPr>
          <w:sz w:val="24"/>
          <w:szCs w:val="24"/>
        </w:rPr>
        <w:t xml:space="preserve">, </w:t>
      </w:r>
      <w:proofErr w:type="spellStart"/>
      <w:r w:rsidRPr="0026740E">
        <w:rPr>
          <w:sz w:val="24"/>
          <w:szCs w:val="24"/>
        </w:rPr>
        <w:t>kakeksi</w:t>
      </w:r>
      <w:proofErr w:type="spellEnd"/>
    </w:p>
    <w:p w14:paraId="207EE68F" w14:textId="77777777" w:rsidR="007A225F" w:rsidRPr="0026740E" w:rsidRDefault="007A225F" w:rsidP="007A225F">
      <w:pPr>
        <w:ind w:left="850"/>
        <w:rPr>
          <w:sz w:val="24"/>
          <w:szCs w:val="24"/>
        </w:rPr>
      </w:pPr>
    </w:p>
    <w:p w14:paraId="3F5FB39F" w14:textId="77777777" w:rsidR="007A225F" w:rsidRPr="0026740E" w:rsidRDefault="007A225F" w:rsidP="007A225F">
      <w:pPr>
        <w:ind w:left="850"/>
        <w:rPr>
          <w:sz w:val="24"/>
          <w:szCs w:val="24"/>
        </w:rPr>
      </w:pPr>
      <w:r w:rsidRPr="0026740E">
        <w:rPr>
          <w:sz w:val="24"/>
          <w:szCs w:val="24"/>
        </w:rPr>
        <w:t xml:space="preserve">Akut nyresvigt kan forekomme uden tilstedeværelse af alvorligt nedsat leverfunktion. Andre manifestationer af forgiftning er </w:t>
      </w:r>
      <w:proofErr w:type="spellStart"/>
      <w:r w:rsidRPr="0026740E">
        <w:rPr>
          <w:sz w:val="24"/>
          <w:szCs w:val="24"/>
        </w:rPr>
        <w:t>myokardisk</w:t>
      </w:r>
      <w:proofErr w:type="spellEnd"/>
      <w:r w:rsidRPr="0026740E">
        <w:rPr>
          <w:sz w:val="24"/>
          <w:szCs w:val="24"/>
        </w:rPr>
        <w:t xml:space="preserve"> skade, </w:t>
      </w:r>
      <w:proofErr w:type="spellStart"/>
      <w:r w:rsidRPr="0026740E">
        <w:rPr>
          <w:sz w:val="24"/>
          <w:szCs w:val="24"/>
        </w:rPr>
        <w:t>kardielle</w:t>
      </w:r>
      <w:proofErr w:type="spellEnd"/>
      <w:r w:rsidRPr="0026740E">
        <w:rPr>
          <w:sz w:val="24"/>
          <w:szCs w:val="24"/>
        </w:rPr>
        <w:t xml:space="preserve"> </w:t>
      </w:r>
      <w:proofErr w:type="spellStart"/>
      <w:r w:rsidRPr="0026740E">
        <w:rPr>
          <w:sz w:val="24"/>
          <w:szCs w:val="24"/>
        </w:rPr>
        <w:t>arytmier</w:t>
      </w:r>
      <w:proofErr w:type="spellEnd"/>
      <w:r w:rsidRPr="0026740E">
        <w:rPr>
          <w:sz w:val="24"/>
          <w:szCs w:val="24"/>
        </w:rPr>
        <w:t xml:space="preserve"> og </w:t>
      </w:r>
      <w:proofErr w:type="spellStart"/>
      <w:r w:rsidRPr="0026740E">
        <w:rPr>
          <w:sz w:val="24"/>
          <w:szCs w:val="24"/>
        </w:rPr>
        <w:t>pancreatitis</w:t>
      </w:r>
      <w:proofErr w:type="spellEnd"/>
      <w:r w:rsidRPr="0026740E">
        <w:rPr>
          <w:sz w:val="24"/>
          <w:szCs w:val="24"/>
        </w:rPr>
        <w:t>.</w:t>
      </w:r>
    </w:p>
    <w:p w14:paraId="557AB307" w14:textId="77777777" w:rsidR="007A225F" w:rsidRPr="0026740E" w:rsidRDefault="007A225F" w:rsidP="007A225F">
      <w:pPr>
        <w:ind w:left="850"/>
        <w:rPr>
          <w:sz w:val="24"/>
          <w:szCs w:val="24"/>
        </w:rPr>
      </w:pPr>
    </w:p>
    <w:p w14:paraId="5F32EC55" w14:textId="77777777" w:rsidR="007A225F" w:rsidRPr="0026740E" w:rsidRDefault="007A225F" w:rsidP="007A225F">
      <w:pPr>
        <w:ind w:left="850"/>
        <w:rPr>
          <w:sz w:val="24"/>
          <w:szCs w:val="24"/>
        </w:rPr>
      </w:pPr>
      <w:r w:rsidRPr="0026740E">
        <w:rPr>
          <w:sz w:val="24"/>
          <w:szCs w:val="24"/>
          <w:u w:val="single"/>
        </w:rPr>
        <w:t>Behandling</w:t>
      </w:r>
    </w:p>
    <w:p w14:paraId="3FA15C16" w14:textId="77777777" w:rsidR="007A225F" w:rsidRPr="0026740E" w:rsidRDefault="007A225F" w:rsidP="007A225F">
      <w:pPr>
        <w:ind w:left="850"/>
        <w:rPr>
          <w:sz w:val="24"/>
          <w:szCs w:val="24"/>
        </w:rPr>
      </w:pPr>
      <w:r w:rsidRPr="0026740E">
        <w:rPr>
          <w:sz w:val="24"/>
          <w:szCs w:val="24"/>
        </w:rPr>
        <w:t xml:space="preserve">Indlæggelse er påkrævet. Blodprøvetagning bør foretages for at bestemme initialkoncentration af paracetamol i plasma. I tilfælde af en enkelt akut overdosis bør plasmakoncentrationen af paracetamol måles 4 timer efter indtagelse. Induktion af opkastning, gastrisk skylning, især hvis paracetamol er blevet indtaget mindre end 4 timer før, skal </w:t>
      </w:r>
      <w:proofErr w:type="spellStart"/>
      <w:r w:rsidRPr="0026740E">
        <w:rPr>
          <w:sz w:val="24"/>
          <w:szCs w:val="24"/>
        </w:rPr>
        <w:t>methionin</w:t>
      </w:r>
      <w:proofErr w:type="spellEnd"/>
      <w:r w:rsidRPr="0026740E">
        <w:rPr>
          <w:sz w:val="24"/>
          <w:szCs w:val="24"/>
        </w:rPr>
        <w:t xml:space="preserve"> (2,5 g oralt) gives, og derudover bør der foretages passende støtteforanstaltninger. </w:t>
      </w:r>
    </w:p>
    <w:p w14:paraId="2C567E5A" w14:textId="77777777" w:rsidR="007A225F" w:rsidRPr="0026740E" w:rsidRDefault="007A225F" w:rsidP="007A225F">
      <w:pPr>
        <w:ind w:left="850"/>
        <w:rPr>
          <w:sz w:val="24"/>
          <w:szCs w:val="24"/>
        </w:rPr>
      </w:pPr>
    </w:p>
    <w:p w14:paraId="0D3A0BAE" w14:textId="77777777" w:rsidR="007A225F" w:rsidRPr="0026740E" w:rsidRDefault="007A225F" w:rsidP="007A225F">
      <w:pPr>
        <w:ind w:left="850"/>
        <w:rPr>
          <w:sz w:val="24"/>
          <w:szCs w:val="24"/>
        </w:rPr>
      </w:pPr>
      <w:r w:rsidRPr="0026740E">
        <w:rPr>
          <w:sz w:val="24"/>
          <w:szCs w:val="24"/>
        </w:rPr>
        <w:t xml:space="preserve">Administration af aktivt kul for at reducere </w:t>
      </w:r>
      <w:proofErr w:type="spellStart"/>
      <w:r w:rsidRPr="0026740E">
        <w:rPr>
          <w:sz w:val="24"/>
          <w:szCs w:val="24"/>
        </w:rPr>
        <w:t>gastrointestinal</w:t>
      </w:r>
      <w:proofErr w:type="spellEnd"/>
      <w:r w:rsidRPr="0026740E">
        <w:rPr>
          <w:sz w:val="24"/>
          <w:szCs w:val="24"/>
        </w:rPr>
        <w:t xml:space="preserve"> absorption er kontroversielt. </w:t>
      </w:r>
    </w:p>
    <w:p w14:paraId="06DEC28B" w14:textId="77777777" w:rsidR="007A225F" w:rsidRPr="0026740E" w:rsidRDefault="007A225F" w:rsidP="007A225F">
      <w:pPr>
        <w:ind w:left="850"/>
        <w:rPr>
          <w:sz w:val="24"/>
          <w:szCs w:val="24"/>
        </w:rPr>
      </w:pPr>
    </w:p>
    <w:p w14:paraId="2ADA080B" w14:textId="77777777" w:rsidR="007A225F" w:rsidRPr="0026740E" w:rsidRDefault="007A225F" w:rsidP="007A225F">
      <w:pPr>
        <w:ind w:left="850"/>
        <w:rPr>
          <w:sz w:val="24"/>
          <w:szCs w:val="24"/>
        </w:rPr>
      </w:pPr>
      <w:r w:rsidRPr="0026740E">
        <w:rPr>
          <w:sz w:val="24"/>
          <w:szCs w:val="24"/>
        </w:rPr>
        <w:t>Specifik modgift N-</w:t>
      </w:r>
      <w:proofErr w:type="spellStart"/>
      <w:r w:rsidRPr="0026740E">
        <w:rPr>
          <w:sz w:val="24"/>
          <w:szCs w:val="24"/>
        </w:rPr>
        <w:t>acetylcystein</w:t>
      </w:r>
      <w:proofErr w:type="spellEnd"/>
      <w:r w:rsidRPr="0026740E">
        <w:rPr>
          <w:sz w:val="24"/>
          <w:szCs w:val="24"/>
        </w:rPr>
        <w:t xml:space="preserve"> bør gives hurtigst muligt, inden for 8-15 timer efter forgiftning, men der er også observeret gavnlige virkninger ved senere indgivelse af </w:t>
      </w:r>
      <w:proofErr w:type="spellStart"/>
      <w:r w:rsidRPr="0026740E">
        <w:rPr>
          <w:sz w:val="24"/>
          <w:szCs w:val="24"/>
        </w:rPr>
        <w:t>acetylcystein</w:t>
      </w:r>
      <w:proofErr w:type="spellEnd"/>
      <w:r w:rsidRPr="0026740E">
        <w:rPr>
          <w:sz w:val="24"/>
          <w:szCs w:val="24"/>
        </w:rPr>
        <w:t xml:space="preserve">. </w:t>
      </w:r>
      <w:proofErr w:type="spellStart"/>
      <w:r w:rsidRPr="0026740E">
        <w:rPr>
          <w:sz w:val="24"/>
          <w:szCs w:val="24"/>
        </w:rPr>
        <w:t>Acetylcystein</w:t>
      </w:r>
      <w:proofErr w:type="spellEnd"/>
      <w:r w:rsidRPr="0026740E">
        <w:rPr>
          <w:sz w:val="24"/>
          <w:szCs w:val="24"/>
        </w:rPr>
        <w:t xml:space="preserve"> bør administreres efter nationale behandlingsvejledninger. Det administreres normalt til voksne, unge og børn </w:t>
      </w:r>
      <w:proofErr w:type="spellStart"/>
      <w:r w:rsidRPr="0026740E">
        <w:rPr>
          <w:sz w:val="24"/>
          <w:szCs w:val="24"/>
        </w:rPr>
        <w:t>i.v</w:t>
      </w:r>
      <w:proofErr w:type="spellEnd"/>
      <w:r w:rsidRPr="0026740E">
        <w:rPr>
          <w:sz w:val="24"/>
          <w:szCs w:val="24"/>
        </w:rPr>
        <w:t>. i 5 % </w:t>
      </w:r>
      <w:proofErr w:type="spellStart"/>
      <w:r w:rsidRPr="0026740E">
        <w:rPr>
          <w:sz w:val="24"/>
          <w:szCs w:val="24"/>
        </w:rPr>
        <w:t>glucose</w:t>
      </w:r>
      <w:proofErr w:type="spellEnd"/>
      <w:r w:rsidRPr="0026740E">
        <w:rPr>
          <w:sz w:val="24"/>
          <w:szCs w:val="24"/>
        </w:rPr>
        <w:t xml:space="preserve">, den indledende dosis skal være 150 mg/kg kropsvægt i løbet af 15 minutter. Endvidere 50 mg/kg i en infusion af </w:t>
      </w:r>
      <w:r w:rsidRPr="0026740E">
        <w:rPr>
          <w:sz w:val="24"/>
          <w:szCs w:val="24"/>
        </w:rPr>
        <w:lastRenderedPageBreak/>
        <w:t>5 % </w:t>
      </w:r>
      <w:proofErr w:type="spellStart"/>
      <w:r w:rsidRPr="0026740E">
        <w:rPr>
          <w:sz w:val="24"/>
          <w:szCs w:val="24"/>
        </w:rPr>
        <w:t>glucose</w:t>
      </w:r>
      <w:proofErr w:type="spellEnd"/>
      <w:r w:rsidRPr="0026740E">
        <w:rPr>
          <w:sz w:val="24"/>
          <w:szCs w:val="24"/>
        </w:rPr>
        <w:t xml:space="preserve"> i en periode på 4 timer og derefter 100 mg/kg frem til henholdsvis 16.-20. time fra behandlingens start. </w:t>
      </w:r>
      <w:proofErr w:type="spellStart"/>
      <w:r w:rsidRPr="0026740E">
        <w:rPr>
          <w:sz w:val="24"/>
          <w:szCs w:val="24"/>
        </w:rPr>
        <w:t>Acetylcystein</w:t>
      </w:r>
      <w:proofErr w:type="spellEnd"/>
      <w:r w:rsidRPr="0026740E">
        <w:rPr>
          <w:sz w:val="24"/>
          <w:szCs w:val="24"/>
        </w:rPr>
        <w:t xml:space="preserve"> kan også administreres oralt inden for 10 timer efter indtagelse af en toksisk dosis af paracetamol i en dosis på 70-140 mg/kg 3 gange dagligt. Hæmodialyse eller </w:t>
      </w:r>
      <w:proofErr w:type="spellStart"/>
      <w:r w:rsidRPr="0026740E">
        <w:rPr>
          <w:sz w:val="24"/>
          <w:szCs w:val="24"/>
        </w:rPr>
        <w:t>hæmoperfusion</w:t>
      </w:r>
      <w:proofErr w:type="spellEnd"/>
      <w:r w:rsidRPr="0026740E">
        <w:rPr>
          <w:sz w:val="24"/>
          <w:szCs w:val="24"/>
        </w:rPr>
        <w:t xml:space="preserve"> er hensigtsmæssigt ved meget alvorlig forgiftning. Symptomatisk behandling bør implementeres.</w:t>
      </w:r>
    </w:p>
    <w:p w14:paraId="43D42AC1" w14:textId="77777777" w:rsidR="009260DE" w:rsidRPr="0026740E" w:rsidRDefault="009260DE" w:rsidP="009260DE">
      <w:pPr>
        <w:tabs>
          <w:tab w:val="left" w:pos="851"/>
        </w:tabs>
        <w:ind w:left="851"/>
        <w:rPr>
          <w:sz w:val="24"/>
          <w:szCs w:val="24"/>
        </w:rPr>
      </w:pPr>
    </w:p>
    <w:p w14:paraId="3D7919C9" w14:textId="77777777" w:rsidR="009260DE" w:rsidRPr="0026740E" w:rsidRDefault="009260DE" w:rsidP="009260DE">
      <w:pPr>
        <w:tabs>
          <w:tab w:val="left" w:pos="851"/>
        </w:tabs>
        <w:ind w:left="851" w:hanging="851"/>
        <w:rPr>
          <w:b/>
          <w:sz w:val="24"/>
          <w:szCs w:val="24"/>
        </w:rPr>
      </w:pPr>
      <w:r w:rsidRPr="0026740E">
        <w:rPr>
          <w:b/>
          <w:sz w:val="24"/>
          <w:szCs w:val="24"/>
        </w:rPr>
        <w:t>4.10</w:t>
      </w:r>
      <w:r w:rsidRPr="0026740E">
        <w:rPr>
          <w:b/>
          <w:sz w:val="24"/>
          <w:szCs w:val="24"/>
        </w:rPr>
        <w:tab/>
        <w:t>Udlevering</w:t>
      </w:r>
    </w:p>
    <w:p w14:paraId="69DF0E88" w14:textId="015AE5D5" w:rsidR="009260DE" w:rsidRPr="0026740E" w:rsidRDefault="009B3FE7" w:rsidP="009260DE">
      <w:pPr>
        <w:tabs>
          <w:tab w:val="left" w:pos="851"/>
        </w:tabs>
        <w:ind w:left="851"/>
        <w:rPr>
          <w:sz w:val="24"/>
          <w:szCs w:val="24"/>
        </w:rPr>
      </w:pPr>
      <w:r w:rsidRPr="0026740E">
        <w:rPr>
          <w:sz w:val="24"/>
          <w:szCs w:val="24"/>
        </w:rPr>
        <w:t>500 mg:</w:t>
      </w:r>
    </w:p>
    <w:p w14:paraId="172FDFAB" w14:textId="2833350B" w:rsidR="009B3FE7" w:rsidRPr="0026740E" w:rsidRDefault="009B3FE7" w:rsidP="009260DE">
      <w:pPr>
        <w:tabs>
          <w:tab w:val="left" w:pos="851"/>
        </w:tabs>
        <w:ind w:left="851"/>
        <w:rPr>
          <w:sz w:val="24"/>
          <w:szCs w:val="24"/>
        </w:rPr>
      </w:pPr>
      <w:r w:rsidRPr="0026740E">
        <w:rPr>
          <w:sz w:val="24"/>
          <w:szCs w:val="24"/>
        </w:rPr>
        <w:t>Til og med 10 stk.: HX18</w:t>
      </w:r>
    </w:p>
    <w:p w14:paraId="4F86B8E4" w14:textId="5F680552" w:rsidR="009B3FE7" w:rsidRPr="0026740E" w:rsidRDefault="009B3FE7" w:rsidP="009260DE">
      <w:pPr>
        <w:tabs>
          <w:tab w:val="left" w:pos="851"/>
        </w:tabs>
        <w:ind w:left="851"/>
        <w:rPr>
          <w:sz w:val="24"/>
          <w:szCs w:val="24"/>
        </w:rPr>
      </w:pPr>
      <w:r w:rsidRPr="0026740E">
        <w:rPr>
          <w:sz w:val="24"/>
          <w:szCs w:val="24"/>
        </w:rPr>
        <w:t>Til og med 20 stk.: HA18</w:t>
      </w:r>
    </w:p>
    <w:p w14:paraId="34A0F1A2" w14:textId="13E204F7" w:rsidR="009B3FE7" w:rsidRPr="0026740E" w:rsidRDefault="009B3FE7" w:rsidP="009260DE">
      <w:pPr>
        <w:tabs>
          <w:tab w:val="left" w:pos="851"/>
        </w:tabs>
        <w:ind w:left="851"/>
        <w:rPr>
          <w:sz w:val="24"/>
          <w:szCs w:val="24"/>
        </w:rPr>
      </w:pPr>
      <w:r w:rsidRPr="0026740E">
        <w:rPr>
          <w:sz w:val="24"/>
          <w:szCs w:val="24"/>
        </w:rPr>
        <w:t>Ingen øvre grænse: B</w:t>
      </w:r>
    </w:p>
    <w:p w14:paraId="60E53565" w14:textId="543E5056" w:rsidR="009B3FE7" w:rsidRPr="0026740E" w:rsidRDefault="009B3FE7" w:rsidP="009260DE">
      <w:pPr>
        <w:tabs>
          <w:tab w:val="left" w:pos="851"/>
        </w:tabs>
        <w:ind w:left="851"/>
        <w:rPr>
          <w:sz w:val="24"/>
          <w:szCs w:val="24"/>
        </w:rPr>
      </w:pPr>
    </w:p>
    <w:p w14:paraId="759CDB9D" w14:textId="54BC050B" w:rsidR="009B3FE7" w:rsidRPr="0026740E" w:rsidRDefault="009B3FE7" w:rsidP="009260DE">
      <w:pPr>
        <w:tabs>
          <w:tab w:val="left" w:pos="851"/>
        </w:tabs>
        <w:ind w:left="851"/>
        <w:rPr>
          <w:sz w:val="24"/>
          <w:szCs w:val="24"/>
        </w:rPr>
      </w:pPr>
      <w:r w:rsidRPr="0026740E">
        <w:rPr>
          <w:sz w:val="24"/>
          <w:szCs w:val="24"/>
        </w:rPr>
        <w:t>1000 mg: B</w:t>
      </w:r>
    </w:p>
    <w:p w14:paraId="2D3D616E" w14:textId="77777777" w:rsidR="009260DE" w:rsidRPr="0026740E" w:rsidRDefault="009260DE" w:rsidP="009260DE">
      <w:pPr>
        <w:tabs>
          <w:tab w:val="left" w:pos="851"/>
        </w:tabs>
        <w:ind w:left="851"/>
        <w:rPr>
          <w:sz w:val="24"/>
          <w:szCs w:val="24"/>
        </w:rPr>
      </w:pPr>
    </w:p>
    <w:p w14:paraId="26CF93A0" w14:textId="77777777" w:rsidR="009260DE" w:rsidRPr="0026740E" w:rsidRDefault="009260DE" w:rsidP="009260DE">
      <w:pPr>
        <w:tabs>
          <w:tab w:val="left" w:pos="851"/>
        </w:tabs>
        <w:ind w:left="851"/>
        <w:rPr>
          <w:sz w:val="24"/>
          <w:szCs w:val="24"/>
        </w:rPr>
      </w:pPr>
    </w:p>
    <w:p w14:paraId="045F32BA" w14:textId="77777777" w:rsidR="009260DE" w:rsidRPr="0026740E" w:rsidRDefault="009260DE" w:rsidP="009260DE">
      <w:pPr>
        <w:tabs>
          <w:tab w:val="left" w:pos="851"/>
        </w:tabs>
        <w:ind w:left="851" w:hanging="851"/>
        <w:rPr>
          <w:b/>
          <w:sz w:val="24"/>
          <w:szCs w:val="24"/>
        </w:rPr>
      </w:pPr>
      <w:r w:rsidRPr="0026740E">
        <w:rPr>
          <w:b/>
          <w:sz w:val="24"/>
          <w:szCs w:val="24"/>
        </w:rPr>
        <w:t>5.</w:t>
      </w:r>
      <w:r w:rsidRPr="0026740E">
        <w:rPr>
          <w:b/>
          <w:sz w:val="24"/>
          <w:szCs w:val="24"/>
        </w:rPr>
        <w:tab/>
        <w:t>FARMAKOLOGISKE EGENSKABER</w:t>
      </w:r>
    </w:p>
    <w:p w14:paraId="2C1048C4" w14:textId="77777777" w:rsidR="009260DE" w:rsidRPr="0026740E" w:rsidRDefault="009260DE" w:rsidP="00C75390">
      <w:pPr>
        <w:tabs>
          <w:tab w:val="left" w:pos="851"/>
        </w:tabs>
        <w:rPr>
          <w:sz w:val="24"/>
          <w:szCs w:val="24"/>
        </w:rPr>
      </w:pPr>
    </w:p>
    <w:p w14:paraId="29EADFB8" w14:textId="151ECD63" w:rsidR="00833002" w:rsidRPr="0026740E" w:rsidRDefault="009260DE" w:rsidP="00833002">
      <w:pPr>
        <w:tabs>
          <w:tab w:val="num" w:pos="851"/>
        </w:tabs>
        <w:ind w:left="851" w:hanging="851"/>
        <w:rPr>
          <w:b/>
          <w:sz w:val="24"/>
          <w:szCs w:val="24"/>
        </w:rPr>
      </w:pPr>
      <w:r w:rsidRPr="0026740E">
        <w:rPr>
          <w:b/>
          <w:sz w:val="24"/>
          <w:szCs w:val="24"/>
        </w:rPr>
        <w:t>5.1</w:t>
      </w:r>
      <w:r w:rsidRPr="0026740E">
        <w:rPr>
          <w:b/>
          <w:sz w:val="24"/>
          <w:szCs w:val="24"/>
        </w:rPr>
        <w:tab/>
      </w:r>
      <w:proofErr w:type="spellStart"/>
      <w:r w:rsidRPr="0026740E">
        <w:rPr>
          <w:b/>
          <w:sz w:val="24"/>
          <w:szCs w:val="24"/>
        </w:rPr>
        <w:t>Farmakodynamiske</w:t>
      </w:r>
      <w:proofErr w:type="spellEnd"/>
      <w:r w:rsidRPr="0026740E">
        <w:rPr>
          <w:b/>
          <w:sz w:val="24"/>
          <w:szCs w:val="24"/>
        </w:rPr>
        <w:t xml:space="preserve"> egenskaber</w:t>
      </w:r>
      <w:r w:rsidR="00833002">
        <w:rPr>
          <w:b/>
          <w:sz w:val="24"/>
          <w:szCs w:val="24"/>
        </w:rPr>
        <w:br/>
      </w:r>
      <w:proofErr w:type="spellStart"/>
      <w:r w:rsidR="00833002" w:rsidRPr="00C922B2">
        <w:rPr>
          <w:sz w:val="24"/>
          <w:szCs w:val="24"/>
        </w:rPr>
        <w:t>Farmakoterapeutisk</w:t>
      </w:r>
      <w:proofErr w:type="spellEnd"/>
      <w:r w:rsidR="00833002" w:rsidRPr="00C922B2">
        <w:rPr>
          <w:sz w:val="24"/>
          <w:szCs w:val="24"/>
        </w:rPr>
        <w:t xml:space="preserve"> klassifikation</w:t>
      </w:r>
      <w:r w:rsidR="00833002">
        <w:rPr>
          <w:sz w:val="24"/>
          <w:szCs w:val="24"/>
        </w:rPr>
        <w:t>:</w:t>
      </w:r>
      <w:r w:rsidR="00C75390" w:rsidRPr="00C75390">
        <w:rPr>
          <w:sz w:val="24"/>
          <w:szCs w:val="24"/>
        </w:rPr>
        <w:t xml:space="preserve"> </w:t>
      </w:r>
      <w:proofErr w:type="spellStart"/>
      <w:r w:rsidR="00C75390" w:rsidRPr="0026740E">
        <w:rPr>
          <w:sz w:val="24"/>
          <w:szCs w:val="24"/>
        </w:rPr>
        <w:t>Analgetika</w:t>
      </w:r>
      <w:proofErr w:type="spellEnd"/>
      <w:r w:rsidR="00C75390" w:rsidRPr="0026740E">
        <w:rPr>
          <w:sz w:val="24"/>
          <w:szCs w:val="24"/>
        </w:rPr>
        <w:t xml:space="preserve"> og </w:t>
      </w:r>
      <w:proofErr w:type="spellStart"/>
      <w:r w:rsidR="00C75390" w:rsidRPr="0026740E">
        <w:rPr>
          <w:sz w:val="24"/>
          <w:szCs w:val="24"/>
        </w:rPr>
        <w:t>antipyretika</w:t>
      </w:r>
      <w:proofErr w:type="spellEnd"/>
      <w:r w:rsidR="00C75390" w:rsidRPr="0026740E">
        <w:rPr>
          <w:sz w:val="24"/>
          <w:szCs w:val="24"/>
        </w:rPr>
        <w:t>, anilider.</w:t>
      </w:r>
      <w:r w:rsidR="00833002">
        <w:rPr>
          <w:sz w:val="24"/>
          <w:szCs w:val="24"/>
        </w:rPr>
        <w:t xml:space="preserve"> </w:t>
      </w:r>
      <w:r w:rsidR="00C75390" w:rsidRPr="0026740E">
        <w:rPr>
          <w:sz w:val="24"/>
          <w:szCs w:val="24"/>
        </w:rPr>
        <w:t>ATC-kode: N 02 BE 01.</w:t>
      </w:r>
    </w:p>
    <w:p w14:paraId="69AD6CE0" w14:textId="77777777" w:rsidR="007A225F" w:rsidRPr="0026740E" w:rsidRDefault="007A225F" w:rsidP="007A225F">
      <w:pPr>
        <w:tabs>
          <w:tab w:val="left" w:pos="851"/>
        </w:tabs>
        <w:ind w:left="851"/>
        <w:rPr>
          <w:sz w:val="24"/>
          <w:szCs w:val="24"/>
          <w:lang w:eastAsia="da-DK"/>
        </w:rPr>
      </w:pPr>
      <w:r w:rsidRPr="0026740E">
        <w:rPr>
          <w:sz w:val="24"/>
          <w:szCs w:val="24"/>
        </w:rPr>
        <w:t xml:space="preserve">Paracetamol er et </w:t>
      </w:r>
      <w:proofErr w:type="spellStart"/>
      <w:r w:rsidRPr="0026740E">
        <w:rPr>
          <w:sz w:val="24"/>
          <w:szCs w:val="24"/>
        </w:rPr>
        <w:t>analgetikum</w:t>
      </w:r>
      <w:proofErr w:type="spellEnd"/>
      <w:r w:rsidRPr="0026740E">
        <w:rPr>
          <w:sz w:val="24"/>
          <w:szCs w:val="24"/>
        </w:rPr>
        <w:t xml:space="preserve"> - </w:t>
      </w:r>
      <w:proofErr w:type="spellStart"/>
      <w:r w:rsidRPr="0026740E">
        <w:rPr>
          <w:sz w:val="24"/>
          <w:szCs w:val="24"/>
        </w:rPr>
        <w:t>antipyretikum</w:t>
      </w:r>
      <w:proofErr w:type="spellEnd"/>
      <w:r w:rsidRPr="0026740E">
        <w:rPr>
          <w:sz w:val="24"/>
          <w:szCs w:val="24"/>
        </w:rPr>
        <w:t xml:space="preserve"> uden antiinflammatorisk virkning. Virkningsmekanismen er sandsynligvis svarende til virkningen af acetylsalicylsyre og er afhængig af </w:t>
      </w:r>
      <w:proofErr w:type="spellStart"/>
      <w:r w:rsidRPr="0026740E">
        <w:rPr>
          <w:sz w:val="24"/>
          <w:szCs w:val="24"/>
        </w:rPr>
        <w:t>prostaglandinhæmning</w:t>
      </w:r>
      <w:proofErr w:type="spellEnd"/>
      <w:r w:rsidRPr="0026740E">
        <w:rPr>
          <w:sz w:val="24"/>
          <w:szCs w:val="24"/>
        </w:rPr>
        <w:t xml:space="preserve"> i centralnervesystemet.</w:t>
      </w:r>
    </w:p>
    <w:p w14:paraId="3D36CB1B" w14:textId="77777777" w:rsidR="007A225F" w:rsidRPr="0026740E" w:rsidRDefault="007A225F" w:rsidP="007A225F">
      <w:pPr>
        <w:tabs>
          <w:tab w:val="left" w:pos="851"/>
        </w:tabs>
        <w:ind w:left="851"/>
        <w:rPr>
          <w:sz w:val="24"/>
          <w:szCs w:val="24"/>
        </w:rPr>
      </w:pPr>
      <w:r w:rsidRPr="0026740E">
        <w:rPr>
          <w:sz w:val="24"/>
          <w:szCs w:val="24"/>
        </w:rPr>
        <w:t xml:space="preserve">Den analgetiske virkning af paracetamol efter en enkeltdosis på 0,5-1 g varer 3-6 timer, </w:t>
      </w:r>
      <w:proofErr w:type="spellStart"/>
      <w:r w:rsidRPr="0026740E">
        <w:rPr>
          <w:sz w:val="24"/>
          <w:szCs w:val="24"/>
        </w:rPr>
        <w:t>antipyretisk</w:t>
      </w:r>
      <w:proofErr w:type="spellEnd"/>
      <w:r w:rsidRPr="0026740E">
        <w:rPr>
          <w:sz w:val="24"/>
          <w:szCs w:val="24"/>
        </w:rPr>
        <w:t xml:space="preserve"> 3-4 timer.</w:t>
      </w:r>
    </w:p>
    <w:p w14:paraId="2126EB90" w14:textId="77777777" w:rsidR="009260DE" w:rsidRPr="0026740E" w:rsidRDefault="009260DE" w:rsidP="009260DE">
      <w:pPr>
        <w:tabs>
          <w:tab w:val="left" w:pos="851"/>
        </w:tabs>
        <w:ind w:left="851"/>
        <w:rPr>
          <w:sz w:val="24"/>
          <w:szCs w:val="24"/>
        </w:rPr>
      </w:pPr>
    </w:p>
    <w:p w14:paraId="6D27B240" w14:textId="77777777" w:rsidR="009260DE" w:rsidRPr="0026740E" w:rsidRDefault="009260DE" w:rsidP="009260DE">
      <w:pPr>
        <w:tabs>
          <w:tab w:val="left" w:pos="851"/>
        </w:tabs>
        <w:ind w:left="851" w:hanging="851"/>
        <w:rPr>
          <w:b/>
          <w:sz w:val="24"/>
          <w:szCs w:val="24"/>
        </w:rPr>
      </w:pPr>
      <w:r w:rsidRPr="0026740E">
        <w:rPr>
          <w:b/>
          <w:sz w:val="24"/>
          <w:szCs w:val="24"/>
        </w:rPr>
        <w:t>5.2</w:t>
      </w:r>
      <w:r w:rsidRPr="0026740E">
        <w:rPr>
          <w:b/>
          <w:sz w:val="24"/>
          <w:szCs w:val="24"/>
        </w:rPr>
        <w:tab/>
      </w:r>
      <w:proofErr w:type="spellStart"/>
      <w:r w:rsidRPr="0026740E">
        <w:rPr>
          <w:b/>
          <w:sz w:val="24"/>
          <w:szCs w:val="24"/>
        </w:rPr>
        <w:t>Farmakokinetiske</w:t>
      </w:r>
      <w:proofErr w:type="spellEnd"/>
      <w:r w:rsidRPr="0026740E">
        <w:rPr>
          <w:b/>
          <w:sz w:val="24"/>
          <w:szCs w:val="24"/>
        </w:rPr>
        <w:t xml:space="preserve"> egenskaber</w:t>
      </w:r>
    </w:p>
    <w:p w14:paraId="49CE631D" w14:textId="77777777" w:rsidR="00A35769" w:rsidRPr="0026740E" w:rsidRDefault="00A35769" w:rsidP="007A225F">
      <w:pPr>
        <w:ind w:left="850"/>
        <w:rPr>
          <w:sz w:val="24"/>
          <w:szCs w:val="24"/>
          <w:u w:val="single"/>
        </w:rPr>
      </w:pPr>
    </w:p>
    <w:p w14:paraId="7BB5D74C" w14:textId="22D7BF30" w:rsidR="007A225F" w:rsidRPr="0026740E" w:rsidRDefault="007A225F" w:rsidP="007A225F">
      <w:pPr>
        <w:ind w:left="850"/>
        <w:rPr>
          <w:sz w:val="24"/>
          <w:szCs w:val="24"/>
          <w:u w:val="single"/>
          <w:lang w:eastAsia="da-DK"/>
        </w:rPr>
      </w:pPr>
      <w:r w:rsidRPr="0026740E">
        <w:rPr>
          <w:sz w:val="24"/>
          <w:szCs w:val="24"/>
          <w:u w:val="single"/>
        </w:rPr>
        <w:t>Absorption</w:t>
      </w:r>
    </w:p>
    <w:p w14:paraId="0A1182C9" w14:textId="77777777" w:rsidR="007A225F" w:rsidRPr="0026740E" w:rsidRDefault="007A225F" w:rsidP="007A225F">
      <w:pPr>
        <w:ind w:left="850"/>
        <w:rPr>
          <w:sz w:val="24"/>
          <w:szCs w:val="24"/>
        </w:rPr>
      </w:pPr>
      <w:r w:rsidRPr="0026740E">
        <w:rPr>
          <w:sz w:val="24"/>
          <w:szCs w:val="24"/>
        </w:rPr>
        <w:t>Paracetamol absorberes hurtigt og næsten fuldstændigt fra mave-tarm-kanalen. Maksimal plasmakoncentration nås inden for 30-60 minutter efter oral administration.</w:t>
      </w:r>
    </w:p>
    <w:p w14:paraId="5CD31C61" w14:textId="77777777" w:rsidR="007A225F" w:rsidRPr="0026740E" w:rsidRDefault="007A225F" w:rsidP="007A225F">
      <w:pPr>
        <w:ind w:left="850"/>
        <w:rPr>
          <w:sz w:val="24"/>
          <w:szCs w:val="24"/>
        </w:rPr>
      </w:pPr>
    </w:p>
    <w:p w14:paraId="29F49A65" w14:textId="77777777" w:rsidR="007A225F" w:rsidRPr="0026740E" w:rsidRDefault="007A225F" w:rsidP="007A225F">
      <w:pPr>
        <w:ind w:left="850"/>
        <w:rPr>
          <w:noProof/>
          <w:sz w:val="24"/>
          <w:szCs w:val="24"/>
          <w:u w:val="single"/>
        </w:rPr>
      </w:pPr>
      <w:r w:rsidRPr="0026740E">
        <w:rPr>
          <w:noProof/>
          <w:sz w:val="24"/>
          <w:szCs w:val="24"/>
          <w:u w:val="single"/>
        </w:rPr>
        <w:t>Fordeling</w:t>
      </w:r>
    </w:p>
    <w:p w14:paraId="27D3D069" w14:textId="77777777" w:rsidR="007A225F" w:rsidRPr="0026740E" w:rsidRDefault="007A225F" w:rsidP="007A225F">
      <w:pPr>
        <w:ind w:left="850"/>
        <w:rPr>
          <w:sz w:val="24"/>
          <w:szCs w:val="24"/>
        </w:rPr>
      </w:pPr>
      <w:r w:rsidRPr="0026740E">
        <w:rPr>
          <w:sz w:val="24"/>
          <w:szCs w:val="24"/>
        </w:rPr>
        <w:t>Paracetamol er relativt jævnt fordelt i hele kropsvæsken. Plasmaproteinbinding varierer; 20-30 % kan bindes i koncentrationer fanget i akut forgiftning. Paracetamol krydser placentabarrieren og udskilles i modermælken.</w:t>
      </w:r>
    </w:p>
    <w:p w14:paraId="03EF1D12" w14:textId="77777777" w:rsidR="007A225F" w:rsidRPr="0026740E" w:rsidRDefault="007A225F" w:rsidP="007A225F">
      <w:pPr>
        <w:ind w:left="850"/>
        <w:rPr>
          <w:sz w:val="24"/>
          <w:szCs w:val="24"/>
        </w:rPr>
      </w:pPr>
    </w:p>
    <w:p w14:paraId="073AF59D" w14:textId="77777777" w:rsidR="007A225F" w:rsidRPr="0026740E" w:rsidRDefault="007A225F" w:rsidP="007A225F">
      <w:pPr>
        <w:ind w:left="850"/>
        <w:rPr>
          <w:sz w:val="24"/>
          <w:szCs w:val="24"/>
          <w:u w:val="single"/>
        </w:rPr>
      </w:pPr>
      <w:r w:rsidRPr="0026740E">
        <w:rPr>
          <w:sz w:val="24"/>
          <w:szCs w:val="24"/>
          <w:u w:val="single"/>
        </w:rPr>
        <w:t>Biotransformation og elimination</w:t>
      </w:r>
    </w:p>
    <w:p w14:paraId="7BED32BE" w14:textId="77777777" w:rsidR="007A225F" w:rsidRPr="0026740E" w:rsidRDefault="007A225F" w:rsidP="007A225F">
      <w:pPr>
        <w:ind w:left="850"/>
        <w:rPr>
          <w:sz w:val="24"/>
          <w:szCs w:val="24"/>
        </w:rPr>
      </w:pPr>
      <w:r w:rsidRPr="0026740E">
        <w:rPr>
          <w:sz w:val="24"/>
          <w:szCs w:val="24"/>
        </w:rPr>
        <w:t xml:space="preserve">Udskillelse er praktisk talt udelukkende </w:t>
      </w:r>
      <w:proofErr w:type="spellStart"/>
      <w:r w:rsidRPr="0026740E">
        <w:rPr>
          <w:sz w:val="24"/>
          <w:szCs w:val="24"/>
        </w:rPr>
        <w:t>renal</w:t>
      </w:r>
      <w:proofErr w:type="spellEnd"/>
      <w:r w:rsidRPr="0026740E">
        <w:rPr>
          <w:sz w:val="24"/>
          <w:szCs w:val="24"/>
        </w:rPr>
        <w:t xml:space="preserve"> i form af </w:t>
      </w:r>
      <w:proofErr w:type="spellStart"/>
      <w:r w:rsidRPr="0026740E">
        <w:rPr>
          <w:sz w:val="24"/>
          <w:szCs w:val="24"/>
        </w:rPr>
        <w:t>konjugatmetabolitter</w:t>
      </w:r>
      <w:proofErr w:type="spellEnd"/>
      <w:r w:rsidRPr="0026740E">
        <w:rPr>
          <w:sz w:val="24"/>
          <w:szCs w:val="24"/>
        </w:rPr>
        <w:t>. Cirka 5 % paracetamol udskilles uændret. Eliminationshalveringstiden er 1-4 timer efter terapeutiske doser. Ved svær leverinsufficiens forlænges den i op til 5 timer. Ved nyreinsufficiens forlænges halveringstiden ikke, men på grund af nedsat nyreudskillelse kræves en reduktion af paracetamoldosis.</w:t>
      </w:r>
    </w:p>
    <w:p w14:paraId="1AE4ECD3" w14:textId="77777777" w:rsidR="009260DE" w:rsidRPr="0026740E" w:rsidRDefault="009260DE" w:rsidP="009260DE">
      <w:pPr>
        <w:tabs>
          <w:tab w:val="left" w:pos="851"/>
        </w:tabs>
        <w:ind w:left="851"/>
        <w:rPr>
          <w:sz w:val="24"/>
          <w:szCs w:val="24"/>
        </w:rPr>
      </w:pPr>
    </w:p>
    <w:p w14:paraId="5B5E1C70" w14:textId="363F6CC1" w:rsidR="009260DE" w:rsidRPr="0026740E" w:rsidRDefault="009260DE" w:rsidP="009260DE">
      <w:pPr>
        <w:tabs>
          <w:tab w:val="left" w:pos="851"/>
        </w:tabs>
        <w:ind w:left="851" w:hanging="851"/>
        <w:rPr>
          <w:b/>
          <w:sz w:val="24"/>
          <w:szCs w:val="24"/>
        </w:rPr>
      </w:pPr>
      <w:r w:rsidRPr="0026740E">
        <w:rPr>
          <w:b/>
          <w:sz w:val="24"/>
          <w:szCs w:val="24"/>
        </w:rPr>
        <w:t>5.3</w:t>
      </w:r>
      <w:r w:rsidRPr="0026740E">
        <w:rPr>
          <w:b/>
          <w:sz w:val="24"/>
          <w:szCs w:val="24"/>
        </w:rPr>
        <w:tab/>
      </w:r>
      <w:bookmarkStart w:id="8" w:name="_Hlk121750318"/>
      <w:r w:rsidR="00C75390" w:rsidRPr="00BA4587">
        <w:rPr>
          <w:b/>
          <w:sz w:val="24"/>
          <w:szCs w:val="24"/>
        </w:rPr>
        <w:t>Non-kliniske sikkerhedsdata</w:t>
      </w:r>
      <w:bookmarkEnd w:id="8"/>
    </w:p>
    <w:p w14:paraId="707FB721" w14:textId="77777777" w:rsidR="007A225F" w:rsidRPr="0026740E" w:rsidRDefault="007A225F" w:rsidP="007A225F">
      <w:pPr>
        <w:ind w:left="850"/>
        <w:rPr>
          <w:sz w:val="24"/>
          <w:szCs w:val="24"/>
          <w:lang w:eastAsia="da-DK"/>
        </w:rPr>
      </w:pPr>
      <w:r w:rsidRPr="0026740E">
        <w:rPr>
          <w:sz w:val="24"/>
          <w:szCs w:val="24"/>
        </w:rPr>
        <w:t>Der foreligger ikke konventionelle studier, hvor man har anvendt aktuelt anerkendte standarder for evaluering af reproduktions- og udviklingstoksicitet.</w:t>
      </w:r>
    </w:p>
    <w:p w14:paraId="794402E6" w14:textId="77777777" w:rsidR="009260DE" w:rsidRPr="0026740E" w:rsidRDefault="009260DE" w:rsidP="009260DE">
      <w:pPr>
        <w:tabs>
          <w:tab w:val="left" w:pos="851"/>
        </w:tabs>
        <w:ind w:left="851"/>
        <w:rPr>
          <w:sz w:val="24"/>
          <w:szCs w:val="24"/>
        </w:rPr>
      </w:pPr>
    </w:p>
    <w:p w14:paraId="413020F9" w14:textId="449CADEB" w:rsidR="0026740E" w:rsidRDefault="0026740E">
      <w:pPr>
        <w:rPr>
          <w:sz w:val="24"/>
          <w:szCs w:val="24"/>
        </w:rPr>
      </w:pPr>
      <w:r>
        <w:rPr>
          <w:sz w:val="24"/>
          <w:szCs w:val="24"/>
        </w:rPr>
        <w:br w:type="page"/>
      </w:r>
    </w:p>
    <w:p w14:paraId="49C8EB2F" w14:textId="77777777" w:rsidR="009260DE" w:rsidRPr="0026740E" w:rsidRDefault="009260DE" w:rsidP="009260DE">
      <w:pPr>
        <w:tabs>
          <w:tab w:val="left" w:pos="851"/>
        </w:tabs>
        <w:ind w:left="851"/>
        <w:rPr>
          <w:sz w:val="24"/>
          <w:szCs w:val="24"/>
        </w:rPr>
      </w:pPr>
    </w:p>
    <w:p w14:paraId="6E6DCE31" w14:textId="77777777" w:rsidR="009260DE" w:rsidRPr="0026740E" w:rsidRDefault="009260DE" w:rsidP="009260DE">
      <w:pPr>
        <w:tabs>
          <w:tab w:val="left" w:pos="851"/>
        </w:tabs>
        <w:ind w:left="851" w:hanging="851"/>
        <w:rPr>
          <w:b/>
          <w:sz w:val="24"/>
          <w:szCs w:val="24"/>
        </w:rPr>
      </w:pPr>
      <w:r w:rsidRPr="0026740E">
        <w:rPr>
          <w:b/>
          <w:sz w:val="24"/>
          <w:szCs w:val="24"/>
        </w:rPr>
        <w:t>6.</w:t>
      </w:r>
      <w:r w:rsidRPr="0026740E">
        <w:rPr>
          <w:b/>
          <w:sz w:val="24"/>
          <w:szCs w:val="24"/>
        </w:rPr>
        <w:tab/>
        <w:t>FARMACEUTISKE OPLYSNINGER</w:t>
      </w:r>
    </w:p>
    <w:p w14:paraId="058C108F" w14:textId="77777777" w:rsidR="009260DE" w:rsidRPr="0026740E" w:rsidRDefault="009260DE" w:rsidP="009260DE">
      <w:pPr>
        <w:tabs>
          <w:tab w:val="left" w:pos="851"/>
        </w:tabs>
        <w:ind w:left="851"/>
        <w:rPr>
          <w:sz w:val="24"/>
          <w:szCs w:val="24"/>
        </w:rPr>
      </w:pPr>
    </w:p>
    <w:p w14:paraId="69640102" w14:textId="77777777" w:rsidR="009260DE" w:rsidRPr="0026740E" w:rsidRDefault="009260DE" w:rsidP="009260DE">
      <w:pPr>
        <w:tabs>
          <w:tab w:val="left" w:pos="851"/>
        </w:tabs>
        <w:ind w:left="851" w:hanging="851"/>
        <w:rPr>
          <w:b/>
          <w:sz w:val="24"/>
          <w:szCs w:val="24"/>
        </w:rPr>
      </w:pPr>
      <w:r w:rsidRPr="0026740E">
        <w:rPr>
          <w:b/>
          <w:sz w:val="24"/>
          <w:szCs w:val="24"/>
        </w:rPr>
        <w:t>6.1</w:t>
      </w:r>
      <w:r w:rsidRPr="0026740E">
        <w:rPr>
          <w:b/>
          <w:sz w:val="24"/>
          <w:szCs w:val="24"/>
        </w:rPr>
        <w:tab/>
        <w:t>Hjælpestoffer</w:t>
      </w:r>
    </w:p>
    <w:p w14:paraId="053EE71D" w14:textId="77777777" w:rsidR="007A225F" w:rsidRPr="0026740E" w:rsidRDefault="007A225F" w:rsidP="00A35769">
      <w:pPr>
        <w:ind w:left="851"/>
        <w:rPr>
          <w:sz w:val="24"/>
          <w:szCs w:val="24"/>
          <w:lang w:eastAsia="da-DK"/>
        </w:rPr>
      </w:pPr>
      <w:r w:rsidRPr="0026740E">
        <w:rPr>
          <w:sz w:val="24"/>
          <w:szCs w:val="24"/>
        </w:rPr>
        <w:t>Prægelatineret majsstivelse</w:t>
      </w:r>
    </w:p>
    <w:p w14:paraId="5934FF1A" w14:textId="77777777" w:rsidR="007A225F" w:rsidRPr="0026740E" w:rsidRDefault="007A225F" w:rsidP="00A35769">
      <w:pPr>
        <w:ind w:left="851"/>
        <w:rPr>
          <w:sz w:val="24"/>
          <w:szCs w:val="24"/>
        </w:rPr>
      </w:pPr>
      <w:r w:rsidRPr="0026740E">
        <w:rPr>
          <w:sz w:val="24"/>
          <w:szCs w:val="24"/>
        </w:rPr>
        <w:t>Majsstivelse</w:t>
      </w:r>
    </w:p>
    <w:p w14:paraId="612B71CB" w14:textId="77777777" w:rsidR="007A225F" w:rsidRPr="0026740E" w:rsidRDefault="007A225F" w:rsidP="00A35769">
      <w:pPr>
        <w:ind w:left="851"/>
        <w:rPr>
          <w:sz w:val="24"/>
          <w:szCs w:val="24"/>
          <w:lang w:val="en-US"/>
        </w:rPr>
      </w:pPr>
      <w:r w:rsidRPr="0026740E">
        <w:rPr>
          <w:sz w:val="24"/>
          <w:szCs w:val="24"/>
          <w:lang w:val="en-US"/>
        </w:rPr>
        <w:t>Talcum (E 553)</w:t>
      </w:r>
    </w:p>
    <w:p w14:paraId="5AB9616B" w14:textId="77777777" w:rsidR="007A225F" w:rsidRPr="0026740E" w:rsidRDefault="007A225F" w:rsidP="00A35769">
      <w:pPr>
        <w:ind w:left="851"/>
        <w:rPr>
          <w:sz w:val="24"/>
          <w:szCs w:val="24"/>
          <w:lang w:val="en-US"/>
        </w:rPr>
      </w:pPr>
      <w:proofErr w:type="spellStart"/>
      <w:r w:rsidRPr="0026740E">
        <w:rPr>
          <w:sz w:val="24"/>
          <w:szCs w:val="24"/>
          <w:lang w:val="en-US"/>
        </w:rPr>
        <w:t>Stearinsyre</w:t>
      </w:r>
      <w:proofErr w:type="spellEnd"/>
      <w:r w:rsidRPr="0026740E">
        <w:rPr>
          <w:sz w:val="24"/>
          <w:szCs w:val="24"/>
          <w:lang w:val="en-US"/>
        </w:rPr>
        <w:t xml:space="preserve"> (E 570)</w:t>
      </w:r>
    </w:p>
    <w:p w14:paraId="14DB3C8F" w14:textId="77777777" w:rsidR="007A225F" w:rsidRPr="0026740E" w:rsidRDefault="007A225F" w:rsidP="00A35769">
      <w:pPr>
        <w:ind w:left="851"/>
        <w:rPr>
          <w:sz w:val="24"/>
          <w:szCs w:val="24"/>
          <w:lang w:val="en-US"/>
        </w:rPr>
      </w:pPr>
      <w:proofErr w:type="spellStart"/>
      <w:r w:rsidRPr="0026740E">
        <w:rPr>
          <w:sz w:val="24"/>
          <w:szCs w:val="24"/>
          <w:lang w:val="en-US"/>
        </w:rPr>
        <w:t>Povidon</w:t>
      </w:r>
      <w:proofErr w:type="spellEnd"/>
      <w:r w:rsidRPr="0026740E">
        <w:rPr>
          <w:sz w:val="24"/>
          <w:szCs w:val="24"/>
          <w:lang w:val="en-US"/>
        </w:rPr>
        <w:t xml:space="preserve"> (E 1201)</w:t>
      </w:r>
    </w:p>
    <w:p w14:paraId="39139DB7" w14:textId="77777777" w:rsidR="009260DE" w:rsidRPr="00C32E9C" w:rsidRDefault="009260DE" w:rsidP="009260DE">
      <w:pPr>
        <w:tabs>
          <w:tab w:val="left" w:pos="851"/>
        </w:tabs>
        <w:ind w:left="851"/>
        <w:rPr>
          <w:sz w:val="24"/>
          <w:szCs w:val="24"/>
          <w:lang w:val="en-US"/>
        </w:rPr>
      </w:pPr>
    </w:p>
    <w:p w14:paraId="409644E8" w14:textId="77777777" w:rsidR="009260DE" w:rsidRPr="0026740E" w:rsidRDefault="009260DE" w:rsidP="009260DE">
      <w:pPr>
        <w:tabs>
          <w:tab w:val="left" w:pos="851"/>
        </w:tabs>
        <w:ind w:left="851" w:hanging="851"/>
        <w:rPr>
          <w:b/>
          <w:sz w:val="24"/>
          <w:szCs w:val="24"/>
        </w:rPr>
      </w:pPr>
      <w:r w:rsidRPr="0026740E">
        <w:rPr>
          <w:b/>
          <w:sz w:val="24"/>
          <w:szCs w:val="24"/>
        </w:rPr>
        <w:t>6.2</w:t>
      </w:r>
      <w:r w:rsidRPr="0026740E">
        <w:rPr>
          <w:b/>
          <w:sz w:val="24"/>
          <w:szCs w:val="24"/>
        </w:rPr>
        <w:tab/>
        <w:t>Uforligeligheder</w:t>
      </w:r>
    </w:p>
    <w:p w14:paraId="2296DE0D" w14:textId="77777777" w:rsidR="007A225F" w:rsidRPr="0026740E" w:rsidRDefault="007A225F" w:rsidP="007A225F">
      <w:pPr>
        <w:tabs>
          <w:tab w:val="left" w:pos="851"/>
        </w:tabs>
        <w:ind w:left="851"/>
        <w:rPr>
          <w:sz w:val="24"/>
          <w:szCs w:val="24"/>
          <w:lang w:eastAsia="da-DK"/>
        </w:rPr>
      </w:pPr>
      <w:r w:rsidRPr="0026740E">
        <w:rPr>
          <w:sz w:val="24"/>
          <w:szCs w:val="24"/>
        </w:rPr>
        <w:t>Ikke relevant.</w:t>
      </w:r>
    </w:p>
    <w:p w14:paraId="6C5ADF74" w14:textId="77777777" w:rsidR="009260DE" w:rsidRPr="0026740E" w:rsidRDefault="009260DE" w:rsidP="009260DE">
      <w:pPr>
        <w:tabs>
          <w:tab w:val="left" w:pos="851"/>
        </w:tabs>
        <w:ind w:left="851"/>
        <w:rPr>
          <w:sz w:val="24"/>
          <w:szCs w:val="24"/>
        </w:rPr>
      </w:pPr>
    </w:p>
    <w:p w14:paraId="753B4C04" w14:textId="77777777" w:rsidR="009260DE" w:rsidRPr="0026740E" w:rsidRDefault="009260DE" w:rsidP="009260DE">
      <w:pPr>
        <w:tabs>
          <w:tab w:val="left" w:pos="851"/>
        </w:tabs>
        <w:ind w:left="851" w:hanging="851"/>
        <w:rPr>
          <w:b/>
          <w:sz w:val="24"/>
          <w:szCs w:val="24"/>
        </w:rPr>
      </w:pPr>
      <w:r w:rsidRPr="0026740E">
        <w:rPr>
          <w:b/>
          <w:sz w:val="24"/>
          <w:szCs w:val="24"/>
        </w:rPr>
        <w:t>6.3</w:t>
      </w:r>
      <w:r w:rsidRPr="0026740E">
        <w:rPr>
          <w:b/>
          <w:sz w:val="24"/>
          <w:szCs w:val="24"/>
        </w:rPr>
        <w:tab/>
        <w:t>Opbevaringstid</w:t>
      </w:r>
    </w:p>
    <w:p w14:paraId="19F6196B" w14:textId="37FFC53E" w:rsidR="007A225F" w:rsidRPr="0026740E" w:rsidRDefault="00833002" w:rsidP="007A225F">
      <w:pPr>
        <w:tabs>
          <w:tab w:val="left" w:pos="851"/>
        </w:tabs>
        <w:ind w:left="851"/>
        <w:rPr>
          <w:sz w:val="24"/>
          <w:szCs w:val="24"/>
          <w:lang w:eastAsia="da-DK"/>
        </w:rPr>
      </w:pPr>
      <w:r>
        <w:rPr>
          <w:sz w:val="24"/>
          <w:szCs w:val="24"/>
        </w:rPr>
        <w:t>3</w:t>
      </w:r>
      <w:r w:rsidR="007A225F" w:rsidRPr="0026740E">
        <w:rPr>
          <w:sz w:val="24"/>
          <w:szCs w:val="24"/>
        </w:rPr>
        <w:t xml:space="preserve"> år.</w:t>
      </w:r>
    </w:p>
    <w:p w14:paraId="76FC27DE" w14:textId="77777777" w:rsidR="009260DE" w:rsidRPr="0026740E" w:rsidRDefault="009260DE" w:rsidP="009260DE">
      <w:pPr>
        <w:tabs>
          <w:tab w:val="left" w:pos="851"/>
        </w:tabs>
        <w:ind w:left="851"/>
        <w:rPr>
          <w:sz w:val="24"/>
          <w:szCs w:val="24"/>
        </w:rPr>
      </w:pPr>
    </w:p>
    <w:p w14:paraId="42925B9F" w14:textId="77777777" w:rsidR="009260DE" w:rsidRPr="0026740E" w:rsidRDefault="009260DE" w:rsidP="009260DE">
      <w:pPr>
        <w:tabs>
          <w:tab w:val="left" w:pos="851"/>
        </w:tabs>
        <w:ind w:left="851" w:hanging="851"/>
        <w:rPr>
          <w:b/>
          <w:sz w:val="24"/>
          <w:szCs w:val="24"/>
        </w:rPr>
      </w:pPr>
      <w:r w:rsidRPr="0026740E">
        <w:rPr>
          <w:b/>
          <w:sz w:val="24"/>
          <w:szCs w:val="24"/>
        </w:rPr>
        <w:t>6.4</w:t>
      </w:r>
      <w:r w:rsidRPr="0026740E">
        <w:rPr>
          <w:b/>
          <w:sz w:val="24"/>
          <w:szCs w:val="24"/>
        </w:rPr>
        <w:tab/>
        <w:t>Særlige opbevaringsforhold</w:t>
      </w:r>
    </w:p>
    <w:p w14:paraId="10B75E66" w14:textId="77777777" w:rsidR="007A225F" w:rsidRPr="0026740E" w:rsidRDefault="007A225F" w:rsidP="007A225F">
      <w:pPr>
        <w:tabs>
          <w:tab w:val="left" w:pos="851"/>
        </w:tabs>
        <w:ind w:left="851"/>
        <w:rPr>
          <w:sz w:val="24"/>
          <w:szCs w:val="24"/>
          <w:lang w:eastAsia="da-DK"/>
        </w:rPr>
      </w:pPr>
      <w:r w:rsidRPr="0026740E">
        <w:rPr>
          <w:color w:val="000000"/>
          <w:sz w:val="24"/>
          <w:szCs w:val="24"/>
        </w:rPr>
        <w:t>Dette lægemiddel kræver ingen særlige forholdsregler vedrørende opbevaringen.</w:t>
      </w:r>
    </w:p>
    <w:p w14:paraId="1EC7826F" w14:textId="77777777" w:rsidR="009260DE" w:rsidRPr="0026740E" w:rsidRDefault="009260DE" w:rsidP="009260DE">
      <w:pPr>
        <w:tabs>
          <w:tab w:val="left" w:pos="851"/>
        </w:tabs>
        <w:ind w:left="851"/>
        <w:rPr>
          <w:sz w:val="24"/>
          <w:szCs w:val="24"/>
        </w:rPr>
      </w:pPr>
    </w:p>
    <w:p w14:paraId="66E38E00" w14:textId="3C1BD2BB" w:rsidR="009260DE" w:rsidRPr="0026740E" w:rsidRDefault="009260DE" w:rsidP="009260DE">
      <w:pPr>
        <w:tabs>
          <w:tab w:val="left" w:pos="851"/>
        </w:tabs>
        <w:ind w:left="851" w:hanging="851"/>
        <w:rPr>
          <w:b/>
          <w:sz w:val="24"/>
          <w:szCs w:val="24"/>
        </w:rPr>
      </w:pPr>
      <w:r w:rsidRPr="0026740E">
        <w:rPr>
          <w:b/>
          <w:sz w:val="24"/>
          <w:szCs w:val="24"/>
        </w:rPr>
        <w:t>6.5</w:t>
      </w:r>
      <w:r w:rsidRPr="0026740E">
        <w:rPr>
          <w:b/>
          <w:sz w:val="24"/>
          <w:szCs w:val="24"/>
        </w:rPr>
        <w:tab/>
      </w:r>
      <w:bookmarkStart w:id="9" w:name="_Hlk121743052"/>
      <w:r w:rsidR="00C75390" w:rsidRPr="00BA4587">
        <w:rPr>
          <w:b/>
          <w:sz w:val="24"/>
          <w:szCs w:val="24"/>
        </w:rPr>
        <w:t>Emballagetype og pakningsstørrelser</w:t>
      </w:r>
      <w:bookmarkEnd w:id="9"/>
    </w:p>
    <w:p w14:paraId="4CC69740" w14:textId="77777777" w:rsidR="007A225F" w:rsidRPr="0026740E" w:rsidRDefault="007A225F" w:rsidP="007A225F">
      <w:pPr>
        <w:suppressAutoHyphens/>
        <w:ind w:left="850"/>
        <w:rPr>
          <w:bCs/>
          <w:sz w:val="24"/>
          <w:szCs w:val="24"/>
          <w:lang w:eastAsia="da-DK"/>
        </w:rPr>
      </w:pPr>
      <w:bookmarkStart w:id="10" w:name="_Hlk95478262"/>
      <w:r w:rsidRPr="0026740E">
        <w:rPr>
          <w:bCs/>
          <w:sz w:val="24"/>
          <w:szCs w:val="24"/>
        </w:rPr>
        <w:t>PVC/</w:t>
      </w:r>
      <w:proofErr w:type="spellStart"/>
      <w:r w:rsidRPr="0026740E">
        <w:rPr>
          <w:bCs/>
          <w:sz w:val="24"/>
          <w:szCs w:val="24"/>
        </w:rPr>
        <w:t>Alu</w:t>
      </w:r>
      <w:proofErr w:type="spellEnd"/>
      <w:r w:rsidRPr="0026740E">
        <w:rPr>
          <w:bCs/>
          <w:sz w:val="24"/>
          <w:szCs w:val="24"/>
        </w:rPr>
        <w:t xml:space="preserve"> blister.</w:t>
      </w:r>
    </w:p>
    <w:p w14:paraId="79A541D2" w14:textId="77777777" w:rsidR="007A225F" w:rsidRPr="0026740E" w:rsidRDefault="007A225F" w:rsidP="007A225F">
      <w:pPr>
        <w:suppressAutoHyphens/>
        <w:ind w:left="850"/>
        <w:rPr>
          <w:bCs/>
          <w:sz w:val="24"/>
          <w:szCs w:val="24"/>
        </w:rPr>
      </w:pPr>
    </w:p>
    <w:p w14:paraId="53DB11BE" w14:textId="279BD13A" w:rsidR="007A225F" w:rsidRPr="0026740E" w:rsidRDefault="007A225F" w:rsidP="007A225F">
      <w:pPr>
        <w:suppressAutoHyphens/>
        <w:ind w:left="850"/>
        <w:rPr>
          <w:bCs/>
          <w:sz w:val="24"/>
          <w:szCs w:val="24"/>
        </w:rPr>
      </w:pPr>
      <w:r w:rsidRPr="0026740E">
        <w:rPr>
          <w:bCs/>
          <w:sz w:val="24"/>
          <w:szCs w:val="24"/>
        </w:rPr>
        <w:t>Pakningsstørrelser:</w:t>
      </w:r>
    </w:p>
    <w:p w14:paraId="16449AFD" w14:textId="04084407" w:rsidR="007A225F" w:rsidRPr="0026740E" w:rsidRDefault="007A225F" w:rsidP="007A225F">
      <w:pPr>
        <w:suppressAutoHyphens/>
        <w:ind w:left="850"/>
        <w:rPr>
          <w:bCs/>
          <w:sz w:val="24"/>
          <w:szCs w:val="24"/>
          <w:lang w:val="nb-NO"/>
        </w:rPr>
      </w:pPr>
      <w:r w:rsidRPr="0026740E">
        <w:rPr>
          <w:bCs/>
          <w:sz w:val="24"/>
          <w:szCs w:val="24"/>
          <w:lang w:val="nb-NO"/>
        </w:rPr>
        <w:t xml:space="preserve">Paracetamol </w:t>
      </w:r>
      <w:r w:rsidR="0026740E" w:rsidRPr="0026740E">
        <w:rPr>
          <w:bCs/>
          <w:sz w:val="24"/>
          <w:szCs w:val="24"/>
          <w:lang w:val="nb-NO"/>
        </w:rPr>
        <w:t>"Zentiva"</w:t>
      </w:r>
      <w:r w:rsidRPr="0026740E">
        <w:rPr>
          <w:bCs/>
          <w:sz w:val="24"/>
          <w:szCs w:val="24"/>
          <w:lang w:val="nb-NO"/>
        </w:rPr>
        <w:t xml:space="preserve"> 500 mg tabletter:10, 12, 16, 20, 24, 30, 50, 100, 120 eller 300 tabletter.</w:t>
      </w:r>
    </w:p>
    <w:bookmarkEnd w:id="10"/>
    <w:p w14:paraId="60FAA424" w14:textId="7C76DBE1" w:rsidR="007A225F" w:rsidRPr="0026740E" w:rsidRDefault="007A225F" w:rsidP="007A225F">
      <w:pPr>
        <w:suppressAutoHyphens/>
        <w:ind w:left="850"/>
        <w:rPr>
          <w:bCs/>
          <w:sz w:val="24"/>
          <w:szCs w:val="24"/>
          <w:lang w:val="nb-NO"/>
        </w:rPr>
      </w:pPr>
      <w:r w:rsidRPr="0026740E">
        <w:rPr>
          <w:bCs/>
          <w:sz w:val="24"/>
          <w:szCs w:val="24"/>
          <w:lang w:val="nb-NO"/>
        </w:rPr>
        <w:t xml:space="preserve">Paracetamol </w:t>
      </w:r>
      <w:r w:rsidR="0026740E" w:rsidRPr="0026740E">
        <w:rPr>
          <w:bCs/>
          <w:sz w:val="24"/>
          <w:szCs w:val="24"/>
          <w:lang w:val="nb-NO"/>
        </w:rPr>
        <w:t>"Zentiva"</w:t>
      </w:r>
      <w:r w:rsidRPr="0026740E">
        <w:rPr>
          <w:bCs/>
          <w:sz w:val="24"/>
          <w:szCs w:val="24"/>
          <w:lang w:val="nb-NO"/>
        </w:rPr>
        <w:t xml:space="preserve"> 1.000 mg tabletter: 8, 16, 50 eller 100 tabletter.</w:t>
      </w:r>
    </w:p>
    <w:p w14:paraId="0A77D6D1" w14:textId="77777777" w:rsidR="007A225F" w:rsidRPr="0026740E" w:rsidRDefault="007A225F" w:rsidP="007A225F">
      <w:pPr>
        <w:suppressAutoHyphens/>
        <w:ind w:left="850"/>
        <w:rPr>
          <w:sz w:val="24"/>
          <w:szCs w:val="24"/>
          <w:lang w:val="nb-NO"/>
        </w:rPr>
      </w:pPr>
    </w:p>
    <w:p w14:paraId="3278CC52" w14:textId="77777777" w:rsidR="007A225F" w:rsidRPr="0026740E" w:rsidRDefault="007A225F" w:rsidP="007A225F">
      <w:pPr>
        <w:suppressAutoHyphens/>
        <w:ind w:left="850"/>
        <w:rPr>
          <w:sz w:val="24"/>
          <w:szCs w:val="24"/>
        </w:rPr>
      </w:pPr>
      <w:bookmarkStart w:id="11" w:name="_Hlk95478271"/>
      <w:r w:rsidRPr="0026740E">
        <w:rPr>
          <w:sz w:val="24"/>
          <w:szCs w:val="24"/>
        </w:rPr>
        <w:t>Ikke alle pakningsstørrelser er nødvendigvis markedsført.</w:t>
      </w:r>
      <w:bookmarkEnd w:id="11"/>
    </w:p>
    <w:p w14:paraId="1403E075" w14:textId="77777777" w:rsidR="009260DE" w:rsidRPr="0026740E" w:rsidRDefault="009260DE" w:rsidP="009260DE">
      <w:pPr>
        <w:tabs>
          <w:tab w:val="left" w:pos="851"/>
        </w:tabs>
        <w:ind w:left="851"/>
        <w:rPr>
          <w:sz w:val="24"/>
          <w:szCs w:val="24"/>
        </w:rPr>
      </w:pPr>
    </w:p>
    <w:p w14:paraId="73C6ADBC" w14:textId="66F72AB2" w:rsidR="009260DE" w:rsidRPr="0026740E" w:rsidRDefault="009260DE" w:rsidP="009260DE">
      <w:pPr>
        <w:tabs>
          <w:tab w:val="left" w:pos="851"/>
        </w:tabs>
        <w:ind w:left="851" w:hanging="851"/>
        <w:rPr>
          <w:b/>
          <w:sz w:val="24"/>
          <w:szCs w:val="24"/>
        </w:rPr>
      </w:pPr>
      <w:r w:rsidRPr="0026740E">
        <w:rPr>
          <w:b/>
          <w:sz w:val="24"/>
          <w:szCs w:val="24"/>
        </w:rPr>
        <w:t>6.6</w:t>
      </w:r>
      <w:r w:rsidRPr="0026740E">
        <w:rPr>
          <w:b/>
          <w:sz w:val="24"/>
          <w:szCs w:val="24"/>
        </w:rPr>
        <w:tab/>
      </w:r>
      <w:bookmarkStart w:id="12" w:name="_Hlk121754038"/>
      <w:r w:rsidR="00C75390" w:rsidRPr="00BA4587">
        <w:rPr>
          <w:b/>
          <w:noProof/>
          <w:sz w:val="24"/>
          <w:szCs w:val="24"/>
        </w:rPr>
        <w:t>Regler for bortskaffelse og anden håndtering</w:t>
      </w:r>
      <w:bookmarkEnd w:id="12"/>
    </w:p>
    <w:p w14:paraId="13F3F28C" w14:textId="77777777" w:rsidR="007A225F" w:rsidRPr="0026740E" w:rsidRDefault="007A225F" w:rsidP="007A225F">
      <w:pPr>
        <w:ind w:left="850"/>
        <w:rPr>
          <w:sz w:val="24"/>
          <w:szCs w:val="24"/>
          <w:lang w:eastAsia="da-DK"/>
        </w:rPr>
      </w:pPr>
      <w:r w:rsidRPr="0026740E">
        <w:rPr>
          <w:sz w:val="24"/>
          <w:szCs w:val="24"/>
        </w:rPr>
        <w:t>Ingen særlige forholdsregler.</w:t>
      </w:r>
    </w:p>
    <w:p w14:paraId="3C625C1C" w14:textId="77777777" w:rsidR="009260DE" w:rsidRPr="0026740E" w:rsidRDefault="009260DE" w:rsidP="000730CA">
      <w:pPr>
        <w:tabs>
          <w:tab w:val="left" w:pos="851"/>
        </w:tabs>
        <w:ind w:left="851"/>
        <w:rPr>
          <w:sz w:val="24"/>
          <w:szCs w:val="24"/>
        </w:rPr>
      </w:pPr>
    </w:p>
    <w:p w14:paraId="24747F6E" w14:textId="77777777" w:rsidR="009260DE" w:rsidRPr="0026740E" w:rsidRDefault="009260DE" w:rsidP="009260DE">
      <w:pPr>
        <w:tabs>
          <w:tab w:val="left" w:pos="851"/>
        </w:tabs>
        <w:ind w:left="851" w:hanging="851"/>
        <w:rPr>
          <w:b/>
          <w:sz w:val="24"/>
          <w:szCs w:val="24"/>
        </w:rPr>
      </w:pPr>
      <w:r w:rsidRPr="0026740E">
        <w:rPr>
          <w:b/>
          <w:sz w:val="24"/>
          <w:szCs w:val="24"/>
        </w:rPr>
        <w:t>7.</w:t>
      </w:r>
      <w:r w:rsidRPr="0026740E">
        <w:rPr>
          <w:b/>
          <w:sz w:val="24"/>
          <w:szCs w:val="24"/>
        </w:rPr>
        <w:tab/>
        <w:t>INDEHAVER AF MARKEDSFØRINGSTILLADELSEN</w:t>
      </w:r>
    </w:p>
    <w:p w14:paraId="062513F6" w14:textId="77777777" w:rsidR="007A225F" w:rsidRPr="00C32E9C" w:rsidRDefault="007A225F" w:rsidP="007A225F">
      <w:pPr>
        <w:ind w:left="850"/>
        <w:rPr>
          <w:sz w:val="24"/>
          <w:szCs w:val="24"/>
          <w:lang w:val="sv-SE" w:eastAsia="da-DK"/>
        </w:rPr>
      </w:pPr>
      <w:bookmarkStart w:id="13" w:name="_Hlk95382284"/>
      <w:proofErr w:type="spellStart"/>
      <w:r w:rsidRPr="00C32E9C">
        <w:rPr>
          <w:sz w:val="24"/>
          <w:szCs w:val="24"/>
          <w:lang w:val="sv-SE"/>
        </w:rPr>
        <w:t>Zentiva</w:t>
      </w:r>
      <w:proofErr w:type="spellEnd"/>
      <w:r w:rsidRPr="00C32E9C">
        <w:rPr>
          <w:sz w:val="24"/>
          <w:szCs w:val="24"/>
          <w:lang w:val="sv-SE"/>
        </w:rPr>
        <w:t xml:space="preserve">, </w:t>
      </w:r>
      <w:proofErr w:type="spellStart"/>
      <w:r w:rsidRPr="00C32E9C">
        <w:rPr>
          <w:sz w:val="24"/>
          <w:szCs w:val="24"/>
          <w:lang w:val="sv-SE"/>
        </w:rPr>
        <w:t>k.s</w:t>
      </w:r>
      <w:proofErr w:type="spellEnd"/>
      <w:r w:rsidRPr="00C32E9C">
        <w:rPr>
          <w:sz w:val="24"/>
          <w:szCs w:val="24"/>
          <w:lang w:val="sv-SE"/>
        </w:rPr>
        <w:t>.</w:t>
      </w:r>
    </w:p>
    <w:p w14:paraId="577B78E4" w14:textId="77777777" w:rsidR="007A225F" w:rsidRPr="00C32E9C" w:rsidRDefault="007A225F" w:rsidP="007A225F">
      <w:pPr>
        <w:ind w:left="850"/>
        <w:rPr>
          <w:sz w:val="24"/>
          <w:szCs w:val="24"/>
          <w:lang w:val="sv-SE"/>
        </w:rPr>
      </w:pPr>
      <w:r w:rsidRPr="00C32E9C">
        <w:rPr>
          <w:sz w:val="24"/>
          <w:szCs w:val="24"/>
          <w:lang w:val="sv-SE"/>
        </w:rPr>
        <w:t xml:space="preserve">U </w:t>
      </w:r>
      <w:proofErr w:type="spellStart"/>
      <w:r w:rsidRPr="00C32E9C">
        <w:rPr>
          <w:sz w:val="24"/>
          <w:szCs w:val="24"/>
          <w:lang w:val="sv-SE"/>
        </w:rPr>
        <w:t>Kabelovny</w:t>
      </w:r>
      <w:proofErr w:type="spellEnd"/>
      <w:r w:rsidRPr="00C32E9C">
        <w:rPr>
          <w:sz w:val="24"/>
          <w:szCs w:val="24"/>
          <w:lang w:val="sv-SE"/>
        </w:rPr>
        <w:t xml:space="preserve"> 130</w:t>
      </w:r>
    </w:p>
    <w:p w14:paraId="36D9A955" w14:textId="77777777" w:rsidR="007A225F" w:rsidRPr="0026740E" w:rsidRDefault="007A225F" w:rsidP="007A225F">
      <w:pPr>
        <w:ind w:left="850"/>
        <w:rPr>
          <w:sz w:val="24"/>
          <w:szCs w:val="24"/>
        </w:rPr>
      </w:pPr>
      <w:r w:rsidRPr="0026740E">
        <w:rPr>
          <w:sz w:val="24"/>
          <w:szCs w:val="24"/>
        </w:rPr>
        <w:t>102 37 Prag 10</w:t>
      </w:r>
    </w:p>
    <w:p w14:paraId="5741E7F0" w14:textId="77777777" w:rsidR="007A225F" w:rsidRPr="0026740E" w:rsidRDefault="007A225F" w:rsidP="007A225F">
      <w:pPr>
        <w:ind w:left="850"/>
        <w:rPr>
          <w:sz w:val="24"/>
          <w:szCs w:val="24"/>
        </w:rPr>
      </w:pPr>
      <w:r w:rsidRPr="0026740E">
        <w:rPr>
          <w:sz w:val="24"/>
          <w:szCs w:val="24"/>
        </w:rPr>
        <w:t>Tjekkiet</w:t>
      </w:r>
    </w:p>
    <w:bookmarkEnd w:id="13"/>
    <w:p w14:paraId="3058F168" w14:textId="77777777" w:rsidR="009260DE" w:rsidRPr="0026740E" w:rsidRDefault="009260DE" w:rsidP="009260DE">
      <w:pPr>
        <w:tabs>
          <w:tab w:val="left" w:pos="851"/>
        </w:tabs>
        <w:ind w:left="851"/>
        <w:rPr>
          <w:sz w:val="24"/>
          <w:szCs w:val="24"/>
        </w:rPr>
      </w:pPr>
    </w:p>
    <w:p w14:paraId="5F31EFBB" w14:textId="332DEABF" w:rsidR="009260DE" w:rsidRPr="0026740E" w:rsidRDefault="009260DE" w:rsidP="009260DE">
      <w:pPr>
        <w:tabs>
          <w:tab w:val="left" w:pos="851"/>
        </w:tabs>
        <w:ind w:left="851" w:hanging="851"/>
        <w:rPr>
          <w:b/>
          <w:sz w:val="24"/>
          <w:szCs w:val="24"/>
        </w:rPr>
      </w:pPr>
      <w:r w:rsidRPr="0026740E">
        <w:rPr>
          <w:b/>
          <w:sz w:val="24"/>
          <w:szCs w:val="24"/>
        </w:rPr>
        <w:t>8.</w:t>
      </w:r>
      <w:r w:rsidRPr="0026740E">
        <w:rPr>
          <w:b/>
          <w:sz w:val="24"/>
          <w:szCs w:val="24"/>
        </w:rPr>
        <w:tab/>
        <w:t>MARKEDSFØRINGSTILLADELSESNUMMER (</w:t>
      </w:r>
      <w:r w:rsidR="00C75390">
        <w:rPr>
          <w:b/>
          <w:sz w:val="24"/>
          <w:szCs w:val="24"/>
        </w:rPr>
        <w:t>-</w:t>
      </w:r>
      <w:r w:rsidRPr="0026740E">
        <w:rPr>
          <w:b/>
          <w:sz w:val="24"/>
          <w:szCs w:val="24"/>
        </w:rPr>
        <w:t>NUMRE)</w:t>
      </w:r>
    </w:p>
    <w:p w14:paraId="19C6C7AE" w14:textId="507C3A99" w:rsidR="009260DE" w:rsidRPr="0026740E" w:rsidRDefault="009B3FE7" w:rsidP="00C17C35">
      <w:pPr>
        <w:tabs>
          <w:tab w:val="left" w:pos="851"/>
          <w:tab w:val="left" w:pos="1985"/>
        </w:tabs>
        <w:ind w:left="851"/>
        <w:rPr>
          <w:sz w:val="24"/>
          <w:szCs w:val="24"/>
        </w:rPr>
      </w:pPr>
      <w:r w:rsidRPr="0026740E">
        <w:rPr>
          <w:sz w:val="24"/>
          <w:szCs w:val="24"/>
        </w:rPr>
        <w:t xml:space="preserve">500 mg: </w:t>
      </w:r>
      <w:r w:rsidR="00C17C35">
        <w:rPr>
          <w:sz w:val="24"/>
          <w:szCs w:val="24"/>
        </w:rPr>
        <w:tab/>
      </w:r>
      <w:r w:rsidRPr="0026740E">
        <w:rPr>
          <w:sz w:val="24"/>
          <w:szCs w:val="24"/>
        </w:rPr>
        <w:t>65799</w:t>
      </w:r>
    </w:p>
    <w:p w14:paraId="1D891DAF" w14:textId="48E0EE40" w:rsidR="009B3FE7" w:rsidRPr="0026740E" w:rsidRDefault="009B3FE7" w:rsidP="00C17C35">
      <w:pPr>
        <w:tabs>
          <w:tab w:val="left" w:pos="851"/>
          <w:tab w:val="left" w:pos="1985"/>
        </w:tabs>
        <w:ind w:left="851"/>
        <w:rPr>
          <w:sz w:val="24"/>
          <w:szCs w:val="24"/>
        </w:rPr>
      </w:pPr>
      <w:r w:rsidRPr="0026740E">
        <w:rPr>
          <w:sz w:val="24"/>
          <w:szCs w:val="24"/>
        </w:rPr>
        <w:t xml:space="preserve">1000 mg: </w:t>
      </w:r>
      <w:r w:rsidR="00C17C35">
        <w:rPr>
          <w:sz w:val="24"/>
          <w:szCs w:val="24"/>
        </w:rPr>
        <w:tab/>
      </w:r>
      <w:r w:rsidRPr="0026740E">
        <w:rPr>
          <w:sz w:val="24"/>
          <w:szCs w:val="24"/>
        </w:rPr>
        <w:t>65809</w:t>
      </w:r>
    </w:p>
    <w:p w14:paraId="79E72384" w14:textId="77777777" w:rsidR="009260DE" w:rsidRPr="0026740E" w:rsidRDefault="009260DE" w:rsidP="009260DE">
      <w:pPr>
        <w:tabs>
          <w:tab w:val="left" w:pos="851"/>
        </w:tabs>
        <w:ind w:left="851"/>
        <w:jc w:val="both"/>
        <w:rPr>
          <w:sz w:val="24"/>
          <w:szCs w:val="24"/>
        </w:rPr>
      </w:pPr>
    </w:p>
    <w:p w14:paraId="334A7FD5" w14:textId="77777777" w:rsidR="009260DE" w:rsidRPr="0026740E" w:rsidRDefault="009260DE" w:rsidP="009260DE">
      <w:pPr>
        <w:tabs>
          <w:tab w:val="left" w:pos="851"/>
        </w:tabs>
        <w:ind w:left="851" w:hanging="851"/>
        <w:rPr>
          <w:b/>
          <w:sz w:val="24"/>
          <w:szCs w:val="24"/>
        </w:rPr>
      </w:pPr>
      <w:r w:rsidRPr="0026740E">
        <w:rPr>
          <w:b/>
          <w:sz w:val="24"/>
          <w:szCs w:val="24"/>
        </w:rPr>
        <w:t>9.</w:t>
      </w:r>
      <w:r w:rsidRPr="0026740E">
        <w:rPr>
          <w:b/>
          <w:sz w:val="24"/>
          <w:szCs w:val="24"/>
        </w:rPr>
        <w:tab/>
        <w:t>DATO FOR FØRSTE MARKEDSFØRINGSTILLADELSE</w:t>
      </w:r>
    </w:p>
    <w:p w14:paraId="4C16D20A" w14:textId="27DDBFB8" w:rsidR="009260DE" w:rsidRPr="0026740E" w:rsidRDefault="00C17C35" w:rsidP="009260DE">
      <w:pPr>
        <w:tabs>
          <w:tab w:val="left" w:pos="851"/>
        </w:tabs>
        <w:ind w:left="851"/>
        <w:rPr>
          <w:sz w:val="24"/>
          <w:szCs w:val="24"/>
        </w:rPr>
      </w:pPr>
      <w:r>
        <w:rPr>
          <w:sz w:val="24"/>
          <w:szCs w:val="24"/>
        </w:rPr>
        <w:t>7. november 2022</w:t>
      </w:r>
    </w:p>
    <w:p w14:paraId="2284A44C" w14:textId="77777777" w:rsidR="009260DE" w:rsidRPr="0026740E" w:rsidRDefault="009260DE" w:rsidP="009260DE">
      <w:pPr>
        <w:tabs>
          <w:tab w:val="left" w:pos="851"/>
        </w:tabs>
        <w:ind w:left="851"/>
        <w:rPr>
          <w:sz w:val="24"/>
          <w:szCs w:val="24"/>
        </w:rPr>
      </w:pPr>
    </w:p>
    <w:p w14:paraId="559FC935" w14:textId="77777777" w:rsidR="009260DE" w:rsidRPr="0026740E" w:rsidRDefault="009260DE" w:rsidP="009260DE">
      <w:pPr>
        <w:tabs>
          <w:tab w:val="left" w:pos="851"/>
        </w:tabs>
        <w:ind w:left="851" w:hanging="851"/>
        <w:rPr>
          <w:b/>
          <w:sz w:val="24"/>
          <w:szCs w:val="24"/>
        </w:rPr>
      </w:pPr>
      <w:r w:rsidRPr="0026740E">
        <w:rPr>
          <w:b/>
          <w:sz w:val="24"/>
          <w:szCs w:val="24"/>
        </w:rPr>
        <w:t>10.</w:t>
      </w:r>
      <w:r w:rsidRPr="0026740E">
        <w:rPr>
          <w:b/>
          <w:sz w:val="24"/>
          <w:szCs w:val="24"/>
        </w:rPr>
        <w:tab/>
        <w:t>DATO FOR ÆNDRING AF TEKSTEN</w:t>
      </w:r>
    </w:p>
    <w:p w14:paraId="6DF6C8AC" w14:textId="3E818E1C" w:rsidR="009260DE" w:rsidRPr="0026740E" w:rsidRDefault="00E97793" w:rsidP="009260DE">
      <w:pPr>
        <w:tabs>
          <w:tab w:val="left" w:pos="851"/>
        </w:tabs>
        <w:ind w:left="851"/>
        <w:rPr>
          <w:sz w:val="24"/>
          <w:szCs w:val="24"/>
        </w:rPr>
      </w:pPr>
      <w:r>
        <w:rPr>
          <w:sz w:val="24"/>
          <w:szCs w:val="24"/>
        </w:rPr>
        <w:t>1</w:t>
      </w:r>
      <w:r w:rsidR="009978B4">
        <w:rPr>
          <w:sz w:val="24"/>
          <w:szCs w:val="24"/>
        </w:rPr>
        <w:t>7</w:t>
      </w:r>
      <w:r>
        <w:rPr>
          <w:sz w:val="24"/>
          <w:szCs w:val="24"/>
        </w:rPr>
        <w:t>. september 2024</w:t>
      </w:r>
      <w:bookmarkStart w:id="14" w:name="_GoBack"/>
      <w:bookmarkEnd w:id="14"/>
    </w:p>
    <w:sectPr w:rsidR="009260DE" w:rsidRPr="0026740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F5DF0" w14:textId="77777777" w:rsidR="00E515D8" w:rsidRDefault="00E515D8">
      <w:r>
        <w:separator/>
      </w:r>
    </w:p>
  </w:endnote>
  <w:endnote w:type="continuationSeparator" w:id="0">
    <w:p w14:paraId="03BE1DFC" w14:textId="77777777" w:rsidR="00E515D8" w:rsidRDefault="00E5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1E253" w14:textId="77777777" w:rsidR="000259B9" w:rsidRDefault="000259B9">
    <w:pPr>
      <w:pStyle w:val="Sidefod"/>
      <w:pBdr>
        <w:bottom w:val="single" w:sz="6" w:space="1" w:color="auto"/>
      </w:pBdr>
    </w:pPr>
  </w:p>
  <w:p w14:paraId="79E47E70" w14:textId="77777777" w:rsidR="000259B9" w:rsidRDefault="000259B9" w:rsidP="00C42586">
    <w:pPr>
      <w:pStyle w:val="Sidefod"/>
      <w:tabs>
        <w:tab w:val="clear" w:pos="4819"/>
        <w:tab w:val="left" w:pos="8505"/>
      </w:tabs>
      <w:rPr>
        <w:i/>
        <w:sz w:val="18"/>
        <w:szCs w:val="18"/>
      </w:rPr>
    </w:pPr>
  </w:p>
  <w:p w14:paraId="4DD38B4B" w14:textId="071FDFA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35B5A">
      <w:rPr>
        <w:i/>
        <w:noProof/>
        <w:sz w:val="18"/>
        <w:szCs w:val="18"/>
      </w:rPr>
      <w:t>Paracetamol Zentiva, tabletter 500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545F" w14:textId="77777777" w:rsidR="00E515D8" w:rsidRDefault="00E515D8">
      <w:r>
        <w:separator/>
      </w:r>
    </w:p>
  </w:footnote>
  <w:footnote w:type="continuationSeparator" w:id="0">
    <w:p w14:paraId="4BE32146" w14:textId="77777777" w:rsidR="00E515D8" w:rsidRDefault="00E51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A24A6F"/>
    <w:multiLevelType w:val="hybridMultilevel"/>
    <w:tmpl w:val="76004E2C"/>
    <w:lvl w:ilvl="0" w:tplc="54C6CA18">
      <w:start w:val="1"/>
      <w:numFmt w:val="bullet"/>
      <w:lvlText w:val=""/>
      <w:lvlJc w:val="left"/>
      <w:pPr>
        <w:ind w:left="1570" w:hanging="360"/>
      </w:pPr>
      <w:rPr>
        <w:rFonts w:ascii="Symbol" w:hAnsi="Symbol" w:hint="default"/>
      </w:rPr>
    </w:lvl>
    <w:lvl w:ilvl="1" w:tplc="04060003">
      <w:start w:val="1"/>
      <w:numFmt w:val="bullet"/>
      <w:lvlText w:val="o"/>
      <w:lvlJc w:val="left"/>
      <w:pPr>
        <w:ind w:left="2290" w:hanging="360"/>
      </w:pPr>
      <w:rPr>
        <w:rFonts w:ascii="Courier New" w:hAnsi="Courier New" w:cs="Courier New" w:hint="default"/>
      </w:rPr>
    </w:lvl>
    <w:lvl w:ilvl="2" w:tplc="04060005">
      <w:start w:val="1"/>
      <w:numFmt w:val="bullet"/>
      <w:lvlText w:val=""/>
      <w:lvlJc w:val="left"/>
      <w:pPr>
        <w:ind w:left="3010" w:hanging="360"/>
      </w:pPr>
      <w:rPr>
        <w:rFonts w:ascii="Wingdings" w:hAnsi="Wingdings" w:hint="default"/>
      </w:rPr>
    </w:lvl>
    <w:lvl w:ilvl="3" w:tplc="04060001">
      <w:start w:val="1"/>
      <w:numFmt w:val="bullet"/>
      <w:lvlText w:val=""/>
      <w:lvlJc w:val="left"/>
      <w:pPr>
        <w:ind w:left="3730" w:hanging="360"/>
      </w:pPr>
      <w:rPr>
        <w:rFonts w:ascii="Symbol" w:hAnsi="Symbol" w:hint="default"/>
      </w:rPr>
    </w:lvl>
    <w:lvl w:ilvl="4" w:tplc="04060003">
      <w:start w:val="1"/>
      <w:numFmt w:val="bullet"/>
      <w:lvlText w:val="o"/>
      <w:lvlJc w:val="left"/>
      <w:pPr>
        <w:ind w:left="4450" w:hanging="360"/>
      </w:pPr>
      <w:rPr>
        <w:rFonts w:ascii="Courier New" w:hAnsi="Courier New" w:cs="Courier New" w:hint="default"/>
      </w:rPr>
    </w:lvl>
    <w:lvl w:ilvl="5" w:tplc="04060005">
      <w:start w:val="1"/>
      <w:numFmt w:val="bullet"/>
      <w:lvlText w:val=""/>
      <w:lvlJc w:val="left"/>
      <w:pPr>
        <w:ind w:left="5170" w:hanging="360"/>
      </w:pPr>
      <w:rPr>
        <w:rFonts w:ascii="Wingdings" w:hAnsi="Wingdings" w:hint="default"/>
      </w:rPr>
    </w:lvl>
    <w:lvl w:ilvl="6" w:tplc="04060001">
      <w:start w:val="1"/>
      <w:numFmt w:val="bullet"/>
      <w:lvlText w:val=""/>
      <w:lvlJc w:val="left"/>
      <w:pPr>
        <w:ind w:left="5890" w:hanging="360"/>
      </w:pPr>
      <w:rPr>
        <w:rFonts w:ascii="Symbol" w:hAnsi="Symbol" w:hint="default"/>
      </w:rPr>
    </w:lvl>
    <w:lvl w:ilvl="7" w:tplc="04060003">
      <w:start w:val="1"/>
      <w:numFmt w:val="bullet"/>
      <w:lvlText w:val="o"/>
      <w:lvlJc w:val="left"/>
      <w:pPr>
        <w:ind w:left="6610" w:hanging="360"/>
      </w:pPr>
      <w:rPr>
        <w:rFonts w:ascii="Courier New" w:hAnsi="Courier New" w:cs="Courier New" w:hint="default"/>
      </w:rPr>
    </w:lvl>
    <w:lvl w:ilvl="8" w:tplc="04060005">
      <w:start w:val="1"/>
      <w:numFmt w:val="bullet"/>
      <w:lvlText w:val=""/>
      <w:lvlJc w:val="left"/>
      <w:pPr>
        <w:ind w:left="7330" w:hanging="360"/>
      </w:pPr>
      <w:rPr>
        <w:rFonts w:ascii="Wingdings" w:hAnsi="Wingdings" w:hint="default"/>
      </w:rPr>
    </w:lvl>
  </w:abstractNum>
  <w:abstractNum w:abstractNumId="2" w15:restartNumberingAfterBreak="0">
    <w:nsid w:val="25474859"/>
    <w:multiLevelType w:val="hybridMultilevel"/>
    <w:tmpl w:val="6736FCF2"/>
    <w:lvl w:ilvl="0" w:tplc="54C6CA18">
      <w:start w:val="1"/>
      <w:numFmt w:val="bullet"/>
      <w:lvlText w:val=""/>
      <w:lvlJc w:val="left"/>
      <w:pPr>
        <w:ind w:left="1570" w:hanging="360"/>
      </w:pPr>
      <w:rPr>
        <w:rFonts w:ascii="Symbol" w:hAnsi="Symbol" w:hint="default"/>
      </w:rPr>
    </w:lvl>
    <w:lvl w:ilvl="1" w:tplc="04060003">
      <w:start w:val="1"/>
      <w:numFmt w:val="bullet"/>
      <w:lvlText w:val="o"/>
      <w:lvlJc w:val="left"/>
      <w:pPr>
        <w:ind w:left="2290" w:hanging="360"/>
      </w:pPr>
      <w:rPr>
        <w:rFonts w:ascii="Courier New" w:hAnsi="Courier New" w:cs="Courier New" w:hint="default"/>
      </w:rPr>
    </w:lvl>
    <w:lvl w:ilvl="2" w:tplc="04060005">
      <w:start w:val="1"/>
      <w:numFmt w:val="bullet"/>
      <w:lvlText w:val=""/>
      <w:lvlJc w:val="left"/>
      <w:pPr>
        <w:ind w:left="3010" w:hanging="360"/>
      </w:pPr>
      <w:rPr>
        <w:rFonts w:ascii="Wingdings" w:hAnsi="Wingdings" w:hint="default"/>
      </w:rPr>
    </w:lvl>
    <w:lvl w:ilvl="3" w:tplc="04060001">
      <w:start w:val="1"/>
      <w:numFmt w:val="bullet"/>
      <w:lvlText w:val=""/>
      <w:lvlJc w:val="left"/>
      <w:pPr>
        <w:ind w:left="3730" w:hanging="360"/>
      </w:pPr>
      <w:rPr>
        <w:rFonts w:ascii="Symbol" w:hAnsi="Symbol" w:hint="default"/>
      </w:rPr>
    </w:lvl>
    <w:lvl w:ilvl="4" w:tplc="04060003">
      <w:start w:val="1"/>
      <w:numFmt w:val="bullet"/>
      <w:lvlText w:val="o"/>
      <w:lvlJc w:val="left"/>
      <w:pPr>
        <w:ind w:left="4450" w:hanging="360"/>
      </w:pPr>
      <w:rPr>
        <w:rFonts w:ascii="Courier New" w:hAnsi="Courier New" w:cs="Courier New" w:hint="default"/>
      </w:rPr>
    </w:lvl>
    <w:lvl w:ilvl="5" w:tplc="04060005">
      <w:start w:val="1"/>
      <w:numFmt w:val="bullet"/>
      <w:lvlText w:val=""/>
      <w:lvlJc w:val="left"/>
      <w:pPr>
        <w:ind w:left="5170" w:hanging="360"/>
      </w:pPr>
      <w:rPr>
        <w:rFonts w:ascii="Wingdings" w:hAnsi="Wingdings" w:hint="default"/>
      </w:rPr>
    </w:lvl>
    <w:lvl w:ilvl="6" w:tplc="04060001">
      <w:start w:val="1"/>
      <w:numFmt w:val="bullet"/>
      <w:lvlText w:val=""/>
      <w:lvlJc w:val="left"/>
      <w:pPr>
        <w:ind w:left="5890" w:hanging="360"/>
      </w:pPr>
      <w:rPr>
        <w:rFonts w:ascii="Symbol" w:hAnsi="Symbol" w:hint="default"/>
      </w:rPr>
    </w:lvl>
    <w:lvl w:ilvl="7" w:tplc="04060003">
      <w:start w:val="1"/>
      <w:numFmt w:val="bullet"/>
      <w:lvlText w:val="o"/>
      <w:lvlJc w:val="left"/>
      <w:pPr>
        <w:ind w:left="6610" w:hanging="360"/>
      </w:pPr>
      <w:rPr>
        <w:rFonts w:ascii="Courier New" w:hAnsi="Courier New" w:cs="Courier New" w:hint="default"/>
      </w:rPr>
    </w:lvl>
    <w:lvl w:ilvl="8" w:tplc="04060005">
      <w:start w:val="1"/>
      <w:numFmt w:val="bullet"/>
      <w:lvlText w:val=""/>
      <w:lvlJc w:val="left"/>
      <w:pPr>
        <w:ind w:left="733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FB21E04"/>
    <w:multiLevelType w:val="hybridMultilevel"/>
    <w:tmpl w:val="67F6D672"/>
    <w:lvl w:ilvl="0" w:tplc="54C6CA18">
      <w:start w:val="1"/>
      <w:numFmt w:val="bullet"/>
      <w:lvlText w:val=""/>
      <w:lvlJc w:val="left"/>
      <w:pPr>
        <w:ind w:left="1570" w:hanging="360"/>
      </w:pPr>
      <w:rPr>
        <w:rFonts w:ascii="Symbol" w:hAnsi="Symbol" w:hint="default"/>
      </w:rPr>
    </w:lvl>
    <w:lvl w:ilvl="1" w:tplc="04060003">
      <w:start w:val="1"/>
      <w:numFmt w:val="bullet"/>
      <w:lvlText w:val="o"/>
      <w:lvlJc w:val="left"/>
      <w:pPr>
        <w:ind w:left="2290" w:hanging="360"/>
      </w:pPr>
      <w:rPr>
        <w:rFonts w:ascii="Courier New" w:hAnsi="Courier New" w:cs="Courier New" w:hint="default"/>
      </w:rPr>
    </w:lvl>
    <w:lvl w:ilvl="2" w:tplc="04060005">
      <w:start w:val="1"/>
      <w:numFmt w:val="bullet"/>
      <w:lvlText w:val=""/>
      <w:lvlJc w:val="left"/>
      <w:pPr>
        <w:ind w:left="3010" w:hanging="360"/>
      </w:pPr>
      <w:rPr>
        <w:rFonts w:ascii="Wingdings" w:hAnsi="Wingdings" w:hint="default"/>
      </w:rPr>
    </w:lvl>
    <w:lvl w:ilvl="3" w:tplc="04060001">
      <w:start w:val="1"/>
      <w:numFmt w:val="bullet"/>
      <w:lvlText w:val=""/>
      <w:lvlJc w:val="left"/>
      <w:pPr>
        <w:ind w:left="3730" w:hanging="360"/>
      </w:pPr>
      <w:rPr>
        <w:rFonts w:ascii="Symbol" w:hAnsi="Symbol" w:hint="default"/>
      </w:rPr>
    </w:lvl>
    <w:lvl w:ilvl="4" w:tplc="04060003">
      <w:start w:val="1"/>
      <w:numFmt w:val="bullet"/>
      <w:lvlText w:val="o"/>
      <w:lvlJc w:val="left"/>
      <w:pPr>
        <w:ind w:left="4450" w:hanging="360"/>
      </w:pPr>
      <w:rPr>
        <w:rFonts w:ascii="Courier New" w:hAnsi="Courier New" w:cs="Courier New" w:hint="default"/>
      </w:rPr>
    </w:lvl>
    <w:lvl w:ilvl="5" w:tplc="04060005">
      <w:start w:val="1"/>
      <w:numFmt w:val="bullet"/>
      <w:lvlText w:val=""/>
      <w:lvlJc w:val="left"/>
      <w:pPr>
        <w:ind w:left="5170" w:hanging="360"/>
      </w:pPr>
      <w:rPr>
        <w:rFonts w:ascii="Wingdings" w:hAnsi="Wingdings" w:hint="default"/>
      </w:rPr>
    </w:lvl>
    <w:lvl w:ilvl="6" w:tplc="04060001">
      <w:start w:val="1"/>
      <w:numFmt w:val="bullet"/>
      <w:lvlText w:val=""/>
      <w:lvlJc w:val="left"/>
      <w:pPr>
        <w:ind w:left="5890" w:hanging="360"/>
      </w:pPr>
      <w:rPr>
        <w:rFonts w:ascii="Symbol" w:hAnsi="Symbol" w:hint="default"/>
      </w:rPr>
    </w:lvl>
    <w:lvl w:ilvl="7" w:tplc="04060003">
      <w:start w:val="1"/>
      <w:numFmt w:val="bullet"/>
      <w:lvlText w:val="o"/>
      <w:lvlJc w:val="left"/>
      <w:pPr>
        <w:ind w:left="6610" w:hanging="360"/>
      </w:pPr>
      <w:rPr>
        <w:rFonts w:ascii="Courier New" w:hAnsi="Courier New" w:cs="Courier New" w:hint="default"/>
      </w:rPr>
    </w:lvl>
    <w:lvl w:ilvl="8" w:tplc="04060005">
      <w:start w:val="1"/>
      <w:numFmt w:val="bullet"/>
      <w:lvlText w:val=""/>
      <w:lvlJc w:val="left"/>
      <w:pPr>
        <w:ind w:left="733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D8"/>
    <w:rsid w:val="000259B9"/>
    <w:rsid w:val="00041491"/>
    <w:rsid w:val="00050D16"/>
    <w:rsid w:val="000730CA"/>
    <w:rsid w:val="00074F2A"/>
    <w:rsid w:val="000A1CA8"/>
    <w:rsid w:val="000A466B"/>
    <w:rsid w:val="000B058C"/>
    <w:rsid w:val="000E4EE6"/>
    <w:rsid w:val="00117DA3"/>
    <w:rsid w:val="00130F12"/>
    <w:rsid w:val="001454E2"/>
    <w:rsid w:val="001F2FCA"/>
    <w:rsid w:val="00206CE8"/>
    <w:rsid w:val="0021526C"/>
    <w:rsid w:val="0026740E"/>
    <w:rsid w:val="00283A2B"/>
    <w:rsid w:val="002B30AD"/>
    <w:rsid w:val="002C2C01"/>
    <w:rsid w:val="002E60D9"/>
    <w:rsid w:val="0035739F"/>
    <w:rsid w:val="003A29AE"/>
    <w:rsid w:val="003A32D7"/>
    <w:rsid w:val="003B4074"/>
    <w:rsid w:val="003C769A"/>
    <w:rsid w:val="003F1838"/>
    <w:rsid w:val="0045746C"/>
    <w:rsid w:val="0049104B"/>
    <w:rsid w:val="004970F1"/>
    <w:rsid w:val="004E3B12"/>
    <w:rsid w:val="00504D8C"/>
    <w:rsid w:val="00532310"/>
    <w:rsid w:val="00565F0F"/>
    <w:rsid w:val="00594A86"/>
    <w:rsid w:val="00596D86"/>
    <w:rsid w:val="00637F5A"/>
    <w:rsid w:val="006560B1"/>
    <w:rsid w:val="006756DD"/>
    <w:rsid w:val="00737275"/>
    <w:rsid w:val="00740EEC"/>
    <w:rsid w:val="0078011A"/>
    <w:rsid w:val="00782AF4"/>
    <w:rsid w:val="00786389"/>
    <w:rsid w:val="00790EE7"/>
    <w:rsid w:val="007A225F"/>
    <w:rsid w:val="007B6649"/>
    <w:rsid w:val="0082576E"/>
    <w:rsid w:val="00833002"/>
    <w:rsid w:val="00835B5A"/>
    <w:rsid w:val="008F3D34"/>
    <w:rsid w:val="00907F75"/>
    <w:rsid w:val="009260DE"/>
    <w:rsid w:val="0093258A"/>
    <w:rsid w:val="009978B4"/>
    <w:rsid w:val="009B3FE7"/>
    <w:rsid w:val="009C7BA3"/>
    <w:rsid w:val="009D1F5A"/>
    <w:rsid w:val="00A10294"/>
    <w:rsid w:val="00A35769"/>
    <w:rsid w:val="00B003BF"/>
    <w:rsid w:val="00B373D7"/>
    <w:rsid w:val="00C17C35"/>
    <w:rsid w:val="00C32E9C"/>
    <w:rsid w:val="00C36276"/>
    <w:rsid w:val="00C42586"/>
    <w:rsid w:val="00C60CCD"/>
    <w:rsid w:val="00C75390"/>
    <w:rsid w:val="00C84483"/>
    <w:rsid w:val="00C95551"/>
    <w:rsid w:val="00CB20D7"/>
    <w:rsid w:val="00D020B0"/>
    <w:rsid w:val="00D11748"/>
    <w:rsid w:val="00D2487F"/>
    <w:rsid w:val="00D366CF"/>
    <w:rsid w:val="00E108AA"/>
    <w:rsid w:val="00E3749A"/>
    <w:rsid w:val="00E515D8"/>
    <w:rsid w:val="00E7437F"/>
    <w:rsid w:val="00E865B8"/>
    <w:rsid w:val="00E97793"/>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DA154"/>
  <w15:chartTrackingRefBased/>
  <w15:docId w15:val="{99AF98E6-D261-4609-ACF3-C4C9532B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Normln">
    <w:name w:val="Norm‡ln’"/>
    <w:rsid w:val="007A225F"/>
    <w:pPr>
      <w:spacing w:after="200" w:line="276" w:lineRule="auto"/>
    </w:pPr>
    <w:rPr>
      <w:rFonts w:eastAsia="MS Mincho"/>
      <w:sz w:val="22"/>
      <w:szCs w:val="22"/>
      <w:lang w:val="cs-CZ" w:eastAsia="cs-CZ"/>
    </w:rPr>
  </w:style>
  <w:style w:type="character" w:styleId="Hyperlink">
    <w:name w:val="Hyperlink"/>
    <w:basedOn w:val="Standardskrifttypeiafsnit"/>
    <w:uiPriority w:val="99"/>
    <w:semiHidden/>
    <w:unhideWhenUsed/>
    <w:rsid w:val="007A2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8898">
      <w:bodyDiv w:val="1"/>
      <w:marLeft w:val="0"/>
      <w:marRight w:val="0"/>
      <w:marTop w:val="0"/>
      <w:marBottom w:val="0"/>
      <w:divBdr>
        <w:top w:val="none" w:sz="0" w:space="0" w:color="auto"/>
        <w:left w:val="none" w:sz="0" w:space="0" w:color="auto"/>
        <w:bottom w:val="none" w:sz="0" w:space="0" w:color="auto"/>
        <w:right w:val="none" w:sz="0" w:space="0" w:color="auto"/>
      </w:divBdr>
    </w:div>
    <w:div w:id="1093972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700970">
      <w:bodyDiv w:val="1"/>
      <w:marLeft w:val="0"/>
      <w:marRight w:val="0"/>
      <w:marTop w:val="0"/>
      <w:marBottom w:val="0"/>
      <w:divBdr>
        <w:top w:val="none" w:sz="0" w:space="0" w:color="auto"/>
        <w:left w:val="none" w:sz="0" w:space="0" w:color="auto"/>
        <w:bottom w:val="none" w:sz="0" w:space="0" w:color="auto"/>
        <w:right w:val="none" w:sz="0" w:space="0" w:color="auto"/>
      </w:divBdr>
    </w:div>
    <w:div w:id="208108745">
      <w:bodyDiv w:val="1"/>
      <w:marLeft w:val="0"/>
      <w:marRight w:val="0"/>
      <w:marTop w:val="0"/>
      <w:marBottom w:val="0"/>
      <w:divBdr>
        <w:top w:val="none" w:sz="0" w:space="0" w:color="auto"/>
        <w:left w:val="none" w:sz="0" w:space="0" w:color="auto"/>
        <w:bottom w:val="none" w:sz="0" w:space="0" w:color="auto"/>
        <w:right w:val="none" w:sz="0" w:space="0" w:color="auto"/>
      </w:divBdr>
    </w:div>
    <w:div w:id="305016239">
      <w:bodyDiv w:val="1"/>
      <w:marLeft w:val="0"/>
      <w:marRight w:val="0"/>
      <w:marTop w:val="0"/>
      <w:marBottom w:val="0"/>
      <w:divBdr>
        <w:top w:val="none" w:sz="0" w:space="0" w:color="auto"/>
        <w:left w:val="none" w:sz="0" w:space="0" w:color="auto"/>
        <w:bottom w:val="none" w:sz="0" w:space="0" w:color="auto"/>
        <w:right w:val="none" w:sz="0" w:space="0" w:color="auto"/>
      </w:divBdr>
    </w:div>
    <w:div w:id="570965532">
      <w:bodyDiv w:val="1"/>
      <w:marLeft w:val="0"/>
      <w:marRight w:val="0"/>
      <w:marTop w:val="0"/>
      <w:marBottom w:val="0"/>
      <w:divBdr>
        <w:top w:val="none" w:sz="0" w:space="0" w:color="auto"/>
        <w:left w:val="none" w:sz="0" w:space="0" w:color="auto"/>
        <w:bottom w:val="none" w:sz="0" w:space="0" w:color="auto"/>
        <w:right w:val="none" w:sz="0" w:space="0" w:color="auto"/>
      </w:divBdr>
    </w:div>
    <w:div w:id="618686380">
      <w:bodyDiv w:val="1"/>
      <w:marLeft w:val="0"/>
      <w:marRight w:val="0"/>
      <w:marTop w:val="0"/>
      <w:marBottom w:val="0"/>
      <w:divBdr>
        <w:top w:val="none" w:sz="0" w:space="0" w:color="auto"/>
        <w:left w:val="none" w:sz="0" w:space="0" w:color="auto"/>
        <w:bottom w:val="none" w:sz="0" w:space="0" w:color="auto"/>
        <w:right w:val="none" w:sz="0" w:space="0" w:color="auto"/>
      </w:divBdr>
    </w:div>
    <w:div w:id="680280442">
      <w:bodyDiv w:val="1"/>
      <w:marLeft w:val="0"/>
      <w:marRight w:val="0"/>
      <w:marTop w:val="0"/>
      <w:marBottom w:val="0"/>
      <w:divBdr>
        <w:top w:val="none" w:sz="0" w:space="0" w:color="auto"/>
        <w:left w:val="none" w:sz="0" w:space="0" w:color="auto"/>
        <w:bottom w:val="none" w:sz="0" w:space="0" w:color="auto"/>
        <w:right w:val="none" w:sz="0" w:space="0" w:color="auto"/>
      </w:divBdr>
    </w:div>
    <w:div w:id="715013377">
      <w:bodyDiv w:val="1"/>
      <w:marLeft w:val="0"/>
      <w:marRight w:val="0"/>
      <w:marTop w:val="0"/>
      <w:marBottom w:val="0"/>
      <w:divBdr>
        <w:top w:val="none" w:sz="0" w:space="0" w:color="auto"/>
        <w:left w:val="none" w:sz="0" w:space="0" w:color="auto"/>
        <w:bottom w:val="none" w:sz="0" w:space="0" w:color="auto"/>
        <w:right w:val="none" w:sz="0" w:space="0" w:color="auto"/>
      </w:divBdr>
    </w:div>
    <w:div w:id="736787714">
      <w:bodyDiv w:val="1"/>
      <w:marLeft w:val="0"/>
      <w:marRight w:val="0"/>
      <w:marTop w:val="0"/>
      <w:marBottom w:val="0"/>
      <w:divBdr>
        <w:top w:val="none" w:sz="0" w:space="0" w:color="auto"/>
        <w:left w:val="none" w:sz="0" w:space="0" w:color="auto"/>
        <w:bottom w:val="none" w:sz="0" w:space="0" w:color="auto"/>
        <w:right w:val="none" w:sz="0" w:space="0" w:color="auto"/>
      </w:divBdr>
    </w:div>
    <w:div w:id="773087962">
      <w:bodyDiv w:val="1"/>
      <w:marLeft w:val="0"/>
      <w:marRight w:val="0"/>
      <w:marTop w:val="0"/>
      <w:marBottom w:val="0"/>
      <w:divBdr>
        <w:top w:val="none" w:sz="0" w:space="0" w:color="auto"/>
        <w:left w:val="none" w:sz="0" w:space="0" w:color="auto"/>
        <w:bottom w:val="none" w:sz="0" w:space="0" w:color="auto"/>
        <w:right w:val="none" w:sz="0" w:space="0" w:color="auto"/>
      </w:divBdr>
    </w:div>
    <w:div w:id="827939567">
      <w:bodyDiv w:val="1"/>
      <w:marLeft w:val="0"/>
      <w:marRight w:val="0"/>
      <w:marTop w:val="0"/>
      <w:marBottom w:val="0"/>
      <w:divBdr>
        <w:top w:val="none" w:sz="0" w:space="0" w:color="auto"/>
        <w:left w:val="none" w:sz="0" w:space="0" w:color="auto"/>
        <w:bottom w:val="none" w:sz="0" w:space="0" w:color="auto"/>
        <w:right w:val="none" w:sz="0" w:space="0" w:color="auto"/>
      </w:divBdr>
    </w:div>
    <w:div w:id="1083913991">
      <w:bodyDiv w:val="1"/>
      <w:marLeft w:val="0"/>
      <w:marRight w:val="0"/>
      <w:marTop w:val="0"/>
      <w:marBottom w:val="0"/>
      <w:divBdr>
        <w:top w:val="none" w:sz="0" w:space="0" w:color="auto"/>
        <w:left w:val="none" w:sz="0" w:space="0" w:color="auto"/>
        <w:bottom w:val="none" w:sz="0" w:space="0" w:color="auto"/>
        <w:right w:val="none" w:sz="0" w:space="0" w:color="auto"/>
      </w:divBdr>
    </w:div>
    <w:div w:id="1198006424">
      <w:bodyDiv w:val="1"/>
      <w:marLeft w:val="0"/>
      <w:marRight w:val="0"/>
      <w:marTop w:val="0"/>
      <w:marBottom w:val="0"/>
      <w:divBdr>
        <w:top w:val="none" w:sz="0" w:space="0" w:color="auto"/>
        <w:left w:val="none" w:sz="0" w:space="0" w:color="auto"/>
        <w:bottom w:val="none" w:sz="0" w:space="0" w:color="auto"/>
        <w:right w:val="none" w:sz="0" w:space="0" w:color="auto"/>
      </w:divBdr>
    </w:div>
    <w:div w:id="1313367254">
      <w:bodyDiv w:val="1"/>
      <w:marLeft w:val="0"/>
      <w:marRight w:val="0"/>
      <w:marTop w:val="0"/>
      <w:marBottom w:val="0"/>
      <w:divBdr>
        <w:top w:val="none" w:sz="0" w:space="0" w:color="auto"/>
        <w:left w:val="none" w:sz="0" w:space="0" w:color="auto"/>
        <w:bottom w:val="none" w:sz="0" w:space="0" w:color="auto"/>
        <w:right w:val="none" w:sz="0" w:space="0" w:color="auto"/>
      </w:divBdr>
    </w:div>
    <w:div w:id="1697777547">
      <w:bodyDiv w:val="1"/>
      <w:marLeft w:val="0"/>
      <w:marRight w:val="0"/>
      <w:marTop w:val="0"/>
      <w:marBottom w:val="0"/>
      <w:divBdr>
        <w:top w:val="none" w:sz="0" w:space="0" w:color="auto"/>
        <w:left w:val="none" w:sz="0" w:space="0" w:color="auto"/>
        <w:bottom w:val="none" w:sz="0" w:space="0" w:color="auto"/>
        <w:right w:val="none" w:sz="0" w:space="0" w:color="auto"/>
      </w:divBdr>
    </w:div>
    <w:div w:id="1707871974">
      <w:bodyDiv w:val="1"/>
      <w:marLeft w:val="0"/>
      <w:marRight w:val="0"/>
      <w:marTop w:val="0"/>
      <w:marBottom w:val="0"/>
      <w:divBdr>
        <w:top w:val="none" w:sz="0" w:space="0" w:color="auto"/>
        <w:left w:val="none" w:sz="0" w:space="0" w:color="auto"/>
        <w:bottom w:val="none" w:sz="0" w:space="0" w:color="auto"/>
        <w:right w:val="none" w:sz="0" w:space="0" w:color="auto"/>
      </w:divBdr>
    </w:div>
    <w:div w:id="1757047713">
      <w:bodyDiv w:val="1"/>
      <w:marLeft w:val="0"/>
      <w:marRight w:val="0"/>
      <w:marTop w:val="0"/>
      <w:marBottom w:val="0"/>
      <w:divBdr>
        <w:top w:val="none" w:sz="0" w:space="0" w:color="auto"/>
        <w:left w:val="none" w:sz="0" w:space="0" w:color="auto"/>
        <w:bottom w:val="none" w:sz="0" w:space="0" w:color="auto"/>
        <w:right w:val="none" w:sz="0" w:space="0" w:color="auto"/>
      </w:divBdr>
    </w:div>
    <w:div w:id="1843275189">
      <w:bodyDiv w:val="1"/>
      <w:marLeft w:val="0"/>
      <w:marRight w:val="0"/>
      <w:marTop w:val="0"/>
      <w:marBottom w:val="0"/>
      <w:divBdr>
        <w:top w:val="none" w:sz="0" w:space="0" w:color="auto"/>
        <w:left w:val="none" w:sz="0" w:space="0" w:color="auto"/>
        <w:bottom w:val="none" w:sz="0" w:space="0" w:color="auto"/>
        <w:right w:val="none" w:sz="0" w:space="0" w:color="auto"/>
      </w:divBdr>
    </w:div>
    <w:div w:id="1896578158">
      <w:bodyDiv w:val="1"/>
      <w:marLeft w:val="0"/>
      <w:marRight w:val="0"/>
      <w:marTop w:val="0"/>
      <w:marBottom w:val="0"/>
      <w:divBdr>
        <w:top w:val="none" w:sz="0" w:space="0" w:color="auto"/>
        <w:left w:val="none" w:sz="0" w:space="0" w:color="auto"/>
        <w:bottom w:val="none" w:sz="0" w:space="0" w:color="auto"/>
        <w:right w:val="none" w:sz="0" w:space="0" w:color="auto"/>
      </w:divBdr>
    </w:div>
    <w:div w:id="1959674862">
      <w:bodyDiv w:val="1"/>
      <w:marLeft w:val="0"/>
      <w:marRight w:val="0"/>
      <w:marTop w:val="0"/>
      <w:marBottom w:val="0"/>
      <w:divBdr>
        <w:top w:val="none" w:sz="0" w:space="0" w:color="auto"/>
        <w:left w:val="none" w:sz="0" w:space="0" w:color="auto"/>
        <w:bottom w:val="none" w:sz="0" w:space="0" w:color="auto"/>
        <w:right w:val="none" w:sz="0" w:space="0" w:color="auto"/>
      </w:divBdr>
    </w:div>
    <w:div w:id="19691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2260</Words>
  <Characters>14441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2023021774 pkt. 4.2, 6.1, 6.3</dc:description>
  <cp:lastModifiedBy>Gitte Ronnovius</cp:lastModifiedBy>
  <cp:revision>4</cp:revision>
  <cp:lastPrinted>2012-08-22T08:53:00Z</cp:lastPrinted>
  <dcterms:created xsi:type="dcterms:W3CDTF">2024-09-12T11:20:00Z</dcterms:created>
  <dcterms:modified xsi:type="dcterms:W3CDTF">2024-09-17T07:53:00Z</dcterms:modified>
</cp:coreProperties>
</file>