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222" w:rsidRPr="00B322D3" w:rsidRDefault="001B1222" w:rsidP="001B1222">
      <w:pPr>
        <w:rPr>
          <w:sz w:val="24"/>
          <w:szCs w:val="24"/>
        </w:rPr>
      </w:pPr>
      <w:bookmarkStart w:id="0" w:name="_GoBack"/>
      <w:bookmarkEnd w:id="0"/>
      <w:r w:rsidRPr="00B322D3">
        <w:rPr>
          <w:noProof/>
          <w:sz w:val="24"/>
          <w:szCs w:val="24"/>
          <w:lang w:eastAsia="da-DK"/>
        </w:rPr>
        <w:drawing>
          <wp:inline distT="0" distB="0" distL="0" distR="0" wp14:anchorId="7A9D2E32" wp14:editId="7B02394F">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1B1222" w:rsidRPr="00B322D3" w:rsidRDefault="001B1222" w:rsidP="001B1222">
      <w:pPr>
        <w:pStyle w:val="Titel"/>
        <w:tabs>
          <w:tab w:val="right" w:pos="9356"/>
        </w:tabs>
        <w:jc w:val="left"/>
        <w:rPr>
          <w:b w:val="0"/>
          <w:szCs w:val="24"/>
          <w:lang w:eastAsia="en-US"/>
        </w:rPr>
      </w:pPr>
    </w:p>
    <w:p w:rsidR="001B1222" w:rsidRPr="00311B02" w:rsidRDefault="00311B02" w:rsidP="00311B02">
      <w:pPr>
        <w:pStyle w:val="Titel"/>
        <w:jc w:val="right"/>
        <w:rPr>
          <w:szCs w:val="24"/>
          <w:lang w:eastAsia="en-US"/>
        </w:rPr>
      </w:pPr>
      <w:r w:rsidRPr="00311B02">
        <w:rPr>
          <w:szCs w:val="24"/>
        </w:rPr>
        <w:t xml:space="preserve">1. </w:t>
      </w:r>
      <w:r w:rsidR="00A456E0" w:rsidRPr="00311B02">
        <w:rPr>
          <w:szCs w:val="24"/>
        </w:rPr>
        <w:t>december 202</w:t>
      </w:r>
      <w:r>
        <w:rPr>
          <w:szCs w:val="24"/>
        </w:rPr>
        <w:t>2</w:t>
      </w:r>
    </w:p>
    <w:p w:rsidR="00893FE3" w:rsidRDefault="00893FE3" w:rsidP="001B1222">
      <w:pPr>
        <w:pStyle w:val="Titel"/>
        <w:jc w:val="left"/>
        <w:rPr>
          <w:b w:val="0"/>
          <w:szCs w:val="24"/>
        </w:rPr>
      </w:pPr>
    </w:p>
    <w:p w:rsidR="00A92661" w:rsidRPr="00A92661" w:rsidRDefault="00A92661" w:rsidP="00311B02">
      <w:pPr>
        <w:pStyle w:val="Titel"/>
        <w:jc w:val="left"/>
        <w:rPr>
          <w:b w:val="0"/>
          <w:szCs w:val="24"/>
        </w:rPr>
      </w:pPr>
    </w:p>
    <w:p w:rsidR="003B4EC4" w:rsidRPr="00B322D3" w:rsidRDefault="003B4EC4" w:rsidP="001B1222">
      <w:pPr>
        <w:pStyle w:val="Titel"/>
        <w:jc w:val="left"/>
        <w:rPr>
          <w:b w:val="0"/>
          <w:szCs w:val="24"/>
        </w:rPr>
      </w:pPr>
    </w:p>
    <w:p w:rsidR="001B1222" w:rsidRPr="00B322D3" w:rsidRDefault="001B1222" w:rsidP="001B1222">
      <w:pPr>
        <w:jc w:val="center"/>
        <w:rPr>
          <w:b/>
          <w:sz w:val="24"/>
          <w:szCs w:val="24"/>
        </w:rPr>
      </w:pPr>
      <w:r w:rsidRPr="00B322D3">
        <w:rPr>
          <w:b/>
          <w:sz w:val="24"/>
          <w:szCs w:val="24"/>
        </w:rPr>
        <w:t>PRODUKTRESUMÉ</w:t>
      </w:r>
    </w:p>
    <w:p w:rsidR="001B1222" w:rsidRPr="00B322D3" w:rsidRDefault="001B1222" w:rsidP="001B1222">
      <w:pPr>
        <w:jc w:val="center"/>
        <w:rPr>
          <w:b/>
          <w:sz w:val="24"/>
          <w:szCs w:val="24"/>
        </w:rPr>
      </w:pPr>
    </w:p>
    <w:p w:rsidR="001B1222" w:rsidRPr="00B322D3" w:rsidRDefault="001B1222" w:rsidP="001B1222">
      <w:pPr>
        <w:jc w:val="center"/>
        <w:rPr>
          <w:b/>
          <w:sz w:val="24"/>
          <w:szCs w:val="24"/>
        </w:rPr>
      </w:pPr>
      <w:r w:rsidRPr="00B322D3">
        <w:rPr>
          <w:b/>
          <w:sz w:val="24"/>
          <w:szCs w:val="24"/>
        </w:rPr>
        <w:t>for</w:t>
      </w:r>
    </w:p>
    <w:p w:rsidR="001B1222" w:rsidRPr="00B322D3" w:rsidRDefault="001B1222" w:rsidP="001B1222">
      <w:pPr>
        <w:jc w:val="center"/>
        <w:rPr>
          <w:b/>
          <w:sz w:val="24"/>
          <w:szCs w:val="24"/>
        </w:rPr>
      </w:pPr>
    </w:p>
    <w:p w:rsidR="001B1222" w:rsidRPr="00B322D3" w:rsidRDefault="001B1222" w:rsidP="001B1222">
      <w:pPr>
        <w:jc w:val="center"/>
        <w:rPr>
          <w:b/>
          <w:sz w:val="24"/>
          <w:szCs w:val="24"/>
        </w:rPr>
      </w:pPr>
      <w:proofErr w:type="spellStart"/>
      <w:r w:rsidRPr="00B322D3">
        <w:rPr>
          <w:b/>
          <w:sz w:val="24"/>
          <w:szCs w:val="24"/>
        </w:rPr>
        <w:t>Paradol</w:t>
      </w:r>
      <w:proofErr w:type="spellEnd"/>
      <w:r w:rsidRPr="00B322D3">
        <w:rPr>
          <w:b/>
          <w:sz w:val="24"/>
          <w:szCs w:val="24"/>
        </w:rPr>
        <w:t>, filmovertrukne tabletter</w:t>
      </w:r>
    </w:p>
    <w:p w:rsidR="001B1222" w:rsidRPr="00B322D3" w:rsidRDefault="001B1222" w:rsidP="001B1222">
      <w:pPr>
        <w:jc w:val="both"/>
        <w:rPr>
          <w:sz w:val="24"/>
          <w:szCs w:val="24"/>
        </w:rPr>
      </w:pPr>
    </w:p>
    <w:p w:rsidR="001B1222" w:rsidRPr="00B322D3" w:rsidRDefault="001B1222" w:rsidP="001B1222">
      <w:pPr>
        <w:ind w:left="851" w:hanging="851"/>
        <w:jc w:val="both"/>
        <w:rPr>
          <w:sz w:val="24"/>
          <w:szCs w:val="24"/>
        </w:rPr>
      </w:pPr>
    </w:p>
    <w:p w:rsidR="001B1222" w:rsidRPr="00B322D3" w:rsidRDefault="001B1222" w:rsidP="001B1222">
      <w:pPr>
        <w:ind w:left="851" w:hanging="851"/>
        <w:rPr>
          <w:b/>
          <w:sz w:val="24"/>
          <w:szCs w:val="24"/>
        </w:rPr>
      </w:pPr>
      <w:r w:rsidRPr="00B322D3">
        <w:rPr>
          <w:b/>
          <w:sz w:val="24"/>
          <w:szCs w:val="24"/>
        </w:rPr>
        <w:t>0.</w:t>
      </w:r>
      <w:r w:rsidRPr="00B322D3">
        <w:rPr>
          <w:b/>
          <w:sz w:val="24"/>
          <w:szCs w:val="24"/>
        </w:rPr>
        <w:tab/>
        <w:t>D.SP.NR.</w:t>
      </w:r>
    </w:p>
    <w:p w:rsidR="001B1222" w:rsidRPr="00B322D3" w:rsidRDefault="001B1222" w:rsidP="001B1222">
      <w:pPr>
        <w:ind w:left="851"/>
        <w:rPr>
          <w:sz w:val="24"/>
          <w:szCs w:val="24"/>
        </w:rPr>
      </w:pPr>
      <w:r w:rsidRPr="00B322D3">
        <w:rPr>
          <w:sz w:val="24"/>
          <w:szCs w:val="24"/>
        </w:rPr>
        <w:t>28256</w:t>
      </w: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t>1.</w:t>
      </w:r>
      <w:r w:rsidRPr="00B322D3">
        <w:rPr>
          <w:b/>
          <w:sz w:val="24"/>
          <w:szCs w:val="24"/>
        </w:rPr>
        <w:tab/>
        <w:t>LÆGEMIDLETS NAVN</w:t>
      </w:r>
    </w:p>
    <w:p w:rsidR="001B1222" w:rsidRPr="00B322D3" w:rsidRDefault="001B1222" w:rsidP="001B1222">
      <w:pPr>
        <w:ind w:left="851"/>
        <w:rPr>
          <w:sz w:val="24"/>
          <w:szCs w:val="24"/>
        </w:rPr>
      </w:pPr>
      <w:proofErr w:type="spellStart"/>
      <w:r w:rsidRPr="00B322D3">
        <w:rPr>
          <w:sz w:val="24"/>
          <w:szCs w:val="24"/>
        </w:rPr>
        <w:t>Paradol</w:t>
      </w:r>
      <w:proofErr w:type="spellEnd"/>
    </w:p>
    <w:p w:rsidR="001B1222" w:rsidRPr="00B322D3" w:rsidRDefault="001B1222" w:rsidP="001B1222">
      <w:pPr>
        <w:ind w:left="851"/>
        <w:rPr>
          <w:sz w:val="24"/>
          <w:szCs w:val="24"/>
        </w:rPr>
      </w:pPr>
    </w:p>
    <w:p w:rsidR="001B1222" w:rsidRPr="00B322D3" w:rsidRDefault="001B1222" w:rsidP="001B1222">
      <w:pPr>
        <w:ind w:left="851" w:hanging="851"/>
        <w:rPr>
          <w:b/>
          <w:sz w:val="24"/>
          <w:szCs w:val="24"/>
        </w:rPr>
      </w:pPr>
      <w:r w:rsidRPr="00B322D3">
        <w:rPr>
          <w:b/>
          <w:sz w:val="24"/>
          <w:szCs w:val="24"/>
        </w:rPr>
        <w:t>2.</w:t>
      </w:r>
      <w:r w:rsidRPr="00B322D3">
        <w:rPr>
          <w:b/>
          <w:sz w:val="24"/>
          <w:szCs w:val="24"/>
        </w:rPr>
        <w:tab/>
        <w:t>KVALITATIV OG KVANTITATIV SAMMENSÆTNING</w:t>
      </w:r>
    </w:p>
    <w:p w:rsidR="001B1222" w:rsidRPr="00B322D3" w:rsidRDefault="001B1222" w:rsidP="001B1222">
      <w:pPr>
        <w:ind w:left="851"/>
        <w:rPr>
          <w:sz w:val="24"/>
          <w:szCs w:val="24"/>
        </w:rPr>
      </w:pPr>
      <w:r w:rsidRPr="00B322D3">
        <w:rPr>
          <w:sz w:val="24"/>
          <w:szCs w:val="24"/>
        </w:rPr>
        <w:t>Hver filmovertrukket tablet indeholder 500 mg eller 1000 mg paracetamol.</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rPr>
        <w:t>Hjælpestoffer er anført under pkt. 6.1.</w:t>
      </w:r>
    </w:p>
    <w:p w:rsidR="001B1222" w:rsidRPr="00B322D3" w:rsidRDefault="001B1222" w:rsidP="001B1222">
      <w:pPr>
        <w:ind w:left="851"/>
        <w:rPr>
          <w:sz w:val="24"/>
          <w:szCs w:val="24"/>
        </w:rPr>
      </w:pPr>
    </w:p>
    <w:p w:rsidR="001B1222" w:rsidRPr="00B322D3" w:rsidRDefault="001B1222" w:rsidP="001B1222">
      <w:pPr>
        <w:ind w:left="851" w:hanging="851"/>
        <w:rPr>
          <w:b/>
          <w:sz w:val="24"/>
          <w:szCs w:val="24"/>
        </w:rPr>
      </w:pPr>
      <w:r w:rsidRPr="00B322D3">
        <w:rPr>
          <w:b/>
          <w:sz w:val="24"/>
          <w:szCs w:val="24"/>
        </w:rPr>
        <w:t>3.</w:t>
      </w:r>
      <w:r w:rsidRPr="00B322D3">
        <w:rPr>
          <w:b/>
          <w:sz w:val="24"/>
          <w:szCs w:val="24"/>
        </w:rPr>
        <w:tab/>
        <w:t>LÆGEMIDDELFORM</w:t>
      </w:r>
    </w:p>
    <w:p w:rsidR="001B1222" w:rsidRPr="00B322D3" w:rsidRDefault="001B1222" w:rsidP="001B1222">
      <w:pPr>
        <w:ind w:left="851"/>
        <w:rPr>
          <w:sz w:val="24"/>
          <w:szCs w:val="24"/>
        </w:rPr>
      </w:pPr>
      <w:r w:rsidRPr="00B322D3">
        <w:rPr>
          <w:sz w:val="24"/>
          <w:szCs w:val="24"/>
        </w:rPr>
        <w:t>Filmovertrukne tabletter</w:t>
      </w:r>
    </w:p>
    <w:p w:rsidR="001B1222" w:rsidRPr="00B322D3" w:rsidRDefault="001B1222" w:rsidP="001B1222">
      <w:pPr>
        <w:ind w:left="851"/>
        <w:rPr>
          <w:sz w:val="24"/>
          <w:szCs w:val="24"/>
        </w:rPr>
      </w:pPr>
    </w:p>
    <w:p w:rsidR="001B1222" w:rsidRPr="00B322D3" w:rsidRDefault="001B1222" w:rsidP="001B1222">
      <w:pPr>
        <w:tabs>
          <w:tab w:val="left" w:pos="2410"/>
        </w:tabs>
        <w:ind w:left="851"/>
        <w:rPr>
          <w:sz w:val="24"/>
          <w:szCs w:val="24"/>
          <w:u w:val="single"/>
        </w:rPr>
      </w:pPr>
      <w:r w:rsidRPr="00B322D3">
        <w:rPr>
          <w:sz w:val="24"/>
          <w:szCs w:val="24"/>
          <w:u w:val="single"/>
        </w:rPr>
        <w:t>500 mg</w:t>
      </w:r>
    </w:p>
    <w:p w:rsidR="001B1222" w:rsidRPr="00B322D3" w:rsidRDefault="001B1222" w:rsidP="001B1222">
      <w:pPr>
        <w:tabs>
          <w:tab w:val="left" w:pos="2410"/>
        </w:tabs>
        <w:ind w:left="851"/>
        <w:rPr>
          <w:sz w:val="24"/>
          <w:szCs w:val="24"/>
        </w:rPr>
      </w:pPr>
      <w:r w:rsidRPr="00B322D3">
        <w:rPr>
          <w:sz w:val="24"/>
          <w:szCs w:val="24"/>
        </w:rPr>
        <w:t>Hvid, filmovertrukket, oval tablet med delekærv og præget med "P 500" på den ene side.</w:t>
      </w:r>
    </w:p>
    <w:p w:rsidR="001B1222" w:rsidRPr="00B322D3" w:rsidRDefault="001B1222" w:rsidP="001B1222">
      <w:pPr>
        <w:tabs>
          <w:tab w:val="left" w:pos="2410"/>
        </w:tabs>
        <w:ind w:left="851"/>
        <w:rPr>
          <w:sz w:val="24"/>
          <w:szCs w:val="24"/>
        </w:rPr>
      </w:pPr>
    </w:p>
    <w:p w:rsidR="001B1222" w:rsidRPr="00B322D3" w:rsidRDefault="001B1222" w:rsidP="001B1222">
      <w:pPr>
        <w:tabs>
          <w:tab w:val="left" w:pos="2410"/>
        </w:tabs>
        <w:ind w:left="851"/>
        <w:rPr>
          <w:sz w:val="24"/>
          <w:szCs w:val="24"/>
          <w:u w:val="single"/>
        </w:rPr>
      </w:pPr>
      <w:r w:rsidRPr="00B322D3">
        <w:rPr>
          <w:sz w:val="24"/>
          <w:szCs w:val="24"/>
          <w:u w:val="single"/>
        </w:rPr>
        <w:t>1000 mg</w:t>
      </w:r>
    </w:p>
    <w:p w:rsidR="001B1222" w:rsidRPr="00B322D3" w:rsidRDefault="001B1222" w:rsidP="001B1222">
      <w:pPr>
        <w:tabs>
          <w:tab w:val="left" w:pos="2410"/>
        </w:tabs>
        <w:ind w:left="851"/>
        <w:rPr>
          <w:sz w:val="24"/>
          <w:szCs w:val="24"/>
        </w:rPr>
      </w:pPr>
      <w:r w:rsidRPr="00B322D3">
        <w:rPr>
          <w:sz w:val="24"/>
          <w:szCs w:val="24"/>
        </w:rPr>
        <w:t>Hvid, filmovertrukket, oval tablet med en delekærv på den ene side og glat på den anden side.</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rPr>
        <w:t xml:space="preserve">Tabletten kan deles i to lige store doser. </w:t>
      </w:r>
    </w:p>
    <w:p w:rsidR="001B1222" w:rsidRPr="00B322D3" w:rsidRDefault="001B1222" w:rsidP="001B1222">
      <w:pPr>
        <w:ind w:left="851"/>
        <w:rPr>
          <w:sz w:val="24"/>
          <w:szCs w:val="24"/>
        </w:rPr>
      </w:pPr>
    </w:p>
    <w:p w:rsidR="001B1222" w:rsidRPr="00B322D3" w:rsidRDefault="001B1222" w:rsidP="001B1222">
      <w:pPr>
        <w:ind w:left="851"/>
        <w:rPr>
          <w:sz w:val="24"/>
          <w:szCs w:val="24"/>
        </w:rPr>
      </w:pPr>
    </w:p>
    <w:p w:rsidR="001B1222" w:rsidRPr="00B322D3" w:rsidRDefault="001B1222" w:rsidP="001B1222">
      <w:pPr>
        <w:ind w:left="851" w:hanging="851"/>
        <w:rPr>
          <w:b/>
          <w:sz w:val="24"/>
          <w:szCs w:val="24"/>
        </w:rPr>
      </w:pPr>
      <w:r w:rsidRPr="00B322D3">
        <w:rPr>
          <w:b/>
          <w:sz w:val="24"/>
          <w:szCs w:val="24"/>
        </w:rPr>
        <w:t>4.</w:t>
      </w:r>
      <w:r w:rsidRPr="00B322D3">
        <w:rPr>
          <w:b/>
          <w:sz w:val="24"/>
          <w:szCs w:val="24"/>
        </w:rPr>
        <w:tab/>
        <w:t>KLINISKE OPLYSNINGER</w:t>
      </w:r>
    </w:p>
    <w:p w:rsidR="001B1222" w:rsidRPr="00B322D3" w:rsidRDefault="001B1222" w:rsidP="001B1222">
      <w:pPr>
        <w:ind w:left="851" w:hanging="851"/>
        <w:rPr>
          <w:b/>
          <w:sz w:val="24"/>
          <w:szCs w:val="24"/>
        </w:rPr>
      </w:pPr>
    </w:p>
    <w:p w:rsidR="001B1222" w:rsidRPr="00B322D3" w:rsidRDefault="001B1222" w:rsidP="001B1222">
      <w:pPr>
        <w:ind w:left="851" w:hanging="851"/>
        <w:rPr>
          <w:b/>
          <w:sz w:val="24"/>
          <w:szCs w:val="24"/>
          <w:u w:val="single"/>
        </w:rPr>
      </w:pPr>
      <w:r w:rsidRPr="00B322D3">
        <w:rPr>
          <w:b/>
          <w:sz w:val="24"/>
          <w:szCs w:val="24"/>
        </w:rPr>
        <w:t>4.1</w:t>
      </w:r>
      <w:r w:rsidRPr="00B322D3">
        <w:rPr>
          <w:b/>
          <w:sz w:val="24"/>
          <w:szCs w:val="24"/>
        </w:rPr>
        <w:tab/>
        <w:t>Terapeutiske indikationer</w:t>
      </w:r>
    </w:p>
    <w:p w:rsidR="001B1222" w:rsidRPr="00B322D3" w:rsidRDefault="001B1222" w:rsidP="001B1222">
      <w:pPr>
        <w:ind w:left="851"/>
        <w:rPr>
          <w:sz w:val="24"/>
          <w:szCs w:val="24"/>
        </w:rPr>
      </w:pPr>
      <w:r w:rsidRPr="00B322D3">
        <w:rPr>
          <w:sz w:val="24"/>
          <w:szCs w:val="24"/>
        </w:rPr>
        <w:t>Symptomatisk behandling af milde til moderate smerter og/eller feber.</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u w:val="single"/>
        </w:rPr>
        <w:t>500 mg</w:t>
      </w:r>
    </w:p>
    <w:p w:rsidR="001B1222" w:rsidRPr="00B322D3" w:rsidRDefault="001B1222" w:rsidP="001B1222">
      <w:pPr>
        <w:ind w:left="851"/>
        <w:rPr>
          <w:sz w:val="24"/>
          <w:szCs w:val="24"/>
        </w:rPr>
      </w:pPr>
      <w:r w:rsidRPr="00B322D3">
        <w:rPr>
          <w:sz w:val="24"/>
          <w:szCs w:val="24"/>
        </w:rPr>
        <w:t>Denne styrke er indiceret til voksne og børn, der vejer over 30 kg (fra ca. 9 år).</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u w:val="single"/>
        </w:rPr>
        <w:t>1000 mg</w:t>
      </w:r>
      <w:r w:rsidRPr="00B322D3">
        <w:rPr>
          <w:sz w:val="24"/>
          <w:szCs w:val="24"/>
        </w:rPr>
        <w:t xml:space="preserve"> </w:t>
      </w:r>
    </w:p>
    <w:p w:rsidR="001B1222" w:rsidRPr="00B322D3" w:rsidRDefault="001B1222" w:rsidP="001B1222">
      <w:pPr>
        <w:ind w:left="851"/>
        <w:rPr>
          <w:sz w:val="24"/>
          <w:szCs w:val="24"/>
        </w:rPr>
      </w:pPr>
      <w:r w:rsidRPr="00B322D3">
        <w:rPr>
          <w:sz w:val="24"/>
          <w:szCs w:val="24"/>
        </w:rPr>
        <w:t>Denne styrke er indiceret til voksne og børn, der vejer over 55 kg (fra ca. 15 år).</w:t>
      </w:r>
    </w:p>
    <w:p w:rsidR="001B1222" w:rsidRPr="00B322D3" w:rsidRDefault="001B1222" w:rsidP="001B1222">
      <w:pPr>
        <w:ind w:left="851"/>
        <w:rPr>
          <w:sz w:val="24"/>
          <w:szCs w:val="24"/>
        </w:rPr>
      </w:pPr>
    </w:p>
    <w:p w:rsidR="001B1222" w:rsidRPr="00B322D3" w:rsidRDefault="001B1222" w:rsidP="001B1222">
      <w:pPr>
        <w:ind w:left="851"/>
        <w:rPr>
          <w:sz w:val="24"/>
          <w:szCs w:val="24"/>
        </w:rPr>
      </w:pPr>
    </w:p>
    <w:p w:rsidR="001B1222" w:rsidRPr="00B322D3" w:rsidRDefault="001B1222" w:rsidP="001B1222">
      <w:pPr>
        <w:ind w:left="851" w:hanging="851"/>
        <w:rPr>
          <w:b/>
          <w:sz w:val="24"/>
          <w:szCs w:val="24"/>
        </w:rPr>
      </w:pPr>
      <w:r w:rsidRPr="00B322D3">
        <w:rPr>
          <w:b/>
          <w:sz w:val="24"/>
          <w:szCs w:val="24"/>
        </w:rPr>
        <w:t>4.2</w:t>
      </w:r>
      <w:r w:rsidRPr="00B322D3">
        <w:rPr>
          <w:b/>
          <w:sz w:val="24"/>
          <w:szCs w:val="24"/>
        </w:rPr>
        <w:tab/>
        <w:t>Dosering og indgivelsesmåde</w:t>
      </w:r>
    </w:p>
    <w:p w:rsidR="001B1222" w:rsidRPr="00B322D3" w:rsidRDefault="001B1222" w:rsidP="001B1222">
      <w:pPr>
        <w:ind w:left="851"/>
        <w:rPr>
          <w:b/>
          <w:sz w:val="24"/>
          <w:szCs w:val="24"/>
        </w:rPr>
      </w:pPr>
    </w:p>
    <w:p w:rsidR="001B1222" w:rsidRPr="00B322D3" w:rsidRDefault="001B1222" w:rsidP="001B1222">
      <w:pPr>
        <w:ind w:left="851"/>
        <w:rPr>
          <w:b/>
          <w:sz w:val="24"/>
          <w:szCs w:val="24"/>
        </w:rPr>
      </w:pPr>
      <w:r w:rsidRPr="00B322D3">
        <w:rPr>
          <w:b/>
          <w:sz w:val="24"/>
          <w:szCs w:val="24"/>
        </w:rPr>
        <w:t>Dosering</w:t>
      </w:r>
    </w:p>
    <w:p w:rsidR="001B1222" w:rsidRPr="00B322D3" w:rsidRDefault="001B1222" w:rsidP="001B1222">
      <w:pPr>
        <w:ind w:left="851"/>
        <w:rPr>
          <w:i/>
          <w:sz w:val="24"/>
          <w:szCs w:val="24"/>
        </w:rPr>
      </w:pPr>
    </w:p>
    <w:p w:rsidR="001B1222" w:rsidRPr="00B322D3" w:rsidRDefault="001B1222" w:rsidP="001B1222">
      <w:pPr>
        <w:ind w:left="851"/>
        <w:rPr>
          <w:sz w:val="24"/>
          <w:szCs w:val="24"/>
          <w:u w:val="single"/>
        </w:rPr>
      </w:pPr>
      <w:r w:rsidRPr="00B322D3">
        <w:rPr>
          <w:sz w:val="24"/>
          <w:szCs w:val="24"/>
          <w:u w:val="single"/>
        </w:rPr>
        <w:t>500 mg</w:t>
      </w:r>
    </w:p>
    <w:p w:rsidR="001B1222" w:rsidRPr="00B322D3" w:rsidRDefault="001B1222" w:rsidP="001B1222">
      <w:pPr>
        <w:ind w:left="851"/>
        <w:rPr>
          <w:i/>
          <w:sz w:val="24"/>
          <w:szCs w:val="24"/>
        </w:rPr>
      </w:pPr>
    </w:p>
    <w:p w:rsidR="001B1222" w:rsidRPr="00B322D3" w:rsidRDefault="001B1222" w:rsidP="001B1222">
      <w:pPr>
        <w:ind w:left="851"/>
        <w:rPr>
          <w:i/>
          <w:sz w:val="24"/>
          <w:szCs w:val="24"/>
        </w:rPr>
      </w:pPr>
      <w:r w:rsidRPr="00B322D3">
        <w:rPr>
          <w:i/>
          <w:sz w:val="24"/>
          <w:szCs w:val="24"/>
        </w:rPr>
        <w:t>Voksne og børn fra 15 år (&gt; 55 kg kropsvægt)</w:t>
      </w:r>
    </w:p>
    <w:p w:rsidR="001B1222" w:rsidRPr="00B322D3" w:rsidRDefault="001B1222" w:rsidP="001B1222">
      <w:pPr>
        <w:ind w:left="851"/>
        <w:rPr>
          <w:sz w:val="24"/>
          <w:szCs w:val="24"/>
        </w:rPr>
      </w:pPr>
      <w:r w:rsidRPr="00B322D3">
        <w:rPr>
          <w:sz w:val="24"/>
          <w:szCs w:val="24"/>
        </w:rPr>
        <w:t>1-2 tabletter på 500 mg; op til 6 tabletter (3000 mg) pr. døgn.</w:t>
      </w:r>
    </w:p>
    <w:p w:rsidR="001B1222" w:rsidRPr="00B322D3" w:rsidRDefault="001B1222" w:rsidP="001B1222">
      <w:pPr>
        <w:ind w:left="851"/>
        <w:rPr>
          <w:sz w:val="24"/>
          <w:szCs w:val="24"/>
        </w:rPr>
      </w:pPr>
      <w:r w:rsidRPr="00B322D3">
        <w:rPr>
          <w:sz w:val="24"/>
          <w:szCs w:val="24"/>
        </w:rPr>
        <w:t>Doseringsintervallet skal være mindst 4 timer.</w:t>
      </w:r>
    </w:p>
    <w:p w:rsidR="001B1222" w:rsidRPr="00B322D3" w:rsidRDefault="001B1222" w:rsidP="001B1222">
      <w:pPr>
        <w:ind w:left="851"/>
        <w:rPr>
          <w:sz w:val="24"/>
          <w:szCs w:val="24"/>
        </w:rPr>
      </w:pPr>
    </w:p>
    <w:p w:rsidR="001B1222" w:rsidRPr="00B322D3" w:rsidRDefault="001B1222" w:rsidP="001B1222">
      <w:pPr>
        <w:ind w:left="851"/>
        <w:rPr>
          <w:i/>
          <w:sz w:val="24"/>
          <w:szCs w:val="24"/>
        </w:rPr>
      </w:pPr>
      <w:r w:rsidRPr="00B322D3">
        <w:rPr>
          <w:i/>
          <w:sz w:val="24"/>
          <w:szCs w:val="24"/>
        </w:rPr>
        <w:t>Pædiatrisk population (børn fra 9 til 15 år)</w:t>
      </w:r>
    </w:p>
    <w:p w:rsidR="001B1222" w:rsidRPr="00B322D3" w:rsidRDefault="001B1222" w:rsidP="001B1222">
      <w:pPr>
        <w:ind w:left="851"/>
        <w:rPr>
          <w:sz w:val="24"/>
          <w:szCs w:val="24"/>
        </w:rPr>
      </w:pPr>
      <w:r w:rsidRPr="00B322D3">
        <w:rPr>
          <w:sz w:val="24"/>
          <w:szCs w:val="24"/>
        </w:rPr>
        <w:t>Denne lægemiddelform er ikke egnet til børn under 6 år.</w:t>
      </w:r>
    </w:p>
    <w:p w:rsidR="001B1222" w:rsidRPr="00B322D3" w:rsidRDefault="001B1222" w:rsidP="001B1222">
      <w:pPr>
        <w:ind w:left="851"/>
        <w:rPr>
          <w:sz w:val="24"/>
          <w:szCs w:val="24"/>
          <w:u w:val="single"/>
        </w:rPr>
      </w:pPr>
    </w:p>
    <w:p w:rsidR="001B1222" w:rsidRPr="00B322D3" w:rsidRDefault="001B1222" w:rsidP="001B1222">
      <w:pPr>
        <w:ind w:left="851"/>
        <w:rPr>
          <w:sz w:val="24"/>
          <w:szCs w:val="24"/>
        </w:rPr>
      </w:pPr>
      <w:r w:rsidRPr="00B322D3">
        <w:rPr>
          <w:sz w:val="24"/>
          <w:szCs w:val="24"/>
        </w:rPr>
        <w:t>Dosering afhænger af barnets legemsvægt. Den anbefalede dosis er 60 mg/kg/dag; ikke mere end 3000 mg (3 g) pr. døgn:</w:t>
      </w:r>
    </w:p>
    <w:p w:rsidR="001B1222" w:rsidRPr="00B322D3" w:rsidRDefault="001B1222" w:rsidP="001B1222">
      <w:pPr>
        <w:ind w:left="1134" w:hanging="283"/>
        <w:rPr>
          <w:sz w:val="24"/>
          <w:szCs w:val="24"/>
        </w:rPr>
      </w:pPr>
      <w:r w:rsidRPr="00B322D3">
        <w:rPr>
          <w:sz w:val="24"/>
          <w:szCs w:val="24"/>
        </w:rPr>
        <w:t>-</w:t>
      </w:r>
      <w:r w:rsidRPr="00B322D3">
        <w:rPr>
          <w:sz w:val="24"/>
          <w:szCs w:val="24"/>
        </w:rPr>
        <w:tab/>
        <w:t>30-40 kg (ca. 9-12 år): 1 tablet (500 mg) op til 3-4 gange pr. døgn, med et doseringsinterval på 6-8 timer.</w:t>
      </w:r>
    </w:p>
    <w:p w:rsidR="001B1222" w:rsidRPr="00B322D3" w:rsidRDefault="001B1222" w:rsidP="001B1222">
      <w:pPr>
        <w:ind w:left="1134" w:hanging="283"/>
        <w:rPr>
          <w:sz w:val="24"/>
          <w:szCs w:val="24"/>
        </w:rPr>
      </w:pPr>
      <w:r w:rsidRPr="00B322D3">
        <w:rPr>
          <w:sz w:val="24"/>
          <w:szCs w:val="24"/>
        </w:rPr>
        <w:t>-</w:t>
      </w:r>
      <w:r w:rsidRPr="00B322D3">
        <w:rPr>
          <w:sz w:val="24"/>
          <w:szCs w:val="24"/>
        </w:rPr>
        <w:tab/>
        <w:t>40-55 kg (ca. 12-15 år): 1 tablet (500 mg) op til 4-6 gange pr. døgn, med et doseringsinterval på 4-6 timer.</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rPr>
        <w:t>Den laveste administrationshyppighed er beregnet til børn i den nedre grænse for den relevante vægtgruppe. Systematisk administration, herunder om natten, hjælper med at undgå smerter og febersvingninger.</w:t>
      </w:r>
    </w:p>
    <w:p w:rsidR="001B1222" w:rsidRPr="00B322D3" w:rsidRDefault="001B1222" w:rsidP="001B1222">
      <w:pPr>
        <w:ind w:left="851"/>
        <w:rPr>
          <w:sz w:val="24"/>
          <w:szCs w:val="24"/>
        </w:rPr>
      </w:pPr>
    </w:p>
    <w:p w:rsidR="001B1222" w:rsidRPr="00B322D3" w:rsidRDefault="001B1222" w:rsidP="001B1222">
      <w:pPr>
        <w:ind w:left="851"/>
        <w:rPr>
          <w:sz w:val="24"/>
          <w:szCs w:val="24"/>
          <w:u w:val="single"/>
        </w:rPr>
      </w:pPr>
      <w:r w:rsidRPr="00B322D3">
        <w:rPr>
          <w:sz w:val="24"/>
          <w:szCs w:val="24"/>
          <w:u w:val="single"/>
        </w:rPr>
        <w:t>1000 mg</w:t>
      </w:r>
    </w:p>
    <w:p w:rsidR="001B1222" w:rsidRPr="00B322D3" w:rsidRDefault="001B1222" w:rsidP="001B1222">
      <w:pPr>
        <w:ind w:left="851"/>
        <w:rPr>
          <w:i/>
          <w:sz w:val="24"/>
          <w:szCs w:val="24"/>
        </w:rPr>
      </w:pPr>
    </w:p>
    <w:p w:rsidR="001B1222" w:rsidRPr="00B322D3" w:rsidRDefault="001B1222" w:rsidP="001B1222">
      <w:pPr>
        <w:ind w:left="851"/>
        <w:rPr>
          <w:i/>
          <w:sz w:val="24"/>
          <w:szCs w:val="24"/>
        </w:rPr>
      </w:pPr>
      <w:r w:rsidRPr="00B322D3">
        <w:rPr>
          <w:i/>
          <w:sz w:val="24"/>
          <w:szCs w:val="24"/>
        </w:rPr>
        <w:t>Voksne og børn over 15 år</w:t>
      </w:r>
    </w:p>
    <w:p w:rsidR="001B1222" w:rsidRPr="00B322D3" w:rsidRDefault="001B1222" w:rsidP="001B1222">
      <w:pPr>
        <w:ind w:left="851"/>
        <w:rPr>
          <w:sz w:val="24"/>
          <w:szCs w:val="24"/>
        </w:rPr>
      </w:pPr>
      <w:r w:rsidRPr="00B322D3">
        <w:rPr>
          <w:sz w:val="24"/>
          <w:szCs w:val="24"/>
        </w:rPr>
        <w:t>½ til 1 tablet på 1000 mg 3-4 gange i døgnet, op til 3 tabletter (3000 mg) pr. døgn.</w:t>
      </w:r>
    </w:p>
    <w:p w:rsidR="001B1222" w:rsidRPr="00B322D3" w:rsidRDefault="001B1222" w:rsidP="001B1222">
      <w:pPr>
        <w:ind w:left="851"/>
        <w:rPr>
          <w:sz w:val="24"/>
          <w:szCs w:val="24"/>
        </w:rPr>
      </w:pPr>
      <w:r w:rsidRPr="00B322D3">
        <w:rPr>
          <w:sz w:val="24"/>
          <w:szCs w:val="24"/>
        </w:rPr>
        <w:t>Doseringsintervallet skal være mindst 4 timer.</w:t>
      </w:r>
    </w:p>
    <w:p w:rsidR="001B1222" w:rsidRPr="00B322D3" w:rsidRDefault="001B1222" w:rsidP="001B1222">
      <w:pPr>
        <w:ind w:left="851"/>
        <w:rPr>
          <w:sz w:val="24"/>
          <w:szCs w:val="24"/>
        </w:rPr>
      </w:pPr>
      <w:r w:rsidRPr="00B322D3">
        <w:rPr>
          <w:sz w:val="24"/>
          <w:szCs w:val="24"/>
        </w:rPr>
        <w:t>Styrken på 1000 mg er ikke egnet til børn under 15 år.</w:t>
      </w:r>
      <w:r w:rsidRPr="00B322D3">
        <w:rPr>
          <w:sz w:val="24"/>
          <w:szCs w:val="24"/>
        </w:rPr>
        <w:br/>
      </w:r>
    </w:p>
    <w:p w:rsidR="001B1222" w:rsidRPr="00B322D3" w:rsidRDefault="001B1222" w:rsidP="001B1222">
      <w:pPr>
        <w:ind w:left="851"/>
        <w:rPr>
          <w:sz w:val="24"/>
          <w:szCs w:val="24"/>
        </w:rPr>
      </w:pPr>
      <w:r w:rsidRPr="00B322D3">
        <w:rPr>
          <w:sz w:val="24"/>
          <w:szCs w:val="24"/>
        </w:rPr>
        <w:t xml:space="preserve">Advarsel: Hver tablet indeholder 1000 mg (1 g) paracetamol. Tag ikke mere end </w:t>
      </w:r>
      <w:r>
        <w:rPr>
          <w:sz w:val="24"/>
          <w:szCs w:val="24"/>
        </w:rPr>
        <w:t>en</w:t>
      </w:r>
      <w:r w:rsidRPr="00B322D3">
        <w:rPr>
          <w:sz w:val="24"/>
          <w:szCs w:val="24"/>
        </w:rPr>
        <w:t xml:space="preserve"> tablet ad gangen.</w:t>
      </w:r>
    </w:p>
    <w:p w:rsidR="001B1222" w:rsidRPr="00B322D3" w:rsidRDefault="001B1222" w:rsidP="001B1222">
      <w:pPr>
        <w:ind w:left="851"/>
        <w:rPr>
          <w:sz w:val="24"/>
          <w:szCs w:val="24"/>
        </w:rPr>
      </w:pPr>
    </w:p>
    <w:p w:rsidR="001B1222" w:rsidRPr="00B322D3" w:rsidRDefault="001B1222" w:rsidP="001B1222">
      <w:pPr>
        <w:ind w:left="851"/>
        <w:rPr>
          <w:color w:val="000000"/>
          <w:sz w:val="24"/>
          <w:szCs w:val="24"/>
          <w:u w:val="single"/>
          <w:lang w:eastAsia="da-DK"/>
        </w:rPr>
      </w:pPr>
      <w:r w:rsidRPr="00B322D3">
        <w:rPr>
          <w:color w:val="000000"/>
          <w:sz w:val="24"/>
          <w:szCs w:val="24"/>
          <w:u w:val="single"/>
          <w:lang w:eastAsia="da-DK"/>
        </w:rPr>
        <w:t>Retningslinjer for brug</w:t>
      </w:r>
    </w:p>
    <w:p w:rsidR="001B1222" w:rsidRPr="00C845EF" w:rsidRDefault="001B1222" w:rsidP="001B1222">
      <w:pPr>
        <w:numPr>
          <w:ilvl w:val="0"/>
          <w:numId w:val="8"/>
        </w:numPr>
        <w:tabs>
          <w:tab w:val="left" w:pos="2909"/>
        </w:tabs>
        <w:autoSpaceDE w:val="0"/>
        <w:autoSpaceDN w:val="0"/>
        <w:adjustRightInd w:val="0"/>
        <w:ind w:left="1134" w:hanging="283"/>
        <w:rPr>
          <w:color w:val="000000"/>
          <w:sz w:val="24"/>
          <w:szCs w:val="24"/>
          <w:lang w:eastAsia="da-DK"/>
        </w:rPr>
      </w:pPr>
      <w:r w:rsidRPr="00C845EF">
        <w:rPr>
          <w:color w:val="000000"/>
          <w:sz w:val="24"/>
          <w:szCs w:val="24"/>
          <w:lang w:eastAsia="da-DK"/>
        </w:rPr>
        <w:t>Må ikke tages sammen med andre præparater, der indeholder paracetamol.</w:t>
      </w:r>
    </w:p>
    <w:p w:rsidR="001B1222" w:rsidRPr="00C845EF" w:rsidRDefault="001B1222" w:rsidP="001B1222">
      <w:pPr>
        <w:numPr>
          <w:ilvl w:val="0"/>
          <w:numId w:val="8"/>
        </w:numPr>
        <w:tabs>
          <w:tab w:val="left" w:pos="2909"/>
        </w:tabs>
        <w:autoSpaceDE w:val="0"/>
        <w:autoSpaceDN w:val="0"/>
        <w:adjustRightInd w:val="0"/>
        <w:ind w:left="1134" w:hanging="283"/>
        <w:rPr>
          <w:color w:val="000000"/>
          <w:sz w:val="24"/>
          <w:szCs w:val="24"/>
          <w:lang w:eastAsia="da-DK"/>
        </w:rPr>
      </w:pPr>
      <w:r w:rsidRPr="00C845EF">
        <w:rPr>
          <w:color w:val="000000"/>
          <w:sz w:val="24"/>
          <w:szCs w:val="24"/>
          <w:lang w:eastAsia="da-DK"/>
        </w:rPr>
        <w:t>Den angivne dosis må ikke overskrides på grund af risiko for alvorlig leverskade (se pkt. 4.4 og 4.9).</w:t>
      </w:r>
    </w:p>
    <w:p w:rsidR="001B1222" w:rsidRPr="00C845EF" w:rsidRDefault="001B1222" w:rsidP="001B1222">
      <w:pPr>
        <w:numPr>
          <w:ilvl w:val="0"/>
          <w:numId w:val="8"/>
        </w:numPr>
        <w:tabs>
          <w:tab w:val="left" w:pos="2909"/>
        </w:tabs>
        <w:autoSpaceDE w:val="0"/>
        <w:autoSpaceDN w:val="0"/>
        <w:adjustRightInd w:val="0"/>
        <w:ind w:left="1134" w:hanging="283"/>
        <w:rPr>
          <w:color w:val="000000"/>
          <w:sz w:val="24"/>
          <w:szCs w:val="24"/>
          <w:lang w:eastAsia="da-DK"/>
        </w:rPr>
      </w:pPr>
      <w:r w:rsidRPr="00C845EF">
        <w:rPr>
          <w:color w:val="000000"/>
          <w:sz w:val="24"/>
          <w:szCs w:val="24"/>
          <w:lang w:eastAsia="da-DK"/>
        </w:rPr>
        <w:t>Afhængigt af symptomdebut (feber og smerter) er gentagen administration tilladt.</w:t>
      </w:r>
    </w:p>
    <w:p w:rsidR="001B1222" w:rsidRPr="00C845EF" w:rsidRDefault="001B1222" w:rsidP="001B1222">
      <w:pPr>
        <w:numPr>
          <w:ilvl w:val="0"/>
          <w:numId w:val="8"/>
        </w:numPr>
        <w:tabs>
          <w:tab w:val="left" w:pos="2909"/>
        </w:tabs>
        <w:autoSpaceDE w:val="0"/>
        <w:autoSpaceDN w:val="0"/>
        <w:adjustRightInd w:val="0"/>
        <w:ind w:left="1134" w:hanging="283"/>
        <w:rPr>
          <w:color w:val="000000"/>
          <w:sz w:val="24"/>
          <w:szCs w:val="24"/>
          <w:lang w:eastAsia="da-DK"/>
        </w:rPr>
      </w:pPr>
      <w:r w:rsidRPr="00C845EF">
        <w:rPr>
          <w:color w:val="000000"/>
          <w:sz w:val="24"/>
          <w:szCs w:val="24"/>
          <w:lang w:eastAsia="da-DK"/>
        </w:rPr>
        <w:t>Hvis du ikke får det bedre, eller hvi</w:t>
      </w:r>
      <w:r>
        <w:rPr>
          <w:color w:val="000000"/>
          <w:sz w:val="24"/>
          <w:szCs w:val="24"/>
          <w:lang w:eastAsia="da-DK"/>
        </w:rPr>
        <w:t>s du får det værre efter 3 dage</w:t>
      </w:r>
      <w:r w:rsidRPr="00C845EF">
        <w:rPr>
          <w:color w:val="000000"/>
          <w:sz w:val="24"/>
          <w:szCs w:val="24"/>
          <w:lang w:eastAsia="da-DK"/>
        </w:rPr>
        <w:t xml:space="preserve"> eller får andre symptomer, skal du stoppe med behandlingen og kontakte en læge.</w:t>
      </w:r>
    </w:p>
    <w:p w:rsidR="001B1222" w:rsidRPr="00C845EF" w:rsidRDefault="001B1222" w:rsidP="001B1222">
      <w:pPr>
        <w:numPr>
          <w:ilvl w:val="0"/>
          <w:numId w:val="8"/>
        </w:numPr>
        <w:tabs>
          <w:tab w:val="left" w:pos="2909"/>
        </w:tabs>
        <w:autoSpaceDE w:val="0"/>
        <w:autoSpaceDN w:val="0"/>
        <w:adjustRightInd w:val="0"/>
        <w:ind w:left="1134" w:hanging="283"/>
        <w:rPr>
          <w:color w:val="000000"/>
          <w:sz w:val="24"/>
          <w:szCs w:val="24"/>
          <w:lang w:eastAsia="da-DK"/>
        </w:rPr>
      </w:pPr>
      <w:r w:rsidRPr="00C845EF">
        <w:rPr>
          <w:color w:val="000000"/>
          <w:sz w:val="24"/>
          <w:szCs w:val="24"/>
          <w:lang w:eastAsia="da-DK"/>
        </w:rPr>
        <w:t>Indtagelse af paracetamol med mad og drikke påvirker ikke effekt</w:t>
      </w:r>
      <w:r>
        <w:rPr>
          <w:color w:val="000000"/>
          <w:sz w:val="24"/>
          <w:szCs w:val="24"/>
          <w:lang w:eastAsia="da-DK"/>
        </w:rPr>
        <w:t>en af lægemidlet.</w:t>
      </w:r>
    </w:p>
    <w:p w:rsidR="001B1222" w:rsidRPr="00C845EF" w:rsidRDefault="001B1222" w:rsidP="001B1222">
      <w:pPr>
        <w:tabs>
          <w:tab w:val="left" w:pos="2909"/>
        </w:tabs>
        <w:autoSpaceDE w:val="0"/>
        <w:autoSpaceDN w:val="0"/>
        <w:adjustRightInd w:val="0"/>
        <w:ind w:left="1134" w:hanging="283"/>
        <w:rPr>
          <w:color w:val="000000"/>
          <w:sz w:val="24"/>
          <w:szCs w:val="24"/>
          <w:lang w:eastAsia="da-DK"/>
        </w:rPr>
      </w:pPr>
    </w:p>
    <w:p w:rsidR="001B1222" w:rsidRPr="00C845EF" w:rsidRDefault="001B1222" w:rsidP="001B1222">
      <w:pPr>
        <w:tabs>
          <w:tab w:val="left" w:pos="2909"/>
        </w:tabs>
        <w:autoSpaceDE w:val="0"/>
        <w:autoSpaceDN w:val="0"/>
        <w:adjustRightInd w:val="0"/>
        <w:ind w:left="851"/>
        <w:rPr>
          <w:i/>
          <w:color w:val="000000"/>
          <w:sz w:val="24"/>
          <w:szCs w:val="24"/>
          <w:lang w:eastAsia="da-DK"/>
        </w:rPr>
      </w:pPr>
      <w:r w:rsidRPr="00C845EF">
        <w:rPr>
          <w:i/>
          <w:color w:val="000000"/>
          <w:sz w:val="24"/>
          <w:szCs w:val="24"/>
          <w:lang w:eastAsia="da-DK"/>
        </w:rPr>
        <w:t>Nyreinsufficiens</w:t>
      </w:r>
    </w:p>
    <w:p w:rsidR="001B1222" w:rsidRPr="00C845EF" w:rsidRDefault="001B1222" w:rsidP="001B1222">
      <w:pPr>
        <w:tabs>
          <w:tab w:val="left" w:pos="2909"/>
        </w:tabs>
        <w:autoSpaceDE w:val="0"/>
        <w:autoSpaceDN w:val="0"/>
        <w:adjustRightInd w:val="0"/>
        <w:ind w:left="851"/>
        <w:rPr>
          <w:color w:val="000000"/>
          <w:sz w:val="24"/>
          <w:szCs w:val="24"/>
          <w:lang w:eastAsia="da-DK"/>
        </w:rPr>
      </w:pPr>
      <w:r w:rsidRPr="00C845EF">
        <w:rPr>
          <w:color w:val="000000"/>
          <w:sz w:val="24"/>
          <w:szCs w:val="24"/>
          <w:lang w:eastAsia="da-DK"/>
        </w:rPr>
        <w:t>Dosis skal nedsættes i tilfælde af nedsat nyreinsufficiens (nyresvigt). Til voksne:</w:t>
      </w:r>
    </w:p>
    <w:p w:rsidR="001B1222" w:rsidRPr="00C845EF" w:rsidRDefault="001B1222" w:rsidP="001B1222">
      <w:pPr>
        <w:tabs>
          <w:tab w:val="left" w:pos="2909"/>
        </w:tabs>
        <w:autoSpaceDE w:val="0"/>
        <w:autoSpaceDN w:val="0"/>
        <w:adjustRightInd w:val="0"/>
        <w:ind w:left="851"/>
        <w:rPr>
          <w:color w:val="000000"/>
          <w:sz w:val="24"/>
          <w:szCs w:val="24"/>
          <w:lang w:eastAsia="da-DK"/>
        </w:rPr>
      </w:pPr>
    </w:p>
    <w:tbl>
      <w:tblPr>
        <w:tblW w:w="0" w:type="auto"/>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4A0" w:firstRow="1" w:lastRow="0" w:firstColumn="1" w:lastColumn="0" w:noHBand="0" w:noVBand="1"/>
      </w:tblPr>
      <w:tblGrid>
        <w:gridCol w:w="3556"/>
        <w:gridCol w:w="3556"/>
      </w:tblGrid>
      <w:tr w:rsidR="001B1222" w:rsidRPr="00C845EF" w:rsidTr="003B4BCE">
        <w:trPr>
          <w:trHeight w:val="262"/>
        </w:trPr>
        <w:tc>
          <w:tcPr>
            <w:tcW w:w="3556" w:type="dxa"/>
            <w:shd w:val="clear" w:color="auto" w:fill="auto"/>
          </w:tcPr>
          <w:p w:rsidR="001B1222" w:rsidRPr="00C845EF" w:rsidRDefault="001B1222" w:rsidP="003B4BCE">
            <w:pPr>
              <w:tabs>
                <w:tab w:val="left" w:pos="2909"/>
              </w:tabs>
              <w:autoSpaceDE w:val="0"/>
              <w:autoSpaceDN w:val="0"/>
              <w:adjustRightInd w:val="0"/>
              <w:jc w:val="both"/>
              <w:rPr>
                <w:color w:val="000000"/>
                <w:sz w:val="24"/>
                <w:szCs w:val="24"/>
                <w:lang w:eastAsia="da-DK"/>
              </w:rPr>
            </w:pPr>
            <w:proofErr w:type="spellStart"/>
            <w:r w:rsidRPr="00C845EF">
              <w:rPr>
                <w:color w:val="000000"/>
                <w:sz w:val="24"/>
                <w:szCs w:val="24"/>
                <w:lang w:eastAsia="da-DK"/>
              </w:rPr>
              <w:t>Glomerulær</w:t>
            </w:r>
            <w:proofErr w:type="spellEnd"/>
            <w:r w:rsidRPr="00C845EF">
              <w:rPr>
                <w:color w:val="000000"/>
                <w:sz w:val="24"/>
                <w:szCs w:val="24"/>
                <w:lang w:eastAsia="da-DK"/>
              </w:rPr>
              <w:t xml:space="preserve"> filtrationshastighed</w:t>
            </w:r>
          </w:p>
        </w:tc>
        <w:tc>
          <w:tcPr>
            <w:tcW w:w="3556" w:type="dxa"/>
            <w:shd w:val="clear" w:color="auto" w:fill="auto"/>
          </w:tcPr>
          <w:p w:rsidR="001B1222" w:rsidRPr="00C845EF" w:rsidRDefault="001B1222" w:rsidP="003B4BCE">
            <w:pPr>
              <w:autoSpaceDE w:val="0"/>
              <w:autoSpaceDN w:val="0"/>
              <w:adjustRightInd w:val="0"/>
              <w:jc w:val="both"/>
              <w:rPr>
                <w:color w:val="000000"/>
                <w:sz w:val="24"/>
                <w:szCs w:val="24"/>
                <w:lang w:eastAsia="da-DK"/>
              </w:rPr>
            </w:pPr>
            <w:r w:rsidRPr="00C845EF">
              <w:rPr>
                <w:color w:val="000000"/>
                <w:sz w:val="24"/>
                <w:szCs w:val="24"/>
                <w:lang w:eastAsia="da-DK"/>
              </w:rPr>
              <w:t>Dosis</w:t>
            </w:r>
          </w:p>
        </w:tc>
      </w:tr>
      <w:tr w:rsidR="001B1222" w:rsidRPr="00C845EF" w:rsidTr="003B4BCE">
        <w:tc>
          <w:tcPr>
            <w:tcW w:w="3556" w:type="dxa"/>
            <w:shd w:val="clear" w:color="auto" w:fill="auto"/>
          </w:tcPr>
          <w:p w:rsidR="001B1222" w:rsidRPr="00C845EF" w:rsidRDefault="001B1222" w:rsidP="003B4BCE">
            <w:pPr>
              <w:tabs>
                <w:tab w:val="left" w:pos="2909"/>
              </w:tabs>
              <w:autoSpaceDE w:val="0"/>
              <w:autoSpaceDN w:val="0"/>
              <w:adjustRightInd w:val="0"/>
              <w:jc w:val="both"/>
              <w:rPr>
                <w:color w:val="000000"/>
                <w:sz w:val="24"/>
                <w:szCs w:val="24"/>
                <w:lang w:eastAsia="da-DK"/>
              </w:rPr>
            </w:pPr>
            <w:r w:rsidRPr="00C845EF">
              <w:rPr>
                <w:color w:val="000000"/>
                <w:sz w:val="24"/>
                <w:szCs w:val="24"/>
                <w:lang w:eastAsia="da-DK"/>
              </w:rPr>
              <w:t>10-50 ml/min.</w:t>
            </w:r>
          </w:p>
        </w:tc>
        <w:tc>
          <w:tcPr>
            <w:tcW w:w="3556" w:type="dxa"/>
            <w:shd w:val="clear" w:color="auto" w:fill="auto"/>
          </w:tcPr>
          <w:p w:rsidR="001B1222" w:rsidRPr="00C845EF" w:rsidRDefault="001B1222" w:rsidP="003B4BCE">
            <w:pPr>
              <w:autoSpaceDE w:val="0"/>
              <w:autoSpaceDN w:val="0"/>
              <w:adjustRightInd w:val="0"/>
              <w:jc w:val="both"/>
              <w:rPr>
                <w:color w:val="000000"/>
                <w:sz w:val="24"/>
                <w:szCs w:val="24"/>
                <w:lang w:eastAsia="da-DK"/>
              </w:rPr>
            </w:pPr>
            <w:r w:rsidRPr="00C845EF">
              <w:rPr>
                <w:color w:val="000000"/>
                <w:sz w:val="24"/>
                <w:szCs w:val="24"/>
                <w:lang w:eastAsia="da-DK"/>
              </w:rPr>
              <w:t>500 mg hver 6. time</w:t>
            </w:r>
          </w:p>
        </w:tc>
      </w:tr>
      <w:tr w:rsidR="001B1222" w:rsidRPr="00C845EF" w:rsidTr="003B4BCE">
        <w:tc>
          <w:tcPr>
            <w:tcW w:w="3556" w:type="dxa"/>
            <w:shd w:val="clear" w:color="auto" w:fill="auto"/>
            <w:vAlign w:val="center"/>
          </w:tcPr>
          <w:p w:rsidR="001B1222" w:rsidRPr="00C845EF" w:rsidRDefault="001B1222" w:rsidP="003B4BCE">
            <w:pPr>
              <w:tabs>
                <w:tab w:val="left" w:pos="2909"/>
              </w:tabs>
              <w:autoSpaceDE w:val="0"/>
              <w:autoSpaceDN w:val="0"/>
              <w:adjustRightInd w:val="0"/>
              <w:jc w:val="both"/>
              <w:rPr>
                <w:color w:val="000000"/>
                <w:sz w:val="24"/>
                <w:szCs w:val="24"/>
                <w:lang w:eastAsia="da-DK"/>
              </w:rPr>
            </w:pPr>
            <w:r w:rsidRPr="00C845EF">
              <w:rPr>
                <w:color w:val="000000"/>
                <w:sz w:val="24"/>
                <w:szCs w:val="24"/>
                <w:lang w:eastAsia="da-DK"/>
              </w:rPr>
              <w:t>&lt; 10 ml/min.</w:t>
            </w:r>
          </w:p>
        </w:tc>
        <w:tc>
          <w:tcPr>
            <w:tcW w:w="3556" w:type="dxa"/>
            <w:shd w:val="clear" w:color="auto" w:fill="auto"/>
            <w:vAlign w:val="center"/>
          </w:tcPr>
          <w:p w:rsidR="001B1222" w:rsidRPr="00C845EF" w:rsidRDefault="001B1222" w:rsidP="003B4BCE">
            <w:pPr>
              <w:autoSpaceDE w:val="0"/>
              <w:autoSpaceDN w:val="0"/>
              <w:adjustRightInd w:val="0"/>
              <w:jc w:val="both"/>
              <w:rPr>
                <w:color w:val="000000"/>
                <w:sz w:val="24"/>
                <w:szCs w:val="24"/>
                <w:lang w:eastAsia="da-DK"/>
              </w:rPr>
            </w:pPr>
            <w:r>
              <w:rPr>
                <w:color w:val="000000"/>
                <w:sz w:val="24"/>
                <w:szCs w:val="24"/>
                <w:lang w:eastAsia="da-DK"/>
              </w:rPr>
              <w:t>500</w:t>
            </w:r>
            <w:r w:rsidRPr="00C845EF">
              <w:rPr>
                <w:color w:val="000000"/>
                <w:sz w:val="24"/>
                <w:szCs w:val="24"/>
                <w:lang w:eastAsia="da-DK"/>
              </w:rPr>
              <w:t xml:space="preserve"> mg hver 8. time</w:t>
            </w:r>
          </w:p>
        </w:tc>
      </w:tr>
    </w:tbl>
    <w:p w:rsidR="001B1222" w:rsidRPr="00C845EF" w:rsidRDefault="001B1222" w:rsidP="001B1222">
      <w:pPr>
        <w:tabs>
          <w:tab w:val="left" w:pos="2909"/>
        </w:tabs>
        <w:autoSpaceDE w:val="0"/>
        <w:autoSpaceDN w:val="0"/>
        <w:adjustRightInd w:val="0"/>
        <w:ind w:left="851"/>
        <w:rPr>
          <w:color w:val="000000"/>
          <w:sz w:val="24"/>
          <w:szCs w:val="24"/>
          <w:lang w:eastAsia="da-DK"/>
        </w:rPr>
      </w:pPr>
    </w:p>
    <w:p w:rsidR="001B1222" w:rsidRPr="00C845EF" w:rsidRDefault="001B1222" w:rsidP="001B1222">
      <w:pPr>
        <w:tabs>
          <w:tab w:val="left" w:pos="2909"/>
        </w:tabs>
        <w:autoSpaceDE w:val="0"/>
        <w:autoSpaceDN w:val="0"/>
        <w:adjustRightInd w:val="0"/>
        <w:ind w:left="851"/>
        <w:rPr>
          <w:i/>
          <w:color w:val="000000"/>
          <w:sz w:val="24"/>
          <w:szCs w:val="24"/>
          <w:lang w:eastAsia="da-DK"/>
        </w:rPr>
      </w:pPr>
      <w:r w:rsidRPr="00C845EF">
        <w:rPr>
          <w:i/>
          <w:color w:val="000000"/>
          <w:sz w:val="24"/>
          <w:szCs w:val="24"/>
          <w:lang w:eastAsia="da-DK"/>
        </w:rPr>
        <w:lastRenderedPageBreak/>
        <w:t>Leverinsufficiens</w:t>
      </w:r>
    </w:p>
    <w:p w:rsidR="001B1222" w:rsidRPr="00C845EF" w:rsidRDefault="001B1222" w:rsidP="001B1222">
      <w:pPr>
        <w:tabs>
          <w:tab w:val="left" w:pos="2909"/>
        </w:tabs>
        <w:autoSpaceDE w:val="0"/>
        <w:autoSpaceDN w:val="0"/>
        <w:adjustRightInd w:val="0"/>
        <w:ind w:left="851"/>
        <w:rPr>
          <w:color w:val="000000"/>
          <w:sz w:val="24"/>
          <w:szCs w:val="24"/>
          <w:lang w:eastAsia="da-DK"/>
        </w:rPr>
      </w:pPr>
      <w:r w:rsidRPr="00C845EF">
        <w:rPr>
          <w:color w:val="000000"/>
          <w:sz w:val="24"/>
          <w:szCs w:val="24"/>
          <w:lang w:eastAsia="da-DK"/>
        </w:rPr>
        <w:t>Dosis skal nedsættes, eller doseringsintervallet skal forlænges, hos patienter med leverinsufficiens eller Gilberts syndrom.</w:t>
      </w:r>
    </w:p>
    <w:p w:rsidR="001B1222" w:rsidRPr="00C845EF" w:rsidRDefault="001B1222" w:rsidP="001B1222">
      <w:pPr>
        <w:tabs>
          <w:tab w:val="left" w:pos="2909"/>
        </w:tabs>
        <w:autoSpaceDE w:val="0"/>
        <w:autoSpaceDN w:val="0"/>
        <w:adjustRightInd w:val="0"/>
        <w:ind w:left="1134" w:hanging="283"/>
        <w:rPr>
          <w:color w:val="000000"/>
          <w:sz w:val="24"/>
          <w:szCs w:val="24"/>
          <w:lang w:eastAsia="da-DK"/>
        </w:rPr>
      </w:pPr>
    </w:p>
    <w:p w:rsidR="001B1222" w:rsidRPr="00C845EF" w:rsidRDefault="001B1222" w:rsidP="001B1222">
      <w:pPr>
        <w:tabs>
          <w:tab w:val="left" w:pos="2909"/>
        </w:tabs>
        <w:autoSpaceDE w:val="0"/>
        <w:autoSpaceDN w:val="0"/>
        <w:adjustRightInd w:val="0"/>
        <w:ind w:left="851"/>
        <w:rPr>
          <w:color w:val="000000"/>
          <w:sz w:val="24"/>
          <w:szCs w:val="24"/>
          <w:lang w:eastAsia="da-DK"/>
        </w:rPr>
      </w:pPr>
      <w:r w:rsidRPr="00C845EF">
        <w:rPr>
          <w:color w:val="000000"/>
          <w:sz w:val="24"/>
          <w:szCs w:val="24"/>
          <w:lang w:eastAsia="da-DK"/>
        </w:rPr>
        <w:t>Den daglige</w:t>
      </w:r>
      <w:r>
        <w:rPr>
          <w:color w:val="000000"/>
          <w:sz w:val="24"/>
          <w:szCs w:val="24"/>
          <w:lang w:eastAsia="da-DK"/>
        </w:rPr>
        <w:t>, effektive</w:t>
      </w:r>
      <w:r w:rsidRPr="00C845EF">
        <w:rPr>
          <w:color w:val="000000"/>
          <w:sz w:val="24"/>
          <w:szCs w:val="24"/>
          <w:lang w:eastAsia="da-DK"/>
        </w:rPr>
        <w:t xml:space="preserve"> dosis må ikke overstige 60 mg/kg/dag (op til maks</w:t>
      </w:r>
      <w:r>
        <w:rPr>
          <w:color w:val="000000"/>
          <w:sz w:val="24"/>
          <w:szCs w:val="24"/>
          <w:lang w:eastAsia="da-DK"/>
        </w:rPr>
        <w:t>imalt</w:t>
      </w:r>
      <w:r w:rsidRPr="00C845EF">
        <w:rPr>
          <w:color w:val="000000"/>
          <w:sz w:val="24"/>
          <w:szCs w:val="24"/>
          <w:lang w:eastAsia="da-DK"/>
        </w:rPr>
        <w:t xml:space="preserve"> 2000 mg/dag) i følgende situationer:</w:t>
      </w:r>
    </w:p>
    <w:p w:rsidR="001B1222" w:rsidRPr="00C845EF" w:rsidRDefault="001B1222" w:rsidP="001B1222">
      <w:pPr>
        <w:numPr>
          <w:ilvl w:val="0"/>
          <w:numId w:val="6"/>
        </w:numPr>
        <w:tabs>
          <w:tab w:val="left" w:pos="2909"/>
        </w:tabs>
        <w:autoSpaceDE w:val="0"/>
        <w:autoSpaceDN w:val="0"/>
        <w:adjustRightInd w:val="0"/>
        <w:ind w:left="1134" w:hanging="283"/>
        <w:rPr>
          <w:color w:val="000000"/>
          <w:sz w:val="24"/>
          <w:szCs w:val="24"/>
          <w:lang w:eastAsia="da-DK"/>
        </w:rPr>
      </w:pPr>
      <w:r w:rsidRPr="00C845EF">
        <w:rPr>
          <w:color w:val="000000"/>
          <w:sz w:val="24"/>
          <w:szCs w:val="24"/>
          <w:lang w:eastAsia="da-DK"/>
        </w:rPr>
        <w:t>Voksne</w:t>
      </w:r>
      <w:r>
        <w:rPr>
          <w:color w:val="000000"/>
          <w:sz w:val="24"/>
          <w:szCs w:val="24"/>
          <w:lang w:eastAsia="da-DK"/>
        </w:rPr>
        <w:t>,</w:t>
      </w:r>
      <w:r w:rsidRPr="00C845EF">
        <w:rPr>
          <w:color w:val="000000"/>
          <w:sz w:val="24"/>
          <w:szCs w:val="24"/>
          <w:lang w:eastAsia="da-DK"/>
        </w:rPr>
        <w:t xml:space="preserve"> der vejer under 50 kg</w:t>
      </w:r>
    </w:p>
    <w:p w:rsidR="001B1222" w:rsidRPr="00C845EF" w:rsidRDefault="001B1222" w:rsidP="001B1222">
      <w:pPr>
        <w:numPr>
          <w:ilvl w:val="0"/>
          <w:numId w:val="6"/>
        </w:numPr>
        <w:tabs>
          <w:tab w:val="left" w:pos="2909"/>
        </w:tabs>
        <w:autoSpaceDE w:val="0"/>
        <w:autoSpaceDN w:val="0"/>
        <w:adjustRightInd w:val="0"/>
        <w:ind w:left="1134" w:hanging="283"/>
        <w:rPr>
          <w:color w:val="000000"/>
          <w:sz w:val="24"/>
          <w:szCs w:val="24"/>
          <w:lang w:eastAsia="da-DK"/>
        </w:rPr>
      </w:pPr>
      <w:r>
        <w:rPr>
          <w:color w:val="000000"/>
          <w:sz w:val="24"/>
          <w:szCs w:val="24"/>
          <w:lang w:eastAsia="da-DK"/>
        </w:rPr>
        <w:t>Mild</w:t>
      </w:r>
      <w:r w:rsidRPr="00C845EF">
        <w:rPr>
          <w:color w:val="000000"/>
          <w:sz w:val="24"/>
          <w:szCs w:val="24"/>
          <w:lang w:eastAsia="da-DK"/>
        </w:rPr>
        <w:t xml:space="preserve"> til moderat leverinsufficiens, Gilberts syndrom (familiær </w:t>
      </w:r>
      <w:proofErr w:type="spellStart"/>
      <w:r w:rsidRPr="00C845EF">
        <w:rPr>
          <w:color w:val="000000"/>
          <w:sz w:val="24"/>
          <w:szCs w:val="24"/>
          <w:lang w:eastAsia="da-DK"/>
        </w:rPr>
        <w:t>nonhæmolytisk</w:t>
      </w:r>
      <w:proofErr w:type="spellEnd"/>
      <w:r w:rsidRPr="00C845EF">
        <w:rPr>
          <w:color w:val="000000"/>
          <w:sz w:val="24"/>
          <w:szCs w:val="24"/>
          <w:lang w:eastAsia="da-DK"/>
        </w:rPr>
        <w:t xml:space="preserve"> gulsot)</w:t>
      </w:r>
    </w:p>
    <w:p w:rsidR="001B1222" w:rsidRPr="00C845EF" w:rsidRDefault="001B1222" w:rsidP="001B1222">
      <w:pPr>
        <w:numPr>
          <w:ilvl w:val="0"/>
          <w:numId w:val="7"/>
        </w:numPr>
        <w:tabs>
          <w:tab w:val="left" w:pos="2909"/>
        </w:tabs>
        <w:autoSpaceDE w:val="0"/>
        <w:autoSpaceDN w:val="0"/>
        <w:adjustRightInd w:val="0"/>
        <w:ind w:left="1134" w:hanging="283"/>
        <w:rPr>
          <w:color w:val="000000"/>
          <w:sz w:val="24"/>
          <w:szCs w:val="24"/>
          <w:lang w:eastAsia="da-DK"/>
        </w:rPr>
      </w:pPr>
      <w:r>
        <w:rPr>
          <w:color w:val="000000"/>
          <w:sz w:val="24"/>
          <w:szCs w:val="24"/>
          <w:lang w:eastAsia="da-DK"/>
        </w:rPr>
        <w:t>Dehydrering</w:t>
      </w:r>
    </w:p>
    <w:p w:rsidR="001B1222" w:rsidRPr="00C845EF" w:rsidRDefault="001B1222" w:rsidP="001B1222">
      <w:pPr>
        <w:numPr>
          <w:ilvl w:val="0"/>
          <w:numId w:val="7"/>
        </w:numPr>
        <w:tabs>
          <w:tab w:val="left" w:pos="2909"/>
        </w:tabs>
        <w:autoSpaceDE w:val="0"/>
        <w:autoSpaceDN w:val="0"/>
        <w:adjustRightInd w:val="0"/>
        <w:ind w:left="1134" w:hanging="283"/>
        <w:rPr>
          <w:b/>
          <w:color w:val="000000"/>
          <w:sz w:val="24"/>
          <w:szCs w:val="24"/>
          <w:lang w:eastAsia="da-DK"/>
        </w:rPr>
      </w:pPr>
      <w:r w:rsidRPr="00C845EF">
        <w:rPr>
          <w:color w:val="000000"/>
          <w:sz w:val="24"/>
          <w:szCs w:val="24"/>
          <w:lang w:eastAsia="da-DK"/>
        </w:rPr>
        <w:t>Kronisk fejlernæring</w:t>
      </w:r>
    </w:p>
    <w:p w:rsidR="001B1222" w:rsidRPr="00C845EF" w:rsidRDefault="001B1222" w:rsidP="001B1222">
      <w:pPr>
        <w:numPr>
          <w:ilvl w:val="0"/>
          <w:numId w:val="7"/>
        </w:numPr>
        <w:tabs>
          <w:tab w:val="left" w:pos="2909"/>
        </w:tabs>
        <w:autoSpaceDE w:val="0"/>
        <w:autoSpaceDN w:val="0"/>
        <w:adjustRightInd w:val="0"/>
        <w:ind w:left="1134" w:hanging="283"/>
        <w:rPr>
          <w:b/>
          <w:color w:val="000000"/>
          <w:sz w:val="24"/>
          <w:szCs w:val="24"/>
          <w:lang w:eastAsia="da-DK"/>
        </w:rPr>
      </w:pPr>
      <w:r w:rsidRPr="00C845EF">
        <w:rPr>
          <w:color w:val="000000"/>
          <w:sz w:val="24"/>
          <w:szCs w:val="24"/>
          <w:lang w:eastAsia="da-DK"/>
        </w:rPr>
        <w:t>Kronisk alkoholisme</w:t>
      </w:r>
    </w:p>
    <w:p w:rsidR="001B1222" w:rsidRPr="003321D3" w:rsidRDefault="001B1222" w:rsidP="001B1222">
      <w:pPr>
        <w:tabs>
          <w:tab w:val="left" w:pos="2909"/>
        </w:tabs>
        <w:autoSpaceDE w:val="0"/>
        <w:autoSpaceDN w:val="0"/>
        <w:adjustRightInd w:val="0"/>
        <w:ind w:left="1134" w:hanging="283"/>
        <w:rPr>
          <w:iCs/>
          <w:color w:val="000000"/>
          <w:sz w:val="24"/>
          <w:szCs w:val="24"/>
          <w:lang w:eastAsia="da-DK"/>
        </w:rPr>
      </w:pPr>
    </w:p>
    <w:p w:rsidR="001B1222" w:rsidRPr="00B322D3" w:rsidRDefault="001B1222" w:rsidP="001B1222">
      <w:pPr>
        <w:tabs>
          <w:tab w:val="left" w:pos="2909"/>
        </w:tabs>
        <w:ind w:left="1134" w:hanging="283"/>
        <w:rPr>
          <w:b/>
          <w:sz w:val="24"/>
          <w:szCs w:val="24"/>
        </w:rPr>
      </w:pPr>
      <w:r w:rsidRPr="00B322D3">
        <w:rPr>
          <w:b/>
          <w:sz w:val="24"/>
          <w:szCs w:val="24"/>
        </w:rPr>
        <w:t>Administration</w:t>
      </w:r>
    </w:p>
    <w:p w:rsidR="001B1222" w:rsidRPr="00B322D3" w:rsidRDefault="001B1222" w:rsidP="001B1222">
      <w:pPr>
        <w:ind w:left="851"/>
        <w:rPr>
          <w:sz w:val="24"/>
          <w:szCs w:val="24"/>
        </w:rPr>
      </w:pPr>
      <w:r w:rsidRPr="00B322D3">
        <w:rPr>
          <w:sz w:val="24"/>
          <w:szCs w:val="24"/>
        </w:rPr>
        <w:t>Tabletten skal synkes med et stort glas vand.</w:t>
      </w:r>
    </w:p>
    <w:p w:rsidR="001B1222" w:rsidRPr="00B322D3" w:rsidRDefault="001B1222" w:rsidP="001B1222">
      <w:pPr>
        <w:ind w:left="851"/>
        <w:rPr>
          <w:sz w:val="24"/>
          <w:szCs w:val="24"/>
        </w:rPr>
      </w:pPr>
    </w:p>
    <w:p w:rsidR="001B1222" w:rsidRPr="00B322D3" w:rsidRDefault="001B1222" w:rsidP="001B1222">
      <w:pPr>
        <w:ind w:left="851" w:hanging="851"/>
        <w:rPr>
          <w:b/>
          <w:sz w:val="24"/>
          <w:szCs w:val="24"/>
        </w:rPr>
      </w:pPr>
      <w:r w:rsidRPr="00B322D3">
        <w:rPr>
          <w:b/>
          <w:sz w:val="24"/>
          <w:szCs w:val="24"/>
        </w:rPr>
        <w:t>4.3</w:t>
      </w:r>
      <w:r w:rsidRPr="00B322D3">
        <w:rPr>
          <w:b/>
          <w:sz w:val="24"/>
          <w:szCs w:val="24"/>
        </w:rPr>
        <w:tab/>
        <w:t>Kontraindikationer</w:t>
      </w:r>
    </w:p>
    <w:p w:rsidR="001B1222" w:rsidRPr="00B322D3" w:rsidRDefault="001B1222" w:rsidP="001B1222">
      <w:pPr>
        <w:ind w:left="851"/>
        <w:rPr>
          <w:sz w:val="24"/>
          <w:szCs w:val="24"/>
        </w:rPr>
      </w:pPr>
      <w:r w:rsidRPr="00B322D3">
        <w:rPr>
          <w:sz w:val="24"/>
          <w:szCs w:val="24"/>
        </w:rPr>
        <w:t xml:space="preserve">Overfølsomhed over for paracetamol eller over for et eller flere af hjælpestofferne anført i pkt. 6.1. </w:t>
      </w:r>
    </w:p>
    <w:p w:rsidR="001B1222" w:rsidRPr="00B322D3" w:rsidRDefault="001B1222" w:rsidP="001B1222">
      <w:pPr>
        <w:ind w:left="851"/>
        <w:rPr>
          <w:sz w:val="24"/>
          <w:szCs w:val="24"/>
        </w:rPr>
      </w:pPr>
      <w:r w:rsidRPr="00B322D3">
        <w:rPr>
          <w:sz w:val="24"/>
          <w:szCs w:val="24"/>
        </w:rPr>
        <w:t>Anvendelse til børn under 6 år.</w:t>
      </w: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t>4.4</w:t>
      </w:r>
      <w:r w:rsidRPr="00B322D3">
        <w:rPr>
          <w:b/>
          <w:sz w:val="24"/>
          <w:szCs w:val="24"/>
        </w:rPr>
        <w:tab/>
        <w:t>Særlige advarsler og forsigtighedsregler vedrørende brugen</w:t>
      </w:r>
    </w:p>
    <w:p w:rsidR="001B1222" w:rsidRPr="00B322D3" w:rsidRDefault="001B1222" w:rsidP="001B1222">
      <w:pPr>
        <w:autoSpaceDE w:val="0"/>
        <w:adjustRightInd w:val="0"/>
        <w:ind w:left="851"/>
        <w:rPr>
          <w:sz w:val="24"/>
          <w:szCs w:val="24"/>
        </w:rPr>
      </w:pPr>
      <w:r w:rsidRPr="00B322D3">
        <w:rPr>
          <w:sz w:val="24"/>
          <w:szCs w:val="24"/>
        </w:rPr>
        <w:t>Længerevarende eller hyppig anvendelse frarådes.</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rPr>
        <w:t xml:space="preserve">Grundet risikoen for overdosering bør der udvises forsigtighed ved anvendelse af andre lægemidler, der også indeholder paracetamol. </w:t>
      </w:r>
    </w:p>
    <w:p w:rsidR="001B1222" w:rsidRPr="00B322D3" w:rsidRDefault="001B1222" w:rsidP="001B1222">
      <w:pPr>
        <w:ind w:left="851"/>
        <w:rPr>
          <w:i/>
          <w:sz w:val="24"/>
          <w:szCs w:val="24"/>
        </w:rPr>
      </w:pPr>
    </w:p>
    <w:p w:rsidR="001B1222" w:rsidRPr="00B322D3" w:rsidRDefault="001B1222" w:rsidP="001B1222">
      <w:pPr>
        <w:ind w:left="851"/>
        <w:rPr>
          <w:sz w:val="24"/>
          <w:szCs w:val="24"/>
        </w:rPr>
      </w:pPr>
      <w:r w:rsidRPr="00B322D3">
        <w:rPr>
          <w:sz w:val="24"/>
          <w:szCs w:val="24"/>
        </w:rPr>
        <w:t>Indtagelse af højere doser end de anbefalede medfører en risiko for meget alvorlig leverskade. I sådanne tilfælde skal der straks søges læge</w:t>
      </w:r>
      <w:r>
        <w:rPr>
          <w:sz w:val="24"/>
          <w:szCs w:val="24"/>
        </w:rPr>
        <w:t>,</w:t>
      </w:r>
      <w:r w:rsidRPr="000F455A">
        <w:rPr>
          <w:sz w:val="24"/>
          <w:szCs w:val="24"/>
        </w:rPr>
        <w:t xml:space="preserve"> </w:t>
      </w:r>
      <w:r w:rsidRPr="00B322D3">
        <w:rPr>
          <w:sz w:val="24"/>
          <w:szCs w:val="24"/>
        </w:rPr>
        <w:t>også selvom patienten har det godt</w:t>
      </w:r>
      <w:r>
        <w:rPr>
          <w:sz w:val="24"/>
          <w:szCs w:val="24"/>
        </w:rPr>
        <w:t>,</w:t>
      </w:r>
      <w:r w:rsidRPr="00B322D3">
        <w:rPr>
          <w:sz w:val="24"/>
          <w:szCs w:val="24"/>
        </w:rPr>
        <w:t xml:space="preserve"> grundet risikoen for irreversibel leverskade, og behandling med </w:t>
      </w:r>
      <w:proofErr w:type="spellStart"/>
      <w:r w:rsidRPr="00B322D3">
        <w:rPr>
          <w:sz w:val="24"/>
          <w:szCs w:val="24"/>
        </w:rPr>
        <w:t>antidot</w:t>
      </w:r>
      <w:proofErr w:type="spellEnd"/>
      <w:r w:rsidRPr="00B322D3">
        <w:rPr>
          <w:sz w:val="24"/>
          <w:szCs w:val="24"/>
        </w:rPr>
        <w:t xml:space="preserve"> bør gives hurtigst muligt (se pkt. 4.9).</w:t>
      </w:r>
    </w:p>
    <w:p w:rsidR="001B1222" w:rsidRPr="00B322D3" w:rsidRDefault="001B1222" w:rsidP="001B1222">
      <w:pPr>
        <w:ind w:left="851"/>
        <w:rPr>
          <w:sz w:val="24"/>
          <w:szCs w:val="24"/>
        </w:rPr>
      </w:pPr>
    </w:p>
    <w:p w:rsidR="001B1222" w:rsidRPr="00B322D3" w:rsidRDefault="001B1222" w:rsidP="001B1222">
      <w:pPr>
        <w:ind w:left="851"/>
        <w:rPr>
          <w:i/>
          <w:sz w:val="24"/>
          <w:szCs w:val="24"/>
        </w:rPr>
      </w:pPr>
      <w:r w:rsidRPr="00B322D3">
        <w:rPr>
          <w:sz w:val="24"/>
          <w:szCs w:val="24"/>
        </w:rPr>
        <w:t xml:space="preserve">Hos unge personer, der behandles med 60 mg/kg paracetamol daglig, kan kombinationen med et andet </w:t>
      </w:r>
      <w:proofErr w:type="spellStart"/>
      <w:r w:rsidRPr="00B322D3">
        <w:rPr>
          <w:sz w:val="24"/>
          <w:szCs w:val="24"/>
        </w:rPr>
        <w:t>antipyretikum</w:t>
      </w:r>
      <w:proofErr w:type="spellEnd"/>
      <w:r w:rsidRPr="00B322D3">
        <w:rPr>
          <w:sz w:val="24"/>
          <w:szCs w:val="24"/>
        </w:rPr>
        <w:t xml:space="preserve"> ikke berettiges, medmindre der er tale om ineffektivitet.</w:t>
      </w:r>
    </w:p>
    <w:p w:rsidR="001B1222" w:rsidRPr="00B322D3" w:rsidRDefault="001B1222" w:rsidP="001B1222">
      <w:pPr>
        <w:ind w:left="851"/>
        <w:rPr>
          <w:sz w:val="24"/>
          <w:szCs w:val="24"/>
        </w:rPr>
      </w:pPr>
    </w:p>
    <w:p w:rsidR="001B1222" w:rsidRPr="00B322D3" w:rsidRDefault="001B1222" w:rsidP="001B1222">
      <w:pPr>
        <w:autoSpaceDE w:val="0"/>
        <w:adjustRightInd w:val="0"/>
        <w:ind w:left="851"/>
        <w:rPr>
          <w:sz w:val="24"/>
          <w:szCs w:val="24"/>
        </w:rPr>
      </w:pPr>
      <w:r w:rsidRPr="00B322D3">
        <w:rPr>
          <w:sz w:val="24"/>
          <w:szCs w:val="24"/>
        </w:rPr>
        <w:t>Fordele og risici skal opvejes nøje ved anvendelse til patienter med lever- og nyreinsufficiens (</w:t>
      </w:r>
      <w:proofErr w:type="spellStart"/>
      <w:r w:rsidRPr="00B322D3">
        <w:rPr>
          <w:sz w:val="24"/>
          <w:szCs w:val="24"/>
        </w:rPr>
        <w:t>child-Pugh</w:t>
      </w:r>
      <w:proofErr w:type="spellEnd"/>
      <w:r w:rsidRPr="00B322D3">
        <w:rPr>
          <w:sz w:val="24"/>
          <w:szCs w:val="24"/>
        </w:rPr>
        <w:t xml:space="preserve"> &gt; 9), mild til moderat nedsat leverfunktion (inklusive Gilberts syndrom), akut hepatitis, samtidig administration af lægemidler, der påvirker leverfunktionen, glucose-6-phosphatdehyrogenasemangel eller </w:t>
      </w:r>
      <w:proofErr w:type="spellStart"/>
      <w:r w:rsidRPr="00B322D3">
        <w:rPr>
          <w:sz w:val="24"/>
          <w:szCs w:val="24"/>
        </w:rPr>
        <w:t>hæmolytisk</w:t>
      </w:r>
      <w:proofErr w:type="spellEnd"/>
      <w:r w:rsidRPr="00B322D3">
        <w:rPr>
          <w:sz w:val="24"/>
          <w:szCs w:val="24"/>
        </w:rPr>
        <w:t xml:space="preserve"> anæmi.</w:t>
      </w:r>
    </w:p>
    <w:p w:rsidR="001B1222" w:rsidRDefault="001B1222" w:rsidP="001B1222">
      <w:pPr>
        <w:ind w:left="851"/>
        <w:rPr>
          <w:sz w:val="24"/>
          <w:szCs w:val="24"/>
        </w:rPr>
      </w:pPr>
    </w:p>
    <w:p w:rsidR="001B1222" w:rsidRPr="001F4CBE" w:rsidRDefault="001B1222" w:rsidP="001B1222">
      <w:pPr>
        <w:ind w:left="851"/>
        <w:rPr>
          <w:sz w:val="24"/>
          <w:szCs w:val="24"/>
        </w:rPr>
      </w:pPr>
      <w:r w:rsidRPr="001F4CBE">
        <w:rPr>
          <w:sz w:val="24"/>
          <w:szCs w:val="24"/>
        </w:rPr>
        <w:t>Hvis der identificeres akut</w:t>
      </w:r>
      <w:r>
        <w:rPr>
          <w:sz w:val="24"/>
          <w:szCs w:val="24"/>
        </w:rPr>
        <w:t>,</w:t>
      </w:r>
      <w:r w:rsidRPr="001F4CBE">
        <w:rPr>
          <w:sz w:val="24"/>
          <w:szCs w:val="24"/>
        </w:rPr>
        <w:t xml:space="preserve"> viral hepatitis, skal behandlingen seponeres.</w:t>
      </w:r>
    </w:p>
    <w:p w:rsidR="001B1222" w:rsidRPr="00B322D3" w:rsidRDefault="001B1222" w:rsidP="001B1222">
      <w:pPr>
        <w:ind w:left="851"/>
        <w:rPr>
          <w:sz w:val="24"/>
          <w:szCs w:val="24"/>
        </w:rPr>
      </w:pPr>
    </w:p>
    <w:p w:rsidR="001B1222" w:rsidRPr="00B322D3" w:rsidRDefault="001B1222" w:rsidP="001B1222">
      <w:pPr>
        <w:autoSpaceDE w:val="0"/>
        <w:adjustRightInd w:val="0"/>
        <w:ind w:left="851"/>
        <w:rPr>
          <w:sz w:val="24"/>
          <w:szCs w:val="24"/>
        </w:rPr>
      </w:pPr>
      <w:r w:rsidRPr="00B322D3">
        <w:rPr>
          <w:sz w:val="24"/>
          <w:szCs w:val="24"/>
        </w:rPr>
        <w:t>Risikoen for overdosis er større hos personer med ikke-</w:t>
      </w:r>
      <w:proofErr w:type="spellStart"/>
      <w:r w:rsidRPr="00B322D3">
        <w:rPr>
          <w:sz w:val="24"/>
          <w:szCs w:val="24"/>
        </w:rPr>
        <w:t>cirrotiske</w:t>
      </w:r>
      <w:proofErr w:type="spellEnd"/>
      <w:r w:rsidRPr="00B322D3">
        <w:rPr>
          <w:sz w:val="24"/>
          <w:szCs w:val="24"/>
        </w:rPr>
        <w:t xml:space="preserve"> alkoholbetingede leversygdomme.</w:t>
      </w:r>
    </w:p>
    <w:p w:rsidR="001B1222" w:rsidRPr="00B322D3" w:rsidRDefault="001B1222" w:rsidP="001B1222">
      <w:pPr>
        <w:autoSpaceDE w:val="0"/>
        <w:adjustRightInd w:val="0"/>
        <w:ind w:left="851"/>
        <w:rPr>
          <w:sz w:val="24"/>
          <w:szCs w:val="24"/>
        </w:rPr>
      </w:pPr>
      <w:r w:rsidRPr="00B322D3">
        <w:rPr>
          <w:sz w:val="24"/>
          <w:szCs w:val="24"/>
        </w:rPr>
        <w:t>Der bør udvises forsigtighed i tilfælde af kronisk alkoholisme. Der må ikke indtages alkohol i behandlingsperioden. Den daglige dosis bør i sådanne tilfælde ikke overstige 2000 mg.</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rPr>
        <w:t>I tilfælde af høj feber, tegn på sekundær infektion eller vedvarende symptomer i over 3 dage bør der søges læge.</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rPr>
        <w:lastRenderedPageBreak/>
        <w:t>Ved længerevarende brug (&gt; 3 måneder) af enhver type smertestillende hovedpinemedicin kan hovedpine blive værre og hyppigere (medicinoverforbrugshovedpine). Hvis denne tilstand udvikles eller mistænkes, bør hovedpinebehandlingen seponeres i samråd med læge. Medicinoverforbrugshovedpine bør mistænkes hos patienter med hyppige eller daglige hovedpineanfald på trods af (eller på grund af) regelmæssig brug af smertestillende medicin.</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rPr>
        <w:t>Hos patienter med svækket ernæringstilstand på grund af alkoholmisbrug, anoreksi eller dårlig ernæring frarådes kontinuerlig anvendelse og maksimale doser på grund af risikoen for toksiske leverreaktioner.</w:t>
      </w:r>
    </w:p>
    <w:p w:rsidR="001B1222" w:rsidRPr="00B322D3" w:rsidRDefault="001B1222" w:rsidP="001B1222">
      <w:pPr>
        <w:ind w:left="851"/>
        <w:rPr>
          <w:sz w:val="24"/>
          <w:szCs w:val="24"/>
        </w:rPr>
      </w:pPr>
    </w:p>
    <w:p w:rsidR="001B1222" w:rsidRPr="00B322D3" w:rsidRDefault="001B1222" w:rsidP="001B1222">
      <w:pPr>
        <w:autoSpaceDE w:val="0"/>
        <w:adjustRightInd w:val="0"/>
        <w:ind w:left="851"/>
        <w:rPr>
          <w:sz w:val="24"/>
          <w:szCs w:val="24"/>
        </w:rPr>
      </w:pPr>
      <w:r w:rsidRPr="00B322D3">
        <w:rPr>
          <w:sz w:val="24"/>
          <w:szCs w:val="24"/>
        </w:rPr>
        <w:t xml:space="preserve">Det tilrådes at udvise forsigtighed hos astmapatienter, der er følsomme over for acetylsalicylsyre, da der er rapporteret let </w:t>
      </w:r>
      <w:proofErr w:type="spellStart"/>
      <w:r w:rsidRPr="00B322D3">
        <w:rPr>
          <w:sz w:val="24"/>
          <w:szCs w:val="24"/>
        </w:rPr>
        <w:t>bronkospasmereaktion</w:t>
      </w:r>
      <w:proofErr w:type="spellEnd"/>
      <w:r w:rsidRPr="00B322D3">
        <w:rPr>
          <w:sz w:val="24"/>
          <w:szCs w:val="24"/>
        </w:rPr>
        <w:t xml:space="preserve"> med paracetamol (krydsreaktion).</w:t>
      </w:r>
    </w:p>
    <w:p w:rsidR="001B1222" w:rsidRPr="00B322D3" w:rsidRDefault="001B1222" w:rsidP="001B1222">
      <w:pPr>
        <w:ind w:left="851"/>
        <w:rPr>
          <w:sz w:val="24"/>
          <w:szCs w:val="24"/>
        </w:rPr>
      </w:pPr>
    </w:p>
    <w:p w:rsidR="001B1222" w:rsidRDefault="001B1222" w:rsidP="001B1222">
      <w:pPr>
        <w:ind w:left="851"/>
        <w:rPr>
          <w:sz w:val="24"/>
          <w:szCs w:val="24"/>
        </w:rPr>
      </w:pPr>
      <w:r w:rsidRPr="00B322D3">
        <w:rPr>
          <w:sz w:val="24"/>
          <w:szCs w:val="24"/>
        </w:rPr>
        <w:t xml:space="preserve">Generelt kan vanemæssig brug af </w:t>
      </w:r>
      <w:proofErr w:type="spellStart"/>
      <w:r w:rsidRPr="00B322D3">
        <w:rPr>
          <w:sz w:val="24"/>
          <w:szCs w:val="24"/>
        </w:rPr>
        <w:t>analgetika</w:t>
      </w:r>
      <w:proofErr w:type="spellEnd"/>
      <w:r w:rsidRPr="00B322D3">
        <w:rPr>
          <w:sz w:val="24"/>
          <w:szCs w:val="24"/>
        </w:rPr>
        <w:t>, i</w:t>
      </w:r>
      <w:r w:rsidRPr="00B322D3">
        <w:rPr>
          <w:rStyle w:val="st"/>
          <w:sz w:val="24"/>
          <w:szCs w:val="24"/>
        </w:rPr>
        <w:t xml:space="preserve">sær </w:t>
      </w:r>
      <w:r w:rsidRPr="00B322D3">
        <w:rPr>
          <w:sz w:val="24"/>
          <w:szCs w:val="24"/>
        </w:rPr>
        <w:t xml:space="preserve">kombinationen af forskellige </w:t>
      </w:r>
      <w:proofErr w:type="spellStart"/>
      <w:r w:rsidRPr="00B322D3">
        <w:rPr>
          <w:sz w:val="24"/>
          <w:szCs w:val="24"/>
        </w:rPr>
        <w:t>analgetika</w:t>
      </w:r>
      <w:proofErr w:type="spellEnd"/>
      <w:r w:rsidRPr="00B322D3">
        <w:rPr>
          <w:sz w:val="24"/>
          <w:szCs w:val="24"/>
        </w:rPr>
        <w:t xml:space="preserve">, føre til permanent nyrelæsion med risiko for nyresvigt (analgetisk </w:t>
      </w:r>
      <w:proofErr w:type="spellStart"/>
      <w:r w:rsidRPr="00B322D3">
        <w:rPr>
          <w:sz w:val="24"/>
          <w:szCs w:val="24"/>
        </w:rPr>
        <w:t>nefropati</w:t>
      </w:r>
      <w:proofErr w:type="spellEnd"/>
      <w:r w:rsidRPr="00B322D3">
        <w:rPr>
          <w:sz w:val="24"/>
          <w:szCs w:val="24"/>
        </w:rPr>
        <w:t>).</w:t>
      </w:r>
    </w:p>
    <w:p w:rsidR="00452167" w:rsidRPr="0023454C" w:rsidRDefault="00452167" w:rsidP="0023454C">
      <w:pPr>
        <w:ind w:left="851"/>
        <w:rPr>
          <w:sz w:val="24"/>
          <w:szCs w:val="24"/>
        </w:rPr>
      </w:pPr>
    </w:p>
    <w:p w:rsidR="00452167" w:rsidRPr="0023454C" w:rsidRDefault="00452167" w:rsidP="0023454C">
      <w:pPr>
        <w:ind w:left="851"/>
        <w:rPr>
          <w:sz w:val="24"/>
          <w:szCs w:val="24"/>
          <w:lang w:val="nl-BE"/>
        </w:rPr>
      </w:pPr>
      <w:r w:rsidRPr="0023454C">
        <w:rPr>
          <w:sz w:val="24"/>
          <w:szCs w:val="24"/>
          <w:lang w:val="nl-BE"/>
        </w:rPr>
        <w:t>Forsigtighed tilrådes, når paracetamol gives samtidigt med flucloxacillin på grund af den forhøjede risiko for metabolisk acidose med højt anion-gap (HAGMA), særligt for patienter med svært nedsat nyrefunktion, sepsis, fejlernæring og andre kilder til glutathionmangel (f.eks. kronisk alkoholisme), så vel som for dem, der anvender maksimale daglige doser af paracetamol. Tæt monitorering anbefales herunder måling af 5-oxoprolin i urinen.</w:t>
      </w:r>
    </w:p>
    <w:p w:rsidR="001B1222" w:rsidRPr="0023454C" w:rsidRDefault="001B1222" w:rsidP="0023454C">
      <w:pPr>
        <w:ind w:left="851"/>
        <w:rPr>
          <w:sz w:val="24"/>
          <w:szCs w:val="24"/>
        </w:rPr>
      </w:pPr>
    </w:p>
    <w:p w:rsidR="001B1222" w:rsidRPr="00B322D3" w:rsidRDefault="001B1222" w:rsidP="001B1222">
      <w:pPr>
        <w:autoSpaceDE w:val="0"/>
        <w:adjustRightInd w:val="0"/>
        <w:ind w:left="851"/>
        <w:rPr>
          <w:sz w:val="24"/>
          <w:szCs w:val="24"/>
          <w:u w:val="single"/>
        </w:rPr>
      </w:pPr>
      <w:r w:rsidRPr="00B322D3">
        <w:rPr>
          <w:sz w:val="24"/>
          <w:szCs w:val="24"/>
          <w:u w:val="single"/>
        </w:rPr>
        <w:t>Interferens med serologisk testning</w:t>
      </w:r>
    </w:p>
    <w:p w:rsidR="001B1222" w:rsidRPr="00B322D3" w:rsidRDefault="001B1222" w:rsidP="001B1222">
      <w:pPr>
        <w:autoSpaceDE w:val="0"/>
        <w:adjustRightInd w:val="0"/>
        <w:ind w:left="851"/>
        <w:rPr>
          <w:sz w:val="24"/>
          <w:szCs w:val="24"/>
        </w:rPr>
      </w:pPr>
      <w:r w:rsidRPr="00B322D3">
        <w:rPr>
          <w:sz w:val="24"/>
          <w:szCs w:val="24"/>
        </w:rPr>
        <w:t xml:space="preserve">Paracetamol kan påvirke test for urinsyre med </w:t>
      </w:r>
      <w:proofErr w:type="spellStart"/>
      <w:r w:rsidRPr="00B322D3">
        <w:rPr>
          <w:sz w:val="24"/>
          <w:szCs w:val="24"/>
        </w:rPr>
        <w:t>phosphotungstate</w:t>
      </w:r>
      <w:proofErr w:type="spellEnd"/>
      <w:r w:rsidRPr="00B322D3">
        <w:rPr>
          <w:sz w:val="24"/>
          <w:szCs w:val="24"/>
        </w:rPr>
        <w:t xml:space="preserve"> og test for blodsukker med </w:t>
      </w:r>
      <w:proofErr w:type="spellStart"/>
      <w:r w:rsidRPr="00B322D3">
        <w:rPr>
          <w:sz w:val="24"/>
          <w:szCs w:val="24"/>
        </w:rPr>
        <w:t>glucose</w:t>
      </w:r>
      <w:proofErr w:type="spellEnd"/>
      <w:r w:rsidRPr="00B322D3">
        <w:rPr>
          <w:sz w:val="24"/>
          <w:szCs w:val="24"/>
        </w:rPr>
        <w:t xml:space="preserve">-oxydase </w:t>
      </w:r>
      <w:proofErr w:type="spellStart"/>
      <w:r w:rsidRPr="00B322D3">
        <w:rPr>
          <w:sz w:val="24"/>
          <w:szCs w:val="24"/>
        </w:rPr>
        <w:t>peroxydase</w:t>
      </w:r>
      <w:proofErr w:type="spellEnd"/>
      <w:r w:rsidRPr="00B322D3">
        <w:rPr>
          <w:sz w:val="24"/>
          <w:szCs w:val="24"/>
        </w:rPr>
        <w:t>.</w:t>
      </w:r>
    </w:p>
    <w:p w:rsidR="001B1222" w:rsidRPr="00B322D3" w:rsidRDefault="001B1222" w:rsidP="001B1222">
      <w:pPr>
        <w:ind w:left="851"/>
        <w:rPr>
          <w:sz w:val="24"/>
          <w:szCs w:val="24"/>
        </w:rPr>
      </w:pPr>
    </w:p>
    <w:p w:rsidR="001B1222" w:rsidRPr="00B322D3" w:rsidRDefault="001B1222" w:rsidP="001B1222">
      <w:pPr>
        <w:ind w:left="851" w:hanging="851"/>
        <w:rPr>
          <w:b/>
          <w:sz w:val="24"/>
          <w:szCs w:val="24"/>
        </w:rPr>
      </w:pPr>
      <w:r w:rsidRPr="00B322D3">
        <w:rPr>
          <w:b/>
          <w:sz w:val="24"/>
          <w:szCs w:val="24"/>
        </w:rPr>
        <w:t>4.5</w:t>
      </w:r>
      <w:r w:rsidRPr="00B322D3">
        <w:rPr>
          <w:b/>
          <w:sz w:val="24"/>
          <w:szCs w:val="24"/>
        </w:rPr>
        <w:tab/>
        <w:t>Interaktion med andre lægemidler og andre former for interaktion</w:t>
      </w:r>
    </w:p>
    <w:p w:rsidR="001B1222" w:rsidRPr="00B322D3" w:rsidRDefault="001B1222" w:rsidP="001B1222">
      <w:pPr>
        <w:ind w:left="851"/>
        <w:rPr>
          <w:sz w:val="24"/>
          <w:szCs w:val="24"/>
        </w:rPr>
      </w:pPr>
      <w:proofErr w:type="spellStart"/>
      <w:r w:rsidRPr="00B322D3">
        <w:rPr>
          <w:sz w:val="24"/>
          <w:szCs w:val="24"/>
        </w:rPr>
        <w:t>Metoclopramid</w:t>
      </w:r>
      <w:proofErr w:type="spellEnd"/>
      <w:r w:rsidRPr="00B322D3">
        <w:rPr>
          <w:sz w:val="24"/>
          <w:szCs w:val="24"/>
        </w:rPr>
        <w:t xml:space="preserve"> og </w:t>
      </w:r>
      <w:proofErr w:type="spellStart"/>
      <w:r w:rsidRPr="00B322D3">
        <w:rPr>
          <w:sz w:val="24"/>
          <w:szCs w:val="24"/>
        </w:rPr>
        <w:t>domperidon</w:t>
      </w:r>
      <w:proofErr w:type="spellEnd"/>
      <w:r w:rsidRPr="00B322D3">
        <w:rPr>
          <w:sz w:val="24"/>
          <w:szCs w:val="24"/>
        </w:rPr>
        <w:t xml:space="preserve"> kan øge absorptionshastigheden af paracetamol (marginalt klinisk relevant).</w:t>
      </w:r>
    </w:p>
    <w:p w:rsidR="001B1222" w:rsidRPr="00B322D3" w:rsidRDefault="001B1222" w:rsidP="001B1222">
      <w:pPr>
        <w:ind w:left="851"/>
        <w:rPr>
          <w:sz w:val="24"/>
          <w:szCs w:val="24"/>
        </w:rPr>
      </w:pPr>
    </w:p>
    <w:p w:rsidR="001B1222" w:rsidRPr="00B322D3" w:rsidRDefault="001B1222" w:rsidP="001B1222">
      <w:pPr>
        <w:ind w:left="851"/>
        <w:rPr>
          <w:sz w:val="24"/>
          <w:szCs w:val="24"/>
        </w:rPr>
      </w:pPr>
      <w:proofErr w:type="spellStart"/>
      <w:r w:rsidRPr="00B322D3">
        <w:rPr>
          <w:sz w:val="24"/>
          <w:szCs w:val="24"/>
        </w:rPr>
        <w:t>Cholestyramin</w:t>
      </w:r>
      <w:proofErr w:type="spellEnd"/>
      <w:r w:rsidRPr="00B322D3">
        <w:rPr>
          <w:sz w:val="24"/>
          <w:szCs w:val="24"/>
        </w:rPr>
        <w:t xml:space="preserve"> reducerer absorptionen af paracetamol. </w:t>
      </w:r>
      <w:proofErr w:type="spellStart"/>
      <w:r w:rsidRPr="00B322D3">
        <w:rPr>
          <w:sz w:val="24"/>
          <w:szCs w:val="24"/>
        </w:rPr>
        <w:t>Paradol</w:t>
      </w:r>
      <w:proofErr w:type="spellEnd"/>
      <w:r w:rsidRPr="00B322D3">
        <w:rPr>
          <w:sz w:val="24"/>
          <w:szCs w:val="24"/>
        </w:rPr>
        <w:t xml:space="preserve"> bør administreres mindst 1 time før eller 4-6 timer efter </w:t>
      </w:r>
      <w:proofErr w:type="spellStart"/>
      <w:r w:rsidRPr="00B322D3">
        <w:rPr>
          <w:sz w:val="24"/>
          <w:szCs w:val="24"/>
        </w:rPr>
        <w:t>colestyramin</w:t>
      </w:r>
      <w:proofErr w:type="spellEnd"/>
      <w:r w:rsidRPr="00B322D3">
        <w:rPr>
          <w:sz w:val="24"/>
          <w:szCs w:val="24"/>
        </w:rPr>
        <w:t xml:space="preserve">. </w:t>
      </w:r>
    </w:p>
    <w:p w:rsidR="001B1222" w:rsidRPr="00B322D3" w:rsidRDefault="001B1222" w:rsidP="001B1222">
      <w:pPr>
        <w:autoSpaceDE w:val="0"/>
        <w:adjustRightInd w:val="0"/>
        <w:ind w:left="851"/>
        <w:rPr>
          <w:sz w:val="24"/>
          <w:szCs w:val="24"/>
        </w:rPr>
      </w:pPr>
    </w:p>
    <w:p w:rsidR="001B1222" w:rsidRPr="00B322D3" w:rsidRDefault="001B1222" w:rsidP="001B1222">
      <w:pPr>
        <w:autoSpaceDE w:val="0"/>
        <w:adjustRightInd w:val="0"/>
        <w:ind w:left="851"/>
        <w:rPr>
          <w:sz w:val="24"/>
          <w:szCs w:val="24"/>
        </w:rPr>
      </w:pPr>
      <w:r w:rsidRPr="00B322D3">
        <w:rPr>
          <w:sz w:val="24"/>
          <w:szCs w:val="24"/>
        </w:rPr>
        <w:t xml:space="preserve">Paracetamol </w:t>
      </w:r>
      <w:proofErr w:type="spellStart"/>
      <w:r w:rsidRPr="00B322D3">
        <w:rPr>
          <w:sz w:val="24"/>
          <w:szCs w:val="24"/>
        </w:rPr>
        <w:t>metaboliseres</w:t>
      </w:r>
      <w:proofErr w:type="spellEnd"/>
      <w:r w:rsidRPr="00B322D3">
        <w:rPr>
          <w:sz w:val="24"/>
          <w:szCs w:val="24"/>
        </w:rPr>
        <w:t xml:space="preserve"> i stor udstrækning i leveren og kan derfor interagere med lægemidler, som har samme </w:t>
      </w:r>
      <w:proofErr w:type="spellStart"/>
      <w:r w:rsidRPr="00B322D3">
        <w:rPr>
          <w:sz w:val="24"/>
          <w:szCs w:val="24"/>
        </w:rPr>
        <w:t>metaboliseringsvej</w:t>
      </w:r>
      <w:proofErr w:type="spellEnd"/>
      <w:r w:rsidRPr="00B322D3">
        <w:rPr>
          <w:sz w:val="24"/>
          <w:szCs w:val="24"/>
        </w:rPr>
        <w:t xml:space="preserve"> eller som kan hæmme/inducere de samme </w:t>
      </w:r>
      <w:proofErr w:type="spellStart"/>
      <w:r w:rsidRPr="00B322D3">
        <w:rPr>
          <w:sz w:val="24"/>
          <w:szCs w:val="24"/>
        </w:rPr>
        <w:t>metaboliseringsveje</w:t>
      </w:r>
      <w:proofErr w:type="spellEnd"/>
      <w:r w:rsidRPr="00B322D3">
        <w:rPr>
          <w:sz w:val="24"/>
          <w:szCs w:val="24"/>
        </w:rPr>
        <w:t>.</w:t>
      </w:r>
    </w:p>
    <w:p w:rsidR="001B1222" w:rsidRPr="00B322D3" w:rsidRDefault="001B1222" w:rsidP="001B1222">
      <w:pPr>
        <w:ind w:left="851"/>
        <w:rPr>
          <w:sz w:val="24"/>
          <w:szCs w:val="24"/>
        </w:rPr>
      </w:pPr>
    </w:p>
    <w:p w:rsidR="001B1222" w:rsidRPr="00B322D3" w:rsidRDefault="001B1222" w:rsidP="001B1222">
      <w:pPr>
        <w:tabs>
          <w:tab w:val="left" w:pos="0"/>
          <w:tab w:val="left" w:pos="851"/>
        </w:tabs>
        <w:ind w:left="851"/>
        <w:rPr>
          <w:sz w:val="24"/>
          <w:szCs w:val="24"/>
        </w:rPr>
      </w:pPr>
      <w:r w:rsidRPr="00B322D3">
        <w:rPr>
          <w:sz w:val="24"/>
          <w:szCs w:val="24"/>
        </w:rPr>
        <w:t xml:space="preserve">Kronisk brug af alkohol eller stoffer med enzyminducerende effekt, f.eks. </w:t>
      </w:r>
      <w:proofErr w:type="spellStart"/>
      <w:r w:rsidRPr="00B322D3">
        <w:rPr>
          <w:sz w:val="24"/>
          <w:szCs w:val="24"/>
        </w:rPr>
        <w:t>rifampicin</w:t>
      </w:r>
      <w:proofErr w:type="spellEnd"/>
      <w:r w:rsidRPr="00B322D3">
        <w:rPr>
          <w:sz w:val="24"/>
          <w:szCs w:val="24"/>
        </w:rPr>
        <w:t xml:space="preserve">, barbiturater, nogle antiepileptiske stoffer (f.eks. </w:t>
      </w:r>
      <w:proofErr w:type="spellStart"/>
      <w:r w:rsidRPr="00B322D3">
        <w:rPr>
          <w:sz w:val="24"/>
          <w:szCs w:val="24"/>
        </w:rPr>
        <w:t>fenytoin</w:t>
      </w:r>
      <w:proofErr w:type="spellEnd"/>
      <w:r w:rsidRPr="00B322D3">
        <w:rPr>
          <w:sz w:val="24"/>
          <w:szCs w:val="24"/>
        </w:rPr>
        <w:t xml:space="preserve">, </w:t>
      </w:r>
      <w:proofErr w:type="spellStart"/>
      <w:r w:rsidRPr="00B322D3">
        <w:rPr>
          <w:sz w:val="24"/>
          <w:szCs w:val="24"/>
        </w:rPr>
        <w:t>carbamazepin</w:t>
      </w:r>
      <w:proofErr w:type="spellEnd"/>
      <w:r w:rsidRPr="00B322D3">
        <w:rPr>
          <w:sz w:val="24"/>
          <w:szCs w:val="24"/>
        </w:rPr>
        <w:t xml:space="preserve">, </w:t>
      </w:r>
      <w:proofErr w:type="spellStart"/>
      <w:r w:rsidRPr="00B322D3">
        <w:rPr>
          <w:sz w:val="24"/>
          <w:szCs w:val="24"/>
        </w:rPr>
        <w:t>phenobarbital</w:t>
      </w:r>
      <w:proofErr w:type="spellEnd"/>
      <w:r w:rsidRPr="00B322D3">
        <w:rPr>
          <w:sz w:val="24"/>
          <w:szCs w:val="24"/>
        </w:rPr>
        <w:t xml:space="preserve">, </w:t>
      </w:r>
      <w:proofErr w:type="spellStart"/>
      <w:r w:rsidRPr="00B322D3">
        <w:rPr>
          <w:sz w:val="24"/>
          <w:szCs w:val="24"/>
        </w:rPr>
        <w:t>primidon</w:t>
      </w:r>
      <w:proofErr w:type="spellEnd"/>
      <w:r w:rsidRPr="00B322D3">
        <w:rPr>
          <w:sz w:val="24"/>
          <w:szCs w:val="24"/>
        </w:rPr>
        <w:t xml:space="preserve">) og perikon, reducerer biotilgængeligheden af paracetamol gennem øget </w:t>
      </w:r>
      <w:proofErr w:type="spellStart"/>
      <w:r w:rsidRPr="00B322D3">
        <w:rPr>
          <w:sz w:val="24"/>
          <w:szCs w:val="24"/>
        </w:rPr>
        <w:t>glukuronidering</w:t>
      </w:r>
      <w:proofErr w:type="spellEnd"/>
      <w:r w:rsidRPr="00B322D3">
        <w:rPr>
          <w:sz w:val="24"/>
          <w:szCs w:val="24"/>
        </w:rPr>
        <w:t xml:space="preserve"> og</w:t>
      </w:r>
      <w:r w:rsidRPr="00B322D3" w:rsidDel="009A2B35">
        <w:rPr>
          <w:sz w:val="24"/>
          <w:szCs w:val="24"/>
        </w:rPr>
        <w:t xml:space="preserve"> </w:t>
      </w:r>
      <w:r w:rsidRPr="00B322D3">
        <w:rPr>
          <w:sz w:val="24"/>
          <w:szCs w:val="24"/>
        </w:rPr>
        <w:t xml:space="preserve">øger risikoen for </w:t>
      </w:r>
      <w:proofErr w:type="spellStart"/>
      <w:r w:rsidRPr="00B322D3">
        <w:rPr>
          <w:sz w:val="24"/>
          <w:szCs w:val="24"/>
        </w:rPr>
        <w:t>hepatotoksicitet</w:t>
      </w:r>
      <w:proofErr w:type="spellEnd"/>
      <w:r w:rsidRPr="00B322D3">
        <w:rPr>
          <w:sz w:val="24"/>
          <w:szCs w:val="24"/>
        </w:rPr>
        <w:t>. Det er derfor nødvendigt at udvise forsigtighed ved samtidig brug af enzyminducerende stoffer.</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rPr>
        <w:t xml:space="preserve">Ved samtidig administration af </w:t>
      </w:r>
      <w:proofErr w:type="spellStart"/>
      <w:r w:rsidRPr="00B322D3">
        <w:rPr>
          <w:sz w:val="24"/>
          <w:szCs w:val="24"/>
        </w:rPr>
        <w:t>probenecid</w:t>
      </w:r>
      <w:proofErr w:type="spellEnd"/>
      <w:r w:rsidRPr="00B322D3">
        <w:rPr>
          <w:sz w:val="24"/>
          <w:szCs w:val="24"/>
        </w:rPr>
        <w:t xml:space="preserve"> bør der overvejes dosisreduktion, da </w:t>
      </w:r>
      <w:proofErr w:type="spellStart"/>
      <w:r w:rsidRPr="00B322D3">
        <w:rPr>
          <w:sz w:val="24"/>
          <w:szCs w:val="24"/>
        </w:rPr>
        <w:t>probenecid</w:t>
      </w:r>
      <w:proofErr w:type="spellEnd"/>
      <w:r w:rsidRPr="00B322D3">
        <w:rPr>
          <w:sz w:val="24"/>
          <w:szCs w:val="24"/>
        </w:rPr>
        <w:t xml:space="preserve"> reducerer </w:t>
      </w:r>
      <w:proofErr w:type="spellStart"/>
      <w:r w:rsidRPr="00B322D3">
        <w:rPr>
          <w:sz w:val="24"/>
          <w:szCs w:val="24"/>
        </w:rPr>
        <w:t>clearance</w:t>
      </w:r>
      <w:proofErr w:type="spellEnd"/>
      <w:r w:rsidRPr="00B322D3">
        <w:rPr>
          <w:sz w:val="24"/>
          <w:szCs w:val="24"/>
        </w:rPr>
        <w:t xml:space="preserve"> af paracetamol med næsten halvdelen ved at hæmme konjugation med </w:t>
      </w:r>
      <w:proofErr w:type="spellStart"/>
      <w:r w:rsidRPr="00B322D3">
        <w:rPr>
          <w:sz w:val="24"/>
          <w:szCs w:val="24"/>
        </w:rPr>
        <w:t>glukuronsyre</w:t>
      </w:r>
      <w:proofErr w:type="spellEnd"/>
      <w:r w:rsidRPr="00B322D3">
        <w:rPr>
          <w:sz w:val="24"/>
          <w:szCs w:val="24"/>
        </w:rPr>
        <w:t xml:space="preserve">. Hvis </w:t>
      </w:r>
      <w:proofErr w:type="spellStart"/>
      <w:r w:rsidRPr="00B322D3">
        <w:rPr>
          <w:sz w:val="24"/>
          <w:szCs w:val="24"/>
        </w:rPr>
        <w:t>probenecid</w:t>
      </w:r>
      <w:proofErr w:type="spellEnd"/>
      <w:r w:rsidRPr="00B322D3">
        <w:rPr>
          <w:sz w:val="24"/>
          <w:szCs w:val="24"/>
        </w:rPr>
        <w:t xml:space="preserve"> tages samtidigt, bør der overvejes dosisreduktion af paracetamol.</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rPr>
        <w:lastRenderedPageBreak/>
        <w:t xml:space="preserve">Paracetamol kan øge plasmakoncentrationen af </w:t>
      </w:r>
      <w:proofErr w:type="spellStart"/>
      <w:r w:rsidRPr="00B322D3">
        <w:rPr>
          <w:sz w:val="24"/>
          <w:szCs w:val="24"/>
        </w:rPr>
        <w:t>kloramfenikol</w:t>
      </w:r>
      <w:proofErr w:type="spellEnd"/>
      <w:r w:rsidRPr="00B322D3">
        <w:rPr>
          <w:sz w:val="24"/>
          <w:szCs w:val="24"/>
        </w:rPr>
        <w:t>.</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rPr>
        <w:t xml:space="preserve">Ved vedvarende samtidig brug af paracetamol og </w:t>
      </w:r>
      <w:proofErr w:type="spellStart"/>
      <w:r w:rsidRPr="00B322D3">
        <w:rPr>
          <w:sz w:val="24"/>
          <w:szCs w:val="24"/>
        </w:rPr>
        <w:t>zidovudin</w:t>
      </w:r>
      <w:proofErr w:type="spellEnd"/>
      <w:r w:rsidRPr="00B322D3">
        <w:rPr>
          <w:sz w:val="24"/>
          <w:szCs w:val="24"/>
        </w:rPr>
        <w:t xml:space="preserve"> forekommer der ofte </w:t>
      </w:r>
      <w:proofErr w:type="spellStart"/>
      <w:r w:rsidRPr="00B322D3">
        <w:rPr>
          <w:sz w:val="24"/>
          <w:szCs w:val="24"/>
        </w:rPr>
        <w:t>neutropeni</w:t>
      </w:r>
      <w:proofErr w:type="spellEnd"/>
      <w:r w:rsidRPr="00B322D3">
        <w:rPr>
          <w:sz w:val="24"/>
          <w:szCs w:val="24"/>
        </w:rPr>
        <w:t xml:space="preserve">, sandsynligvis på grund af </w:t>
      </w:r>
      <w:proofErr w:type="spellStart"/>
      <w:r w:rsidRPr="00B322D3">
        <w:rPr>
          <w:sz w:val="24"/>
          <w:szCs w:val="24"/>
        </w:rPr>
        <w:t>zidovudins</w:t>
      </w:r>
      <w:proofErr w:type="spellEnd"/>
      <w:r w:rsidRPr="00B322D3">
        <w:rPr>
          <w:sz w:val="24"/>
          <w:szCs w:val="24"/>
        </w:rPr>
        <w:t xml:space="preserve"> reducerende metabolisme.</w:t>
      </w:r>
    </w:p>
    <w:p w:rsidR="001B1222" w:rsidRPr="00B322D3" w:rsidRDefault="001B1222" w:rsidP="001B1222">
      <w:pPr>
        <w:ind w:left="851"/>
        <w:rPr>
          <w:sz w:val="24"/>
          <w:szCs w:val="24"/>
        </w:rPr>
      </w:pPr>
    </w:p>
    <w:p w:rsidR="001B1222" w:rsidRPr="00B322D3" w:rsidRDefault="001B1222" w:rsidP="001B1222">
      <w:pPr>
        <w:pStyle w:val="Sidehoved"/>
        <w:ind w:left="851"/>
        <w:rPr>
          <w:szCs w:val="24"/>
        </w:rPr>
      </w:pPr>
      <w:r w:rsidRPr="00B322D3">
        <w:rPr>
          <w:szCs w:val="24"/>
        </w:rPr>
        <w:t>Salicylamid kan øge eliminationshalveringstiden af paracetamol.</w:t>
      </w:r>
    </w:p>
    <w:p w:rsidR="001B1222" w:rsidRPr="00B322D3" w:rsidRDefault="001B1222" w:rsidP="001B1222">
      <w:pPr>
        <w:ind w:left="851"/>
        <w:rPr>
          <w:sz w:val="24"/>
          <w:szCs w:val="24"/>
        </w:rPr>
      </w:pPr>
    </w:p>
    <w:p w:rsidR="001B1222" w:rsidRPr="00B322D3" w:rsidRDefault="001B1222" w:rsidP="001B1222">
      <w:pPr>
        <w:pStyle w:val="Sidehoved"/>
        <w:ind w:left="851"/>
        <w:rPr>
          <w:szCs w:val="24"/>
        </w:rPr>
      </w:pPr>
      <w:r w:rsidRPr="00B322D3">
        <w:rPr>
          <w:szCs w:val="24"/>
        </w:rPr>
        <w:tab/>
        <w:t xml:space="preserve">Ved at hæmme paracetamols metabolisme i leveren reducerer </w:t>
      </w:r>
      <w:proofErr w:type="spellStart"/>
      <w:r w:rsidRPr="00B322D3">
        <w:rPr>
          <w:szCs w:val="24"/>
        </w:rPr>
        <w:t>isoniazid</w:t>
      </w:r>
      <w:proofErr w:type="spellEnd"/>
      <w:r w:rsidRPr="00B322D3">
        <w:rPr>
          <w:szCs w:val="24"/>
        </w:rPr>
        <w:t xml:space="preserve"> paracetamols </w:t>
      </w:r>
      <w:proofErr w:type="spellStart"/>
      <w:r w:rsidRPr="00B322D3">
        <w:rPr>
          <w:szCs w:val="24"/>
        </w:rPr>
        <w:t>clearance</w:t>
      </w:r>
      <w:proofErr w:type="spellEnd"/>
      <w:r w:rsidRPr="00B322D3">
        <w:rPr>
          <w:szCs w:val="24"/>
        </w:rPr>
        <w:t>, med mulig forstærkning af virkning og/eller toksicitet.</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rPr>
        <w:t xml:space="preserve">Paracetamol kan nedsætte biotilgængeligheden af </w:t>
      </w:r>
      <w:proofErr w:type="spellStart"/>
      <w:r w:rsidRPr="00B322D3">
        <w:rPr>
          <w:sz w:val="24"/>
          <w:szCs w:val="24"/>
        </w:rPr>
        <w:t>lamotrigin</w:t>
      </w:r>
      <w:proofErr w:type="spellEnd"/>
      <w:r w:rsidRPr="00B322D3">
        <w:rPr>
          <w:sz w:val="24"/>
          <w:szCs w:val="24"/>
        </w:rPr>
        <w:t>, med mulig nedsat effekt på grund af mulig induktion af dens metabolisme i leveren.</w:t>
      </w:r>
    </w:p>
    <w:p w:rsidR="001B1222" w:rsidRPr="00B322D3" w:rsidRDefault="001B1222" w:rsidP="001B1222">
      <w:pPr>
        <w:ind w:left="851"/>
        <w:rPr>
          <w:sz w:val="24"/>
          <w:szCs w:val="24"/>
        </w:rPr>
      </w:pPr>
    </w:p>
    <w:p w:rsidR="001B1222" w:rsidRDefault="001B1222" w:rsidP="001B1222">
      <w:pPr>
        <w:ind w:left="851"/>
        <w:rPr>
          <w:sz w:val="24"/>
          <w:szCs w:val="24"/>
        </w:rPr>
      </w:pPr>
      <w:proofErr w:type="spellStart"/>
      <w:r w:rsidRPr="00B322D3">
        <w:rPr>
          <w:sz w:val="24"/>
          <w:szCs w:val="24"/>
        </w:rPr>
        <w:t>Warfarins</w:t>
      </w:r>
      <w:proofErr w:type="spellEnd"/>
      <w:r w:rsidRPr="00B322D3">
        <w:rPr>
          <w:sz w:val="24"/>
          <w:szCs w:val="24"/>
        </w:rPr>
        <w:t xml:space="preserve"> og andre </w:t>
      </w:r>
      <w:proofErr w:type="spellStart"/>
      <w:r w:rsidRPr="00B322D3">
        <w:rPr>
          <w:sz w:val="24"/>
          <w:szCs w:val="24"/>
        </w:rPr>
        <w:t>coumariners</w:t>
      </w:r>
      <w:proofErr w:type="spellEnd"/>
      <w:r w:rsidRPr="00B322D3">
        <w:rPr>
          <w:sz w:val="24"/>
          <w:szCs w:val="24"/>
        </w:rPr>
        <w:t xml:space="preserve"> antikoagulerende virkning kan blive forstærket ved længerevarende, regelmæssigt, dagligt indtag af paracetamol. Dette medfører en øget blødningsrisiko. Lejlighedsvis indtag havde ingen signifikant effekt.</w:t>
      </w:r>
    </w:p>
    <w:p w:rsidR="00452167" w:rsidRPr="0023454C" w:rsidRDefault="00452167" w:rsidP="0023454C">
      <w:pPr>
        <w:ind w:left="851"/>
        <w:rPr>
          <w:sz w:val="24"/>
          <w:szCs w:val="24"/>
        </w:rPr>
      </w:pPr>
    </w:p>
    <w:p w:rsidR="00452167" w:rsidRPr="0023454C" w:rsidRDefault="00452167" w:rsidP="0023454C">
      <w:pPr>
        <w:ind w:left="851"/>
        <w:rPr>
          <w:sz w:val="24"/>
          <w:szCs w:val="24"/>
          <w:lang w:val="nl-BE"/>
        </w:rPr>
      </w:pPr>
      <w:r w:rsidRPr="0023454C">
        <w:rPr>
          <w:sz w:val="24"/>
          <w:szCs w:val="24"/>
          <w:lang w:val="nl-BE"/>
        </w:rPr>
        <w:t xml:space="preserve">Der bør udvises forsigtighed, når paracetamol anvendes samtidig med flucloxacillin, idet samtidig brug kan være forbundet med metabolisk acidose med højt anion-gap, særligt hos patienter med risikofaktorer (se </w:t>
      </w:r>
      <w:r w:rsidR="0023454C">
        <w:rPr>
          <w:sz w:val="24"/>
          <w:szCs w:val="24"/>
          <w:lang w:val="nl-BE"/>
        </w:rPr>
        <w:t>pkt.</w:t>
      </w:r>
      <w:r w:rsidRPr="0023454C">
        <w:rPr>
          <w:sz w:val="24"/>
          <w:szCs w:val="24"/>
          <w:lang w:val="nl-BE"/>
        </w:rPr>
        <w:t xml:space="preserve"> 4.4).</w:t>
      </w:r>
    </w:p>
    <w:p w:rsidR="001B1222" w:rsidRPr="0023454C" w:rsidRDefault="001B1222" w:rsidP="0023454C">
      <w:pPr>
        <w:ind w:left="851"/>
        <w:rPr>
          <w:sz w:val="24"/>
          <w:szCs w:val="24"/>
        </w:rPr>
      </w:pPr>
    </w:p>
    <w:p w:rsidR="001B1222" w:rsidRPr="00B322D3" w:rsidRDefault="001B1222" w:rsidP="001B1222">
      <w:pPr>
        <w:ind w:left="851" w:hanging="851"/>
        <w:rPr>
          <w:b/>
          <w:sz w:val="24"/>
          <w:szCs w:val="24"/>
        </w:rPr>
      </w:pPr>
      <w:r w:rsidRPr="00B322D3">
        <w:rPr>
          <w:b/>
          <w:sz w:val="24"/>
          <w:szCs w:val="24"/>
        </w:rPr>
        <w:t>4.6</w:t>
      </w:r>
      <w:r w:rsidRPr="00B322D3">
        <w:rPr>
          <w:b/>
          <w:sz w:val="24"/>
          <w:szCs w:val="24"/>
        </w:rPr>
        <w:tab/>
        <w:t>Graviditet og amning</w:t>
      </w:r>
    </w:p>
    <w:p w:rsidR="001B1222" w:rsidRPr="003B4EC4" w:rsidRDefault="001B1222" w:rsidP="003B4EC4">
      <w:pPr>
        <w:ind w:left="851"/>
        <w:rPr>
          <w:sz w:val="24"/>
          <w:szCs w:val="24"/>
          <w:u w:val="single"/>
        </w:rPr>
      </w:pPr>
    </w:p>
    <w:p w:rsidR="007B4FF1" w:rsidRPr="003B4EC4" w:rsidRDefault="007B4FF1" w:rsidP="003B4EC4">
      <w:pPr>
        <w:pStyle w:val="Brdtekst"/>
        <w:spacing w:line="253" w:lineRule="exact"/>
        <w:ind w:left="851"/>
        <w:rPr>
          <w:sz w:val="24"/>
          <w:szCs w:val="24"/>
          <w:u w:val="single" w:color="000000"/>
          <w:lang w:val="da-DK"/>
        </w:rPr>
      </w:pPr>
      <w:r w:rsidRPr="003B4EC4">
        <w:rPr>
          <w:sz w:val="24"/>
          <w:szCs w:val="24"/>
          <w:u w:val="single" w:color="000000"/>
          <w:lang w:val="da-DK"/>
        </w:rPr>
        <w:t>Graviditet</w:t>
      </w:r>
    </w:p>
    <w:p w:rsidR="007B4FF1" w:rsidRPr="003B4EC4" w:rsidRDefault="007B4FF1" w:rsidP="003B4EC4">
      <w:pPr>
        <w:pStyle w:val="Brdtekst"/>
        <w:spacing w:line="253" w:lineRule="exact"/>
        <w:ind w:left="851"/>
        <w:rPr>
          <w:spacing w:val="43"/>
          <w:w w:val="99"/>
          <w:sz w:val="24"/>
          <w:szCs w:val="24"/>
          <w:lang w:val="da-DK"/>
        </w:rPr>
      </w:pPr>
      <w:r w:rsidRPr="003B4EC4">
        <w:rPr>
          <w:sz w:val="24"/>
          <w:szCs w:val="24"/>
          <w:lang w:val="da-DK"/>
        </w:rPr>
        <w:t xml:space="preserve">En stor mængde data for gravide kvinder peger hverken på risiko for misdannelser eller toksicitet hos fosteret/den nyfødte. Epidemiologiske studier af den neurologiske udvikling hos børn, der eksponeres for paracetamol i uterus, viser </w:t>
      </w:r>
      <w:proofErr w:type="spellStart"/>
      <w:r w:rsidRPr="003B4EC4">
        <w:rPr>
          <w:sz w:val="24"/>
          <w:szCs w:val="24"/>
          <w:lang w:val="da-DK"/>
        </w:rPr>
        <w:t>inkonklusive</w:t>
      </w:r>
      <w:proofErr w:type="spellEnd"/>
      <w:r w:rsidRPr="003B4EC4">
        <w:rPr>
          <w:sz w:val="24"/>
          <w:szCs w:val="24"/>
          <w:lang w:val="da-DK"/>
        </w:rPr>
        <w:t xml:space="preserve"> resultater. Paracetamol kan anvendes under graviditet, hvis det er klinisk indiceret, men bør tages i den laveste effektive dosis, så kort tid som muligt og med lavest mulige hyppighed.</w:t>
      </w:r>
      <w:r w:rsidRPr="003B4EC4">
        <w:rPr>
          <w:spacing w:val="43"/>
          <w:w w:val="99"/>
          <w:sz w:val="24"/>
          <w:szCs w:val="24"/>
          <w:lang w:val="da-DK"/>
        </w:rPr>
        <w:t xml:space="preserve"> </w:t>
      </w:r>
    </w:p>
    <w:p w:rsidR="001B1222" w:rsidRPr="003B4EC4" w:rsidRDefault="001B1222" w:rsidP="003B4EC4">
      <w:pPr>
        <w:ind w:left="851"/>
        <w:rPr>
          <w:sz w:val="24"/>
          <w:szCs w:val="24"/>
        </w:rPr>
      </w:pPr>
    </w:p>
    <w:p w:rsidR="001B1222" w:rsidRPr="003B4EC4" w:rsidRDefault="001B1222" w:rsidP="003B4EC4">
      <w:pPr>
        <w:ind w:left="851"/>
        <w:rPr>
          <w:sz w:val="24"/>
          <w:szCs w:val="24"/>
          <w:u w:val="single"/>
        </w:rPr>
      </w:pPr>
      <w:r w:rsidRPr="003B4EC4">
        <w:rPr>
          <w:sz w:val="24"/>
          <w:szCs w:val="24"/>
          <w:u w:val="single"/>
        </w:rPr>
        <w:t xml:space="preserve">Amning </w:t>
      </w:r>
    </w:p>
    <w:p w:rsidR="001B1222" w:rsidRPr="003B4EC4" w:rsidRDefault="001B1222" w:rsidP="003B4EC4">
      <w:pPr>
        <w:ind w:left="851"/>
        <w:rPr>
          <w:sz w:val="24"/>
          <w:szCs w:val="24"/>
        </w:rPr>
      </w:pPr>
      <w:r w:rsidRPr="003B4EC4">
        <w:rPr>
          <w:sz w:val="24"/>
          <w:szCs w:val="24"/>
        </w:rPr>
        <w:t>Paracetamol udskilles i modermælk, men ikke i en klinisk signifikant mængde. Der er ikke rapporteret bivirkninger hos spædbørn. Paracetamol kan anvendes under amning, så længde den anbefalede dosis ikke overskrides. Ved længerevarende anvendelse bør der udvises forsigtighed.</w:t>
      </w:r>
    </w:p>
    <w:p w:rsidR="001B1222" w:rsidRPr="003B4EC4" w:rsidRDefault="001B1222" w:rsidP="003B4EC4">
      <w:pPr>
        <w:ind w:left="851"/>
        <w:rPr>
          <w:sz w:val="24"/>
          <w:szCs w:val="24"/>
        </w:rPr>
      </w:pPr>
    </w:p>
    <w:p w:rsidR="001B1222" w:rsidRPr="003B4EC4" w:rsidRDefault="001B1222" w:rsidP="003B4EC4">
      <w:pPr>
        <w:ind w:left="851"/>
        <w:rPr>
          <w:sz w:val="24"/>
          <w:szCs w:val="24"/>
          <w:u w:val="single"/>
        </w:rPr>
      </w:pPr>
      <w:r w:rsidRPr="003B4EC4">
        <w:rPr>
          <w:sz w:val="24"/>
          <w:szCs w:val="24"/>
          <w:u w:val="single"/>
        </w:rPr>
        <w:t>Fertilitet</w:t>
      </w:r>
    </w:p>
    <w:p w:rsidR="001B1222" w:rsidRPr="003B4EC4" w:rsidRDefault="001B1222" w:rsidP="003B4EC4">
      <w:pPr>
        <w:ind w:left="851"/>
        <w:rPr>
          <w:sz w:val="24"/>
          <w:szCs w:val="24"/>
        </w:rPr>
      </w:pPr>
      <w:r w:rsidRPr="003B4EC4">
        <w:rPr>
          <w:sz w:val="24"/>
          <w:szCs w:val="24"/>
        </w:rPr>
        <w:t>Der kendes ikke til nogen skadelig virkning på fertilitet ved normal anvendelse af paracetamol.</w:t>
      </w:r>
    </w:p>
    <w:p w:rsidR="001B1222" w:rsidRPr="00B322D3" w:rsidRDefault="001B1222" w:rsidP="001B1222">
      <w:pPr>
        <w:ind w:left="851"/>
        <w:rPr>
          <w:sz w:val="24"/>
          <w:szCs w:val="24"/>
        </w:rPr>
      </w:pPr>
    </w:p>
    <w:p w:rsidR="001B1222" w:rsidRPr="00B322D3" w:rsidRDefault="001B1222" w:rsidP="001B1222">
      <w:pPr>
        <w:ind w:left="851" w:hanging="851"/>
        <w:rPr>
          <w:b/>
          <w:sz w:val="24"/>
          <w:szCs w:val="24"/>
        </w:rPr>
      </w:pPr>
      <w:r w:rsidRPr="00B322D3">
        <w:rPr>
          <w:b/>
          <w:sz w:val="24"/>
          <w:szCs w:val="24"/>
        </w:rPr>
        <w:t>4.7</w:t>
      </w:r>
      <w:r w:rsidRPr="00B322D3">
        <w:rPr>
          <w:b/>
          <w:sz w:val="24"/>
          <w:szCs w:val="24"/>
        </w:rPr>
        <w:tab/>
        <w:t>Virkninger på evnen til at føre motorkøretøj eller betjene maskiner</w:t>
      </w:r>
    </w:p>
    <w:p w:rsidR="001B1222" w:rsidRPr="00B322D3" w:rsidRDefault="001B1222" w:rsidP="001B1222">
      <w:pPr>
        <w:ind w:left="851"/>
        <w:rPr>
          <w:sz w:val="24"/>
          <w:szCs w:val="24"/>
        </w:rPr>
      </w:pPr>
      <w:r w:rsidRPr="00B322D3">
        <w:rPr>
          <w:sz w:val="24"/>
          <w:szCs w:val="24"/>
        </w:rPr>
        <w:t>Ikke mærkning.</w:t>
      </w:r>
    </w:p>
    <w:p w:rsidR="001B1222" w:rsidRPr="00B322D3" w:rsidRDefault="001B1222" w:rsidP="001B1222">
      <w:pPr>
        <w:ind w:left="851"/>
        <w:rPr>
          <w:sz w:val="24"/>
          <w:szCs w:val="24"/>
        </w:rPr>
      </w:pPr>
      <w:proofErr w:type="spellStart"/>
      <w:r w:rsidRPr="00B322D3">
        <w:rPr>
          <w:sz w:val="24"/>
          <w:szCs w:val="24"/>
        </w:rPr>
        <w:t>Paradol</w:t>
      </w:r>
      <w:proofErr w:type="spellEnd"/>
      <w:r w:rsidRPr="00B322D3">
        <w:rPr>
          <w:sz w:val="24"/>
          <w:szCs w:val="24"/>
        </w:rPr>
        <w:t xml:space="preserve"> påvirker ikke eller kun i ubetydelig grad evnen til at føre motorkøretøj eller betjene maskiner.</w:t>
      </w:r>
    </w:p>
    <w:p w:rsidR="001B1222" w:rsidRPr="00B322D3" w:rsidRDefault="001B1222" w:rsidP="001B1222">
      <w:pPr>
        <w:ind w:left="851"/>
        <w:rPr>
          <w:sz w:val="24"/>
          <w:szCs w:val="24"/>
        </w:rPr>
      </w:pPr>
    </w:p>
    <w:p w:rsidR="001B1222" w:rsidRPr="00B322D3" w:rsidRDefault="001B1222" w:rsidP="001B1222">
      <w:pPr>
        <w:ind w:left="851" w:hanging="851"/>
        <w:rPr>
          <w:b/>
          <w:sz w:val="24"/>
          <w:szCs w:val="24"/>
        </w:rPr>
      </w:pPr>
      <w:r w:rsidRPr="00B322D3">
        <w:rPr>
          <w:b/>
          <w:sz w:val="24"/>
          <w:szCs w:val="24"/>
        </w:rPr>
        <w:t>4.8</w:t>
      </w:r>
      <w:r w:rsidRPr="00B322D3">
        <w:rPr>
          <w:b/>
          <w:sz w:val="24"/>
          <w:szCs w:val="24"/>
        </w:rPr>
        <w:tab/>
        <w:t>Bivirkninger</w:t>
      </w:r>
    </w:p>
    <w:p w:rsidR="001B1222" w:rsidRPr="00B322D3" w:rsidRDefault="001B1222" w:rsidP="001B1222">
      <w:pPr>
        <w:ind w:left="851"/>
        <w:rPr>
          <w:sz w:val="24"/>
          <w:szCs w:val="24"/>
        </w:rPr>
      </w:pPr>
      <w:r w:rsidRPr="00B322D3">
        <w:rPr>
          <w:sz w:val="24"/>
          <w:szCs w:val="24"/>
        </w:rPr>
        <w:t xml:space="preserve">Bivirkninger er generelt sjældne. De mest almindelige bivirkninger er </w:t>
      </w:r>
      <w:proofErr w:type="spellStart"/>
      <w:r w:rsidRPr="00B322D3">
        <w:rPr>
          <w:sz w:val="24"/>
          <w:szCs w:val="24"/>
        </w:rPr>
        <w:t>urticaria</w:t>
      </w:r>
      <w:proofErr w:type="spellEnd"/>
      <w:r w:rsidRPr="00B322D3">
        <w:rPr>
          <w:sz w:val="24"/>
          <w:szCs w:val="24"/>
        </w:rPr>
        <w:t xml:space="preserve"> og forøget </w:t>
      </w:r>
      <w:proofErr w:type="spellStart"/>
      <w:r w:rsidRPr="00B322D3">
        <w:rPr>
          <w:sz w:val="24"/>
          <w:szCs w:val="24"/>
        </w:rPr>
        <w:t>levertransaminase</w:t>
      </w:r>
      <w:proofErr w:type="spellEnd"/>
      <w:r w:rsidRPr="00B322D3">
        <w:rPr>
          <w:sz w:val="24"/>
          <w:szCs w:val="24"/>
        </w:rPr>
        <w:t>, som ses hos 0,01-0,1 % af de behandlede patienter.</w:t>
      </w:r>
    </w:p>
    <w:p w:rsidR="0023454C" w:rsidRDefault="0023454C">
      <w:pPr>
        <w:rPr>
          <w:sz w:val="24"/>
          <w:szCs w:val="24"/>
        </w:rPr>
      </w:pPr>
      <w:r>
        <w:rPr>
          <w:sz w:val="24"/>
          <w:szCs w:val="24"/>
        </w:rPr>
        <w:br w:type="page"/>
      </w:r>
    </w:p>
    <w:p w:rsidR="001B1222" w:rsidRPr="00B322D3" w:rsidRDefault="001B1222" w:rsidP="001B1222">
      <w:pPr>
        <w:ind w:left="851"/>
        <w:rPr>
          <w:sz w:val="24"/>
          <w:szCs w:val="24"/>
        </w:rPr>
      </w:pPr>
    </w:p>
    <w:tbl>
      <w:tblPr>
        <w:tblW w:w="8788"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Look w:val="04A0" w:firstRow="1" w:lastRow="0" w:firstColumn="1" w:lastColumn="0" w:noHBand="0" w:noVBand="1"/>
      </w:tblPr>
      <w:tblGrid>
        <w:gridCol w:w="2980"/>
        <w:gridCol w:w="2741"/>
        <w:gridCol w:w="3067"/>
      </w:tblGrid>
      <w:tr w:rsidR="001B1222" w:rsidRPr="00B322D3" w:rsidTr="00C724B6">
        <w:tc>
          <w:tcPr>
            <w:tcW w:w="2980" w:type="dxa"/>
            <w:shd w:val="clear" w:color="auto" w:fill="auto"/>
          </w:tcPr>
          <w:p w:rsidR="001B1222" w:rsidRPr="00B322D3" w:rsidRDefault="001B1222" w:rsidP="003B4BCE">
            <w:pPr>
              <w:tabs>
                <w:tab w:val="left" w:pos="0"/>
                <w:tab w:val="left" w:pos="604"/>
                <w:tab w:val="left" w:pos="851"/>
              </w:tabs>
              <w:rPr>
                <w:b/>
                <w:sz w:val="24"/>
                <w:szCs w:val="24"/>
              </w:rPr>
            </w:pPr>
            <w:r w:rsidRPr="00B322D3">
              <w:rPr>
                <w:b/>
                <w:sz w:val="24"/>
                <w:szCs w:val="24"/>
              </w:rPr>
              <w:t>Systemorganklasse</w:t>
            </w:r>
          </w:p>
          <w:p w:rsidR="001B1222" w:rsidRPr="00B322D3" w:rsidRDefault="001B1222" w:rsidP="003B4BCE">
            <w:pPr>
              <w:tabs>
                <w:tab w:val="left" w:pos="0"/>
                <w:tab w:val="left" w:pos="604"/>
                <w:tab w:val="left" w:pos="851"/>
              </w:tabs>
              <w:rPr>
                <w:rFonts w:ascii="Calibri" w:hAnsi="Calibri"/>
                <w:b/>
                <w:sz w:val="24"/>
                <w:szCs w:val="24"/>
              </w:rPr>
            </w:pPr>
          </w:p>
        </w:tc>
        <w:tc>
          <w:tcPr>
            <w:tcW w:w="2741"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b/>
                <w:sz w:val="24"/>
                <w:szCs w:val="24"/>
              </w:rPr>
              <w:t>Hyppighed</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b/>
                <w:sz w:val="24"/>
                <w:szCs w:val="24"/>
              </w:rPr>
              <w:t>Bivirkninger</w:t>
            </w:r>
          </w:p>
        </w:tc>
      </w:tr>
      <w:tr w:rsidR="001B1222" w:rsidRPr="00B322D3" w:rsidTr="00C724B6">
        <w:tc>
          <w:tcPr>
            <w:tcW w:w="2980" w:type="dxa"/>
            <w:vMerge w:val="restart"/>
            <w:shd w:val="clear" w:color="auto" w:fill="auto"/>
          </w:tcPr>
          <w:p w:rsidR="001B1222" w:rsidRPr="00B322D3" w:rsidRDefault="001B1222" w:rsidP="00F91792">
            <w:pPr>
              <w:tabs>
                <w:tab w:val="left" w:pos="0"/>
                <w:tab w:val="left" w:pos="604"/>
                <w:tab w:val="left" w:pos="851"/>
              </w:tabs>
              <w:rPr>
                <w:rFonts w:ascii="Calibri" w:hAnsi="Calibri"/>
                <w:b/>
                <w:sz w:val="24"/>
                <w:szCs w:val="24"/>
              </w:rPr>
            </w:pPr>
            <w:r w:rsidRPr="00B322D3">
              <w:rPr>
                <w:b/>
                <w:sz w:val="24"/>
                <w:szCs w:val="24"/>
              </w:rPr>
              <w:lastRenderedPageBreak/>
              <w:t>Blod og</w:t>
            </w:r>
            <w:r w:rsidR="00F91792">
              <w:rPr>
                <w:b/>
                <w:sz w:val="24"/>
                <w:szCs w:val="24"/>
              </w:rPr>
              <w:t xml:space="preserve"> </w:t>
            </w:r>
            <w:r w:rsidRPr="00B322D3">
              <w:rPr>
                <w:b/>
                <w:sz w:val="24"/>
                <w:szCs w:val="24"/>
              </w:rPr>
              <w:t>lymfesystem</w:t>
            </w:r>
          </w:p>
        </w:tc>
        <w:tc>
          <w:tcPr>
            <w:tcW w:w="2741"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sz w:val="24"/>
                <w:szCs w:val="24"/>
              </w:rPr>
              <w:t>Sjælden</w:t>
            </w:r>
          </w:p>
        </w:tc>
        <w:tc>
          <w:tcPr>
            <w:tcW w:w="3067" w:type="dxa"/>
            <w:shd w:val="clear" w:color="auto" w:fill="auto"/>
          </w:tcPr>
          <w:p w:rsidR="001B1222" w:rsidRPr="00B322D3" w:rsidRDefault="001B1222" w:rsidP="00F91792">
            <w:pPr>
              <w:tabs>
                <w:tab w:val="left" w:pos="0"/>
                <w:tab w:val="left" w:pos="604"/>
                <w:tab w:val="left" w:pos="851"/>
              </w:tabs>
              <w:rPr>
                <w:rFonts w:ascii="Calibri" w:hAnsi="Calibri"/>
                <w:b/>
                <w:sz w:val="24"/>
                <w:szCs w:val="24"/>
              </w:rPr>
            </w:pPr>
            <w:proofErr w:type="spellStart"/>
            <w:r w:rsidRPr="00B322D3">
              <w:rPr>
                <w:sz w:val="24"/>
                <w:szCs w:val="24"/>
              </w:rPr>
              <w:t>Agranulocytose</w:t>
            </w:r>
            <w:proofErr w:type="spellEnd"/>
            <w:r w:rsidRPr="00B322D3">
              <w:rPr>
                <w:sz w:val="24"/>
                <w:szCs w:val="24"/>
              </w:rPr>
              <w:t xml:space="preserve"> (langvarig anvendelse),</w:t>
            </w:r>
            <w:r w:rsidR="00F91792">
              <w:rPr>
                <w:sz w:val="24"/>
                <w:szCs w:val="24"/>
              </w:rPr>
              <w:t xml:space="preserve"> </w:t>
            </w:r>
            <w:proofErr w:type="spellStart"/>
            <w:r w:rsidRPr="00B322D3">
              <w:rPr>
                <w:sz w:val="24"/>
                <w:szCs w:val="24"/>
              </w:rPr>
              <w:t>trombocytopeni</w:t>
            </w:r>
            <w:proofErr w:type="spellEnd"/>
            <w:r w:rsidRPr="00B322D3">
              <w:rPr>
                <w:sz w:val="24"/>
                <w:szCs w:val="24"/>
              </w:rPr>
              <w:t xml:space="preserve">, </w:t>
            </w:r>
            <w:proofErr w:type="spellStart"/>
            <w:r w:rsidRPr="00B322D3">
              <w:rPr>
                <w:sz w:val="24"/>
                <w:szCs w:val="24"/>
              </w:rPr>
              <w:t>trombocytopenisk</w:t>
            </w:r>
            <w:proofErr w:type="spellEnd"/>
            <w:r w:rsidRPr="00B322D3">
              <w:rPr>
                <w:sz w:val="24"/>
                <w:szCs w:val="24"/>
              </w:rPr>
              <w:t xml:space="preserve"> </w:t>
            </w:r>
            <w:proofErr w:type="spellStart"/>
            <w:r w:rsidRPr="00B322D3">
              <w:rPr>
                <w:sz w:val="24"/>
                <w:szCs w:val="24"/>
              </w:rPr>
              <w:t>purpura</w:t>
            </w:r>
            <w:proofErr w:type="spellEnd"/>
            <w:r w:rsidRPr="00B322D3">
              <w:rPr>
                <w:sz w:val="24"/>
                <w:szCs w:val="24"/>
              </w:rPr>
              <w:t>,</w:t>
            </w:r>
            <w:r w:rsidR="00F91792">
              <w:rPr>
                <w:sz w:val="24"/>
                <w:szCs w:val="24"/>
              </w:rPr>
              <w:t xml:space="preserve"> </w:t>
            </w:r>
            <w:proofErr w:type="spellStart"/>
            <w:r w:rsidRPr="00B322D3">
              <w:rPr>
                <w:sz w:val="24"/>
                <w:szCs w:val="24"/>
              </w:rPr>
              <w:t>leukopeni</w:t>
            </w:r>
            <w:proofErr w:type="spellEnd"/>
            <w:r w:rsidRPr="00B322D3">
              <w:rPr>
                <w:sz w:val="24"/>
                <w:szCs w:val="24"/>
              </w:rPr>
              <w:t xml:space="preserve">, </w:t>
            </w:r>
            <w:proofErr w:type="spellStart"/>
            <w:r w:rsidRPr="00B322D3">
              <w:rPr>
                <w:sz w:val="24"/>
                <w:szCs w:val="24"/>
              </w:rPr>
              <w:t>hæmolytisk</w:t>
            </w:r>
            <w:proofErr w:type="spellEnd"/>
            <w:r w:rsidRPr="00B322D3">
              <w:rPr>
                <w:sz w:val="24"/>
                <w:szCs w:val="24"/>
              </w:rPr>
              <w:t xml:space="preserve"> anæmi,</w:t>
            </w:r>
            <w:r w:rsidR="00F91792">
              <w:rPr>
                <w:sz w:val="24"/>
                <w:szCs w:val="24"/>
              </w:rPr>
              <w:t xml:space="preserve"> </w:t>
            </w:r>
            <w:r w:rsidRPr="00B322D3">
              <w:rPr>
                <w:sz w:val="24"/>
                <w:szCs w:val="24"/>
              </w:rPr>
              <w:t>blodpladesygdomme, stamcellesygdomme.</w:t>
            </w:r>
          </w:p>
        </w:tc>
      </w:tr>
      <w:tr w:rsidR="001B1222" w:rsidRPr="00B322D3" w:rsidTr="00C724B6">
        <w:tc>
          <w:tcPr>
            <w:tcW w:w="2980" w:type="dxa"/>
            <w:vMerge/>
            <w:shd w:val="clear" w:color="auto" w:fill="auto"/>
          </w:tcPr>
          <w:p w:rsidR="001B1222" w:rsidRPr="00B322D3" w:rsidRDefault="001B1222" w:rsidP="003B4BCE">
            <w:pPr>
              <w:tabs>
                <w:tab w:val="left" w:pos="0"/>
                <w:tab w:val="left" w:pos="604"/>
                <w:tab w:val="left" w:pos="851"/>
              </w:tabs>
              <w:rPr>
                <w:rFonts w:ascii="Calibri" w:hAnsi="Calibri"/>
                <w:b/>
                <w:sz w:val="24"/>
                <w:szCs w:val="24"/>
              </w:rPr>
            </w:pPr>
          </w:p>
        </w:tc>
        <w:tc>
          <w:tcPr>
            <w:tcW w:w="2741"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sz w:val="24"/>
                <w:szCs w:val="24"/>
              </w:rPr>
              <w:t>Meget 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proofErr w:type="spellStart"/>
            <w:r w:rsidRPr="00B322D3">
              <w:rPr>
                <w:sz w:val="24"/>
                <w:szCs w:val="24"/>
              </w:rPr>
              <w:t>Pancytopeni</w:t>
            </w:r>
            <w:proofErr w:type="spellEnd"/>
            <w:r w:rsidRPr="00B322D3">
              <w:rPr>
                <w:sz w:val="24"/>
                <w:szCs w:val="24"/>
              </w:rPr>
              <w:t>.</w:t>
            </w:r>
          </w:p>
        </w:tc>
      </w:tr>
      <w:tr w:rsidR="001B1222" w:rsidRPr="00B322D3" w:rsidTr="00C724B6">
        <w:tc>
          <w:tcPr>
            <w:tcW w:w="2980" w:type="dxa"/>
            <w:vMerge w:val="restart"/>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b/>
                <w:sz w:val="24"/>
                <w:szCs w:val="24"/>
              </w:rPr>
              <w:t>Immunsystemet</w:t>
            </w:r>
          </w:p>
        </w:tc>
        <w:tc>
          <w:tcPr>
            <w:tcW w:w="2741"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sz w:val="24"/>
                <w:szCs w:val="24"/>
              </w:rPr>
              <w:t>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sz w:val="24"/>
                <w:szCs w:val="24"/>
              </w:rPr>
              <w:t xml:space="preserve">Overfølsomhed (undtagen </w:t>
            </w:r>
            <w:proofErr w:type="spellStart"/>
            <w:r w:rsidRPr="00B322D3">
              <w:rPr>
                <w:sz w:val="24"/>
                <w:szCs w:val="24"/>
              </w:rPr>
              <w:t>angioødem</w:t>
            </w:r>
            <w:proofErr w:type="spellEnd"/>
            <w:r w:rsidRPr="00B322D3">
              <w:rPr>
                <w:sz w:val="24"/>
                <w:szCs w:val="24"/>
              </w:rPr>
              <w:t>).</w:t>
            </w:r>
          </w:p>
        </w:tc>
      </w:tr>
      <w:tr w:rsidR="001B1222" w:rsidRPr="00B322D3" w:rsidTr="00C724B6">
        <w:tc>
          <w:tcPr>
            <w:tcW w:w="2980" w:type="dxa"/>
            <w:vMerge/>
            <w:shd w:val="clear" w:color="auto" w:fill="auto"/>
          </w:tcPr>
          <w:p w:rsidR="001B1222" w:rsidRPr="00B322D3" w:rsidRDefault="001B1222" w:rsidP="003B4BCE">
            <w:pPr>
              <w:tabs>
                <w:tab w:val="left" w:pos="0"/>
                <w:tab w:val="left" w:pos="604"/>
                <w:tab w:val="left" w:pos="851"/>
              </w:tabs>
              <w:rPr>
                <w:rFonts w:ascii="Calibri" w:hAnsi="Calibri"/>
                <w:b/>
                <w:sz w:val="24"/>
                <w:szCs w:val="24"/>
              </w:rPr>
            </w:pPr>
          </w:p>
        </w:tc>
        <w:tc>
          <w:tcPr>
            <w:tcW w:w="2741"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sz w:val="24"/>
                <w:szCs w:val="24"/>
              </w:rPr>
              <w:t>Meget sjælden</w:t>
            </w:r>
          </w:p>
        </w:tc>
        <w:tc>
          <w:tcPr>
            <w:tcW w:w="3067" w:type="dxa"/>
            <w:shd w:val="clear" w:color="auto" w:fill="auto"/>
          </w:tcPr>
          <w:p w:rsidR="001B1222" w:rsidRPr="00B322D3" w:rsidRDefault="001B1222" w:rsidP="003B4BCE">
            <w:pPr>
              <w:tabs>
                <w:tab w:val="left" w:pos="0"/>
                <w:tab w:val="left" w:pos="604"/>
                <w:tab w:val="left" w:pos="851"/>
              </w:tabs>
              <w:rPr>
                <w:sz w:val="24"/>
                <w:szCs w:val="24"/>
              </w:rPr>
            </w:pPr>
            <w:r w:rsidRPr="00B322D3">
              <w:rPr>
                <w:sz w:val="24"/>
                <w:szCs w:val="24"/>
              </w:rPr>
              <w:t>Overfølsomhed (</w:t>
            </w:r>
            <w:proofErr w:type="spellStart"/>
            <w:r w:rsidRPr="00B322D3">
              <w:rPr>
                <w:sz w:val="24"/>
                <w:szCs w:val="24"/>
              </w:rPr>
              <w:t>angioødem</w:t>
            </w:r>
            <w:proofErr w:type="spellEnd"/>
            <w:r w:rsidRPr="00B322D3">
              <w:rPr>
                <w:sz w:val="24"/>
                <w:szCs w:val="24"/>
              </w:rPr>
              <w:t xml:space="preserve">, vejrtrækningsbesvær, </w:t>
            </w:r>
            <w:proofErr w:type="spellStart"/>
            <w:r w:rsidRPr="00B322D3">
              <w:rPr>
                <w:sz w:val="24"/>
                <w:szCs w:val="24"/>
              </w:rPr>
              <w:t>hyperhidrose</w:t>
            </w:r>
            <w:proofErr w:type="spellEnd"/>
            <w:r w:rsidRPr="00B322D3">
              <w:rPr>
                <w:sz w:val="24"/>
                <w:szCs w:val="24"/>
              </w:rPr>
              <w:t xml:space="preserve">, kvalme, hypotension, </w:t>
            </w:r>
            <w:proofErr w:type="spellStart"/>
            <w:r w:rsidRPr="00B322D3">
              <w:rPr>
                <w:sz w:val="24"/>
                <w:szCs w:val="24"/>
              </w:rPr>
              <w:t>shock</w:t>
            </w:r>
            <w:proofErr w:type="spellEnd"/>
            <w:r w:rsidRPr="00B322D3">
              <w:rPr>
                <w:sz w:val="24"/>
                <w:szCs w:val="24"/>
              </w:rPr>
              <w:t xml:space="preserve">, </w:t>
            </w:r>
            <w:proofErr w:type="spellStart"/>
            <w:r w:rsidRPr="00B322D3">
              <w:rPr>
                <w:sz w:val="24"/>
                <w:szCs w:val="24"/>
              </w:rPr>
              <w:t>anafylaktisk</w:t>
            </w:r>
            <w:proofErr w:type="spellEnd"/>
            <w:r w:rsidRPr="00B322D3">
              <w:rPr>
                <w:sz w:val="24"/>
                <w:szCs w:val="24"/>
              </w:rPr>
              <w:t xml:space="preserve"> reaktion), som nødvendiggør </w:t>
            </w:r>
            <w:proofErr w:type="spellStart"/>
            <w:r w:rsidRPr="00B322D3">
              <w:rPr>
                <w:sz w:val="24"/>
                <w:szCs w:val="24"/>
              </w:rPr>
              <w:t>seponering</w:t>
            </w:r>
            <w:proofErr w:type="spellEnd"/>
            <w:r w:rsidRPr="00B322D3">
              <w:rPr>
                <w:sz w:val="24"/>
                <w:szCs w:val="24"/>
              </w:rPr>
              <w:t xml:space="preserve"> af behandlingen.</w:t>
            </w:r>
          </w:p>
        </w:tc>
      </w:tr>
      <w:tr w:rsidR="001B1222" w:rsidRPr="00B322D3" w:rsidTr="00C724B6">
        <w:tc>
          <w:tcPr>
            <w:tcW w:w="2980" w:type="dxa"/>
            <w:shd w:val="clear" w:color="auto" w:fill="auto"/>
          </w:tcPr>
          <w:p w:rsidR="001B1222" w:rsidRPr="00B322D3" w:rsidRDefault="001B1222" w:rsidP="003B4BCE">
            <w:pPr>
              <w:tabs>
                <w:tab w:val="left" w:pos="0"/>
                <w:tab w:val="left" w:pos="604"/>
                <w:tab w:val="left" w:pos="851"/>
              </w:tabs>
              <w:rPr>
                <w:b/>
                <w:sz w:val="24"/>
                <w:szCs w:val="24"/>
              </w:rPr>
            </w:pPr>
            <w:r w:rsidRPr="00B322D3">
              <w:rPr>
                <w:b/>
                <w:sz w:val="24"/>
                <w:szCs w:val="24"/>
              </w:rPr>
              <w:t>Metabolisme og ernæring</w:t>
            </w:r>
          </w:p>
        </w:tc>
        <w:tc>
          <w:tcPr>
            <w:tcW w:w="2741"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sz w:val="24"/>
                <w:szCs w:val="24"/>
              </w:rPr>
              <w:t>Meget 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sz w:val="24"/>
                <w:szCs w:val="24"/>
              </w:rPr>
              <w:t>Hypoglykæmi.</w:t>
            </w:r>
          </w:p>
        </w:tc>
      </w:tr>
      <w:tr w:rsidR="001B1222" w:rsidRPr="00B322D3" w:rsidTr="00C724B6">
        <w:tc>
          <w:tcPr>
            <w:tcW w:w="2980"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b/>
                <w:sz w:val="24"/>
                <w:szCs w:val="24"/>
              </w:rPr>
              <w:t>Psykiske forstyrrelser</w:t>
            </w:r>
          </w:p>
        </w:tc>
        <w:tc>
          <w:tcPr>
            <w:tcW w:w="2741"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sz w:val="24"/>
                <w:szCs w:val="24"/>
              </w:rPr>
              <w:t>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sz w:val="24"/>
                <w:szCs w:val="24"/>
              </w:rPr>
              <w:t>Depression (ikke specificeret), forvirring, hallucinationer.</w:t>
            </w:r>
          </w:p>
        </w:tc>
      </w:tr>
      <w:tr w:rsidR="001B1222" w:rsidRPr="00B322D3" w:rsidTr="00C724B6">
        <w:tc>
          <w:tcPr>
            <w:tcW w:w="2980"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b/>
                <w:sz w:val="24"/>
                <w:szCs w:val="24"/>
              </w:rPr>
              <w:t>Nervesystemet</w:t>
            </w:r>
          </w:p>
        </w:tc>
        <w:tc>
          <w:tcPr>
            <w:tcW w:w="2741"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sz w:val="24"/>
                <w:szCs w:val="24"/>
              </w:rPr>
              <w:t>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proofErr w:type="spellStart"/>
            <w:r w:rsidRPr="00B322D3">
              <w:rPr>
                <w:sz w:val="24"/>
                <w:szCs w:val="24"/>
              </w:rPr>
              <w:t>Tremor</w:t>
            </w:r>
            <w:proofErr w:type="spellEnd"/>
            <w:r w:rsidRPr="00B322D3">
              <w:rPr>
                <w:sz w:val="24"/>
                <w:szCs w:val="24"/>
              </w:rPr>
              <w:t xml:space="preserve"> (ikke specificeret), hovedpine (ikke specificeret).</w:t>
            </w:r>
          </w:p>
        </w:tc>
      </w:tr>
      <w:tr w:rsidR="001B1222" w:rsidRPr="00B322D3" w:rsidTr="00C724B6">
        <w:tc>
          <w:tcPr>
            <w:tcW w:w="2980"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b/>
                <w:sz w:val="24"/>
                <w:szCs w:val="24"/>
              </w:rPr>
              <w:t>Øjne</w:t>
            </w:r>
          </w:p>
        </w:tc>
        <w:tc>
          <w:tcPr>
            <w:tcW w:w="2741"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Unormalt syn.</w:t>
            </w:r>
          </w:p>
        </w:tc>
      </w:tr>
      <w:tr w:rsidR="001B1222" w:rsidRPr="00B322D3" w:rsidTr="00C724B6">
        <w:tc>
          <w:tcPr>
            <w:tcW w:w="2980"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b/>
                <w:sz w:val="24"/>
                <w:szCs w:val="24"/>
              </w:rPr>
              <w:t>Hjerte</w:t>
            </w:r>
          </w:p>
        </w:tc>
        <w:tc>
          <w:tcPr>
            <w:tcW w:w="2741"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Ødem.</w:t>
            </w:r>
          </w:p>
        </w:tc>
      </w:tr>
      <w:tr w:rsidR="001B1222" w:rsidRPr="00B322D3" w:rsidTr="00C724B6">
        <w:tc>
          <w:tcPr>
            <w:tcW w:w="2980" w:type="dxa"/>
            <w:shd w:val="clear" w:color="auto" w:fill="auto"/>
          </w:tcPr>
          <w:p w:rsidR="001B1222" w:rsidRPr="00B322D3" w:rsidRDefault="001B1222" w:rsidP="00F91792">
            <w:pPr>
              <w:tabs>
                <w:tab w:val="left" w:pos="0"/>
                <w:tab w:val="left" w:pos="604"/>
                <w:tab w:val="left" w:pos="851"/>
              </w:tabs>
              <w:rPr>
                <w:rFonts w:ascii="Calibri" w:hAnsi="Calibri"/>
                <w:b/>
                <w:sz w:val="24"/>
                <w:szCs w:val="24"/>
              </w:rPr>
            </w:pPr>
            <w:r w:rsidRPr="00B322D3">
              <w:rPr>
                <w:b/>
                <w:sz w:val="24"/>
                <w:szCs w:val="24"/>
              </w:rPr>
              <w:t>Luftveje, thorax og</w:t>
            </w:r>
            <w:r w:rsidR="00F91792">
              <w:rPr>
                <w:b/>
                <w:sz w:val="24"/>
                <w:szCs w:val="24"/>
              </w:rPr>
              <w:t xml:space="preserve"> </w:t>
            </w:r>
            <w:proofErr w:type="spellStart"/>
            <w:r w:rsidRPr="00B322D3">
              <w:rPr>
                <w:b/>
                <w:sz w:val="24"/>
                <w:szCs w:val="24"/>
              </w:rPr>
              <w:t>mediastinum</w:t>
            </w:r>
            <w:proofErr w:type="spellEnd"/>
          </w:p>
        </w:tc>
        <w:tc>
          <w:tcPr>
            <w:tcW w:w="2741"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Meget 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proofErr w:type="spellStart"/>
            <w:r w:rsidRPr="00B322D3">
              <w:rPr>
                <w:sz w:val="24"/>
                <w:szCs w:val="24"/>
              </w:rPr>
              <w:t>Bronkospasmer</w:t>
            </w:r>
            <w:proofErr w:type="spellEnd"/>
            <w:r w:rsidRPr="00B322D3">
              <w:rPr>
                <w:sz w:val="24"/>
                <w:szCs w:val="24"/>
              </w:rPr>
              <w:t xml:space="preserve"> hos patienter, der er følsomme over for aspirin og andre NSAID.</w:t>
            </w:r>
          </w:p>
        </w:tc>
      </w:tr>
      <w:tr w:rsidR="001B1222" w:rsidRPr="00B322D3" w:rsidTr="00C724B6">
        <w:tc>
          <w:tcPr>
            <w:tcW w:w="2980" w:type="dxa"/>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b/>
                <w:sz w:val="24"/>
                <w:szCs w:val="24"/>
              </w:rPr>
              <w:t>Mave-tarm-kanalen</w:t>
            </w:r>
          </w:p>
        </w:tc>
        <w:tc>
          <w:tcPr>
            <w:tcW w:w="2741"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Blødning (ikke specificeret), mavesmerter (ikke specificeret), diarré (ikke specificeret), kvalme, opkastning.</w:t>
            </w:r>
          </w:p>
        </w:tc>
      </w:tr>
      <w:tr w:rsidR="001B1222" w:rsidRPr="00B322D3" w:rsidTr="00C724B6">
        <w:tc>
          <w:tcPr>
            <w:tcW w:w="2980" w:type="dxa"/>
            <w:vMerge w:val="restart"/>
            <w:shd w:val="clear" w:color="auto" w:fill="auto"/>
          </w:tcPr>
          <w:p w:rsidR="001B1222" w:rsidRPr="00B322D3" w:rsidRDefault="001B1222" w:rsidP="003B4BCE">
            <w:pPr>
              <w:tabs>
                <w:tab w:val="left" w:pos="0"/>
                <w:tab w:val="left" w:pos="604"/>
                <w:tab w:val="left" w:pos="851"/>
              </w:tabs>
              <w:rPr>
                <w:rFonts w:ascii="Calibri" w:hAnsi="Calibri"/>
                <w:b/>
                <w:sz w:val="24"/>
                <w:szCs w:val="24"/>
              </w:rPr>
            </w:pPr>
            <w:r w:rsidRPr="00B322D3">
              <w:rPr>
                <w:b/>
                <w:sz w:val="24"/>
                <w:szCs w:val="24"/>
              </w:rPr>
              <w:t>Lever og galdeveje</w:t>
            </w:r>
          </w:p>
        </w:tc>
        <w:tc>
          <w:tcPr>
            <w:tcW w:w="2741"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Unormal leverfunktion, leversvigt, levernekrose, gulsot.</w:t>
            </w:r>
          </w:p>
        </w:tc>
      </w:tr>
      <w:tr w:rsidR="001B1222" w:rsidRPr="00B322D3" w:rsidTr="00C724B6">
        <w:tc>
          <w:tcPr>
            <w:tcW w:w="2980" w:type="dxa"/>
            <w:vMerge/>
            <w:shd w:val="clear" w:color="auto" w:fill="auto"/>
          </w:tcPr>
          <w:p w:rsidR="001B1222" w:rsidRPr="00B322D3" w:rsidRDefault="001B1222" w:rsidP="003B4BCE">
            <w:pPr>
              <w:tabs>
                <w:tab w:val="left" w:pos="0"/>
                <w:tab w:val="left" w:pos="604"/>
                <w:tab w:val="left" w:pos="851"/>
              </w:tabs>
              <w:rPr>
                <w:rFonts w:ascii="Calibri" w:hAnsi="Calibri"/>
                <w:b/>
                <w:sz w:val="24"/>
                <w:szCs w:val="24"/>
              </w:rPr>
            </w:pPr>
          </w:p>
        </w:tc>
        <w:tc>
          <w:tcPr>
            <w:tcW w:w="2741"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Meget 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proofErr w:type="spellStart"/>
            <w:r w:rsidRPr="00B322D3">
              <w:rPr>
                <w:sz w:val="24"/>
                <w:szCs w:val="24"/>
              </w:rPr>
              <w:t>Hepatotoksicitet</w:t>
            </w:r>
            <w:proofErr w:type="spellEnd"/>
            <w:r w:rsidRPr="00B322D3">
              <w:rPr>
                <w:sz w:val="24"/>
                <w:szCs w:val="24"/>
              </w:rPr>
              <w:t>.</w:t>
            </w:r>
          </w:p>
        </w:tc>
      </w:tr>
      <w:tr w:rsidR="001B1222" w:rsidRPr="00B322D3" w:rsidTr="00C724B6">
        <w:tc>
          <w:tcPr>
            <w:tcW w:w="2980" w:type="dxa"/>
            <w:vMerge/>
            <w:shd w:val="clear" w:color="auto" w:fill="auto"/>
          </w:tcPr>
          <w:p w:rsidR="001B1222" w:rsidRPr="00B322D3" w:rsidRDefault="001B1222" w:rsidP="003B4BCE">
            <w:pPr>
              <w:tabs>
                <w:tab w:val="left" w:pos="0"/>
                <w:tab w:val="left" w:pos="604"/>
                <w:tab w:val="left" w:pos="851"/>
              </w:tabs>
              <w:rPr>
                <w:rFonts w:ascii="Calibri" w:hAnsi="Calibri"/>
                <w:b/>
                <w:sz w:val="24"/>
                <w:szCs w:val="24"/>
              </w:rPr>
            </w:pPr>
          </w:p>
        </w:tc>
        <w:tc>
          <w:tcPr>
            <w:tcW w:w="5808" w:type="dxa"/>
            <w:gridSpan w:val="2"/>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Administration af 6 gram paracetamol kan give leverskade (hos børn: Over 140 mg/kg). Højere doser kan forårsage irreversibel levernekrose.</w:t>
            </w:r>
          </w:p>
        </w:tc>
      </w:tr>
      <w:tr w:rsidR="001B1222" w:rsidRPr="00B322D3" w:rsidTr="00C724B6">
        <w:tc>
          <w:tcPr>
            <w:tcW w:w="2980" w:type="dxa"/>
            <w:vMerge w:val="restart"/>
            <w:shd w:val="clear" w:color="auto" w:fill="auto"/>
          </w:tcPr>
          <w:p w:rsidR="001B1222" w:rsidRPr="00B322D3" w:rsidRDefault="001B1222" w:rsidP="00F91792">
            <w:pPr>
              <w:tabs>
                <w:tab w:val="left" w:pos="0"/>
                <w:tab w:val="left" w:pos="604"/>
                <w:tab w:val="left" w:pos="851"/>
              </w:tabs>
              <w:rPr>
                <w:rFonts w:ascii="Calibri" w:hAnsi="Calibri"/>
                <w:b/>
                <w:sz w:val="24"/>
                <w:szCs w:val="24"/>
              </w:rPr>
            </w:pPr>
            <w:r w:rsidRPr="00B322D3">
              <w:rPr>
                <w:b/>
                <w:sz w:val="24"/>
                <w:szCs w:val="24"/>
              </w:rPr>
              <w:t>Hud og subkutane</w:t>
            </w:r>
            <w:r w:rsidR="00F91792">
              <w:rPr>
                <w:b/>
                <w:sz w:val="24"/>
                <w:szCs w:val="24"/>
              </w:rPr>
              <w:t xml:space="preserve"> </w:t>
            </w:r>
            <w:r w:rsidRPr="00B322D3">
              <w:rPr>
                <w:b/>
                <w:sz w:val="24"/>
                <w:szCs w:val="24"/>
              </w:rPr>
              <w:t>væv</w:t>
            </w:r>
          </w:p>
        </w:tc>
        <w:tc>
          <w:tcPr>
            <w:tcW w:w="2741"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proofErr w:type="spellStart"/>
            <w:r w:rsidRPr="00B322D3">
              <w:rPr>
                <w:sz w:val="24"/>
                <w:szCs w:val="24"/>
              </w:rPr>
              <w:t>Pruritus</w:t>
            </w:r>
            <w:proofErr w:type="spellEnd"/>
            <w:r w:rsidRPr="00B322D3">
              <w:rPr>
                <w:sz w:val="24"/>
                <w:szCs w:val="24"/>
              </w:rPr>
              <w:t xml:space="preserve">, udslæt, svedtendens, </w:t>
            </w:r>
            <w:proofErr w:type="spellStart"/>
            <w:r w:rsidRPr="00B322D3">
              <w:rPr>
                <w:sz w:val="24"/>
                <w:szCs w:val="24"/>
              </w:rPr>
              <w:t>purpura</w:t>
            </w:r>
            <w:proofErr w:type="spellEnd"/>
            <w:r w:rsidRPr="00B322D3">
              <w:rPr>
                <w:sz w:val="24"/>
                <w:szCs w:val="24"/>
              </w:rPr>
              <w:t xml:space="preserve">, </w:t>
            </w:r>
            <w:proofErr w:type="spellStart"/>
            <w:r w:rsidRPr="00B322D3">
              <w:rPr>
                <w:sz w:val="24"/>
                <w:szCs w:val="24"/>
              </w:rPr>
              <w:t>angioødem</w:t>
            </w:r>
            <w:proofErr w:type="spellEnd"/>
            <w:r w:rsidRPr="00B322D3">
              <w:rPr>
                <w:sz w:val="24"/>
                <w:szCs w:val="24"/>
              </w:rPr>
              <w:t xml:space="preserve">, </w:t>
            </w:r>
            <w:proofErr w:type="spellStart"/>
            <w:r w:rsidRPr="00B322D3">
              <w:rPr>
                <w:sz w:val="24"/>
                <w:szCs w:val="24"/>
              </w:rPr>
              <w:t>urticaria</w:t>
            </w:r>
            <w:proofErr w:type="spellEnd"/>
            <w:r w:rsidRPr="00B322D3">
              <w:rPr>
                <w:sz w:val="24"/>
                <w:szCs w:val="24"/>
              </w:rPr>
              <w:t>.</w:t>
            </w:r>
          </w:p>
        </w:tc>
      </w:tr>
      <w:tr w:rsidR="001B1222" w:rsidRPr="00B322D3" w:rsidTr="00C724B6">
        <w:tc>
          <w:tcPr>
            <w:tcW w:w="2980" w:type="dxa"/>
            <w:vMerge/>
            <w:shd w:val="clear" w:color="auto" w:fill="auto"/>
          </w:tcPr>
          <w:p w:rsidR="001B1222" w:rsidRPr="00B322D3" w:rsidRDefault="001B1222" w:rsidP="003B4BCE">
            <w:pPr>
              <w:tabs>
                <w:tab w:val="left" w:pos="0"/>
                <w:tab w:val="left" w:pos="604"/>
                <w:tab w:val="left" w:pos="851"/>
              </w:tabs>
              <w:rPr>
                <w:rFonts w:ascii="Calibri" w:hAnsi="Calibri"/>
                <w:b/>
                <w:sz w:val="24"/>
                <w:szCs w:val="24"/>
              </w:rPr>
            </w:pPr>
          </w:p>
        </w:tc>
        <w:tc>
          <w:tcPr>
            <w:tcW w:w="2741"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Meget 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Der er indberettet alvorlige hudreaktioner.</w:t>
            </w:r>
          </w:p>
        </w:tc>
      </w:tr>
      <w:tr w:rsidR="001B1222" w:rsidRPr="00B322D3" w:rsidTr="00C724B6">
        <w:tc>
          <w:tcPr>
            <w:tcW w:w="2980" w:type="dxa"/>
            <w:vMerge/>
            <w:shd w:val="clear" w:color="auto" w:fill="auto"/>
          </w:tcPr>
          <w:p w:rsidR="001B1222" w:rsidRPr="00B322D3" w:rsidRDefault="001B1222" w:rsidP="003B4BCE">
            <w:pPr>
              <w:tabs>
                <w:tab w:val="left" w:pos="0"/>
                <w:tab w:val="left" w:pos="604"/>
                <w:tab w:val="left" w:pos="851"/>
              </w:tabs>
              <w:rPr>
                <w:rFonts w:ascii="Calibri" w:hAnsi="Calibri"/>
                <w:b/>
                <w:sz w:val="24"/>
                <w:szCs w:val="24"/>
              </w:rPr>
            </w:pPr>
          </w:p>
        </w:tc>
        <w:tc>
          <w:tcPr>
            <w:tcW w:w="2741"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Ikke kendt</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 xml:space="preserve">Akut generaliseret </w:t>
            </w:r>
            <w:proofErr w:type="spellStart"/>
            <w:r w:rsidRPr="00B322D3">
              <w:rPr>
                <w:sz w:val="24"/>
                <w:szCs w:val="24"/>
              </w:rPr>
              <w:t>eksantematøs</w:t>
            </w:r>
            <w:proofErr w:type="spellEnd"/>
            <w:r w:rsidRPr="00B322D3">
              <w:rPr>
                <w:sz w:val="24"/>
                <w:szCs w:val="24"/>
              </w:rPr>
              <w:t xml:space="preserve"> </w:t>
            </w:r>
            <w:proofErr w:type="spellStart"/>
            <w:r w:rsidRPr="00B322D3">
              <w:rPr>
                <w:sz w:val="24"/>
                <w:szCs w:val="24"/>
              </w:rPr>
              <w:t>pustulose</w:t>
            </w:r>
            <w:proofErr w:type="spellEnd"/>
            <w:r w:rsidRPr="00B322D3">
              <w:rPr>
                <w:sz w:val="24"/>
                <w:szCs w:val="24"/>
              </w:rPr>
              <w:t xml:space="preserve">, toksisk </w:t>
            </w:r>
            <w:proofErr w:type="spellStart"/>
            <w:r w:rsidRPr="00B322D3">
              <w:rPr>
                <w:sz w:val="24"/>
                <w:szCs w:val="24"/>
              </w:rPr>
              <w:t>nekrolyse</w:t>
            </w:r>
            <w:proofErr w:type="spellEnd"/>
            <w:r w:rsidRPr="00B322D3">
              <w:rPr>
                <w:sz w:val="24"/>
                <w:szCs w:val="24"/>
              </w:rPr>
              <w:t xml:space="preserve">, lægemiddelinduceret </w:t>
            </w:r>
            <w:proofErr w:type="spellStart"/>
            <w:r w:rsidRPr="00B322D3">
              <w:rPr>
                <w:sz w:val="24"/>
                <w:szCs w:val="24"/>
              </w:rPr>
              <w:t>dermatose</w:t>
            </w:r>
            <w:proofErr w:type="spellEnd"/>
            <w:r w:rsidRPr="00B322D3">
              <w:rPr>
                <w:sz w:val="24"/>
                <w:szCs w:val="24"/>
              </w:rPr>
              <w:t xml:space="preserve">, </w:t>
            </w:r>
            <w:proofErr w:type="spellStart"/>
            <w:r w:rsidRPr="00B322D3">
              <w:rPr>
                <w:sz w:val="24"/>
                <w:szCs w:val="24"/>
              </w:rPr>
              <w:t>Stevens-Johnson's</w:t>
            </w:r>
            <w:proofErr w:type="spellEnd"/>
            <w:r w:rsidRPr="00B322D3">
              <w:rPr>
                <w:sz w:val="24"/>
                <w:szCs w:val="24"/>
              </w:rPr>
              <w:t xml:space="preserve"> syndrom.</w:t>
            </w:r>
          </w:p>
        </w:tc>
      </w:tr>
      <w:tr w:rsidR="001B1222" w:rsidRPr="00B322D3" w:rsidTr="00C724B6">
        <w:tc>
          <w:tcPr>
            <w:tcW w:w="2980" w:type="dxa"/>
            <w:shd w:val="clear" w:color="auto" w:fill="auto"/>
          </w:tcPr>
          <w:p w:rsidR="001B1222" w:rsidRPr="00B322D3" w:rsidRDefault="001B1222" w:rsidP="00F91792">
            <w:pPr>
              <w:tabs>
                <w:tab w:val="left" w:pos="0"/>
                <w:tab w:val="left" w:pos="604"/>
                <w:tab w:val="left" w:pos="851"/>
              </w:tabs>
              <w:rPr>
                <w:rFonts w:ascii="Calibri" w:hAnsi="Calibri"/>
                <w:b/>
                <w:sz w:val="24"/>
                <w:szCs w:val="24"/>
              </w:rPr>
            </w:pPr>
            <w:r w:rsidRPr="00B322D3">
              <w:rPr>
                <w:b/>
                <w:sz w:val="24"/>
                <w:szCs w:val="24"/>
              </w:rPr>
              <w:t>Nyrer og</w:t>
            </w:r>
            <w:r w:rsidR="00F91792">
              <w:rPr>
                <w:b/>
                <w:sz w:val="24"/>
                <w:szCs w:val="24"/>
              </w:rPr>
              <w:t xml:space="preserve"> </w:t>
            </w:r>
            <w:r w:rsidRPr="00B322D3">
              <w:rPr>
                <w:b/>
                <w:sz w:val="24"/>
                <w:szCs w:val="24"/>
              </w:rPr>
              <w:t>urinveje</w:t>
            </w:r>
          </w:p>
        </w:tc>
        <w:tc>
          <w:tcPr>
            <w:tcW w:w="2741"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Meget sjælden</w:t>
            </w:r>
          </w:p>
        </w:tc>
        <w:tc>
          <w:tcPr>
            <w:tcW w:w="3067" w:type="dxa"/>
            <w:shd w:val="clear" w:color="auto" w:fill="auto"/>
          </w:tcPr>
          <w:p w:rsidR="001B1222" w:rsidRPr="00B322D3" w:rsidRDefault="001B1222" w:rsidP="003B4BCE">
            <w:pPr>
              <w:tabs>
                <w:tab w:val="left" w:pos="0"/>
                <w:tab w:val="left" w:pos="604"/>
                <w:tab w:val="left" w:pos="851"/>
              </w:tabs>
              <w:rPr>
                <w:sz w:val="24"/>
                <w:szCs w:val="24"/>
              </w:rPr>
            </w:pPr>
            <w:r w:rsidRPr="00B322D3">
              <w:rPr>
                <w:sz w:val="24"/>
                <w:szCs w:val="24"/>
              </w:rPr>
              <w:t xml:space="preserve">Steril </w:t>
            </w:r>
            <w:proofErr w:type="spellStart"/>
            <w:r w:rsidRPr="00B322D3">
              <w:rPr>
                <w:sz w:val="24"/>
                <w:szCs w:val="24"/>
              </w:rPr>
              <w:t>pyuri</w:t>
            </w:r>
            <w:proofErr w:type="spellEnd"/>
            <w:r w:rsidRPr="00B322D3">
              <w:rPr>
                <w:sz w:val="24"/>
                <w:szCs w:val="24"/>
              </w:rPr>
              <w:t xml:space="preserve"> (uklar urin) og </w:t>
            </w:r>
            <w:proofErr w:type="spellStart"/>
            <w:r w:rsidRPr="00B322D3">
              <w:rPr>
                <w:sz w:val="24"/>
                <w:szCs w:val="24"/>
              </w:rPr>
              <w:t>renale</w:t>
            </w:r>
            <w:proofErr w:type="spellEnd"/>
            <w:r w:rsidRPr="00B322D3">
              <w:rPr>
                <w:sz w:val="24"/>
                <w:szCs w:val="24"/>
              </w:rPr>
              <w:t xml:space="preserve"> bivirkninger (svær </w:t>
            </w:r>
            <w:r w:rsidRPr="00B322D3">
              <w:rPr>
                <w:sz w:val="24"/>
                <w:szCs w:val="24"/>
              </w:rPr>
              <w:lastRenderedPageBreak/>
              <w:t xml:space="preserve">nyreinsufficiens, </w:t>
            </w:r>
            <w:proofErr w:type="spellStart"/>
            <w:r w:rsidRPr="00B322D3">
              <w:rPr>
                <w:sz w:val="24"/>
                <w:szCs w:val="24"/>
              </w:rPr>
              <w:t>interstitiel</w:t>
            </w:r>
            <w:proofErr w:type="spellEnd"/>
            <w:r w:rsidRPr="00B322D3">
              <w:rPr>
                <w:sz w:val="24"/>
                <w:szCs w:val="24"/>
              </w:rPr>
              <w:t xml:space="preserve"> </w:t>
            </w:r>
            <w:proofErr w:type="spellStart"/>
            <w:r w:rsidRPr="00B322D3">
              <w:rPr>
                <w:sz w:val="24"/>
                <w:szCs w:val="24"/>
              </w:rPr>
              <w:t>nefritis</w:t>
            </w:r>
            <w:proofErr w:type="spellEnd"/>
            <w:r w:rsidRPr="00B322D3">
              <w:rPr>
                <w:sz w:val="24"/>
                <w:szCs w:val="24"/>
              </w:rPr>
              <w:t xml:space="preserve">, hæmaturi, </w:t>
            </w:r>
            <w:proofErr w:type="spellStart"/>
            <w:r w:rsidRPr="00B322D3">
              <w:rPr>
                <w:sz w:val="24"/>
                <w:szCs w:val="24"/>
              </w:rPr>
              <w:t>anurese</w:t>
            </w:r>
            <w:proofErr w:type="spellEnd"/>
            <w:r w:rsidRPr="00B322D3">
              <w:rPr>
                <w:sz w:val="24"/>
                <w:szCs w:val="24"/>
              </w:rPr>
              <w:t>).</w:t>
            </w:r>
          </w:p>
        </w:tc>
      </w:tr>
      <w:tr w:rsidR="001B1222" w:rsidRPr="00B322D3" w:rsidTr="00C724B6">
        <w:tc>
          <w:tcPr>
            <w:tcW w:w="2980" w:type="dxa"/>
            <w:shd w:val="clear" w:color="auto" w:fill="auto"/>
          </w:tcPr>
          <w:p w:rsidR="001B1222" w:rsidRPr="00B322D3" w:rsidRDefault="001B1222" w:rsidP="00F91792">
            <w:pPr>
              <w:tabs>
                <w:tab w:val="left" w:pos="0"/>
                <w:tab w:val="left" w:pos="604"/>
                <w:tab w:val="left" w:pos="851"/>
              </w:tabs>
              <w:rPr>
                <w:rFonts w:ascii="Calibri" w:hAnsi="Calibri"/>
                <w:b/>
                <w:sz w:val="24"/>
                <w:szCs w:val="24"/>
              </w:rPr>
            </w:pPr>
            <w:r w:rsidRPr="00B322D3">
              <w:rPr>
                <w:b/>
                <w:sz w:val="24"/>
                <w:szCs w:val="24"/>
              </w:rPr>
              <w:lastRenderedPageBreak/>
              <w:t>Almene symptomer og</w:t>
            </w:r>
            <w:r w:rsidR="00F91792">
              <w:rPr>
                <w:b/>
                <w:sz w:val="24"/>
                <w:szCs w:val="24"/>
              </w:rPr>
              <w:t xml:space="preserve"> </w:t>
            </w:r>
            <w:r w:rsidRPr="00B322D3">
              <w:rPr>
                <w:b/>
                <w:sz w:val="24"/>
                <w:szCs w:val="24"/>
              </w:rPr>
              <w:t>reaktioner på</w:t>
            </w:r>
            <w:r w:rsidR="00F91792">
              <w:rPr>
                <w:b/>
                <w:sz w:val="24"/>
                <w:szCs w:val="24"/>
              </w:rPr>
              <w:t xml:space="preserve"> </w:t>
            </w:r>
            <w:r w:rsidRPr="00B322D3">
              <w:rPr>
                <w:b/>
                <w:sz w:val="24"/>
                <w:szCs w:val="24"/>
              </w:rPr>
              <w:t>administrationsstedet</w:t>
            </w:r>
          </w:p>
        </w:tc>
        <w:tc>
          <w:tcPr>
            <w:tcW w:w="2741"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Sjælden</w:t>
            </w:r>
          </w:p>
        </w:tc>
        <w:tc>
          <w:tcPr>
            <w:tcW w:w="3067" w:type="dxa"/>
            <w:shd w:val="clear" w:color="auto" w:fill="auto"/>
          </w:tcPr>
          <w:p w:rsidR="001B1222" w:rsidRPr="00B322D3" w:rsidRDefault="001B1222" w:rsidP="003B4BCE">
            <w:pPr>
              <w:tabs>
                <w:tab w:val="left" w:pos="0"/>
                <w:tab w:val="left" w:pos="604"/>
                <w:tab w:val="left" w:pos="851"/>
              </w:tabs>
              <w:rPr>
                <w:sz w:val="24"/>
                <w:szCs w:val="24"/>
              </w:rPr>
            </w:pPr>
            <w:r w:rsidRPr="00B322D3">
              <w:rPr>
                <w:sz w:val="24"/>
                <w:szCs w:val="24"/>
              </w:rPr>
              <w:t xml:space="preserve">Svimmelhed (undtagen </w:t>
            </w:r>
            <w:proofErr w:type="spellStart"/>
            <w:r w:rsidRPr="00B322D3">
              <w:rPr>
                <w:sz w:val="24"/>
                <w:szCs w:val="24"/>
              </w:rPr>
              <w:t>vertigo</w:t>
            </w:r>
            <w:proofErr w:type="spellEnd"/>
            <w:r w:rsidRPr="00B322D3">
              <w:rPr>
                <w:sz w:val="24"/>
                <w:szCs w:val="24"/>
              </w:rPr>
              <w:t xml:space="preserve">), utilpashed, </w:t>
            </w:r>
            <w:proofErr w:type="spellStart"/>
            <w:r w:rsidRPr="00B322D3">
              <w:rPr>
                <w:sz w:val="24"/>
                <w:szCs w:val="24"/>
              </w:rPr>
              <w:t>pyreksi</w:t>
            </w:r>
            <w:proofErr w:type="spellEnd"/>
            <w:r w:rsidRPr="00B322D3">
              <w:rPr>
                <w:sz w:val="24"/>
                <w:szCs w:val="24"/>
              </w:rPr>
              <w:t>, sedation, lægemiddel</w:t>
            </w:r>
            <w:r w:rsidR="00F3382C">
              <w:rPr>
                <w:sz w:val="24"/>
                <w:szCs w:val="24"/>
              </w:rPr>
              <w:softHyphen/>
            </w:r>
            <w:r w:rsidRPr="00B322D3">
              <w:rPr>
                <w:sz w:val="24"/>
                <w:szCs w:val="24"/>
              </w:rPr>
              <w:t>interaktion (ikke specificeret).</w:t>
            </w:r>
          </w:p>
        </w:tc>
      </w:tr>
      <w:tr w:rsidR="001B1222" w:rsidRPr="00B322D3" w:rsidTr="00C724B6">
        <w:tc>
          <w:tcPr>
            <w:tcW w:w="2980" w:type="dxa"/>
            <w:shd w:val="clear" w:color="auto" w:fill="auto"/>
          </w:tcPr>
          <w:p w:rsidR="001B1222" w:rsidRPr="00B322D3" w:rsidRDefault="001B1222" w:rsidP="00F91792">
            <w:pPr>
              <w:tabs>
                <w:tab w:val="left" w:pos="0"/>
                <w:tab w:val="left" w:pos="604"/>
                <w:tab w:val="left" w:pos="851"/>
              </w:tabs>
              <w:rPr>
                <w:rFonts w:ascii="Calibri" w:hAnsi="Calibri"/>
                <w:b/>
                <w:sz w:val="24"/>
                <w:szCs w:val="24"/>
              </w:rPr>
            </w:pPr>
            <w:r w:rsidRPr="00B322D3">
              <w:rPr>
                <w:b/>
                <w:sz w:val="24"/>
                <w:szCs w:val="24"/>
              </w:rPr>
              <w:t>Traumer, forgiftninger og</w:t>
            </w:r>
            <w:r w:rsidR="00F91792">
              <w:rPr>
                <w:b/>
                <w:sz w:val="24"/>
                <w:szCs w:val="24"/>
              </w:rPr>
              <w:t xml:space="preserve"> </w:t>
            </w:r>
            <w:r w:rsidRPr="00B322D3">
              <w:rPr>
                <w:b/>
                <w:sz w:val="24"/>
                <w:szCs w:val="24"/>
              </w:rPr>
              <w:t>behandlingskomplikationer</w:t>
            </w:r>
          </w:p>
        </w:tc>
        <w:tc>
          <w:tcPr>
            <w:tcW w:w="2741"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Sjælden</w:t>
            </w:r>
          </w:p>
        </w:tc>
        <w:tc>
          <w:tcPr>
            <w:tcW w:w="3067" w:type="dxa"/>
            <w:shd w:val="clear" w:color="auto" w:fill="auto"/>
          </w:tcPr>
          <w:p w:rsidR="001B1222" w:rsidRPr="00B322D3" w:rsidRDefault="001B1222" w:rsidP="003B4BCE">
            <w:pPr>
              <w:tabs>
                <w:tab w:val="left" w:pos="0"/>
                <w:tab w:val="left" w:pos="604"/>
                <w:tab w:val="left" w:pos="851"/>
              </w:tabs>
              <w:rPr>
                <w:rFonts w:ascii="Calibri" w:hAnsi="Calibri"/>
                <w:sz w:val="24"/>
                <w:szCs w:val="24"/>
              </w:rPr>
            </w:pPr>
            <w:r w:rsidRPr="00B322D3">
              <w:rPr>
                <w:sz w:val="24"/>
                <w:szCs w:val="24"/>
              </w:rPr>
              <w:t>Overdosering og forgiftning.</w:t>
            </w:r>
          </w:p>
        </w:tc>
      </w:tr>
    </w:tbl>
    <w:p w:rsidR="00C724B6" w:rsidRDefault="00C724B6" w:rsidP="001B1222">
      <w:pPr>
        <w:ind w:left="851"/>
        <w:rPr>
          <w:sz w:val="24"/>
          <w:szCs w:val="24"/>
        </w:rPr>
      </w:pPr>
    </w:p>
    <w:p w:rsidR="001B1222" w:rsidRPr="00B322D3" w:rsidRDefault="001B1222" w:rsidP="001B1222">
      <w:pPr>
        <w:autoSpaceDE w:val="0"/>
        <w:autoSpaceDN w:val="0"/>
        <w:ind w:left="851"/>
        <w:rPr>
          <w:sz w:val="24"/>
          <w:szCs w:val="24"/>
          <w:u w:val="single"/>
          <w:lang w:eastAsia="da-DK"/>
        </w:rPr>
      </w:pPr>
      <w:r w:rsidRPr="00B322D3">
        <w:rPr>
          <w:sz w:val="24"/>
          <w:szCs w:val="24"/>
          <w:u w:val="single"/>
          <w:lang w:eastAsia="da-DK"/>
        </w:rPr>
        <w:t>Indberetning af formodede bivirkninger</w:t>
      </w:r>
    </w:p>
    <w:p w:rsidR="001B1222" w:rsidRPr="00B322D3" w:rsidRDefault="001B1222" w:rsidP="001B1222">
      <w:pPr>
        <w:ind w:left="851"/>
        <w:rPr>
          <w:sz w:val="24"/>
          <w:szCs w:val="24"/>
          <w:lang w:eastAsia="da-DK"/>
        </w:rPr>
      </w:pPr>
      <w:r w:rsidRPr="00B322D3">
        <w:rPr>
          <w:sz w:val="24"/>
          <w:szCs w:val="24"/>
          <w:lang w:eastAsia="da-DK"/>
        </w:rPr>
        <w:t>Når lægemidlet er godkendt, er indberetning af formodede bivirkninger vigtig. Det muliggør løbende overvågning af benefit/</w:t>
      </w:r>
      <w:proofErr w:type="spellStart"/>
      <w:r w:rsidRPr="00B322D3">
        <w:rPr>
          <w:sz w:val="24"/>
          <w:szCs w:val="24"/>
          <w:lang w:eastAsia="da-DK"/>
        </w:rPr>
        <w:t>risk</w:t>
      </w:r>
      <w:proofErr w:type="spellEnd"/>
      <w:r w:rsidRPr="00B322D3">
        <w:rPr>
          <w:sz w:val="24"/>
          <w:szCs w:val="24"/>
          <w:lang w:eastAsia="da-DK"/>
        </w:rPr>
        <w:t xml:space="preserve">-forholdet for lægemidlet. </w:t>
      </w:r>
      <w:r w:rsidR="00F3382C">
        <w:rPr>
          <w:sz w:val="24"/>
          <w:szCs w:val="24"/>
          <w:lang w:eastAsia="da-DK"/>
        </w:rPr>
        <w:t>S</w:t>
      </w:r>
      <w:r w:rsidRPr="00B322D3">
        <w:rPr>
          <w:sz w:val="24"/>
          <w:szCs w:val="24"/>
          <w:lang w:eastAsia="da-DK"/>
        </w:rPr>
        <w:t>undhedsperson</w:t>
      </w:r>
      <w:r w:rsidR="00F3382C">
        <w:rPr>
          <w:sz w:val="24"/>
          <w:szCs w:val="24"/>
          <w:lang w:eastAsia="da-DK"/>
        </w:rPr>
        <w:t>er</w:t>
      </w:r>
      <w:r w:rsidRPr="00B322D3">
        <w:rPr>
          <w:sz w:val="24"/>
          <w:szCs w:val="24"/>
          <w:lang w:eastAsia="da-DK"/>
        </w:rPr>
        <w:t xml:space="preserve"> anmodes om at indberette alle formodede bivirkninger via:</w:t>
      </w:r>
    </w:p>
    <w:p w:rsidR="001B1222" w:rsidRPr="00B322D3" w:rsidRDefault="001B1222" w:rsidP="001B1222">
      <w:pPr>
        <w:ind w:left="851"/>
        <w:rPr>
          <w:sz w:val="24"/>
          <w:szCs w:val="24"/>
          <w:lang w:eastAsia="da-DK"/>
        </w:rPr>
      </w:pPr>
    </w:p>
    <w:p w:rsidR="001B1222" w:rsidRPr="00B322D3" w:rsidRDefault="001B1222" w:rsidP="001B1222">
      <w:pPr>
        <w:ind w:left="851"/>
        <w:rPr>
          <w:sz w:val="24"/>
          <w:szCs w:val="24"/>
          <w:lang w:eastAsia="da-DK"/>
        </w:rPr>
      </w:pPr>
      <w:r w:rsidRPr="00B322D3">
        <w:rPr>
          <w:sz w:val="24"/>
          <w:szCs w:val="24"/>
          <w:lang w:eastAsia="da-DK"/>
        </w:rPr>
        <w:t>Lægemiddelstyrelsen</w:t>
      </w:r>
    </w:p>
    <w:p w:rsidR="001B1222" w:rsidRPr="00B322D3" w:rsidRDefault="001B1222" w:rsidP="001B1222">
      <w:pPr>
        <w:ind w:left="851"/>
        <w:rPr>
          <w:sz w:val="24"/>
          <w:szCs w:val="24"/>
          <w:lang w:eastAsia="da-DK"/>
        </w:rPr>
      </w:pPr>
      <w:r w:rsidRPr="00B322D3">
        <w:rPr>
          <w:sz w:val="24"/>
          <w:szCs w:val="24"/>
          <w:lang w:eastAsia="da-DK"/>
        </w:rPr>
        <w:t>Axel Heides Gade 1</w:t>
      </w:r>
    </w:p>
    <w:p w:rsidR="001B1222" w:rsidRPr="00B322D3" w:rsidRDefault="001B1222" w:rsidP="001B1222">
      <w:pPr>
        <w:ind w:left="851"/>
        <w:rPr>
          <w:sz w:val="24"/>
          <w:szCs w:val="24"/>
          <w:lang w:eastAsia="da-DK"/>
        </w:rPr>
      </w:pPr>
      <w:r w:rsidRPr="00B322D3">
        <w:rPr>
          <w:sz w:val="24"/>
          <w:szCs w:val="24"/>
          <w:lang w:eastAsia="da-DK"/>
        </w:rPr>
        <w:t>DK-2300 København S</w:t>
      </w:r>
    </w:p>
    <w:p w:rsidR="001B1222" w:rsidRPr="009D4055" w:rsidRDefault="001B1222" w:rsidP="001B1222">
      <w:pPr>
        <w:ind w:left="851"/>
        <w:rPr>
          <w:sz w:val="24"/>
          <w:szCs w:val="24"/>
          <w:lang w:eastAsia="da-DK"/>
        </w:rPr>
      </w:pPr>
      <w:r w:rsidRPr="009D4055">
        <w:rPr>
          <w:sz w:val="24"/>
          <w:szCs w:val="24"/>
          <w:lang w:eastAsia="da-DK"/>
        </w:rPr>
        <w:t xml:space="preserve">Websted: </w:t>
      </w:r>
      <w:hyperlink r:id="rId8" w:history="1">
        <w:r w:rsidRPr="009D4055">
          <w:rPr>
            <w:color w:val="0000FF"/>
            <w:sz w:val="24"/>
            <w:szCs w:val="24"/>
            <w:u w:val="single"/>
            <w:lang w:eastAsia="da-DK"/>
          </w:rPr>
          <w:t>www.meldenbivirkning.dk</w:t>
        </w:r>
      </w:hyperlink>
    </w:p>
    <w:p w:rsidR="001B1222" w:rsidRPr="009D4055" w:rsidRDefault="001B1222" w:rsidP="001B1222">
      <w:pPr>
        <w:pStyle w:val="Sidehoved"/>
        <w:tabs>
          <w:tab w:val="clear" w:pos="4819"/>
          <w:tab w:val="clear" w:pos="9638"/>
        </w:tabs>
        <w:ind w:left="851" w:hanging="851"/>
        <w:rPr>
          <w:szCs w:val="24"/>
        </w:rPr>
      </w:pPr>
    </w:p>
    <w:p w:rsidR="001B1222" w:rsidRPr="006666D1" w:rsidRDefault="001B1222" w:rsidP="001B1222">
      <w:pPr>
        <w:ind w:left="851" w:hanging="851"/>
        <w:rPr>
          <w:b/>
          <w:sz w:val="24"/>
          <w:szCs w:val="24"/>
        </w:rPr>
      </w:pPr>
      <w:r w:rsidRPr="006666D1">
        <w:rPr>
          <w:b/>
          <w:sz w:val="24"/>
          <w:szCs w:val="24"/>
        </w:rPr>
        <w:t>4.9</w:t>
      </w:r>
      <w:r w:rsidRPr="006666D1">
        <w:rPr>
          <w:b/>
          <w:sz w:val="24"/>
          <w:szCs w:val="24"/>
        </w:rPr>
        <w:tab/>
        <w:t>Overdosering</w:t>
      </w:r>
    </w:p>
    <w:p w:rsidR="001B1222" w:rsidRPr="00635FAA" w:rsidRDefault="001B1222" w:rsidP="001B1222">
      <w:pPr>
        <w:pStyle w:val="Sidehoved"/>
        <w:ind w:left="851"/>
        <w:rPr>
          <w:color w:val="000000"/>
          <w:szCs w:val="24"/>
        </w:rPr>
      </w:pPr>
      <w:r>
        <w:rPr>
          <w:color w:val="000000"/>
          <w:szCs w:val="24"/>
        </w:rPr>
        <w:tab/>
      </w:r>
      <w:r w:rsidRPr="00635FAA">
        <w:rPr>
          <w:color w:val="000000"/>
          <w:szCs w:val="24"/>
        </w:rPr>
        <w:t>For paracetamol er der risiko for forgiftning, især hos ældre, små børn, patienter med leversygdomme, ved kronisk alkoholisme, patienter med kronisk fejlernæring og patienter, som anvender enzyminducerende stoffer. Overdosering kan være dødelig.</w:t>
      </w:r>
    </w:p>
    <w:p w:rsidR="001B1222" w:rsidRPr="00635FAA" w:rsidRDefault="001B1222" w:rsidP="001B1222">
      <w:pPr>
        <w:pStyle w:val="Sidehoved"/>
        <w:ind w:left="851"/>
        <w:rPr>
          <w:color w:val="000000"/>
          <w:szCs w:val="24"/>
        </w:rPr>
      </w:pPr>
    </w:p>
    <w:p w:rsidR="001B1222" w:rsidRPr="00635FAA" w:rsidRDefault="001B1222" w:rsidP="001B1222">
      <w:pPr>
        <w:pStyle w:val="Sidehoved"/>
        <w:ind w:left="851"/>
        <w:rPr>
          <w:color w:val="000000"/>
          <w:szCs w:val="24"/>
        </w:rPr>
      </w:pPr>
      <w:r>
        <w:rPr>
          <w:color w:val="000000"/>
          <w:szCs w:val="24"/>
        </w:rPr>
        <w:tab/>
      </w:r>
      <w:r w:rsidRPr="00635FAA">
        <w:rPr>
          <w:color w:val="000000"/>
          <w:szCs w:val="24"/>
        </w:rPr>
        <w:t>Der er risiko for leverskader hos voksne, der har taget 6</w:t>
      </w:r>
      <w:r>
        <w:rPr>
          <w:color w:val="000000"/>
          <w:szCs w:val="24"/>
        </w:rPr>
        <w:t>000 m</w:t>
      </w:r>
      <w:r w:rsidRPr="00635FAA">
        <w:rPr>
          <w:color w:val="000000"/>
          <w:szCs w:val="24"/>
        </w:rPr>
        <w:t xml:space="preserve">g </w:t>
      </w:r>
      <w:r>
        <w:rPr>
          <w:color w:val="000000"/>
          <w:szCs w:val="24"/>
        </w:rPr>
        <w:t xml:space="preserve">(6 g) </w:t>
      </w:r>
      <w:r w:rsidRPr="00635FAA">
        <w:rPr>
          <w:color w:val="000000"/>
          <w:szCs w:val="24"/>
        </w:rPr>
        <w:t>paracetamol eller mere, især hvis patienten har risikofaktorer (se nedenfor).</w:t>
      </w:r>
    </w:p>
    <w:p w:rsidR="001B1222" w:rsidRDefault="001B1222" w:rsidP="001B1222">
      <w:pPr>
        <w:ind w:left="851"/>
        <w:rPr>
          <w:sz w:val="24"/>
          <w:szCs w:val="24"/>
        </w:rPr>
      </w:pPr>
    </w:p>
    <w:p w:rsidR="001B1222" w:rsidRPr="00921C58" w:rsidRDefault="001B1222" w:rsidP="001B1222">
      <w:pPr>
        <w:pStyle w:val="Sidehoved"/>
        <w:ind w:left="851"/>
        <w:rPr>
          <w:color w:val="000000"/>
          <w:szCs w:val="24"/>
          <w:u w:val="single"/>
        </w:rPr>
      </w:pPr>
      <w:r>
        <w:rPr>
          <w:color w:val="000000"/>
          <w:szCs w:val="24"/>
          <w:u w:val="single"/>
        </w:rPr>
        <w:t>Risikofaktorer</w:t>
      </w:r>
    </w:p>
    <w:p w:rsidR="001B1222" w:rsidRDefault="001B1222" w:rsidP="001B1222">
      <w:pPr>
        <w:pStyle w:val="Sidehoved"/>
        <w:ind w:left="851"/>
        <w:rPr>
          <w:color w:val="000000"/>
          <w:szCs w:val="24"/>
        </w:rPr>
      </w:pPr>
    </w:p>
    <w:p w:rsidR="001B1222" w:rsidRPr="00635FAA" w:rsidRDefault="001B1222" w:rsidP="001B1222">
      <w:pPr>
        <w:pStyle w:val="Sidehoved"/>
        <w:ind w:left="851"/>
        <w:rPr>
          <w:color w:val="000000"/>
          <w:szCs w:val="24"/>
        </w:rPr>
      </w:pPr>
      <w:r w:rsidRPr="00635FAA">
        <w:rPr>
          <w:color w:val="000000"/>
          <w:szCs w:val="24"/>
        </w:rPr>
        <w:t>Hvis patienten</w:t>
      </w:r>
    </w:p>
    <w:p w:rsidR="001B1222" w:rsidRPr="00635FAA" w:rsidRDefault="001B1222" w:rsidP="001B1222">
      <w:pPr>
        <w:pStyle w:val="Sidehoved"/>
        <w:numPr>
          <w:ilvl w:val="0"/>
          <w:numId w:val="10"/>
        </w:numPr>
        <w:tabs>
          <w:tab w:val="left" w:pos="851"/>
        </w:tabs>
        <w:ind w:left="1134" w:hanging="283"/>
        <w:rPr>
          <w:color w:val="000000"/>
          <w:szCs w:val="24"/>
        </w:rPr>
      </w:pPr>
      <w:r w:rsidRPr="00635FAA">
        <w:rPr>
          <w:color w:val="000000"/>
          <w:szCs w:val="24"/>
        </w:rPr>
        <w:t xml:space="preserve">Er i langtidsbehandling med </w:t>
      </w:r>
      <w:proofErr w:type="spellStart"/>
      <w:r w:rsidRPr="00635FAA">
        <w:rPr>
          <w:color w:val="000000"/>
          <w:szCs w:val="24"/>
        </w:rPr>
        <w:t>carbamazepin</w:t>
      </w:r>
      <w:proofErr w:type="spellEnd"/>
      <w:r w:rsidRPr="00635FAA">
        <w:rPr>
          <w:color w:val="000000"/>
          <w:szCs w:val="24"/>
        </w:rPr>
        <w:t xml:space="preserve">, </w:t>
      </w:r>
      <w:proofErr w:type="spellStart"/>
      <w:r w:rsidRPr="00635FAA">
        <w:rPr>
          <w:color w:val="000000"/>
          <w:szCs w:val="24"/>
        </w:rPr>
        <w:t>phenobarbital</w:t>
      </w:r>
      <w:proofErr w:type="spellEnd"/>
      <w:r w:rsidRPr="00635FAA">
        <w:rPr>
          <w:color w:val="000000"/>
          <w:szCs w:val="24"/>
        </w:rPr>
        <w:t xml:space="preserve">, </w:t>
      </w:r>
      <w:proofErr w:type="spellStart"/>
      <w:r w:rsidRPr="00635FAA">
        <w:rPr>
          <w:color w:val="000000"/>
          <w:szCs w:val="24"/>
        </w:rPr>
        <w:t>fenytoin</w:t>
      </w:r>
      <w:proofErr w:type="spellEnd"/>
      <w:r w:rsidRPr="00635FAA">
        <w:rPr>
          <w:color w:val="000000"/>
          <w:szCs w:val="24"/>
        </w:rPr>
        <w:t xml:space="preserve">, </w:t>
      </w:r>
      <w:proofErr w:type="spellStart"/>
      <w:r w:rsidRPr="00635FAA">
        <w:rPr>
          <w:color w:val="000000"/>
          <w:szCs w:val="24"/>
        </w:rPr>
        <w:t>primidon</w:t>
      </w:r>
      <w:proofErr w:type="spellEnd"/>
      <w:r w:rsidRPr="00635FAA">
        <w:rPr>
          <w:color w:val="000000"/>
          <w:szCs w:val="24"/>
        </w:rPr>
        <w:t xml:space="preserve">, </w:t>
      </w:r>
      <w:proofErr w:type="spellStart"/>
      <w:r w:rsidRPr="00635FAA">
        <w:rPr>
          <w:color w:val="000000"/>
          <w:szCs w:val="24"/>
        </w:rPr>
        <w:t>rifampicin</w:t>
      </w:r>
      <w:proofErr w:type="spellEnd"/>
      <w:r w:rsidRPr="00635FAA">
        <w:rPr>
          <w:color w:val="000000"/>
          <w:szCs w:val="24"/>
        </w:rPr>
        <w:t>, perikon eller andre lægemidler, der</w:t>
      </w:r>
      <w:r>
        <w:rPr>
          <w:color w:val="000000"/>
          <w:szCs w:val="24"/>
        </w:rPr>
        <w:t xml:space="preserve"> inducerer leverenzymer,</w:t>
      </w:r>
    </w:p>
    <w:p w:rsidR="001B1222" w:rsidRPr="00635FAA" w:rsidRDefault="001B1222" w:rsidP="001B1222">
      <w:pPr>
        <w:pStyle w:val="Sidehoved"/>
        <w:tabs>
          <w:tab w:val="left" w:pos="851"/>
        </w:tabs>
        <w:ind w:left="1134" w:hanging="283"/>
        <w:rPr>
          <w:color w:val="000000"/>
          <w:szCs w:val="24"/>
        </w:rPr>
      </w:pPr>
      <w:r>
        <w:rPr>
          <w:color w:val="000000"/>
          <w:szCs w:val="24"/>
        </w:rPr>
        <w:t>eller</w:t>
      </w:r>
    </w:p>
    <w:p w:rsidR="001B1222" w:rsidRPr="00A94833" w:rsidRDefault="001B1222" w:rsidP="001B1222">
      <w:pPr>
        <w:pStyle w:val="Sidehoved"/>
        <w:numPr>
          <w:ilvl w:val="0"/>
          <w:numId w:val="10"/>
        </w:numPr>
        <w:ind w:left="1134" w:hanging="283"/>
        <w:rPr>
          <w:color w:val="000000"/>
          <w:szCs w:val="24"/>
        </w:rPr>
      </w:pPr>
      <w:r>
        <w:rPr>
          <w:color w:val="000000"/>
          <w:szCs w:val="24"/>
        </w:rPr>
        <w:t>j</w:t>
      </w:r>
      <w:r w:rsidRPr="00635FAA">
        <w:rPr>
          <w:color w:val="000000"/>
          <w:szCs w:val="24"/>
        </w:rPr>
        <w:t xml:space="preserve">ævnligt indtager </w:t>
      </w:r>
      <w:r>
        <w:rPr>
          <w:color w:val="000000"/>
          <w:szCs w:val="24"/>
        </w:rPr>
        <w:t>alkohol</w:t>
      </w:r>
      <w:r w:rsidRPr="00635FAA">
        <w:rPr>
          <w:color w:val="000000"/>
          <w:szCs w:val="24"/>
        </w:rPr>
        <w:t xml:space="preserve"> </w:t>
      </w:r>
      <w:r>
        <w:rPr>
          <w:color w:val="000000"/>
          <w:szCs w:val="24"/>
        </w:rPr>
        <w:t>i større mængder end anbefalet,</w:t>
      </w:r>
    </w:p>
    <w:p w:rsidR="001B1222" w:rsidRPr="00442F01" w:rsidRDefault="001B1222" w:rsidP="001B1222">
      <w:pPr>
        <w:pStyle w:val="Sidehoved"/>
        <w:tabs>
          <w:tab w:val="left" w:pos="851"/>
        </w:tabs>
        <w:ind w:left="851"/>
        <w:rPr>
          <w:color w:val="000000"/>
          <w:szCs w:val="24"/>
        </w:rPr>
      </w:pPr>
      <w:r w:rsidRPr="00442F01">
        <w:rPr>
          <w:color w:val="000000"/>
          <w:szCs w:val="24"/>
        </w:rPr>
        <w:t>eller</w:t>
      </w:r>
    </w:p>
    <w:p w:rsidR="001B1222" w:rsidRPr="00442F01" w:rsidRDefault="001B1222" w:rsidP="001B1222">
      <w:pPr>
        <w:pStyle w:val="Sidehoved"/>
        <w:numPr>
          <w:ilvl w:val="0"/>
          <w:numId w:val="9"/>
        </w:numPr>
        <w:tabs>
          <w:tab w:val="right" w:pos="8640"/>
        </w:tabs>
        <w:ind w:left="1134" w:hanging="283"/>
        <w:rPr>
          <w:color w:val="000000"/>
          <w:szCs w:val="24"/>
        </w:rPr>
      </w:pPr>
      <w:r w:rsidRPr="00442F01">
        <w:rPr>
          <w:szCs w:val="24"/>
        </w:rPr>
        <w:tab/>
      </w:r>
      <w:r w:rsidRPr="00442F01">
        <w:rPr>
          <w:color w:val="000000"/>
          <w:szCs w:val="24"/>
        </w:rPr>
        <w:t xml:space="preserve">sandsynligvis har </w:t>
      </w:r>
      <w:proofErr w:type="spellStart"/>
      <w:r w:rsidRPr="00442F01">
        <w:rPr>
          <w:color w:val="000000"/>
          <w:szCs w:val="24"/>
        </w:rPr>
        <w:t>glutationmangel</w:t>
      </w:r>
      <w:proofErr w:type="spellEnd"/>
      <w:r w:rsidRPr="00442F01">
        <w:rPr>
          <w:color w:val="000000"/>
          <w:szCs w:val="24"/>
        </w:rPr>
        <w:t xml:space="preserve">, f.eks. ved spiseforstyrrelser, cystisk fibrose, HIV-infektion, sult, </w:t>
      </w:r>
      <w:proofErr w:type="spellStart"/>
      <w:r w:rsidRPr="00442F01">
        <w:rPr>
          <w:color w:val="000000"/>
          <w:szCs w:val="24"/>
        </w:rPr>
        <w:t>kakeksi</w:t>
      </w:r>
      <w:proofErr w:type="spellEnd"/>
      <w:r w:rsidRPr="00442F01">
        <w:rPr>
          <w:color w:val="000000"/>
          <w:szCs w:val="24"/>
        </w:rPr>
        <w:t>.</w:t>
      </w:r>
    </w:p>
    <w:p w:rsidR="001B1222" w:rsidRPr="00442F01" w:rsidRDefault="001B1222" w:rsidP="001B1222">
      <w:pPr>
        <w:pStyle w:val="Sidehoved"/>
        <w:tabs>
          <w:tab w:val="right" w:pos="8640"/>
        </w:tabs>
        <w:ind w:left="1134"/>
        <w:rPr>
          <w:color w:val="000000"/>
          <w:szCs w:val="24"/>
        </w:rPr>
      </w:pPr>
    </w:p>
    <w:p w:rsidR="001B1222" w:rsidRPr="00442F01" w:rsidRDefault="001B1222" w:rsidP="001B1222">
      <w:pPr>
        <w:tabs>
          <w:tab w:val="left" w:pos="851"/>
          <w:tab w:val="left" w:pos="1745"/>
        </w:tabs>
        <w:ind w:left="851"/>
        <w:rPr>
          <w:sz w:val="24"/>
          <w:szCs w:val="24"/>
          <w:u w:val="single"/>
        </w:rPr>
      </w:pPr>
      <w:r w:rsidRPr="00442F01">
        <w:rPr>
          <w:sz w:val="24"/>
          <w:szCs w:val="24"/>
          <w:u w:val="single"/>
        </w:rPr>
        <w:t>Symptomer</w:t>
      </w:r>
    </w:p>
    <w:p w:rsidR="001B1222" w:rsidRPr="00442F01" w:rsidRDefault="001B1222" w:rsidP="001B1222">
      <w:pPr>
        <w:tabs>
          <w:tab w:val="left" w:pos="851"/>
          <w:tab w:val="left" w:pos="1745"/>
        </w:tabs>
        <w:ind w:left="851"/>
        <w:rPr>
          <w:sz w:val="24"/>
          <w:szCs w:val="24"/>
        </w:rPr>
      </w:pPr>
      <w:r w:rsidRPr="00442F01">
        <w:rPr>
          <w:sz w:val="24"/>
          <w:szCs w:val="24"/>
        </w:rPr>
        <w:t>Akut paracetamolforgiftning kan udvikle sig i flere faser.</w:t>
      </w:r>
    </w:p>
    <w:p w:rsidR="001B1222" w:rsidRPr="00442F01" w:rsidRDefault="001B1222" w:rsidP="001B1222">
      <w:pPr>
        <w:tabs>
          <w:tab w:val="left" w:pos="851"/>
          <w:tab w:val="left" w:pos="1745"/>
        </w:tabs>
        <w:ind w:left="851"/>
        <w:rPr>
          <w:sz w:val="24"/>
          <w:szCs w:val="24"/>
        </w:rPr>
      </w:pPr>
      <w:r w:rsidRPr="00442F01">
        <w:rPr>
          <w:sz w:val="24"/>
          <w:szCs w:val="24"/>
        </w:rPr>
        <w:t>Symptomerne på overdosering af paracetamol i de første to dage er kvalme, opkastning, appetitløshed, bleghed og mavesmerter. Let forgiftning er begrænset til disse symptomer.</w:t>
      </w:r>
    </w:p>
    <w:p w:rsidR="001B1222" w:rsidRPr="00442F01" w:rsidRDefault="001B1222" w:rsidP="001B1222">
      <w:pPr>
        <w:tabs>
          <w:tab w:val="left" w:pos="851"/>
          <w:tab w:val="left" w:pos="1745"/>
        </w:tabs>
        <w:ind w:left="851"/>
        <w:rPr>
          <w:sz w:val="24"/>
          <w:szCs w:val="24"/>
        </w:rPr>
      </w:pPr>
    </w:p>
    <w:p w:rsidR="001B1222" w:rsidRPr="00442F01" w:rsidRDefault="001B1222" w:rsidP="001B1222">
      <w:pPr>
        <w:tabs>
          <w:tab w:val="left" w:pos="851"/>
          <w:tab w:val="left" w:pos="1745"/>
        </w:tabs>
        <w:ind w:left="851"/>
        <w:rPr>
          <w:sz w:val="24"/>
          <w:szCs w:val="24"/>
        </w:rPr>
      </w:pPr>
      <w:r w:rsidRPr="00442F01">
        <w:rPr>
          <w:sz w:val="24"/>
          <w:szCs w:val="24"/>
        </w:rPr>
        <w:t>Ved mere alvorlig forgiftning ses der subkliniske symptomer såsom forhøjede leverenzymer.</w:t>
      </w:r>
    </w:p>
    <w:p w:rsidR="001B1222" w:rsidRPr="00442F01" w:rsidRDefault="001B1222" w:rsidP="001B1222">
      <w:pPr>
        <w:tabs>
          <w:tab w:val="left" w:pos="851"/>
          <w:tab w:val="left" w:pos="1745"/>
        </w:tabs>
        <w:ind w:left="851"/>
        <w:rPr>
          <w:sz w:val="24"/>
          <w:szCs w:val="24"/>
        </w:rPr>
      </w:pPr>
      <w:r w:rsidRPr="00442F01">
        <w:rPr>
          <w:sz w:val="24"/>
          <w:szCs w:val="24"/>
        </w:rPr>
        <w:t xml:space="preserve">Fra 2-4 dage efter eksponering viser kliniske symptomer på leverskade sig, f.eks. smertefuld </w:t>
      </w:r>
      <w:proofErr w:type="spellStart"/>
      <w:r w:rsidRPr="00442F01">
        <w:rPr>
          <w:sz w:val="24"/>
          <w:szCs w:val="24"/>
        </w:rPr>
        <w:t>hepatomegali</w:t>
      </w:r>
      <w:proofErr w:type="spellEnd"/>
      <w:r w:rsidRPr="00442F01">
        <w:rPr>
          <w:sz w:val="24"/>
          <w:szCs w:val="24"/>
        </w:rPr>
        <w:t>, gulsot, encefalopati, koma og forstyrret blodgennemstrømning (blodpropper), alle sekundære til leverinsufficiens.</w:t>
      </w:r>
    </w:p>
    <w:p w:rsidR="001B1222" w:rsidRPr="00442F01" w:rsidRDefault="001B1222" w:rsidP="001B1222">
      <w:pPr>
        <w:tabs>
          <w:tab w:val="left" w:pos="851"/>
          <w:tab w:val="left" w:pos="1745"/>
        </w:tabs>
        <w:ind w:left="851"/>
        <w:rPr>
          <w:sz w:val="24"/>
          <w:szCs w:val="24"/>
        </w:rPr>
      </w:pPr>
    </w:p>
    <w:p w:rsidR="001B1222" w:rsidRPr="00442F01" w:rsidRDefault="001B1222" w:rsidP="001B1222">
      <w:pPr>
        <w:tabs>
          <w:tab w:val="left" w:pos="851"/>
          <w:tab w:val="left" w:pos="1745"/>
        </w:tabs>
        <w:ind w:left="851"/>
        <w:rPr>
          <w:sz w:val="24"/>
          <w:szCs w:val="24"/>
        </w:rPr>
      </w:pPr>
      <w:r w:rsidRPr="00442F01">
        <w:rPr>
          <w:sz w:val="24"/>
          <w:szCs w:val="24"/>
        </w:rPr>
        <w:t>Utilstrækkelig nyrefunktion (</w:t>
      </w:r>
      <w:proofErr w:type="spellStart"/>
      <w:r w:rsidRPr="00442F01">
        <w:rPr>
          <w:sz w:val="24"/>
          <w:szCs w:val="24"/>
        </w:rPr>
        <w:t>tubulusnekrose</w:t>
      </w:r>
      <w:proofErr w:type="spellEnd"/>
      <w:r w:rsidRPr="00442F01">
        <w:rPr>
          <w:sz w:val="24"/>
          <w:szCs w:val="24"/>
        </w:rPr>
        <w:t xml:space="preserve">) er sjælden. Alvorlig forgiftning kan resultere i metabolisk </w:t>
      </w:r>
      <w:proofErr w:type="spellStart"/>
      <w:r w:rsidRPr="00442F01">
        <w:rPr>
          <w:sz w:val="24"/>
          <w:szCs w:val="24"/>
        </w:rPr>
        <w:t>acidose</w:t>
      </w:r>
      <w:proofErr w:type="spellEnd"/>
      <w:r w:rsidRPr="00442F01">
        <w:rPr>
          <w:sz w:val="24"/>
          <w:szCs w:val="24"/>
        </w:rPr>
        <w:t>.</w:t>
      </w:r>
    </w:p>
    <w:p w:rsidR="001B1222" w:rsidRPr="00442F01" w:rsidRDefault="001B1222" w:rsidP="001B1222">
      <w:pPr>
        <w:ind w:left="851"/>
        <w:rPr>
          <w:sz w:val="24"/>
          <w:szCs w:val="24"/>
        </w:rPr>
      </w:pPr>
    </w:p>
    <w:p w:rsidR="001B1222" w:rsidRPr="00442F01" w:rsidRDefault="001B1222" w:rsidP="001B1222">
      <w:pPr>
        <w:tabs>
          <w:tab w:val="left" w:pos="851"/>
          <w:tab w:val="left" w:pos="1745"/>
        </w:tabs>
        <w:ind w:left="851"/>
        <w:jc w:val="both"/>
        <w:rPr>
          <w:sz w:val="24"/>
          <w:szCs w:val="24"/>
          <w:u w:val="single"/>
        </w:rPr>
      </w:pPr>
      <w:r w:rsidRPr="00442F01">
        <w:rPr>
          <w:sz w:val="24"/>
          <w:szCs w:val="24"/>
          <w:u w:val="single"/>
        </w:rPr>
        <w:t>Behandling</w:t>
      </w:r>
    </w:p>
    <w:p w:rsidR="001B1222" w:rsidRPr="00442F01" w:rsidRDefault="001B1222" w:rsidP="001B1222">
      <w:pPr>
        <w:tabs>
          <w:tab w:val="left" w:pos="851"/>
          <w:tab w:val="left" w:pos="1745"/>
        </w:tabs>
        <w:ind w:left="851"/>
        <w:jc w:val="both"/>
        <w:rPr>
          <w:sz w:val="24"/>
          <w:szCs w:val="24"/>
        </w:rPr>
      </w:pPr>
      <w:r w:rsidRPr="00442F01">
        <w:rPr>
          <w:sz w:val="24"/>
          <w:szCs w:val="24"/>
        </w:rPr>
        <w:t>Der skal søges øjeblikkelig lægebehandling.</w:t>
      </w:r>
    </w:p>
    <w:p w:rsidR="001B1222" w:rsidRPr="00635FAA" w:rsidRDefault="001B1222" w:rsidP="001B1222">
      <w:pPr>
        <w:pStyle w:val="Sidehoved"/>
        <w:ind w:left="851" w:hanging="851"/>
        <w:rPr>
          <w:szCs w:val="24"/>
        </w:rPr>
      </w:pPr>
      <w:r>
        <w:rPr>
          <w:szCs w:val="24"/>
        </w:rPr>
        <w:tab/>
      </w:r>
      <w:r w:rsidRPr="00635FAA">
        <w:rPr>
          <w:szCs w:val="24"/>
        </w:rPr>
        <w:t xml:space="preserve">Lokale retningslinjer for behandling af paracetamoloverdosering bør følges. </w:t>
      </w:r>
    </w:p>
    <w:p w:rsidR="001B1222" w:rsidRPr="00635FAA" w:rsidRDefault="001B1222" w:rsidP="001B1222">
      <w:pPr>
        <w:pStyle w:val="Sidehoved"/>
        <w:ind w:left="851" w:hanging="851"/>
        <w:rPr>
          <w:szCs w:val="24"/>
        </w:rPr>
      </w:pPr>
      <w:r>
        <w:rPr>
          <w:szCs w:val="24"/>
        </w:rPr>
        <w:tab/>
      </w:r>
      <w:r w:rsidRPr="00635FAA">
        <w:rPr>
          <w:szCs w:val="24"/>
        </w:rPr>
        <w:t xml:space="preserve">Umiddelbart efter indtagelse af en paracetamoloverdosis, der muligvis </w:t>
      </w:r>
      <w:r>
        <w:rPr>
          <w:szCs w:val="24"/>
        </w:rPr>
        <w:t xml:space="preserve">kan </w:t>
      </w:r>
      <w:r w:rsidRPr="00635FAA">
        <w:rPr>
          <w:szCs w:val="24"/>
        </w:rPr>
        <w:t xml:space="preserve">føre til alvorlig forgiftning, </w:t>
      </w:r>
      <w:r>
        <w:rPr>
          <w:szCs w:val="24"/>
        </w:rPr>
        <w:t xml:space="preserve">kan </w:t>
      </w:r>
      <w:r w:rsidRPr="00635FAA">
        <w:rPr>
          <w:szCs w:val="24"/>
        </w:rPr>
        <w:t>absorption</w:t>
      </w:r>
      <w:r>
        <w:rPr>
          <w:szCs w:val="24"/>
        </w:rPr>
        <w:t xml:space="preserve"> reducerende terapi anvendes, f.eks. </w:t>
      </w:r>
      <w:r w:rsidRPr="00635FAA">
        <w:rPr>
          <w:szCs w:val="24"/>
        </w:rPr>
        <w:t>ventrikelskylning inden for en time efter indtagelse</w:t>
      </w:r>
      <w:r>
        <w:rPr>
          <w:szCs w:val="24"/>
        </w:rPr>
        <w:t>n</w:t>
      </w:r>
      <w:r w:rsidRPr="00635FAA">
        <w:rPr>
          <w:szCs w:val="24"/>
        </w:rPr>
        <w:t xml:space="preserve"> eller administration af aktivt kul. </w:t>
      </w:r>
    </w:p>
    <w:p w:rsidR="001B1222" w:rsidRPr="00635FAA" w:rsidRDefault="001B1222" w:rsidP="001B1222">
      <w:pPr>
        <w:pStyle w:val="Sidehoved"/>
        <w:ind w:left="851" w:hanging="851"/>
        <w:rPr>
          <w:szCs w:val="24"/>
        </w:rPr>
      </w:pPr>
    </w:p>
    <w:p w:rsidR="001B1222" w:rsidRDefault="001B1222" w:rsidP="001B1222">
      <w:pPr>
        <w:pStyle w:val="Sidehoved"/>
        <w:ind w:left="851" w:hanging="851"/>
        <w:rPr>
          <w:szCs w:val="24"/>
        </w:rPr>
      </w:pPr>
      <w:r>
        <w:rPr>
          <w:szCs w:val="24"/>
        </w:rPr>
        <w:lastRenderedPageBreak/>
        <w:tab/>
      </w:r>
      <w:proofErr w:type="spellStart"/>
      <w:r>
        <w:rPr>
          <w:szCs w:val="24"/>
        </w:rPr>
        <w:t>Antidotbehandling</w:t>
      </w:r>
      <w:proofErr w:type="spellEnd"/>
      <w:r>
        <w:rPr>
          <w:szCs w:val="24"/>
        </w:rPr>
        <w:t xml:space="preserve"> med </w:t>
      </w:r>
      <w:r w:rsidRPr="00635FAA">
        <w:rPr>
          <w:szCs w:val="24"/>
        </w:rPr>
        <w:t>N-</w:t>
      </w:r>
      <w:proofErr w:type="spellStart"/>
      <w:r w:rsidRPr="00635FAA">
        <w:rPr>
          <w:szCs w:val="24"/>
        </w:rPr>
        <w:t>acetylcystein</w:t>
      </w:r>
      <w:proofErr w:type="spellEnd"/>
      <w:r w:rsidRPr="00635FAA">
        <w:rPr>
          <w:szCs w:val="24"/>
        </w:rPr>
        <w:t xml:space="preserve"> (NAC) </w:t>
      </w:r>
      <w:r>
        <w:rPr>
          <w:szCs w:val="24"/>
        </w:rPr>
        <w:t>er effektiv og bør iværksættes straks, selv ved fravær af akutte symptomer.</w:t>
      </w:r>
    </w:p>
    <w:p w:rsidR="001B1222" w:rsidRPr="00635FAA" w:rsidRDefault="001B1222" w:rsidP="001B1222">
      <w:pPr>
        <w:pStyle w:val="Sidehoved"/>
        <w:ind w:left="851"/>
        <w:rPr>
          <w:szCs w:val="24"/>
        </w:rPr>
      </w:pPr>
      <w:r w:rsidRPr="00635FAA">
        <w:rPr>
          <w:szCs w:val="24"/>
        </w:rPr>
        <w:t xml:space="preserve">Ved administration af NAC og yderligere behandling bør koncentrationen af paracetamol i blodet bestemmes. Generelt er intravenøs administration af NAC at foretrække og bør fortsættes, indtil paracetamol ikke længere </w:t>
      </w:r>
      <w:r>
        <w:rPr>
          <w:szCs w:val="24"/>
        </w:rPr>
        <w:t xml:space="preserve">er </w:t>
      </w:r>
      <w:r w:rsidRPr="00635FAA">
        <w:rPr>
          <w:szCs w:val="24"/>
        </w:rPr>
        <w:t xml:space="preserve">påviselig. Det er vigtigt at indse, at indtagelse af NAC op til 36 timer efter indtagelse kan forbedre prognosen. Oral administration af NAC bør ikke kombineres med </w:t>
      </w:r>
      <w:proofErr w:type="gramStart"/>
      <w:r w:rsidRPr="00635FAA">
        <w:rPr>
          <w:szCs w:val="24"/>
        </w:rPr>
        <w:t>oral aktivt kul</w:t>
      </w:r>
      <w:proofErr w:type="gramEnd"/>
      <w:r w:rsidRPr="00635FAA">
        <w:rPr>
          <w:szCs w:val="24"/>
        </w:rPr>
        <w:t xml:space="preserve">. </w:t>
      </w:r>
    </w:p>
    <w:p w:rsidR="001B1222" w:rsidRPr="00635FAA" w:rsidRDefault="001B1222" w:rsidP="001B1222">
      <w:pPr>
        <w:pStyle w:val="Sidehoved"/>
        <w:ind w:left="851" w:hanging="851"/>
        <w:rPr>
          <w:szCs w:val="24"/>
        </w:rPr>
      </w:pPr>
    </w:p>
    <w:p w:rsidR="001B1222" w:rsidRPr="00635FAA" w:rsidRDefault="001B1222" w:rsidP="001B1222">
      <w:pPr>
        <w:pStyle w:val="Sidehoved"/>
        <w:ind w:left="851" w:hanging="851"/>
        <w:rPr>
          <w:szCs w:val="24"/>
        </w:rPr>
      </w:pPr>
      <w:r>
        <w:rPr>
          <w:szCs w:val="24"/>
        </w:rPr>
        <w:tab/>
      </w:r>
      <w:r w:rsidRPr="00635FAA">
        <w:rPr>
          <w:szCs w:val="24"/>
        </w:rPr>
        <w:t xml:space="preserve">Der bør foretages levertest ved behandlingsstart, og dette bør gentages </w:t>
      </w:r>
      <w:r>
        <w:rPr>
          <w:szCs w:val="24"/>
        </w:rPr>
        <w:t>en</w:t>
      </w:r>
      <w:r w:rsidRPr="00635FAA">
        <w:rPr>
          <w:szCs w:val="24"/>
        </w:rPr>
        <w:t xml:space="preserve"> gang i døgnet. I de fleste tilfælde bliver </w:t>
      </w:r>
      <w:proofErr w:type="spellStart"/>
      <w:r w:rsidRPr="00635FAA">
        <w:rPr>
          <w:szCs w:val="24"/>
        </w:rPr>
        <w:t>levertransaminaserne</w:t>
      </w:r>
      <w:proofErr w:type="spellEnd"/>
      <w:r w:rsidRPr="00635FAA">
        <w:rPr>
          <w:szCs w:val="24"/>
        </w:rPr>
        <w:t xml:space="preserve"> normale inden for to uger efter indtagelse af overdosering</w:t>
      </w:r>
      <w:r>
        <w:rPr>
          <w:szCs w:val="24"/>
        </w:rPr>
        <w:t>,</w:t>
      </w:r>
      <w:r w:rsidRPr="00635FAA">
        <w:rPr>
          <w:szCs w:val="24"/>
        </w:rPr>
        <w:t xml:space="preserve"> med fuld rekonvalescens af leverfunktionen. I sjældne tilfælde kan det være nødvendigt med levertransplantation.</w:t>
      </w: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t>4.10</w:t>
      </w:r>
      <w:r w:rsidRPr="00B322D3">
        <w:rPr>
          <w:b/>
          <w:sz w:val="24"/>
          <w:szCs w:val="24"/>
        </w:rPr>
        <w:tab/>
        <w:t>Udlevering</w:t>
      </w:r>
    </w:p>
    <w:p w:rsidR="001B1222" w:rsidRPr="00B322D3" w:rsidRDefault="001B1222" w:rsidP="001B1222">
      <w:pPr>
        <w:ind w:left="851" w:hanging="851"/>
        <w:rPr>
          <w:sz w:val="24"/>
          <w:szCs w:val="24"/>
        </w:rPr>
      </w:pPr>
      <w:r w:rsidRPr="00B322D3">
        <w:rPr>
          <w:sz w:val="24"/>
          <w:szCs w:val="24"/>
        </w:rPr>
        <w:tab/>
      </w:r>
    </w:p>
    <w:p w:rsidR="001B1222" w:rsidRPr="00B322D3" w:rsidRDefault="001B1222" w:rsidP="001B1222">
      <w:pPr>
        <w:ind w:left="851"/>
        <w:rPr>
          <w:sz w:val="24"/>
          <w:szCs w:val="24"/>
          <w:u w:val="single"/>
        </w:rPr>
      </w:pPr>
      <w:r>
        <w:rPr>
          <w:sz w:val="24"/>
          <w:szCs w:val="24"/>
          <w:u w:val="single"/>
        </w:rPr>
        <w:t>500 mg</w:t>
      </w:r>
    </w:p>
    <w:p w:rsidR="001B1222" w:rsidRPr="00B322D3" w:rsidRDefault="001B1222" w:rsidP="001B1222">
      <w:pPr>
        <w:tabs>
          <w:tab w:val="left" w:pos="851"/>
          <w:tab w:val="left" w:pos="1985"/>
          <w:tab w:val="left" w:pos="8789"/>
        </w:tabs>
        <w:rPr>
          <w:sz w:val="24"/>
          <w:szCs w:val="24"/>
        </w:rPr>
      </w:pPr>
      <w:r w:rsidRPr="00B322D3">
        <w:rPr>
          <w:sz w:val="24"/>
          <w:szCs w:val="24"/>
        </w:rPr>
        <w:tab/>
        <w:t>HX18: Pakninger indeholdende højst 10 stk.</w:t>
      </w:r>
    </w:p>
    <w:p w:rsidR="001B1222" w:rsidRPr="00B322D3" w:rsidRDefault="001B1222" w:rsidP="001B1222">
      <w:pPr>
        <w:tabs>
          <w:tab w:val="left" w:pos="851"/>
          <w:tab w:val="left" w:pos="1985"/>
          <w:tab w:val="left" w:pos="8789"/>
        </w:tabs>
        <w:rPr>
          <w:sz w:val="24"/>
          <w:szCs w:val="24"/>
        </w:rPr>
      </w:pPr>
      <w:r w:rsidRPr="00B322D3">
        <w:rPr>
          <w:sz w:val="24"/>
          <w:szCs w:val="24"/>
        </w:rPr>
        <w:tab/>
        <w:t>HA18: Pakninger indeholdende højst 20 stk.</w:t>
      </w:r>
    </w:p>
    <w:p w:rsidR="001B1222" w:rsidRPr="00B322D3" w:rsidRDefault="001B1222" w:rsidP="001B1222">
      <w:pPr>
        <w:tabs>
          <w:tab w:val="left" w:pos="851"/>
          <w:tab w:val="left" w:pos="1985"/>
          <w:tab w:val="left" w:pos="8789"/>
        </w:tabs>
        <w:rPr>
          <w:sz w:val="24"/>
          <w:szCs w:val="24"/>
        </w:rPr>
      </w:pPr>
      <w:r w:rsidRPr="00B322D3">
        <w:rPr>
          <w:sz w:val="24"/>
          <w:szCs w:val="24"/>
        </w:rPr>
        <w:tab/>
        <w:t>B: Ingen øvre grænse.</w:t>
      </w:r>
    </w:p>
    <w:p w:rsidR="001B1222" w:rsidRPr="00B322D3" w:rsidRDefault="001B1222" w:rsidP="001B1222">
      <w:pPr>
        <w:ind w:left="851"/>
        <w:rPr>
          <w:sz w:val="24"/>
          <w:szCs w:val="24"/>
        </w:rPr>
      </w:pPr>
    </w:p>
    <w:p w:rsidR="001B1222" w:rsidRPr="00B322D3" w:rsidRDefault="001B1222" w:rsidP="001B1222">
      <w:pPr>
        <w:ind w:left="851"/>
        <w:rPr>
          <w:sz w:val="24"/>
          <w:szCs w:val="24"/>
          <w:u w:val="single"/>
        </w:rPr>
      </w:pPr>
      <w:r w:rsidRPr="00B322D3">
        <w:rPr>
          <w:sz w:val="24"/>
          <w:szCs w:val="24"/>
          <w:u w:val="single"/>
        </w:rPr>
        <w:t>1000 mg</w:t>
      </w:r>
    </w:p>
    <w:p w:rsidR="001B1222" w:rsidRPr="00B322D3" w:rsidRDefault="001B1222" w:rsidP="001B1222">
      <w:pPr>
        <w:ind w:left="851"/>
        <w:rPr>
          <w:sz w:val="24"/>
          <w:szCs w:val="24"/>
        </w:rPr>
      </w:pPr>
      <w:r w:rsidRPr="00B322D3">
        <w:rPr>
          <w:sz w:val="24"/>
          <w:szCs w:val="24"/>
        </w:rPr>
        <w:t>B</w:t>
      </w:r>
    </w:p>
    <w:p w:rsidR="001B1222" w:rsidRPr="00B322D3" w:rsidRDefault="001B1222" w:rsidP="001B1222">
      <w:pPr>
        <w:ind w:left="851" w:hanging="851"/>
        <w:rPr>
          <w:sz w:val="24"/>
          <w:szCs w:val="24"/>
        </w:rPr>
      </w:pP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t>5.</w:t>
      </w:r>
      <w:r w:rsidRPr="00B322D3">
        <w:rPr>
          <w:b/>
          <w:sz w:val="24"/>
          <w:szCs w:val="24"/>
        </w:rPr>
        <w:tab/>
        <w:t>FARMAKOLOGISKE EGENSKABER</w:t>
      </w: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t>5.0</w:t>
      </w:r>
      <w:r w:rsidRPr="00B322D3">
        <w:rPr>
          <w:b/>
          <w:sz w:val="24"/>
          <w:szCs w:val="24"/>
        </w:rPr>
        <w:tab/>
        <w:t>Terapeutisk klassifikation</w:t>
      </w:r>
    </w:p>
    <w:p w:rsidR="001B1222" w:rsidRPr="00B322D3" w:rsidRDefault="001B1222" w:rsidP="001B1222">
      <w:pPr>
        <w:ind w:left="851"/>
        <w:rPr>
          <w:sz w:val="24"/>
          <w:szCs w:val="24"/>
        </w:rPr>
      </w:pPr>
      <w:r w:rsidRPr="00B322D3">
        <w:rPr>
          <w:sz w:val="24"/>
          <w:szCs w:val="24"/>
        </w:rPr>
        <w:t xml:space="preserve">ATC-kode: N 02 BE 01. </w:t>
      </w:r>
      <w:r>
        <w:rPr>
          <w:sz w:val="24"/>
          <w:szCs w:val="24"/>
        </w:rPr>
        <w:t xml:space="preserve">Andre </w:t>
      </w:r>
      <w:proofErr w:type="spellStart"/>
      <w:r>
        <w:rPr>
          <w:sz w:val="24"/>
          <w:szCs w:val="24"/>
        </w:rPr>
        <w:t>a</w:t>
      </w:r>
      <w:r w:rsidRPr="00B322D3">
        <w:rPr>
          <w:sz w:val="24"/>
          <w:szCs w:val="24"/>
        </w:rPr>
        <w:t>nalgetika</w:t>
      </w:r>
      <w:proofErr w:type="spellEnd"/>
      <w:r w:rsidRPr="00B322D3">
        <w:rPr>
          <w:sz w:val="24"/>
          <w:szCs w:val="24"/>
        </w:rPr>
        <w:t xml:space="preserve"> og </w:t>
      </w:r>
      <w:proofErr w:type="spellStart"/>
      <w:r w:rsidRPr="00B322D3">
        <w:rPr>
          <w:sz w:val="24"/>
          <w:szCs w:val="24"/>
        </w:rPr>
        <w:t>antipyretika</w:t>
      </w:r>
      <w:proofErr w:type="spellEnd"/>
      <w:r w:rsidRPr="00B322D3">
        <w:rPr>
          <w:sz w:val="24"/>
          <w:szCs w:val="24"/>
        </w:rPr>
        <w:t xml:space="preserve">, anilider. </w:t>
      </w: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t>5.1</w:t>
      </w:r>
      <w:r w:rsidRPr="00B322D3">
        <w:rPr>
          <w:b/>
          <w:sz w:val="24"/>
          <w:szCs w:val="24"/>
        </w:rPr>
        <w:tab/>
      </w:r>
      <w:proofErr w:type="spellStart"/>
      <w:r w:rsidRPr="00B322D3">
        <w:rPr>
          <w:b/>
          <w:sz w:val="24"/>
          <w:szCs w:val="24"/>
        </w:rPr>
        <w:t>Farmakodynamiske</w:t>
      </w:r>
      <w:proofErr w:type="spellEnd"/>
      <w:r w:rsidRPr="00B322D3">
        <w:rPr>
          <w:b/>
          <w:sz w:val="24"/>
          <w:szCs w:val="24"/>
        </w:rPr>
        <w:t xml:space="preserve"> egenskaber</w:t>
      </w:r>
    </w:p>
    <w:p w:rsidR="001B1222" w:rsidRDefault="001B1222" w:rsidP="001B1222">
      <w:pPr>
        <w:ind w:left="851"/>
        <w:rPr>
          <w:sz w:val="24"/>
          <w:szCs w:val="24"/>
        </w:rPr>
      </w:pPr>
      <w:r w:rsidRPr="00E62681">
        <w:rPr>
          <w:sz w:val="24"/>
          <w:szCs w:val="24"/>
        </w:rPr>
        <w:t xml:space="preserve">Både perifere og centrale analgetiske virkninger er sandsynlige, og ligeledes er </w:t>
      </w:r>
      <w:proofErr w:type="spellStart"/>
      <w:r w:rsidRPr="00E62681">
        <w:rPr>
          <w:sz w:val="24"/>
          <w:szCs w:val="24"/>
        </w:rPr>
        <w:t>antipyretiske</w:t>
      </w:r>
      <w:proofErr w:type="spellEnd"/>
      <w:r w:rsidRPr="00E62681">
        <w:rPr>
          <w:sz w:val="24"/>
          <w:szCs w:val="24"/>
        </w:rPr>
        <w:t xml:space="preserve"> virkninger på det termoregulerende center i </w:t>
      </w:r>
      <w:proofErr w:type="spellStart"/>
      <w:r w:rsidRPr="00E62681">
        <w:rPr>
          <w:sz w:val="24"/>
          <w:szCs w:val="24"/>
        </w:rPr>
        <w:t>hypothalamus</w:t>
      </w:r>
      <w:proofErr w:type="spellEnd"/>
      <w:r w:rsidRPr="00E62681">
        <w:rPr>
          <w:sz w:val="24"/>
          <w:szCs w:val="24"/>
        </w:rPr>
        <w:t xml:space="preserve">. Men det har ingen antiinflammatorisk effekt. </w:t>
      </w:r>
      <w:proofErr w:type="spellStart"/>
      <w:r w:rsidRPr="00E62681">
        <w:rPr>
          <w:sz w:val="24"/>
          <w:szCs w:val="24"/>
        </w:rPr>
        <w:t>Paradol</w:t>
      </w:r>
      <w:proofErr w:type="spellEnd"/>
      <w:r w:rsidRPr="00E62681">
        <w:rPr>
          <w:sz w:val="24"/>
          <w:szCs w:val="24"/>
        </w:rPr>
        <w:t xml:space="preserve"> påvirker ikke </w:t>
      </w:r>
      <w:proofErr w:type="spellStart"/>
      <w:r w:rsidRPr="00E62681">
        <w:rPr>
          <w:sz w:val="24"/>
          <w:szCs w:val="24"/>
        </w:rPr>
        <w:t>hæmostase</w:t>
      </w:r>
      <w:proofErr w:type="spellEnd"/>
      <w:r w:rsidRPr="00E62681">
        <w:rPr>
          <w:sz w:val="24"/>
          <w:szCs w:val="24"/>
        </w:rPr>
        <w:t xml:space="preserve"> og irriterer ikke den </w:t>
      </w:r>
      <w:proofErr w:type="spellStart"/>
      <w:r w:rsidRPr="00E62681">
        <w:rPr>
          <w:sz w:val="24"/>
          <w:szCs w:val="24"/>
        </w:rPr>
        <w:t>gastrointestinale</w:t>
      </w:r>
      <w:proofErr w:type="spellEnd"/>
      <w:r w:rsidRPr="00E62681">
        <w:rPr>
          <w:sz w:val="24"/>
          <w:szCs w:val="24"/>
        </w:rPr>
        <w:t xml:space="preserve"> slimhinde.</w:t>
      </w:r>
    </w:p>
    <w:p w:rsidR="001B1222" w:rsidRDefault="001B1222" w:rsidP="001B1222">
      <w:pPr>
        <w:ind w:left="851"/>
        <w:rPr>
          <w:sz w:val="24"/>
          <w:szCs w:val="24"/>
        </w:rPr>
      </w:pPr>
    </w:p>
    <w:p w:rsidR="001B1222" w:rsidRPr="00635FAA" w:rsidRDefault="001B1222" w:rsidP="001B1222">
      <w:pPr>
        <w:shd w:val="clear" w:color="auto" w:fill="FFFFFF"/>
        <w:ind w:left="851"/>
        <w:rPr>
          <w:color w:val="000000"/>
          <w:sz w:val="24"/>
          <w:szCs w:val="24"/>
        </w:rPr>
      </w:pPr>
      <w:r w:rsidRPr="00635FAA">
        <w:rPr>
          <w:color w:val="000000"/>
          <w:sz w:val="24"/>
          <w:szCs w:val="24"/>
        </w:rPr>
        <w:t xml:space="preserve">Paracetamols væsentligste virkning er hæmning af </w:t>
      </w:r>
      <w:proofErr w:type="spellStart"/>
      <w:r w:rsidRPr="00635FAA">
        <w:rPr>
          <w:color w:val="000000"/>
          <w:sz w:val="24"/>
          <w:szCs w:val="24"/>
        </w:rPr>
        <w:t>cyclooxygenase</w:t>
      </w:r>
      <w:proofErr w:type="spellEnd"/>
      <w:r w:rsidRPr="00635FAA">
        <w:rPr>
          <w:color w:val="000000"/>
          <w:sz w:val="24"/>
          <w:szCs w:val="24"/>
        </w:rPr>
        <w:t xml:space="preserve">, et enzym der er vigtigt for </w:t>
      </w:r>
      <w:proofErr w:type="spellStart"/>
      <w:r w:rsidRPr="00635FAA">
        <w:rPr>
          <w:color w:val="000000"/>
          <w:sz w:val="24"/>
          <w:szCs w:val="24"/>
        </w:rPr>
        <w:t>prostaglandinsyntesen</w:t>
      </w:r>
      <w:proofErr w:type="spellEnd"/>
      <w:r w:rsidRPr="00635FAA">
        <w:rPr>
          <w:color w:val="000000"/>
          <w:sz w:val="24"/>
          <w:szCs w:val="24"/>
        </w:rPr>
        <w:t xml:space="preserve">. </w:t>
      </w:r>
      <w:proofErr w:type="spellStart"/>
      <w:r w:rsidRPr="00635FAA">
        <w:rPr>
          <w:color w:val="000000"/>
          <w:sz w:val="24"/>
          <w:szCs w:val="24"/>
        </w:rPr>
        <w:t>Cyclooxygenase</w:t>
      </w:r>
      <w:proofErr w:type="spellEnd"/>
      <w:r w:rsidRPr="00635FAA">
        <w:rPr>
          <w:color w:val="000000"/>
          <w:sz w:val="24"/>
          <w:szCs w:val="24"/>
        </w:rPr>
        <w:t xml:space="preserve"> i centralnervesystemet er mere følsomt over for paracetamol end perifer </w:t>
      </w:r>
      <w:proofErr w:type="spellStart"/>
      <w:r w:rsidRPr="00635FAA">
        <w:rPr>
          <w:color w:val="000000"/>
          <w:sz w:val="24"/>
          <w:szCs w:val="24"/>
        </w:rPr>
        <w:t>cyclooxygenase</w:t>
      </w:r>
      <w:proofErr w:type="spellEnd"/>
      <w:r w:rsidRPr="00635FAA">
        <w:rPr>
          <w:color w:val="000000"/>
          <w:sz w:val="24"/>
          <w:szCs w:val="24"/>
        </w:rPr>
        <w:t xml:space="preserve">, og dette forklarer, hvorfor paracetamol har </w:t>
      </w:r>
      <w:proofErr w:type="spellStart"/>
      <w:r w:rsidRPr="00635FAA">
        <w:rPr>
          <w:color w:val="000000"/>
          <w:sz w:val="24"/>
          <w:szCs w:val="24"/>
        </w:rPr>
        <w:t>antipyretisk</w:t>
      </w:r>
      <w:proofErr w:type="spellEnd"/>
      <w:r w:rsidRPr="00635FAA">
        <w:rPr>
          <w:color w:val="000000"/>
          <w:sz w:val="24"/>
          <w:szCs w:val="24"/>
        </w:rPr>
        <w:t xml:space="preserve"> og analgetisk virkning uden at have en udtalt perifer</w:t>
      </w:r>
      <w:r>
        <w:rPr>
          <w:color w:val="000000"/>
          <w:sz w:val="24"/>
          <w:szCs w:val="24"/>
        </w:rPr>
        <w:t>,</w:t>
      </w:r>
      <w:r w:rsidRPr="00635FAA">
        <w:rPr>
          <w:color w:val="000000"/>
          <w:sz w:val="24"/>
          <w:szCs w:val="24"/>
        </w:rPr>
        <w:t xml:space="preserve"> antiinflammatorisk effekt.</w:t>
      </w:r>
    </w:p>
    <w:p w:rsidR="001B1222" w:rsidRPr="00B322D3" w:rsidRDefault="001B1222" w:rsidP="001B1222">
      <w:pPr>
        <w:ind w:left="851"/>
        <w:rPr>
          <w:sz w:val="24"/>
          <w:szCs w:val="24"/>
        </w:rPr>
      </w:pPr>
    </w:p>
    <w:p w:rsidR="001B1222" w:rsidRPr="00B322D3" w:rsidRDefault="001B1222" w:rsidP="001B1222">
      <w:pPr>
        <w:ind w:left="851" w:hanging="851"/>
        <w:rPr>
          <w:b/>
          <w:sz w:val="24"/>
          <w:szCs w:val="24"/>
        </w:rPr>
      </w:pPr>
      <w:r w:rsidRPr="00B322D3">
        <w:rPr>
          <w:b/>
          <w:sz w:val="24"/>
          <w:szCs w:val="24"/>
        </w:rPr>
        <w:t>5.2</w:t>
      </w:r>
      <w:r w:rsidRPr="00B322D3">
        <w:rPr>
          <w:b/>
          <w:sz w:val="24"/>
          <w:szCs w:val="24"/>
        </w:rPr>
        <w:tab/>
      </w:r>
      <w:proofErr w:type="spellStart"/>
      <w:r w:rsidRPr="00B322D3">
        <w:rPr>
          <w:b/>
          <w:sz w:val="24"/>
          <w:szCs w:val="24"/>
        </w:rPr>
        <w:t>Farmakokinetiske</w:t>
      </w:r>
      <w:proofErr w:type="spellEnd"/>
      <w:r w:rsidRPr="00B322D3">
        <w:rPr>
          <w:b/>
          <w:sz w:val="24"/>
          <w:szCs w:val="24"/>
        </w:rPr>
        <w:t xml:space="preserve"> egenskaber</w:t>
      </w:r>
    </w:p>
    <w:p w:rsidR="001B1222" w:rsidRDefault="001B1222" w:rsidP="001B1222">
      <w:pPr>
        <w:ind w:left="851"/>
        <w:rPr>
          <w:sz w:val="24"/>
          <w:szCs w:val="24"/>
        </w:rPr>
      </w:pPr>
    </w:p>
    <w:p w:rsidR="001B1222" w:rsidRPr="00383F35" w:rsidRDefault="001B1222" w:rsidP="001B1222">
      <w:pPr>
        <w:ind w:left="851"/>
        <w:rPr>
          <w:sz w:val="24"/>
          <w:szCs w:val="24"/>
          <w:u w:val="single"/>
        </w:rPr>
      </w:pPr>
      <w:r w:rsidRPr="00383F35">
        <w:rPr>
          <w:sz w:val="24"/>
          <w:szCs w:val="24"/>
          <w:u w:val="single"/>
        </w:rPr>
        <w:t>Absorption</w:t>
      </w:r>
    </w:p>
    <w:p w:rsidR="001B1222" w:rsidRPr="00383F35" w:rsidRDefault="001B1222" w:rsidP="001B1222">
      <w:pPr>
        <w:ind w:left="851"/>
        <w:rPr>
          <w:sz w:val="24"/>
          <w:szCs w:val="24"/>
        </w:rPr>
      </w:pPr>
      <w:r w:rsidRPr="00383F35">
        <w:rPr>
          <w:sz w:val="24"/>
          <w:szCs w:val="24"/>
        </w:rPr>
        <w:t xml:space="preserve">Efter oral administration absorberes paracetamol hurtigt og næsten fuldstændigt. </w:t>
      </w:r>
      <w:r>
        <w:rPr>
          <w:sz w:val="24"/>
          <w:szCs w:val="24"/>
        </w:rPr>
        <w:t>Maksimal plasmakoncentration</w:t>
      </w:r>
      <w:r w:rsidRPr="00383F35">
        <w:rPr>
          <w:sz w:val="24"/>
          <w:szCs w:val="24"/>
        </w:rPr>
        <w:t xml:space="preserve"> nås efter 30 minutter</w:t>
      </w:r>
      <w:r>
        <w:rPr>
          <w:sz w:val="24"/>
          <w:szCs w:val="24"/>
        </w:rPr>
        <w:t>-</w:t>
      </w:r>
      <w:r w:rsidRPr="00383F35">
        <w:rPr>
          <w:sz w:val="24"/>
          <w:szCs w:val="24"/>
        </w:rPr>
        <w:t xml:space="preserve">2 timer. </w:t>
      </w:r>
    </w:p>
    <w:p w:rsidR="001B1222" w:rsidRPr="00383F35" w:rsidRDefault="001B1222" w:rsidP="001B1222">
      <w:pPr>
        <w:ind w:left="851"/>
        <w:rPr>
          <w:sz w:val="24"/>
          <w:szCs w:val="24"/>
        </w:rPr>
      </w:pPr>
    </w:p>
    <w:p w:rsidR="001B1222" w:rsidRPr="00383F35" w:rsidRDefault="001B1222" w:rsidP="001B1222">
      <w:pPr>
        <w:ind w:left="851"/>
        <w:rPr>
          <w:sz w:val="24"/>
          <w:szCs w:val="24"/>
          <w:u w:val="single"/>
        </w:rPr>
      </w:pPr>
      <w:r w:rsidRPr="00383F35">
        <w:rPr>
          <w:sz w:val="24"/>
          <w:szCs w:val="24"/>
          <w:u w:val="single"/>
        </w:rPr>
        <w:t>Fordeling</w:t>
      </w:r>
    </w:p>
    <w:p w:rsidR="001B1222" w:rsidRDefault="001B1222" w:rsidP="001B1222">
      <w:pPr>
        <w:ind w:left="851"/>
        <w:rPr>
          <w:sz w:val="24"/>
          <w:szCs w:val="24"/>
        </w:rPr>
      </w:pPr>
      <w:r w:rsidRPr="00383F35">
        <w:rPr>
          <w:sz w:val="24"/>
          <w:szCs w:val="24"/>
        </w:rPr>
        <w:t>Paracetamol fordeles hurtigt til alle væv. Koncentrationer</w:t>
      </w:r>
      <w:r>
        <w:rPr>
          <w:sz w:val="24"/>
          <w:szCs w:val="24"/>
        </w:rPr>
        <w:t>ne</w:t>
      </w:r>
      <w:r w:rsidRPr="00383F35">
        <w:rPr>
          <w:sz w:val="24"/>
          <w:szCs w:val="24"/>
        </w:rPr>
        <w:t xml:space="preserve"> er sammenlignelige i blod, spyt og plasma.</w:t>
      </w:r>
    </w:p>
    <w:p w:rsidR="001B1222" w:rsidRDefault="001B1222" w:rsidP="001B1222">
      <w:pPr>
        <w:ind w:left="851"/>
        <w:rPr>
          <w:sz w:val="24"/>
          <w:szCs w:val="24"/>
        </w:rPr>
      </w:pPr>
    </w:p>
    <w:p w:rsidR="001B1222" w:rsidRPr="00D43B3E" w:rsidRDefault="001B1222" w:rsidP="001B1222">
      <w:pPr>
        <w:ind w:left="851"/>
        <w:rPr>
          <w:sz w:val="24"/>
          <w:szCs w:val="24"/>
        </w:rPr>
      </w:pPr>
      <w:r w:rsidRPr="00D43B3E">
        <w:rPr>
          <w:sz w:val="24"/>
          <w:szCs w:val="24"/>
        </w:rPr>
        <w:lastRenderedPageBreak/>
        <w:t>Paracetamols distributionsvolumen er ca. 1 l/kg kropsvægt. Ved terapeutiske doser er proteinbindingen ubetydelig.</w:t>
      </w:r>
    </w:p>
    <w:p w:rsidR="001B1222" w:rsidRPr="00D43B3E" w:rsidRDefault="001B1222" w:rsidP="001B1222">
      <w:pPr>
        <w:ind w:left="851"/>
        <w:rPr>
          <w:sz w:val="24"/>
          <w:szCs w:val="24"/>
        </w:rPr>
      </w:pPr>
    </w:p>
    <w:p w:rsidR="001B1222" w:rsidRPr="00D43B3E" w:rsidRDefault="001B1222" w:rsidP="001B1222">
      <w:pPr>
        <w:ind w:left="851"/>
        <w:rPr>
          <w:sz w:val="24"/>
          <w:szCs w:val="24"/>
          <w:u w:val="single"/>
        </w:rPr>
      </w:pPr>
      <w:r>
        <w:rPr>
          <w:sz w:val="24"/>
          <w:szCs w:val="24"/>
          <w:u w:val="single"/>
        </w:rPr>
        <w:t>Biotransformation</w:t>
      </w:r>
    </w:p>
    <w:p w:rsidR="001B1222" w:rsidRPr="00D43B3E" w:rsidRDefault="001B1222" w:rsidP="001B1222">
      <w:pPr>
        <w:ind w:left="851"/>
        <w:rPr>
          <w:sz w:val="24"/>
          <w:szCs w:val="24"/>
        </w:rPr>
      </w:pPr>
      <w:r w:rsidRPr="00D43B3E">
        <w:rPr>
          <w:sz w:val="24"/>
          <w:szCs w:val="24"/>
        </w:rPr>
        <w:t xml:space="preserve">Hos voksne konjugeres paracetamol i leveren med </w:t>
      </w:r>
      <w:proofErr w:type="spellStart"/>
      <w:r w:rsidRPr="00D43B3E">
        <w:rPr>
          <w:sz w:val="24"/>
          <w:szCs w:val="24"/>
        </w:rPr>
        <w:t>glucuronsyre</w:t>
      </w:r>
      <w:proofErr w:type="spellEnd"/>
      <w:r w:rsidRPr="00D43B3E">
        <w:rPr>
          <w:sz w:val="24"/>
          <w:szCs w:val="24"/>
        </w:rPr>
        <w:t xml:space="preserve"> (~60 %) og sulfat (~35 %). Sidstnævnte eliminationsvej bliver nemt mættet ved doser, der er højere end den terapeutiske dosis. En mindre vej, der katalyseres af </w:t>
      </w:r>
      <w:proofErr w:type="spellStart"/>
      <w:r w:rsidRPr="00D43B3E">
        <w:rPr>
          <w:sz w:val="24"/>
          <w:szCs w:val="24"/>
        </w:rPr>
        <w:t>cytochrom</w:t>
      </w:r>
      <w:proofErr w:type="spellEnd"/>
      <w:r w:rsidRPr="00D43B3E">
        <w:rPr>
          <w:sz w:val="24"/>
          <w:szCs w:val="24"/>
        </w:rPr>
        <w:t xml:space="preserve"> P450, resulterer i dannelsen af en </w:t>
      </w:r>
      <w:proofErr w:type="spellStart"/>
      <w:r w:rsidRPr="00D43B3E">
        <w:rPr>
          <w:sz w:val="24"/>
          <w:szCs w:val="24"/>
        </w:rPr>
        <w:t>intermediær</w:t>
      </w:r>
      <w:proofErr w:type="spellEnd"/>
      <w:r w:rsidRPr="00D43B3E">
        <w:rPr>
          <w:sz w:val="24"/>
          <w:szCs w:val="24"/>
        </w:rPr>
        <w:t xml:space="preserve"> reagens (N-acetyl-p-</w:t>
      </w:r>
      <w:proofErr w:type="spellStart"/>
      <w:r w:rsidRPr="00D43B3E">
        <w:rPr>
          <w:sz w:val="24"/>
          <w:szCs w:val="24"/>
        </w:rPr>
        <w:t>benzoquinonimin</w:t>
      </w:r>
      <w:proofErr w:type="spellEnd"/>
      <w:r w:rsidRPr="00D43B3E">
        <w:rPr>
          <w:sz w:val="24"/>
          <w:szCs w:val="24"/>
        </w:rPr>
        <w:t xml:space="preserve">), som ved normal brug hurtigt </w:t>
      </w:r>
      <w:proofErr w:type="spellStart"/>
      <w:r w:rsidRPr="00D43B3E">
        <w:rPr>
          <w:sz w:val="24"/>
          <w:szCs w:val="24"/>
        </w:rPr>
        <w:t>detoxificeres</w:t>
      </w:r>
      <w:proofErr w:type="spellEnd"/>
      <w:r w:rsidRPr="00D43B3E">
        <w:rPr>
          <w:sz w:val="24"/>
          <w:szCs w:val="24"/>
        </w:rPr>
        <w:t xml:space="preserve"> af </w:t>
      </w:r>
      <w:proofErr w:type="spellStart"/>
      <w:r w:rsidRPr="00D43B3E">
        <w:rPr>
          <w:sz w:val="24"/>
          <w:szCs w:val="24"/>
        </w:rPr>
        <w:t>glutathion</w:t>
      </w:r>
      <w:proofErr w:type="spellEnd"/>
      <w:r w:rsidRPr="00D43B3E">
        <w:rPr>
          <w:sz w:val="24"/>
          <w:szCs w:val="24"/>
        </w:rPr>
        <w:t xml:space="preserve"> og elimineres i urin efter </w:t>
      </w:r>
      <w:proofErr w:type="spellStart"/>
      <w:r w:rsidRPr="00D43B3E">
        <w:rPr>
          <w:sz w:val="24"/>
          <w:szCs w:val="24"/>
        </w:rPr>
        <w:t>konjugering</w:t>
      </w:r>
      <w:proofErr w:type="spellEnd"/>
      <w:r w:rsidRPr="00D43B3E">
        <w:rPr>
          <w:sz w:val="24"/>
          <w:szCs w:val="24"/>
        </w:rPr>
        <w:t xml:space="preserve"> med </w:t>
      </w:r>
      <w:proofErr w:type="spellStart"/>
      <w:r w:rsidRPr="00D43B3E">
        <w:rPr>
          <w:sz w:val="24"/>
          <w:szCs w:val="24"/>
        </w:rPr>
        <w:t>cystein</w:t>
      </w:r>
      <w:proofErr w:type="spellEnd"/>
      <w:r w:rsidRPr="00D43B3E">
        <w:rPr>
          <w:sz w:val="24"/>
          <w:szCs w:val="24"/>
        </w:rPr>
        <w:t xml:space="preserve"> (~3</w:t>
      </w:r>
      <w:r w:rsidR="00F3382C">
        <w:rPr>
          <w:sz w:val="24"/>
          <w:szCs w:val="24"/>
        </w:rPr>
        <w:t> </w:t>
      </w:r>
      <w:r w:rsidRPr="00D43B3E">
        <w:rPr>
          <w:sz w:val="24"/>
          <w:szCs w:val="24"/>
        </w:rPr>
        <w:t xml:space="preserve">%) og </w:t>
      </w:r>
      <w:proofErr w:type="spellStart"/>
      <w:r w:rsidRPr="00D43B3E">
        <w:rPr>
          <w:sz w:val="24"/>
          <w:szCs w:val="24"/>
        </w:rPr>
        <w:t>mercaptopurinsyre</w:t>
      </w:r>
      <w:proofErr w:type="spellEnd"/>
      <w:r w:rsidRPr="00D43B3E">
        <w:rPr>
          <w:sz w:val="24"/>
          <w:szCs w:val="24"/>
        </w:rPr>
        <w:t>.</w:t>
      </w:r>
    </w:p>
    <w:p w:rsidR="001B1222" w:rsidRPr="00D43B3E" w:rsidRDefault="001B1222" w:rsidP="001B1222">
      <w:pPr>
        <w:ind w:left="851"/>
        <w:rPr>
          <w:sz w:val="24"/>
          <w:szCs w:val="24"/>
        </w:rPr>
      </w:pPr>
    </w:p>
    <w:p w:rsidR="001B1222" w:rsidRPr="00D43B3E" w:rsidRDefault="001B1222" w:rsidP="001B1222">
      <w:pPr>
        <w:ind w:left="851"/>
        <w:rPr>
          <w:sz w:val="24"/>
          <w:szCs w:val="24"/>
        </w:rPr>
      </w:pPr>
      <w:r w:rsidRPr="00D43B3E">
        <w:rPr>
          <w:sz w:val="24"/>
          <w:szCs w:val="24"/>
        </w:rPr>
        <w:t xml:space="preserve">Hos nyfødte og børn &lt;12 år er </w:t>
      </w:r>
      <w:proofErr w:type="spellStart"/>
      <w:r w:rsidRPr="00D43B3E">
        <w:rPr>
          <w:sz w:val="24"/>
          <w:szCs w:val="24"/>
        </w:rPr>
        <w:t>sulfatkonjugering</w:t>
      </w:r>
      <w:proofErr w:type="spellEnd"/>
      <w:r w:rsidRPr="00D43B3E">
        <w:rPr>
          <w:sz w:val="24"/>
          <w:szCs w:val="24"/>
        </w:rPr>
        <w:t xml:space="preserve"> den primære eliminationsvej, og </w:t>
      </w:r>
      <w:proofErr w:type="spellStart"/>
      <w:r w:rsidRPr="00D43B3E">
        <w:rPr>
          <w:sz w:val="24"/>
          <w:szCs w:val="24"/>
        </w:rPr>
        <w:t>glukuronidering</w:t>
      </w:r>
      <w:proofErr w:type="spellEnd"/>
      <w:r w:rsidRPr="00D43B3E">
        <w:rPr>
          <w:sz w:val="24"/>
          <w:szCs w:val="24"/>
        </w:rPr>
        <w:t xml:space="preserve"> er mindre end hos voksne. Den totale elimination hos børn svarer til den set hos voksne på grund af en øget </w:t>
      </w:r>
      <w:proofErr w:type="spellStart"/>
      <w:r w:rsidRPr="00D43B3E">
        <w:rPr>
          <w:sz w:val="24"/>
          <w:szCs w:val="24"/>
        </w:rPr>
        <w:t>sulfatkonjugeringskapacitet</w:t>
      </w:r>
      <w:proofErr w:type="spellEnd"/>
      <w:r w:rsidRPr="00D43B3E">
        <w:rPr>
          <w:sz w:val="24"/>
          <w:szCs w:val="24"/>
        </w:rPr>
        <w:t>.</w:t>
      </w:r>
    </w:p>
    <w:p w:rsidR="001B1222" w:rsidRPr="00D43B3E" w:rsidRDefault="001B1222" w:rsidP="001B1222">
      <w:pPr>
        <w:ind w:left="851"/>
        <w:rPr>
          <w:sz w:val="24"/>
          <w:szCs w:val="24"/>
        </w:rPr>
      </w:pPr>
    </w:p>
    <w:p w:rsidR="001B1222" w:rsidRPr="00D43B3E" w:rsidRDefault="001B1222" w:rsidP="001B1222">
      <w:pPr>
        <w:ind w:left="851"/>
        <w:rPr>
          <w:sz w:val="24"/>
          <w:szCs w:val="24"/>
          <w:u w:val="single"/>
        </w:rPr>
      </w:pPr>
      <w:r w:rsidRPr="00D43B3E">
        <w:rPr>
          <w:sz w:val="24"/>
          <w:szCs w:val="24"/>
          <w:u w:val="single"/>
        </w:rPr>
        <w:t>Elimination</w:t>
      </w:r>
    </w:p>
    <w:p w:rsidR="001B1222" w:rsidRPr="00D43B3E" w:rsidRDefault="001B1222" w:rsidP="001B1222">
      <w:pPr>
        <w:ind w:left="851"/>
        <w:rPr>
          <w:sz w:val="24"/>
          <w:szCs w:val="24"/>
        </w:rPr>
      </w:pPr>
      <w:r w:rsidRPr="00D43B3E">
        <w:rPr>
          <w:sz w:val="24"/>
          <w:szCs w:val="24"/>
        </w:rPr>
        <w:t>Paracetamol udskilles primært i urinen. 90 % af den indtagne dosis elimineres via nyrerne inden</w:t>
      </w:r>
      <w:r>
        <w:rPr>
          <w:sz w:val="24"/>
          <w:szCs w:val="24"/>
        </w:rPr>
        <w:t xml:space="preserve"> </w:t>
      </w:r>
      <w:r w:rsidRPr="00D43B3E">
        <w:rPr>
          <w:sz w:val="24"/>
          <w:szCs w:val="24"/>
        </w:rPr>
        <w:t xml:space="preserve">for 24 timer, fortrinsvis som </w:t>
      </w:r>
      <w:proofErr w:type="spellStart"/>
      <w:r w:rsidRPr="00D43B3E">
        <w:rPr>
          <w:sz w:val="24"/>
          <w:szCs w:val="24"/>
        </w:rPr>
        <w:t>glucoronid</w:t>
      </w:r>
      <w:proofErr w:type="spellEnd"/>
      <w:r w:rsidRPr="00D43B3E">
        <w:rPr>
          <w:sz w:val="24"/>
          <w:szCs w:val="24"/>
        </w:rPr>
        <w:t xml:space="preserve">- (60-80 %) og </w:t>
      </w:r>
      <w:proofErr w:type="spellStart"/>
      <w:r w:rsidRPr="00D43B3E">
        <w:rPr>
          <w:sz w:val="24"/>
          <w:szCs w:val="24"/>
        </w:rPr>
        <w:t>sulfatkonjugater</w:t>
      </w:r>
      <w:proofErr w:type="spellEnd"/>
      <w:r w:rsidRPr="00D43B3E">
        <w:rPr>
          <w:sz w:val="24"/>
          <w:szCs w:val="24"/>
        </w:rPr>
        <w:t xml:space="preserve"> (20-30 %). Mindre end 5 % elimineres uændret. Eliminationshalveringstiden er cirka 2 timer.</w:t>
      </w:r>
    </w:p>
    <w:p w:rsidR="001B1222" w:rsidRPr="00D43B3E" w:rsidRDefault="001B1222" w:rsidP="001B1222">
      <w:pPr>
        <w:ind w:left="851"/>
        <w:rPr>
          <w:sz w:val="24"/>
          <w:szCs w:val="24"/>
        </w:rPr>
      </w:pPr>
    </w:p>
    <w:p w:rsidR="001B1222" w:rsidRPr="00D43B3E" w:rsidRDefault="001B1222" w:rsidP="001B1222">
      <w:pPr>
        <w:ind w:left="851"/>
        <w:rPr>
          <w:sz w:val="24"/>
          <w:szCs w:val="24"/>
        </w:rPr>
      </w:pPr>
      <w:r w:rsidRPr="00D43B3E">
        <w:rPr>
          <w:sz w:val="24"/>
          <w:szCs w:val="24"/>
        </w:rPr>
        <w:t>I tilfælde af nedsat nyre- eller l</w:t>
      </w:r>
      <w:r>
        <w:rPr>
          <w:sz w:val="24"/>
          <w:szCs w:val="24"/>
        </w:rPr>
        <w:t xml:space="preserve">everfunktion, ved overdosering </w:t>
      </w:r>
      <w:r w:rsidRPr="00D43B3E">
        <w:rPr>
          <w:sz w:val="24"/>
          <w:szCs w:val="24"/>
        </w:rPr>
        <w:t xml:space="preserve">og hos nyfødte er paracetamols halveringstid forlænget. Maksimal effekt svarer til plasmakoncentrationen. Hos ældre patienter er </w:t>
      </w:r>
      <w:proofErr w:type="spellStart"/>
      <w:r w:rsidRPr="00D43B3E">
        <w:rPr>
          <w:sz w:val="24"/>
          <w:szCs w:val="24"/>
        </w:rPr>
        <w:t>konjugeringskapaciteten</w:t>
      </w:r>
      <w:proofErr w:type="spellEnd"/>
      <w:r w:rsidRPr="00D43B3E">
        <w:rPr>
          <w:sz w:val="24"/>
          <w:szCs w:val="24"/>
        </w:rPr>
        <w:t xml:space="preserve"> ikke modificeret.</w:t>
      </w:r>
    </w:p>
    <w:p w:rsidR="001B1222" w:rsidRPr="00D43B3E" w:rsidRDefault="001B1222" w:rsidP="001B1222">
      <w:pPr>
        <w:ind w:left="851"/>
        <w:rPr>
          <w:sz w:val="24"/>
          <w:szCs w:val="24"/>
        </w:rPr>
      </w:pPr>
    </w:p>
    <w:p w:rsidR="001B1222" w:rsidRPr="00B322D3" w:rsidRDefault="001B1222" w:rsidP="001B1222">
      <w:pPr>
        <w:ind w:left="851" w:hanging="851"/>
        <w:rPr>
          <w:b/>
          <w:sz w:val="24"/>
          <w:szCs w:val="24"/>
        </w:rPr>
      </w:pPr>
      <w:r w:rsidRPr="00B322D3">
        <w:rPr>
          <w:b/>
          <w:sz w:val="24"/>
          <w:szCs w:val="24"/>
        </w:rPr>
        <w:t>5.3</w:t>
      </w:r>
      <w:r w:rsidRPr="00B322D3">
        <w:rPr>
          <w:b/>
          <w:sz w:val="24"/>
          <w:szCs w:val="24"/>
        </w:rPr>
        <w:tab/>
        <w:t>Prækliniske sikkerhedsdata</w:t>
      </w:r>
    </w:p>
    <w:p w:rsidR="003D2620" w:rsidRPr="00F3382C" w:rsidRDefault="003D2620" w:rsidP="00F3382C">
      <w:pPr>
        <w:ind w:left="851"/>
        <w:rPr>
          <w:sz w:val="24"/>
          <w:szCs w:val="24"/>
        </w:rPr>
      </w:pPr>
      <w:bookmarkStart w:id="1" w:name="_Hlk46924334"/>
      <w:r w:rsidRPr="00F3382C">
        <w:rPr>
          <w:sz w:val="24"/>
          <w:szCs w:val="24"/>
        </w:rPr>
        <w:t>Der blev kun observeret virkning i ikke-kliniske forsøg ved eksponeringer, der i væsentlig grad overstiger den maksimale humane eksponering, hvilket indikerer ringe relevans ved klinisk brug. Der foreligger ikke konventionelle studier, hvor man har anvendt aktuelt anerkendte standarder for evaluering af reproduktions- og udviklingstoksicitet.</w:t>
      </w:r>
    </w:p>
    <w:bookmarkEnd w:id="1"/>
    <w:p w:rsidR="001B1222" w:rsidRPr="00F3382C" w:rsidRDefault="001B1222" w:rsidP="00F3382C">
      <w:pPr>
        <w:rPr>
          <w:sz w:val="24"/>
          <w:szCs w:val="24"/>
        </w:rPr>
      </w:pPr>
    </w:p>
    <w:p w:rsidR="0023454C" w:rsidRDefault="0023454C">
      <w:pPr>
        <w:rPr>
          <w:sz w:val="24"/>
          <w:szCs w:val="24"/>
        </w:rPr>
      </w:pPr>
      <w:r>
        <w:rPr>
          <w:sz w:val="24"/>
          <w:szCs w:val="24"/>
        </w:rPr>
        <w:br w:type="page"/>
      </w: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t>6.</w:t>
      </w:r>
      <w:r w:rsidRPr="00B322D3">
        <w:rPr>
          <w:b/>
          <w:sz w:val="24"/>
          <w:szCs w:val="24"/>
        </w:rPr>
        <w:tab/>
        <w:t>FARMACEUTISKE OPLYSNINGER</w:t>
      </w:r>
    </w:p>
    <w:p w:rsidR="001B1222" w:rsidRPr="00B322D3" w:rsidRDefault="001B1222" w:rsidP="001B1222">
      <w:pPr>
        <w:ind w:left="851" w:hanging="851"/>
        <w:rPr>
          <w:b/>
          <w:sz w:val="24"/>
          <w:szCs w:val="24"/>
        </w:rPr>
      </w:pPr>
    </w:p>
    <w:p w:rsidR="001B1222" w:rsidRPr="00B322D3" w:rsidRDefault="001B1222" w:rsidP="001B1222">
      <w:pPr>
        <w:ind w:left="851" w:hanging="851"/>
        <w:rPr>
          <w:b/>
          <w:sz w:val="24"/>
          <w:szCs w:val="24"/>
        </w:rPr>
      </w:pPr>
      <w:r w:rsidRPr="00B322D3">
        <w:rPr>
          <w:b/>
          <w:sz w:val="24"/>
          <w:szCs w:val="24"/>
        </w:rPr>
        <w:t>6.1</w:t>
      </w:r>
      <w:r w:rsidRPr="00B322D3">
        <w:rPr>
          <w:b/>
          <w:sz w:val="24"/>
          <w:szCs w:val="24"/>
        </w:rPr>
        <w:tab/>
        <w:t>Hjælpestoffer</w:t>
      </w:r>
    </w:p>
    <w:p w:rsidR="001B1222" w:rsidRPr="00B322D3" w:rsidRDefault="001B1222" w:rsidP="001B1222">
      <w:pPr>
        <w:ind w:left="851"/>
        <w:rPr>
          <w:sz w:val="24"/>
          <w:szCs w:val="24"/>
        </w:rPr>
      </w:pPr>
    </w:p>
    <w:p w:rsidR="001B1222" w:rsidRPr="00B322D3" w:rsidRDefault="001B1222" w:rsidP="0023454C">
      <w:pPr>
        <w:ind w:left="851"/>
        <w:rPr>
          <w:sz w:val="24"/>
          <w:szCs w:val="24"/>
          <w:u w:val="single"/>
        </w:rPr>
      </w:pPr>
      <w:r>
        <w:rPr>
          <w:sz w:val="24"/>
          <w:szCs w:val="24"/>
          <w:u w:val="single"/>
        </w:rPr>
        <w:t>Tabletkerne</w:t>
      </w:r>
    </w:p>
    <w:p w:rsidR="001B1222" w:rsidRPr="00B322D3" w:rsidRDefault="001B1222" w:rsidP="0023454C">
      <w:pPr>
        <w:ind w:left="851"/>
        <w:rPr>
          <w:sz w:val="24"/>
          <w:szCs w:val="24"/>
        </w:rPr>
      </w:pPr>
      <w:r w:rsidRPr="00B322D3">
        <w:rPr>
          <w:sz w:val="24"/>
          <w:szCs w:val="24"/>
        </w:rPr>
        <w:t xml:space="preserve">Stivelse, </w:t>
      </w:r>
      <w:proofErr w:type="spellStart"/>
      <w:r w:rsidRPr="00B322D3">
        <w:rPr>
          <w:sz w:val="24"/>
          <w:szCs w:val="24"/>
        </w:rPr>
        <w:t>pregelatineret</w:t>
      </w:r>
      <w:proofErr w:type="spellEnd"/>
    </w:p>
    <w:p w:rsidR="001B1222" w:rsidRPr="00B322D3" w:rsidRDefault="001B1222" w:rsidP="0023454C">
      <w:pPr>
        <w:ind w:left="851"/>
        <w:rPr>
          <w:sz w:val="24"/>
          <w:szCs w:val="24"/>
        </w:rPr>
      </w:pPr>
      <w:r w:rsidRPr="00B322D3">
        <w:rPr>
          <w:sz w:val="24"/>
          <w:szCs w:val="24"/>
        </w:rPr>
        <w:t>Majsstivelse</w:t>
      </w:r>
    </w:p>
    <w:p w:rsidR="001B1222" w:rsidRPr="00B322D3" w:rsidRDefault="001B1222" w:rsidP="0023454C">
      <w:pPr>
        <w:ind w:left="851"/>
        <w:rPr>
          <w:sz w:val="24"/>
          <w:szCs w:val="24"/>
        </w:rPr>
      </w:pPr>
      <w:proofErr w:type="spellStart"/>
      <w:r w:rsidRPr="00B322D3">
        <w:rPr>
          <w:sz w:val="24"/>
          <w:szCs w:val="24"/>
        </w:rPr>
        <w:t>Povidon</w:t>
      </w:r>
      <w:proofErr w:type="spellEnd"/>
    </w:p>
    <w:p w:rsidR="001B1222" w:rsidRPr="00B322D3" w:rsidRDefault="001B1222" w:rsidP="0023454C">
      <w:pPr>
        <w:ind w:left="851"/>
        <w:rPr>
          <w:sz w:val="24"/>
          <w:szCs w:val="24"/>
        </w:rPr>
      </w:pPr>
      <w:r w:rsidRPr="00B322D3">
        <w:rPr>
          <w:sz w:val="24"/>
          <w:szCs w:val="24"/>
        </w:rPr>
        <w:t>Stearinsyre</w:t>
      </w:r>
    </w:p>
    <w:p w:rsidR="001B1222" w:rsidRPr="00B322D3" w:rsidRDefault="001B1222" w:rsidP="0023454C">
      <w:pPr>
        <w:ind w:left="851"/>
        <w:rPr>
          <w:sz w:val="24"/>
          <w:szCs w:val="24"/>
        </w:rPr>
      </w:pPr>
      <w:proofErr w:type="spellStart"/>
      <w:r w:rsidRPr="00B322D3">
        <w:rPr>
          <w:sz w:val="24"/>
          <w:szCs w:val="24"/>
        </w:rPr>
        <w:t>Talcum</w:t>
      </w:r>
      <w:proofErr w:type="spellEnd"/>
    </w:p>
    <w:p w:rsidR="001B1222" w:rsidRPr="00B322D3" w:rsidRDefault="001B1222" w:rsidP="0023454C">
      <w:pPr>
        <w:ind w:left="851"/>
        <w:rPr>
          <w:sz w:val="24"/>
          <w:szCs w:val="24"/>
        </w:rPr>
      </w:pPr>
    </w:p>
    <w:p w:rsidR="001B1222" w:rsidRPr="00B322D3" w:rsidRDefault="001B1222" w:rsidP="0023454C">
      <w:pPr>
        <w:ind w:left="851"/>
        <w:rPr>
          <w:sz w:val="24"/>
          <w:szCs w:val="24"/>
          <w:u w:val="single"/>
        </w:rPr>
      </w:pPr>
      <w:r>
        <w:rPr>
          <w:sz w:val="24"/>
          <w:szCs w:val="24"/>
          <w:u w:val="single"/>
        </w:rPr>
        <w:t>Filmovertræk</w:t>
      </w:r>
    </w:p>
    <w:p w:rsidR="001B1222" w:rsidRPr="00B322D3" w:rsidRDefault="001B1222" w:rsidP="0023454C">
      <w:pPr>
        <w:ind w:left="851"/>
        <w:rPr>
          <w:sz w:val="24"/>
          <w:szCs w:val="24"/>
        </w:rPr>
      </w:pPr>
      <w:proofErr w:type="spellStart"/>
      <w:r>
        <w:rPr>
          <w:sz w:val="24"/>
          <w:szCs w:val="24"/>
        </w:rPr>
        <w:t>Opadry</w:t>
      </w:r>
      <w:proofErr w:type="spellEnd"/>
      <w:r>
        <w:rPr>
          <w:sz w:val="24"/>
          <w:szCs w:val="24"/>
        </w:rPr>
        <w:t xml:space="preserve"> White (Y-1-7000), som</w:t>
      </w:r>
      <w:r w:rsidRPr="00B322D3">
        <w:rPr>
          <w:sz w:val="24"/>
          <w:szCs w:val="24"/>
        </w:rPr>
        <w:t xml:space="preserve"> indeholder: </w:t>
      </w:r>
    </w:p>
    <w:p w:rsidR="001B1222" w:rsidRPr="00B322D3" w:rsidRDefault="001B1222" w:rsidP="0023454C">
      <w:pPr>
        <w:ind w:left="851"/>
        <w:rPr>
          <w:sz w:val="24"/>
          <w:szCs w:val="24"/>
          <w:lang w:val="nl-BE"/>
        </w:rPr>
      </w:pPr>
      <w:r w:rsidRPr="00B322D3">
        <w:rPr>
          <w:sz w:val="24"/>
          <w:szCs w:val="24"/>
          <w:lang w:val="nl-BE"/>
        </w:rPr>
        <w:t>Hypromellose</w:t>
      </w:r>
    </w:p>
    <w:p w:rsidR="001B1222" w:rsidRPr="00B322D3" w:rsidRDefault="001B1222" w:rsidP="0023454C">
      <w:pPr>
        <w:ind w:left="851"/>
        <w:rPr>
          <w:sz w:val="24"/>
          <w:szCs w:val="24"/>
          <w:lang w:val="nl-BE"/>
        </w:rPr>
      </w:pPr>
      <w:r w:rsidRPr="00B322D3">
        <w:rPr>
          <w:sz w:val="24"/>
          <w:szCs w:val="24"/>
          <w:lang w:val="nl-BE"/>
        </w:rPr>
        <w:t>Macrogol</w:t>
      </w:r>
    </w:p>
    <w:p w:rsidR="001B1222" w:rsidRPr="00B322D3" w:rsidRDefault="001B1222" w:rsidP="0023454C">
      <w:pPr>
        <w:ind w:left="851"/>
        <w:rPr>
          <w:sz w:val="24"/>
          <w:szCs w:val="24"/>
          <w:lang w:val="nl-BE"/>
        </w:rPr>
      </w:pPr>
      <w:r w:rsidRPr="00B322D3">
        <w:rPr>
          <w:sz w:val="24"/>
          <w:szCs w:val="24"/>
          <w:lang w:val="nl-BE"/>
        </w:rPr>
        <w:t>Titandioxid (E171)</w:t>
      </w: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t>6.2</w:t>
      </w:r>
      <w:r w:rsidRPr="00B322D3">
        <w:rPr>
          <w:b/>
          <w:sz w:val="24"/>
          <w:szCs w:val="24"/>
        </w:rPr>
        <w:tab/>
        <w:t>Uforligeligheder</w:t>
      </w:r>
    </w:p>
    <w:p w:rsidR="001B1222" w:rsidRPr="00B322D3" w:rsidRDefault="001B1222" w:rsidP="001B1222">
      <w:pPr>
        <w:ind w:left="851"/>
        <w:rPr>
          <w:sz w:val="24"/>
          <w:szCs w:val="24"/>
        </w:rPr>
      </w:pPr>
      <w:r w:rsidRPr="00B322D3">
        <w:rPr>
          <w:sz w:val="24"/>
          <w:szCs w:val="24"/>
        </w:rPr>
        <w:t>Ikke relevant.</w:t>
      </w: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lastRenderedPageBreak/>
        <w:t>6.3</w:t>
      </w:r>
      <w:r w:rsidRPr="00B322D3">
        <w:rPr>
          <w:b/>
          <w:sz w:val="24"/>
          <w:szCs w:val="24"/>
        </w:rPr>
        <w:tab/>
        <w:t>Opbevaringstid</w:t>
      </w:r>
    </w:p>
    <w:p w:rsidR="001B1222" w:rsidRPr="00B322D3" w:rsidRDefault="001B1222" w:rsidP="001B1222">
      <w:pPr>
        <w:ind w:left="851"/>
        <w:rPr>
          <w:sz w:val="24"/>
          <w:szCs w:val="24"/>
        </w:rPr>
      </w:pPr>
      <w:r w:rsidRPr="00B322D3">
        <w:rPr>
          <w:sz w:val="24"/>
          <w:szCs w:val="24"/>
        </w:rPr>
        <w:t xml:space="preserve">3 år. </w:t>
      </w: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t>6.4</w:t>
      </w:r>
      <w:r w:rsidRPr="00B322D3">
        <w:rPr>
          <w:b/>
          <w:sz w:val="24"/>
          <w:szCs w:val="24"/>
        </w:rPr>
        <w:tab/>
        <w:t>Særlige opbevaringsforhold</w:t>
      </w:r>
    </w:p>
    <w:p w:rsidR="001B1222" w:rsidRDefault="001B1222" w:rsidP="001B1222">
      <w:pPr>
        <w:ind w:left="851"/>
        <w:rPr>
          <w:iCs/>
          <w:sz w:val="24"/>
          <w:szCs w:val="24"/>
        </w:rPr>
      </w:pPr>
      <w:r w:rsidRPr="00B322D3">
        <w:rPr>
          <w:iCs/>
          <w:sz w:val="24"/>
          <w:szCs w:val="24"/>
        </w:rPr>
        <w:t>Opbevares i den originale emballage for at beskytte mod lys.</w:t>
      </w:r>
    </w:p>
    <w:p w:rsidR="001B1222" w:rsidRDefault="001B1222" w:rsidP="001B1222">
      <w:pPr>
        <w:rPr>
          <w:iCs/>
          <w:sz w:val="24"/>
          <w:szCs w:val="24"/>
        </w:rPr>
      </w:pPr>
    </w:p>
    <w:p w:rsidR="001B1222" w:rsidRPr="00B322D3" w:rsidRDefault="001B1222" w:rsidP="001B1222">
      <w:pPr>
        <w:ind w:left="851"/>
        <w:rPr>
          <w:iCs/>
          <w:sz w:val="24"/>
          <w:szCs w:val="24"/>
        </w:rPr>
      </w:pPr>
      <w:r>
        <w:t>Der er ingen særlige krav vedrørende opbevaringstemperaturer for dette lægemiddel.</w:t>
      </w: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t>6.5</w:t>
      </w:r>
      <w:r w:rsidRPr="00B322D3">
        <w:rPr>
          <w:b/>
          <w:sz w:val="24"/>
          <w:szCs w:val="24"/>
        </w:rPr>
        <w:tab/>
        <w:t>Emballagetyper og pakningsstørrelser</w:t>
      </w:r>
    </w:p>
    <w:p w:rsidR="001B1222" w:rsidRDefault="001B1222" w:rsidP="001B1222">
      <w:pPr>
        <w:ind w:left="851"/>
        <w:rPr>
          <w:sz w:val="24"/>
          <w:szCs w:val="24"/>
        </w:rPr>
      </w:pPr>
    </w:p>
    <w:p w:rsidR="001B1222" w:rsidRPr="0009308E" w:rsidRDefault="001B1222" w:rsidP="001B1222">
      <w:pPr>
        <w:ind w:left="851"/>
        <w:rPr>
          <w:sz w:val="24"/>
          <w:szCs w:val="24"/>
          <w:u w:val="single"/>
        </w:rPr>
      </w:pPr>
      <w:r w:rsidRPr="0009308E">
        <w:rPr>
          <w:sz w:val="24"/>
          <w:szCs w:val="24"/>
          <w:u w:val="single"/>
        </w:rPr>
        <w:t>500 mg</w:t>
      </w:r>
    </w:p>
    <w:p w:rsidR="001B1222" w:rsidRDefault="001B1222" w:rsidP="001B1222">
      <w:pPr>
        <w:ind w:left="851"/>
        <w:rPr>
          <w:sz w:val="24"/>
          <w:szCs w:val="24"/>
        </w:rPr>
      </w:pPr>
    </w:p>
    <w:p w:rsidR="001B1222" w:rsidRPr="00B92465" w:rsidRDefault="001B1222" w:rsidP="001B1222">
      <w:pPr>
        <w:ind w:left="851"/>
        <w:rPr>
          <w:i/>
          <w:sz w:val="24"/>
          <w:szCs w:val="24"/>
        </w:rPr>
      </w:pPr>
      <w:r w:rsidRPr="00B92465">
        <w:rPr>
          <w:i/>
          <w:sz w:val="24"/>
          <w:szCs w:val="24"/>
        </w:rPr>
        <w:t>Blister</w:t>
      </w:r>
      <w:r>
        <w:rPr>
          <w:i/>
          <w:sz w:val="24"/>
          <w:szCs w:val="24"/>
        </w:rPr>
        <w:t>pakning</w:t>
      </w:r>
      <w:r w:rsidRPr="00B92465">
        <w:rPr>
          <w:i/>
          <w:sz w:val="24"/>
          <w:szCs w:val="24"/>
        </w:rPr>
        <w:t xml:space="preserve"> (PVC/</w:t>
      </w:r>
      <w:r>
        <w:rPr>
          <w:i/>
          <w:sz w:val="24"/>
          <w:szCs w:val="24"/>
        </w:rPr>
        <w:t>a</w:t>
      </w:r>
      <w:r w:rsidRPr="00B92465">
        <w:rPr>
          <w:i/>
          <w:sz w:val="24"/>
          <w:szCs w:val="24"/>
        </w:rPr>
        <w:t>luminium)</w:t>
      </w:r>
    </w:p>
    <w:p w:rsidR="001B1222" w:rsidRDefault="001B1222" w:rsidP="001B1222">
      <w:pPr>
        <w:ind w:left="851"/>
        <w:rPr>
          <w:sz w:val="24"/>
          <w:szCs w:val="24"/>
        </w:rPr>
      </w:pPr>
      <w:r w:rsidRPr="00B322D3">
        <w:rPr>
          <w:sz w:val="24"/>
          <w:szCs w:val="24"/>
        </w:rPr>
        <w:t xml:space="preserve">Pakningsstørrelser: 10, 16, 20, 30, 50 og 100 stk. </w:t>
      </w:r>
    </w:p>
    <w:p w:rsidR="001B1222" w:rsidRPr="00B322D3" w:rsidRDefault="001B1222" w:rsidP="001B1222">
      <w:pPr>
        <w:ind w:left="851"/>
        <w:rPr>
          <w:sz w:val="24"/>
          <w:szCs w:val="24"/>
        </w:rPr>
      </w:pPr>
    </w:p>
    <w:p w:rsidR="001B1222" w:rsidRDefault="001B1222" w:rsidP="001B1222">
      <w:pPr>
        <w:ind w:left="851"/>
        <w:rPr>
          <w:i/>
          <w:sz w:val="24"/>
          <w:szCs w:val="24"/>
        </w:rPr>
      </w:pPr>
      <w:r>
        <w:rPr>
          <w:i/>
          <w:sz w:val="24"/>
          <w:szCs w:val="24"/>
        </w:rPr>
        <w:t>HDPE-beholder</w:t>
      </w:r>
      <w:r w:rsidRPr="00B92465">
        <w:rPr>
          <w:i/>
          <w:sz w:val="24"/>
          <w:szCs w:val="24"/>
        </w:rPr>
        <w:t xml:space="preserve"> med skruelåg (PP)</w:t>
      </w:r>
    </w:p>
    <w:p w:rsidR="001B1222" w:rsidRPr="00B322D3" w:rsidRDefault="001B1222" w:rsidP="001B1222">
      <w:pPr>
        <w:ind w:left="851"/>
        <w:rPr>
          <w:sz w:val="24"/>
          <w:szCs w:val="24"/>
        </w:rPr>
      </w:pPr>
      <w:r w:rsidRPr="00B322D3">
        <w:rPr>
          <w:sz w:val="24"/>
          <w:szCs w:val="24"/>
        </w:rPr>
        <w:t xml:space="preserve">Pakningsstørrelser: 50, 100, 200 og 300 stk. </w:t>
      </w:r>
    </w:p>
    <w:p w:rsidR="001B1222" w:rsidRPr="00B322D3" w:rsidRDefault="001B1222" w:rsidP="001B1222">
      <w:pPr>
        <w:ind w:left="851"/>
        <w:rPr>
          <w:sz w:val="24"/>
          <w:szCs w:val="24"/>
        </w:rPr>
      </w:pPr>
    </w:p>
    <w:p w:rsidR="001B1222" w:rsidRPr="0009308E" w:rsidRDefault="001B1222" w:rsidP="001B1222">
      <w:pPr>
        <w:ind w:left="851"/>
        <w:rPr>
          <w:sz w:val="24"/>
          <w:szCs w:val="24"/>
          <w:u w:val="single"/>
        </w:rPr>
      </w:pPr>
      <w:r w:rsidRPr="0009308E">
        <w:rPr>
          <w:sz w:val="24"/>
          <w:szCs w:val="24"/>
          <w:u w:val="single"/>
        </w:rPr>
        <w:t>1000 mg</w:t>
      </w:r>
    </w:p>
    <w:p w:rsidR="001B1222" w:rsidRDefault="001B1222" w:rsidP="001B1222">
      <w:pPr>
        <w:ind w:left="851"/>
        <w:rPr>
          <w:sz w:val="24"/>
          <w:szCs w:val="24"/>
        </w:rPr>
      </w:pPr>
    </w:p>
    <w:p w:rsidR="001B1222" w:rsidRPr="0068289C" w:rsidRDefault="001B1222" w:rsidP="001B1222">
      <w:pPr>
        <w:ind w:left="851"/>
        <w:rPr>
          <w:i/>
          <w:sz w:val="24"/>
          <w:szCs w:val="24"/>
        </w:rPr>
      </w:pPr>
      <w:r w:rsidRPr="0068289C">
        <w:rPr>
          <w:i/>
          <w:sz w:val="24"/>
          <w:szCs w:val="24"/>
        </w:rPr>
        <w:t>Blister</w:t>
      </w:r>
      <w:r>
        <w:rPr>
          <w:i/>
          <w:sz w:val="24"/>
          <w:szCs w:val="24"/>
        </w:rPr>
        <w:t>pakning</w:t>
      </w:r>
      <w:r w:rsidRPr="0068289C">
        <w:rPr>
          <w:i/>
          <w:sz w:val="24"/>
          <w:szCs w:val="24"/>
        </w:rPr>
        <w:t xml:space="preserve"> (PVC/</w:t>
      </w:r>
      <w:r>
        <w:rPr>
          <w:i/>
          <w:sz w:val="24"/>
          <w:szCs w:val="24"/>
        </w:rPr>
        <w:t>a</w:t>
      </w:r>
      <w:r w:rsidRPr="0068289C">
        <w:rPr>
          <w:i/>
          <w:sz w:val="24"/>
          <w:szCs w:val="24"/>
        </w:rPr>
        <w:t>luminium)</w:t>
      </w:r>
    </w:p>
    <w:p w:rsidR="001B1222" w:rsidRDefault="001B1222" w:rsidP="001B1222">
      <w:pPr>
        <w:ind w:left="851"/>
        <w:rPr>
          <w:sz w:val="24"/>
          <w:szCs w:val="24"/>
        </w:rPr>
      </w:pPr>
      <w:r w:rsidRPr="00B322D3">
        <w:rPr>
          <w:sz w:val="24"/>
          <w:szCs w:val="24"/>
        </w:rPr>
        <w:t>Pakningsstørrelser:  8</w:t>
      </w:r>
      <w:r w:rsidR="00973B11">
        <w:rPr>
          <w:sz w:val="24"/>
          <w:szCs w:val="24"/>
        </w:rPr>
        <w:t>, 20</w:t>
      </w:r>
      <w:r w:rsidRPr="00B322D3">
        <w:rPr>
          <w:sz w:val="24"/>
          <w:szCs w:val="24"/>
        </w:rPr>
        <w:t xml:space="preserve"> og 30 stk.</w:t>
      </w:r>
    </w:p>
    <w:p w:rsidR="001B1222" w:rsidRPr="00B322D3" w:rsidRDefault="001B1222" w:rsidP="001B1222">
      <w:pPr>
        <w:ind w:left="851"/>
        <w:rPr>
          <w:sz w:val="24"/>
          <w:szCs w:val="24"/>
        </w:rPr>
      </w:pPr>
    </w:p>
    <w:p w:rsidR="001B1222" w:rsidRDefault="001B1222" w:rsidP="001B1222">
      <w:pPr>
        <w:ind w:left="851"/>
        <w:rPr>
          <w:i/>
          <w:sz w:val="24"/>
          <w:szCs w:val="24"/>
        </w:rPr>
      </w:pPr>
      <w:r>
        <w:rPr>
          <w:i/>
          <w:sz w:val="24"/>
          <w:szCs w:val="24"/>
        </w:rPr>
        <w:t>HDPE-beholder</w:t>
      </w:r>
      <w:r w:rsidRPr="00B92465">
        <w:rPr>
          <w:i/>
          <w:sz w:val="24"/>
          <w:szCs w:val="24"/>
        </w:rPr>
        <w:t xml:space="preserve"> med skruelåg (PP)</w:t>
      </w:r>
    </w:p>
    <w:p w:rsidR="001B1222" w:rsidRPr="00B322D3" w:rsidRDefault="001B1222" w:rsidP="001B1222">
      <w:pPr>
        <w:ind w:left="851"/>
        <w:rPr>
          <w:sz w:val="24"/>
          <w:szCs w:val="24"/>
        </w:rPr>
      </w:pPr>
      <w:r>
        <w:rPr>
          <w:sz w:val="24"/>
          <w:szCs w:val="24"/>
        </w:rPr>
        <w:t>Pakningsstørrelser: 100 stk.</w:t>
      </w:r>
    </w:p>
    <w:p w:rsidR="001B1222" w:rsidRPr="00B322D3" w:rsidRDefault="001B1222" w:rsidP="001B1222">
      <w:pPr>
        <w:ind w:left="851"/>
        <w:rPr>
          <w:sz w:val="24"/>
          <w:szCs w:val="24"/>
        </w:rPr>
      </w:pPr>
    </w:p>
    <w:p w:rsidR="001B1222" w:rsidRPr="00B322D3" w:rsidRDefault="001B1222" w:rsidP="001B1222">
      <w:pPr>
        <w:ind w:left="851"/>
        <w:rPr>
          <w:sz w:val="24"/>
          <w:szCs w:val="24"/>
        </w:rPr>
      </w:pPr>
      <w:r w:rsidRPr="00B322D3">
        <w:rPr>
          <w:sz w:val="24"/>
          <w:szCs w:val="24"/>
        </w:rPr>
        <w:t xml:space="preserve">Ikke alle pakningsstørrelser er nødvendigvis markedsført. </w:t>
      </w:r>
    </w:p>
    <w:p w:rsidR="001B1222" w:rsidRPr="00B322D3" w:rsidRDefault="001B1222" w:rsidP="001B1222">
      <w:pPr>
        <w:ind w:left="851"/>
        <w:rPr>
          <w:sz w:val="24"/>
          <w:szCs w:val="24"/>
        </w:rPr>
      </w:pPr>
    </w:p>
    <w:p w:rsidR="001B1222" w:rsidRPr="00B322D3" w:rsidRDefault="001B1222" w:rsidP="001B1222">
      <w:pPr>
        <w:ind w:left="851" w:hanging="851"/>
        <w:rPr>
          <w:b/>
          <w:sz w:val="24"/>
          <w:szCs w:val="24"/>
        </w:rPr>
      </w:pPr>
      <w:r w:rsidRPr="00B322D3">
        <w:rPr>
          <w:b/>
          <w:sz w:val="24"/>
          <w:szCs w:val="24"/>
        </w:rPr>
        <w:t>6.6</w:t>
      </w:r>
      <w:r w:rsidRPr="00B322D3">
        <w:rPr>
          <w:b/>
          <w:sz w:val="24"/>
          <w:szCs w:val="24"/>
        </w:rPr>
        <w:tab/>
        <w:t>Regler for destruktion og anden håndtering</w:t>
      </w:r>
    </w:p>
    <w:p w:rsidR="001B1222" w:rsidRDefault="001B1222" w:rsidP="001B1222">
      <w:pPr>
        <w:ind w:left="851"/>
        <w:rPr>
          <w:sz w:val="24"/>
          <w:szCs w:val="24"/>
        </w:rPr>
      </w:pPr>
      <w:r>
        <w:rPr>
          <w:sz w:val="24"/>
          <w:szCs w:val="24"/>
        </w:rPr>
        <w:t>Ingen særlige forholdsregler.</w:t>
      </w:r>
    </w:p>
    <w:p w:rsidR="001B1222" w:rsidRDefault="001B1222" w:rsidP="001B1222">
      <w:pPr>
        <w:ind w:left="851"/>
        <w:rPr>
          <w:sz w:val="24"/>
          <w:szCs w:val="24"/>
        </w:rPr>
      </w:pPr>
    </w:p>
    <w:p w:rsidR="001B1222" w:rsidRPr="00E8472F" w:rsidRDefault="001B1222" w:rsidP="001B1222">
      <w:pPr>
        <w:tabs>
          <w:tab w:val="left" w:pos="851"/>
        </w:tabs>
        <w:ind w:left="851"/>
      </w:pPr>
      <w:r>
        <w:t>Ikke anvendt lægemiddel samt affald heraf skal bortskaffes i henhold til lokale retningslinjer.</w:t>
      </w: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t>7.</w:t>
      </w:r>
      <w:r w:rsidRPr="00B322D3">
        <w:rPr>
          <w:b/>
          <w:sz w:val="24"/>
          <w:szCs w:val="24"/>
        </w:rPr>
        <w:tab/>
        <w:t>INDEHAVER AF MARKEDSFØRINGSTILLADELSEN</w:t>
      </w:r>
    </w:p>
    <w:p w:rsidR="001B1222" w:rsidRPr="00C6072C" w:rsidRDefault="001B1222" w:rsidP="001B1222">
      <w:pPr>
        <w:ind w:left="851"/>
        <w:rPr>
          <w:sz w:val="24"/>
          <w:szCs w:val="24"/>
        </w:rPr>
      </w:pPr>
      <w:proofErr w:type="spellStart"/>
      <w:r w:rsidRPr="00C6072C">
        <w:rPr>
          <w:sz w:val="24"/>
          <w:szCs w:val="24"/>
        </w:rPr>
        <w:t>Neogen</w:t>
      </w:r>
      <w:proofErr w:type="spellEnd"/>
      <w:r w:rsidRPr="00C6072C">
        <w:rPr>
          <w:sz w:val="24"/>
          <w:szCs w:val="24"/>
        </w:rPr>
        <w:t xml:space="preserve"> N.V.</w:t>
      </w:r>
    </w:p>
    <w:p w:rsidR="001B1222" w:rsidRPr="006666D1" w:rsidRDefault="001B1222" w:rsidP="001B1222">
      <w:pPr>
        <w:ind w:left="851"/>
        <w:rPr>
          <w:sz w:val="24"/>
          <w:szCs w:val="24"/>
        </w:rPr>
      </w:pPr>
      <w:r w:rsidRPr="006666D1">
        <w:rPr>
          <w:sz w:val="24"/>
          <w:szCs w:val="24"/>
        </w:rPr>
        <w:t>Square Marie Curie 50</w:t>
      </w:r>
    </w:p>
    <w:p w:rsidR="001B1222" w:rsidRPr="00B322D3" w:rsidRDefault="001B1222" w:rsidP="001B1222">
      <w:pPr>
        <w:ind w:left="851"/>
        <w:rPr>
          <w:sz w:val="24"/>
          <w:szCs w:val="24"/>
        </w:rPr>
      </w:pPr>
      <w:r w:rsidRPr="00B322D3">
        <w:rPr>
          <w:sz w:val="24"/>
          <w:szCs w:val="24"/>
        </w:rPr>
        <w:t>1070 Anderlecht</w:t>
      </w:r>
    </w:p>
    <w:p w:rsidR="001B1222" w:rsidRPr="00B322D3" w:rsidRDefault="001B1222" w:rsidP="001B1222">
      <w:pPr>
        <w:ind w:left="851"/>
        <w:rPr>
          <w:sz w:val="24"/>
          <w:szCs w:val="24"/>
        </w:rPr>
      </w:pPr>
      <w:r w:rsidRPr="00B322D3">
        <w:rPr>
          <w:sz w:val="24"/>
          <w:szCs w:val="24"/>
        </w:rPr>
        <w:t>Belgien</w:t>
      </w:r>
    </w:p>
    <w:p w:rsidR="001B1222" w:rsidRPr="00B322D3" w:rsidRDefault="001B1222" w:rsidP="001B1222">
      <w:pPr>
        <w:ind w:left="851"/>
        <w:rPr>
          <w:sz w:val="24"/>
          <w:szCs w:val="24"/>
        </w:rPr>
      </w:pPr>
    </w:p>
    <w:p w:rsidR="001B1222" w:rsidRPr="00B322D3" w:rsidRDefault="001B1222" w:rsidP="001B1222">
      <w:pPr>
        <w:ind w:left="851" w:hanging="851"/>
        <w:rPr>
          <w:b/>
          <w:sz w:val="24"/>
          <w:szCs w:val="24"/>
        </w:rPr>
      </w:pPr>
      <w:r w:rsidRPr="00B322D3">
        <w:rPr>
          <w:b/>
          <w:sz w:val="24"/>
          <w:szCs w:val="24"/>
        </w:rPr>
        <w:t>8.</w:t>
      </w:r>
      <w:r w:rsidRPr="00B322D3">
        <w:rPr>
          <w:b/>
          <w:sz w:val="24"/>
          <w:szCs w:val="24"/>
        </w:rPr>
        <w:tab/>
        <w:t>MARKEDSFØRINGSTILLADELSESNUMMER (NUMRE)</w:t>
      </w:r>
    </w:p>
    <w:p w:rsidR="001B1222" w:rsidRPr="00B322D3" w:rsidRDefault="001B1222" w:rsidP="001B1222">
      <w:pPr>
        <w:tabs>
          <w:tab w:val="left" w:pos="1843"/>
        </w:tabs>
        <w:ind w:left="851"/>
        <w:rPr>
          <w:sz w:val="24"/>
          <w:szCs w:val="24"/>
        </w:rPr>
      </w:pPr>
      <w:r w:rsidRPr="00B322D3">
        <w:rPr>
          <w:sz w:val="24"/>
          <w:szCs w:val="24"/>
        </w:rPr>
        <w:t>500 mg:</w:t>
      </w:r>
      <w:r w:rsidRPr="00B322D3">
        <w:rPr>
          <w:sz w:val="24"/>
          <w:szCs w:val="24"/>
        </w:rPr>
        <w:tab/>
        <w:t>50313</w:t>
      </w:r>
    </w:p>
    <w:p w:rsidR="001B1222" w:rsidRPr="00B322D3" w:rsidRDefault="001B1222" w:rsidP="001B1222">
      <w:pPr>
        <w:tabs>
          <w:tab w:val="left" w:pos="1843"/>
        </w:tabs>
        <w:ind w:left="851"/>
        <w:rPr>
          <w:sz w:val="24"/>
          <w:szCs w:val="24"/>
        </w:rPr>
      </w:pPr>
      <w:r w:rsidRPr="00B322D3">
        <w:rPr>
          <w:sz w:val="24"/>
          <w:szCs w:val="24"/>
        </w:rPr>
        <w:t>1000 mg:</w:t>
      </w:r>
      <w:r w:rsidRPr="00B322D3">
        <w:rPr>
          <w:sz w:val="24"/>
          <w:szCs w:val="24"/>
        </w:rPr>
        <w:tab/>
        <w:t>50314</w:t>
      </w: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t>9.</w:t>
      </w:r>
      <w:r w:rsidRPr="00B322D3">
        <w:rPr>
          <w:b/>
          <w:sz w:val="24"/>
          <w:szCs w:val="24"/>
        </w:rPr>
        <w:tab/>
        <w:t>DATO FOR FØRSTE MARKEDSFØRINGSTILLADELSE</w:t>
      </w:r>
    </w:p>
    <w:p w:rsidR="001B1222" w:rsidRPr="00B322D3" w:rsidRDefault="001B1222" w:rsidP="001B1222">
      <w:pPr>
        <w:ind w:left="851"/>
        <w:rPr>
          <w:sz w:val="24"/>
          <w:szCs w:val="24"/>
        </w:rPr>
      </w:pPr>
      <w:r w:rsidRPr="00B322D3">
        <w:rPr>
          <w:sz w:val="24"/>
          <w:szCs w:val="24"/>
        </w:rPr>
        <w:t>21. maj 2013</w:t>
      </w:r>
    </w:p>
    <w:p w:rsidR="001B1222" w:rsidRPr="00B322D3" w:rsidRDefault="001B1222" w:rsidP="001B1222">
      <w:pPr>
        <w:ind w:left="851" w:hanging="851"/>
        <w:rPr>
          <w:sz w:val="24"/>
          <w:szCs w:val="24"/>
        </w:rPr>
      </w:pPr>
    </w:p>
    <w:p w:rsidR="001B1222" w:rsidRPr="00B322D3" w:rsidRDefault="001B1222" w:rsidP="001B1222">
      <w:pPr>
        <w:ind w:left="851" w:hanging="851"/>
        <w:rPr>
          <w:b/>
          <w:sz w:val="24"/>
          <w:szCs w:val="24"/>
        </w:rPr>
      </w:pPr>
      <w:r w:rsidRPr="00B322D3">
        <w:rPr>
          <w:b/>
          <w:sz w:val="24"/>
          <w:szCs w:val="24"/>
        </w:rPr>
        <w:t>10.</w:t>
      </w:r>
      <w:r w:rsidRPr="00B322D3">
        <w:rPr>
          <w:b/>
          <w:sz w:val="24"/>
          <w:szCs w:val="24"/>
        </w:rPr>
        <w:tab/>
        <w:t>DATO FOR ÆNDRING AF TEKSTEN</w:t>
      </w:r>
    </w:p>
    <w:p w:rsidR="009260DE" w:rsidRPr="001B1222" w:rsidRDefault="00A456E0" w:rsidP="00F3382C">
      <w:pPr>
        <w:ind w:left="851"/>
      </w:pPr>
      <w:r>
        <w:rPr>
          <w:sz w:val="24"/>
          <w:szCs w:val="24"/>
        </w:rPr>
        <w:t>1</w:t>
      </w:r>
      <w:r w:rsidR="00F3382C">
        <w:rPr>
          <w:sz w:val="24"/>
          <w:szCs w:val="24"/>
        </w:rPr>
        <w:t>.</w:t>
      </w:r>
      <w:r w:rsidR="0023454C">
        <w:rPr>
          <w:sz w:val="24"/>
          <w:szCs w:val="24"/>
        </w:rPr>
        <w:t xml:space="preserve"> </w:t>
      </w:r>
      <w:r>
        <w:rPr>
          <w:sz w:val="24"/>
          <w:szCs w:val="24"/>
        </w:rPr>
        <w:t>december</w:t>
      </w:r>
      <w:r w:rsidR="00F3382C">
        <w:rPr>
          <w:sz w:val="24"/>
          <w:szCs w:val="24"/>
        </w:rPr>
        <w:t xml:space="preserve"> 202</w:t>
      </w:r>
      <w:r w:rsidR="0023454C">
        <w:rPr>
          <w:sz w:val="24"/>
          <w:szCs w:val="24"/>
        </w:rPr>
        <w:t>2</w:t>
      </w:r>
    </w:p>
    <w:sectPr w:rsidR="009260DE" w:rsidRPr="001B122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222" w:rsidRDefault="001B1222">
      <w:r>
        <w:separator/>
      </w:r>
    </w:p>
  </w:endnote>
  <w:endnote w:type="continuationSeparator" w:id="0">
    <w:p w:rsidR="001B1222" w:rsidRDefault="001B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B4EC4">
      <w:rPr>
        <w:i/>
        <w:noProof/>
        <w:sz w:val="18"/>
        <w:szCs w:val="18"/>
      </w:rPr>
      <w:t>Paradol, filmovertrukne tabletter 500 mg og 1000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222" w:rsidRDefault="001B1222">
      <w:r>
        <w:separator/>
      </w:r>
    </w:p>
  </w:footnote>
  <w:footnote w:type="continuationSeparator" w:id="0">
    <w:p w:rsidR="001B1222" w:rsidRDefault="001B1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09A8"/>
    <w:multiLevelType w:val="hybridMultilevel"/>
    <w:tmpl w:val="8BAA6F98"/>
    <w:lvl w:ilvl="0" w:tplc="FFFFFFFF">
      <w:start w:val="4"/>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F1FF2"/>
    <w:multiLevelType w:val="hybridMultilevel"/>
    <w:tmpl w:val="B99C063C"/>
    <w:lvl w:ilvl="0" w:tplc="553C39C6">
      <w:start w:val="1"/>
      <w:numFmt w:val="decimal"/>
      <w:lvlText w:val="%1."/>
      <w:lvlJc w:val="left"/>
      <w:pPr>
        <w:ind w:left="8295" w:hanging="360"/>
      </w:pPr>
      <w:rPr>
        <w:rFonts w:hint="default"/>
        <w:b/>
      </w:rPr>
    </w:lvl>
    <w:lvl w:ilvl="1" w:tplc="04060019" w:tentative="1">
      <w:start w:val="1"/>
      <w:numFmt w:val="lowerLetter"/>
      <w:lvlText w:val="%2."/>
      <w:lvlJc w:val="left"/>
      <w:pPr>
        <w:ind w:left="9015" w:hanging="360"/>
      </w:pPr>
    </w:lvl>
    <w:lvl w:ilvl="2" w:tplc="0406001B" w:tentative="1">
      <w:start w:val="1"/>
      <w:numFmt w:val="lowerRoman"/>
      <w:lvlText w:val="%3."/>
      <w:lvlJc w:val="right"/>
      <w:pPr>
        <w:ind w:left="9735" w:hanging="180"/>
      </w:pPr>
    </w:lvl>
    <w:lvl w:ilvl="3" w:tplc="0406000F" w:tentative="1">
      <w:start w:val="1"/>
      <w:numFmt w:val="decimal"/>
      <w:lvlText w:val="%4."/>
      <w:lvlJc w:val="left"/>
      <w:pPr>
        <w:ind w:left="10455" w:hanging="360"/>
      </w:pPr>
    </w:lvl>
    <w:lvl w:ilvl="4" w:tplc="04060019" w:tentative="1">
      <w:start w:val="1"/>
      <w:numFmt w:val="lowerLetter"/>
      <w:lvlText w:val="%5."/>
      <w:lvlJc w:val="left"/>
      <w:pPr>
        <w:ind w:left="11175" w:hanging="360"/>
      </w:pPr>
    </w:lvl>
    <w:lvl w:ilvl="5" w:tplc="0406001B" w:tentative="1">
      <w:start w:val="1"/>
      <w:numFmt w:val="lowerRoman"/>
      <w:lvlText w:val="%6."/>
      <w:lvlJc w:val="right"/>
      <w:pPr>
        <w:ind w:left="11895" w:hanging="180"/>
      </w:pPr>
    </w:lvl>
    <w:lvl w:ilvl="6" w:tplc="0406000F" w:tentative="1">
      <w:start w:val="1"/>
      <w:numFmt w:val="decimal"/>
      <w:lvlText w:val="%7."/>
      <w:lvlJc w:val="left"/>
      <w:pPr>
        <w:ind w:left="12615" w:hanging="360"/>
      </w:pPr>
    </w:lvl>
    <w:lvl w:ilvl="7" w:tplc="04060019" w:tentative="1">
      <w:start w:val="1"/>
      <w:numFmt w:val="lowerLetter"/>
      <w:lvlText w:val="%8."/>
      <w:lvlJc w:val="left"/>
      <w:pPr>
        <w:ind w:left="13335" w:hanging="360"/>
      </w:pPr>
    </w:lvl>
    <w:lvl w:ilvl="8" w:tplc="0406001B" w:tentative="1">
      <w:start w:val="1"/>
      <w:numFmt w:val="lowerRoman"/>
      <w:lvlText w:val="%9."/>
      <w:lvlJc w:val="right"/>
      <w:pPr>
        <w:ind w:left="14055" w:hanging="180"/>
      </w:pPr>
    </w:lvl>
  </w:abstractNum>
  <w:abstractNum w:abstractNumId="2" w15:restartNumberingAfterBreak="0">
    <w:nsid w:val="12DC2591"/>
    <w:multiLevelType w:val="hybridMultilevel"/>
    <w:tmpl w:val="51D84A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8E957DE"/>
    <w:multiLevelType w:val="hybridMultilevel"/>
    <w:tmpl w:val="D3DE7656"/>
    <w:lvl w:ilvl="0" w:tplc="FFFFFFFF">
      <w:start w:val="1957"/>
      <w:numFmt w:val="bullet"/>
      <w:lvlText w:val="-"/>
      <w:lvlJc w:val="left"/>
      <w:pPr>
        <w:ind w:left="3269" w:hanging="360"/>
      </w:pPr>
      <w:rPr>
        <w:rFonts w:ascii="Times New Roman" w:eastAsia="Times New Roman" w:hAnsi="Times New Roman" w:hint="default"/>
      </w:rPr>
    </w:lvl>
    <w:lvl w:ilvl="1" w:tplc="FFFFFFFF">
      <w:start w:val="1"/>
      <w:numFmt w:val="bullet"/>
      <w:lvlText w:val="o"/>
      <w:lvlJc w:val="left"/>
      <w:pPr>
        <w:ind w:left="3989" w:hanging="360"/>
      </w:pPr>
      <w:rPr>
        <w:rFonts w:ascii="Courier New" w:hAnsi="Courier New" w:hint="default"/>
      </w:rPr>
    </w:lvl>
    <w:lvl w:ilvl="2" w:tplc="FFFFFFFF" w:tentative="1">
      <w:start w:val="1"/>
      <w:numFmt w:val="bullet"/>
      <w:lvlText w:val=""/>
      <w:lvlJc w:val="left"/>
      <w:pPr>
        <w:ind w:left="4709" w:hanging="360"/>
      </w:pPr>
      <w:rPr>
        <w:rFonts w:ascii="Wingdings" w:hAnsi="Wingdings" w:hint="default"/>
      </w:rPr>
    </w:lvl>
    <w:lvl w:ilvl="3" w:tplc="FFFFFFFF" w:tentative="1">
      <w:start w:val="1"/>
      <w:numFmt w:val="bullet"/>
      <w:lvlText w:val=""/>
      <w:lvlJc w:val="left"/>
      <w:pPr>
        <w:ind w:left="5429" w:hanging="360"/>
      </w:pPr>
      <w:rPr>
        <w:rFonts w:ascii="Symbol" w:hAnsi="Symbol" w:hint="default"/>
      </w:rPr>
    </w:lvl>
    <w:lvl w:ilvl="4" w:tplc="FFFFFFFF" w:tentative="1">
      <w:start w:val="1"/>
      <w:numFmt w:val="bullet"/>
      <w:lvlText w:val="o"/>
      <w:lvlJc w:val="left"/>
      <w:pPr>
        <w:ind w:left="6149" w:hanging="360"/>
      </w:pPr>
      <w:rPr>
        <w:rFonts w:ascii="Courier New" w:hAnsi="Courier New" w:hint="default"/>
      </w:rPr>
    </w:lvl>
    <w:lvl w:ilvl="5" w:tplc="FFFFFFFF" w:tentative="1">
      <w:start w:val="1"/>
      <w:numFmt w:val="bullet"/>
      <w:lvlText w:val=""/>
      <w:lvlJc w:val="left"/>
      <w:pPr>
        <w:ind w:left="6869" w:hanging="360"/>
      </w:pPr>
      <w:rPr>
        <w:rFonts w:ascii="Wingdings" w:hAnsi="Wingdings" w:hint="default"/>
      </w:rPr>
    </w:lvl>
    <w:lvl w:ilvl="6" w:tplc="FFFFFFFF" w:tentative="1">
      <w:start w:val="1"/>
      <w:numFmt w:val="bullet"/>
      <w:lvlText w:val=""/>
      <w:lvlJc w:val="left"/>
      <w:pPr>
        <w:ind w:left="7589" w:hanging="360"/>
      </w:pPr>
      <w:rPr>
        <w:rFonts w:ascii="Symbol" w:hAnsi="Symbol" w:hint="default"/>
      </w:rPr>
    </w:lvl>
    <w:lvl w:ilvl="7" w:tplc="FFFFFFFF" w:tentative="1">
      <w:start w:val="1"/>
      <w:numFmt w:val="bullet"/>
      <w:lvlText w:val="o"/>
      <w:lvlJc w:val="left"/>
      <w:pPr>
        <w:ind w:left="8309" w:hanging="360"/>
      </w:pPr>
      <w:rPr>
        <w:rFonts w:ascii="Courier New" w:hAnsi="Courier New" w:hint="default"/>
      </w:rPr>
    </w:lvl>
    <w:lvl w:ilvl="8" w:tplc="FFFFFFFF" w:tentative="1">
      <w:start w:val="1"/>
      <w:numFmt w:val="bullet"/>
      <w:lvlText w:val=""/>
      <w:lvlJc w:val="left"/>
      <w:pPr>
        <w:ind w:left="9029"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5914060"/>
    <w:multiLevelType w:val="hybridMultilevel"/>
    <w:tmpl w:val="827EB9B8"/>
    <w:lvl w:ilvl="0" w:tplc="FFFFFFFF">
      <w:start w:val="1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A614C6"/>
    <w:multiLevelType w:val="hybridMultilevel"/>
    <w:tmpl w:val="648231DC"/>
    <w:lvl w:ilvl="0" w:tplc="0B202FA6">
      <w:start w:val="1"/>
      <w:numFmt w:val="decimal"/>
      <w:lvlText w:val="%1."/>
      <w:lvlJc w:val="left"/>
      <w:pPr>
        <w:ind w:left="7935" w:hanging="360"/>
      </w:pPr>
      <w:rPr>
        <w:rFonts w:hint="default"/>
        <w:b/>
      </w:rPr>
    </w:lvl>
    <w:lvl w:ilvl="1" w:tplc="04060019" w:tentative="1">
      <w:start w:val="1"/>
      <w:numFmt w:val="lowerLetter"/>
      <w:lvlText w:val="%2."/>
      <w:lvlJc w:val="left"/>
      <w:pPr>
        <w:ind w:left="8655" w:hanging="360"/>
      </w:pPr>
    </w:lvl>
    <w:lvl w:ilvl="2" w:tplc="0406001B" w:tentative="1">
      <w:start w:val="1"/>
      <w:numFmt w:val="lowerRoman"/>
      <w:lvlText w:val="%3."/>
      <w:lvlJc w:val="right"/>
      <w:pPr>
        <w:ind w:left="9375" w:hanging="180"/>
      </w:pPr>
    </w:lvl>
    <w:lvl w:ilvl="3" w:tplc="0406000F" w:tentative="1">
      <w:start w:val="1"/>
      <w:numFmt w:val="decimal"/>
      <w:lvlText w:val="%4."/>
      <w:lvlJc w:val="left"/>
      <w:pPr>
        <w:ind w:left="10095" w:hanging="360"/>
      </w:pPr>
    </w:lvl>
    <w:lvl w:ilvl="4" w:tplc="04060019" w:tentative="1">
      <w:start w:val="1"/>
      <w:numFmt w:val="lowerLetter"/>
      <w:lvlText w:val="%5."/>
      <w:lvlJc w:val="left"/>
      <w:pPr>
        <w:ind w:left="10815" w:hanging="360"/>
      </w:pPr>
    </w:lvl>
    <w:lvl w:ilvl="5" w:tplc="0406001B" w:tentative="1">
      <w:start w:val="1"/>
      <w:numFmt w:val="lowerRoman"/>
      <w:lvlText w:val="%6."/>
      <w:lvlJc w:val="right"/>
      <w:pPr>
        <w:ind w:left="11535" w:hanging="180"/>
      </w:pPr>
    </w:lvl>
    <w:lvl w:ilvl="6" w:tplc="0406000F" w:tentative="1">
      <w:start w:val="1"/>
      <w:numFmt w:val="decimal"/>
      <w:lvlText w:val="%7."/>
      <w:lvlJc w:val="left"/>
      <w:pPr>
        <w:ind w:left="12255" w:hanging="360"/>
      </w:pPr>
    </w:lvl>
    <w:lvl w:ilvl="7" w:tplc="04060019" w:tentative="1">
      <w:start w:val="1"/>
      <w:numFmt w:val="lowerLetter"/>
      <w:lvlText w:val="%8."/>
      <w:lvlJc w:val="left"/>
      <w:pPr>
        <w:ind w:left="12975" w:hanging="360"/>
      </w:pPr>
    </w:lvl>
    <w:lvl w:ilvl="8" w:tplc="0406001B" w:tentative="1">
      <w:start w:val="1"/>
      <w:numFmt w:val="lowerRoman"/>
      <w:lvlText w:val="%9."/>
      <w:lvlJc w:val="right"/>
      <w:pPr>
        <w:ind w:left="13695" w:hanging="180"/>
      </w:pPr>
    </w:lvl>
  </w:abstractNum>
  <w:abstractNum w:abstractNumId="10" w15:restartNumberingAfterBreak="0">
    <w:nsid w:val="4F582447"/>
    <w:multiLevelType w:val="hybridMultilevel"/>
    <w:tmpl w:val="281626FE"/>
    <w:lvl w:ilvl="0" w:tplc="18FE06C6">
      <w:start w:val="1"/>
      <w:numFmt w:val="decimal"/>
      <w:lvlText w:val="%1."/>
      <w:lvlJc w:val="left"/>
      <w:pPr>
        <w:ind w:left="8295" w:hanging="360"/>
      </w:pPr>
      <w:rPr>
        <w:rFonts w:hint="default"/>
        <w:b/>
      </w:rPr>
    </w:lvl>
    <w:lvl w:ilvl="1" w:tplc="04060019" w:tentative="1">
      <w:start w:val="1"/>
      <w:numFmt w:val="lowerLetter"/>
      <w:lvlText w:val="%2."/>
      <w:lvlJc w:val="left"/>
      <w:pPr>
        <w:ind w:left="9015" w:hanging="360"/>
      </w:pPr>
    </w:lvl>
    <w:lvl w:ilvl="2" w:tplc="0406001B" w:tentative="1">
      <w:start w:val="1"/>
      <w:numFmt w:val="lowerRoman"/>
      <w:lvlText w:val="%3."/>
      <w:lvlJc w:val="right"/>
      <w:pPr>
        <w:ind w:left="9735" w:hanging="180"/>
      </w:pPr>
    </w:lvl>
    <w:lvl w:ilvl="3" w:tplc="0406000F" w:tentative="1">
      <w:start w:val="1"/>
      <w:numFmt w:val="decimal"/>
      <w:lvlText w:val="%4."/>
      <w:lvlJc w:val="left"/>
      <w:pPr>
        <w:ind w:left="10455" w:hanging="360"/>
      </w:pPr>
    </w:lvl>
    <w:lvl w:ilvl="4" w:tplc="04060019" w:tentative="1">
      <w:start w:val="1"/>
      <w:numFmt w:val="lowerLetter"/>
      <w:lvlText w:val="%5."/>
      <w:lvlJc w:val="left"/>
      <w:pPr>
        <w:ind w:left="11175" w:hanging="360"/>
      </w:pPr>
    </w:lvl>
    <w:lvl w:ilvl="5" w:tplc="0406001B" w:tentative="1">
      <w:start w:val="1"/>
      <w:numFmt w:val="lowerRoman"/>
      <w:lvlText w:val="%6."/>
      <w:lvlJc w:val="right"/>
      <w:pPr>
        <w:ind w:left="11895" w:hanging="180"/>
      </w:pPr>
    </w:lvl>
    <w:lvl w:ilvl="6" w:tplc="0406000F" w:tentative="1">
      <w:start w:val="1"/>
      <w:numFmt w:val="decimal"/>
      <w:lvlText w:val="%7."/>
      <w:lvlJc w:val="left"/>
      <w:pPr>
        <w:ind w:left="12615" w:hanging="360"/>
      </w:pPr>
    </w:lvl>
    <w:lvl w:ilvl="7" w:tplc="04060019" w:tentative="1">
      <w:start w:val="1"/>
      <w:numFmt w:val="lowerLetter"/>
      <w:lvlText w:val="%8."/>
      <w:lvlJc w:val="left"/>
      <w:pPr>
        <w:ind w:left="13335" w:hanging="360"/>
      </w:pPr>
    </w:lvl>
    <w:lvl w:ilvl="8" w:tplc="0406001B" w:tentative="1">
      <w:start w:val="1"/>
      <w:numFmt w:val="lowerRoman"/>
      <w:lvlText w:val="%9."/>
      <w:lvlJc w:val="right"/>
      <w:pPr>
        <w:ind w:left="14055" w:hanging="180"/>
      </w:p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11A5FFD"/>
    <w:multiLevelType w:val="hybridMultilevel"/>
    <w:tmpl w:val="16425B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22250B5"/>
    <w:multiLevelType w:val="hybridMultilevel"/>
    <w:tmpl w:val="67442328"/>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hint="default"/>
      </w:rPr>
    </w:lvl>
    <w:lvl w:ilvl="8" w:tplc="FFFFFFFF" w:tentative="1">
      <w:start w:val="1"/>
      <w:numFmt w:val="bullet"/>
      <w:lvlText w:val=""/>
      <w:lvlJc w:val="left"/>
      <w:pPr>
        <w:ind w:left="654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4"/>
  </w:num>
  <w:num w:numId="9">
    <w:abstractNumId w:val="0"/>
  </w:num>
  <w:num w:numId="10">
    <w:abstractNumId w:val="6"/>
  </w:num>
  <w:num w:numId="11">
    <w:abstractNumId w:val="2"/>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22"/>
    <w:rsid w:val="00014D57"/>
    <w:rsid w:val="000259B9"/>
    <w:rsid w:val="00041491"/>
    <w:rsid w:val="00050D16"/>
    <w:rsid w:val="00074F2A"/>
    <w:rsid w:val="000A1CA8"/>
    <w:rsid w:val="000A466B"/>
    <w:rsid w:val="000B058C"/>
    <w:rsid w:val="000E4EE6"/>
    <w:rsid w:val="001454E2"/>
    <w:rsid w:val="001B1222"/>
    <w:rsid w:val="001B166A"/>
    <w:rsid w:val="00206CE8"/>
    <w:rsid w:val="00207984"/>
    <w:rsid w:val="00207BD5"/>
    <w:rsid w:val="0021526C"/>
    <w:rsid w:val="0023454C"/>
    <w:rsid w:val="00283A2B"/>
    <w:rsid w:val="002B30AD"/>
    <w:rsid w:val="002C2C01"/>
    <w:rsid w:val="00311B02"/>
    <w:rsid w:val="003A29AE"/>
    <w:rsid w:val="003A32D7"/>
    <w:rsid w:val="003B4074"/>
    <w:rsid w:val="003B4EC4"/>
    <w:rsid w:val="003C769A"/>
    <w:rsid w:val="003D2620"/>
    <w:rsid w:val="003F1838"/>
    <w:rsid w:val="00452167"/>
    <w:rsid w:val="0045746C"/>
    <w:rsid w:val="0049104B"/>
    <w:rsid w:val="004E3B12"/>
    <w:rsid w:val="004E7DC9"/>
    <w:rsid w:val="00532310"/>
    <w:rsid w:val="00560ECC"/>
    <w:rsid w:val="00565F0F"/>
    <w:rsid w:val="00594A86"/>
    <w:rsid w:val="00596D86"/>
    <w:rsid w:val="00637F5A"/>
    <w:rsid w:val="006560B1"/>
    <w:rsid w:val="006756DD"/>
    <w:rsid w:val="00737275"/>
    <w:rsid w:val="00740EEC"/>
    <w:rsid w:val="0078011A"/>
    <w:rsid w:val="00782AF4"/>
    <w:rsid w:val="00790EE7"/>
    <w:rsid w:val="007B4FF1"/>
    <w:rsid w:val="007B6649"/>
    <w:rsid w:val="00802E56"/>
    <w:rsid w:val="0081546F"/>
    <w:rsid w:val="0082576E"/>
    <w:rsid w:val="00865ACF"/>
    <w:rsid w:val="00893FE3"/>
    <w:rsid w:val="00907F75"/>
    <w:rsid w:val="009260DE"/>
    <w:rsid w:val="0093258A"/>
    <w:rsid w:val="00973B11"/>
    <w:rsid w:val="009C7BA3"/>
    <w:rsid w:val="009D1F5A"/>
    <w:rsid w:val="009D4055"/>
    <w:rsid w:val="009F5AA8"/>
    <w:rsid w:val="00A336CF"/>
    <w:rsid w:val="00A456E0"/>
    <w:rsid w:val="00A92661"/>
    <w:rsid w:val="00AB7A85"/>
    <w:rsid w:val="00B003BF"/>
    <w:rsid w:val="00B36E8E"/>
    <w:rsid w:val="00B373D7"/>
    <w:rsid w:val="00C36276"/>
    <w:rsid w:val="00C42586"/>
    <w:rsid w:val="00C60CCD"/>
    <w:rsid w:val="00C724B6"/>
    <w:rsid w:val="00C84483"/>
    <w:rsid w:val="00C95551"/>
    <w:rsid w:val="00CB20D7"/>
    <w:rsid w:val="00D020B0"/>
    <w:rsid w:val="00D11748"/>
    <w:rsid w:val="00D366CF"/>
    <w:rsid w:val="00D51311"/>
    <w:rsid w:val="00DC02E4"/>
    <w:rsid w:val="00E0068B"/>
    <w:rsid w:val="00E108AA"/>
    <w:rsid w:val="00E31812"/>
    <w:rsid w:val="00E3749A"/>
    <w:rsid w:val="00E7437F"/>
    <w:rsid w:val="00E865B8"/>
    <w:rsid w:val="00EC0B9B"/>
    <w:rsid w:val="00ED5E9F"/>
    <w:rsid w:val="00F3382C"/>
    <w:rsid w:val="00F66D4F"/>
    <w:rsid w:val="00F91792"/>
    <w:rsid w:val="00F97021"/>
    <w:rsid w:val="00FA4B6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35779"/>
  <w15:chartTrackingRefBased/>
  <w15:docId w15:val="{7AFBACFC-73F3-46FA-81B1-88916B1F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st">
    <w:name w:val="st"/>
    <w:rsid w:val="001B1222"/>
    <w:rPr>
      <w:rFonts w:cs="Times New Roman"/>
      <w:lang w:val="da-DK" w:eastAsia="da-DK"/>
    </w:rPr>
  </w:style>
  <w:style w:type="paragraph" w:styleId="Brdtekst">
    <w:name w:val="Body Text"/>
    <w:basedOn w:val="Normal"/>
    <w:link w:val="BrdtekstTegn"/>
    <w:uiPriority w:val="1"/>
    <w:qFormat/>
    <w:rsid w:val="007B4FF1"/>
    <w:pPr>
      <w:widowControl w:val="0"/>
      <w:ind w:left="674"/>
    </w:pPr>
    <w:rPr>
      <w:rFonts w:cstheme="minorBidi"/>
      <w:sz w:val="22"/>
      <w:szCs w:val="22"/>
      <w:lang w:val="en-US"/>
    </w:rPr>
  </w:style>
  <w:style w:type="character" w:customStyle="1" w:styleId="BrdtekstTegn">
    <w:name w:val="Brødtekst Tegn"/>
    <w:basedOn w:val="Standardskrifttypeiafsnit"/>
    <w:link w:val="Brdtekst"/>
    <w:uiPriority w:val="1"/>
    <w:rsid w:val="007B4FF1"/>
    <w:rPr>
      <w:rFonts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6</TotalTime>
  <Pages>11</Pages>
  <Words>2531</Words>
  <Characters>16806</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2022051905, pkt. 4.4 og 4.5 (psusa)</dc:description>
  <cp:lastModifiedBy>Gitte Jørgensen</cp:lastModifiedBy>
  <cp:revision>9</cp:revision>
  <cp:lastPrinted>2012-08-22T08:53:00Z</cp:lastPrinted>
  <dcterms:created xsi:type="dcterms:W3CDTF">2022-12-01T09:50:00Z</dcterms:created>
  <dcterms:modified xsi:type="dcterms:W3CDTF">2022-12-01T09:58:00Z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