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B92" w:rsidRPr="008F49E1" w:rsidRDefault="00496B92" w:rsidP="00496B92">
      <w:pPr>
        <w:rPr>
          <w:sz w:val="24"/>
          <w:szCs w:val="24"/>
        </w:rPr>
      </w:pPr>
      <w:r w:rsidRPr="008F49E1">
        <w:rPr>
          <w:noProof/>
          <w:sz w:val="24"/>
          <w:szCs w:val="24"/>
          <w:lang w:eastAsia="da-DK"/>
        </w:rPr>
        <w:drawing>
          <wp:inline distT="0" distB="0" distL="0" distR="0" wp14:anchorId="314669B7" wp14:editId="755254B0">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B003BF" w:rsidRDefault="00B003BF" w:rsidP="00B003BF">
      <w:pPr>
        <w:pStyle w:val="Titel"/>
        <w:tabs>
          <w:tab w:val="right" w:pos="9356"/>
        </w:tabs>
        <w:jc w:val="left"/>
        <w:rPr>
          <w:b w:val="0"/>
          <w:sz w:val="23"/>
          <w:lang w:eastAsia="en-US"/>
        </w:rPr>
      </w:pPr>
    </w:p>
    <w:p w:rsidR="00B003BF" w:rsidRPr="00907F75" w:rsidRDefault="00B003BF" w:rsidP="00B003BF">
      <w:pPr>
        <w:pStyle w:val="Titel"/>
        <w:tabs>
          <w:tab w:val="right" w:pos="9356"/>
        </w:tabs>
        <w:jc w:val="left"/>
        <w:rPr>
          <w:b w:val="0"/>
          <w:sz w:val="23"/>
          <w:lang w:eastAsia="en-US"/>
        </w:rPr>
      </w:pPr>
      <w:r>
        <w:rPr>
          <w:b w:val="0"/>
          <w:sz w:val="23"/>
          <w:lang w:eastAsia="en-US"/>
        </w:rPr>
        <w:tab/>
      </w:r>
      <w:r w:rsidR="00935D7E">
        <w:rPr>
          <w:szCs w:val="24"/>
        </w:rPr>
        <w:t>12. juli 2018</w:t>
      </w:r>
    </w:p>
    <w:p w:rsidR="00B003BF" w:rsidRDefault="00B003BF" w:rsidP="00B003BF">
      <w:pPr>
        <w:pStyle w:val="Titel"/>
        <w:tabs>
          <w:tab w:val="left" w:pos="8222"/>
        </w:tabs>
        <w:jc w:val="left"/>
        <w:rPr>
          <w:b w:val="0"/>
        </w:rPr>
      </w:pPr>
    </w:p>
    <w:p w:rsidR="00B003BF" w:rsidRDefault="00B003BF" w:rsidP="00B003BF">
      <w:pPr>
        <w:pStyle w:val="Titel"/>
        <w:jc w:val="left"/>
        <w:rPr>
          <w:b w:val="0"/>
        </w:rPr>
      </w:pPr>
    </w:p>
    <w:p w:rsidR="00F11A77" w:rsidRDefault="00F11A77" w:rsidP="00B003BF">
      <w:pPr>
        <w:jc w:val="center"/>
        <w:rPr>
          <w:b/>
          <w:sz w:val="24"/>
          <w:szCs w:val="24"/>
        </w:rPr>
      </w:pPr>
    </w:p>
    <w:p w:rsidR="00B003BF" w:rsidRPr="00EC0B9B" w:rsidRDefault="00B003BF" w:rsidP="00B003BF">
      <w:pPr>
        <w:jc w:val="center"/>
        <w:rPr>
          <w:b/>
          <w:sz w:val="24"/>
          <w:szCs w:val="24"/>
        </w:rPr>
      </w:pPr>
      <w:r w:rsidRPr="00EC0B9B">
        <w:rPr>
          <w:b/>
          <w:sz w:val="24"/>
          <w:szCs w:val="24"/>
        </w:rPr>
        <w:t>PRODUKTRESUMÉ</w:t>
      </w:r>
    </w:p>
    <w:p w:rsidR="00B003BF" w:rsidRPr="00EC0B9B" w:rsidRDefault="00B003BF" w:rsidP="00B003BF">
      <w:pPr>
        <w:jc w:val="center"/>
        <w:rPr>
          <w:b/>
          <w:sz w:val="24"/>
          <w:szCs w:val="24"/>
        </w:rPr>
      </w:pPr>
    </w:p>
    <w:p w:rsidR="00B003BF" w:rsidRPr="00EC0B9B" w:rsidRDefault="00B003BF" w:rsidP="00B003BF">
      <w:pPr>
        <w:jc w:val="center"/>
        <w:rPr>
          <w:b/>
          <w:sz w:val="24"/>
          <w:szCs w:val="24"/>
        </w:rPr>
      </w:pPr>
      <w:r w:rsidRPr="00EC0B9B">
        <w:rPr>
          <w:b/>
          <w:sz w:val="24"/>
          <w:szCs w:val="24"/>
        </w:rPr>
        <w:t>for</w:t>
      </w:r>
    </w:p>
    <w:p w:rsidR="00B003BF" w:rsidRPr="00EC0B9B" w:rsidRDefault="00B003BF" w:rsidP="00B003BF">
      <w:pPr>
        <w:jc w:val="center"/>
        <w:rPr>
          <w:b/>
          <w:sz w:val="24"/>
          <w:szCs w:val="24"/>
        </w:rPr>
      </w:pPr>
    </w:p>
    <w:p w:rsidR="00B003BF" w:rsidRPr="0049104B" w:rsidRDefault="00BB0B8F" w:rsidP="00B003BF">
      <w:pPr>
        <w:jc w:val="center"/>
        <w:rPr>
          <w:b/>
          <w:sz w:val="24"/>
          <w:szCs w:val="24"/>
        </w:rPr>
      </w:pPr>
      <w:r>
        <w:rPr>
          <w:b/>
          <w:sz w:val="24"/>
          <w:szCs w:val="24"/>
        </w:rPr>
        <w:t xml:space="preserve">Paricalcitol </w:t>
      </w:r>
      <w:r w:rsidR="002F0350">
        <w:rPr>
          <w:b/>
          <w:sz w:val="24"/>
          <w:szCs w:val="24"/>
        </w:rPr>
        <w:t>"</w:t>
      </w:r>
      <w:r>
        <w:rPr>
          <w:b/>
          <w:sz w:val="24"/>
          <w:szCs w:val="24"/>
        </w:rPr>
        <w:t>Pharmathen</w:t>
      </w:r>
      <w:r w:rsidR="002F0350">
        <w:rPr>
          <w:b/>
          <w:sz w:val="24"/>
          <w:szCs w:val="24"/>
        </w:rPr>
        <w:t>"</w:t>
      </w:r>
      <w:r>
        <w:rPr>
          <w:b/>
          <w:sz w:val="24"/>
          <w:szCs w:val="24"/>
        </w:rPr>
        <w:t>, injektionsvæske, opløsning</w:t>
      </w:r>
    </w:p>
    <w:p w:rsidR="00B003BF" w:rsidRPr="00EC0B9B" w:rsidRDefault="00B003BF" w:rsidP="00B003BF">
      <w:pPr>
        <w:jc w:val="both"/>
        <w:rPr>
          <w:sz w:val="24"/>
          <w:szCs w:val="24"/>
        </w:rPr>
      </w:pPr>
    </w:p>
    <w:p w:rsidR="00B003BF" w:rsidRPr="002B27E6" w:rsidRDefault="00B003BF" w:rsidP="002B27E6">
      <w:pPr>
        <w:ind w:left="851" w:hanging="851"/>
        <w:jc w:val="both"/>
        <w:rPr>
          <w:sz w:val="24"/>
          <w:szCs w:val="24"/>
        </w:rPr>
      </w:pPr>
    </w:p>
    <w:p w:rsidR="00B003BF" w:rsidRPr="002B27E6" w:rsidRDefault="00B003BF" w:rsidP="002B27E6">
      <w:pPr>
        <w:ind w:left="851" w:hanging="851"/>
        <w:rPr>
          <w:b/>
          <w:sz w:val="24"/>
          <w:szCs w:val="24"/>
        </w:rPr>
      </w:pPr>
      <w:r w:rsidRPr="002B27E6">
        <w:rPr>
          <w:b/>
          <w:sz w:val="24"/>
          <w:szCs w:val="24"/>
        </w:rPr>
        <w:t>0.</w:t>
      </w:r>
      <w:r w:rsidRPr="002B27E6">
        <w:rPr>
          <w:b/>
          <w:sz w:val="24"/>
          <w:szCs w:val="24"/>
        </w:rPr>
        <w:tab/>
        <w:t>D.SP.NR.</w:t>
      </w:r>
    </w:p>
    <w:p w:rsidR="00B003BF" w:rsidRPr="002B27E6" w:rsidRDefault="00B003BF" w:rsidP="002B27E6">
      <w:pPr>
        <w:ind w:left="851" w:hanging="851"/>
        <w:rPr>
          <w:sz w:val="24"/>
          <w:szCs w:val="24"/>
        </w:rPr>
      </w:pPr>
      <w:r w:rsidRPr="002B27E6">
        <w:rPr>
          <w:sz w:val="24"/>
          <w:szCs w:val="24"/>
        </w:rPr>
        <w:tab/>
      </w:r>
      <w:r w:rsidR="00FD5535" w:rsidRPr="002B27E6">
        <w:rPr>
          <w:sz w:val="24"/>
          <w:szCs w:val="24"/>
        </w:rPr>
        <w:t>28325</w:t>
      </w:r>
    </w:p>
    <w:p w:rsidR="00B003BF" w:rsidRPr="002B27E6" w:rsidRDefault="00B003BF" w:rsidP="002B27E6">
      <w:pPr>
        <w:ind w:left="851" w:hanging="851"/>
        <w:rPr>
          <w:sz w:val="24"/>
          <w:szCs w:val="24"/>
        </w:rPr>
      </w:pPr>
    </w:p>
    <w:p w:rsidR="00B003BF" w:rsidRPr="002B27E6" w:rsidRDefault="00B003BF" w:rsidP="002B27E6">
      <w:pPr>
        <w:ind w:left="851" w:hanging="851"/>
        <w:rPr>
          <w:b/>
          <w:sz w:val="24"/>
          <w:szCs w:val="24"/>
        </w:rPr>
      </w:pPr>
      <w:r w:rsidRPr="002B27E6">
        <w:rPr>
          <w:b/>
          <w:sz w:val="24"/>
          <w:szCs w:val="24"/>
        </w:rPr>
        <w:t>1.</w:t>
      </w:r>
      <w:r w:rsidRPr="002B27E6">
        <w:rPr>
          <w:b/>
          <w:sz w:val="24"/>
          <w:szCs w:val="24"/>
        </w:rPr>
        <w:tab/>
        <w:t>LÆGEMIDLETS NAVN</w:t>
      </w:r>
    </w:p>
    <w:p w:rsidR="00B003BF" w:rsidRPr="002B27E6" w:rsidRDefault="00B003BF" w:rsidP="002B27E6">
      <w:pPr>
        <w:ind w:left="851" w:hanging="851"/>
        <w:rPr>
          <w:sz w:val="24"/>
          <w:szCs w:val="24"/>
        </w:rPr>
      </w:pPr>
      <w:r w:rsidRPr="002B27E6">
        <w:rPr>
          <w:sz w:val="24"/>
          <w:szCs w:val="24"/>
        </w:rPr>
        <w:tab/>
      </w:r>
      <w:r w:rsidR="00FD5535" w:rsidRPr="002B27E6">
        <w:rPr>
          <w:sz w:val="24"/>
          <w:szCs w:val="24"/>
        </w:rPr>
        <w:t xml:space="preserve">Paricalcitol </w:t>
      </w:r>
      <w:r w:rsidR="002F0350">
        <w:rPr>
          <w:sz w:val="24"/>
          <w:szCs w:val="24"/>
        </w:rPr>
        <w:t>"</w:t>
      </w:r>
      <w:r w:rsidR="00FD5535" w:rsidRPr="002B27E6">
        <w:rPr>
          <w:sz w:val="24"/>
          <w:szCs w:val="24"/>
        </w:rPr>
        <w:t>Pharmathen</w:t>
      </w:r>
      <w:r w:rsidR="002F0350">
        <w:rPr>
          <w:sz w:val="24"/>
          <w:szCs w:val="24"/>
        </w:rPr>
        <w:t>"</w:t>
      </w:r>
    </w:p>
    <w:p w:rsidR="00B003BF" w:rsidRPr="002B27E6" w:rsidRDefault="00B003BF" w:rsidP="002B27E6">
      <w:pPr>
        <w:ind w:left="851" w:hanging="851"/>
        <w:rPr>
          <w:sz w:val="24"/>
          <w:szCs w:val="24"/>
        </w:rPr>
      </w:pPr>
      <w:r w:rsidRPr="002B27E6">
        <w:rPr>
          <w:sz w:val="24"/>
          <w:szCs w:val="24"/>
        </w:rPr>
        <w:tab/>
      </w:r>
    </w:p>
    <w:p w:rsidR="00B003BF" w:rsidRPr="002B27E6" w:rsidRDefault="00B003BF" w:rsidP="002B27E6">
      <w:pPr>
        <w:ind w:left="851" w:hanging="851"/>
        <w:rPr>
          <w:b/>
          <w:sz w:val="24"/>
          <w:szCs w:val="24"/>
        </w:rPr>
      </w:pPr>
      <w:r w:rsidRPr="002B27E6">
        <w:rPr>
          <w:b/>
          <w:sz w:val="24"/>
          <w:szCs w:val="24"/>
        </w:rPr>
        <w:t>2.</w:t>
      </w:r>
      <w:r w:rsidRPr="002B27E6">
        <w:rPr>
          <w:b/>
          <w:sz w:val="24"/>
          <w:szCs w:val="24"/>
        </w:rPr>
        <w:tab/>
        <w:t>KVALITATIV OG KVANTITATIV SAMMENSÆTNING</w:t>
      </w:r>
    </w:p>
    <w:p w:rsidR="002F0350" w:rsidRDefault="002B27E6" w:rsidP="002B27E6">
      <w:pPr>
        <w:ind w:left="851" w:hanging="851"/>
        <w:rPr>
          <w:i/>
          <w:sz w:val="24"/>
          <w:szCs w:val="24"/>
        </w:rPr>
      </w:pPr>
      <w:r w:rsidRPr="00273D55">
        <w:rPr>
          <w:i/>
          <w:sz w:val="24"/>
          <w:szCs w:val="24"/>
        </w:rPr>
        <w:tab/>
      </w:r>
    </w:p>
    <w:p w:rsidR="00032920" w:rsidRPr="002F0350" w:rsidRDefault="00032920" w:rsidP="002F0350">
      <w:pPr>
        <w:ind w:left="851"/>
        <w:rPr>
          <w:sz w:val="24"/>
          <w:szCs w:val="24"/>
          <w:u w:val="single"/>
        </w:rPr>
      </w:pPr>
      <w:r w:rsidRPr="002F0350">
        <w:rPr>
          <w:sz w:val="24"/>
          <w:szCs w:val="24"/>
          <w:u w:val="single"/>
        </w:rPr>
        <w:t>2 mikrogram/ml</w:t>
      </w:r>
    </w:p>
    <w:p w:rsidR="00032920" w:rsidRPr="002B27E6" w:rsidRDefault="00032920" w:rsidP="002F0350">
      <w:pPr>
        <w:ind w:left="851"/>
        <w:rPr>
          <w:sz w:val="24"/>
          <w:szCs w:val="24"/>
        </w:rPr>
      </w:pPr>
      <w:r w:rsidRPr="002B27E6">
        <w:rPr>
          <w:sz w:val="24"/>
          <w:szCs w:val="24"/>
        </w:rPr>
        <w:t xml:space="preserve">Hver ml injektionsvæske, opløsning indeholder 2 mikrogram paricalcitol. </w:t>
      </w:r>
    </w:p>
    <w:p w:rsidR="00032920" w:rsidRPr="002B27E6" w:rsidRDefault="00032920" w:rsidP="002F0350">
      <w:pPr>
        <w:ind w:left="851"/>
        <w:rPr>
          <w:sz w:val="24"/>
          <w:szCs w:val="24"/>
        </w:rPr>
      </w:pPr>
      <w:r w:rsidRPr="002B27E6">
        <w:rPr>
          <w:sz w:val="24"/>
          <w:szCs w:val="24"/>
        </w:rPr>
        <w:t xml:space="preserve">Hver 1 ml ampuller indeholder 2 mikrogram paricalcitol. </w:t>
      </w:r>
    </w:p>
    <w:p w:rsidR="00032920" w:rsidRPr="002B27E6" w:rsidRDefault="00032920" w:rsidP="002F0350">
      <w:pPr>
        <w:ind w:left="851"/>
        <w:rPr>
          <w:sz w:val="24"/>
          <w:szCs w:val="24"/>
        </w:rPr>
      </w:pPr>
      <w:r w:rsidRPr="002B27E6">
        <w:rPr>
          <w:sz w:val="24"/>
          <w:szCs w:val="24"/>
        </w:rPr>
        <w:t>Hver 2 ml ampuller indeholder 4 mikrogram paricalcitol.</w:t>
      </w:r>
    </w:p>
    <w:p w:rsidR="00032920" w:rsidRPr="002B27E6" w:rsidRDefault="00032920" w:rsidP="002F0350">
      <w:pPr>
        <w:ind w:left="851"/>
        <w:rPr>
          <w:sz w:val="24"/>
          <w:szCs w:val="24"/>
        </w:rPr>
      </w:pPr>
    </w:p>
    <w:p w:rsidR="00032920" w:rsidRPr="002F0350" w:rsidRDefault="00032920" w:rsidP="002F0350">
      <w:pPr>
        <w:ind w:left="851"/>
        <w:rPr>
          <w:sz w:val="24"/>
          <w:szCs w:val="24"/>
          <w:u w:val="single"/>
        </w:rPr>
      </w:pPr>
      <w:r w:rsidRPr="002F0350">
        <w:rPr>
          <w:sz w:val="24"/>
          <w:szCs w:val="24"/>
          <w:u w:val="single"/>
        </w:rPr>
        <w:t>5 mikrogram/ml</w:t>
      </w:r>
    </w:p>
    <w:p w:rsidR="00032920" w:rsidRPr="002B27E6" w:rsidRDefault="00032920" w:rsidP="002F0350">
      <w:pPr>
        <w:ind w:left="851"/>
        <w:rPr>
          <w:sz w:val="24"/>
          <w:szCs w:val="24"/>
        </w:rPr>
      </w:pPr>
      <w:r w:rsidRPr="002B27E6">
        <w:rPr>
          <w:sz w:val="24"/>
          <w:szCs w:val="24"/>
        </w:rPr>
        <w:t xml:space="preserve">Hver ml injektionsvæske, opløsning indeholder 5 mikrogram paricalcitol. </w:t>
      </w:r>
    </w:p>
    <w:p w:rsidR="00032920" w:rsidRPr="002B27E6" w:rsidRDefault="00032920" w:rsidP="002F0350">
      <w:pPr>
        <w:ind w:left="851"/>
        <w:rPr>
          <w:sz w:val="24"/>
          <w:szCs w:val="24"/>
        </w:rPr>
      </w:pPr>
      <w:r w:rsidRPr="002B27E6">
        <w:rPr>
          <w:sz w:val="24"/>
          <w:szCs w:val="24"/>
        </w:rPr>
        <w:t xml:space="preserve">Hver 1 ml ampuller indeholder 5 mikrogram paricalcitol. </w:t>
      </w:r>
    </w:p>
    <w:p w:rsidR="00032920" w:rsidRPr="002B27E6" w:rsidRDefault="002B27E6" w:rsidP="002F0350">
      <w:pPr>
        <w:ind w:left="851"/>
        <w:rPr>
          <w:sz w:val="24"/>
          <w:szCs w:val="24"/>
        </w:rPr>
      </w:pPr>
      <w:r>
        <w:rPr>
          <w:sz w:val="24"/>
          <w:szCs w:val="24"/>
        </w:rPr>
        <w:t>H</w:t>
      </w:r>
      <w:r w:rsidR="00032920" w:rsidRPr="002B27E6">
        <w:rPr>
          <w:sz w:val="24"/>
          <w:szCs w:val="24"/>
        </w:rPr>
        <w:t>ver 2 ml ampuller indeholder 10 mikrogram paricalcitol.</w:t>
      </w:r>
    </w:p>
    <w:p w:rsidR="00032920" w:rsidRPr="002B27E6" w:rsidRDefault="00032920" w:rsidP="002F0350">
      <w:pPr>
        <w:ind w:left="851"/>
        <w:rPr>
          <w:sz w:val="24"/>
          <w:szCs w:val="24"/>
        </w:rPr>
      </w:pPr>
    </w:p>
    <w:p w:rsidR="00032920" w:rsidRPr="002B27E6" w:rsidRDefault="00032920" w:rsidP="002F0350">
      <w:pPr>
        <w:ind w:left="851"/>
        <w:rPr>
          <w:sz w:val="24"/>
          <w:szCs w:val="24"/>
        </w:rPr>
      </w:pPr>
      <w:r w:rsidRPr="002B27E6">
        <w:rPr>
          <w:sz w:val="24"/>
          <w:szCs w:val="24"/>
        </w:rPr>
        <w:t xml:space="preserve">Hjælpestoffer, som behandleren </w:t>
      </w:r>
      <w:r w:rsidR="002F0350">
        <w:rPr>
          <w:sz w:val="24"/>
          <w:szCs w:val="24"/>
        </w:rPr>
        <w:t>skal være opmærksom på: Ethanol</w:t>
      </w:r>
      <w:r w:rsidR="00F11A77">
        <w:rPr>
          <w:sz w:val="24"/>
          <w:szCs w:val="24"/>
        </w:rPr>
        <w:t xml:space="preserve"> (20 % v/v)</w:t>
      </w:r>
      <w:r w:rsidR="002F0350">
        <w:rPr>
          <w:sz w:val="24"/>
          <w:szCs w:val="24"/>
        </w:rPr>
        <w:t>.</w:t>
      </w:r>
    </w:p>
    <w:p w:rsidR="002115F4" w:rsidRDefault="002B27E6" w:rsidP="002F0350">
      <w:pPr>
        <w:ind w:left="851"/>
        <w:rPr>
          <w:sz w:val="24"/>
          <w:szCs w:val="24"/>
        </w:rPr>
      </w:pPr>
      <w:r>
        <w:rPr>
          <w:sz w:val="24"/>
          <w:szCs w:val="24"/>
        </w:rPr>
        <w:tab/>
      </w:r>
    </w:p>
    <w:p w:rsidR="00032920" w:rsidRPr="002B27E6" w:rsidRDefault="00032920" w:rsidP="002F0350">
      <w:pPr>
        <w:ind w:left="851"/>
        <w:rPr>
          <w:sz w:val="24"/>
          <w:szCs w:val="24"/>
        </w:rPr>
      </w:pPr>
      <w:r w:rsidRPr="002B27E6">
        <w:rPr>
          <w:sz w:val="24"/>
          <w:szCs w:val="24"/>
        </w:rPr>
        <w:t>Alle hjælpest</w:t>
      </w:r>
      <w:r w:rsidR="00F11A77">
        <w:rPr>
          <w:sz w:val="24"/>
          <w:szCs w:val="24"/>
        </w:rPr>
        <w:t>offer er anført under pkt. 6.1.</w:t>
      </w:r>
    </w:p>
    <w:p w:rsidR="00B003BF" w:rsidRPr="002B27E6" w:rsidRDefault="00B003BF" w:rsidP="002F0350">
      <w:pPr>
        <w:ind w:left="851"/>
        <w:rPr>
          <w:sz w:val="24"/>
          <w:szCs w:val="24"/>
        </w:rPr>
      </w:pPr>
    </w:p>
    <w:p w:rsidR="00B003BF" w:rsidRPr="002B27E6" w:rsidRDefault="00B003BF" w:rsidP="002B27E6">
      <w:pPr>
        <w:ind w:left="851" w:hanging="851"/>
        <w:rPr>
          <w:b/>
          <w:sz w:val="24"/>
          <w:szCs w:val="24"/>
        </w:rPr>
      </w:pPr>
      <w:r w:rsidRPr="002B27E6">
        <w:rPr>
          <w:b/>
          <w:sz w:val="24"/>
          <w:szCs w:val="24"/>
        </w:rPr>
        <w:t>3.</w:t>
      </w:r>
      <w:r w:rsidRPr="002B27E6">
        <w:rPr>
          <w:b/>
          <w:sz w:val="24"/>
          <w:szCs w:val="24"/>
        </w:rPr>
        <w:tab/>
        <w:t>LÆGEMIDDELFORM</w:t>
      </w:r>
    </w:p>
    <w:p w:rsidR="00032920" w:rsidRDefault="00B003BF" w:rsidP="002B27E6">
      <w:pPr>
        <w:ind w:left="851" w:hanging="851"/>
        <w:rPr>
          <w:sz w:val="24"/>
          <w:szCs w:val="24"/>
          <w:lang w:eastAsia="el-GR"/>
        </w:rPr>
      </w:pPr>
      <w:r w:rsidRPr="002B27E6">
        <w:rPr>
          <w:sz w:val="24"/>
          <w:szCs w:val="24"/>
        </w:rPr>
        <w:tab/>
      </w:r>
      <w:r w:rsidR="00032920" w:rsidRPr="002B27E6">
        <w:rPr>
          <w:sz w:val="24"/>
          <w:szCs w:val="24"/>
          <w:lang w:eastAsia="el-GR"/>
        </w:rPr>
        <w:t>Injektionsvæske, opløsning</w:t>
      </w:r>
    </w:p>
    <w:p w:rsidR="002115F4" w:rsidRPr="002B27E6" w:rsidRDefault="002115F4" w:rsidP="002B27E6">
      <w:pPr>
        <w:ind w:left="851" w:hanging="851"/>
        <w:rPr>
          <w:sz w:val="24"/>
          <w:szCs w:val="24"/>
          <w:lang w:eastAsia="el-GR"/>
        </w:rPr>
      </w:pPr>
    </w:p>
    <w:p w:rsidR="00032920" w:rsidRPr="002B27E6" w:rsidRDefault="002B27E6" w:rsidP="002B27E6">
      <w:pPr>
        <w:ind w:left="851" w:hanging="851"/>
        <w:rPr>
          <w:sz w:val="24"/>
          <w:szCs w:val="24"/>
          <w:lang w:eastAsia="el-GR"/>
        </w:rPr>
      </w:pPr>
      <w:r>
        <w:rPr>
          <w:sz w:val="24"/>
          <w:szCs w:val="24"/>
          <w:lang w:eastAsia="el-GR"/>
        </w:rPr>
        <w:tab/>
      </w:r>
      <w:r w:rsidR="00032920" w:rsidRPr="002B27E6">
        <w:rPr>
          <w:sz w:val="24"/>
          <w:szCs w:val="24"/>
          <w:lang w:eastAsia="el-GR"/>
        </w:rPr>
        <w:t>En klar og farveløs</w:t>
      </w:r>
      <w:r w:rsidR="002F0350">
        <w:rPr>
          <w:sz w:val="24"/>
          <w:szCs w:val="24"/>
          <w:lang w:eastAsia="el-GR"/>
        </w:rPr>
        <w:t>,</w:t>
      </w:r>
      <w:r w:rsidR="00032920" w:rsidRPr="002B27E6">
        <w:rPr>
          <w:sz w:val="24"/>
          <w:szCs w:val="24"/>
          <w:lang w:eastAsia="el-GR"/>
        </w:rPr>
        <w:t xml:space="preserve"> vandig opløsning fri for synlige partikler.</w:t>
      </w:r>
    </w:p>
    <w:p w:rsidR="00B003BF" w:rsidRPr="002B27E6" w:rsidRDefault="00B003BF" w:rsidP="002B27E6">
      <w:pPr>
        <w:ind w:left="851" w:hanging="851"/>
        <w:rPr>
          <w:sz w:val="24"/>
          <w:szCs w:val="24"/>
        </w:rPr>
      </w:pPr>
    </w:p>
    <w:p w:rsidR="00B003BF" w:rsidRPr="002B27E6" w:rsidRDefault="00B003BF" w:rsidP="002B27E6">
      <w:pPr>
        <w:ind w:left="851" w:hanging="851"/>
        <w:rPr>
          <w:sz w:val="24"/>
          <w:szCs w:val="24"/>
        </w:rPr>
      </w:pPr>
    </w:p>
    <w:p w:rsidR="00B003BF" w:rsidRPr="002B27E6" w:rsidRDefault="00B003BF" w:rsidP="002B27E6">
      <w:pPr>
        <w:ind w:left="851" w:hanging="851"/>
        <w:rPr>
          <w:b/>
          <w:sz w:val="24"/>
          <w:szCs w:val="24"/>
        </w:rPr>
      </w:pPr>
      <w:r w:rsidRPr="002B27E6">
        <w:rPr>
          <w:b/>
          <w:sz w:val="24"/>
          <w:szCs w:val="24"/>
        </w:rPr>
        <w:t>4.</w:t>
      </w:r>
      <w:r w:rsidRPr="002B27E6">
        <w:rPr>
          <w:b/>
          <w:sz w:val="24"/>
          <w:szCs w:val="24"/>
        </w:rPr>
        <w:tab/>
        <w:t>KLINISKE OPLYSNINGER</w:t>
      </w:r>
    </w:p>
    <w:p w:rsidR="00B003BF" w:rsidRPr="002B27E6" w:rsidRDefault="00B003BF" w:rsidP="002B27E6">
      <w:pPr>
        <w:ind w:left="851" w:hanging="851"/>
        <w:rPr>
          <w:b/>
          <w:sz w:val="24"/>
          <w:szCs w:val="24"/>
        </w:rPr>
      </w:pPr>
    </w:p>
    <w:p w:rsidR="00B003BF" w:rsidRPr="002B27E6" w:rsidRDefault="00B003BF" w:rsidP="002B27E6">
      <w:pPr>
        <w:ind w:left="851" w:hanging="851"/>
        <w:rPr>
          <w:b/>
          <w:sz w:val="24"/>
          <w:szCs w:val="24"/>
          <w:u w:val="single"/>
        </w:rPr>
      </w:pPr>
      <w:r w:rsidRPr="002B27E6">
        <w:rPr>
          <w:b/>
          <w:sz w:val="24"/>
          <w:szCs w:val="24"/>
        </w:rPr>
        <w:t>4.1</w:t>
      </w:r>
      <w:r w:rsidRPr="002B27E6">
        <w:rPr>
          <w:b/>
          <w:sz w:val="24"/>
          <w:szCs w:val="24"/>
        </w:rPr>
        <w:tab/>
        <w:t>Terapeutiske indikationer</w:t>
      </w:r>
    </w:p>
    <w:p w:rsidR="00BF3743" w:rsidRDefault="002B27E6" w:rsidP="00BF3743">
      <w:pPr>
        <w:ind w:left="851" w:hanging="851"/>
        <w:rPr>
          <w:sz w:val="24"/>
          <w:szCs w:val="24"/>
        </w:rPr>
      </w:pPr>
      <w:r w:rsidRPr="00BF3743">
        <w:rPr>
          <w:sz w:val="24"/>
          <w:szCs w:val="24"/>
        </w:rPr>
        <w:tab/>
      </w:r>
      <w:r w:rsidR="00032920" w:rsidRPr="00BF3743">
        <w:rPr>
          <w:sz w:val="24"/>
          <w:szCs w:val="24"/>
        </w:rPr>
        <w:t xml:space="preserve">Paricalcitol anvendes til </w:t>
      </w:r>
      <w:r w:rsidR="00BF3743" w:rsidRPr="00BF3743">
        <w:rPr>
          <w:sz w:val="24"/>
          <w:szCs w:val="24"/>
        </w:rPr>
        <w:t xml:space="preserve">voksne til </w:t>
      </w:r>
      <w:r w:rsidR="00032920" w:rsidRPr="00BF3743">
        <w:rPr>
          <w:sz w:val="24"/>
          <w:szCs w:val="24"/>
        </w:rPr>
        <w:t xml:space="preserve">forebyggelse og behandling af sekundær hyperparathyreoidisme hos patienter med </w:t>
      </w:r>
      <w:r w:rsidR="00BF3743" w:rsidRPr="00BF3743">
        <w:rPr>
          <w:sz w:val="24"/>
          <w:szCs w:val="24"/>
        </w:rPr>
        <w:t>kronisk nyresvigt, som gennemgår hæmodialyse.</w:t>
      </w:r>
    </w:p>
    <w:p w:rsidR="00BF3743" w:rsidRDefault="00BF3743">
      <w:pPr>
        <w:rPr>
          <w:sz w:val="24"/>
          <w:szCs w:val="24"/>
        </w:rPr>
      </w:pPr>
      <w:r>
        <w:rPr>
          <w:sz w:val="24"/>
          <w:szCs w:val="24"/>
        </w:rPr>
        <w:br w:type="page"/>
      </w:r>
    </w:p>
    <w:p w:rsidR="00B003BF" w:rsidRPr="002B27E6" w:rsidRDefault="00B003BF" w:rsidP="002B27E6">
      <w:pPr>
        <w:ind w:left="851" w:hanging="851"/>
        <w:rPr>
          <w:sz w:val="24"/>
          <w:szCs w:val="24"/>
        </w:rPr>
      </w:pPr>
    </w:p>
    <w:p w:rsidR="00B003BF" w:rsidRPr="002B27E6" w:rsidRDefault="00B003BF" w:rsidP="002B27E6">
      <w:pPr>
        <w:ind w:left="851" w:hanging="851"/>
        <w:rPr>
          <w:b/>
          <w:sz w:val="24"/>
          <w:szCs w:val="24"/>
        </w:rPr>
      </w:pPr>
      <w:r w:rsidRPr="002B27E6">
        <w:rPr>
          <w:b/>
          <w:sz w:val="24"/>
          <w:szCs w:val="24"/>
        </w:rPr>
        <w:t>4.2</w:t>
      </w:r>
      <w:r w:rsidRPr="002B27E6">
        <w:rPr>
          <w:b/>
          <w:sz w:val="24"/>
          <w:szCs w:val="24"/>
        </w:rPr>
        <w:tab/>
        <w:t>Dosering og indgivelsesmåde</w:t>
      </w:r>
    </w:p>
    <w:p w:rsidR="002B27E6" w:rsidRDefault="002B27E6" w:rsidP="002B27E6">
      <w:pPr>
        <w:ind w:left="851" w:hanging="851"/>
        <w:rPr>
          <w:bCs/>
          <w:sz w:val="24"/>
          <w:szCs w:val="24"/>
          <w:lang w:eastAsia="el-GR"/>
        </w:rPr>
      </w:pPr>
    </w:p>
    <w:p w:rsidR="00032920" w:rsidRPr="002115F4" w:rsidRDefault="00032920" w:rsidP="002B27E6">
      <w:pPr>
        <w:ind w:left="851"/>
        <w:rPr>
          <w:b/>
          <w:bCs/>
          <w:sz w:val="24"/>
          <w:szCs w:val="24"/>
          <w:lang w:eastAsia="el-GR"/>
        </w:rPr>
      </w:pPr>
      <w:r w:rsidRPr="002115F4">
        <w:rPr>
          <w:b/>
          <w:bCs/>
          <w:sz w:val="24"/>
          <w:szCs w:val="24"/>
          <w:lang w:eastAsia="el-GR"/>
        </w:rPr>
        <w:t>Dosering</w:t>
      </w:r>
    </w:p>
    <w:p w:rsidR="002F0350" w:rsidRDefault="002F0350" w:rsidP="002B27E6">
      <w:pPr>
        <w:ind w:left="851"/>
        <w:rPr>
          <w:sz w:val="24"/>
          <w:szCs w:val="24"/>
          <w:u w:val="single"/>
          <w:lang w:eastAsia="el-GR"/>
        </w:rPr>
      </w:pPr>
    </w:p>
    <w:p w:rsidR="00032920" w:rsidRPr="002B27E6" w:rsidRDefault="00032920" w:rsidP="002B27E6">
      <w:pPr>
        <w:ind w:left="851"/>
        <w:rPr>
          <w:bCs/>
          <w:sz w:val="24"/>
          <w:szCs w:val="24"/>
          <w:lang w:eastAsia="el-GR"/>
        </w:rPr>
      </w:pPr>
      <w:r w:rsidRPr="002B27E6">
        <w:rPr>
          <w:sz w:val="24"/>
          <w:szCs w:val="24"/>
          <w:u w:val="single"/>
          <w:lang w:eastAsia="el-GR"/>
        </w:rPr>
        <w:t>Voksne</w:t>
      </w:r>
    </w:p>
    <w:p w:rsidR="00032920" w:rsidRPr="002B27E6" w:rsidRDefault="00032920" w:rsidP="002B27E6">
      <w:pPr>
        <w:ind w:left="851"/>
        <w:rPr>
          <w:sz w:val="24"/>
          <w:szCs w:val="24"/>
          <w:lang w:eastAsia="el-GR"/>
        </w:rPr>
      </w:pPr>
    </w:p>
    <w:p w:rsidR="00032920" w:rsidRPr="00C93C97" w:rsidRDefault="00032920" w:rsidP="002B27E6">
      <w:pPr>
        <w:ind w:left="851"/>
        <w:rPr>
          <w:i/>
          <w:sz w:val="24"/>
          <w:szCs w:val="24"/>
          <w:lang w:eastAsia="el-GR"/>
        </w:rPr>
      </w:pPr>
      <w:r w:rsidRPr="00C93C97">
        <w:rPr>
          <w:i/>
          <w:sz w:val="24"/>
          <w:szCs w:val="24"/>
          <w:lang w:eastAsia="el-GR"/>
        </w:rPr>
        <w:t>1) Initial dosis bør beregnes på baggrund af baseline parathyroideahormon (PTH)-niveauet</w:t>
      </w:r>
    </w:p>
    <w:p w:rsidR="00C93C97" w:rsidRPr="002B27E6" w:rsidRDefault="00C93C97" w:rsidP="002B27E6">
      <w:pPr>
        <w:ind w:left="851"/>
        <w:rPr>
          <w:sz w:val="24"/>
          <w:szCs w:val="24"/>
          <w:lang w:eastAsia="el-GR"/>
        </w:rPr>
      </w:pPr>
    </w:p>
    <w:p w:rsidR="00032920" w:rsidRPr="002B27E6" w:rsidRDefault="00032920" w:rsidP="002B27E6">
      <w:pPr>
        <w:ind w:left="851"/>
        <w:rPr>
          <w:sz w:val="24"/>
          <w:szCs w:val="24"/>
          <w:lang w:eastAsia="el-GR"/>
        </w:rPr>
      </w:pPr>
      <w:r w:rsidRPr="002B27E6">
        <w:rPr>
          <w:sz w:val="24"/>
          <w:szCs w:val="24"/>
          <w:lang w:eastAsia="el-GR"/>
        </w:rPr>
        <w:t xml:space="preserve">Den initiale paricalcitol-dosis udregnes efter følgende formel: </w:t>
      </w:r>
    </w:p>
    <w:p w:rsidR="00032920" w:rsidRPr="002B27E6" w:rsidRDefault="00032920" w:rsidP="002B27E6">
      <w:pPr>
        <w:ind w:left="851"/>
        <w:rPr>
          <w:sz w:val="24"/>
          <w:szCs w:val="24"/>
          <w:lang w:eastAsia="el-GR"/>
        </w:rPr>
      </w:pPr>
    </w:p>
    <w:p w:rsidR="00032920" w:rsidRPr="002B27E6" w:rsidRDefault="00032920" w:rsidP="002B27E6">
      <w:pPr>
        <w:tabs>
          <w:tab w:val="left" w:pos="3544"/>
        </w:tabs>
        <w:ind w:left="851"/>
        <w:rPr>
          <w:sz w:val="24"/>
          <w:szCs w:val="24"/>
          <w:lang w:eastAsia="el-GR"/>
        </w:rPr>
      </w:pPr>
      <w:r w:rsidRPr="002B27E6">
        <w:rPr>
          <w:sz w:val="24"/>
          <w:szCs w:val="24"/>
          <w:lang w:eastAsia="el-GR"/>
        </w:rPr>
        <w:t xml:space="preserve">Initial dosis (mikrogram) </w:t>
      </w:r>
      <w:r w:rsidR="002B27E6">
        <w:rPr>
          <w:sz w:val="24"/>
          <w:szCs w:val="24"/>
          <w:lang w:eastAsia="el-GR"/>
        </w:rPr>
        <w:tab/>
      </w:r>
      <w:r w:rsidRPr="002B27E6">
        <w:rPr>
          <w:sz w:val="24"/>
          <w:szCs w:val="24"/>
          <w:lang w:eastAsia="el-GR"/>
        </w:rPr>
        <w:t xml:space="preserve">= </w:t>
      </w:r>
      <w:r w:rsidRPr="002B27E6">
        <w:rPr>
          <w:sz w:val="24"/>
          <w:szCs w:val="24"/>
          <w:u w:val="single"/>
          <w:lang w:eastAsia="el-GR"/>
        </w:rPr>
        <w:t>baseline intakt (PTH)-niveau i pmol/l</w:t>
      </w:r>
      <w:r w:rsidRPr="002B27E6">
        <w:rPr>
          <w:sz w:val="24"/>
          <w:szCs w:val="24"/>
          <w:lang w:eastAsia="el-GR"/>
        </w:rPr>
        <w:t xml:space="preserve"> </w:t>
      </w:r>
    </w:p>
    <w:p w:rsidR="00032920" w:rsidRDefault="002B27E6" w:rsidP="002B27E6">
      <w:pPr>
        <w:tabs>
          <w:tab w:val="left" w:pos="3544"/>
          <w:tab w:val="left" w:pos="5245"/>
        </w:tabs>
        <w:ind w:left="851"/>
        <w:rPr>
          <w:sz w:val="24"/>
          <w:szCs w:val="24"/>
          <w:lang w:eastAsia="el-GR"/>
        </w:rPr>
      </w:pPr>
      <w:r>
        <w:rPr>
          <w:sz w:val="24"/>
          <w:szCs w:val="24"/>
          <w:lang w:eastAsia="el-GR"/>
        </w:rPr>
        <w:tab/>
      </w:r>
      <w:r>
        <w:rPr>
          <w:sz w:val="24"/>
          <w:szCs w:val="24"/>
          <w:lang w:eastAsia="el-GR"/>
        </w:rPr>
        <w:tab/>
      </w:r>
      <w:r w:rsidR="00032920" w:rsidRPr="002B27E6">
        <w:rPr>
          <w:sz w:val="24"/>
          <w:szCs w:val="24"/>
          <w:lang w:eastAsia="el-GR"/>
        </w:rPr>
        <w:t>8</w:t>
      </w:r>
      <w:bookmarkStart w:id="0" w:name="bmk11"/>
      <w:bookmarkEnd w:id="0"/>
    </w:p>
    <w:p w:rsidR="00032920" w:rsidRPr="002B27E6" w:rsidRDefault="00032920" w:rsidP="002B27E6">
      <w:pPr>
        <w:tabs>
          <w:tab w:val="left" w:pos="3544"/>
        </w:tabs>
        <w:ind w:left="851"/>
        <w:rPr>
          <w:sz w:val="24"/>
          <w:szCs w:val="24"/>
          <w:lang w:eastAsia="el-GR"/>
        </w:rPr>
      </w:pPr>
      <w:r w:rsidRPr="002B27E6">
        <w:rPr>
          <w:bCs/>
          <w:sz w:val="24"/>
          <w:szCs w:val="24"/>
          <w:lang w:eastAsia="el-GR"/>
        </w:rPr>
        <w:t>ELLER:</w:t>
      </w:r>
    </w:p>
    <w:p w:rsidR="00032920" w:rsidRPr="002B27E6" w:rsidRDefault="002B27E6" w:rsidP="002B27E6">
      <w:pPr>
        <w:tabs>
          <w:tab w:val="left" w:pos="3544"/>
        </w:tabs>
        <w:ind w:left="851"/>
        <w:rPr>
          <w:sz w:val="24"/>
          <w:szCs w:val="24"/>
          <w:lang w:eastAsia="el-GR"/>
        </w:rPr>
      </w:pPr>
      <w:r>
        <w:rPr>
          <w:sz w:val="24"/>
          <w:szCs w:val="24"/>
          <w:lang w:eastAsia="el-GR"/>
        </w:rPr>
        <w:tab/>
      </w:r>
      <w:r w:rsidR="00032920" w:rsidRPr="002B27E6">
        <w:rPr>
          <w:sz w:val="24"/>
          <w:szCs w:val="24"/>
          <w:lang w:eastAsia="el-GR"/>
        </w:rPr>
        <w:t xml:space="preserve">= </w:t>
      </w:r>
      <w:r w:rsidR="00032920" w:rsidRPr="002B27E6">
        <w:rPr>
          <w:sz w:val="24"/>
          <w:szCs w:val="24"/>
          <w:u w:val="single"/>
          <w:lang w:eastAsia="el-GR"/>
        </w:rPr>
        <w:t>baseline intakt (PTH)-niveau i pg/ml</w:t>
      </w:r>
    </w:p>
    <w:p w:rsidR="00032920" w:rsidRPr="002B27E6" w:rsidRDefault="002B27E6" w:rsidP="002B27E6">
      <w:pPr>
        <w:tabs>
          <w:tab w:val="left" w:pos="3544"/>
        </w:tabs>
        <w:ind w:left="851"/>
        <w:rPr>
          <w:sz w:val="24"/>
          <w:szCs w:val="24"/>
          <w:lang w:eastAsia="el-GR"/>
        </w:rPr>
      </w:pPr>
      <w:r>
        <w:rPr>
          <w:sz w:val="24"/>
          <w:szCs w:val="24"/>
          <w:lang w:eastAsia="el-GR"/>
        </w:rPr>
        <w:tab/>
      </w:r>
      <w:r>
        <w:rPr>
          <w:sz w:val="24"/>
          <w:szCs w:val="24"/>
          <w:lang w:eastAsia="el-GR"/>
        </w:rPr>
        <w:tab/>
      </w:r>
      <w:r>
        <w:rPr>
          <w:sz w:val="24"/>
          <w:szCs w:val="24"/>
          <w:lang w:eastAsia="el-GR"/>
        </w:rPr>
        <w:tab/>
      </w:r>
      <w:r w:rsidR="00032920" w:rsidRPr="002B27E6">
        <w:rPr>
          <w:sz w:val="24"/>
          <w:szCs w:val="24"/>
          <w:lang w:eastAsia="el-GR"/>
        </w:rPr>
        <w:t>80</w:t>
      </w:r>
    </w:p>
    <w:p w:rsidR="00032920" w:rsidRPr="002B27E6" w:rsidRDefault="00032920" w:rsidP="002B27E6">
      <w:pPr>
        <w:ind w:left="851"/>
        <w:rPr>
          <w:sz w:val="24"/>
          <w:szCs w:val="24"/>
          <w:lang w:eastAsia="el-GR"/>
        </w:rPr>
      </w:pPr>
      <w:r w:rsidRPr="002B27E6">
        <w:rPr>
          <w:sz w:val="24"/>
          <w:szCs w:val="24"/>
          <w:lang w:eastAsia="el-GR"/>
        </w:rPr>
        <w:t xml:space="preserve">og indgives højst hver anden dag som en intravenøs (i.v.) bolus-dosis i forbindelse med dialyse. </w:t>
      </w:r>
    </w:p>
    <w:p w:rsidR="00032920" w:rsidRPr="002B27E6" w:rsidRDefault="00032920" w:rsidP="002B27E6">
      <w:pPr>
        <w:ind w:left="851"/>
        <w:rPr>
          <w:sz w:val="24"/>
          <w:szCs w:val="24"/>
          <w:lang w:eastAsia="el-GR"/>
        </w:rPr>
      </w:pPr>
    </w:p>
    <w:p w:rsidR="00032920" w:rsidRPr="002B27E6" w:rsidRDefault="00032920" w:rsidP="002B27E6">
      <w:pPr>
        <w:ind w:left="851"/>
        <w:rPr>
          <w:sz w:val="24"/>
          <w:szCs w:val="24"/>
          <w:lang w:eastAsia="el-GR"/>
        </w:rPr>
      </w:pPr>
      <w:r w:rsidRPr="002B27E6">
        <w:rPr>
          <w:sz w:val="24"/>
          <w:szCs w:val="24"/>
          <w:lang w:eastAsia="el-GR"/>
        </w:rPr>
        <w:t xml:space="preserve">I kliniske studier var den maksimale forsvarligt indgivne dosis helt oppe på 40 mikrogram. </w:t>
      </w:r>
    </w:p>
    <w:p w:rsidR="00032920" w:rsidRPr="002B27E6" w:rsidRDefault="00032920" w:rsidP="002B27E6">
      <w:pPr>
        <w:ind w:left="851"/>
        <w:rPr>
          <w:sz w:val="24"/>
          <w:szCs w:val="24"/>
          <w:lang w:eastAsia="el-GR"/>
        </w:rPr>
      </w:pPr>
    </w:p>
    <w:p w:rsidR="00032920" w:rsidRPr="00C93C97" w:rsidRDefault="00032920" w:rsidP="002B27E6">
      <w:pPr>
        <w:ind w:left="851"/>
        <w:rPr>
          <w:i/>
          <w:sz w:val="24"/>
          <w:szCs w:val="24"/>
          <w:lang w:eastAsia="el-GR"/>
        </w:rPr>
      </w:pPr>
      <w:r w:rsidRPr="00C93C97">
        <w:rPr>
          <w:i/>
          <w:sz w:val="24"/>
          <w:szCs w:val="24"/>
          <w:lang w:eastAsia="el-GR"/>
        </w:rPr>
        <w:t>2) Dosistitrering</w:t>
      </w:r>
    </w:p>
    <w:p w:rsidR="00032920" w:rsidRPr="002B27E6" w:rsidRDefault="00032920" w:rsidP="002B27E6">
      <w:pPr>
        <w:ind w:left="851"/>
        <w:rPr>
          <w:sz w:val="24"/>
          <w:szCs w:val="24"/>
          <w:lang w:eastAsia="el-GR"/>
        </w:rPr>
      </w:pPr>
      <w:r w:rsidRPr="002B27E6">
        <w:rPr>
          <w:sz w:val="24"/>
          <w:szCs w:val="24"/>
          <w:lang w:eastAsia="el-GR"/>
        </w:rPr>
        <w:t>Det accepterede fastlagte PTH-område for dialysepatienter med nyreinsufficiens i slutfasen ligger ikke mere end 1,5–3 gange højere end den ikke-uræmiske øvre grænse for raske</w:t>
      </w:r>
      <w:r w:rsidR="002B27E6">
        <w:rPr>
          <w:sz w:val="24"/>
          <w:szCs w:val="24"/>
          <w:lang w:eastAsia="el-GR"/>
        </w:rPr>
        <w:t xml:space="preserve"> </w:t>
      </w:r>
      <w:r w:rsidRPr="002B27E6">
        <w:rPr>
          <w:sz w:val="24"/>
          <w:szCs w:val="24"/>
          <w:lang w:eastAsia="el-GR"/>
        </w:rPr>
        <w:t>15,9-31,8 pmol/l (150-300 pg/ml) for intakt PTH. Tæt overvågning og individuel dosistitrering er nødvendig for at opnå acceptable fysiologiske endpoints. I forbindelse med hypercalcæmi eller ved vedvarende forhøjede, korrigerede Ca x P-produkt over 5,2 mmol</w:t>
      </w:r>
      <w:r w:rsidRPr="002B27E6">
        <w:rPr>
          <w:sz w:val="24"/>
          <w:szCs w:val="24"/>
          <w:vertAlign w:val="superscript"/>
          <w:lang w:eastAsia="el-GR"/>
        </w:rPr>
        <w:t>2</w:t>
      </w:r>
      <w:r w:rsidRPr="002B27E6">
        <w:rPr>
          <w:sz w:val="24"/>
          <w:szCs w:val="24"/>
          <w:lang w:eastAsia="el-GR"/>
        </w:rPr>
        <w:t>/dl</w:t>
      </w:r>
      <w:r w:rsidRPr="002B27E6">
        <w:rPr>
          <w:sz w:val="24"/>
          <w:szCs w:val="24"/>
          <w:vertAlign w:val="superscript"/>
          <w:lang w:eastAsia="el-GR"/>
        </w:rPr>
        <w:t>2</w:t>
      </w:r>
      <w:r w:rsidRPr="002B27E6">
        <w:rPr>
          <w:sz w:val="24"/>
          <w:szCs w:val="24"/>
          <w:lang w:eastAsia="el-GR"/>
        </w:rPr>
        <w:t xml:space="preserve"> (65 mg</w:t>
      </w:r>
      <w:r w:rsidRPr="002B27E6">
        <w:rPr>
          <w:sz w:val="24"/>
          <w:szCs w:val="24"/>
          <w:vertAlign w:val="superscript"/>
          <w:lang w:eastAsia="el-GR"/>
        </w:rPr>
        <w:t>2</w:t>
      </w:r>
      <w:r w:rsidRPr="002B27E6">
        <w:rPr>
          <w:sz w:val="24"/>
          <w:szCs w:val="24"/>
          <w:lang w:eastAsia="el-GR"/>
        </w:rPr>
        <w:t>/dl</w:t>
      </w:r>
      <w:r w:rsidRPr="002B27E6">
        <w:rPr>
          <w:sz w:val="24"/>
          <w:szCs w:val="24"/>
          <w:vertAlign w:val="superscript"/>
          <w:lang w:eastAsia="el-GR"/>
        </w:rPr>
        <w:t>2</w:t>
      </w:r>
      <w:r w:rsidRPr="002B27E6">
        <w:rPr>
          <w:sz w:val="24"/>
          <w:szCs w:val="24"/>
          <w:lang w:eastAsia="el-GR"/>
        </w:rPr>
        <w:t xml:space="preserve">), bør dosis af lægemidlet reduceres eller behandlingen afbrydes, indtil disse analyseparametre er normaliseret. Derefter kan indgift af paricalcitol genoptages i en lavere dosis. Dosen kan eventuelt nedsættes i takt med, at PTH-niveauet falder som reaktion på behandlingen. </w:t>
      </w:r>
    </w:p>
    <w:p w:rsidR="00032920" w:rsidRPr="002B27E6" w:rsidRDefault="00032920" w:rsidP="002B27E6">
      <w:pPr>
        <w:ind w:left="851" w:hanging="851"/>
        <w:rPr>
          <w:sz w:val="24"/>
          <w:szCs w:val="24"/>
          <w:lang w:eastAsia="el-GR"/>
        </w:rPr>
      </w:pPr>
    </w:p>
    <w:p w:rsidR="00032920" w:rsidRPr="002B27E6" w:rsidRDefault="002B27E6" w:rsidP="002B27E6">
      <w:pPr>
        <w:ind w:left="851" w:hanging="851"/>
        <w:rPr>
          <w:sz w:val="24"/>
          <w:szCs w:val="24"/>
          <w:lang w:eastAsia="el-GR"/>
        </w:rPr>
      </w:pPr>
      <w:r>
        <w:rPr>
          <w:sz w:val="24"/>
          <w:szCs w:val="24"/>
          <w:lang w:eastAsia="el-GR"/>
        </w:rPr>
        <w:tab/>
      </w:r>
      <w:r w:rsidR="00032920" w:rsidRPr="002B27E6">
        <w:rPr>
          <w:sz w:val="24"/>
          <w:szCs w:val="24"/>
          <w:lang w:eastAsia="el-GR"/>
        </w:rPr>
        <w:t xml:space="preserve">Nedenstående tabel anbefales til dosistitrering: </w:t>
      </w:r>
    </w:p>
    <w:tbl>
      <w:tblPr>
        <w:tblW w:w="7889" w:type="dxa"/>
        <w:tblCellSpacing w:w="0" w:type="dxa"/>
        <w:tblInd w:w="886" w:type="dxa"/>
        <w:tblCellMar>
          <w:top w:w="15" w:type="dxa"/>
          <w:left w:w="15" w:type="dxa"/>
          <w:bottom w:w="15" w:type="dxa"/>
          <w:right w:w="15" w:type="dxa"/>
        </w:tblCellMar>
        <w:tblLook w:val="04A0" w:firstRow="1" w:lastRow="0" w:firstColumn="1" w:lastColumn="0" w:noHBand="0" w:noVBand="1"/>
      </w:tblPr>
      <w:tblGrid>
        <w:gridCol w:w="4064"/>
        <w:gridCol w:w="3825"/>
      </w:tblGrid>
      <w:tr w:rsidR="00032920" w:rsidRPr="002B27E6" w:rsidTr="002B27E6">
        <w:trPr>
          <w:tblCellSpacing w:w="0" w:type="dxa"/>
        </w:trPr>
        <w:tc>
          <w:tcPr>
            <w:tcW w:w="7889" w:type="dxa"/>
            <w:gridSpan w:val="2"/>
            <w:tcBorders>
              <w:top w:val="single" w:sz="8" w:space="0" w:color="auto"/>
              <w:left w:val="single" w:sz="8" w:space="0" w:color="auto"/>
              <w:bottom w:val="single" w:sz="8" w:space="0" w:color="auto"/>
              <w:right w:val="single" w:sz="8" w:space="0" w:color="auto"/>
            </w:tcBorders>
            <w:hideMark/>
          </w:tcPr>
          <w:p w:rsidR="00032920" w:rsidRPr="002B27E6" w:rsidRDefault="00032920" w:rsidP="002B27E6">
            <w:pPr>
              <w:jc w:val="center"/>
              <w:rPr>
                <w:sz w:val="24"/>
                <w:szCs w:val="24"/>
                <w:lang w:eastAsia="el-GR"/>
              </w:rPr>
            </w:pPr>
            <w:r w:rsidRPr="002B27E6">
              <w:rPr>
                <w:b/>
                <w:bCs/>
                <w:color w:val="000000"/>
                <w:sz w:val="24"/>
                <w:szCs w:val="24"/>
                <w:lang w:eastAsia="el-GR"/>
              </w:rPr>
              <w:t>Anbefalede retningslinier for dosering</w:t>
            </w:r>
            <w:r w:rsidRPr="002B27E6">
              <w:rPr>
                <w:sz w:val="24"/>
                <w:szCs w:val="24"/>
                <w:lang w:eastAsia="el-GR"/>
              </w:rPr>
              <w:t xml:space="preserve"> </w:t>
            </w:r>
          </w:p>
          <w:p w:rsidR="00032920" w:rsidRPr="002B27E6" w:rsidRDefault="00032920" w:rsidP="002B27E6">
            <w:pPr>
              <w:jc w:val="center"/>
              <w:rPr>
                <w:sz w:val="24"/>
                <w:szCs w:val="24"/>
                <w:lang w:eastAsia="el-GR"/>
              </w:rPr>
            </w:pPr>
            <w:r w:rsidRPr="002B27E6">
              <w:rPr>
                <w:b/>
                <w:bCs/>
                <w:color w:val="000000"/>
                <w:sz w:val="24"/>
                <w:szCs w:val="24"/>
                <w:lang w:eastAsia="el-GR"/>
              </w:rPr>
              <w:t>(Dosis justeres med 2 til 4 ugers interval)</w:t>
            </w:r>
            <w:r w:rsidRPr="002B27E6">
              <w:rPr>
                <w:sz w:val="24"/>
                <w:szCs w:val="24"/>
                <w:lang w:eastAsia="el-GR"/>
              </w:rPr>
              <w:t xml:space="preserve"> </w:t>
            </w:r>
          </w:p>
        </w:tc>
      </w:tr>
      <w:tr w:rsidR="00032920" w:rsidRPr="002B27E6" w:rsidTr="002B27E6">
        <w:trPr>
          <w:tblCellSpacing w:w="0" w:type="dxa"/>
        </w:trPr>
        <w:tc>
          <w:tcPr>
            <w:tcW w:w="4064" w:type="dxa"/>
            <w:tcBorders>
              <w:top w:val="single" w:sz="8" w:space="0" w:color="auto"/>
              <w:left w:val="single" w:sz="8" w:space="0" w:color="auto"/>
              <w:bottom w:val="single" w:sz="8" w:space="0" w:color="auto"/>
              <w:right w:val="single" w:sz="8" w:space="0" w:color="auto"/>
            </w:tcBorders>
            <w:hideMark/>
          </w:tcPr>
          <w:p w:rsidR="00032920" w:rsidRPr="002B27E6" w:rsidRDefault="00032920" w:rsidP="002B27E6">
            <w:pPr>
              <w:rPr>
                <w:sz w:val="24"/>
                <w:szCs w:val="24"/>
                <w:lang w:eastAsia="el-GR"/>
              </w:rPr>
            </w:pPr>
            <w:r w:rsidRPr="002B27E6">
              <w:rPr>
                <w:b/>
                <w:bCs/>
                <w:color w:val="000000"/>
                <w:sz w:val="24"/>
                <w:szCs w:val="24"/>
                <w:lang w:eastAsia="el-GR"/>
              </w:rPr>
              <w:t>iPTH-niveau relativt til baseline</w:t>
            </w:r>
            <w:r w:rsidRPr="002B27E6">
              <w:rPr>
                <w:sz w:val="24"/>
                <w:szCs w:val="24"/>
                <w:lang w:eastAsia="el-GR"/>
              </w:rPr>
              <w:t xml:space="preserve"> </w:t>
            </w:r>
          </w:p>
        </w:tc>
        <w:tc>
          <w:tcPr>
            <w:tcW w:w="3825" w:type="dxa"/>
            <w:tcBorders>
              <w:top w:val="single" w:sz="8" w:space="0" w:color="auto"/>
              <w:left w:val="single" w:sz="8" w:space="0" w:color="auto"/>
              <w:bottom w:val="single" w:sz="8" w:space="0" w:color="auto"/>
              <w:right w:val="single" w:sz="8" w:space="0" w:color="auto"/>
            </w:tcBorders>
            <w:hideMark/>
          </w:tcPr>
          <w:p w:rsidR="00032920" w:rsidRPr="002B27E6" w:rsidRDefault="00032920" w:rsidP="002B27E6">
            <w:pPr>
              <w:rPr>
                <w:sz w:val="24"/>
                <w:szCs w:val="24"/>
                <w:lang w:eastAsia="el-GR"/>
              </w:rPr>
            </w:pPr>
            <w:r w:rsidRPr="002B27E6">
              <w:rPr>
                <w:b/>
                <w:bCs/>
                <w:color w:val="000000"/>
                <w:sz w:val="24"/>
                <w:szCs w:val="24"/>
                <w:lang w:eastAsia="el-GR"/>
              </w:rPr>
              <w:t>Paricalcitol dosisjustering</w:t>
            </w:r>
            <w:r w:rsidRPr="002B27E6">
              <w:rPr>
                <w:sz w:val="24"/>
                <w:szCs w:val="24"/>
                <w:lang w:eastAsia="el-GR"/>
              </w:rPr>
              <w:t xml:space="preserve"> </w:t>
            </w:r>
          </w:p>
        </w:tc>
      </w:tr>
      <w:tr w:rsidR="00032920" w:rsidRPr="002B27E6" w:rsidTr="002B27E6">
        <w:trPr>
          <w:tblCellSpacing w:w="0" w:type="dxa"/>
        </w:trPr>
        <w:tc>
          <w:tcPr>
            <w:tcW w:w="4064" w:type="dxa"/>
            <w:tcBorders>
              <w:top w:val="single" w:sz="8" w:space="0" w:color="auto"/>
              <w:left w:val="single" w:sz="8" w:space="0" w:color="auto"/>
              <w:bottom w:val="single" w:sz="8" w:space="0" w:color="auto"/>
              <w:right w:val="single" w:sz="8" w:space="0" w:color="auto"/>
            </w:tcBorders>
            <w:hideMark/>
          </w:tcPr>
          <w:p w:rsidR="00032920" w:rsidRPr="002B27E6" w:rsidRDefault="00032920" w:rsidP="002B27E6">
            <w:pPr>
              <w:rPr>
                <w:sz w:val="24"/>
                <w:szCs w:val="24"/>
                <w:lang w:eastAsia="el-GR"/>
              </w:rPr>
            </w:pPr>
            <w:r w:rsidRPr="002B27E6">
              <w:rPr>
                <w:color w:val="000000"/>
                <w:sz w:val="24"/>
                <w:szCs w:val="24"/>
                <w:lang w:eastAsia="el-GR"/>
              </w:rPr>
              <w:t>Samme eller øget</w:t>
            </w:r>
            <w:r w:rsidRPr="002B27E6">
              <w:rPr>
                <w:sz w:val="24"/>
                <w:szCs w:val="24"/>
                <w:lang w:eastAsia="el-GR"/>
              </w:rPr>
              <w:t xml:space="preserve"> </w:t>
            </w:r>
          </w:p>
        </w:tc>
        <w:tc>
          <w:tcPr>
            <w:tcW w:w="3825" w:type="dxa"/>
            <w:tcBorders>
              <w:top w:val="single" w:sz="8" w:space="0" w:color="auto"/>
              <w:left w:val="single" w:sz="8" w:space="0" w:color="auto"/>
              <w:right w:val="single" w:sz="8" w:space="0" w:color="auto"/>
            </w:tcBorders>
            <w:hideMark/>
          </w:tcPr>
          <w:p w:rsidR="00032920" w:rsidRPr="002B27E6" w:rsidRDefault="00032920" w:rsidP="002B27E6">
            <w:pPr>
              <w:rPr>
                <w:sz w:val="24"/>
                <w:szCs w:val="24"/>
                <w:lang w:eastAsia="el-GR"/>
              </w:rPr>
            </w:pPr>
            <w:r w:rsidRPr="002B27E6">
              <w:rPr>
                <w:color w:val="000000"/>
                <w:sz w:val="24"/>
                <w:szCs w:val="24"/>
                <w:lang w:eastAsia="el-GR"/>
              </w:rPr>
              <w:t>Øg med 2-4 mikrogram</w:t>
            </w:r>
            <w:r w:rsidRPr="002B27E6">
              <w:rPr>
                <w:sz w:val="24"/>
                <w:szCs w:val="24"/>
                <w:lang w:eastAsia="el-GR"/>
              </w:rPr>
              <w:t xml:space="preserve"> </w:t>
            </w:r>
          </w:p>
        </w:tc>
      </w:tr>
      <w:tr w:rsidR="00032920" w:rsidRPr="002B27E6" w:rsidTr="002B27E6">
        <w:trPr>
          <w:tblCellSpacing w:w="0" w:type="dxa"/>
        </w:trPr>
        <w:tc>
          <w:tcPr>
            <w:tcW w:w="4064" w:type="dxa"/>
            <w:tcBorders>
              <w:top w:val="single" w:sz="8" w:space="0" w:color="auto"/>
              <w:left w:val="single" w:sz="8" w:space="0" w:color="auto"/>
              <w:bottom w:val="single" w:sz="8" w:space="0" w:color="auto"/>
              <w:right w:val="single" w:sz="8" w:space="0" w:color="auto"/>
            </w:tcBorders>
            <w:hideMark/>
          </w:tcPr>
          <w:p w:rsidR="00032920" w:rsidRPr="002B27E6" w:rsidRDefault="00032920" w:rsidP="002B27E6">
            <w:pPr>
              <w:rPr>
                <w:sz w:val="24"/>
                <w:szCs w:val="24"/>
                <w:lang w:eastAsia="el-GR"/>
              </w:rPr>
            </w:pPr>
            <w:r w:rsidRPr="002B27E6">
              <w:rPr>
                <w:color w:val="000000"/>
                <w:sz w:val="24"/>
                <w:szCs w:val="24"/>
                <w:lang w:eastAsia="el-GR"/>
              </w:rPr>
              <w:t>Faldet med &lt; 30</w:t>
            </w:r>
            <w:r w:rsidR="00245753">
              <w:rPr>
                <w:color w:val="000000"/>
                <w:sz w:val="24"/>
                <w:szCs w:val="24"/>
                <w:lang w:eastAsia="el-GR"/>
              </w:rPr>
              <w:t xml:space="preserve"> %</w:t>
            </w:r>
            <w:r w:rsidRPr="002B27E6">
              <w:rPr>
                <w:sz w:val="24"/>
                <w:szCs w:val="24"/>
                <w:lang w:eastAsia="el-GR"/>
              </w:rPr>
              <w:t xml:space="preserve"> </w:t>
            </w:r>
          </w:p>
        </w:tc>
        <w:tc>
          <w:tcPr>
            <w:tcW w:w="3825" w:type="dxa"/>
            <w:tcBorders>
              <w:left w:val="single" w:sz="8" w:space="0" w:color="auto"/>
              <w:bottom w:val="single" w:sz="8" w:space="0" w:color="auto"/>
              <w:right w:val="single" w:sz="8" w:space="0" w:color="auto"/>
            </w:tcBorders>
            <w:hideMark/>
          </w:tcPr>
          <w:p w:rsidR="00032920" w:rsidRPr="002B27E6" w:rsidRDefault="00032920" w:rsidP="002B27E6">
            <w:pPr>
              <w:rPr>
                <w:sz w:val="24"/>
                <w:szCs w:val="24"/>
                <w:lang w:eastAsia="el-GR"/>
              </w:rPr>
            </w:pPr>
            <w:r w:rsidRPr="002B27E6">
              <w:rPr>
                <w:sz w:val="24"/>
                <w:szCs w:val="24"/>
                <w:lang w:eastAsia="el-GR"/>
              </w:rPr>
              <w:t> </w:t>
            </w:r>
          </w:p>
        </w:tc>
      </w:tr>
      <w:tr w:rsidR="00032920" w:rsidRPr="002B27E6" w:rsidTr="002B27E6">
        <w:trPr>
          <w:tblCellSpacing w:w="0" w:type="dxa"/>
        </w:trPr>
        <w:tc>
          <w:tcPr>
            <w:tcW w:w="4064" w:type="dxa"/>
            <w:tcBorders>
              <w:top w:val="single" w:sz="8" w:space="0" w:color="auto"/>
              <w:left w:val="single" w:sz="8" w:space="0" w:color="auto"/>
              <w:bottom w:val="single" w:sz="8" w:space="0" w:color="auto"/>
              <w:right w:val="single" w:sz="8" w:space="0" w:color="auto"/>
            </w:tcBorders>
            <w:hideMark/>
          </w:tcPr>
          <w:p w:rsidR="00032920" w:rsidRPr="002B27E6" w:rsidRDefault="00032920" w:rsidP="002B27E6">
            <w:pPr>
              <w:rPr>
                <w:sz w:val="24"/>
                <w:szCs w:val="24"/>
                <w:lang w:eastAsia="el-GR"/>
              </w:rPr>
            </w:pPr>
            <w:r w:rsidRPr="002B27E6">
              <w:rPr>
                <w:color w:val="000000"/>
                <w:sz w:val="24"/>
                <w:szCs w:val="24"/>
                <w:lang w:eastAsia="el-GR"/>
              </w:rPr>
              <w:t>Faldet med ≥ 30</w:t>
            </w:r>
            <w:r w:rsidR="00245753">
              <w:rPr>
                <w:color w:val="000000"/>
                <w:sz w:val="24"/>
                <w:szCs w:val="24"/>
                <w:lang w:eastAsia="el-GR"/>
              </w:rPr>
              <w:t xml:space="preserve"> %</w:t>
            </w:r>
            <w:r w:rsidRPr="002B27E6">
              <w:rPr>
                <w:color w:val="000000"/>
                <w:sz w:val="24"/>
                <w:szCs w:val="24"/>
                <w:lang w:eastAsia="el-GR"/>
              </w:rPr>
              <w:t>, ≤ 60</w:t>
            </w:r>
            <w:r w:rsidR="00245753">
              <w:rPr>
                <w:color w:val="000000"/>
                <w:sz w:val="24"/>
                <w:szCs w:val="24"/>
                <w:lang w:eastAsia="el-GR"/>
              </w:rPr>
              <w:t xml:space="preserve"> %</w:t>
            </w:r>
            <w:r w:rsidRPr="002B27E6">
              <w:rPr>
                <w:sz w:val="24"/>
                <w:szCs w:val="24"/>
                <w:lang w:eastAsia="el-GR"/>
              </w:rPr>
              <w:t xml:space="preserve"> </w:t>
            </w:r>
          </w:p>
        </w:tc>
        <w:tc>
          <w:tcPr>
            <w:tcW w:w="3825" w:type="dxa"/>
            <w:tcBorders>
              <w:top w:val="single" w:sz="8" w:space="0" w:color="auto"/>
              <w:left w:val="single" w:sz="8" w:space="0" w:color="auto"/>
              <w:bottom w:val="single" w:sz="8" w:space="0" w:color="auto"/>
              <w:right w:val="single" w:sz="8" w:space="0" w:color="auto"/>
            </w:tcBorders>
            <w:hideMark/>
          </w:tcPr>
          <w:p w:rsidR="00032920" w:rsidRPr="002B27E6" w:rsidRDefault="00032920" w:rsidP="002B27E6">
            <w:pPr>
              <w:rPr>
                <w:sz w:val="24"/>
                <w:szCs w:val="24"/>
                <w:lang w:eastAsia="el-GR"/>
              </w:rPr>
            </w:pPr>
            <w:r w:rsidRPr="002B27E6">
              <w:rPr>
                <w:color w:val="000000"/>
                <w:sz w:val="24"/>
                <w:szCs w:val="24"/>
                <w:lang w:eastAsia="el-GR"/>
              </w:rPr>
              <w:t>Ingen ændring</w:t>
            </w:r>
            <w:r w:rsidRPr="002B27E6">
              <w:rPr>
                <w:sz w:val="24"/>
                <w:szCs w:val="24"/>
                <w:lang w:eastAsia="el-GR"/>
              </w:rPr>
              <w:t xml:space="preserve"> </w:t>
            </w:r>
          </w:p>
        </w:tc>
      </w:tr>
      <w:tr w:rsidR="00032920" w:rsidRPr="002B27E6" w:rsidTr="002B27E6">
        <w:trPr>
          <w:tblCellSpacing w:w="0" w:type="dxa"/>
        </w:trPr>
        <w:tc>
          <w:tcPr>
            <w:tcW w:w="4064" w:type="dxa"/>
            <w:tcBorders>
              <w:top w:val="single" w:sz="8" w:space="0" w:color="auto"/>
              <w:left w:val="single" w:sz="8" w:space="0" w:color="auto"/>
              <w:bottom w:val="single" w:sz="8" w:space="0" w:color="auto"/>
              <w:right w:val="single" w:sz="8" w:space="0" w:color="auto"/>
            </w:tcBorders>
            <w:hideMark/>
          </w:tcPr>
          <w:p w:rsidR="00032920" w:rsidRPr="002B27E6" w:rsidRDefault="00032920" w:rsidP="002B27E6">
            <w:pPr>
              <w:rPr>
                <w:sz w:val="24"/>
                <w:szCs w:val="24"/>
                <w:lang w:eastAsia="el-GR"/>
              </w:rPr>
            </w:pPr>
            <w:r w:rsidRPr="002B27E6">
              <w:rPr>
                <w:color w:val="000000"/>
                <w:sz w:val="24"/>
                <w:szCs w:val="24"/>
                <w:lang w:eastAsia="el-GR"/>
              </w:rPr>
              <w:t>Faldende med &gt; 60</w:t>
            </w:r>
            <w:r w:rsidR="00245753">
              <w:rPr>
                <w:color w:val="000000"/>
                <w:sz w:val="24"/>
                <w:szCs w:val="24"/>
                <w:lang w:eastAsia="el-GR"/>
              </w:rPr>
              <w:t xml:space="preserve"> %</w:t>
            </w:r>
            <w:r w:rsidRPr="002B27E6">
              <w:rPr>
                <w:sz w:val="24"/>
                <w:szCs w:val="24"/>
                <w:lang w:eastAsia="el-GR"/>
              </w:rPr>
              <w:t xml:space="preserve"> </w:t>
            </w:r>
          </w:p>
        </w:tc>
        <w:tc>
          <w:tcPr>
            <w:tcW w:w="3825" w:type="dxa"/>
            <w:tcBorders>
              <w:top w:val="single" w:sz="8" w:space="0" w:color="auto"/>
              <w:left w:val="single" w:sz="8" w:space="0" w:color="auto"/>
              <w:right w:val="single" w:sz="8" w:space="0" w:color="auto"/>
            </w:tcBorders>
            <w:hideMark/>
          </w:tcPr>
          <w:p w:rsidR="00032920" w:rsidRPr="002B27E6" w:rsidRDefault="00032920" w:rsidP="002B27E6">
            <w:pPr>
              <w:rPr>
                <w:sz w:val="24"/>
                <w:szCs w:val="24"/>
                <w:lang w:eastAsia="el-GR"/>
              </w:rPr>
            </w:pPr>
            <w:r w:rsidRPr="002B27E6">
              <w:rPr>
                <w:color w:val="000000"/>
                <w:sz w:val="24"/>
                <w:szCs w:val="24"/>
                <w:lang w:eastAsia="el-GR"/>
              </w:rPr>
              <w:t>Nedsæt med 2-4 mikrogram</w:t>
            </w:r>
            <w:r w:rsidRPr="002B27E6">
              <w:rPr>
                <w:sz w:val="24"/>
                <w:szCs w:val="24"/>
                <w:lang w:eastAsia="el-GR"/>
              </w:rPr>
              <w:t xml:space="preserve"> </w:t>
            </w:r>
          </w:p>
        </w:tc>
      </w:tr>
      <w:tr w:rsidR="00032920" w:rsidRPr="00935D7E" w:rsidTr="002B27E6">
        <w:trPr>
          <w:tblCellSpacing w:w="0" w:type="dxa"/>
        </w:trPr>
        <w:tc>
          <w:tcPr>
            <w:tcW w:w="4064" w:type="dxa"/>
            <w:tcBorders>
              <w:top w:val="single" w:sz="8" w:space="0" w:color="auto"/>
              <w:left w:val="single" w:sz="8" w:space="0" w:color="auto"/>
              <w:bottom w:val="single" w:sz="8" w:space="0" w:color="auto"/>
              <w:right w:val="single" w:sz="8" w:space="0" w:color="auto"/>
            </w:tcBorders>
            <w:hideMark/>
          </w:tcPr>
          <w:p w:rsidR="00032920" w:rsidRPr="002B27E6" w:rsidRDefault="00032920" w:rsidP="002B27E6">
            <w:pPr>
              <w:rPr>
                <w:sz w:val="24"/>
                <w:szCs w:val="24"/>
                <w:lang w:val="en-US" w:eastAsia="el-GR"/>
              </w:rPr>
            </w:pPr>
            <w:r w:rsidRPr="002B27E6">
              <w:rPr>
                <w:color w:val="000000"/>
                <w:sz w:val="24"/>
                <w:szCs w:val="24"/>
                <w:lang w:val="en-US" w:eastAsia="el-GR"/>
              </w:rPr>
              <w:t>iPTH&lt;15,9 pmol/l ( 150 pg/ml)</w:t>
            </w:r>
            <w:r w:rsidRPr="002B27E6">
              <w:rPr>
                <w:sz w:val="24"/>
                <w:szCs w:val="24"/>
                <w:lang w:val="en-US" w:eastAsia="el-GR"/>
              </w:rPr>
              <w:t xml:space="preserve">  </w:t>
            </w:r>
          </w:p>
        </w:tc>
        <w:tc>
          <w:tcPr>
            <w:tcW w:w="3825" w:type="dxa"/>
            <w:tcBorders>
              <w:left w:val="single" w:sz="8" w:space="0" w:color="auto"/>
              <w:bottom w:val="single" w:sz="8" w:space="0" w:color="auto"/>
              <w:right w:val="single" w:sz="8" w:space="0" w:color="auto"/>
            </w:tcBorders>
            <w:hideMark/>
          </w:tcPr>
          <w:p w:rsidR="00032920" w:rsidRPr="002B27E6" w:rsidRDefault="00032920" w:rsidP="002B27E6">
            <w:pPr>
              <w:rPr>
                <w:sz w:val="24"/>
                <w:szCs w:val="24"/>
                <w:lang w:val="en-US" w:eastAsia="el-GR"/>
              </w:rPr>
            </w:pPr>
            <w:r w:rsidRPr="002B27E6">
              <w:rPr>
                <w:sz w:val="24"/>
                <w:szCs w:val="24"/>
                <w:lang w:val="en-US" w:eastAsia="el-GR"/>
              </w:rPr>
              <w:t> </w:t>
            </w:r>
          </w:p>
        </w:tc>
      </w:tr>
    </w:tbl>
    <w:p w:rsidR="00032920" w:rsidRPr="002B27E6" w:rsidRDefault="00032920" w:rsidP="002B27E6">
      <w:pPr>
        <w:ind w:left="851"/>
        <w:rPr>
          <w:vanish/>
          <w:sz w:val="24"/>
          <w:szCs w:val="24"/>
          <w:lang w:val="en-US" w:eastAsia="el-GR"/>
        </w:rPr>
      </w:pPr>
    </w:p>
    <w:p w:rsidR="00032920" w:rsidRPr="002B27E6" w:rsidRDefault="002B27E6" w:rsidP="002B27E6">
      <w:pPr>
        <w:ind w:left="851" w:hanging="851"/>
        <w:rPr>
          <w:sz w:val="24"/>
          <w:szCs w:val="24"/>
          <w:lang w:eastAsia="el-GR"/>
        </w:rPr>
      </w:pPr>
      <w:r w:rsidRPr="00D24DED">
        <w:rPr>
          <w:sz w:val="24"/>
          <w:szCs w:val="24"/>
          <w:lang w:val="en-US" w:eastAsia="el-GR"/>
        </w:rPr>
        <w:tab/>
      </w:r>
      <w:r w:rsidR="00032920" w:rsidRPr="002B27E6">
        <w:rPr>
          <w:sz w:val="24"/>
          <w:szCs w:val="24"/>
          <w:lang w:eastAsia="el-GR"/>
        </w:rPr>
        <w:t xml:space="preserve">Efter fastsættelsen af dosen skal serumcalcium- og fosfat-niveauerne måles mindst 1 gang månedligt. Det anbefales at måle intakt PTH-niveauet i serum hver tredje måned. Det kan være påkrævet at foretage hyppigere laboratorietests i perioder, hvor paricalcitol-dosen tilpasses. </w:t>
      </w:r>
    </w:p>
    <w:p w:rsidR="00454F4C" w:rsidRDefault="00454F4C">
      <w:pPr>
        <w:rPr>
          <w:sz w:val="24"/>
          <w:szCs w:val="24"/>
          <w:lang w:eastAsia="el-GR"/>
        </w:rPr>
      </w:pPr>
      <w:r>
        <w:rPr>
          <w:sz w:val="24"/>
          <w:szCs w:val="24"/>
          <w:lang w:eastAsia="el-GR"/>
        </w:rPr>
        <w:br w:type="page"/>
      </w:r>
    </w:p>
    <w:p w:rsidR="00032920" w:rsidRPr="002B27E6" w:rsidRDefault="00032920" w:rsidP="002B27E6">
      <w:pPr>
        <w:ind w:left="851" w:hanging="851"/>
        <w:rPr>
          <w:sz w:val="24"/>
          <w:szCs w:val="24"/>
          <w:lang w:eastAsia="el-GR"/>
        </w:rPr>
      </w:pPr>
    </w:p>
    <w:p w:rsidR="00032920" w:rsidRPr="002B27E6" w:rsidRDefault="00032920" w:rsidP="002B27E6">
      <w:pPr>
        <w:ind w:left="851"/>
        <w:rPr>
          <w:sz w:val="24"/>
          <w:szCs w:val="24"/>
          <w:lang w:eastAsia="el-GR"/>
        </w:rPr>
      </w:pPr>
      <w:r w:rsidRPr="002B27E6">
        <w:rPr>
          <w:sz w:val="24"/>
          <w:szCs w:val="24"/>
          <w:u w:val="single"/>
          <w:lang w:eastAsia="el-GR"/>
        </w:rPr>
        <w:lastRenderedPageBreak/>
        <w:t>Nedsat leverfunktion</w:t>
      </w:r>
      <w:r w:rsidRPr="002B27E6">
        <w:rPr>
          <w:sz w:val="24"/>
          <w:szCs w:val="24"/>
          <w:lang w:eastAsia="el-GR"/>
        </w:rPr>
        <w:t xml:space="preserve"> </w:t>
      </w:r>
    </w:p>
    <w:p w:rsidR="00032920" w:rsidRPr="002B27E6" w:rsidRDefault="00032920" w:rsidP="002B27E6">
      <w:pPr>
        <w:ind w:left="851"/>
        <w:rPr>
          <w:sz w:val="24"/>
          <w:szCs w:val="24"/>
          <w:lang w:eastAsia="el-GR"/>
        </w:rPr>
      </w:pPr>
      <w:r w:rsidRPr="002B27E6">
        <w:rPr>
          <w:sz w:val="24"/>
          <w:szCs w:val="24"/>
          <w:lang w:eastAsia="el-GR"/>
        </w:rPr>
        <w:t xml:space="preserve">Ubundne koncentrationer af paricalcitol hos patienter med mild til moderat nedsat leverfunktion ligner koncentrationen hos raske personer, og dosistilpasning er således ikke nødvendig hos denne patientpopulation. Der er ingen erfaringer med patienter med svær nedsat leverfunktion. </w:t>
      </w:r>
    </w:p>
    <w:p w:rsidR="00032920" w:rsidRPr="002B27E6" w:rsidRDefault="00032920" w:rsidP="002B27E6">
      <w:pPr>
        <w:ind w:left="851"/>
        <w:rPr>
          <w:sz w:val="24"/>
          <w:szCs w:val="24"/>
          <w:u w:val="single"/>
          <w:lang w:eastAsia="el-GR"/>
        </w:rPr>
      </w:pPr>
    </w:p>
    <w:p w:rsidR="00032920" w:rsidRPr="002B27E6" w:rsidRDefault="00032920" w:rsidP="002B27E6">
      <w:pPr>
        <w:ind w:left="851"/>
        <w:rPr>
          <w:sz w:val="24"/>
          <w:szCs w:val="24"/>
          <w:lang w:eastAsia="el-GR"/>
        </w:rPr>
      </w:pPr>
      <w:r w:rsidRPr="002B27E6">
        <w:rPr>
          <w:sz w:val="24"/>
          <w:szCs w:val="24"/>
          <w:u w:val="single"/>
          <w:lang w:eastAsia="el-GR"/>
        </w:rPr>
        <w:t>Pædiatrisk anvendelse (0-18 år)</w:t>
      </w:r>
      <w:r w:rsidRPr="002B27E6">
        <w:rPr>
          <w:sz w:val="24"/>
          <w:szCs w:val="24"/>
          <w:lang w:eastAsia="el-GR"/>
        </w:rPr>
        <w:t xml:space="preserve"> </w:t>
      </w:r>
    </w:p>
    <w:p w:rsidR="00454F4C" w:rsidRPr="0051476D" w:rsidRDefault="00032920" w:rsidP="00454F4C">
      <w:pPr>
        <w:ind w:left="851"/>
        <w:rPr>
          <w:sz w:val="24"/>
          <w:szCs w:val="24"/>
          <w:lang w:eastAsia="el-GR"/>
        </w:rPr>
      </w:pPr>
      <w:r w:rsidRPr="002B27E6">
        <w:rPr>
          <w:sz w:val="24"/>
          <w:szCs w:val="24"/>
          <w:lang w:eastAsia="el-GR"/>
        </w:rPr>
        <w:t>Paricalcitols sikke</w:t>
      </w:r>
      <w:r w:rsidR="002115F4">
        <w:rPr>
          <w:sz w:val="24"/>
          <w:szCs w:val="24"/>
          <w:lang w:eastAsia="el-GR"/>
        </w:rPr>
        <w:t>r</w:t>
      </w:r>
      <w:r w:rsidRPr="002B27E6">
        <w:rPr>
          <w:sz w:val="24"/>
          <w:szCs w:val="24"/>
          <w:lang w:eastAsia="el-GR"/>
        </w:rPr>
        <w:t xml:space="preserve">hed og effekt hos børn er ikke fastlagt. Der findes ingen tilgængelig dokumentation vedrørende børn under 5 år. Den nuværende tilgængelige dokumentation vedrørende pædiatriske patienter er beskrevet under pkt. </w:t>
      </w:r>
      <w:r w:rsidR="00454F4C" w:rsidRPr="0051476D">
        <w:rPr>
          <w:sz w:val="24"/>
          <w:szCs w:val="24"/>
          <w:lang w:eastAsia="el-GR"/>
        </w:rPr>
        <w:t xml:space="preserve">5.1, </w:t>
      </w:r>
      <w:r w:rsidR="00454F4C" w:rsidRPr="00454F4C">
        <w:rPr>
          <w:sz w:val="24"/>
          <w:szCs w:val="24"/>
          <w:lang w:eastAsia="el-GR"/>
        </w:rPr>
        <w:t>men der kan ikke laves nogen anbefaling om en dosering</w:t>
      </w:r>
      <w:r w:rsidR="00454F4C" w:rsidRPr="0051476D">
        <w:rPr>
          <w:sz w:val="24"/>
          <w:szCs w:val="24"/>
          <w:lang w:eastAsia="el-GR"/>
        </w:rPr>
        <w:t xml:space="preserve">. </w:t>
      </w:r>
    </w:p>
    <w:p w:rsidR="00032920" w:rsidRPr="002B27E6" w:rsidRDefault="00032920" w:rsidP="002B27E6">
      <w:pPr>
        <w:ind w:left="851"/>
        <w:rPr>
          <w:sz w:val="24"/>
          <w:szCs w:val="24"/>
          <w:u w:val="single"/>
          <w:lang w:eastAsia="el-GR"/>
        </w:rPr>
      </w:pPr>
    </w:p>
    <w:p w:rsidR="00032920" w:rsidRPr="002B27E6" w:rsidRDefault="00454F4C" w:rsidP="002B27E6">
      <w:pPr>
        <w:ind w:left="851"/>
        <w:rPr>
          <w:sz w:val="24"/>
          <w:szCs w:val="24"/>
          <w:lang w:eastAsia="el-GR"/>
        </w:rPr>
      </w:pPr>
      <w:r>
        <w:rPr>
          <w:sz w:val="24"/>
          <w:szCs w:val="24"/>
          <w:u w:val="single"/>
          <w:lang w:eastAsia="el-GR"/>
        </w:rPr>
        <w:t>Ældre</w:t>
      </w:r>
      <w:r w:rsidR="00032920" w:rsidRPr="002B27E6">
        <w:rPr>
          <w:sz w:val="24"/>
          <w:szCs w:val="24"/>
          <w:u w:val="single"/>
          <w:lang w:eastAsia="el-GR"/>
        </w:rPr>
        <w:t xml:space="preserve"> (&gt; 65 år)</w:t>
      </w:r>
      <w:r w:rsidR="00032920" w:rsidRPr="002B27E6">
        <w:rPr>
          <w:sz w:val="24"/>
          <w:szCs w:val="24"/>
          <w:lang w:eastAsia="el-GR"/>
        </w:rPr>
        <w:t xml:space="preserve"> </w:t>
      </w:r>
    </w:p>
    <w:p w:rsidR="00032920" w:rsidRPr="002B27E6" w:rsidRDefault="00032920" w:rsidP="002B27E6">
      <w:pPr>
        <w:ind w:left="851"/>
        <w:rPr>
          <w:sz w:val="24"/>
          <w:szCs w:val="24"/>
          <w:lang w:eastAsia="el-GR"/>
        </w:rPr>
      </w:pPr>
      <w:r w:rsidRPr="002B27E6">
        <w:rPr>
          <w:sz w:val="24"/>
          <w:szCs w:val="24"/>
          <w:lang w:eastAsia="el-GR"/>
        </w:rPr>
        <w:t>I fase III-studierne er der kun begrænset erfaring med indgivelse af paricalcitol hos 65-årige og derover. I disse studier var der ingen overordnet sikkerheds- og effektforskel mellem 65-årige patienter eller derover og yngre patienter.</w:t>
      </w:r>
    </w:p>
    <w:p w:rsidR="00032920" w:rsidRPr="002B27E6" w:rsidRDefault="00032920" w:rsidP="002B27E6">
      <w:pPr>
        <w:ind w:left="851"/>
        <w:rPr>
          <w:sz w:val="24"/>
          <w:szCs w:val="24"/>
          <w:u w:val="single"/>
        </w:rPr>
      </w:pPr>
      <w:bookmarkStart w:id="1" w:name="bmk12"/>
      <w:bookmarkEnd w:id="1"/>
    </w:p>
    <w:p w:rsidR="00032920" w:rsidRPr="00C93C97" w:rsidRDefault="00032920" w:rsidP="002B27E6">
      <w:pPr>
        <w:ind w:left="851"/>
        <w:rPr>
          <w:b/>
          <w:bCs/>
          <w:sz w:val="24"/>
          <w:szCs w:val="24"/>
          <w:lang w:eastAsia="el-GR"/>
        </w:rPr>
      </w:pPr>
      <w:r w:rsidRPr="00C93C97">
        <w:rPr>
          <w:b/>
          <w:sz w:val="24"/>
          <w:szCs w:val="24"/>
        </w:rPr>
        <w:t>Administration</w:t>
      </w:r>
    </w:p>
    <w:p w:rsidR="00032920" w:rsidRPr="002B27E6" w:rsidRDefault="00032920" w:rsidP="002B27E6">
      <w:pPr>
        <w:ind w:left="851"/>
        <w:rPr>
          <w:bCs/>
          <w:sz w:val="24"/>
          <w:szCs w:val="24"/>
          <w:lang w:eastAsia="el-GR"/>
        </w:rPr>
      </w:pPr>
      <w:r w:rsidRPr="002B27E6">
        <w:rPr>
          <w:sz w:val="24"/>
          <w:szCs w:val="24"/>
          <w:lang w:eastAsia="el-GR"/>
        </w:rPr>
        <w:t>Paricalcitol</w:t>
      </w:r>
      <w:r w:rsidRPr="002B27E6">
        <w:rPr>
          <w:bCs/>
          <w:sz w:val="24"/>
          <w:szCs w:val="24"/>
          <w:lang w:eastAsia="el-GR"/>
        </w:rPr>
        <w:t xml:space="preserve"> injektionsvæske indgives via hæmodialyseadgangen. </w:t>
      </w:r>
    </w:p>
    <w:p w:rsidR="00B003BF" w:rsidRPr="002B27E6" w:rsidRDefault="00B003BF" w:rsidP="002B27E6">
      <w:pPr>
        <w:ind w:left="851" w:hanging="851"/>
        <w:rPr>
          <w:sz w:val="24"/>
          <w:szCs w:val="24"/>
        </w:rPr>
      </w:pPr>
    </w:p>
    <w:p w:rsidR="00B003BF" w:rsidRPr="002B27E6" w:rsidRDefault="00B003BF" w:rsidP="002B27E6">
      <w:pPr>
        <w:ind w:left="851" w:hanging="851"/>
        <w:rPr>
          <w:b/>
          <w:sz w:val="24"/>
          <w:szCs w:val="24"/>
        </w:rPr>
      </w:pPr>
      <w:r w:rsidRPr="002B27E6">
        <w:rPr>
          <w:b/>
          <w:sz w:val="24"/>
          <w:szCs w:val="24"/>
        </w:rPr>
        <w:t>4.3</w:t>
      </w:r>
      <w:r w:rsidRPr="002B27E6">
        <w:rPr>
          <w:b/>
          <w:sz w:val="24"/>
          <w:szCs w:val="24"/>
        </w:rPr>
        <w:tab/>
        <w:t>Kontraindikationer</w:t>
      </w:r>
    </w:p>
    <w:p w:rsidR="00032920" w:rsidRPr="002B27E6" w:rsidRDefault="002B27E6" w:rsidP="002B27E6">
      <w:pPr>
        <w:ind w:left="851" w:hanging="851"/>
        <w:rPr>
          <w:b/>
          <w:sz w:val="24"/>
          <w:szCs w:val="24"/>
        </w:rPr>
      </w:pPr>
      <w:r>
        <w:rPr>
          <w:sz w:val="24"/>
          <w:szCs w:val="24"/>
          <w:lang w:eastAsia="el-GR"/>
        </w:rPr>
        <w:tab/>
      </w:r>
      <w:r w:rsidR="00032920" w:rsidRPr="002B27E6">
        <w:rPr>
          <w:sz w:val="24"/>
          <w:szCs w:val="24"/>
          <w:lang w:eastAsia="el-GR"/>
        </w:rPr>
        <w:t>Overfølsomhed over for det aktive indholdsstof eller over for et</w:t>
      </w:r>
      <w:r w:rsidR="00245753">
        <w:rPr>
          <w:sz w:val="24"/>
          <w:szCs w:val="24"/>
          <w:lang w:eastAsia="el-GR"/>
        </w:rPr>
        <w:t xml:space="preserve"> eller flere af hjælpe</w:t>
      </w:r>
      <w:r w:rsidR="0051476D">
        <w:rPr>
          <w:sz w:val="24"/>
          <w:szCs w:val="24"/>
          <w:lang w:eastAsia="el-GR"/>
        </w:rPr>
        <w:softHyphen/>
      </w:r>
      <w:r w:rsidR="00245753">
        <w:rPr>
          <w:sz w:val="24"/>
          <w:szCs w:val="24"/>
          <w:lang w:eastAsia="el-GR"/>
        </w:rPr>
        <w:t>stofferne anført i pkt. 6.1.</w:t>
      </w:r>
    </w:p>
    <w:p w:rsidR="00032920" w:rsidRPr="002B27E6" w:rsidRDefault="00F41C98" w:rsidP="002B27E6">
      <w:pPr>
        <w:ind w:left="851" w:hanging="851"/>
        <w:rPr>
          <w:sz w:val="24"/>
          <w:szCs w:val="24"/>
          <w:lang w:eastAsia="el-GR"/>
        </w:rPr>
      </w:pPr>
      <w:r>
        <w:rPr>
          <w:sz w:val="24"/>
          <w:szCs w:val="24"/>
          <w:lang w:eastAsia="el-GR"/>
        </w:rPr>
        <w:tab/>
      </w:r>
      <w:r w:rsidR="00032920" w:rsidRPr="002B27E6">
        <w:rPr>
          <w:sz w:val="24"/>
          <w:szCs w:val="24"/>
          <w:lang w:eastAsia="el-GR"/>
        </w:rPr>
        <w:t xml:space="preserve">D-vitamin-toksicitet. </w:t>
      </w:r>
    </w:p>
    <w:p w:rsidR="00032920" w:rsidRPr="00D24DED" w:rsidRDefault="00F41C98" w:rsidP="002B27E6">
      <w:pPr>
        <w:ind w:left="851" w:hanging="851"/>
        <w:rPr>
          <w:sz w:val="24"/>
          <w:szCs w:val="24"/>
          <w:lang w:eastAsia="el-GR"/>
        </w:rPr>
      </w:pPr>
      <w:r>
        <w:rPr>
          <w:sz w:val="24"/>
          <w:szCs w:val="24"/>
          <w:lang w:eastAsia="el-GR"/>
        </w:rPr>
        <w:tab/>
      </w:r>
      <w:r w:rsidR="00032920" w:rsidRPr="002B27E6">
        <w:rPr>
          <w:sz w:val="24"/>
          <w:szCs w:val="24"/>
          <w:lang w:eastAsia="el-GR"/>
        </w:rPr>
        <w:t xml:space="preserve">Hypercalcæmi. </w:t>
      </w:r>
    </w:p>
    <w:p w:rsidR="00B003BF" w:rsidRPr="002B27E6" w:rsidRDefault="00B003BF" w:rsidP="002B27E6">
      <w:pPr>
        <w:ind w:left="851" w:hanging="851"/>
        <w:rPr>
          <w:sz w:val="24"/>
          <w:szCs w:val="24"/>
        </w:rPr>
      </w:pPr>
    </w:p>
    <w:p w:rsidR="00B003BF" w:rsidRPr="002B27E6" w:rsidRDefault="00B003BF" w:rsidP="002B27E6">
      <w:pPr>
        <w:ind w:left="851" w:hanging="851"/>
        <w:rPr>
          <w:b/>
          <w:sz w:val="24"/>
          <w:szCs w:val="24"/>
        </w:rPr>
      </w:pPr>
      <w:r w:rsidRPr="002B27E6">
        <w:rPr>
          <w:b/>
          <w:sz w:val="24"/>
          <w:szCs w:val="24"/>
        </w:rPr>
        <w:t>4.4</w:t>
      </w:r>
      <w:r w:rsidRPr="002B27E6">
        <w:rPr>
          <w:b/>
          <w:sz w:val="24"/>
          <w:szCs w:val="24"/>
        </w:rPr>
        <w:tab/>
        <w:t>Særlige advarsler og forsigtighedsregler vedrørende brugen</w:t>
      </w:r>
    </w:p>
    <w:p w:rsidR="00032920" w:rsidRPr="002B27E6" w:rsidRDefault="00F41C98" w:rsidP="002B27E6">
      <w:pPr>
        <w:ind w:left="851" w:hanging="851"/>
        <w:rPr>
          <w:b/>
          <w:sz w:val="24"/>
          <w:szCs w:val="24"/>
        </w:rPr>
      </w:pPr>
      <w:r>
        <w:rPr>
          <w:sz w:val="24"/>
          <w:szCs w:val="24"/>
          <w:lang w:eastAsia="el-GR"/>
        </w:rPr>
        <w:tab/>
      </w:r>
      <w:r w:rsidR="002115F4">
        <w:rPr>
          <w:sz w:val="24"/>
          <w:szCs w:val="24"/>
          <w:lang w:eastAsia="el-GR"/>
        </w:rPr>
        <w:t>Oversupression</w:t>
      </w:r>
      <w:r w:rsidR="00032920" w:rsidRPr="002B27E6">
        <w:rPr>
          <w:sz w:val="24"/>
          <w:szCs w:val="24"/>
          <w:lang w:eastAsia="el-GR"/>
        </w:rPr>
        <w:t xml:space="preserve"> af parathyroideahormon kan forårsage </w:t>
      </w:r>
      <w:r w:rsidR="002115F4">
        <w:rPr>
          <w:sz w:val="24"/>
          <w:szCs w:val="24"/>
          <w:lang w:eastAsia="el-GR"/>
        </w:rPr>
        <w:t>stigninger i serum-calcium-niveauet</w:t>
      </w:r>
      <w:r w:rsidR="00032920" w:rsidRPr="002B27E6">
        <w:rPr>
          <w:sz w:val="24"/>
          <w:szCs w:val="24"/>
          <w:lang w:eastAsia="el-GR"/>
        </w:rPr>
        <w:t xml:space="preserve"> og føre til metabolisk knoglesygdom. Tæt overvågning og individuel dosistitrering er nødvendig for at opnå acceptable fysiologiske endpoints. </w:t>
      </w:r>
    </w:p>
    <w:p w:rsidR="002115F4" w:rsidRDefault="00F41C98" w:rsidP="002B27E6">
      <w:pPr>
        <w:ind w:left="851" w:hanging="851"/>
        <w:rPr>
          <w:sz w:val="24"/>
          <w:szCs w:val="24"/>
          <w:lang w:eastAsia="el-GR"/>
        </w:rPr>
      </w:pPr>
      <w:r>
        <w:rPr>
          <w:sz w:val="24"/>
          <w:szCs w:val="24"/>
          <w:lang w:eastAsia="el-GR"/>
        </w:rPr>
        <w:tab/>
      </w:r>
    </w:p>
    <w:p w:rsidR="00032920" w:rsidRPr="002B27E6" w:rsidRDefault="002115F4" w:rsidP="002B27E6">
      <w:pPr>
        <w:ind w:left="851" w:hanging="851"/>
        <w:rPr>
          <w:b/>
          <w:sz w:val="24"/>
          <w:szCs w:val="24"/>
        </w:rPr>
      </w:pPr>
      <w:r>
        <w:rPr>
          <w:sz w:val="24"/>
          <w:szCs w:val="24"/>
          <w:lang w:eastAsia="el-GR"/>
        </w:rPr>
        <w:tab/>
      </w:r>
      <w:r w:rsidR="00032920" w:rsidRPr="002B27E6">
        <w:rPr>
          <w:sz w:val="24"/>
          <w:szCs w:val="24"/>
          <w:lang w:eastAsia="el-GR"/>
        </w:rPr>
        <w:t xml:space="preserve">Udvikles klinisk signifikant hypercalcæmi hos patienter i behandling med calciumholdige phosphatbindere bør dosis af disse nedsættes eller behandlingen afbrydes. </w:t>
      </w:r>
    </w:p>
    <w:p w:rsidR="002115F4" w:rsidRDefault="00F41C98" w:rsidP="002B27E6">
      <w:pPr>
        <w:ind w:left="851" w:hanging="851"/>
        <w:rPr>
          <w:sz w:val="24"/>
          <w:szCs w:val="24"/>
          <w:lang w:eastAsia="el-GR"/>
        </w:rPr>
      </w:pPr>
      <w:r>
        <w:rPr>
          <w:sz w:val="24"/>
          <w:szCs w:val="24"/>
          <w:lang w:eastAsia="el-GR"/>
        </w:rPr>
        <w:tab/>
      </w:r>
    </w:p>
    <w:p w:rsidR="00032920" w:rsidRPr="002B27E6" w:rsidRDefault="002115F4" w:rsidP="002B27E6">
      <w:pPr>
        <w:ind w:left="851" w:hanging="851"/>
        <w:rPr>
          <w:b/>
          <w:sz w:val="24"/>
          <w:szCs w:val="24"/>
        </w:rPr>
      </w:pPr>
      <w:r>
        <w:rPr>
          <w:sz w:val="24"/>
          <w:szCs w:val="24"/>
          <w:lang w:eastAsia="el-GR"/>
        </w:rPr>
        <w:tab/>
      </w:r>
      <w:r w:rsidR="00032920" w:rsidRPr="002B27E6">
        <w:rPr>
          <w:sz w:val="24"/>
          <w:szCs w:val="24"/>
          <w:lang w:eastAsia="el-GR"/>
        </w:rPr>
        <w:t xml:space="preserve">Kronisk hypercalcæmi kan være forbundet med generel vaskulær forkalkning og anden forkalkning af bindevæv. </w:t>
      </w:r>
    </w:p>
    <w:p w:rsidR="002115F4" w:rsidRDefault="00F41C98" w:rsidP="002B27E6">
      <w:pPr>
        <w:ind w:left="851" w:hanging="851"/>
        <w:rPr>
          <w:sz w:val="24"/>
          <w:szCs w:val="24"/>
          <w:lang w:eastAsia="el-GR"/>
        </w:rPr>
      </w:pPr>
      <w:r>
        <w:rPr>
          <w:sz w:val="24"/>
          <w:szCs w:val="24"/>
          <w:lang w:eastAsia="el-GR"/>
        </w:rPr>
        <w:tab/>
      </w:r>
    </w:p>
    <w:p w:rsidR="00032920" w:rsidRPr="002B27E6" w:rsidRDefault="002115F4" w:rsidP="002B27E6">
      <w:pPr>
        <w:ind w:left="851" w:hanging="851"/>
        <w:rPr>
          <w:b/>
          <w:sz w:val="24"/>
          <w:szCs w:val="24"/>
        </w:rPr>
      </w:pPr>
      <w:r>
        <w:rPr>
          <w:sz w:val="24"/>
          <w:szCs w:val="24"/>
          <w:lang w:eastAsia="el-GR"/>
        </w:rPr>
        <w:tab/>
      </w:r>
      <w:r w:rsidR="00032920" w:rsidRPr="002B27E6">
        <w:rPr>
          <w:sz w:val="24"/>
          <w:szCs w:val="24"/>
          <w:lang w:eastAsia="el-GR"/>
        </w:rPr>
        <w:t xml:space="preserve">Digitalisforgiftning potenseres af hypercalcæmi, og der bør derfor udvises forsigtighed ved samtidig ordination af digitalis og paricalcitol. </w:t>
      </w:r>
    </w:p>
    <w:p w:rsidR="002115F4" w:rsidRDefault="00F41C98" w:rsidP="002B27E6">
      <w:pPr>
        <w:ind w:left="851" w:hanging="851"/>
        <w:rPr>
          <w:sz w:val="24"/>
          <w:szCs w:val="24"/>
          <w:lang w:eastAsia="el-GR"/>
        </w:rPr>
      </w:pPr>
      <w:r>
        <w:rPr>
          <w:sz w:val="24"/>
          <w:szCs w:val="24"/>
          <w:lang w:eastAsia="el-GR"/>
        </w:rPr>
        <w:tab/>
      </w:r>
    </w:p>
    <w:p w:rsidR="00032920" w:rsidRPr="002B27E6" w:rsidRDefault="002115F4" w:rsidP="002B27E6">
      <w:pPr>
        <w:ind w:left="851" w:hanging="851"/>
        <w:rPr>
          <w:b/>
          <w:sz w:val="24"/>
          <w:szCs w:val="24"/>
        </w:rPr>
      </w:pPr>
      <w:r>
        <w:rPr>
          <w:sz w:val="24"/>
          <w:szCs w:val="24"/>
          <w:lang w:eastAsia="el-GR"/>
        </w:rPr>
        <w:tab/>
      </w:r>
      <w:r w:rsidR="00032920" w:rsidRPr="002B27E6">
        <w:rPr>
          <w:sz w:val="24"/>
          <w:szCs w:val="24"/>
          <w:lang w:eastAsia="el-GR"/>
        </w:rPr>
        <w:t>Samtidig administration af paricalcitol med ketoconazol bør ske med forsigtighed (se pkt</w:t>
      </w:r>
      <w:r w:rsidR="00F41C98">
        <w:rPr>
          <w:sz w:val="24"/>
          <w:szCs w:val="24"/>
          <w:lang w:eastAsia="el-GR"/>
        </w:rPr>
        <w:t>.</w:t>
      </w:r>
      <w:r w:rsidR="00032920" w:rsidRPr="002B27E6">
        <w:rPr>
          <w:sz w:val="24"/>
          <w:szCs w:val="24"/>
          <w:lang w:eastAsia="el-GR"/>
        </w:rPr>
        <w:t xml:space="preserve"> 4</w:t>
      </w:r>
      <w:r w:rsidR="00F41C98">
        <w:rPr>
          <w:sz w:val="24"/>
          <w:szCs w:val="24"/>
          <w:lang w:eastAsia="el-GR"/>
        </w:rPr>
        <w:t>.</w:t>
      </w:r>
      <w:r w:rsidR="00032920" w:rsidRPr="002B27E6">
        <w:rPr>
          <w:sz w:val="24"/>
          <w:szCs w:val="24"/>
          <w:lang w:eastAsia="el-GR"/>
        </w:rPr>
        <w:t xml:space="preserve">5). </w:t>
      </w:r>
    </w:p>
    <w:p w:rsidR="002115F4" w:rsidRDefault="00F41C98" w:rsidP="002B27E6">
      <w:pPr>
        <w:ind w:left="851" w:hanging="851"/>
        <w:rPr>
          <w:sz w:val="24"/>
          <w:szCs w:val="24"/>
          <w:lang w:eastAsia="el-GR"/>
        </w:rPr>
      </w:pPr>
      <w:r>
        <w:rPr>
          <w:sz w:val="24"/>
          <w:szCs w:val="24"/>
          <w:lang w:eastAsia="el-GR"/>
        </w:rPr>
        <w:tab/>
      </w:r>
    </w:p>
    <w:p w:rsidR="00032920" w:rsidRPr="002B27E6" w:rsidRDefault="002115F4" w:rsidP="002B27E6">
      <w:pPr>
        <w:ind w:left="851" w:hanging="851"/>
        <w:rPr>
          <w:b/>
          <w:sz w:val="24"/>
          <w:szCs w:val="24"/>
        </w:rPr>
      </w:pPr>
      <w:r>
        <w:rPr>
          <w:sz w:val="24"/>
          <w:szCs w:val="24"/>
          <w:lang w:eastAsia="el-GR"/>
        </w:rPr>
        <w:tab/>
      </w:r>
      <w:r w:rsidR="00032920" w:rsidRPr="002B27E6">
        <w:rPr>
          <w:sz w:val="24"/>
          <w:szCs w:val="24"/>
          <w:lang w:eastAsia="el-GR"/>
        </w:rPr>
        <w:t>Produktet indeholder 20</w:t>
      </w:r>
      <w:r w:rsidR="00245753">
        <w:rPr>
          <w:sz w:val="24"/>
          <w:szCs w:val="24"/>
          <w:lang w:eastAsia="el-GR"/>
        </w:rPr>
        <w:t xml:space="preserve"> %</w:t>
      </w:r>
      <w:r w:rsidR="00032920" w:rsidRPr="002B27E6">
        <w:rPr>
          <w:sz w:val="24"/>
          <w:szCs w:val="24"/>
          <w:lang w:eastAsia="el-GR"/>
        </w:rPr>
        <w:t xml:space="preserve"> v/v ethanol (alkohol). Hver dosis kan indeholde op til 1,3 g ethanol, hvilket kan være skadeligt for personer med alkoholproblemer. Den skadelige effekt bør overvejes før behandling af gravide, ammende kvinder, børn og højrisikogrupper som patienter med leverlidelser og epilepsi. </w:t>
      </w:r>
    </w:p>
    <w:p w:rsidR="0051476D" w:rsidRDefault="0051476D">
      <w:pPr>
        <w:rPr>
          <w:sz w:val="24"/>
          <w:szCs w:val="24"/>
        </w:rPr>
      </w:pPr>
      <w:r>
        <w:rPr>
          <w:sz w:val="24"/>
          <w:szCs w:val="24"/>
        </w:rPr>
        <w:br w:type="page"/>
      </w:r>
    </w:p>
    <w:p w:rsidR="00B003BF" w:rsidRPr="002B27E6" w:rsidRDefault="00B003BF" w:rsidP="002B27E6">
      <w:pPr>
        <w:ind w:left="851" w:hanging="851"/>
        <w:rPr>
          <w:sz w:val="24"/>
          <w:szCs w:val="24"/>
        </w:rPr>
      </w:pPr>
    </w:p>
    <w:p w:rsidR="00B003BF" w:rsidRPr="002B27E6" w:rsidRDefault="00B003BF" w:rsidP="002B27E6">
      <w:pPr>
        <w:ind w:left="851" w:hanging="851"/>
        <w:rPr>
          <w:b/>
          <w:sz w:val="24"/>
          <w:szCs w:val="24"/>
        </w:rPr>
      </w:pPr>
      <w:r w:rsidRPr="002B27E6">
        <w:rPr>
          <w:b/>
          <w:sz w:val="24"/>
          <w:szCs w:val="24"/>
        </w:rPr>
        <w:t>4.5</w:t>
      </w:r>
      <w:r w:rsidRPr="002B27E6">
        <w:rPr>
          <w:b/>
          <w:sz w:val="24"/>
          <w:szCs w:val="24"/>
        </w:rPr>
        <w:tab/>
        <w:t>Interaktion med andre lægemidler og andre former for interaktion</w:t>
      </w:r>
    </w:p>
    <w:p w:rsidR="00032920" w:rsidRPr="002B27E6" w:rsidRDefault="00F41C98" w:rsidP="002B27E6">
      <w:pPr>
        <w:ind w:left="851" w:hanging="851"/>
        <w:rPr>
          <w:b/>
          <w:sz w:val="24"/>
          <w:szCs w:val="24"/>
        </w:rPr>
      </w:pPr>
      <w:r>
        <w:rPr>
          <w:sz w:val="24"/>
          <w:szCs w:val="24"/>
          <w:lang w:eastAsia="el-GR"/>
        </w:rPr>
        <w:tab/>
      </w:r>
      <w:r w:rsidR="00032920" w:rsidRPr="002B27E6">
        <w:rPr>
          <w:sz w:val="24"/>
          <w:szCs w:val="24"/>
          <w:lang w:eastAsia="el-GR"/>
        </w:rPr>
        <w:t>Der er ikke foretaget interaktionsforsøg med paricalcitol injektionsvæske. Der er imidlertid udført interaktionsforsøg mellem ketoconazol og paricalcitol kapsler.</w:t>
      </w:r>
    </w:p>
    <w:p w:rsidR="002115F4" w:rsidRDefault="00F41C98" w:rsidP="002B27E6">
      <w:pPr>
        <w:ind w:left="851" w:hanging="851"/>
        <w:rPr>
          <w:sz w:val="24"/>
          <w:szCs w:val="24"/>
          <w:lang w:eastAsia="el-GR"/>
        </w:rPr>
      </w:pPr>
      <w:r>
        <w:rPr>
          <w:sz w:val="24"/>
          <w:szCs w:val="24"/>
          <w:lang w:eastAsia="el-GR"/>
        </w:rPr>
        <w:tab/>
      </w:r>
    </w:p>
    <w:p w:rsidR="00032920" w:rsidRPr="002B27E6" w:rsidRDefault="002115F4" w:rsidP="002B27E6">
      <w:pPr>
        <w:ind w:left="851" w:hanging="851"/>
        <w:rPr>
          <w:b/>
          <w:sz w:val="24"/>
          <w:szCs w:val="24"/>
        </w:rPr>
      </w:pPr>
      <w:r>
        <w:rPr>
          <w:sz w:val="24"/>
          <w:szCs w:val="24"/>
          <w:lang w:eastAsia="el-GR"/>
        </w:rPr>
        <w:lastRenderedPageBreak/>
        <w:tab/>
      </w:r>
      <w:r w:rsidR="00D24DED">
        <w:rPr>
          <w:sz w:val="24"/>
          <w:szCs w:val="24"/>
          <w:lang w:eastAsia="el-GR"/>
        </w:rPr>
        <w:t>Ph</w:t>
      </w:r>
      <w:r w:rsidR="00032920" w:rsidRPr="002B27E6">
        <w:rPr>
          <w:sz w:val="24"/>
          <w:szCs w:val="24"/>
          <w:lang w:eastAsia="el-GR"/>
        </w:rPr>
        <w:t xml:space="preserve">osfat- eller D-vitamin-holdige præparater bør ikke indtages sammen med paricalcitol på grund af den øgede risiko for hypercalcæmi og forhøjet Ca x P-produkt. </w:t>
      </w:r>
    </w:p>
    <w:p w:rsidR="002115F4" w:rsidRDefault="00F41C98" w:rsidP="002B27E6">
      <w:pPr>
        <w:ind w:left="851" w:hanging="851"/>
        <w:rPr>
          <w:sz w:val="24"/>
          <w:szCs w:val="24"/>
          <w:lang w:eastAsia="el-GR"/>
        </w:rPr>
      </w:pPr>
      <w:r>
        <w:rPr>
          <w:sz w:val="24"/>
          <w:szCs w:val="24"/>
          <w:lang w:eastAsia="el-GR"/>
        </w:rPr>
        <w:tab/>
      </w:r>
    </w:p>
    <w:p w:rsidR="00032920" w:rsidRPr="002B27E6" w:rsidRDefault="002115F4" w:rsidP="002B27E6">
      <w:pPr>
        <w:ind w:left="851" w:hanging="851"/>
        <w:rPr>
          <w:b/>
          <w:sz w:val="24"/>
          <w:szCs w:val="24"/>
        </w:rPr>
      </w:pPr>
      <w:r>
        <w:rPr>
          <w:sz w:val="24"/>
          <w:szCs w:val="24"/>
          <w:lang w:eastAsia="el-GR"/>
        </w:rPr>
        <w:tab/>
      </w:r>
      <w:r w:rsidR="00032920" w:rsidRPr="002B27E6">
        <w:rPr>
          <w:sz w:val="24"/>
          <w:szCs w:val="24"/>
          <w:lang w:eastAsia="el-GR"/>
        </w:rPr>
        <w:t xml:space="preserve">Store doser af calciumholdige præparater eller thiazid-diuretika kan øge risikoen for hypercalcæmi. </w:t>
      </w:r>
    </w:p>
    <w:p w:rsidR="002115F4" w:rsidRDefault="00F41C98" w:rsidP="002B27E6">
      <w:pPr>
        <w:ind w:left="851" w:hanging="851"/>
        <w:rPr>
          <w:color w:val="000000"/>
          <w:sz w:val="24"/>
          <w:szCs w:val="24"/>
          <w:lang w:eastAsia="el-GR"/>
        </w:rPr>
      </w:pPr>
      <w:r>
        <w:rPr>
          <w:color w:val="000000"/>
          <w:sz w:val="24"/>
          <w:szCs w:val="24"/>
          <w:lang w:eastAsia="el-GR"/>
        </w:rPr>
        <w:tab/>
      </w:r>
    </w:p>
    <w:p w:rsidR="00032920" w:rsidRPr="002B27E6" w:rsidRDefault="002115F4" w:rsidP="002B27E6">
      <w:pPr>
        <w:ind w:left="851" w:hanging="851"/>
        <w:rPr>
          <w:b/>
          <w:sz w:val="24"/>
          <w:szCs w:val="24"/>
        </w:rPr>
      </w:pPr>
      <w:r>
        <w:rPr>
          <w:color w:val="000000"/>
          <w:sz w:val="24"/>
          <w:szCs w:val="24"/>
          <w:lang w:eastAsia="el-GR"/>
        </w:rPr>
        <w:tab/>
      </w:r>
      <w:r w:rsidR="00032920" w:rsidRPr="002B27E6">
        <w:rPr>
          <w:color w:val="000000"/>
          <w:sz w:val="24"/>
          <w:szCs w:val="24"/>
          <w:lang w:eastAsia="el-GR"/>
        </w:rPr>
        <w:t xml:space="preserve">Præparater, der indeholder aluminium (f.eks. antacida, </w:t>
      </w:r>
      <w:r>
        <w:rPr>
          <w:color w:val="000000"/>
          <w:sz w:val="24"/>
          <w:szCs w:val="24"/>
          <w:lang w:eastAsia="el-GR"/>
        </w:rPr>
        <w:t>ph</w:t>
      </w:r>
      <w:r w:rsidR="00032920" w:rsidRPr="002B27E6">
        <w:rPr>
          <w:color w:val="000000"/>
          <w:sz w:val="24"/>
          <w:szCs w:val="24"/>
          <w:lang w:eastAsia="el-GR"/>
        </w:rPr>
        <w:t>os</w:t>
      </w:r>
      <w:r>
        <w:rPr>
          <w:color w:val="000000"/>
          <w:sz w:val="24"/>
          <w:szCs w:val="24"/>
          <w:lang w:eastAsia="el-GR"/>
        </w:rPr>
        <w:t>ph</w:t>
      </w:r>
      <w:r w:rsidR="00032920" w:rsidRPr="002B27E6">
        <w:rPr>
          <w:color w:val="000000"/>
          <w:sz w:val="24"/>
          <w:szCs w:val="24"/>
          <w:lang w:eastAsia="el-GR"/>
        </w:rPr>
        <w:t>atbindere), bør ikke indgives kronisk sammen med D-vitamin-præparater på grund af risiko for øget aluminiumniveau i blodet og aluminiumtoksicitet i knoglerne.</w:t>
      </w:r>
      <w:r w:rsidR="00032920" w:rsidRPr="002B27E6">
        <w:rPr>
          <w:sz w:val="24"/>
          <w:szCs w:val="24"/>
          <w:lang w:eastAsia="el-GR"/>
        </w:rPr>
        <w:t xml:space="preserve"> </w:t>
      </w:r>
    </w:p>
    <w:p w:rsidR="002115F4" w:rsidRDefault="00F41C98" w:rsidP="002B27E6">
      <w:pPr>
        <w:ind w:left="851" w:hanging="851"/>
        <w:rPr>
          <w:sz w:val="24"/>
          <w:szCs w:val="24"/>
          <w:lang w:eastAsia="el-GR"/>
        </w:rPr>
      </w:pPr>
      <w:r>
        <w:rPr>
          <w:sz w:val="24"/>
          <w:szCs w:val="24"/>
          <w:lang w:eastAsia="el-GR"/>
        </w:rPr>
        <w:tab/>
      </w:r>
    </w:p>
    <w:p w:rsidR="002115F4" w:rsidRDefault="002115F4" w:rsidP="002B27E6">
      <w:pPr>
        <w:ind w:left="851" w:hanging="851"/>
        <w:rPr>
          <w:sz w:val="24"/>
          <w:szCs w:val="24"/>
          <w:lang w:eastAsia="el-GR"/>
        </w:rPr>
      </w:pPr>
      <w:r>
        <w:rPr>
          <w:sz w:val="24"/>
          <w:szCs w:val="24"/>
          <w:lang w:eastAsia="el-GR"/>
        </w:rPr>
        <w:tab/>
      </w:r>
      <w:r w:rsidR="00032920" w:rsidRPr="002B27E6">
        <w:rPr>
          <w:sz w:val="24"/>
          <w:szCs w:val="24"/>
          <w:lang w:eastAsia="el-GR"/>
        </w:rPr>
        <w:t xml:space="preserve">Præparater, der indeholder magnesium (f.eks. antacida), bør ikke indtages sammen med præparater indeholdende D-vitamin på grund af risikoen for hypermagnesæmi. </w:t>
      </w:r>
    </w:p>
    <w:p w:rsidR="002115F4" w:rsidRDefault="002115F4" w:rsidP="002B27E6">
      <w:pPr>
        <w:ind w:left="851" w:hanging="851"/>
        <w:rPr>
          <w:sz w:val="24"/>
          <w:szCs w:val="24"/>
          <w:lang w:eastAsia="el-GR"/>
        </w:rPr>
      </w:pPr>
      <w:r>
        <w:rPr>
          <w:sz w:val="24"/>
          <w:szCs w:val="24"/>
          <w:lang w:eastAsia="el-GR"/>
        </w:rPr>
        <w:tab/>
      </w:r>
    </w:p>
    <w:p w:rsidR="00032920" w:rsidRPr="002B27E6" w:rsidRDefault="002115F4" w:rsidP="002B27E6">
      <w:pPr>
        <w:ind w:left="851" w:hanging="851"/>
        <w:rPr>
          <w:b/>
          <w:sz w:val="24"/>
          <w:szCs w:val="24"/>
        </w:rPr>
      </w:pPr>
      <w:r>
        <w:rPr>
          <w:sz w:val="24"/>
          <w:szCs w:val="24"/>
          <w:lang w:eastAsia="el-GR"/>
        </w:rPr>
        <w:tab/>
      </w:r>
      <w:r w:rsidR="00032920" w:rsidRPr="002B27E6">
        <w:rPr>
          <w:sz w:val="24"/>
          <w:szCs w:val="24"/>
          <w:lang w:eastAsia="el-GR"/>
        </w:rPr>
        <w:t xml:space="preserve">Ketoconazol er kendt som en nonspecifik inhibitor af adskillige cytokrom P450-enzymer. De foreliggende </w:t>
      </w:r>
      <w:r w:rsidR="00032920" w:rsidRPr="002B27E6">
        <w:rPr>
          <w:i/>
          <w:iCs/>
          <w:sz w:val="24"/>
          <w:szCs w:val="24"/>
          <w:lang w:eastAsia="el-GR"/>
        </w:rPr>
        <w:t>in vivo-</w:t>
      </w:r>
      <w:r w:rsidR="00032920" w:rsidRPr="002B27E6">
        <w:rPr>
          <w:sz w:val="24"/>
          <w:szCs w:val="24"/>
          <w:lang w:eastAsia="el-GR"/>
        </w:rPr>
        <w:t xml:space="preserve"> og </w:t>
      </w:r>
      <w:r w:rsidR="00032920" w:rsidRPr="002B27E6">
        <w:rPr>
          <w:i/>
          <w:iCs/>
          <w:sz w:val="24"/>
          <w:szCs w:val="24"/>
          <w:lang w:eastAsia="el-GR"/>
        </w:rPr>
        <w:t>in vitro-</w:t>
      </w:r>
      <w:r w:rsidR="00032920" w:rsidRPr="002B27E6">
        <w:rPr>
          <w:sz w:val="24"/>
          <w:szCs w:val="24"/>
          <w:lang w:eastAsia="el-GR"/>
        </w:rPr>
        <w:t>data tyder på, at ketoconazol muligvis interagerer med de enzymer, der er ansvarlige for metaboliseringen af paricalcitol og andre D-vitamin</w:t>
      </w:r>
      <w:r w:rsidR="00273D55">
        <w:rPr>
          <w:sz w:val="24"/>
          <w:szCs w:val="24"/>
          <w:lang w:eastAsia="el-GR"/>
        </w:rPr>
        <w:softHyphen/>
      </w:r>
      <w:r w:rsidR="00032920" w:rsidRPr="002B27E6">
        <w:rPr>
          <w:sz w:val="24"/>
          <w:szCs w:val="24"/>
          <w:lang w:eastAsia="el-GR"/>
        </w:rPr>
        <w:t>analoger. Der bør udvises forsigtighed, når paricalcitol administreres sammen med ketoconazol (se pkt. 4.4). Effekten på paricalcitrols farmakokinetik af flere doser ketoconazol administreret som 200 mg to gange daglig (BID) i 5 dage er blevet undersøgt hos raske frivillige forsøgspersoner. Effekten på paricalcitrols C</w:t>
      </w:r>
      <w:r w:rsidR="00032920" w:rsidRPr="002B27E6">
        <w:rPr>
          <w:sz w:val="24"/>
          <w:szCs w:val="24"/>
          <w:vertAlign w:val="subscript"/>
          <w:lang w:eastAsia="el-GR"/>
        </w:rPr>
        <w:t xml:space="preserve">max </w:t>
      </w:r>
      <w:r w:rsidR="00032920" w:rsidRPr="002B27E6">
        <w:rPr>
          <w:sz w:val="24"/>
          <w:szCs w:val="24"/>
          <w:lang w:eastAsia="el-GR"/>
        </w:rPr>
        <w:t xml:space="preserve">var minimal, men </w:t>
      </w:r>
      <w:r w:rsidR="00D24DED" w:rsidRPr="002B27E6">
        <w:rPr>
          <w:color w:val="000000"/>
          <w:sz w:val="24"/>
          <w:szCs w:val="24"/>
          <w:lang w:eastAsia="el-GR"/>
        </w:rPr>
        <w:t>AUC</w:t>
      </w:r>
      <w:r w:rsidR="00D24DED" w:rsidRPr="002B27E6">
        <w:rPr>
          <w:color w:val="000000"/>
          <w:sz w:val="24"/>
          <w:szCs w:val="24"/>
          <w:vertAlign w:val="subscript"/>
          <w:lang w:eastAsia="el-GR"/>
        </w:rPr>
        <w:t>o-∞</w:t>
      </w:r>
      <w:r w:rsidR="00D24DED">
        <w:rPr>
          <w:color w:val="000000"/>
          <w:sz w:val="24"/>
          <w:szCs w:val="24"/>
          <w:vertAlign w:val="subscript"/>
          <w:lang w:eastAsia="el-GR"/>
        </w:rPr>
        <w:t xml:space="preserve"> </w:t>
      </w:r>
      <w:r w:rsidR="00032920" w:rsidRPr="002B27E6">
        <w:rPr>
          <w:sz w:val="24"/>
          <w:szCs w:val="24"/>
          <w:lang w:eastAsia="el-GR"/>
        </w:rPr>
        <w:t>blev næsten fordoblet under tilstedeværelse af ketoconazol. Gennemsnits-halveringstiden for paricalcitrol var 17,0 timer ved tilstedeværelse af ketoconazol sammenlignet med 9,8 timer, når paricalcitrol blev administreret alene. Resultaterne fra dette forsøg tyder på, at den maksimale forøgelse af paricalcitols AUC</w:t>
      </w:r>
      <w:r w:rsidRPr="002115F4">
        <w:rPr>
          <w:sz w:val="24"/>
          <w:szCs w:val="24"/>
          <w:vertAlign w:val="subscript"/>
          <w:lang w:eastAsia="el-GR"/>
        </w:rPr>
        <w:t>0-</w:t>
      </w:r>
      <w:r w:rsidR="00032920" w:rsidRPr="002115F4">
        <w:rPr>
          <w:sz w:val="24"/>
          <w:szCs w:val="24"/>
          <w:vertAlign w:val="subscript"/>
          <w:lang w:eastAsia="el-GR"/>
        </w:rPr>
        <w:t>∞</w:t>
      </w:r>
      <w:r w:rsidR="00032920" w:rsidRPr="002B27E6">
        <w:rPr>
          <w:sz w:val="24"/>
          <w:szCs w:val="24"/>
          <w:lang w:eastAsia="el-GR"/>
        </w:rPr>
        <w:t xml:space="preserve">, som følge af lægemiddelinteraktion med ketoconazol, efter oral paracalcitroladministration, sandsynligvis ikke er mere end en fordobling. </w:t>
      </w:r>
    </w:p>
    <w:p w:rsidR="002115F4" w:rsidRDefault="00F41C98" w:rsidP="002B27E6">
      <w:pPr>
        <w:ind w:left="851" w:hanging="851"/>
        <w:rPr>
          <w:sz w:val="24"/>
          <w:szCs w:val="24"/>
          <w:lang w:eastAsia="el-GR"/>
        </w:rPr>
      </w:pPr>
      <w:r>
        <w:rPr>
          <w:sz w:val="24"/>
          <w:szCs w:val="24"/>
          <w:lang w:eastAsia="el-GR"/>
        </w:rPr>
        <w:tab/>
      </w:r>
    </w:p>
    <w:p w:rsidR="00032920" w:rsidRPr="002B27E6" w:rsidRDefault="002115F4" w:rsidP="002B27E6">
      <w:pPr>
        <w:ind w:left="851" w:hanging="851"/>
        <w:rPr>
          <w:b/>
          <w:sz w:val="24"/>
          <w:szCs w:val="24"/>
        </w:rPr>
      </w:pPr>
      <w:r>
        <w:rPr>
          <w:sz w:val="24"/>
          <w:szCs w:val="24"/>
          <w:lang w:eastAsia="el-GR"/>
        </w:rPr>
        <w:tab/>
      </w:r>
      <w:r w:rsidR="00032920" w:rsidRPr="002B27E6">
        <w:rPr>
          <w:sz w:val="24"/>
          <w:szCs w:val="24"/>
          <w:lang w:eastAsia="el-GR"/>
        </w:rPr>
        <w:t>Digitalistoksicitet forstærkes ved hypercalcæmi, uanset årsagen til den, så der bør udvises forsigtighed, når digitalis ordineres samtidig med paricalcitol (se pkt</w:t>
      </w:r>
      <w:r w:rsidR="00F41C98">
        <w:rPr>
          <w:sz w:val="24"/>
          <w:szCs w:val="24"/>
          <w:lang w:eastAsia="el-GR"/>
        </w:rPr>
        <w:t>. 4.</w:t>
      </w:r>
      <w:r w:rsidR="00032920" w:rsidRPr="002B27E6">
        <w:rPr>
          <w:sz w:val="24"/>
          <w:szCs w:val="24"/>
          <w:lang w:eastAsia="el-GR"/>
        </w:rPr>
        <w:t xml:space="preserve">4). </w:t>
      </w:r>
      <w:bookmarkStart w:id="2" w:name="bmk15"/>
      <w:bookmarkEnd w:id="2"/>
    </w:p>
    <w:p w:rsidR="00B003BF" w:rsidRPr="002B27E6" w:rsidRDefault="00B003BF" w:rsidP="002B27E6">
      <w:pPr>
        <w:ind w:left="851" w:hanging="851"/>
        <w:rPr>
          <w:sz w:val="24"/>
          <w:szCs w:val="24"/>
        </w:rPr>
      </w:pPr>
    </w:p>
    <w:p w:rsidR="00B003BF" w:rsidRPr="002B27E6" w:rsidRDefault="00B003BF" w:rsidP="002B27E6">
      <w:pPr>
        <w:ind w:left="851" w:hanging="851"/>
        <w:rPr>
          <w:b/>
          <w:sz w:val="24"/>
          <w:szCs w:val="24"/>
        </w:rPr>
      </w:pPr>
      <w:r w:rsidRPr="002B27E6">
        <w:rPr>
          <w:b/>
          <w:sz w:val="24"/>
          <w:szCs w:val="24"/>
        </w:rPr>
        <w:t>4.6</w:t>
      </w:r>
      <w:r w:rsidRPr="002B27E6">
        <w:rPr>
          <w:b/>
          <w:sz w:val="24"/>
          <w:szCs w:val="24"/>
        </w:rPr>
        <w:tab/>
        <w:t>Graviditet og amning</w:t>
      </w:r>
    </w:p>
    <w:p w:rsidR="00F41C98" w:rsidRDefault="00F41C98" w:rsidP="002B27E6">
      <w:pPr>
        <w:ind w:left="851" w:hanging="851"/>
        <w:rPr>
          <w:sz w:val="24"/>
          <w:szCs w:val="24"/>
        </w:rPr>
      </w:pPr>
    </w:p>
    <w:p w:rsidR="00032920" w:rsidRPr="002B27E6" w:rsidRDefault="00032920" w:rsidP="00F41C98">
      <w:pPr>
        <w:ind w:left="851"/>
        <w:rPr>
          <w:sz w:val="24"/>
          <w:szCs w:val="24"/>
          <w:lang w:eastAsia="el-GR"/>
        </w:rPr>
      </w:pPr>
      <w:r w:rsidRPr="002B27E6">
        <w:rPr>
          <w:sz w:val="24"/>
          <w:szCs w:val="24"/>
          <w:u w:val="single"/>
          <w:lang w:eastAsia="el-GR"/>
        </w:rPr>
        <w:t>Graviditet</w:t>
      </w:r>
    </w:p>
    <w:p w:rsidR="00032920" w:rsidRPr="002B27E6" w:rsidRDefault="00032920" w:rsidP="00F41C98">
      <w:pPr>
        <w:ind w:left="851"/>
        <w:rPr>
          <w:sz w:val="24"/>
          <w:szCs w:val="24"/>
          <w:lang w:eastAsia="el-GR"/>
        </w:rPr>
      </w:pPr>
      <w:r w:rsidRPr="002B27E6">
        <w:rPr>
          <w:sz w:val="24"/>
          <w:szCs w:val="24"/>
          <w:lang w:eastAsia="el-GR"/>
        </w:rPr>
        <w:t>Der foreligger ingen relevante data omkring gravide kvinders brug af paricalcitol.</w:t>
      </w:r>
    </w:p>
    <w:p w:rsidR="00F41C98" w:rsidRDefault="00032920" w:rsidP="00F41C98">
      <w:pPr>
        <w:ind w:left="851"/>
        <w:rPr>
          <w:sz w:val="24"/>
          <w:szCs w:val="24"/>
          <w:lang w:eastAsia="el-GR"/>
        </w:rPr>
      </w:pPr>
      <w:r w:rsidRPr="002B27E6">
        <w:rPr>
          <w:sz w:val="24"/>
          <w:szCs w:val="24"/>
          <w:lang w:eastAsia="el-GR"/>
        </w:rPr>
        <w:t>Dyrestudier har vist reprodukti</w:t>
      </w:r>
      <w:r w:rsidR="002115F4">
        <w:rPr>
          <w:sz w:val="24"/>
          <w:szCs w:val="24"/>
          <w:lang w:eastAsia="el-GR"/>
        </w:rPr>
        <w:t>ons</w:t>
      </w:r>
      <w:r w:rsidRPr="002B27E6">
        <w:rPr>
          <w:sz w:val="24"/>
          <w:szCs w:val="24"/>
          <w:lang w:eastAsia="el-GR"/>
        </w:rPr>
        <w:t xml:space="preserve">toksicitet (se </w:t>
      </w:r>
      <w:r w:rsidR="002115F4">
        <w:rPr>
          <w:sz w:val="24"/>
          <w:szCs w:val="24"/>
          <w:lang w:eastAsia="el-GR"/>
        </w:rPr>
        <w:t>pkt.</w:t>
      </w:r>
      <w:r w:rsidRPr="002B27E6">
        <w:rPr>
          <w:sz w:val="24"/>
          <w:szCs w:val="24"/>
          <w:lang w:eastAsia="el-GR"/>
        </w:rPr>
        <w:t xml:space="preserve"> 5.3). Potentiel risiko for mennesker kendes ikke. </w:t>
      </w:r>
      <w:r w:rsidR="00F41C98">
        <w:rPr>
          <w:sz w:val="24"/>
          <w:szCs w:val="24"/>
          <w:lang w:eastAsia="el-GR"/>
        </w:rPr>
        <w:t>P</w:t>
      </w:r>
      <w:r w:rsidRPr="002B27E6">
        <w:rPr>
          <w:sz w:val="24"/>
          <w:szCs w:val="24"/>
          <w:lang w:eastAsia="el-GR"/>
        </w:rPr>
        <w:t>aricalcitol bør derfor kun anvendes under graviditet på tvingende indication</w:t>
      </w:r>
      <w:r w:rsidR="00F41C98">
        <w:rPr>
          <w:sz w:val="24"/>
          <w:szCs w:val="24"/>
          <w:lang w:eastAsia="el-GR"/>
        </w:rPr>
        <w:t>.</w:t>
      </w:r>
    </w:p>
    <w:p w:rsidR="00F41C98" w:rsidRDefault="00F41C98" w:rsidP="00F41C98">
      <w:pPr>
        <w:ind w:left="851"/>
        <w:rPr>
          <w:sz w:val="24"/>
          <w:szCs w:val="24"/>
          <w:u w:val="single"/>
          <w:lang w:eastAsia="el-GR"/>
        </w:rPr>
      </w:pPr>
    </w:p>
    <w:p w:rsidR="00032920" w:rsidRPr="002B27E6" w:rsidRDefault="00032920" w:rsidP="00F41C98">
      <w:pPr>
        <w:ind w:left="851"/>
        <w:rPr>
          <w:sz w:val="24"/>
          <w:szCs w:val="24"/>
          <w:lang w:eastAsia="el-GR"/>
        </w:rPr>
      </w:pPr>
      <w:r w:rsidRPr="002B27E6">
        <w:rPr>
          <w:sz w:val="24"/>
          <w:szCs w:val="24"/>
          <w:u w:val="single"/>
          <w:lang w:eastAsia="el-GR"/>
        </w:rPr>
        <w:t>Amning</w:t>
      </w:r>
    </w:p>
    <w:p w:rsidR="00032920" w:rsidRPr="002B27E6" w:rsidRDefault="00032920" w:rsidP="00F41C98">
      <w:pPr>
        <w:ind w:left="851"/>
        <w:rPr>
          <w:sz w:val="24"/>
          <w:szCs w:val="24"/>
          <w:lang w:eastAsia="el-GR"/>
        </w:rPr>
      </w:pPr>
      <w:r w:rsidRPr="002B27E6">
        <w:rPr>
          <w:sz w:val="24"/>
          <w:szCs w:val="24"/>
          <w:lang w:eastAsia="el-GR"/>
        </w:rPr>
        <w:t>Ved dyreforsøg er der påvist udskillelse af små mængder paracalcitrol eller dets</w:t>
      </w:r>
      <w:r w:rsidR="00F41C98">
        <w:rPr>
          <w:sz w:val="24"/>
          <w:szCs w:val="24"/>
          <w:lang w:eastAsia="el-GR"/>
        </w:rPr>
        <w:t xml:space="preserve"> </w:t>
      </w:r>
      <w:r w:rsidRPr="002B27E6">
        <w:rPr>
          <w:sz w:val="24"/>
          <w:szCs w:val="24"/>
          <w:lang w:eastAsia="el-GR"/>
        </w:rPr>
        <w:t>metabolitter i modermælk. Når der træffes beslutning, om amningen skal fortsætte eller</w:t>
      </w:r>
      <w:r w:rsidR="00F41C98">
        <w:rPr>
          <w:sz w:val="24"/>
          <w:szCs w:val="24"/>
          <w:lang w:eastAsia="el-GR"/>
        </w:rPr>
        <w:t xml:space="preserve"> </w:t>
      </w:r>
      <w:r w:rsidRPr="002B27E6">
        <w:rPr>
          <w:sz w:val="24"/>
          <w:szCs w:val="24"/>
          <w:lang w:eastAsia="el-GR"/>
        </w:rPr>
        <w:t>stoppes, eller behandlingen med paricalcitol skal fortsættes/seponeres, skal fordelene ved</w:t>
      </w:r>
      <w:r w:rsidR="00F41C98">
        <w:rPr>
          <w:sz w:val="24"/>
          <w:szCs w:val="24"/>
          <w:lang w:eastAsia="el-GR"/>
        </w:rPr>
        <w:t xml:space="preserve"> </w:t>
      </w:r>
      <w:r w:rsidRPr="002B27E6">
        <w:rPr>
          <w:sz w:val="24"/>
          <w:szCs w:val="24"/>
          <w:lang w:eastAsia="el-GR"/>
        </w:rPr>
        <w:t>amning for barnet opvejes mod fordelene ved paricalcitol-behandlingen for kvinden.</w:t>
      </w:r>
    </w:p>
    <w:p w:rsidR="00B7629C" w:rsidRDefault="00B7629C">
      <w:pPr>
        <w:rPr>
          <w:sz w:val="24"/>
          <w:szCs w:val="24"/>
        </w:rPr>
      </w:pPr>
      <w:r>
        <w:rPr>
          <w:sz w:val="24"/>
          <w:szCs w:val="24"/>
        </w:rPr>
        <w:br w:type="page"/>
      </w:r>
    </w:p>
    <w:p w:rsidR="00B003BF" w:rsidRPr="002B27E6" w:rsidRDefault="00B003BF" w:rsidP="002B27E6">
      <w:pPr>
        <w:ind w:left="851" w:hanging="851"/>
        <w:rPr>
          <w:sz w:val="24"/>
          <w:szCs w:val="24"/>
        </w:rPr>
      </w:pPr>
    </w:p>
    <w:p w:rsidR="00B003BF" w:rsidRPr="002B27E6" w:rsidRDefault="00B003BF" w:rsidP="002B27E6">
      <w:pPr>
        <w:ind w:left="851" w:hanging="851"/>
        <w:rPr>
          <w:b/>
          <w:sz w:val="24"/>
          <w:szCs w:val="24"/>
        </w:rPr>
      </w:pPr>
      <w:r w:rsidRPr="002B27E6">
        <w:rPr>
          <w:b/>
          <w:sz w:val="24"/>
          <w:szCs w:val="24"/>
        </w:rPr>
        <w:t>4.7</w:t>
      </w:r>
      <w:r w:rsidRPr="002B27E6">
        <w:rPr>
          <w:b/>
          <w:sz w:val="24"/>
          <w:szCs w:val="24"/>
        </w:rPr>
        <w:tab/>
        <w:t>Virkninger på evnen til at føre motorkøretøj eller betjene maskiner</w:t>
      </w:r>
    </w:p>
    <w:p w:rsidR="00F41C98" w:rsidRDefault="00032920" w:rsidP="002B27E6">
      <w:pPr>
        <w:ind w:left="851" w:hanging="851"/>
        <w:rPr>
          <w:sz w:val="24"/>
          <w:szCs w:val="24"/>
        </w:rPr>
      </w:pPr>
      <w:r w:rsidRPr="002B27E6">
        <w:rPr>
          <w:sz w:val="24"/>
          <w:szCs w:val="24"/>
        </w:rPr>
        <w:tab/>
      </w:r>
      <w:r w:rsidR="00F41C98">
        <w:rPr>
          <w:sz w:val="24"/>
          <w:szCs w:val="24"/>
        </w:rPr>
        <w:t>Ikke mærkning.</w:t>
      </w:r>
    </w:p>
    <w:p w:rsidR="00BC1850" w:rsidRPr="00BC1850" w:rsidRDefault="00BC1850" w:rsidP="00BC1850">
      <w:pPr>
        <w:ind w:left="851" w:hanging="851"/>
        <w:rPr>
          <w:sz w:val="24"/>
          <w:szCs w:val="24"/>
        </w:rPr>
      </w:pPr>
      <w:r w:rsidRPr="00BC1850">
        <w:rPr>
          <w:sz w:val="24"/>
          <w:szCs w:val="24"/>
        </w:rPr>
        <w:tab/>
        <w:t>Paricalcitol kan have mindre indflydelse på evnen til at føre motorkøretøj eller betjene maskiner. Svimmelhed kan forekomme efter administration af paricalcitol (se pkt. 4.8).</w:t>
      </w:r>
    </w:p>
    <w:p w:rsidR="00B003BF" w:rsidRPr="002B27E6" w:rsidRDefault="00B003BF" w:rsidP="002B27E6">
      <w:pPr>
        <w:ind w:left="851" w:hanging="851"/>
        <w:rPr>
          <w:sz w:val="24"/>
          <w:szCs w:val="24"/>
        </w:rPr>
      </w:pPr>
    </w:p>
    <w:p w:rsidR="00B003BF" w:rsidRPr="002B27E6" w:rsidRDefault="00B003BF" w:rsidP="002B27E6">
      <w:pPr>
        <w:ind w:left="851" w:hanging="851"/>
        <w:rPr>
          <w:b/>
          <w:sz w:val="24"/>
          <w:szCs w:val="24"/>
        </w:rPr>
      </w:pPr>
      <w:r w:rsidRPr="002B27E6">
        <w:rPr>
          <w:b/>
          <w:sz w:val="24"/>
          <w:szCs w:val="24"/>
        </w:rPr>
        <w:t>4.8</w:t>
      </w:r>
      <w:r w:rsidRPr="002B27E6">
        <w:rPr>
          <w:b/>
          <w:sz w:val="24"/>
          <w:szCs w:val="24"/>
        </w:rPr>
        <w:tab/>
        <w:t>Bivirkninger</w:t>
      </w:r>
    </w:p>
    <w:p w:rsidR="00032920" w:rsidRPr="002B27E6" w:rsidRDefault="00032920" w:rsidP="002B27E6">
      <w:pPr>
        <w:ind w:left="851" w:hanging="851"/>
        <w:rPr>
          <w:sz w:val="24"/>
          <w:szCs w:val="24"/>
        </w:rPr>
      </w:pPr>
      <w:r w:rsidRPr="002B27E6">
        <w:rPr>
          <w:sz w:val="24"/>
          <w:szCs w:val="24"/>
        </w:rPr>
        <w:tab/>
        <w:t xml:space="preserve">Ca. 600 patienter har været behandlet med </w:t>
      </w:r>
      <w:r w:rsidR="002115F4">
        <w:rPr>
          <w:sz w:val="24"/>
          <w:szCs w:val="24"/>
        </w:rPr>
        <w:t>p</w:t>
      </w:r>
      <w:r w:rsidRPr="002B27E6">
        <w:rPr>
          <w:sz w:val="24"/>
          <w:szCs w:val="24"/>
        </w:rPr>
        <w:t xml:space="preserve">aricalcitol i kliniske fase II/III/IV-forsøg. </w:t>
      </w:r>
    </w:p>
    <w:p w:rsidR="00032920" w:rsidRPr="002B27E6" w:rsidRDefault="00F41C98" w:rsidP="002B27E6">
      <w:pPr>
        <w:ind w:left="851" w:hanging="851"/>
        <w:rPr>
          <w:sz w:val="24"/>
          <w:szCs w:val="24"/>
        </w:rPr>
      </w:pPr>
      <w:r>
        <w:rPr>
          <w:sz w:val="24"/>
          <w:szCs w:val="24"/>
        </w:rPr>
        <w:tab/>
      </w:r>
      <w:r w:rsidR="00032920" w:rsidRPr="002B27E6">
        <w:rPr>
          <w:sz w:val="24"/>
          <w:szCs w:val="24"/>
        </w:rPr>
        <w:t>6</w:t>
      </w:r>
      <w:r w:rsidR="00245753">
        <w:rPr>
          <w:sz w:val="24"/>
          <w:szCs w:val="24"/>
        </w:rPr>
        <w:t xml:space="preserve"> %</w:t>
      </w:r>
      <w:r w:rsidR="00032920" w:rsidRPr="002B27E6">
        <w:rPr>
          <w:sz w:val="24"/>
          <w:szCs w:val="24"/>
        </w:rPr>
        <w:t xml:space="preserve"> af de </w:t>
      </w:r>
      <w:r w:rsidR="002115F4">
        <w:rPr>
          <w:sz w:val="24"/>
          <w:szCs w:val="24"/>
        </w:rPr>
        <w:t>p</w:t>
      </w:r>
      <w:r w:rsidR="00032920" w:rsidRPr="002B27E6">
        <w:rPr>
          <w:sz w:val="24"/>
          <w:szCs w:val="24"/>
        </w:rPr>
        <w:t>aricalcitol</w:t>
      </w:r>
      <w:r w:rsidR="002115F4">
        <w:rPr>
          <w:sz w:val="24"/>
          <w:szCs w:val="24"/>
        </w:rPr>
        <w:t>-</w:t>
      </w:r>
      <w:r w:rsidR="00032920" w:rsidRPr="002B27E6">
        <w:rPr>
          <w:sz w:val="24"/>
          <w:szCs w:val="24"/>
        </w:rPr>
        <w:t xml:space="preserve">behandlede patienter rapporterede bivirkninger. </w:t>
      </w:r>
    </w:p>
    <w:p w:rsidR="00032920" w:rsidRPr="002B27E6" w:rsidRDefault="00032920" w:rsidP="002B27E6">
      <w:pPr>
        <w:ind w:left="851" w:hanging="851"/>
        <w:rPr>
          <w:sz w:val="24"/>
          <w:szCs w:val="24"/>
        </w:rPr>
      </w:pPr>
    </w:p>
    <w:p w:rsidR="00032920" w:rsidRPr="002B27E6" w:rsidRDefault="00F41C98" w:rsidP="002B27E6">
      <w:pPr>
        <w:ind w:left="851" w:hanging="851"/>
        <w:rPr>
          <w:sz w:val="24"/>
          <w:szCs w:val="24"/>
        </w:rPr>
      </w:pPr>
      <w:r>
        <w:rPr>
          <w:sz w:val="24"/>
          <w:szCs w:val="24"/>
        </w:rPr>
        <w:tab/>
      </w:r>
      <w:r w:rsidR="00032920" w:rsidRPr="002B27E6">
        <w:rPr>
          <w:sz w:val="24"/>
          <w:szCs w:val="24"/>
        </w:rPr>
        <w:t xml:space="preserve">De mest almindelige bivirkninger set efter behandling med </w:t>
      </w:r>
      <w:r w:rsidR="002115F4">
        <w:rPr>
          <w:sz w:val="24"/>
          <w:szCs w:val="24"/>
        </w:rPr>
        <w:t>p</w:t>
      </w:r>
      <w:r w:rsidR="00032920" w:rsidRPr="002B27E6">
        <w:rPr>
          <w:sz w:val="24"/>
          <w:szCs w:val="24"/>
        </w:rPr>
        <w:t>aricalcitol var hypercalcæmi, som forekom hos 4,7</w:t>
      </w:r>
      <w:r w:rsidR="00245753">
        <w:rPr>
          <w:sz w:val="24"/>
          <w:szCs w:val="24"/>
        </w:rPr>
        <w:t xml:space="preserve"> %</w:t>
      </w:r>
      <w:r w:rsidR="00032920" w:rsidRPr="002B27E6">
        <w:rPr>
          <w:sz w:val="24"/>
          <w:szCs w:val="24"/>
        </w:rPr>
        <w:t xml:space="preserve"> af patienterne. Hypercalcæmi afhænger hovedsageligt af niv</w:t>
      </w:r>
      <w:r w:rsidR="00273D55">
        <w:rPr>
          <w:sz w:val="24"/>
          <w:szCs w:val="24"/>
        </w:rPr>
        <w:t>ea</w:t>
      </w:r>
      <w:r w:rsidR="00032920" w:rsidRPr="002B27E6">
        <w:rPr>
          <w:sz w:val="24"/>
          <w:szCs w:val="24"/>
        </w:rPr>
        <w:t>uet af PTH-oversuppression og kan minimeres ved korrekt dosistitrering.</w:t>
      </w:r>
    </w:p>
    <w:p w:rsidR="00032920" w:rsidRPr="002B27E6" w:rsidRDefault="00032920" w:rsidP="002B27E6">
      <w:pPr>
        <w:ind w:left="851" w:hanging="851"/>
        <w:rPr>
          <w:sz w:val="24"/>
          <w:szCs w:val="24"/>
        </w:rPr>
      </w:pPr>
    </w:p>
    <w:p w:rsidR="002115F4" w:rsidRDefault="00F41C98" w:rsidP="002B27E6">
      <w:pPr>
        <w:ind w:left="851" w:hanging="851"/>
        <w:rPr>
          <w:sz w:val="24"/>
          <w:szCs w:val="24"/>
        </w:rPr>
      </w:pPr>
      <w:r>
        <w:rPr>
          <w:sz w:val="24"/>
          <w:szCs w:val="24"/>
        </w:rPr>
        <w:tab/>
      </w:r>
      <w:r w:rsidR="00032920" w:rsidRPr="002B27E6">
        <w:rPr>
          <w:sz w:val="24"/>
          <w:szCs w:val="24"/>
        </w:rPr>
        <w:t>Bivirkninger der i de kliniske forsøg er anset for at være mulige, sandsynlige eller med sikkerhed forårsaget af paricalcitol er vist i tabellen herunder og opdelt efter MedDRA system organklasser</w:t>
      </w:r>
      <w:r w:rsidR="002115F4">
        <w:rPr>
          <w:sz w:val="24"/>
          <w:szCs w:val="24"/>
        </w:rPr>
        <w:t xml:space="preserve">, terminologi </w:t>
      </w:r>
      <w:r w:rsidR="00032920" w:rsidRPr="002B27E6">
        <w:rPr>
          <w:sz w:val="24"/>
          <w:szCs w:val="24"/>
        </w:rPr>
        <w:t xml:space="preserve">og frekvens. </w:t>
      </w:r>
    </w:p>
    <w:p w:rsidR="002115F4" w:rsidRDefault="002115F4" w:rsidP="002B27E6">
      <w:pPr>
        <w:ind w:left="851" w:hanging="851"/>
        <w:rPr>
          <w:sz w:val="24"/>
          <w:szCs w:val="24"/>
        </w:rPr>
      </w:pPr>
    </w:p>
    <w:p w:rsidR="00032920" w:rsidRPr="002B27E6" w:rsidRDefault="002115F4" w:rsidP="002B27E6">
      <w:pPr>
        <w:ind w:left="851" w:hanging="851"/>
        <w:rPr>
          <w:sz w:val="24"/>
          <w:szCs w:val="24"/>
        </w:rPr>
      </w:pPr>
      <w:r>
        <w:rPr>
          <w:sz w:val="24"/>
          <w:szCs w:val="24"/>
        </w:rPr>
        <w:tab/>
      </w:r>
      <w:r w:rsidR="00032920" w:rsidRPr="002B27E6">
        <w:rPr>
          <w:sz w:val="24"/>
          <w:szCs w:val="24"/>
        </w:rPr>
        <w:t>Frekvenserne er angivet som: Meget almindelig (&gt;1/10); almindelig (&gt;1/100 og &lt;1/10); ikke almindelig (&gt;1/1000 og &lt;1/100); sjælden (&gt;1/10.000 og &lt;1/1000); meget sjælden (&lt;1/10.000, inklusive enkeltstående rapporter), ikke kendt (kan ikke estimeres ud fra forhåndenværende data).</w:t>
      </w:r>
    </w:p>
    <w:p w:rsidR="00BC1850" w:rsidRDefault="00BC1850" w:rsidP="00BC1850">
      <w:pPr>
        <w:pStyle w:val="Sidehoved"/>
        <w:tabs>
          <w:tab w:val="clear" w:pos="4819"/>
          <w:tab w:val="clear" w:pos="9638"/>
          <w:tab w:val="left" w:pos="851"/>
        </w:tabs>
      </w:pPr>
    </w:p>
    <w:tbl>
      <w:tblPr>
        <w:tblW w:w="7872" w:type="dxa"/>
        <w:jc w:val="center"/>
        <w:tblCellSpacing w:w="0" w:type="dxa"/>
        <w:tblCellMar>
          <w:top w:w="15" w:type="dxa"/>
          <w:left w:w="15" w:type="dxa"/>
          <w:bottom w:w="15" w:type="dxa"/>
          <w:right w:w="15" w:type="dxa"/>
        </w:tblCellMar>
        <w:tblLook w:val="04A0" w:firstRow="1" w:lastRow="0" w:firstColumn="1" w:lastColumn="0" w:noHBand="0" w:noVBand="1"/>
      </w:tblPr>
      <w:tblGrid>
        <w:gridCol w:w="2623"/>
        <w:gridCol w:w="2948"/>
        <w:gridCol w:w="2301"/>
      </w:tblGrid>
      <w:tr w:rsidR="00BC1850" w:rsidRPr="008C31A1" w:rsidTr="00E35C09">
        <w:trPr>
          <w:tblCellSpacing w:w="0" w:type="dxa"/>
          <w:jc w:val="center"/>
        </w:trPr>
        <w:tc>
          <w:tcPr>
            <w:tcW w:w="2623" w:type="dxa"/>
            <w:tcBorders>
              <w:top w:val="single" w:sz="8" w:space="0" w:color="auto"/>
              <w:left w:val="single" w:sz="8" w:space="0" w:color="auto"/>
              <w:bottom w:val="single" w:sz="8" w:space="0" w:color="auto"/>
              <w:right w:val="single" w:sz="8" w:space="0" w:color="auto"/>
            </w:tcBorders>
            <w:hideMark/>
          </w:tcPr>
          <w:p w:rsidR="00BC1850" w:rsidRPr="008C31A1" w:rsidRDefault="00BC1850" w:rsidP="00E35C09">
            <w:pPr>
              <w:jc w:val="center"/>
              <w:rPr>
                <w:lang w:eastAsia="el-GR"/>
              </w:rPr>
            </w:pPr>
            <w:r w:rsidRPr="008C31A1">
              <w:rPr>
                <w:b/>
                <w:bCs/>
                <w:color w:val="000000"/>
                <w:lang w:eastAsia="el-GR"/>
              </w:rPr>
              <w:t>Organklasse</w:t>
            </w:r>
            <w:r w:rsidRPr="008C31A1">
              <w:rPr>
                <w:lang w:eastAsia="el-GR"/>
              </w:rPr>
              <w:t xml:space="preserve"> </w:t>
            </w:r>
          </w:p>
        </w:tc>
        <w:tc>
          <w:tcPr>
            <w:tcW w:w="2948" w:type="dxa"/>
            <w:tcBorders>
              <w:top w:val="single" w:sz="8" w:space="0" w:color="auto"/>
              <w:left w:val="single" w:sz="8" w:space="0" w:color="auto"/>
              <w:bottom w:val="single" w:sz="8" w:space="0" w:color="auto"/>
              <w:right w:val="single" w:sz="8" w:space="0" w:color="auto"/>
            </w:tcBorders>
            <w:hideMark/>
          </w:tcPr>
          <w:p w:rsidR="00BC1850" w:rsidRPr="008C31A1" w:rsidRDefault="00BC1850" w:rsidP="00E35C09">
            <w:pPr>
              <w:jc w:val="center"/>
              <w:rPr>
                <w:lang w:eastAsia="el-GR"/>
              </w:rPr>
            </w:pPr>
            <w:r w:rsidRPr="008C31A1">
              <w:rPr>
                <w:b/>
                <w:bCs/>
                <w:color w:val="000000"/>
                <w:lang w:eastAsia="el-GR"/>
              </w:rPr>
              <w:t>Bivirkning</w:t>
            </w:r>
            <w:r w:rsidRPr="008C31A1">
              <w:rPr>
                <w:lang w:eastAsia="el-GR"/>
              </w:rPr>
              <w:t xml:space="preserve"> </w:t>
            </w:r>
          </w:p>
        </w:tc>
        <w:tc>
          <w:tcPr>
            <w:tcW w:w="2301" w:type="dxa"/>
            <w:tcBorders>
              <w:top w:val="single" w:sz="8" w:space="0" w:color="auto"/>
              <w:left w:val="single" w:sz="8" w:space="0" w:color="auto"/>
              <w:bottom w:val="single" w:sz="8" w:space="0" w:color="auto"/>
              <w:right w:val="single" w:sz="8" w:space="0" w:color="auto"/>
            </w:tcBorders>
            <w:hideMark/>
          </w:tcPr>
          <w:p w:rsidR="00BC1850" w:rsidRPr="008C31A1" w:rsidRDefault="00BC1850" w:rsidP="00E35C09">
            <w:pPr>
              <w:jc w:val="center"/>
              <w:rPr>
                <w:lang w:eastAsia="el-GR"/>
              </w:rPr>
            </w:pPr>
            <w:r w:rsidRPr="008C31A1">
              <w:rPr>
                <w:b/>
                <w:bCs/>
                <w:color w:val="000000"/>
                <w:lang w:eastAsia="el-GR"/>
              </w:rPr>
              <w:t>Frekvens</w:t>
            </w:r>
            <w:r w:rsidRPr="008C31A1">
              <w:rPr>
                <w:lang w:eastAsia="el-GR"/>
              </w:rPr>
              <w:t xml:space="preserve"> </w:t>
            </w:r>
          </w:p>
        </w:tc>
      </w:tr>
      <w:tr w:rsidR="00BC1850" w:rsidRPr="008C31A1" w:rsidTr="00E35C09">
        <w:trPr>
          <w:tblCellSpacing w:w="0" w:type="dxa"/>
          <w:jc w:val="center"/>
        </w:trPr>
        <w:tc>
          <w:tcPr>
            <w:tcW w:w="2623" w:type="dxa"/>
            <w:tcBorders>
              <w:top w:val="single" w:sz="8" w:space="0" w:color="auto"/>
              <w:left w:val="single" w:sz="8" w:space="0" w:color="auto"/>
              <w:bottom w:val="single" w:sz="8" w:space="0" w:color="auto"/>
              <w:right w:val="single" w:sz="8" w:space="0" w:color="auto"/>
            </w:tcBorders>
          </w:tcPr>
          <w:p w:rsidR="00BC1850" w:rsidRPr="00817FB0" w:rsidRDefault="00BC1850" w:rsidP="00E35C09">
            <w:pPr>
              <w:rPr>
                <w:color w:val="000000"/>
                <w:lang w:eastAsia="el-GR"/>
              </w:rPr>
            </w:pPr>
            <w:r w:rsidRPr="008C31A1">
              <w:rPr>
                <w:color w:val="000000"/>
                <w:lang w:eastAsia="el-GR"/>
              </w:rPr>
              <w:t>Infektioner og parasitære sygdomme</w:t>
            </w:r>
            <w:r w:rsidRPr="00817FB0">
              <w:rPr>
                <w:color w:val="000000"/>
                <w:lang w:eastAsia="el-GR"/>
              </w:rPr>
              <w:t xml:space="preserve"> </w:t>
            </w:r>
          </w:p>
        </w:tc>
        <w:tc>
          <w:tcPr>
            <w:tcW w:w="2948" w:type="dxa"/>
            <w:tcBorders>
              <w:top w:val="single" w:sz="8" w:space="0" w:color="auto"/>
              <w:left w:val="single" w:sz="8" w:space="0" w:color="auto"/>
              <w:bottom w:val="single" w:sz="8" w:space="0" w:color="auto"/>
              <w:right w:val="single" w:sz="8" w:space="0" w:color="auto"/>
            </w:tcBorders>
          </w:tcPr>
          <w:p w:rsidR="00BC1850" w:rsidRPr="00817FB0" w:rsidRDefault="00BC1850" w:rsidP="00E35C09">
            <w:pPr>
              <w:rPr>
                <w:color w:val="000000"/>
                <w:lang w:val="en-US" w:eastAsia="el-GR"/>
              </w:rPr>
            </w:pPr>
            <w:r w:rsidRPr="008C31A1">
              <w:rPr>
                <w:color w:val="000000"/>
                <w:lang w:val="en-US" w:eastAsia="el-GR"/>
              </w:rPr>
              <w:t>Sepsis, pneumoni, infektion, faryngitis, vaginal infektion, influenza</w:t>
            </w:r>
            <w:r w:rsidRPr="00817FB0">
              <w:rPr>
                <w:color w:val="000000"/>
                <w:lang w:val="en-US" w:eastAsia="el-GR"/>
              </w:rPr>
              <w:t xml:space="preserve"> </w:t>
            </w:r>
          </w:p>
        </w:tc>
        <w:tc>
          <w:tcPr>
            <w:tcW w:w="2301" w:type="dxa"/>
            <w:tcBorders>
              <w:top w:val="single" w:sz="8" w:space="0" w:color="auto"/>
              <w:left w:val="single" w:sz="8" w:space="0" w:color="auto"/>
              <w:bottom w:val="single" w:sz="8" w:space="0" w:color="auto"/>
              <w:right w:val="single" w:sz="8" w:space="0" w:color="auto"/>
            </w:tcBorders>
          </w:tcPr>
          <w:p w:rsidR="00BC1850" w:rsidRPr="00817FB0" w:rsidRDefault="00BC1850" w:rsidP="00E35C09">
            <w:pPr>
              <w:rPr>
                <w:color w:val="000000"/>
                <w:lang w:eastAsia="el-GR"/>
              </w:rPr>
            </w:pPr>
            <w:r w:rsidRPr="008C31A1">
              <w:rPr>
                <w:color w:val="000000"/>
                <w:lang w:eastAsia="el-GR"/>
              </w:rPr>
              <w:t>Ikke almindelig</w:t>
            </w:r>
            <w:r w:rsidRPr="00817FB0">
              <w:rPr>
                <w:color w:val="000000"/>
                <w:lang w:eastAsia="el-GR"/>
              </w:rPr>
              <w:t xml:space="preserve"> </w:t>
            </w:r>
          </w:p>
        </w:tc>
      </w:tr>
      <w:tr w:rsidR="00BC1850" w:rsidRPr="008C31A1" w:rsidTr="00E35C09">
        <w:trPr>
          <w:tblCellSpacing w:w="0" w:type="dxa"/>
          <w:jc w:val="center"/>
        </w:trPr>
        <w:tc>
          <w:tcPr>
            <w:tcW w:w="2623" w:type="dxa"/>
            <w:tcBorders>
              <w:top w:val="single" w:sz="8" w:space="0" w:color="auto"/>
              <w:left w:val="single" w:sz="8" w:space="0" w:color="auto"/>
              <w:bottom w:val="single" w:sz="8" w:space="0" w:color="auto"/>
              <w:right w:val="single" w:sz="8" w:space="0" w:color="auto"/>
            </w:tcBorders>
          </w:tcPr>
          <w:p w:rsidR="00BC1850" w:rsidRPr="00817FB0" w:rsidRDefault="00BC1850" w:rsidP="00E35C09">
            <w:pPr>
              <w:rPr>
                <w:color w:val="000000"/>
                <w:lang w:eastAsia="el-GR"/>
              </w:rPr>
            </w:pPr>
            <w:r w:rsidRPr="00817FB0">
              <w:rPr>
                <w:color w:val="000000"/>
                <w:lang w:eastAsia="el-GR"/>
              </w:rPr>
              <w:t xml:space="preserve">Benigne, maligne og uspecificerede tumorer (inkl.cyster og polypper) </w:t>
            </w:r>
          </w:p>
        </w:tc>
        <w:tc>
          <w:tcPr>
            <w:tcW w:w="2948" w:type="dxa"/>
            <w:tcBorders>
              <w:top w:val="single" w:sz="8" w:space="0" w:color="auto"/>
              <w:left w:val="single" w:sz="8" w:space="0" w:color="auto"/>
              <w:bottom w:val="single" w:sz="8" w:space="0" w:color="auto"/>
              <w:right w:val="single" w:sz="8" w:space="0" w:color="auto"/>
            </w:tcBorders>
          </w:tcPr>
          <w:p w:rsidR="00BC1850" w:rsidRPr="00817FB0" w:rsidRDefault="00BC1850" w:rsidP="00E35C09">
            <w:pPr>
              <w:rPr>
                <w:color w:val="000000"/>
                <w:lang w:val="en-US" w:eastAsia="el-GR"/>
              </w:rPr>
            </w:pPr>
            <w:r w:rsidRPr="00817FB0">
              <w:rPr>
                <w:color w:val="000000"/>
                <w:lang w:val="en-US" w:eastAsia="el-GR"/>
              </w:rPr>
              <w:t xml:space="preserve">Brystkræft </w:t>
            </w:r>
          </w:p>
        </w:tc>
        <w:tc>
          <w:tcPr>
            <w:tcW w:w="2301" w:type="dxa"/>
            <w:tcBorders>
              <w:top w:val="single" w:sz="8" w:space="0" w:color="auto"/>
              <w:left w:val="single" w:sz="8" w:space="0" w:color="auto"/>
              <w:bottom w:val="single" w:sz="8" w:space="0" w:color="auto"/>
              <w:right w:val="single" w:sz="8" w:space="0" w:color="auto"/>
            </w:tcBorders>
          </w:tcPr>
          <w:p w:rsidR="00BC1850" w:rsidRPr="00817FB0" w:rsidRDefault="00BC1850" w:rsidP="00E35C09">
            <w:pPr>
              <w:rPr>
                <w:color w:val="000000"/>
                <w:lang w:eastAsia="el-GR"/>
              </w:rPr>
            </w:pPr>
            <w:r w:rsidRPr="008C31A1">
              <w:rPr>
                <w:color w:val="000000"/>
                <w:lang w:eastAsia="el-GR"/>
              </w:rPr>
              <w:t>Ikke almindelig</w:t>
            </w:r>
            <w:r w:rsidRPr="00817FB0">
              <w:rPr>
                <w:color w:val="000000"/>
                <w:lang w:eastAsia="el-GR"/>
              </w:rPr>
              <w:t xml:space="preserve"> </w:t>
            </w:r>
          </w:p>
        </w:tc>
      </w:tr>
      <w:tr w:rsidR="00BC1850" w:rsidRPr="008C31A1" w:rsidTr="00E35C09">
        <w:trPr>
          <w:tblCellSpacing w:w="0" w:type="dxa"/>
          <w:jc w:val="center"/>
        </w:trPr>
        <w:tc>
          <w:tcPr>
            <w:tcW w:w="2623" w:type="dxa"/>
            <w:tcBorders>
              <w:top w:val="single" w:sz="8" w:space="0" w:color="auto"/>
              <w:left w:val="single" w:sz="8" w:space="0" w:color="auto"/>
              <w:bottom w:val="single" w:sz="8" w:space="0" w:color="auto"/>
              <w:right w:val="single" w:sz="8" w:space="0" w:color="auto"/>
            </w:tcBorders>
            <w:hideMark/>
          </w:tcPr>
          <w:p w:rsidR="00BC1850" w:rsidRPr="008C31A1" w:rsidRDefault="00BC1850" w:rsidP="00E35C09">
            <w:pPr>
              <w:rPr>
                <w:lang w:eastAsia="el-GR"/>
              </w:rPr>
            </w:pPr>
            <w:r w:rsidRPr="008C31A1">
              <w:rPr>
                <w:color w:val="000000"/>
                <w:lang w:eastAsia="el-GR"/>
              </w:rPr>
              <w:t>Blod og lymfesystem</w:t>
            </w:r>
            <w:r w:rsidRPr="008C31A1">
              <w:rPr>
                <w:lang w:eastAsia="el-GR"/>
              </w:rPr>
              <w:t xml:space="preserve"> </w:t>
            </w:r>
          </w:p>
        </w:tc>
        <w:tc>
          <w:tcPr>
            <w:tcW w:w="2948" w:type="dxa"/>
            <w:tcBorders>
              <w:top w:val="single" w:sz="8" w:space="0" w:color="auto"/>
              <w:left w:val="single" w:sz="8" w:space="0" w:color="auto"/>
              <w:bottom w:val="single" w:sz="8" w:space="0" w:color="auto"/>
              <w:right w:val="single" w:sz="8" w:space="0" w:color="auto"/>
            </w:tcBorders>
            <w:hideMark/>
          </w:tcPr>
          <w:p w:rsidR="00BC1850" w:rsidRPr="008C31A1" w:rsidRDefault="00BC1850" w:rsidP="00E35C09">
            <w:pPr>
              <w:rPr>
                <w:lang w:eastAsia="el-GR"/>
              </w:rPr>
            </w:pPr>
            <w:r w:rsidRPr="008C31A1">
              <w:rPr>
                <w:color w:val="000000"/>
                <w:lang w:eastAsia="el-GR"/>
              </w:rPr>
              <w:t>Anæmi, leukopeni, lymfeadenopati</w:t>
            </w:r>
            <w:r w:rsidRPr="008C31A1">
              <w:rPr>
                <w:lang w:eastAsia="el-GR"/>
              </w:rPr>
              <w:t xml:space="preserve"> </w:t>
            </w:r>
          </w:p>
        </w:tc>
        <w:tc>
          <w:tcPr>
            <w:tcW w:w="2301" w:type="dxa"/>
            <w:tcBorders>
              <w:top w:val="single" w:sz="8" w:space="0" w:color="auto"/>
              <w:left w:val="single" w:sz="8" w:space="0" w:color="auto"/>
              <w:bottom w:val="single" w:sz="8" w:space="0" w:color="auto"/>
              <w:right w:val="single" w:sz="8" w:space="0" w:color="auto"/>
            </w:tcBorders>
            <w:hideMark/>
          </w:tcPr>
          <w:p w:rsidR="00BC1850" w:rsidRPr="008C31A1" w:rsidRDefault="00BC1850" w:rsidP="00E35C09">
            <w:pPr>
              <w:rPr>
                <w:lang w:eastAsia="el-GR"/>
              </w:rPr>
            </w:pPr>
            <w:r w:rsidRPr="008C31A1">
              <w:rPr>
                <w:color w:val="000000"/>
                <w:lang w:eastAsia="el-GR"/>
              </w:rPr>
              <w:t>Ikke almindelig</w:t>
            </w:r>
            <w:r w:rsidRPr="008C31A1">
              <w:rPr>
                <w:lang w:eastAsia="el-GR"/>
              </w:rPr>
              <w:t xml:space="preserve"> </w:t>
            </w:r>
          </w:p>
        </w:tc>
      </w:tr>
      <w:tr w:rsidR="00BC1850" w:rsidRPr="008C31A1" w:rsidTr="00E35C09">
        <w:trPr>
          <w:tblCellSpacing w:w="0" w:type="dxa"/>
          <w:jc w:val="center"/>
        </w:trPr>
        <w:tc>
          <w:tcPr>
            <w:tcW w:w="2623" w:type="dxa"/>
            <w:vMerge w:val="restart"/>
            <w:tcBorders>
              <w:top w:val="single" w:sz="8" w:space="0" w:color="auto"/>
              <w:left w:val="single" w:sz="8" w:space="0" w:color="auto"/>
              <w:right w:val="single" w:sz="8" w:space="0" w:color="auto"/>
            </w:tcBorders>
            <w:hideMark/>
          </w:tcPr>
          <w:p w:rsidR="00BC1850" w:rsidRPr="004960C0" w:rsidRDefault="00BC1850" w:rsidP="00E35C09">
            <w:pPr>
              <w:rPr>
                <w:color w:val="000000"/>
                <w:lang w:eastAsia="el-GR"/>
              </w:rPr>
            </w:pPr>
            <w:r w:rsidRPr="008C31A1">
              <w:rPr>
                <w:color w:val="000000"/>
                <w:lang w:eastAsia="el-GR"/>
              </w:rPr>
              <w:t>Immunsystemet</w:t>
            </w:r>
            <w:r w:rsidRPr="004960C0">
              <w:rPr>
                <w:color w:val="000000"/>
                <w:lang w:eastAsia="el-GR"/>
              </w:rPr>
              <w:t xml:space="preserve"> </w:t>
            </w:r>
          </w:p>
        </w:tc>
        <w:tc>
          <w:tcPr>
            <w:tcW w:w="2948" w:type="dxa"/>
            <w:tcBorders>
              <w:top w:val="single" w:sz="8" w:space="0" w:color="auto"/>
              <w:left w:val="single" w:sz="8" w:space="0" w:color="auto"/>
              <w:bottom w:val="single" w:sz="8" w:space="0" w:color="auto"/>
              <w:right w:val="single" w:sz="8" w:space="0" w:color="auto"/>
            </w:tcBorders>
            <w:hideMark/>
          </w:tcPr>
          <w:p w:rsidR="00BC1850" w:rsidRPr="004960C0" w:rsidRDefault="00BC1850" w:rsidP="00E35C09">
            <w:pPr>
              <w:rPr>
                <w:color w:val="000000"/>
                <w:lang w:eastAsia="el-GR"/>
              </w:rPr>
            </w:pPr>
            <w:r w:rsidRPr="008C31A1">
              <w:rPr>
                <w:color w:val="000000"/>
                <w:lang w:eastAsia="el-GR"/>
              </w:rPr>
              <w:t>Overfølsomhed</w:t>
            </w:r>
            <w:r w:rsidRPr="004960C0">
              <w:rPr>
                <w:color w:val="000000"/>
                <w:lang w:eastAsia="el-GR"/>
              </w:rPr>
              <w:t xml:space="preserve"> </w:t>
            </w:r>
          </w:p>
        </w:tc>
        <w:tc>
          <w:tcPr>
            <w:tcW w:w="2301" w:type="dxa"/>
            <w:tcBorders>
              <w:top w:val="single" w:sz="8" w:space="0" w:color="auto"/>
              <w:left w:val="single" w:sz="8" w:space="0" w:color="auto"/>
              <w:bottom w:val="single" w:sz="8" w:space="0" w:color="auto"/>
              <w:right w:val="single" w:sz="8" w:space="0" w:color="auto"/>
            </w:tcBorders>
            <w:hideMark/>
          </w:tcPr>
          <w:p w:rsidR="00BC1850" w:rsidRPr="004960C0" w:rsidRDefault="00BC1850" w:rsidP="00E35C09">
            <w:pPr>
              <w:rPr>
                <w:color w:val="000000"/>
                <w:lang w:eastAsia="el-GR"/>
              </w:rPr>
            </w:pPr>
            <w:r w:rsidRPr="008C31A1">
              <w:rPr>
                <w:color w:val="000000"/>
                <w:lang w:eastAsia="el-GR"/>
              </w:rPr>
              <w:t>Ikke almindelig</w:t>
            </w:r>
            <w:r w:rsidRPr="004960C0">
              <w:rPr>
                <w:color w:val="000000"/>
                <w:lang w:eastAsia="el-GR"/>
              </w:rPr>
              <w:t xml:space="preserve"> </w:t>
            </w:r>
          </w:p>
        </w:tc>
      </w:tr>
      <w:tr w:rsidR="00BC1850" w:rsidRPr="008C31A1" w:rsidTr="00E35C09">
        <w:trPr>
          <w:tblCellSpacing w:w="0" w:type="dxa"/>
          <w:jc w:val="center"/>
        </w:trPr>
        <w:tc>
          <w:tcPr>
            <w:tcW w:w="2623" w:type="dxa"/>
            <w:vMerge/>
            <w:tcBorders>
              <w:left w:val="single" w:sz="8" w:space="0" w:color="auto"/>
              <w:bottom w:val="single" w:sz="8" w:space="0" w:color="auto"/>
              <w:right w:val="single" w:sz="8" w:space="0" w:color="auto"/>
            </w:tcBorders>
            <w:hideMark/>
          </w:tcPr>
          <w:p w:rsidR="00BC1850" w:rsidRPr="004960C0" w:rsidRDefault="00BC1850" w:rsidP="00E35C09">
            <w:pPr>
              <w:rPr>
                <w:color w:val="000000"/>
                <w:lang w:eastAsia="el-GR"/>
              </w:rPr>
            </w:pPr>
          </w:p>
        </w:tc>
        <w:tc>
          <w:tcPr>
            <w:tcW w:w="2948" w:type="dxa"/>
            <w:tcBorders>
              <w:top w:val="single" w:sz="8" w:space="0" w:color="auto"/>
              <w:left w:val="single" w:sz="8" w:space="0" w:color="auto"/>
              <w:bottom w:val="single" w:sz="8" w:space="0" w:color="auto"/>
              <w:right w:val="single" w:sz="8" w:space="0" w:color="auto"/>
            </w:tcBorders>
            <w:hideMark/>
          </w:tcPr>
          <w:p w:rsidR="00BC1850" w:rsidRPr="004960C0" w:rsidRDefault="00BC1850" w:rsidP="00E35C09">
            <w:pPr>
              <w:rPr>
                <w:color w:val="000000"/>
                <w:lang w:eastAsia="el-GR"/>
              </w:rPr>
            </w:pPr>
            <w:r w:rsidRPr="008C31A1">
              <w:rPr>
                <w:color w:val="000000"/>
                <w:lang w:eastAsia="el-GR"/>
              </w:rPr>
              <w:t>Larynx ødem, angioødem, urticaria</w:t>
            </w:r>
            <w:r w:rsidRPr="004960C0">
              <w:rPr>
                <w:color w:val="000000"/>
                <w:lang w:eastAsia="el-GR"/>
              </w:rPr>
              <w:t xml:space="preserve"> </w:t>
            </w:r>
          </w:p>
        </w:tc>
        <w:tc>
          <w:tcPr>
            <w:tcW w:w="2301" w:type="dxa"/>
            <w:tcBorders>
              <w:top w:val="single" w:sz="8" w:space="0" w:color="auto"/>
              <w:left w:val="single" w:sz="8" w:space="0" w:color="auto"/>
              <w:bottom w:val="single" w:sz="8" w:space="0" w:color="auto"/>
              <w:right w:val="single" w:sz="8" w:space="0" w:color="auto"/>
            </w:tcBorders>
            <w:hideMark/>
          </w:tcPr>
          <w:p w:rsidR="00BC1850" w:rsidRPr="004960C0" w:rsidRDefault="00BC1850" w:rsidP="00E35C09">
            <w:pPr>
              <w:rPr>
                <w:color w:val="000000"/>
                <w:lang w:eastAsia="el-GR"/>
              </w:rPr>
            </w:pPr>
            <w:r w:rsidRPr="008C31A1">
              <w:rPr>
                <w:color w:val="000000"/>
                <w:lang w:eastAsia="el-GR"/>
              </w:rPr>
              <w:t>Ikke kendt</w:t>
            </w:r>
            <w:r w:rsidRPr="004960C0">
              <w:rPr>
                <w:color w:val="000000"/>
                <w:lang w:eastAsia="el-GR"/>
              </w:rPr>
              <w:t xml:space="preserve"> </w:t>
            </w:r>
          </w:p>
        </w:tc>
      </w:tr>
      <w:tr w:rsidR="00BC1850" w:rsidRPr="008C31A1" w:rsidTr="00E35C09">
        <w:trPr>
          <w:tblCellSpacing w:w="0" w:type="dxa"/>
          <w:jc w:val="center"/>
        </w:trPr>
        <w:tc>
          <w:tcPr>
            <w:tcW w:w="2623" w:type="dxa"/>
            <w:vMerge w:val="restart"/>
            <w:tcBorders>
              <w:top w:val="single" w:sz="8" w:space="0" w:color="auto"/>
              <w:left w:val="single" w:sz="8" w:space="0" w:color="auto"/>
              <w:right w:val="single" w:sz="8" w:space="0" w:color="auto"/>
            </w:tcBorders>
            <w:hideMark/>
          </w:tcPr>
          <w:p w:rsidR="00BC1850" w:rsidRPr="005E1444" w:rsidRDefault="00BC1850" w:rsidP="00E35C09">
            <w:pPr>
              <w:rPr>
                <w:color w:val="000000"/>
                <w:lang w:eastAsia="el-GR"/>
              </w:rPr>
            </w:pPr>
            <w:r w:rsidRPr="008C31A1">
              <w:rPr>
                <w:color w:val="000000"/>
                <w:lang w:eastAsia="el-GR"/>
              </w:rPr>
              <w:t>Det endokrine system</w:t>
            </w:r>
            <w:r w:rsidRPr="005E1444">
              <w:rPr>
                <w:color w:val="000000"/>
                <w:lang w:eastAsia="el-GR"/>
              </w:rPr>
              <w:t xml:space="preserve"> </w:t>
            </w:r>
          </w:p>
        </w:tc>
        <w:tc>
          <w:tcPr>
            <w:tcW w:w="2948" w:type="dxa"/>
            <w:tcBorders>
              <w:top w:val="single" w:sz="8" w:space="0" w:color="auto"/>
              <w:left w:val="single" w:sz="8" w:space="0" w:color="auto"/>
              <w:bottom w:val="single" w:sz="8" w:space="0" w:color="auto"/>
              <w:right w:val="single" w:sz="8" w:space="0" w:color="auto"/>
            </w:tcBorders>
            <w:hideMark/>
          </w:tcPr>
          <w:p w:rsidR="00BC1850" w:rsidRPr="005E1444" w:rsidRDefault="00BC1850" w:rsidP="00E35C09">
            <w:pPr>
              <w:rPr>
                <w:color w:val="000000"/>
                <w:lang w:eastAsia="el-GR"/>
              </w:rPr>
            </w:pPr>
            <w:r w:rsidRPr="008C31A1">
              <w:rPr>
                <w:color w:val="000000"/>
                <w:lang w:eastAsia="el-GR"/>
              </w:rPr>
              <w:t>Hypoparatyroidisme</w:t>
            </w:r>
            <w:r w:rsidRPr="005E1444">
              <w:rPr>
                <w:color w:val="000000"/>
                <w:lang w:eastAsia="el-GR"/>
              </w:rPr>
              <w:t xml:space="preserve"> </w:t>
            </w:r>
          </w:p>
        </w:tc>
        <w:tc>
          <w:tcPr>
            <w:tcW w:w="2301" w:type="dxa"/>
            <w:tcBorders>
              <w:top w:val="single" w:sz="8" w:space="0" w:color="auto"/>
              <w:left w:val="single" w:sz="8" w:space="0" w:color="auto"/>
              <w:bottom w:val="single" w:sz="8" w:space="0" w:color="auto"/>
              <w:right w:val="single" w:sz="8" w:space="0" w:color="auto"/>
            </w:tcBorders>
            <w:hideMark/>
          </w:tcPr>
          <w:p w:rsidR="00BC1850" w:rsidRPr="005E1444" w:rsidRDefault="00BC1850" w:rsidP="00E35C09">
            <w:pPr>
              <w:rPr>
                <w:color w:val="000000"/>
                <w:lang w:eastAsia="el-GR"/>
              </w:rPr>
            </w:pPr>
            <w:r w:rsidRPr="008C31A1">
              <w:rPr>
                <w:color w:val="000000"/>
                <w:lang w:eastAsia="el-GR"/>
              </w:rPr>
              <w:t>Almindelig</w:t>
            </w:r>
            <w:r w:rsidRPr="005E1444">
              <w:rPr>
                <w:color w:val="000000"/>
                <w:lang w:eastAsia="el-GR"/>
              </w:rPr>
              <w:t xml:space="preserve"> </w:t>
            </w:r>
          </w:p>
          <w:p w:rsidR="00BC1850" w:rsidRPr="005E1444" w:rsidRDefault="00BC1850" w:rsidP="00E35C09">
            <w:pPr>
              <w:rPr>
                <w:color w:val="000000"/>
                <w:lang w:eastAsia="el-GR"/>
              </w:rPr>
            </w:pPr>
          </w:p>
        </w:tc>
      </w:tr>
      <w:tr w:rsidR="00BC1850" w:rsidRPr="008C31A1" w:rsidTr="00E35C09">
        <w:trPr>
          <w:trHeight w:val="512"/>
          <w:tblCellSpacing w:w="0" w:type="dxa"/>
          <w:jc w:val="center"/>
        </w:trPr>
        <w:tc>
          <w:tcPr>
            <w:tcW w:w="2623" w:type="dxa"/>
            <w:vMerge/>
            <w:tcBorders>
              <w:left w:val="single" w:sz="8" w:space="0" w:color="auto"/>
              <w:bottom w:val="single" w:sz="8" w:space="0" w:color="auto"/>
              <w:right w:val="single" w:sz="8" w:space="0" w:color="auto"/>
            </w:tcBorders>
            <w:hideMark/>
          </w:tcPr>
          <w:p w:rsidR="00BC1850" w:rsidRPr="005E1444" w:rsidRDefault="00BC1850" w:rsidP="00E35C09">
            <w:pPr>
              <w:rPr>
                <w:color w:val="000000"/>
                <w:lang w:eastAsia="el-GR"/>
              </w:rPr>
            </w:pPr>
          </w:p>
        </w:tc>
        <w:tc>
          <w:tcPr>
            <w:tcW w:w="2948" w:type="dxa"/>
            <w:tcBorders>
              <w:top w:val="single" w:sz="8" w:space="0" w:color="auto"/>
              <w:left w:val="single" w:sz="8" w:space="0" w:color="auto"/>
              <w:bottom w:val="single" w:sz="8" w:space="0" w:color="auto"/>
              <w:right w:val="single" w:sz="8" w:space="0" w:color="auto"/>
            </w:tcBorders>
            <w:hideMark/>
          </w:tcPr>
          <w:p w:rsidR="00BC1850" w:rsidRPr="005E1444" w:rsidRDefault="00BC1850" w:rsidP="00E35C09">
            <w:pPr>
              <w:rPr>
                <w:color w:val="000000"/>
                <w:lang w:eastAsia="el-GR"/>
              </w:rPr>
            </w:pPr>
            <w:r w:rsidRPr="008C31A1">
              <w:rPr>
                <w:color w:val="000000"/>
                <w:lang w:eastAsia="el-GR"/>
              </w:rPr>
              <w:t>Hyperparatyroidisme</w:t>
            </w:r>
            <w:r w:rsidRPr="005E1444">
              <w:rPr>
                <w:color w:val="000000"/>
                <w:lang w:eastAsia="el-GR"/>
              </w:rPr>
              <w:t xml:space="preserve"> </w:t>
            </w:r>
          </w:p>
        </w:tc>
        <w:tc>
          <w:tcPr>
            <w:tcW w:w="2301" w:type="dxa"/>
            <w:tcBorders>
              <w:top w:val="single" w:sz="8" w:space="0" w:color="auto"/>
              <w:left w:val="single" w:sz="8" w:space="0" w:color="auto"/>
              <w:bottom w:val="single" w:sz="8" w:space="0" w:color="auto"/>
              <w:right w:val="single" w:sz="8" w:space="0" w:color="auto"/>
            </w:tcBorders>
            <w:hideMark/>
          </w:tcPr>
          <w:p w:rsidR="00BC1850" w:rsidRPr="005E1444" w:rsidRDefault="00BC1850" w:rsidP="00E35C09">
            <w:pPr>
              <w:rPr>
                <w:color w:val="000000"/>
                <w:lang w:eastAsia="el-GR"/>
              </w:rPr>
            </w:pPr>
            <w:r w:rsidRPr="008C31A1">
              <w:rPr>
                <w:color w:val="000000"/>
                <w:lang w:eastAsia="el-GR"/>
              </w:rPr>
              <w:t>Ikke almindelig</w:t>
            </w:r>
            <w:r w:rsidRPr="005E1444">
              <w:rPr>
                <w:color w:val="000000"/>
                <w:lang w:eastAsia="el-GR"/>
              </w:rPr>
              <w:t xml:space="preserve"> </w:t>
            </w:r>
          </w:p>
        </w:tc>
      </w:tr>
      <w:tr w:rsidR="00BC1850" w:rsidRPr="008C31A1" w:rsidTr="00E35C09">
        <w:trPr>
          <w:tblCellSpacing w:w="0" w:type="dxa"/>
          <w:jc w:val="center"/>
        </w:trPr>
        <w:tc>
          <w:tcPr>
            <w:tcW w:w="2623" w:type="dxa"/>
            <w:vMerge w:val="restart"/>
            <w:tcBorders>
              <w:top w:val="single" w:sz="8" w:space="0" w:color="auto"/>
              <w:left w:val="single" w:sz="8" w:space="0" w:color="auto"/>
              <w:right w:val="single" w:sz="8" w:space="0" w:color="auto"/>
            </w:tcBorders>
            <w:hideMark/>
          </w:tcPr>
          <w:p w:rsidR="00BC1850" w:rsidRPr="005E1444" w:rsidRDefault="00BC1850" w:rsidP="00E35C09">
            <w:pPr>
              <w:rPr>
                <w:color w:val="000000"/>
                <w:lang w:eastAsia="el-GR"/>
              </w:rPr>
            </w:pPr>
            <w:r w:rsidRPr="008C31A1">
              <w:rPr>
                <w:color w:val="000000"/>
                <w:lang w:eastAsia="el-GR"/>
              </w:rPr>
              <w:t>Metabolisme og ernæring</w:t>
            </w:r>
            <w:r w:rsidRPr="005E1444">
              <w:rPr>
                <w:color w:val="000000"/>
                <w:lang w:eastAsia="el-GR"/>
              </w:rPr>
              <w:t xml:space="preserve"> </w:t>
            </w:r>
          </w:p>
        </w:tc>
        <w:tc>
          <w:tcPr>
            <w:tcW w:w="2948" w:type="dxa"/>
            <w:tcBorders>
              <w:top w:val="single" w:sz="8" w:space="0" w:color="auto"/>
              <w:left w:val="single" w:sz="8" w:space="0" w:color="auto"/>
              <w:bottom w:val="single" w:sz="8" w:space="0" w:color="auto"/>
              <w:right w:val="single" w:sz="8" w:space="0" w:color="auto"/>
            </w:tcBorders>
            <w:hideMark/>
          </w:tcPr>
          <w:p w:rsidR="00BC1850" w:rsidRPr="005E1444" w:rsidRDefault="00BC1850" w:rsidP="00E35C09">
            <w:pPr>
              <w:rPr>
                <w:color w:val="000000"/>
                <w:lang w:eastAsia="el-GR"/>
              </w:rPr>
            </w:pPr>
            <w:r w:rsidRPr="008C31A1">
              <w:rPr>
                <w:color w:val="000000"/>
                <w:lang w:eastAsia="el-GR"/>
              </w:rPr>
              <w:t xml:space="preserve">Hypercalcæmi, hyperfosfatæmi </w:t>
            </w:r>
          </w:p>
        </w:tc>
        <w:tc>
          <w:tcPr>
            <w:tcW w:w="2301" w:type="dxa"/>
            <w:tcBorders>
              <w:top w:val="single" w:sz="8" w:space="0" w:color="auto"/>
              <w:left w:val="single" w:sz="8" w:space="0" w:color="auto"/>
              <w:bottom w:val="single" w:sz="8" w:space="0" w:color="auto"/>
              <w:right w:val="single" w:sz="8" w:space="0" w:color="auto"/>
            </w:tcBorders>
            <w:hideMark/>
          </w:tcPr>
          <w:p w:rsidR="00BC1850" w:rsidRPr="005E1444" w:rsidRDefault="00BC1850" w:rsidP="00E35C09">
            <w:pPr>
              <w:rPr>
                <w:color w:val="000000"/>
                <w:lang w:eastAsia="el-GR"/>
              </w:rPr>
            </w:pPr>
            <w:r w:rsidRPr="008C31A1">
              <w:rPr>
                <w:color w:val="000000"/>
                <w:lang w:eastAsia="el-GR"/>
              </w:rPr>
              <w:t>Almindelig</w:t>
            </w:r>
            <w:r w:rsidRPr="005E1444">
              <w:rPr>
                <w:color w:val="000000"/>
                <w:lang w:eastAsia="el-GR"/>
              </w:rPr>
              <w:t xml:space="preserve"> </w:t>
            </w:r>
          </w:p>
        </w:tc>
      </w:tr>
      <w:tr w:rsidR="00BC1850" w:rsidRPr="008C31A1" w:rsidTr="00E35C09">
        <w:trPr>
          <w:tblCellSpacing w:w="0" w:type="dxa"/>
          <w:jc w:val="center"/>
        </w:trPr>
        <w:tc>
          <w:tcPr>
            <w:tcW w:w="2623" w:type="dxa"/>
            <w:vMerge/>
            <w:tcBorders>
              <w:left w:val="single" w:sz="8" w:space="0" w:color="auto"/>
              <w:bottom w:val="single" w:sz="8" w:space="0" w:color="auto"/>
              <w:right w:val="single" w:sz="8" w:space="0" w:color="auto"/>
            </w:tcBorders>
            <w:hideMark/>
          </w:tcPr>
          <w:p w:rsidR="00BC1850" w:rsidRPr="00522F9A" w:rsidRDefault="00BC1850" w:rsidP="00E35C09">
            <w:pPr>
              <w:rPr>
                <w:color w:val="000000"/>
                <w:lang w:eastAsia="el-GR"/>
              </w:rPr>
            </w:pPr>
          </w:p>
        </w:tc>
        <w:tc>
          <w:tcPr>
            <w:tcW w:w="2948" w:type="dxa"/>
            <w:tcBorders>
              <w:top w:val="single" w:sz="8" w:space="0" w:color="auto"/>
              <w:left w:val="single" w:sz="8" w:space="0" w:color="auto"/>
              <w:bottom w:val="single" w:sz="8" w:space="0" w:color="auto"/>
              <w:right w:val="single" w:sz="8" w:space="0" w:color="auto"/>
            </w:tcBorders>
            <w:hideMark/>
          </w:tcPr>
          <w:p w:rsidR="00BC1850" w:rsidRPr="00522F9A" w:rsidRDefault="00BC1850" w:rsidP="00E35C09">
            <w:pPr>
              <w:rPr>
                <w:color w:val="000000"/>
                <w:lang w:eastAsia="el-GR"/>
              </w:rPr>
            </w:pPr>
            <w:r w:rsidRPr="008C31A1">
              <w:rPr>
                <w:color w:val="000000"/>
                <w:lang w:eastAsia="el-GR"/>
              </w:rPr>
              <w:t xml:space="preserve">Hyperkaliæmi, </w:t>
            </w:r>
          </w:p>
          <w:p w:rsidR="00BC1850" w:rsidRPr="00522F9A" w:rsidRDefault="00BC1850" w:rsidP="00E35C09">
            <w:pPr>
              <w:rPr>
                <w:color w:val="000000"/>
                <w:lang w:eastAsia="el-GR"/>
              </w:rPr>
            </w:pPr>
            <w:r w:rsidRPr="008C31A1">
              <w:rPr>
                <w:color w:val="000000"/>
                <w:lang w:eastAsia="el-GR"/>
              </w:rPr>
              <w:t>hypocalcæmi</w:t>
            </w:r>
            <w:r w:rsidRPr="00522F9A">
              <w:rPr>
                <w:color w:val="000000"/>
                <w:lang w:eastAsia="el-GR"/>
              </w:rPr>
              <w:t xml:space="preserve"> </w:t>
            </w:r>
          </w:p>
          <w:p w:rsidR="00BC1850" w:rsidRPr="00522F9A" w:rsidRDefault="00BC1850" w:rsidP="00E35C09">
            <w:pPr>
              <w:rPr>
                <w:color w:val="000000"/>
                <w:lang w:eastAsia="el-GR"/>
              </w:rPr>
            </w:pPr>
            <w:r w:rsidRPr="008C31A1">
              <w:rPr>
                <w:color w:val="000000"/>
                <w:lang w:eastAsia="el-GR"/>
              </w:rPr>
              <w:t>anoreksi</w:t>
            </w:r>
            <w:r w:rsidRPr="00522F9A">
              <w:rPr>
                <w:color w:val="000000"/>
                <w:lang w:eastAsia="el-GR"/>
              </w:rPr>
              <w:t xml:space="preserve"> </w:t>
            </w:r>
          </w:p>
        </w:tc>
        <w:tc>
          <w:tcPr>
            <w:tcW w:w="2301" w:type="dxa"/>
            <w:tcBorders>
              <w:top w:val="single" w:sz="8" w:space="0" w:color="auto"/>
              <w:left w:val="single" w:sz="8" w:space="0" w:color="auto"/>
              <w:bottom w:val="single" w:sz="8" w:space="0" w:color="auto"/>
              <w:right w:val="single" w:sz="8" w:space="0" w:color="auto"/>
            </w:tcBorders>
            <w:hideMark/>
          </w:tcPr>
          <w:p w:rsidR="00BC1850" w:rsidRPr="00522F9A" w:rsidRDefault="00BC1850" w:rsidP="00E35C09">
            <w:pPr>
              <w:rPr>
                <w:color w:val="000000"/>
                <w:lang w:eastAsia="el-GR"/>
              </w:rPr>
            </w:pPr>
            <w:r w:rsidRPr="008C31A1">
              <w:rPr>
                <w:color w:val="000000"/>
                <w:lang w:eastAsia="el-GR"/>
              </w:rPr>
              <w:t xml:space="preserve">Ikke almindelig </w:t>
            </w:r>
          </w:p>
        </w:tc>
      </w:tr>
      <w:tr w:rsidR="00BC1850" w:rsidRPr="008C31A1" w:rsidTr="00E35C09">
        <w:trPr>
          <w:tblCellSpacing w:w="0" w:type="dxa"/>
          <w:jc w:val="center"/>
        </w:trPr>
        <w:tc>
          <w:tcPr>
            <w:tcW w:w="2623" w:type="dxa"/>
            <w:tcBorders>
              <w:top w:val="single" w:sz="8" w:space="0" w:color="auto"/>
              <w:left w:val="single" w:sz="8" w:space="0" w:color="auto"/>
              <w:bottom w:val="single" w:sz="8" w:space="0" w:color="auto"/>
              <w:right w:val="single" w:sz="8" w:space="0" w:color="auto"/>
            </w:tcBorders>
          </w:tcPr>
          <w:p w:rsidR="00BC1850" w:rsidRPr="006C552C" w:rsidRDefault="00BC1850" w:rsidP="00E35C09">
            <w:pPr>
              <w:rPr>
                <w:color w:val="000000"/>
                <w:lang w:eastAsia="el-GR"/>
              </w:rPr>
            </w:pPr>
            <w:r w:rsidRPr="008C31A1">
              <w:rPr>
                <w:color w:val="000000"/>
                <w:lang w:eastAsia="el-GR"/>
              </w:rPr>
              <w:t>Psykiske forstyrrelser</w:t>
            </w:r>
            <w:r w:rsidRPr="006C552C">
              <w:rPr>
                <w:color w:val="000000"/>
                <w:lang w:eastAsia="el-GR"/>
              </w:rPr>
              <w:t xml:space="preserve"> </w:t>
            </w:r>
          </w:p>
        </w:tc>
        <w:tc>
          <w:tcPr>
            <w:tcW w:w="2948" w:type="dxa"/>
            <w:tcBorders>
              <w:top w:val="single" w:sz="8" w:space="0" w:color="auto"/>
              <w:left w:val="single" w:sz="8" w:space="0" w:color="auto"/>
              <w:bottom w:val="single" w:sz="8" w:space="0" w:color="auto"/>
              <w:right w:val="single" w:sz="8" w:space="0" w:color="auto"/>
            </w:tcBorders>
          </w:tcPr>
          <w:p w:rsidR="00BC1850" w:rsidRPr="006C552C" w:rsidRDefault="00BC1850" w:rsidP="00E35C09">
            <w:pPr>
              <w:rPr>
                <w:color w:val="000000"/>
                <w:lang w:eastAsia="el-GR"/>
              </w:rPr>
            </w:pPr>
            <w:r w:rsidRPr="006C552C">
              <w:rPr>
                <w:color w:val="000000"/>
                <w:lang w:eastAsia="el-GR"/>
              </w:rPr>
              <w:t xml:space="preserve">Forvirring, delirium, personlighedsforstyrrelser, ophidselse, søvnløshed, nervøsitet </w:t>
            </w:r>
          </w:p>
        </w:tc>
        <w:tc>
          <w:tcPr>
            <w:tcW w:w="2301" w:type="dxa"/>
            <w:tcBorders>
              <w:top w:val="single" w:sz="8" w:space="0" w:color="auto"/>
              <w:left w:val="single" w:sz="8" w:space="0" w:color="auto"/>
              <w:bottom w:val="single" w:sz="8" w:space="0" w:color="auto"/>
              <w:right w:val="single" w:sz="8" w:space="0" w:color="auto"/>
            </w:tcBorders>
          </w:tcPr>
          <w:p w:rsidR="00BC1850" w:rsidRPr="006C552C" w:rsidRDefault="00BC1850" w:rsidP="00E35C09">
            <w:pPr>
              <w:rPr>
                <w:color w:val="000000"/>
                <w:lang w:eastAsia="el-GR"/>
              </w:rPr>
            </w:pPr>
            <w:r w:rsidRPr="008C31A1">
              <w:rPr>
                <w:color w:val="000000"/>
                <w:lang w:eastAsia="el-GR"/>
              </w:rPr>
              <w:t>Ikke almindelig</w:t>
            </w:r>
            <w:r w:rsidRPr="006C552C">
              <w:rPr>
                <w:color w:val="000000"/>
                <w:lang w:eastAsia="el-GR"/>
              </w:rPr>
              <w:t xml:space="preserve"> </w:t>
            </w:r>
          </w:p>
        </w:tc>
      </w:tr>
      <w:tr w:rsidR="00BC1850" w:rsidRPr="008C31A1" w:rsidTr="00E35C09">
        <w:trPr>
          <w:tblCellSpacing w:w="0" w:type="dxa"/>
          <w:jc w:val="center"/>
        </w:trPr>
        <w:tc>
          <w:tcPr>
            <w:tcW w:w="2623" w:type="dxa"/>
            <w:vMerge w:val="restart"/>
            <w:tcBorders>
              <w:top w:val="single" w:sz="8" w:space="0" w:color="auto"/>
              <w:left w:val="single" w:sz="8" w:space="0" w:color="auto"/>
              <w:right w:val="single" w:sz="8" w:space="0" w:color="auto"/>
            </w:tcBorders>
            <w:hideMark/>
          </w:tcPr>
          <w:p w:rsidR="00BC1850" w:rsidRPr="008C31A1" w:rsidRDefault="00BC1850" w:rsidP="00E35C09">
            <w:pPr>
              <w:rPr>
                <w:lang w:eastAsia="el-GR"/>
              </w:rPr>
            </w:pPr>
            <w:r w:rsidRPr="008C31A1">
              <w:rPr>
                <w:color w:val="000000"/>
                <w:lang w:eastAsia="el-GR"/>
              </w:rPr>
              <w:t>Nervesystemet</w:t>
            </w:r>
            <w:r w:rsidRPr="008C31A1">
              <w:rPr>
                <w:lang w:eastAsia="el-GR"/>
              </w:rPr>
              <w:t xml:space="preserve"> </w:t>
            </w:r>
          </w:p>
          <w:p w:rsidR="00BC1850" w:rsidRPr="008C31A1" w:rsidRDefault="00BC1850" w:rsidP="00E35C09">
            <w:pPr>
              <w:rPr>
                <w:lang w:eastAsia="el-GR"/>
              </w:rPr>
            </w:pPr>
            <w:r w:rsidRPr="008C31A1">
              <w:rPr>
                <w:lang w:eastAsia="el-GR"/>
              </w:rPr>
              <w:t> </w:t>
            </w:r>
          </w:p>
        </w:tc>
        <w:tc>
          <w:tcPr>
            <w:tcW w:w="2948" w:type="dxa"/>
            <w:tcBorders>
              <w:top w:val="single" w:sz="8" w:space="0" w:color="auto"/>
              <w:left w:val="single" w:sz="8" w:space="0" w:color="auto"/>
              <w:bottom w:val="single" w:sz="8" w:space="0" w:color="auto"/>
              <w:right w:val="single" w:sz="8" w:space="0" w:color="auto"/>
            </w:tcBorders>
            <w:hideMark/>
          </w:tcPr>
          <w:p w:rsidR="00BC1850" w:rsidRPr="008C31A1" w:rsidRDefault="00BC1850" w:rsidP="00E35C09">
            <w:pPr>
              <w:rPr>
                <w:lang w:eastAsia="el-GR"/>
              </w:rPr>
            </w:pPr>
            <w:r w:rsidRPr="008C31A1">
              <w:rPr>
                <w:color w:val="000000"/>
                <w:lang w:eastAsia="el-GR"/>
              </w:rPr>
              <w:t>Hovedpine, dysgeusi</w:t>
            </w:r>
            <w:r w:rsidRPr="008C31A1">
              <w:rPr>
                <w:lang w:eastAsia="el-GR"/>
              </w:rPr>
              <w:t xml:space="preserve"> </w:t>
            </w:r>
          </w:p>
          <w:p w:rsidR="00BC1850" w:rsidRPr="008C31A1" w:rsidRDefault="00BC1850" w:rsidP="00E35C09">
            <w:pPr>
              <w:rPr>
                <w:lang w:eastAsia="el-GR"/>
              </w:rPr>
            </w:pPr>
            <w:r w:rsidRPr="008C31A1">
              <w:rPr>
                <w:color w:val="000000"/>
                <w:lang w:eastAsia="el-GR"/>
              </w:rPr>
              <w:t> </w:t>
            </w:r>
            <w:r w:rsidRPr="008C31A1">
              <w:rPr>
                <w:lang w:eastAsia="el-GR"/>
              </w:rPr>
              <w:t xml:space="preserve"> </w:t>
            </w:r>
          </w:p>
        </w:tc>
        <w:tc>
          <w:tcPr>
            <w:tcW w:w="2301" w:type="dxa"/>
            <w:tcBorders>
              <w:top w:val="single" w:sz="8" w:space="0" w:color="auto"/>
              <w:left w:val="single" w:sz="8" w:space="0" w:color="auto"/>
              <w:bottom w:val="single" w:sz="8" w:space="0" w:color="auto"/>
              <w:right w:val="single" w:sz="8" w:space="0" w:color="auto"/>
            </w:tcBorders>
            <w:hideMark/>
          </w:tcPr>
          <w:p w:rsidR="00BC1850" w:rsidRPr="008C31A1" w:rsidRDefault="00BC1850" w:rsidP="00E35C09">
            <w:pPr>
              <w:rPr>
                <w:lang w:eastAsia="el-GR"/>
              </w:rPr>
            </w:pPr>
            <w:r w:rsidRPr="008C31A1">
              <w:rPr>
                <w:color w:val="000000"/>
                <w:lang w:eastAsia="el-GR"/>
              </w:rPr>
              <w:t>Almindelig</w:t>
            </w:r>
            <w:r w:rsidRPr="008C31A1">
              <w:rPr>
                <w:lang w:eastAsia="el-GR"/>
              </w:rPr>
              <w:t xml:space="preserve"> </w:t>
            </w:r>
          </w:p>
          <w:p w:rsidR="00BC1850" w:rsidRPr="008C31A1" w:rsidRDefault="00BC1850" w:rsidP="00E35C09">
            <w:pPr>
              <w:rPr>
                <w:lang w:eastAsia="el-GR"/>
              </w:rPr>
            </w:pPr>
            <w:r w:rsidRPr="008C31A1">
              <w:rPr>
                <w:color w:val="000000"/>
                <w:lang w:eastAsia="el-GR"/>
              </w:rPr>
              <w:t> </w:t>
            </w:r>
            <w:r w:rsidRPr="008C31A1">
              <w:rPr>
                <w:lang w:eastAsia="el-GR"/>
              </w:rPr>
              <w:t xml:space="preserve"> </w:t>
            </w:r>
          </w:p>
        </w:tc>
      </w:tr>
      <w:tr w:rsidR="00BC1850" w:rsidRPr="008C31A1" w:rsidTr="00E35C09">
        <w:trPr>
          <w:tblCellSpacing w:w="0" w:type="dxa"/>
          <w:jc w:val="center"/>
        </w:trPr>
        <w:tc>
          <w:tcPr>
            <w:tcW w:w="2623" w:type="dxa"/>
            <w:vMerge/>
            <w:tcBorders>
              <w:left w:val="single" w:sz="8" w:space="0" w:color="auto"/>
              <w:bottom w:val="single" w:sz="8" w:space="0" w:color="auto"/>
              <w:right w:val="single" w:sz="8" w:space="0" w:color="auto"/>
            </w:tcBorders>
            <w:hideMark/>
          </w:tcPr>
          <w:p w:rsidR="00BC1850" w:rsidRPr="008C31A1" w:rsidRDefault="00BC1850" w:rsidP="00E35C09">
            <w:pPr>
              <w:rPr>
                <w:lang w:eastAsia="el-GR"/>
              </w:rPr>
            </w:pPr>
          </w:p>
        </w:tc>
        <w:tc>
          <w:tcPr>
            <w:tcW w:w="2948" w:type="dxa"/>
            <w:tcBorders>
              <w:top w:val="single" w:sz="8" w:space="0" w:color="auto"/>
              <w:left w:val="single" w:sz="8" w:space="0" w:color="auto"/>
              <w:bottom w:val="single" w:sz="8" w:space="0" w:color="auto"/>
              <w:right w:val="single" w:sz="8" w:space="0" w:color="auto"/>
            </w:tcBorders>
            <w:hideMark/>
          </w:tcPr>
          <w:p w:rsidR="00BC1850" w:rsidRPr="008C31A1" w:rsidRDefault="00BC1850" w:rsidP="00E35C09">
            <w:pPr>
              <w:rPr>
                <w:lang w:eastAsia="el-GR"/>
              </w:rPr>
            </w:pPr>
            <w:r w:rsidRPr="008C31A1">
              <w:rPr>
                <w:color w:val="000000"/>
                <w:lang w:eastAsia="el-GR"/>
              </w:rPr>
              <w:t xml:space="preserve">Koma, cerebrovaskulære anfald, forbigående iskæmisk anfald, synkope, myoklonus, hypoæsthesia, </w:t>
            </w:r>
            <w:r w:rsidRPr="00C73AE7">
              <w:rPr>
                <w:bCs/>
                <w:color w:val="000000"/>
                <w:lang w:eastAsia="el-GR"/>
              </w:rPr>
              <w:t>paræsthesia</w:t>
            </w:r>
            <w:r w:rsidRPr="00C73AE7">
              <w:rPr>
                <w:color w:val="000000"/>
                <w:lang w:eastAsia="el-GR"/>
              </w:rPr>
              <w:t xml:space="preserve"> </w:t>
            </w:r>
            <w:r w:rsidRPr="008C31A1">
              <w:rPr>
                <w:color w:val="000000"/>
                <w:lang w:eastAsia="el-GR"/>
              </w:rPr>
              <w:t>svimmelhed</w:t>
            </w:r>
            <w:r w:rsidRPr="008C31A1">
              <w:rPr>
                <w:lang w:eastAsia="el-GR"/>
              </w:rPr>
              <w:t xml:space="preserve"> </w:t>
            </w:r>
          </w:p>
        </w:tc>
        <w:tc>
          <w:tcPr>
            <w:tcW w:w="2301" w:type="dxa"/>
            <w:tcBorders>
              <w:top w:val="single" w:sz="8" w:space="0" w:color="auto"/>
              <w:left w:val="single" w:sz="8" w:space="0" w:color="auto"/>
              <w:bottom w:val="single" w:sz="8" w:space="0" w:color="auto"/>
              <w:right w:val="single" w:sz="8" w:space="0" w:color="auto"/>
            </w:tcBorders>
            <w:hideMark/>
          </w:tcPr>
          <w:p w:rsidR="00BC1850" w:rsidRPr="008C31A1" w:rsidRDefault="00BC1850" w:rsidP="00E35C09">
            <w:pPr>
              <w:rPr>
                <w:lang w:eastAsia="el-GR"/>
              </w:rPr>
            </w:pPr>
            <w:r w:rsidRPr="008C31A1">
              <w:rPr>
                <w:color w:val="000000"/>
                <w:lang w:eastAsia="el-GR"/>
              </w:rPr>
              <w:t>Ikke almindelig</w:t>
            </w:r>
            <w:r w:rsidRPr="008C31A1">
              <w:rPr>
                <w:lang w:eastAsia="el-GR"/>
              </w:rPr>
              <w:t xml:space="preserve"> </w:t>
            </w:r>
          </w:p>
        </w:tc>
      </w:tr>
      <w:tr w:rsidR="00BC1850" w:rsidRPr="008C31A1" w:rsidTr="00E35C09">
        <w:trPr>
          <w:tblCellSpacing w:w="0" w:type="dxa"/>
          <w:jc w:val="center"/>
        </w:trPr>
        <w:tc>
          <w:tcPr>
            <w:tcW w:w="2623" w:type="dxa"/>
            <w:tcBorders>
              <w:top w:val="single" w:sz="8" w:space="0" w:color="auto"/>
              <w:left w:val="single" w:sz="8" w:space="0" w:color="auto"/>
              <w:bottom w:val="single" w:sz="8" w:space="0" w:color="auto"/>
              <w:right w:val="single" w:sz="8" w:space="0" w:color="auto"/>
            </w:tcBorders>
            <w:hideMark/>
          </w:tcPr>
          <w:p w:rsidR="00BC1850" w:rsidRPr="008C31A1" w:rsidRDefault="00BC1850" w:rsidP="00E35C09">
            <w:pPr>
              <w:rPr>
                <w:lang w:eastAsia="el-GR"/>
              </w:rPr>
            </w:pPr>
            <w:r w:rsidRPr="008C31A1">
              <w:rPr>
                <w:color w:val="000000"/>
                <w:lang w:eastAsia="el-GR"/>
              </w:rPr>
              <w:t>Øjne</w:t>
            </w:r>
            <w:r w:rsidRPr="008C31A1">
              <w:rPr>
                <w:lang w:eastAsia="el-GR"/>
              </w:rPr>
              <w:t xml:space="preserve"> </w:t>
            </w:r>
          </w:p>
        </w:tc>
        <w:tc>
          <w:tcPr>
            <w:tcW w:w="2948" w:type="dxa"/>
            <w:tcBorders>
              <w:top w:val="single" w:sz="8" w:space="0" w:color="auto"/>
              <w:left w:val="single" w:sz="8" w:space="0" w:color="auto"/>
              <w:bottom w:val="single" w:sz="8" w:space="0" w:color="auto"/>
              <w:right w:val="single" w:sz="8" w:space="0" w:color="auto"/>
            </w:tcBorders>
            <w:hideMark/>
          </w:tcPr>
          <w:p w:rsidR="00BC1850" w:rsidRPr="008C31A1" w:rsidRDefault="00BC1850" w:rsidP="00E35C09">
            <w:pPr>
              <w:rPr>
                <w:lang w:eastAsia="el-GR"/>
              </w:rPr>
            </w:pPr>
            <w:r w:rsidRPr="008C31A1">
              <w:rPr>
                <w:color w:val="000000"/>
                <w:lang w:eastAsia="el-GR"/>
              </w:rPr>
              <w:t>Glaukom, konjunktivitis</w:t>
            </w:r>
            <w:r w:rsidRPr="008C31A1">
              <w:rPr>
                <w:lang w:eastAsia="el-GR"/>
              </w:rPr>
              <w:t xml:space="preserve"> </w:t>
            </w:r>
          </w:p>
        </w:tc>
        <w:tc>
          <w:tcPr>
            <w:tcW w:w="2301" w:type="dxa"/>
            <w:tcBorders>
              <w:top w:val="single" w:sz="8" w:space="0" w:color="auto"/>
              <w:left w:val="single" w:sz="8" w:space="0" w:color="auto"/>
              <w:bottom w:val="single" w:sz="8" w:space="0" w:color="auto"/>
              <w:right w:val="single" w:sz="8" w:space="0" w:color="auto"/>
            </w:tcBorders>
            <w:hideMark/>
          </w:tcPr>
          <w:p w:rsidR="00BC1850" w:rsidRPr="008C31A1" w:rsidRDefault="00BC1850" w:rsidP="00E35C09">
            <w:pPr>
              <w:rPr>
                <w:lang w:eastAsia="el-GR"/>
              </w:rPr>
            </w:pPr>
            <w:r w:rsidRPr="008C31A1">
              <w:rPr>
                <w:color w:val="000000"/>
                <w:lang w:eastAsia="el-GR"/>
              </w:rPr>
              <w:t>Ikke almindelig</w:t>
            </w:r>
            <w:r w:rsidRPr="008C31A1">
              <w:rPr>
                <w:lang w:eastAsia="el-GR"/>
              </w:rPr>
              <w:t xml:space="preserve"> </w:t>
            </w:r>
          </w:p>
        </w:tc>
      </w:tr>
      <w:tr w:rsidR="00BC1850" w:rsidRPr="008C31A1" w:rsidTr="00E35C09">
        <w:trPr>
          <w:tblCellSpacing w:w="0" w:type="dxa"/>
          <w:jc w:val="center"/>
        </w:trPr>
        <w:tc>
          <w:tcPr>
            <w:tcW w:w="2623" w:type="dxa"/>
            <w:tcBorders>
              <w:top w:val="single" w:sz="8" w:space="0" w:color="auto"/>
              <w:left w:val="single" w:sz="8" w:space="0" w:color="auto"/>
              <w:bottom w:val="single" w:sz="8" w:space="0" w:color="auto"/>
              <w:right w:val="single" w:sz="8" w:space="0" w:color="auto"/>
            </w:tcBorders>
            <w:hideMark/>
          </w:tcPr>
          <w:p w:rsidR="00BC1850" w:rsidRPr="008C31A1" w:rsidRDefault="00BC1850" w:rsidP="00E35C09">
            <w:pPr>
              <w:rPr>
                <w:lang w:eastAsia="el-GR"/>
              </w:rPr>
            </w:pPr>
            <w:r w:rsidRPr="008C31A1">
              <w:rPr>
                <w:color w:val="000000"/>
                <w:lang w:eastAsia="el-GR"/>
              </w:rPr>
              <w:t>Øre og labyrint</w:t>
            </w:r>
            <w:r w:rsidRPr="008C31A1">
              <w:rPr>
                <w:lang w:eastAsia="el-GR"/>
              </w:rPr>
              <w:t xml:space="preserve"> </w:t>
            </w:r>
          </w:p>
        </w:tc>
        <w:tc>
          <w:tcPr>
            <w:tcW w:w="2948" w:type="dxa"/>
            <w:tcBorders>
              <w:top w:val="single" w:sz="8" w:space="0" w:color="auto"/>
              <w:left w:val="single" w:sz="8" w:space="0" w:color="auto"/>
              <w:bottom w:val="single" w:sz="8" w:space="0" w:color="auto"/>
              <w:right w:val="single" w:sz="8" w:space="0" w:color="auto"/>
            </w:tcBorders>
            <w:hideMark/>
          </w:tcPr>
          <w:p w:rsidR="00BC1850" w:rsidRPr="008C31A1" w:rsidRDefault="00BC1850" w:rsidP="00E35C09">
            <w:pPr>
              <w:rPr>
                <w:lang w:eastAsia="el-GR"/>
              </w:rPr>
            </w:pPr>
            <w:r w:rsidRPr="008C31A1">
              <w:rPr>
                <w:color w:val="000000"/>
                <w:lang w:eastAsia="el-GR"/>
              </w:rPr>
              <w:t>Ørelidelse</w:t>
            </w:r>
            <w:r w:rsidRPr="008C31A1">
              <w:rPr>
                <w:lang w:eastAsia="el-GR"/>
              </w:rPr>
              <w:t xml:space="preserve"> </w:t>
            </w:r>
          </w:p>
        </w:tc>
        <w:tc>
          <w:tcPr>
            <w:tcW w:w="2301" w:type="dxa"/>
            <w:tcBorders>
              <w:top w:val="single" w:sz="8" w:space="0" w:color="auto"/>
              <w:left w:val="single" w:sz="8" w:space="0" w:color="auto"/>
              <w:bottom w:val="single" w:sz="8" w:space="0" w:color="auto"/>
              <w:right w:val="single" w:sz="8" w:space="0" w:color="auto"/>
            </w:tcBorders>
            <w:hideMark/>
          </w:tcPr>
          <w:p w:rsidR="00BC1850" w:rsidRPr="008C31A1" w:rsidRDefault="00BC1850" w:rsidP="00E35C09">
            <w:pPr>
              <w:rPr>
                <w:lang w:eastAsia="el-GR"/>
              </w:rPr>
            </w:pPr>
            <w:r w:rsidRPr="008C31A1">
              <w:rPr>
                <w:color w:val="000000"/>
                <w:lang w:eastAsia="el-GR"/>
              </w:rPr>
              <w:t>Ikke almindelig</w:t>
            </w:r>
            <w:r w:rsidRPr="008C31A1">
              <w:rPr>
                <w:lang w:eastAsia="el-GR"/>
              </w:rPr>
              <w:t xml:space="preserve"> </w:t>
            </w:r>
          </w:p>
        </w:tc>
      </w:tr>
      <w:tr w:rsidR="00BC1850" w:rsidRPr="008C31A1" w:rsidTr="00E35C09">
        <w:trPr>
          <w:tblCellSpacing w:w="0" w:type="dxa"/>
          <w:jc w:val="center"/>
        </w:trPr>
        <w:tc>
          <w:tcPr>
            <w:tcW w:w="2623" w:type="dxa"/>
            <w:tcBorders>
              <w:top w:val="single" w:sz="8" w:space="0" w:color="auto"/>
              <w:left w:val="single" w:sz="8" w:space="0" w:color="auto"/>
              <w:bottom w:val="single" w:sz="8" w:space="0" w:color="auto"/>
              <w:right w:val="single" w:sz="8" w:space="0" w:color="auto"/>
            </w:tcBorders>
            <w:hideMark/>
          </w:tcPr>
          <w:p w:rsidR="00BC1850" w:rsidRPr="00E22249" w:rsidRDefault="00BC1850" w:rsidP="00E35C09">
            <w:pPr>
              <w:rPr>
                <w:color w:val="000000"/>
                <w:lang w:eastAsia="el-GR"/>
              </w:rPr>
            </w:pPr>
            <w:r w:rsidRPr="008C31A1">
              <w:rPr>
                <w:color w:val="000000"/>
                <w:lang w:eastAsia="el-GR"/>
              </w:rPr>
              <w:t xml:space="preserve">Hjerte </w:t>
            </w:r>
          </w:p>
        </w:tc>
        <w:tc>
          <w:tcPr>
            <w:tcW w:w="2948" w:type="dxa"/>
            <w:tcBorders>
              <w:top w:val="single" w:sz="8" w:space="0" w:color="auto"/>
              <w:left w:val="single" w:sz="8" w:space="0" w:color="auto"/>
              <w:bottom w:val="single" w:sz="8" w:space="0" w:color="auto"/>
              <w:right w:val="single" w:sz="8" w:space="0" w:color="auto"/>
            </w:tcBorders>
            <w:hideMark/>
          </w:tcPr>
          <w:p w:rsidR="00BC1850" w:rsidRPr="00E22249" w:rsidRDefault="00BC1850" w:rsidP="00E35C09">
            <w:pPr>
              <w:rPr>
                <w:color w:val="000000"/>
                <w:lang w:eastAsia="el-GR"/>
              </w:rPr>
            </w:pPr>
            <w:r w:rsidRPr="008C31A1">
              <w:rPr>
                <w:color w:val="000000"/>
                <w:lang w:eastAsia="el-GR"/>
              </w:rPr>
              <w:t>Hjertestop, arrytmi, arterieflimren</w:t>
            </w:r>
            <w:r w:rsidRPr="00E22249">
              <w:rPr>
                <w:color w:val="000000"/>
                <w:lang w:eastAsia="el-GR"/>
              </w:rPr>
              <w:t xml:space="preserve"> </w:t>
            </w:r>
          </w:p>
        </w:tc>
        <w:tc>
          <w:tcPr>
            <w:tcW w:w="2301" w:type="dxa"/>
            <w:tcBorders>
              <w:top w:val="single" w:sz="8" w:space="0" w:color="auto"/>
              <w:left w:val="single" w:sz="8" w:space="0" w:color="auto"/>
              <w:bottom w:val="single" w:sz="8" w:space="0" w:color="auto"/>
              <w:right w:val="single" w:sz="8" w:space="0" w:color="auto"/>
            </w:tcBorders>
            <w:hideMark/>
          </w:tcPr>
          <w:p w:rsidR="00BC1850" w:rsidRPr="00E22249" w:rsidRDefault="00BC1850" w:rsidP="00E35C09">
            <w:pPr>
              <w:rPr>
                <w:color w:val="000000"/>
                <w:lang w:eastAsia="el-GR"/>
              </w:rPr>
            </w:pPr>
            <w:r w:rsidRPr="008C31A1">
              <w:rPr>
                <w:color w:val="000000"/>
                <w:lang w:eastAsia="el-GR"/>
              </w:rPr>
              <w:t>Ikke almindelig</w:t>
            </w:r>
            <w:r w:rsidRPr="00E22249">
              <w:rPr>
                <w:color w:val="000000"/>
                <w:lang w:eastAsia="el-GR"/>
              </w:rPr>
              <w:t xml:space="preserve"> </w:t>
            </w:r>
          </w:p>
        </w:tc>
      </w:tr>
      <w:tr w:rsidR="00BC1850" w:rsidRPr="008C31A1" w:rsidTr="00E35C09">
        <w:trPr>
          <w:tblCellSpacing w:w="0" w:type="dxa"/>
          <w:jc w:val="center"/>
        </w:trPr>
        <w:tc>
          <w:tcPr>
            <w:tcW w:w="2623" w:type="dxa"/>
            <w:tcBorders>
              <w:top w:val="single" w:sz="8" w:space="0" w:color="auto"/>
              <w:left w:val="single" w:sz="8" w:space="0" w:color="auto"/>
              <w:bottom w:val="single" w:sz="8" w:space="0" w:color="auto"/>
              <w:right w:val="single" w:sz="8" w:space="0" w:color="auto"/>
            </w:tcBorders>
            <w:hideMark/>
          </w:tcPr>
          <w:p w:rsidR="00BC1850" w:rsidRPr="00E22249" w:rsidRDefault="00BC1850" w:rsidP="00E35C09">
            <w:pPr>
              <w:rPr>
                <w:color w:val="000000"/>
                <w:lang w:eastAsia="el-GR"/>
              </w:rPr>
            </w:pPr>
            <w:r w:rsidRPr="008C31A1">
              <w:rPr>
                <w:color w:val="000000"/>
                <w:lang w:eastAsia="el-GR"/>
              </w:rPr>
              <w:t>Vaskulære sygdomme</w:t>
            </w:r>
            <w:r w:rsidRPr="00E22249">
              <w:rPr>
                <w:color w:val="000000"/>
                <w:lang w:eastAsia="el-GR"/>
              </w:rPr>
              <w:t xml:space="preserve"> </w:t>
            </w:r>
          </w:p>
        </w:tc>
        <w:tc>
          <w:tcPr>
            <w:tcW w:w="2948" w:type="dxa"/>
            <w:tcBorders>
              <w:top w:val="single" w:sz="8" w:space="0" w:color="auto"/>
              <w:left w:val="single" w:sz="8" w:space="0" w:color="auto"/>
              <w:bottom w:val="single" w:sz="8" w:space="0" w:color="auto"/>
              <w:right w:val="single" w:sz="8" w:space="0" w:color="auto"/>
            </w:tcBorders>
            <w:hideMark/>
          </w:tcPr>
          <w:p w:rsidR="00BC1850" w:rsidRPr="00E22249" w:rsidRDefault="00BC1850" w:rsidP="00E35C09">
            <w:pPr>
              <w:rPr>
                <w:color w:val="000000"/>
                <w:lang w:eastAsia="el-GR"/>
              </w:rPr>
            </w:pPr>
            <w:r w:rsidRPr="008C31A1">
              <w:rPr>
                <w:color w:val="000000"/>
                <w:lang w:eastAsia="el-GR"/>
              </w:rPr>
              <w:t>Hypertension, hypotension</w:t>
            </w:r>
            <w:r w:rsidRPr="00E22249">
              <w:rPr>
                <w:color w:val="000000"/>
                <w:lang w:eastAsia="el-GR"/>
              </w:rPr>
              <w:t xml:space="preserve"> </w:t>
            </w:r>
          </w:p>
        </w:tc>
        <w:tc>
          <w:tcPr>
            <w:tcW w:w="2301" w:type="dxa"/>
            <w:tcBorders>
              <w:top w:val="single" w:sz="8" w:space="0" w:color="auto"/>
              <w:left w:val="single" w:sz="8" w:space="0" w:color="auto"/>
              <w:bottom w:val="single" w:sz="8" w:space="0" w:color="auto"/>
              <w:right w:val="single" w:sz="8" w:space="0" w:color="auto"/>
            </w:tcBorders>
            <w:hideMark/>
          </w:tcPr>
          <w:p w:rsidR="00BC1850" w:rsidRPr="00E22249" w:rsidRDefault="00BC1850" w:rsidP="00E35C09">
            <w:pPr>
              <w:rPr>
                <w:color w:val="000000"/>
                <w:lang w:eastAsia="el-GR"/>
              </w:rPr>
            </w:pPr>
            <w:r w:rsidRPr="008C31A1">
              <w:rPr>
                <w:color w:val="000000"/>
                <w:lang w:eastAsia="el-GR"/>
              </w:rPr>
              <w:t>Ikke almindelig</w:t>
            </w:r>
            <w:r w:rsidRPr="00E22249">
              <w:rPr>
                <w:color w:val="000000"/>
                <w:lang w:eastAsia="el-GR"/>
              </w:rPr>
              <w:t xml:space="preserve"> </w:t>
            </w:r>
          </w:p>
        </w:tc>
      </w:tr>
      <w:tr w:rsidR="00BC1850" w:rsidRPr="008C31A1" w:rsidTr="00E35C09">
        <w:trPr>
          <w:tblCellSpacing w:w="0" w:type="dxa"/>
          <w:jc w:val="center"/>
        </w:trPr>
        <w:tc>
          <w:tcPr>
            <w:tcW w:w="2623" w:type="dxa"/>
            <w:tcBorders>
              <w:top w:val="single" w:sz="8" w:space="0" w:color="auto"/>
              <w:left w:val="single" w:sz="8" w:space="0" w:color="auto"/>
              <w:bottom w:val="single" w:sz="8" w:space="0" w:color="auto"/>
              <w:right w:val="single" w:sz="8" w:space="0" w:color="auto"/>
            </w:tcBorders>
            <w:hideMark/>
          </w:tcPr>
          <w:p w:rsidR="00BC1850" w:rsidRPr="008C31A1" w:rsidRDefault="00BC1850" w:rsidP="00E35C09">
            <w:pPr>
              <w:rPr>
                <w:lang w:eastAsia="el-GR"/>
              </w:rPr>
            </w:pPr>
            <w:r w:rsidRPr="008C31A1">
              <w:rPr>
                <w:color w:val="000000"/>
                <w:lang w:eastAsia="el-GR"/>
              </w:rPr>
              <w:t>Luftveje, thorax og mediastinum</w:t>
            </w:r>
            <w:r w:rsidRPr="008C31A1">
              <w:rPr>
                <w:lang w:eastAsia="el-GR"/>
              </w:rPr>
              <w:t xml:space="preserve"> </w:t>
            </w:r>
          </w:p>
        </w:tc>
        <w:tc>
          <w:tcPr>
            <w:tcW w:w="2948" w:type="dxa"/>
            <w:tcBorders>
              <w:top w:val="single" w:sz="8" w:space="0" w:color="auto"/>
              <w:left w:val="single" w:sz="8" w:space="0" w:color="auto"/>
              <w:bottom w:val="single" w:sz="8" w:space="0" w:color="auto"/>
              <w:right w:val="single" w:sz="8" w:space="0" w:color="auto"/>
            </w:tcBorders>
            <w:hideMark/>
          </w:tcPr>
          <w:p w:rsidR="00BC1850" w:rsidRPr="00BC1850" w:rsidRDefault="00BC1850" w:rsidP="00E35C09">
            <w:pPr>
              <w:rPr>
                <w:lang w:eastAsia="el-GR"/>
              </w:rPr>
            </w:pPr>
            <w:r w:rsidRPr="00BC1850">
              <w:rPr>
                <w:color w:val="000000"/>
                <w:lang w:eastAsia="el-GR"/>
              </w:rPr>
              <w:t>Lungeødem, astma, dyspnø, epistaxis, hoste</w:t>
            </w:r>
            <w:r w:rsidRPr="00BC1850">
              <w:rPr>
                <w:lang w:eastAsia="el-GR"/>
              </w:rPr>
              <w:t xml:space="preserve"> </w:t>
            </w:r>
          </w:p>
        </w:tc>
        <w:tc>
          <w:tcPr>
            <w:tcW w:w="2301" w:type="dxa"/>
            <w:tcBorders>
              <w:top w:val="single" w:sz="8" w:space="0" w:color="auto"/>
              <w:left w:val="single" w:sz="8" w:space="0" w:color="auto"/>
              <w:bottom w:val="single" w:sz="8" w:space="0" w:color="auto"/>
              <w:right w:val="single" w:sz="8" w:space="0" w:color="auto"/>
            </w:tcBorders>
            <w:hideMark/>
          </w:tcPr>
          <w:p w:rsidR="00BC1850" w:rsidRPr="008C31A1" w:rsidRDefault="00BC1850" w:rsidP="00E35C09">
            <w:pPr>
              <w:rPr>
                <w:lang w:eastAsia="el-GR"/>
              </w:rPr>
            </w:pPr>
            <w:r w:rsidRPr="008C31A1">
              <w:rPr>
                <w:color w:val="000000"/>
                <w:lang w:eastAsia="el-GR"/>
              </w:rPr>
              <w:t>Ikke almindelig</w:t>
            </w:r>
            <w:r w:rsidRPr="008C31A1">
              <w:rPr>
                <w:lang w:eastAsia="el-GR"/>
              </w:rPr>
              <w:t xml:space="preserve"> </w:t>
            </w:r>
          </w:p>
        </w:tc>
      </w:tr>
      <w:tr w:rsidR="00BC1850" w:rsidRPr="008C31A1" w:rsidTr="00E35C09">
        <w:trPr>
          <w:tblCellSpacing w:w="0" w:type="dxa"/>
          <w:jc w:val="center"/>
        </w:trPr>
        <w:tc>
          <w:tcPr>
            <w:tcW w:w="2623" w:type="dxa"/>
            <w:tcBorders>
              <w:top w:val="single" w:sz="8" w:space="0" w:color="auto"/>
              <w:left w:val="single" w:sz="8" w:space="0" w:color="auto"/>
              <w:bottom w:val="single" w:sz="8" w:space="0" w:color="auto"/>
              <w:right w:val="single" w:sz="8" w:space="0" w:color="auto"/>
            </w:tcBorders>
            <w:hideMark/>
          </w:tcPr>
          <w:p w:rsidR="00BC1850" w:rsidRPr="008C31A1" w:rsidRDefault="00BC1850" w:rsidP="00E35C09">
            <w:pPr>
              <w:rPr>
                <w:lang w:eastAsia="el-GR"/>
              </w:rPr>
            </w:pPr>
            <w:r w:rsidRPr="008C31A1">
              <w:rPr>
                <w:color w:val="000000"/>
                <w:lang w:eastAsia="el-GR"/>
              </w:rPr>
              <w:t>Mave-tarm-kanalen</w:t>
            </w:r>
            <w:r w:rsidRPr="008C31A1">
              <w:rPr>
                <w:lang w:eastAsia="el-GR"/>
              </w:rPr>
              <w:t xml:space="preserve"> </w:t>
            </w:r>
          </w:p>
        </w:tc>
        <w:tc>
          <w:tcPr>
            <w:tcW w:w="2948" w:type="dxa"/>
            <w:tcBorders>
              <w:top w:val="single" w:sz="8" w:space="0" w:color="auto"/>
              <w:left w:val="single" w:sz="8" w:space="0" w:color="auto"/>
              <w:bottom w:val="single" w:sz="8" w:space="0" w:color="auto"/>
              <w:right w:val="single" w:sz="8" w:space="0" w:color="auto"/>
            </w:tcBorders>
            <w:hideMark/>
          </w:tcPr>
          <w:p w:rsidR="00BC1850" w:rsidRPr="00BC1850" w:rsidRDefault="00BC1850" w:rsidP="00E35C09">
            <w:pPr>
              <w:rPr>
                <w:lang w:eastAsia="el-GR"/>
              </w:rPr>
            </w:pPr>
            <w:r w:rsidRPr="00BC1850">
              <w:rPr>
                <w:color w:val="000000"/>
                <w:lang w:eastAsia="el-GR"/>
              </w:rPr>
              <w:t xml:space="preserve">Rektal blødning, colitis, diarré, gastritis, dyspepsi, dysfagi, abdominal smerter, </w:t>
            </w:r>
          </w:p>
          <w:p w:rsidR="00BC1850" w:rsidRPr="00BC1850" w:rsidRDefault="00BC1850" w:rsidP="00E35C09">
            <w:pPr>
              <w:rPr>
                <w:lang w:eastAsia="el-GR"/>
              </w:rPr>
            </w:pPr>
            <w:r w:rsidRPr="00BC1850">
              <w:rPr>
                <w:color w:val="000000"/>
                <w:lang w:eastAsia="el-GR"/>
              </w:rPr>
              <w:t>forstoppelse, kvalme, opkastning, mundtørhed, gastrointestinal lidelse</w:t>
            </w:r>
            <w:r w:rsidRPr="00BC1850">
              <w:rPr>
                <w:lang w:eastAsia="el-GR"/>
              </w:rPr>
              <w:t xml:space="preserve"> </w:t>
            </w:r>
          </w:p>
        </w:tc>
        <w:tc>
          <w:tcPr>
            <w:tcW w:w="2301" w:type="dxa"/>
            <w:tcBorders>
              <w:top w:val="single" w:sz="8" w:space="0" w:color="auto"/>
              <w:left w:val="single" w:sz="8" w:space="0" w:color="auto"/>
              <w:bottom w:val="single" w:sz="8" w:space="0" w:color="auto"/>
              <w:right w:val="single" w:sz="8" w:space="0" w:color="auto"/>
            </w:tcBorders>
            <w:hideMark/>
          </w:tcPr>
          <w:p w:rsidR="00BC1850" w:rsidRPr="008C31A1" w:rsidRDefault="00BC1850" w:rsidP="00E35C09">
            <w:pPr>
              <w:rPr>
                <w:lang w:eastAsia="el-GR"/>
              </w:rPr>
            </w:pPr>
            <w:r w:rsidRPr="008C31A1">
              <w:rPr>
                <w:color w:val="000000"/>
                <w:lang w:eastAsia="el-GR"/>
              </w:rPr>
              <w:t>Ikke almindelig</w:t>
            </w:r>
            <w:r w:rsidRPr="008C31A1">
              <w:rPr>
                <w:lang w:eastAsia="el-GR"/>
              </w:rPr>
              <w:t xml:space="preserve"> </w:t>
            </w:r>
          </w:p>
          <w:p w:rsidR="00BC1850" w:rsidRPr="008C31A1" w:rsidRDefault="00BC1850" w:rsidP="00E35C09">
            <w:pPr>
              <w:rPr>
                <w:lang w:eastAsia="el-GR"/>
              </w:rPr>
            </w:pPr>
            <w:r w:rsidRPr="008C31A1">
              <w:rPr>
                <w:color w:val="000000"/>
                <w:lang w:eastAsia="el-GR"/>
              </w:rPr>
              <w:t> </w:t>
            </w:r>
            <w:r w:rsidRPr="008C31A1">
              <w:rPr>
                <w:lang w:eastAsia="el-GR"/>
              </w:rPr>
              <w:t xml:space="preserve"> </w:t>
            </w:r>
          </w:p>
        </w:tc>
      </w:tr>
      <w:tr w:rsidR="00BC1850" w:rsidRPr="008C31A1" w:rsidTr="00E35C09">
        <w:trPr>
          <w:tblCellSpacing w:w="0" w:type="dxa"/>
          <w:jc w:val="center"/>
        </w:trPr>
        <w:tc>
          <w:tcPr>
            <w:tcW w:w="2623" w:type="dxa"/>
            <w:tcBorders>
              <w:top w:val="single" w:sz="8" w:space="0" w:color="auto"/>
              <w:left w:val="single" w:sz="8" w:space="0" w:color="auto"/>
              <w:bottom w:val="single" w:sz="8" w:space="0" w:color="auto"/>
              <w:right w:val="single" w:sz="8" w:space="0" w:color="auto"/>
            </w:tcBorders>
            <w:hideMark/>
          </w:tcPr>
          <w:p w:rsidR="00BC1850" w:rsidRPr="008C31A1" w:rsidRDefault="00BC1850" w:rsidP="00E35C09">
            <w:pPr>
              <w:rPr>
                <w:lang w:eastAsia="el-GR"/>
              </w:rPr>
            </w:pPr>
            <w:r w:rsidRPr="008C31A1">
              <w:rPr>
                <w:lang w:eastAsia="el-GR"/>
              </w:rPr>
              <w:t> </w:t>
            </w:r>
          </w:p>
        </w:tc>
        <w:tc>
          <w:tcPr>
            <w:tcW w:w="2948" w:type="dxa"/>
            <w:tcBorders>
              <w:top w:val="single" w:sz="8" w:space="0" w:color="auto"/>
              <w:left w:val="single" w:sz="8" w:space="0" w:color="auto"/>
              <w:bottom w:val="single" w:sz="8" w:space="0" w:color="auto"/>
              <w:right w:val="single" w:sz="8" w:space="0" w:color="auto"/>
            </w:tcBorders>
            <w:hideMark/>
          </w:tcPr>
          <w:p w:rsidR="00BC1850" w:rsidRPr="008C31A1" w:rsidRDefault="00BC1850" w:rsidP="00E35C09">
            <w:pPr>
              <w:rPr>
                <w:lang w:eastAsia="el-GR"/>
              </w:rPr>
            </w:pPr>
            <w:r w:rsidRPr="008C31A1">
              <w:rPr>
                <w:color w:val="000000"/>
                <w:lang w:eastAsia="el-GR"/>
              </w:rPr>
              <w:t>Gastrointestinal blødning</w:t>
            </w:r>
            <w:r w:rsidRPr="008C31A1">
              <w:rPr>
                <w:lang w:eastAsia="el-GR"/>
              </w:rPr>
              <w:t xml:space="preserve"> </w:t>
            </w:r>
          </w:p>
        </w:tc>
        <w:tc>
          <w:tcPr>
            <w:tcW w:w="2301" w:type="dxa"/>
            <w:tcBorders>
              <w:top w:val="single" w:sz="8" w:space="0" w:color="auto"/>
              <w:left w:val="single" w:sz="8" w:space="0" w:color="auto"/>
              <w:bottom w:val="single" w:sz="8" w:space="0" w:color="auto"/>
              <w:right w:val="single" w:sz="8" w:space="0" w:color="auto"/>
            </w:tcBorders>
            <w:hideMark/>
          </w:tcPr>
          <w:p w:rsidR="00BC1850" w:rsidRPr="008C31A1" w:rsidRDefault="00BC1850" w:rsidP="00E35C09">
            <w:pPr>
              <w:rPr>
                <w:lang w:eastAsia="el-GR"/>
              </w:rPr>
            </w:pPr>
            <w:r w:rsidRPr="008C31A1">
              <w:rPr>
                <w:color w:val="000000"/>
                <w:lang w:eastAsia="el-GR"/>
              </w:rPr>
              <w:t>Ikke kendt</w:t>
            </w:r>
            <w:r w:rsidRPr="008C31A1">
              <w:rPr>
                <w:lang w:eastAsia="el-GR"/>
              </w:rPr>
              <w:t xml:space="preserve"> </w:t>
            </w:r>
          </w:p>
        </w:tc>
      </w:tr>
      <w:tr w:rsidR="00BC1850" w:rsidRPr="008C31A1" w:rsidTr="00E35C09">
        <w:trPr>
          <w:tblCellSpacing w:w="0" w:type="dxa"/>
          <w:jc w:val="center"/>
        </w:trPr>
        <w:tc>
          <w:tcPr>
            <w:tcW w:w="2623" w:type="dxa"/>
            <w:vMerge w:val="restart"/>
            <w:tcBorders>
              <w:top w:val="single" w:sz="8" w:space="0" w:color="auto"/>
              <w:left w:val="single" w:sz="8" w:space="0" w:color="auto"/>
              <w:right w:val="single" w:sz="8" w:space="0" w:color="auto"/>
            </w:tcBorders>
            <w:hideMark/>
          </w:tcPr>
          <w:p w:rsidR="00BC1850" w:rsidRPr="008C31A1" w:rsidRDefault="00BC1850" w:rsidP="00E35C09">
            <w:pPr>
              <w:rPr>
                <w:lang w:eastAsia="el-GR"/>
              </w:rPr>
            </w:pPr>
            <w:r w:rsidRPr="008C31A1">
              <w:rPr>
                <w:color w:val="000000"/>
                <w:lang w:eastAsia="el-GR"/>
              </w:rPr>
              <w:t>Hud og subkutane væv</w:t>
            </w:r>
            <w:r w:rsidRPr="008C31A1">
              <w:rPr>
                <w:lang w:eastAsia="el-GR"/>
              </w:rPr>
              <w:t xml:space="preserve"> </w:t>
            </w:r>
          </w:p>
          <w:p w:rsidR="00BC1850" w:rsidRPr="008C31A1" w:rsidRDefault="00BC1850" w:rsidP="00E35C09">
            <w:pPr>
              <w:rPr>
                <w:lang w:eastAsia="el-GR"/>
              </w:rPr>
            </w:pPr>
            <w:r w:rsidRPr="008C31A1">
              <w:rPr>
                <w:lang w:eastAsia="el-GR"/>
              </w:rPr>
              <w:t> </w:t>
            </w:r>
          </w:p>
        </w:tc>
        <w:tc>
          <w:tcPr>
            <w:tcW w:w="2948" w:type="dxa"/>
            <w:tcBorders>
              <w:top w:val="single" w:sz="8" w:space="0" w:color="auto"/>
              <w:left w:val="single" w:sz="8" w:space="0" w:color="auto"/>
              <w:bottom w:val="single" w:sz="8" w:space="0" w:color="auto"/>
              <w:right w:val="single" w:sz="8" w:space="0" w:color="auto"/>
            </w:tcBorders>
            <w:hideMark/>
          </w:tcPr>
          <w:p w:rsidR="00BC1850" w:rsidRPr="008C31A1" w:rsidRDefault="00BC1850" w:rsidP="00E35C09">
            <w:pPr>
              <w:rPr>
                <w:lang w:eastAsia="el-GR"/>
              </w:rPr>
            </w:pPr>
            <w:r w:rsidRPr="008C31A1">
              <w:rPr>
                <w:color w:val="000000"/>
                <w:lang w:eastAsia="el-GR"/>
              </w:rPr>
              <w:t>Pruritus</w:t>
            </w:r>
            <w:r w:rsidRPr="008C31A1">
              <w:rPr>
                <w:lang w:eastAsia="el-GR"/>
              </w:rPr>
              <w:t xml:space="preserve"> </w:t>
            </w:r>
          </w:p>
        </w:tc>
        <w:tc>
          <w:tcPr>
            <w:tcW w:w="2301" w:type="dxa"/>
            <w:tcBorders>
              <w:top w:val="single" w:sz="8" w:space="0" w:color="auto"/>
              <w:left w:val="single" w:sz="8" w:space="0" w:color="auto"/>
              <w:bottom w:val="single" w:sz="8" w:space="0" w:color="auto"/>
              <w:right w:val="single" w:sz="8" w:space="0" w:color="auto"/>
            </w:tcBorders>
            <w:hideMark/>
          </w:tcPr>
          <w:p w:rsidR="00BC1850" w:rsidRPr="008C31A1" w:rsidRDefault="00BC1850" w:rsidP="00E35C09">
            <w:pPr>
              <w:rPr>
                <w:lang w:eastAsia="el-GR"/>
              </w:rPr>
            </w:pPr>
            <w:r w:rsidRPr="008C31A1">
              <w:rPr>
                <w:color w:val="000000"/>
                <w:lang w:eastAsia="el-GR"/>
              </w:rPr>
              <w:t>Almindelig</w:t>
            </w:r>
            <w:r w:rsidRPr="008C31A1">
              <w:rPr>
                <w:lang w:eastAsia="el-GR"/>
              </w:rPr>
              <w:t xml:space="preserve"> </w:t>
            </w:r>
          </w:p>
          <w:p w:rsidR="00BC1850" w:rsidRPr="008C31A1" w:rsidRDefault="00BC1850" w:rsidP="00E35C09">
            <w:pPr>
              <w:rPr>
                <w:lang w:eastAsia="el-GR"/>
              </w:rPr>
            </w:pPr>
            <w:r w:rsidRPr="008C31A1">
              <w:rPr>
                <w:color w:val="000000"/>
                <w:lang w:eastAsia="el-GR"/>
              </w:rPr>
              <w:t> </w:t>
            </w:r>
            <w:r w:rsidRPr="008C31A1">
              <w:rPr>
                <w:lang w:eastAsia="el-GR"/>
              </w:rPr>
              <w:t xml:space="preserve"> </w:t>
            </w:r>
          </w:p>
        </w:tc>
      </w:tr>
      <w:tr w:rsidR="00BC1850" w:rsidRPr="008C31A1" w:rsidTr="00E35C09">
        <w:trPr>
          <w:tblCellSpacing w:w="0" w:type="dxa"/>
          <w:jc w:val="center"/>
        </w:trPr>
        <w:tc>
          <w:tcPr>
            <w:tcW w:w="2623" w:type="dxa"/>
            <w:vMerge/>
            <w:tcBorders>
              <w:left w:val="single" w:sz="8" w:space="0" w:color="auto"/>
              <w:bottom w:val="single" w:sz="8" w:space="0" w:color="auto"/>
              <w:right w:val="single" w:sz="8" w:space="0" w:color="auto"/>
            </w:tcBorders>
            <w:hideMark/>
          </w:tcPr>
          <w:p w:rsidR="00BC1850" w:rsidRPr="008C31A1" w:rsidRDefault="00BC1850" w:rsidP="00E35C09">
            <w:pPr>
              <w:rPr>
                <w:lang w:eastAsia="el-GR"/>
              </w:rPr>
            </w:pPr>
          </w:p>
        </w:tc>
        <w:tc>
          <w:tcPr>
            <w:tcW w:w="2948" w:type="dxa"/>
            <w:tcBorders>
              <w:top w:val="single" w:sz="8" w:space="0" w:color="auto"/>
              <w:left w:val="single" w:sz="8" w:space="0" w:color="auto"/>
              <w:bottom w:val="single" w:sz="8" w:space="0" w:color="auto"/>
              <w:right w:val="single" w:sz="8" w:space="0" w:color="auto"/>
            </w:tcBorders>
            <w:hideMark/>
          </w:tcPr>
          <w:p w:rsidR="00BC1850" w:rsidRPr="00BC1850" w:rsidRDefault="00BC1850" w:rsidP="00E35C09">
            <w:pPr>
              <w:rPr>
                <w:lang w:eastAsia="el-GR"/>
              </w:rPr>
            </w:pPr>
            <w:r w:rsidRPr="00BC1850">
              <w:rPr>
                <w:color w:val="000000"/>
                <w:lang w:eastAsia="el-GR"/>
              </w:rPr>
              <w:t>Bulløs dermatitis, alopeci, hirsutisme, udslæt, hyperhidrosis</w:t>
            </w:r>
            <w:r w:rsidRPr="00BC1850">
              <w:rPr>
                <w:lang w:eastAsia="el-GR"/>
              </w:rPr>
              <w:t xml:space="preserve"> </w:t>
            </w:r>
          </w:p>
        </w:tc>
        <w:tc>
          <w:tcPr>
            <w:tcW w:w="2301" w:type="dxa"/>
            <w:tcBorders>
              <w:top w:val="single" w:sz="8" w:space="0" w:color="auto"/>
              <w:left w:val="single" w:sz="8" w:space="0" w:color="auto"/>
              <w:bottom w:val="single" w:sz="8" w:space="0" w:color="auto"/>
              <w:right w:val="single" w:sz="8" w:space="0" w:color="auto"/>
            </w:tcBorders>
            <w:hideMark/>
          </w:tcPr>
          <w:p w:rsidR="00BC1850" w:rsidRPr="008C31A1" w:rsidRDefault="00BC1850" w:rsidP="00E35C09">
            <w:pPr>
              <w:rPr>
                <w:lang w:eastAsia="el-GR"/>
              </w:rPr>
            </w:pPr>
            <w:r w:rsidRPr="008C31A1">
              <w:rPr>
                <w:color w:val="000000"/>
                <w:lang w:eastAsia="el-GR"/>
              </w:rPr>
              <w:t>Ikke almindelig</w:t>
            </w:r>
            <w:r w:rsidRPr="008C31A1">
              <w:rPr>
                <w:lang w:eastAsia="el-GR"/>
              </w:rPr>
              <w:t xml:space="preserve"> </w:t>
            </w:r>
          </w:p>
        </w:tc>
      </w:tr>
      <w:tr w:rsidR="00BC1850" w:rsidRPr="008C31A1" w:rsidTr="00E35C09">
        <w:trPr>
          <w:tblCellSpacing w:w="0" w:type="dxa"/>
          <w:jc w:val="center"/>
        </w:trPr>
        <w:tc>
          <w:tcPr>
            <w:tcW w:w="2623" w:type="dxa"/>
            <w:tcBorders>
              <w:top w:val="single" w:sz="8" w:space="0" w:color="auto"/>
              <w:left w:val="single" w:sz="8" w:space="0" w:color="auto"/>
              <w:bottom w:val="single" w:sz="8" w:space="0" w:color="auto"/>
              <w:right w:val="single" w:sz="8" w:space="0" w:color="auto"/>
            </w:tcBorders>
            <w:hideMark/>
          </w:tcPr>
          <w:p w:rsidR="00BC1850" w:rsidRPr="00BC1850" w:rsidRDefault="00BC1850" w:rsidP="00E35C09">
            <w:pPr>
              <w:rPr>
                <w:lang w:eastAsia="el-GR"/>
              </w:rPr>
            </w:pPr>
            <w:r w:rsidRPr="00BC1850">
              <w:rPr>
                <w:color w:val="000000"/>
                <w:lang w:eastAsia="el-GR"/>
              </w:rPr>
              <w:t>Knogler, led, muskler og bindevæv</w:t>
            </w:r>
            <w:r w:rsidRPr="00BC1850">
              <w:rPr>
                <w:lang w:eastAsia="el-GR"/>
              </w:rPr>
              <w:t xml:space="preserve"> </w:t>
            </w:r>
          </w:p>
        </w:tc>
        <w:tc>
          <w:tcPr>
            <w:tcW w:w="2948" w:type="dxa"/>
            <w:tcBorders>
              <w:top w:val="single" w:sz="8" w:space="0" w:color="auto"/>
              <w:left w:val="single" w:sz="8" w:space="0" w:color="auto"/>
              <w:bottom w:val="single" w:sz="8" w:space="0" w:color="auto"/>
              <w:right w:val="single" w:sz="8" w:space="0" w:color="auto"/>
            </w:tcBorders>
            <w:hideMark/>
          </w:tcPr>
          <w:p w:rsidR="00BC1850" w:rsidRPr="00BC1850" w:rsidRDefault="00BC1850" w:rsidP="00E35C09">
            <w:pPr>
              <w:rPr>
                <w:lang w:eastAsia="el-GR"/>
              </w:rPr>
            </w:pPr>
            <w:r w:rsidRPr="00BC1850">
              <w:rPr>
                <w:color w:val="000000"/>
                <w:lang w:eastAsia="el-GR"/>
              </w:rPr>
              <w:t>Artralgi, ledstivhed, rygsmerter, muskelsammentrækninger, myalgi</w:t>
            </w:r>
            <w:r w:rsidRPr="00BC1850">
              <w:rPr>
                <w:lang w:eastAsia="el-GR"/>
              </w:rPr>
              <w:t xml:space="preserve"> </w:t>
            </w:r>
          </w:p>
        </w:tc>
        <w:tc>
          <w:tcPr>
            <w:tcW w:w="2301" w:type="dxa"/>
            <w:tcBorders>
              <w:top w:val="single" w:sz="8" w:space="0" w:color="auto"/>
              <w:left w:val="single" w:sz="8" w:space="0" w:color="auto"/>
              <w:bottom w:val="single" w:sz="8" w:space="0" w:color="auto"/>
              <w:right w:val="single" w:sz="8" w:space="0" w:color="auto"/>
            </w:tcBorders>
            <w:hideMark/>
          </w:tcPr>
          <w:p w:rsidR="00BC1850" w:rsidRPr="008C31A1" w:rsidRDefault="00BC1850" w:rsidP="00E35C09">
            <w:pPr>
              <w:rPr>
                <w:lang w:eastAsia="el-GR"/>
              </w:rPr>
            </w:pPr>
            <w:r w:rsidRPr="008C31A1">
              <w:rPr>
                <w:color w:val="000000"/>
                <w:lang w:eastAsia="el-GR"/>
              </w:rPr>
              <w:t>Ikke almindelig</w:t>
            </w:r>
            <w:r w:rsidRPr="008C31A1">
              <w:rPr>
                <w:lang w:eastAsia="el-GR"/>
              </w:rPr>
              <w:t xml:space="preserve"> </w:t>
            </w:r>
          </w:p>
        </w:tc>
      </w:tr>
      <w:tr w:rsidR="00BC1850" w:rsidRPr="008C31A1" w:rsidTr="00E35C09">
        <w:trPr>
          <w:tblCellSpacing w:w="0" w:type="dxa"/>
          <w:jc w:val="center"/>
        </w:trPr>
        <w:tc>
          <w:tcPr>
            <w:tcW w:w="2623" w:type="dxa"/>
            <w:tcBorders>
              <w:top w:val="single" w:sz="8" w:space="0" w:color="auto"/>
              <w:left w:val="single" w:sz="8" w:space="0" w:color="auto"/>
              <w:bottom w:val="single" w:sz="8" w:space="0" w:color="auto"/>
              <w:right w:val="single" w:sz="8" w:space="0" w:color="auto"/>
            </w:tcBorders>
          </w:tcPr>
          <w:p w:rsidR="00BC1850" w:rsidRPr="00A25F8F" w:rsidRDefault="00BC1850" w:rsidP="00E35C09">
            <w:pPr>
              <w:rPr>
                <w:color w:val="000000"/>
                <w:lang w:eastAsia="el-GR"/>
              </w:rPr>
            </w:pPr>
            <w:r w:rsidRPr="00A25F8F">
              <w:rPr>
                <w:color w:val="000000"/>
                <w:lang w:eastAsia="el-GR"/>
              </w:rPr>
              <w:t xml:space="preserve">Det reproduktive system og mammae </w:t>
            </w:r>
          </w:p>
        </w:tc>
        <w:tc>
          <w:tcPr>
            <w:tcW w:w="2948" w:type="dxa"/>
            <w:tcBorders>
              <w:top w:val="single" w:sz="8" w:space="0" w:color="auto"/>
              <w:left w:val="single" w:sz="8" w:space="0" w:color="auto"/>
              <w:bottom w:val="single" w:sz="8" w:space="0" w:color="auto"/>
              <w:right w:val="single" w:sz="8" w:space="0" w:color="auto"/>
            </w:tcBorders>
          </w:tcPr>
          <w:p w:rsidR="00BC1850" w:rsidRPr="00A25F8F" w:rsidRDefault="00BC1850" w:rsidP="00E35C09">
            <w:pPr>
              <w:rPr>
                <w:color w:val="000000"/>
                <w:lang w:eastAsia="el-GR"/>
              </w:rPr>
            </w:pPr>
            <w:r w:rsidRPr="008C31A1">
              <w:rPr>
                <w:color w:val="000000"/>
                <w:lang w:eastAsia="el-GR"/>
              </w:rPr>
              <w:t>Brystsmerter, erektil dysfunktion</w:t>
            </w:r>
            <w:r w:rsidRPr="00A25F8F">
              <w:rPr>
                <w:color w:val="000000"/>
                <w:lang w:eastAsia="el-GR"/>
              </w:rPr>
              <w:t xml:space="preserve"> </w:t>
            </w:r>
          </w:p>
        </w:tc>
        <w:tc>
          <w:tcPr>
            <w:tcW w:w="2301" w:type="dxa"/>
            <w:tcBorders>
              <w:top w:val="single" w:sz="8" w:space="0" w:color="auto"/>
              <w:left w:val="single" w:sz="8" w:space="0" w:color="auto"/>
              <w:bottom w:val="single" w:sz="8" w:space="0" w:color="auto"/>
              <w:right w:val="single" w:sz="8" w:space="0" w:color="auto"/>
            </w:tcBorders>
          </w:tcPr>
          <w:p w:rsidR="00BC1850" w:rsidRPr="00A25F8F" w:rsidRDefault="00BC1850" w:rsidP="00E35C09">
            <w:pPr>
              <w:rPr>
                <w:color w:val="000000"/>
                <w:lang w:eastAsia="el-GR"/>
              </w:rPr>
            </w:pPr>
            <w:r w:rsidRPr="008C31A1">
              <w:rPr>
                <w:color w:val="000000"/>
                <w:lang w:eastAsia="el-GR"/>
              </w:rPr>
              <w:t>Ikke almindelig</w:t>
            </w:r>
            <w:r w:rsidRPr="00A25F8F">
              <w:rPr>
                <w:color w:val="000000"/>
                <w:lang w:eastAsia="el-GR"/>
              </w:rPr>
              <w:t xml:space="preserve"> </w:t>
            </w:r>
          </w:p>
        </w:tc>
      </w:tr>
      <w:tr w:rsidR="00BC1850" w:rsidRPr="008C31A1" w:rsidTr="00E35C09">
        <w:trPr>
          <w:tblCellSpacing w:w="0" w:type="dxa"/>
          <w:jc w:val="center"/>
        </w:trPr>
        <w:tc>
          <w:tcPr>
            <w:tcW w:w="2623" w:type="dxa"/>
            <w:tcBorders>
              <w:top w:val="single" w:sz="8" w:space="0" w:color="auto"/>
              <w:left w:val="single" w:sz="8" w:space="0" w:color="auto"/>
              <w:bottom w:val="single" w:sz="8" w:space="0" w:color="auto"/>
              <w:right w:val="single" w:sz="8" w:space="0" w:color="auto"/>
            </w:tcBorders>
            <w:hideMark/>
          </w:tcPr>
          <w:p w:rsidR="00BC1850" w:rsidRPr="00BC1850" w:rsidRDefault="00BC1850" w:rsidP="00E35C09">
            <w:pPr>
              <w:rPr>
                <w:lang w:eastAsia="el-GR"/>
              </w:rPr>
            </w:pPr>
            <w:r w:rsidRPr="00BC1850">
              <w:rPr>
                <w:color w:val="000000"/>
                <w:lang w:eastAsia="el-GR"/>
              </w:rPr>
              <w:t>Almene symptomer og reaktioner på administrationsstedet</w:t>
            </w:r>
            <w:r w:rsidRPr="00BC1850">
              <w:rPr>
                <w:lang w:eastAsia="el-GR"/>
              </w:rPr>
              <w:t xml:space="preserve"> </w:t>
            </w:r>
          </w:p>
        </w:tc>
        <w:tc>
          <w:tcPr>
            <w:tcW w:w="2948" w:type="dxa"/>
            <w:tcBorders>
              <w:top w:val="single" w:sz="8" w:space="0" w:color="auto"/>
              <w:left w:val="single" w:sz="8" w:space="0" w:color="auto"/>
              <w:bottom w:val="single" w:sz="8" w:space="0" w:color="auto"/>
              <w:right w:val="single" w:sz="8" w:space="0" w:color="auto"/>
            </w:tcBorders>
            <w:hideMark/>
          </w:tcPr>
          <w:p w:rsidR="00BC1850" w:rsidRPr="00BC1850" w:rsidRDefault="00BC1850" w:rsidP="00E35C09">
            <w:pPr>
              <w:rPr>
                <w:lang w:eastAsia="el-GR"/>
              </w:rPr>
            </w:pPr>
            <w:r w:rsidRPr="00BC1850">
              <w:rPr>
                <w:color w:val="000000"/>
                <w:lang w:eastAsia="el-GR"/>
              </w:rPr>
              <w:t xml:space="preserve">Forstyrrelser i gangart, perifere ødemer, smerter, smerter på injektionsstedet, pyreksi, brystsmerter, forværret tilstand, asteni, utilpashed, tørst </w:t>
            </w:r>
          </w:p>
        </w:tc>
        <w:tc>
          <w:tcPr>
            <w:tcW w:w="2301" w:type="dxa"/>
            <w:tcBorders>
              <w:top w:val="single" w:sz="8" w:space="0" w:color="auto"/>
              <w:left w:val="single" w:sz="8" w:space="0" w:color="auto"/>
              <w:bottom w:val="single" w:sz="8" w:space="0" w:color="auto"/>
              <w:right w:val="single" w:sz="8" w:space="0" w:color="auto"/>
            </w:tcBorders>
            <w:hideMark/>
          </w:tcPr>
          <w:p w:rsidR="00BC1850" w:rsidRPr="008C31A1" w:rsidRDefault="00BC1850" w:rsidP="00E35C09">
            <w:pPr>
              <w:rPr>
                <w:lang w:eastAsia="el-GR"/>
              </w:rPr>
            </w:pPr>
            <w:r w:rsidRPr="008C31A1">
              <w:rPr>
                <w:color w:val="000000"/>
                <w:lang w:eastAsia="el-GR"/>
              </w:rPr>
              <w:t>Ikke almindelig</w:t>
            </w:r>
            <w:r w:rsidRPr="008C31A1">
              <w:rPr>
                <w:lang w:eastAsia="el-GR"/>
              </w:rPr>
              <w:t xml:space="preserve"> </w:t>
            </w:r>
          </w:p>
        </w:tc>
      </w:tr>
      <w:tr w:rsidR="00BC1850" w:rsidRPr="008C31A1" w:rsidTr="00E35C09">
        <w:trPr>
          <w:tblCellSpacing w:w="0" w:type="dxa"/>
          <w:jc w:val="center"/>
        </w:trPr>
        <w:tc>
          <w:tcPr>
            <w:tcW w:w="2623" w:type="dxa"/>
            <w:tcBorders>
              <w:top w:val="single" w:sz="8" w:space="0" w:color="auto"/>
              <w:left w:val="single" w:sz="8" w:space="0" w:color="auto"/>
              <w:bottom w:val="single" w:sz="8" w:space="0" w:color="auto"/>
              <w:right w:val="single" w:sz="8" w:space="0" w:color="auto"/>
            </w:tcBorders>
          </w:tcPr>
          <w:p w:rsidR="00BC1850" w:rsidRPr="00A25F8F" w:rsidRDefault="00BC1850" w:rsidP="00E35C09">
            <w:pPr>
              <w:rPr>
                <w:color w:val="000000"/>
                <w:lang w:val="en-US" w:eastAsia="el-GR"/>
              </w:rPr>
            </w:pPr>
            <w:r w:rsidRPr="00A25F8F">
              <w:rPr>
                <w:color w:val="000000"/>
                <w:lang w:val="en-US" w:eastAsia="el-GR"/>
              </w:rPr>
              <w:t xml:space="preserve">Undersøgelser </w:t>
            </w:r>
          </w:p>
        </w:tc>
        <w:tc>
          <w:tcPr>
            <w:tcW w:w="2948" w:type="dxa"/>
            <w:tcBorders>
              <w:top w:val="single" w:sz="8" w:space="0" w:color="auto"/>
              <w:left w:val="single" w:sz="8" w:space="0" w:color="auto"/>
              <w:bottom w:val="single" w:sz="8" w:space="0" w:color="auto"/>
              <w:right w:val="single" w:sz="8" w:space="0" w:color="auto"/>
            </w:tcBorders>
          </w:tcPr>
          <w:p w:rsidR="00BC1850" w:rsidRPr="00A25F8F" w:rsidRDefault="00BC1850" w:rsidP="00E35C09">
            <w:pPr>
              <w:rPr>
                <w:color w:val="000000"/>
                <w:lang w:eastAsia="el-GR"/>
              </w:rPr>
            </w:pPr>
            <w:r w:rsidRPr="00BC1850">
              <w:rPr>
                <w:color w:val="000000"/>
                <w:lang w:eastAsia="el-GR"/>
              </w:rPr>
              <w:t>Forlænget blødningstid, forhøjet aspartataminotransferase, unormale laboratorietestværdier, vægttab</w:t>
            </w:r>
          </w:p>
        </w:tc>
        <w:tc>
          <w:tcPr>
            <w:tcW w:w="2301" w:type="dxa"/>
            <w:tcBorders>
              <w:top w:val="single" w:sz="8" w:space="0" w:color="auto"/>
              <w:left w:val="single" w:sz="8" w:space="0" w:color="auto"/>
              <w:bottom w:val="single" w:sz="8" w:space="0" w:color="auto"/>
              <w:right w:val="single" w:sz="8" w:space="0" w:color="auto"/>
            </w:tcBorders>
          </w:tcPr>
          <w:p w:rsidR="00BC1850" w:rsidRPr="00A25F8F" w:rsidRDefault="00BC1850" w:rsidP="00E35C09">
            <w:pPr>
              <w:rPr>
                <w:color w:val="000000"/>
                <w:lang w:eastAsia="el-GR"/>
              </w:rPr>
            </w:pPr>
            <w:r w:rsidRPr="00A25F8F">
              <w:rPr>
                <w:color w:val="000000"/>
                <w:lang w:eastAsia="el-GR"/>
              </w:rPr>
              <w:t>Ikke almindelig</w:t>
            </w:r>
          </w:p>
        </w:tc>
      </w:tr>
    </w:tbl>
    <w:p w:rsidR="00BC1850" w:rsidRDefault="00BC1850" w:rsidP="00BC1850">
      <w:pPr>
        <w:pStyle w:val="Sidehoved"/>
        <w:tabs>
          <w:tab w:val="clear" w:pos="4819"/>
          <w:tab w:val="clear" w:pos="9638"/>
          <w:tab w:val="left" w:pos="851"/>
        </w:tabs>
      </w:pPr>
    </w:p>
    <w:p w:rsidR="00265B74" w:rsidRPr="008F49E1" w:rsidRDefault="00265B74" w:rsidP="00265B74">
      <w:pPr>
        <w:autoSpaceDE w:val="0"/>
        <w:autoSpaceDN w:val="0"/>
        <w:ind w:left="851"/>
        <w:rPr>
          <w:sz w:val="24"/>
          <w:szCs w:val="24"/>
          <w:u w:val="single"/>
          <w:lang w:eastAsia="da-DK"/>
        </w:rPr>
      </w:pPr>
      <w:r w:rsidRPr="008F49E1">
        <w:rPr>
          <w:sz w:val="24"/>
          <w:szCs w:val="24"/>
          <w:u w:val="single"/>
          <w:lang w:eastAsia="da-DK"/>
        </w:rPr>
        <w:t>Indberetning af formodede bivirkninger</w:t>
      </w:r>
    </w:p>
    <w:p w:rsidR="00265B74" w:rsidRPr="008F49E1" w:rsidRDefault="00265B74" w:rsidP="00265B74">
      <w:pPr>
        <w:ind w:left="851"/>
        <w:rPr>
          <w:sz w:val="24"/>
          <w:szCs w:val="24"/>
          <w:lang w:eastAsia="da-DK"/>
        </w:rPr>
      </w:pPr>
      <w:r w:rsidRPr="008F49E1">
        <w:rPr>
          <w:sz w:val="24"/>
          <w:szCs w:val="24"/>
          <w:lang w:eastAsia="da-DK"/>
        </w:rPr>
        <w:t>Når lægemidlet er godkendt, er indberetning af formodede bivirkninger vigtig. Det muliggør løbende overvågning af benefit/risk-forholdet for lægemidlet. Læger og sundhedspersonale anmodes om at indberette alle formodede bivirkninger via:</w:t>
      </w:r>
    </w:p>
    <w:p w:rsidR="00265B74" w:rsidRPr="008F49E1" w:rsidRDefault="00265B74" w:rsidP="00265B74">
      <w:pPr>
        <w:ind w:left="851"/>
        <w:rPr>
          <w:sz w:val="24"/>
          <w:szCs w:val="24"/>
          <w:lang w:eastAsia="da-DK"/>
        </w:rPr>
      </w:pPr>
    </w:p>
    <w:p w:rsidR="00265B74" w:rsidRPr="007A276A" w:rsidRDefault="00265B74" w:rsidP="00265B74">
      <w:pPr>
        <w:ind w:left="851"/>
        <w:rPr>
          <w:sz w:val="24"/>
          <w:szCs w:val="24"/>
          <w:lang w:eastAsia="da-DK"/>
        </w:rPr>
      </w:pPr>
      <w:r w:rsidRPr="007A276A">
        <w:rPr>
          <w:sz w:val="24"/>
          <w:szCs w:val="24"/>
          <w:lang w:eastAsia="da-DK"/>
        </w:rPr>
        <w:t>Lægemiddelstyrelsen</w:t>
      </w:r>
    </w:p>
    <w:p w:rsidR="00265B74" w:rsidRPr="007A276A" w:rsidRDefault="00265B74" w:rsidP="00265B74">
      <w:pPr>
        <w:ind w:left="851"/>
        <w:rPr>
          <w:sz w:val="24"/>
          <w:szCs w:val="24"/>
          <w:lang w:eastAsia="da-DK"/>
        </w:rPr>
      </w:pPr>
      <w:r w:rsidRPr="007A276A">
        <w:rPr>
          <w:sz w:val="24"/>
          <w:szCs w:val="24"/>
          <w:lang w:eastAsia="da-DK"/>
        </w:rPr>
        <w:t>Axel Heides Gade 1</w:t>
      </w:r>
    </w:p>
    <w:p w:rsidR="00265B74" w:rsidRPr="007A276A" w:rsidRDefault="00265B74" w:rsidP="00265B74">
      <w:pPr>
        <w:ind w:left="851"/>
        <w:rPr>
          <w:sz w:val="24"/>
          <w:szCs w:val="24"/>
          <w:lang w:eastAsia="da-DK"/>
        </w:rPr>
      </w:pPr>
      <w:r w:rsidRPr="007A276A">
        <w:rPr>
          <w:sz w:val="24"/>
          <w:szCs w:val="24"/>
          <w:lang w:eastAsia="da-DK"/>
        </w:rPr>
        <w:t>DK-2300 København S</w:t>
      </w:r>
    </w:p>
    <w:p w:rsidR="00265B74" w:rsidRPr="007A276A" w:rsidRDefault="00265B74" w:rsidP="00265B74">
      <w:pPr>
        <w:ind w:left="851"/>
        <w:rPr>
          <w:sz w:val="24"/>
          <w:szCs w:val="24"/>
          <w:lang w:val="en-US" w:eastAsia="da-DK"/>
        </w:rPr>
      </w:pPr>
      <w:r w:rsidRPr="007A276A">
        <w:rPr>
          <w:sz w:val="24"/>
          <w:szCs w:val="24"/>
          <w:lang w:val="en-US" w:eastAsia="da-DK"/>
        </w:rPr>
        <w:t xml:space="preserve">Websted: </w:t>
      </w:r>
      <w:r w:rsidRPr="00F42FEA">
        <w:rPr>
          <w:sz w:val="24"/>
          <w:lang w:val="en-US" w:eastAsia="da-DK"/>
        </w:rPr>
        <w:t>www.meldenbivirkning.dk</w:t>
      </w:r>
    </w:p>
    <w:p w:rsidR="00265B74" w:rsidRDefault="00265B74" w:rsidP="00265B74">
      <w:pPr>
        <w:ind w:left="851"/>
        <w:rPr>
          <w:color w:val="0000FF"/>
          <w:sz w:val="24"/>
          <w:u w:val="single"/>
          <w:lang w:val="en-US" w:eastAsia="da-DK"/>
        </w:rPr>
      </w:pPr>
      <w:r w:rsidRPr="00995012">
        <w:rPr>
          <w:sz w:val="24"/>
          <w:szCs w:val="24"/>
          <w:lang w:val="en-US" w:eastAsia="da-DK"/>
        </w:rPr>
        <w:t xml:space="preserve">E-mail: </w:t>
      </w:r>
      <w:r w:rsidRPr="00F57E9D">
        <w:rPr>
          <w:sz w:val="24"/>
          <w:lang w:val="en-US" w:eastAsia="da-DK"/>
        </w:rPr>
        <w:t>dkma@dkma.dk</w:t>
      </w:r>
    </w:p>
    <w:p w:rsidR="00B003BF" w:rsidRPr="00F41C98" w:rsidRDefault="00B003BF" w:rsidP="002B27E6">
      <w:pPr>
        <w:pStyle w:val="Sidehoved"/>
        <w:tabs>
          <w:tab w:val="clear" w:pos="4819"/>
          <w:tab w:val="clear" w:pos="9638"/>
        </w:tabs>
        <w:ind w:left="851" w:hanging="851"/>
        <w:rPr>
          <w:szCs w:val="24"/>
          <w:lang w:val="en-US"/>
        </w:rPr>
      </w:pPr>
    </w:p>
    <w:p w:rsidR="00B003BF" w:rsidRPr="002B27E6" w:rsidRDefault="00B003BF" w:rsidP="002B27E6">
      <w:pPr>
        <w:ind w:left="851" w:hanging="851"/>
        <w:rPr>
          <w:b/>
          <w:sz w:val="24"/>
          <w:szCs w:val="24"/>
        </w:rPr>
      </w:pPr>
      <w:r w:rsidRPr="002B27E6">
        <w:rPr>
          <w:b/>
          <w:sz w:val="24"/>
          <w:szCs w:val="24"/>
        </w:rPr>
        <w:t>4.9</w:t>
      </w:r>
      <w:r w:rsidRPr="002B27E6">
        <w:rPr>
          <w:b/>
          <w:sz w:val="24"/>
          <w:szCs w:val="24"/>
        </w:rPr>
        <w:tab/>
        <w:t>Overdosering</w:t>
      </w:r>
    </w:p>
    <w:p w:rsidR="00032920" w:rsidRPr="002B27E6" w:rsidRDefault="00032920" w:rsidP="002B27E6">
      <w:pPr>
        <w:ind w:left="851" w:hanging="851"/>
        <w:rPr>
          <w:sz w:val="24"/>
          <w:szCs w:val="24"/>
        </w:rPr>
      </w:pPr>
      <w:r w:rsidRPr="002B27E6">
        <w:rPr>
          <w:sz w:val="24"/>
          <w:szCs w:val="24"/>
        </w:rPr>
        <w:tab/>
        <w:t xml:space="preserve">Der er ikke rapporteret om tilfælde af overdosering. </w:t>
      </w:r>
    </w:p>
    <w:p w:rsidR="00032920" w:rsidRPr="002B27E6" w:rsidRDefault="00032920" w:rsidP="002B27E6">
      <w:pPr>
        <w:ind w:left="851" w:hanging="851"/>
        <w:rPr>
          <w:sz w:val="24"/>
          <w:szCs w:val="24"/>
        </w:rPr>
      </w:pPr>
    </w:p>
    <w:p w:rsidR="00032920" w:rsidRPr="002B27E6" w:rsidRDefault="0057691C" w:rsidP="002B27E6">
      <w:pPr>
        <w:ind w:left="851" w:hanging="851"/>
        <w:rPr>
          <w:sz w:val="24"/>
          <w:szCs w:val="24"/>
        </w:rPr>
      </w:pPr>
      <w:r>
        <w:rPr>
          <w:sz w:val="24"/>
          <w:szCs w:val="24"/>
        </w:rPr>
        <w:tab/>
      </w:r>
      <w:r w:rsidR="00032920" w:rsidRPr="002B27E6">
        <w:rPr>
          <w:sz w:val="24"/>
          <w:szCs w:val="24"/>
        </w:rPr>
        <w:t>Overdosering af paricalcitol kan medføre hypercalcæmi, hypercalciuri, hyperphosphatæmi og oversuppression af PTH (se pkt</w:t>
      </w:r>
      <w:r>
        <w:rPr>
          <w:sz w:val="24"/>
          <w:szCs w:val="24"/>
        </w:rPr>
        <w:t>.</w:t>
      </w:r>
      <w:r w:rsidR="00032920" w:rsidRPr="002B27E6">
        <w:rPr>
          <w:sz w:val="24"/>
          <w:szCs w:val="24"/>
        </w:rPr>
        <w:t xml:space="preserve"> 4</w:t>
      </w:r>
      <w:r>
        <w:rPr>
          <w:sz w:val="24"/>
          <w:szCs w:val="24"/>
        </w:rPr>
        <w:t>.4)</w:t>
      </w:r>
      <w:r w:rsidR="00032920" w:rsidRPr="002B27E6">
        <w:rPr>
          <w:sz w:val="24"/>
          <w:szCs w:val="24"/>
        </w:rPr>
        <w:t xml:space="preserve">. </w:t>
      </w:r>
    </w:p>
    <w:p w:rsidR="00032920" w:rsidRPr="002B27E6" w:rsidRDefault="00032920" w:rsidP="002B27E6">
      <w:pPr>
        <w:ind w:left="851" w:hanging="851"/>
        <w:rPr>
          <w:sz w:val="24"/>
          <w:szCs w:val="24"/>
        </w:rPr>
      </w:pPr>
    </w:p>
    <w:p w:rsidR="00032920" w:rsidRPr="002B27E6" w:rsidRDefault="0057691C" w:rsidP="002B27E6">
      <w:pPr>
        <w:ind w:left="851" w:hanging="851"/>
        <w:rPr>
          <w:sz w:val="24"/>
          <w:szCs w:val="24"/>
        </w:rPr>
      </w:pPr>
      <w:r>
        <w:rPr>
          <w:sz w:val="24"/>
          <w:szCs w:val="24"/>
        </w:rPr>
        <w:tab/>
      </w:r>
      <w:r w:rsidR="00032920" w:rsidRPr="002B27E6">
        <w:rPr>
          <w:sz w:val="24"/>
          <w:szCs w:val="24"/>
        </w:rPr>
        <w:t xml:space="preserve">I tilfælde af overdosering, bør tegn og symptomer på hypercalcæmi (serumcalciumniveauet) overvåges og rapporteres til en læge, og passende behandling bør iværksættes. </w:t>
      </w:r>
    </w:p>
    <w:p w:rsidR="00032920" w:rsidRPr="002B27E6" w:rsidRDefault="00032920" w:rsidP="002B27E6">
      <w:pPr>
        <w:ind w:left="851" w:hanging="851"/>
        <w:rPr>
          <w:sz w:val="24"/>
          <w:szCs w:val="24"/>
        </w:rPr>
      </w:pPr>
    </w:p>
    <w:p w:rsidR="00032920" w:rsidRPr="002B27E6" w:rsidRDefault="0057691C" w:rsidP="002B27E6">
      <w:pPr>
        <w:ind w:left="851" w:hanging="851"/>
        <w:rPr>
          <w:sz w:val="24"/>
          <w:szCs w:val="24"/>
        </w:rPr>
      </w:pPr>
      <w:r>
        <w:rPr>
          <w:sz w:val="24"/>
          <w:szCs w:val="24"/>
        </w:rPr>
        <w:tab/>
      </w:r>
      <w:r w:rsidR="00032920" w:rsidRPr="002B27E6">
        <w:rPr>
          <w:sz w:val="24"/>
          <w:szCs w:val="24"/>
        </w:rPr>
        <w:t>Paricalcitol fjernes ikke signifikant ved dialyse. Behandling af patienter med klinisk signifikant hypercalæmi består i omgående nedsættelse af dosis eller seponering af paricalcitrol-behandlingen foruden en diæt med lav calcium-indtagelse, seponering af calciumtilskud, mobilisering af patienten, overvågning af væskebalance og elektrolytter, vurdering af elektrokardiografiske abnormaliteter, (kritisk hos patienter, der er i digitalisbehandling) og hæmodialyse eller peritoneal dialyse med et calciumfrit dialysat efter behov.</w:t>
      </w:r>
    </w:p>
    <w:p w:rsidR="00032920" w:rsidRPr="002B27E6" w:rsidRDefault="00032920" w:rsidP="002B27E6">
      <w:pPr>
        <w:ind w:left="851" w:hanging="851"/>
        <w:rPr>
          <w:sz w:val="24"/>
          <w:szCs w:val="24"/>
        </w:rPr>
      </w:pPr>
    </w:p>
    <w:p w:rsidR="00032920" w:rsidRPr="002B27E6" w:rsidRDefault="0057691C" w:rsidP="002B27E6">
      <w:pPr>
        <w:ind w:left="851" w:hanging="851"/>
        <w:rPr>
          <w:sz w:val="24"/>
          <w:szCs w:val="24"/>
        </w:rPr>
      </w:pPr>
      <w:r>
        <w:rPr>
          <w:sz w:val="24"/>
          <w:szCs w:val="24"/>
        </w:rPr>
        <w:tab/>
      </w:r>
      <w:r w:rsidR="00032920" w:rsidRPr="002B27E6">
        <w:rPr>
          <w:sz w:val="24"/>
          <w:szCs w:val="24"/>
        </w:rPr>
        <w:t xml:space="preserve">Når serum-calcium-niveauet igen ligger inden for normalgrænserne, kan behandling med paricalcitol påbegyndes igen i en lavere dosis. Hvis der forekommer vedvarende og markant forhøjede serum-calcium-niveauer kan forskellige terapeutiske alternativer </w:t>
      </w:r>
      <w:r w:rsidR="00032920" w:rsidRPr="002B27E6">
        <w:rPr>
          <w:sz w:val="24"/>
          <w:szCs w:val="24"/>
        </w:rPr>
        <w:lastRenderedPageBreak/>
        <w:t>overvejes. Disse omfatter anvendelse af lægemidler som phosphater og kortikosteroider samt foransta</w:t>
      </w:r>
      <w:r w:rsidR="008E58ED">
        <w:rPr>
          <w:sz w:val="24"/>
          <w:szCs w:val="24"/>
        </w:rPr>
        <w:t>l</w:t>
      </w:r>
      <w:r w:rsidR="00032920" w:rsidRPr="002B27E6">
        <w:rPr>
          <w:sz w:val="24"/>
          <w:szCs w:val="24"/>
        </w:rPr>
        <w:t>tninger til induktion af diurese.</w:t>
      </w:r>
    </w:p>
    <w:p w:rsidR="00B003BF" w:rsidRPr="002B27E6" w:rsidRDefault="00B003BF" w:rsidP="002B27E6">
      <w:pPr>
        <w:ind w:left="851" w:hanging="851"/>
        <w:rPr>
          <w:sz w:val="24"/>
          <w:szCs w:val="24"/>
        </w:rPr>
      </w:pPr>
    </w:p>
    <w:p w:rsidR="00B003BF" w:rsidRPr="002B27E6" w:rsidRDefault="00B003BF" w:rsidP="002B27E6">
      <w:pPr>
        <w:ind w:left="851" w:hanging="851"/>
        <w:rPr>
          <w:b/>
          <w:sz w:val="24"/>
          <w:szCs w:val="24"/>
        </w:rPr>
      </w:pPr>
      <w:r w:rsidRPr="002B27E6">
        <w:rPr>
          <w:b/>
          <w:sz w:val="24"/>
          <w:szCs w:val="24"/>
        </w:rPr>
        <w:t>4.10</w:t>
      </w:r>
      <w:r w:rsidRPr="002B27E6">
        <w:rPr>
          <w:b/>
          <w:sz w:val="24"/>
          <w:szCs w:val="24"/>
        </w:rPr>
        <w:tab/>
        <w:t>Udlevering</w:t>
      </w:r>
    </w:p>
    <w:p w:rsidR="00B003BF" w:rsidRPr="002B27E6" w:rsidRDefault="00B003BF" w:rsidP="002B27E6">
      <w:pPr>
        <w:ind w:left="851" w:hanging="851"/>
        <w:rPr>
          <w:sz w:val="24"/>
          <w:szCs w:val="24"/>
        </w:rPr>
      </w:pPr>
      <w:r w:rsidRPr="002B27E6">
        <w:rPr>
          <w:sz w:val="24"/>
          <w:szCs w:val="24"/>
        </w:rPr>
        <w:tab/>
      </w:r>
      <w:r w:rsidR="00B5773E">
        <w:rPr>
          <w:sz w:val="24"/>
          <w:szCs w:val="24"/>
        </w:rPr>
        <w:t>B</w:t>
      </w:r>
    </w:p>
    <w:p w:rsidR="00B003BF" w:rsidRPr="002B27E6" w:rsidRDefault="00B003BF" w:rsidP="002B27E6">
      <w:pPr>
        <w:ind w:left="851" w:hanging="851"/>
        <w:rPr>
          <w:sz w:val="24"/>
          <w:szCs w:val="24"/>
        </w:rPr>
      </w:pPr>
    </w:p>
    <w:p w:rsidR="00B003BF" w:rsidRPr="002B27E6" w:rsidRDefault="00B003BF" w:rsidP="002B27E6">
      <w:pPr>
        <w:ind w:left="851" w:hanging="851"/>
        <w:rPr>
          <w:sz w:val="24"/>
          <w:szCs w:val="24"/>
        </w:rPr>
      </w:pPr>
    </w:p>
    <w:p w:rsidR="00B003BF" w:rsidRPr="002B27E6" w:rsidRDefault="00B003BF" w:rsidP="002B27E6">
      <w:pPr>
        <w:ind w:left="851" w:hanging="851"/>
        <w:rPr>
          <w:b/>
          <w:sz w:val="24"/>
          <w:szCs w:val="24"/>
        </w:rPr>
      </w:pPr>
      <w:r w:rsidRPr="002B27E6">
        <w:rPr>
          <w:b/>
          <w:sz w:val="24"/>
          <w:szCs w:val="24"/>
        </w:rPr>
        <w:t>5.</w:t>
      </w:r>
      <w:r w:rsidRPr="002B27E6">
        <w:rPr>
          <w:b/>
          <w:sz w:val="24"/>
          <w:szCs w:val="24"/>
        </w:rPr>
        <w:tab/>
        <w:t>FARMAKOLOGISKE EGENSKABER</w:t>
      </w:r>
    </w:p>
    <w:p w:rsidR="00B003BF" w:rsidRPr="002B27E6" w:rsidRDefault="00B003BF" w:rsidP="002B27E6">
      <w:pPr>
        <w:ind w:left="851" w:hanging="851"/>
        <w:rPr>
          <w:sz w:val="24"/>
          <w:szCs w:val="24"/>
        </w:rPr>
      </w:pPr>
    </w:p>
    <w:p w:rsidR="00B003BF" w:rsidRPr="002B27E6" w:rsidRDefault="00B003BF" w:rsidP="002B27E6">
      <w:pPr>
        <w:ind w:left="851" w:hanging="851"/>
        <w:rPr>
          <w:b/>
          <w:sz w:val="24"/>
          <w:szCs w:val="24"/>
        </w:rPr>
      </w:pPr>
      <w:r w:rsidRPr="002B27E6">
        <w:rPr>
          <w:b/>
          <w:sz w:val="24"/>
          <w:szCs w:val="24"/>
        </w:rPr>
        <w:t>5.0</w:t>
      </w:r>
      <w:r w:rsidRPr="002B27E6">
        <w:rPr>
          <w:b/>
          <w:sz w:val="24"/>
          <w:szCs w:val="24"/>
        </w:rPr>
        <w:tab/>
        <w:t>Terapeutisk klassifikation</w:t>
      </w:r>
    </w:p>
    <w:p w:rsidR="00032920" w:rsidRPr="002B27E6" w:rsidRDefault="00032920" w:rsidP="002B27E6">
      <w:pPr>
        <w:ind w:left="851" w:hanging="851"/>
        <w:rPr>
          <w:sz w:val="24"/>
          <w:szCs w:val="24"/>
        </w:rPr>
      </w:pPr>
      <w:r w:rsidRPr="002B27E6">
        <w:rPr>
          <w:sz w:val="24"/>
          <w:szCs w:val="24"/>
        </w:rPr>
        <w:tab/>
        <w:t>ATC kode: H 05 BX 02. Anti-parathyroidea midler.</w:t>
      </w:r>
    </w:p>
    <w:p w:rsidR="00B003BF" w:rsidRPr="002B27E6" w:rsidRDefault="00B003BF" w:rsidP="002B27E6">
      <w:pPr>
        <w:ind w:left="851" w:hanging="851"/>
        <w:rPr>
          <w:sz w:val="24"/>
          <w:szCs w:val="24"/>
        </w:rPr>
      </w:pPr>
    </w:p>
    <w:p w:rsidR="00B003BF" w:rsidRPr="002B27E6" w:rsidRDefault="00B003BF" w:rsidP="002B27E6">
      <w:pPr>
        <w:ind w:left="851" w:hanging="851"/>
        <w:rPr>
          <w:b/>
          <w:sz w:val="24"/>
          <w:szCs w:val="24"/>
        </w:rPr>
      </w:pPr>
      <w:r w:rsidRPr="002B27E6">
        <w:rPr>
          <w:b/>
          <w:sz w:val="24"/>
          <w:szCs w:val="24"/>
        </w:rPr>
        <w:t>5.1</w:t>
      </w:r>
      <w:r w:rsidRPr="002B27E6">
        <w:rPr>
          <w:b/>
          <w:sz w:val="24"/>
          <w:szCs w:val="24"/>
        </w:rPr>
        <w:tab/>
        <w:t>Farmakodynamiske egenskaber</w:t>
      </w:r>
    </w:p>
    <w:p w:rsidR="0057691C" w:rsidRDefault="0057691C" w:rsidP="002B27E6">
      <w:pPr>
        <w:ind w:left="851" w:hanging="851"/>
        <w:rPr>
          <w:sz w:val="24"/>
          <w:szCs w:val="24"/>
        </w:rPr>
      </w:pPr>
    </w:p>
    <w:p w:rsidR="00032920" w:rsidRPr="002B27E6" w:rsidRDefault="00032920" w:rsidP="002B27E6">
      <w:pPr>
        <w:ind w:left="851" w:hanging="851"/>
        <w:rPr>
          <w:sz w:val="24"/>
          <w:szCs w:val="24"/>
        </w:rPr>
      </w:pPr>
      <w:r w:rsidRPr="002B27E6">
        <w:rPr>
          <w:sz w:val="24"/>
          <w:szCs w:val="24"/>
        </w:rPr>
        <w:tab/>
      </w:r>
      <w:r w:rsidRPr="0057691C">
        <w:rPr>
          <w:sz w:val="24"/>
          <w:szCs w:val="24"/>
          <w:u w:val="single"/>
        </w:rPr>
        <w:t>Virkningsmekanisme</w:t>
      </w:r>
    </w:p>
    <w:p w:rsidR="00032920" w:rsidRDefault="0057691C" w:rsidP="002B27E6">
      <w:pPr>
        <w:ind w:left="851" w:hanging="851"/>
        <w:rPr>
          <w:sz w:val="24"/>
          <w:szCs w:val="24"/>
        </w:rPr>
      </w:pPr>
      <w:r>
        <w:rPr>
          <w:sz w:val="24"/>
          <w:szCs w:val="24"/>
        </w:rPr>
        <w:tab/>
      </w:r>
      <w:r w:rsidR="00032920" w:rsidRPr="002B27E6">
        <w:rPr>
          <w:sz w:val="24"/>
          <w:szCs w:val="24"/>
        </w:rPr>
        <w:t>Paricalcitol er en syntetisk biologisk aktiv D-vitamin-analog af calcitriol med modifikationer i sidekæden (D2) og i A (19-nor)ringen. I modsætning til calcitriol, er</w:t>
      </w:r>
      <w:r>
        <w:rPr>
          <w:sz w:val="24"/>
          <w:szCs w:val="24"/>
        </w:rPr>
        <w:t xml:space="preserve"> </w:t>
      </w:r>
      <w:r w:rsidR="00032920" w:rsidRPr="002B27E6">
        <w:rPr>
          <w:sz w:val="24"/>
          <w:szCs w:val="24"/>
        </w:rPr>
        <w:t>paricalcitol en selektiv vitamin D receptor (VDR) aktivator. Paricalcitol opregulerer selektivt VDR i parathyroidea uden at øge VDR i tarmene og med ringere effekt på knogleresorptionen. Paricalcitol opregulerer også de calciumfølsomme receptorer (CaSR) i parathyoridea. Som følge deraf reducerer paricalcitol parathyroideahormonniveauet ved at hæmme parathyroideaproliferationen og nedsætte PTH</w:t>
      </w:r>
      <w:r w:rsidR="00B5773E">
        <w:rPr>
          <w:sz w:val="24"/>
          <w:szCs w:val="24"/>
        </w:rPr>
        <w:t>-</w:t>
      </w:r>
      <w:r w:rsidR="00032920" w:rsidRPr="002B27E6">
        <w:rPr>
          <w:sz w:val="24"/>
          <w:szCs w:val="24"/>
        </w:rPr>
        <w:t>syntesen og sekretionen med samtidig minimal påvirkning af calcium</w:t>
      </w:r>
      <w:r w:rsidR="00B5773E">
        <w:rPr>
          <w:sz w:val="24"/>
          <w:szCs w:val="24"/>
        </w:rPr>
        <w:t>-</w:t>
      </w:r>
      <w:r w:rsidR="00032920" w:rsidRPr="002B27E6">
        <w:rPr>
          <w:sz w:val="24"/>
          <w:szCs w:val="24"/>
        </w:rPr>
        <w:t xml:space="preserve"> og phosphat</w:t>
      </w:r>
      <w:r w:rsidR="00B5773E">
        <w:rPr>
          <w:sz w:val="24"/>
          <w:szCs w:val="24"/>
        </w:rPr>
        <w:t>-</w:t>
      </w:r>
      <w:r w:rsidR="00032920" w:rsidRPr="002B27E6">
        <w:rPr>
          <w:sz w:val="24"/>
          <w:szCs w:val="24"/>
        </w:rPr>
        <w:t>koncentrationen. Paricalcitol kan virke direkte på knogleceller ved at bevare knoglevolumen og forbedre mineraliserings</w:t>
      </w:r>
      <w:r w:rsidR="008E58ED">
        <w:rPr>
          <w:sz w:val="24"/>
          <w:szCs w:val="24"/>
        </w:rPr>
        <w:softHyphen/>
      </w:r>
      <w:r w:rsidR="00032920" w:rsidRPr="002B27E6">
        <w:rPr>
          <w:sz w:val="24"/>
          <w:szCs w:val="24"/>
        </w:rPr>
        <w:t>overflader. Normalisering af PTH</w:t>
      </w:r>
      <w:r w:rsidR="00B5773E">
        <w:rPr>
          <w:sz w:val="24"/>
          <w:szCs w:val="24"/>
        </w:rPr>
        <w:t>-</w:t>
      </w:r>
      <w:r w:rsidR="00032920" w:rsidRPr="002B27E6">
        <w:rPr>
          <w:sz w:val="24"/>
          <w:szCs w:val="24"/>
        </w:rPr>
        <w:t>niveauet med normalisering af calcium og phosphat homeostatis kan forebygge og behandle metabolisk knoglesygdom forårsag</w:t>
      </w:r>
      <w:r w:rsidR="00F81D52">
        <w:rPr>
          <w:sz w:val="24"/>
          <w:szCs w:val="24"/>
        </w:rPr>
        <w:t>et af kronisk nyreinsufficiens.</w:t>
      </w:r>
    </w:p>
    <w:p w:rsidR="00F81D52" w:rsidRDefault="00F81D52" w:rsidP="002B27E6">
      <w:pPr>
        <w:ind w:left="851" w:hanging="851"/>
        <w:rPr>
          <w:sz w:val="24"/>
          <w:szCs w:val="24"/>
        </w:rPr>
      </w:pPr>
    </w:p>
    <w:p w:rsidR="00F81D52" w:rsidRPr="008C76D1" w:rsidRDefault="008C76D1" w:rsidP="008C76D1">
      <w:pPr>
        <w:ind w:left="851"/>
        <w:rPr>
          <w:sz w:val="24"/>
          <w:szCs w:val="24"/>
          <w:u w:val="single"/>
        </w:rPr>
      </w:pPr>
      <w:r w:rsidRPr="008C76D1">
        <w:rPr>
          <w:sz w:val="24"/>
          <w:szCs w:val="24"/>
          <w:u w:val="single"/>
        </w:rPr>
        <w:t>Pædiatrisk population</w:t>
      </w:r>
    </w:p>
    <w:p w:rsidR="00032920" w:rsidRPr="002B27E6" w:rsidRDefault="0057691C" w:rsidP="002B27E6">
      <w:pPr>
        <w:ind w:left="851" w:hanging="851"/>
        <w:rPr>
          <w:sz w:val="24"/>
          <w:szCs w:val="24"/>
        </w:rPr>
      </w:pPr>
      <w:r>
        <w:rPr>
          <w:sz w:val="24"/>
          <w:szCs w:val="24"/>
        </w:rPr>
        <w:tab/>
      </w:r>
      <w:r w:rsidR="00032920" w:rsidRPr="002B27E6">
        <w:rPr>
          <w:sz w:val="24"/>
          <w:szCs w:val="24"/>
        </w:rPr>
        <w:t xml:space="preserve">Paricalcitols sikkerhed og effekt blev undersøgt i et 12-ugers randomiseret, dobbelt-blindt, placebo-kontrolleret forsøg med 29 pædiatriske patienter, i alderen fra 5-19 år, med nyresygdom i slut-stadie </w:t>
      </w:r>
      <w:r w:rsidR="00B5773E">
        <w:rPr>
          <w:sz w:val="24"/>
          <w:szCs w:val="24"/>
        </w:rPr>
        <w:t>på hæmodialyse. De seks yngste p</w:t>
      </w:r>
      <w:r w:rsidR="00032920" w:rsidRPr="002B27E6">
        <w:rPr>
          <w:sz w:val="24"/>
          <w:szCs w:val="24"/>
        </w:rPr>
        <w:t xml:space="preserve">aricalcitol-behandlede patienter i forsøget var 5-12 år gamle. Startdosis af </w:t>
      </w:r>
      <w:r w:rsidR="00B5773E">
        <w:rPr>
          <w:sz w:val="24"/>
          <w:szCs w:val="24"/>
        </w:rPr>
        <w:t>p</w:t>
      </w:r>
      <w:r w:rsidR="00032920" w:rsidRPr="002B27E6">
        <w:rPr>
          <w:sz w:val="24"/>
          <w:szCs w:val="24"/>
        </w:rPr>
        <w:t>aricalcitol var 0.04 mikr</w:t>
      </w:r>
      <w:r w:rsidR="00B5773E">
        <w:rPr>
          <w:sz w:val="24"/>
          <w:szCs w:val="24"/>
        </w:rPr>
        <w:t>o</w:t>
      </w:r>
      <w:r w:rsidR="00032920" w:rsidRPr="002B27E6">
        <w:rPr>
          <w:sz w:val="24"/>
          <w:szCs w:val="24"/>
        </w:rPr>
        <w:t>g/kg 3 gange om ugen, baseret på henholdsvis baseline iPTH</w:t>
      </w:r>
      <w:r w:rsidR="00B5773E">
        <w:rPr>
          <w:sz w:val="24"/>
          <w:szCs w:val="24"/>
        </w:rPr>
        <w:t>-</w:t>
      </w:r>
      <w:r w:rsidR="00032920" w:rsidRPr="002B27E6">
        <w:rPr>
          <w:sz w:val="24"/>
          <w:szCs w:val="24"/>
        </w:rPr>
        <w:t>niveau på mindre end 500 pg/ml, eller 0.08 mikr</w:t>
      </w:r>
      <w:r w:rsidR="00B5773E">
        <w:rPr>
          <w:sz w:val="24"/>
          <w:szCs w:val="24"/>
        </w:rPr>
        <w:t>o</w:t>
      </w:r>
      <w:r w:rsidR="00032920" w:rsidRPr="002B27E6">
        <w:rPr>
          <w:sz w:val="24"/>
          <w:szCs w:val="24"/>
        </w:rPr>
        <w:t>g/kg 3 gange om ugen og baseline iPTH</w:t>
      </w:r>
      <w:r w:rsidR="00B5773E">
        <w:rPr>
          <w:sz w:val="24"/>
          <w:szCs w:val="24"/>
        </w:rPr>
        <w:t>-</w:t>
      </w:r>
      <w:r w:rsidR="00032920" w:rsidRPr="002B27E6">
        <w:rPr>
          <w:sz w:val="24"/>
          <w:szCs w:val="24"/>
        </w:rPr>
        <w:t xml:space="preserve">niveau på </w:t>
      </w:r>
      <w:r w:rsidR="00B5773E">
        <w:rPr>
          <w:sz w:val="24"/>
          <w:szCs w:val="24"/>
        </w:rPr>
        <w:t xml:space="preserve">&gt; 500 pg/ml. Paricalcitol </w:t>
      </w:r>
      <w:r w:rsidR="002F0350">
        <w:rPr>
          <w:sz w:val="24"/>
          <w:szCs w:val="24"/>
        </w:rPr>
        <w:t>"</w:t>
      </w:r>
      <w:r w:rsidR="00B5773E">
        <w:rPr>
          <w:sz w:val="24"/>
          <w:szCs w:val="24"/>
        </w:rPr>
        <w:t>Pharma</w:t>
      </w:r>
      <w:r w:rsidR="00032920" w:rsidRPr="002B27E6">
        <w:rPr>
          <w:sz w:val="24"/>
          <w:szCs w:val="24"/>
        </w:rPr>
        <w:t>then</w:t>
      </w:r>
      <w:r w:rsidR="002F0350">
        <w:rPr>
          <w:sz w:val="24"/>
          <w:szCs w:val="24"/>
        </w:rPr>
        <w:t>"</w:t>
      </w:r>
      <w:r w:rsidR="00032920" w:rsidRPr="002B27E6">
        <w:rPr>
          <w:sz w:val="24"/>
          <w:szCs w:val="24"/>
        </w:rPr>
        <w:t xml:space="preserve"> dosen blev tilpasset med stigninger på 0.04 mikr</w:t>
      </w:r>
      <w:r w:rsidR="00B5773E">
        <w:rPr>
          <w:sz w:val="24"/>
          <w:szCs w:val="24"/>
        </w:rPr>
        <w:t>o</w:t>
      </w:r>
      <w:r w:rsidR="00032920" w:rsidRPr="002B27E6">
        <w:rPr>
          <w:sz w:val="24"/>
          <w:szCs w:val="24"/>
        </w:rPr>
        <w:t>g/kg baseret på niveauet af serum iPTH, calcium, og Ca x P. 67</w:t>
      </w:r>
      <w:r w:rsidR="00245753">
        <w:rPr>
          <w:sz w:val="24"/>
          <w:szCs w:val="24"/>
        </w:rPr>
        <w:t xml:space="preserve"> %</w:t>
      </w:r>
      <w:r w:rsidR="00032920" w:rsidRPr="002B27E6">
        <w:rPr>
          <w:sz w:val="24"/>
          <w:szCs w:val="24"/>
        </w:rPr>
        <w:t xml:space="preserve"> af de </w:t>
      </w:r>
      <w:r w:rsidR="00B5773E">
        <w:rPr>
          <w:sz w:val="24"/>
          <w:szCs w:val="24"/>
        </w:rPr>
        <w:t>p</w:t>
      </w:r>
      <w:r w:rsidR="00032920" w:rsidRPr="002B27E6">
        <w:rPr>
          <w:sz w:val="24"/>
          <w:szCs w:val="24"/>
        </w:rPr>
        <w:t>aricalcitol-behandlede patienter og 14</w:t>
      </w:r>
      <w:r w:rsidR="00245753">
        <w:rPr>
          <w:sz w:val="24"/>
          <w:szCs w:val="24"/>
        </w:rPr>
        <w:t xml:space="preserve"> %</w:t>
      </w:r>
      <w:r w:rsidR="00032920" w:rsidRPr="002B27E6">
        <w:rPr>
          <w:sz w:val="24"/>
          <w:szCs w:val="24"/>
        </w:rPr>
        <w:t xml:space="preserve"> af de placebo-behandlede patienter gennemførte forsøget. 60</w:t>
      </w:r>
      <w:r w:rsidR="00245753">
        <w:rPr>
          <w:sz w:val="24"/>
          <w:szCs w:val="24"/>
        </w:rPr>
        <w:t xml:space="preserve"> %</w:t>
      </w:r>
      <w:r w:rsidR="00032920" w:rsidRPr="002B27E6">
        <w:rPr>
          <w:sz w:val="24"/>
          <w:szCs w:val="24"/>
        </w:rPr>
        <w:t xml:space="preserve"> af patienterne i </w:t>
      </w:r>
      <w:r w:rsidR="00B5773E">
        <w:rPr>
          <w:sz w:val="24"/>
          <w:szCs w:val="24"/>
        </w:rPr>
        <w:t>p</w:t>
      </w:r>
      <w:r w:rsidR="00032920" w:rsidRPr="002B27E6">
        <w:rPr>
          <w:sz w:val="24"/>
          <w:szCs w:val="24"/>
        </w:rPr>
        <w:t>aricalcitol</w:t>
      </w:r>
      <w:r w:rsidR="00B5773E">
        <w:rPr>
          <w:sz w:val="24"/>
          <w:szCs w:val="24"/>
        </w:rPr>
        <w:t>-</w:t>
      </w:r>
      <w:r w:rsidR="00032920" w:rsidRPr="002B27E6">
        <w:rPr>
          <w:sz w:val="24"/>
          <w:szCs w:val="24"/>
        </w:rPr>
        <w:t>gruppen havde 2 på hinanden følgende 30</w:t>
      </w:r>
      <w:r w:rsidR="00245753">
        <w:rPr>
          <w:sz w:val="24"/>
          <w:szCs w:val="24"/>
        </w:rPr>
        <w:t xml:space="preserve"> %</w:t>
      </w:r>
      <w:r w:rsidR="00032920" w:rsidRPr="002B27E6">
        <w:rPr>
          <w:sz w:val="24"/>
          <w:szCs w:val="24"/>
        </w:rPr>
        <w:t xml:space="preserve"> fald fra baseline iPTH samme</w:t>
      </w:r>
      <w:r w:rsidR="00B5773E">
        <w:rPr>
          <w:sz w:val="24"/>
          <w:szCs w:val="24"/>
        </w:rPr>
        <w:t>n</w:t>
      </w:r>
      <w:r w:rsidR="00032920" w:rsidRPr="002B27E6">
        <w:rPr>
          <w:sz w:val="24"/>
          <w:szCs w:val="24"/>
        </w:rPr>
        <w:t>lignet med 21</w:t>
      </w:r>
      <w:r w:rsidR="00245753">
        <w:rPr>
          <w:sz w:val="24"/>
          <w:szCs w:val="24"/>
        </w:rPr>
        <w:t xml:space="preserve"> %</w:t>
      </w:r>
      <w:r w:rsidR="00032920" w:rsidRPr="002B27E6">
        <w:rPr>
          <w:sz w:val="24"/>
          <w:szCs w:val="24"/>
        </w:rPr>
        <w:t xml:space="preserve"> af patienterne i placebo-gruppen. 71</w:t>
      </w:r>
      <w:r w:rsidR="00245753">
        <w:rPr>
          <w:sz w:val="24"/>
          <w:szCs w:val="24"/>
        </w:rPr>
        <w:t xml:space="preserve"> %</w:t>
      </w:r>
      <w:r w:rsidR="00032920" w:rsidRPr="002B27E6">
        <w:rPr>
          <w:sz w:val="24"/>
          <w:szCs w:val="24"/>
        </w:rPr>
        <w:t xml:space="preserve"> af placebo-patienterne afbrød forsøget på grund af usædvanlige store stigninger i iPTH</w:t>
      </w:r>
      <w:r w:rsidR="00B5773E">
        <w:rPr>
          <w:sz w:val="24"/>
          <w:szCs w:val="24"/>
        </w:rPr>
        <w:t>-</w:t>
      </w:r>
      <w:r w:rsidR="00032920" w:rsidRPr="002B27E6">
        <w:rPr>
          <w:sz w:val="24"/>
          <w:szCs w:val="24"/>
        </w:rPr>
        <w:t xml:space="preserve">niveauer. Ingen patienter i hverken Paricalcitol </w:t>
      </w:r>
      <w:r w:rsidR="002F0350">
        <w:rPr>
          <w:sz w:val="24"/>
          <w:szCs w:val="24"/>
        </w:rPr>
        <w:t>"</w:t>
      </w:r>
      <w:r w:rsidR="00273D55">
        <w:rPr>
          <w:sz w:val="24"/>
          <w:szCs w:val="24"/>
        </w:rPr>
        <w:t>Pharmathen</w:t>
      </w:r>
      <w:r w:rsidR="002F0350">
        <w:rPr>
          <w:sz w:val="24"/>
          <w:szCs w:val="24"/>
        </w:rPr>
        <w:t>"</w:t>
      </w:r>
      <w:r w:rsidR="00032920" w:rsidRPr="002B27E6">
        <w:rPr>
          <w:sz w:val="24"/>
          <w:szCs w:val="24"/>
        </w:rPr>
        <w:t>-gruppen eller placebo-gruppen udviklede hypercalceæmi. Der er ingen tilgængelig dokumentation for patienter under 5 år.</w:t>
      </w:r>
    </w:p>
    <w:p w:rsidR="00B003BF" w:rsidRPr="002B27E6" w:rsidRDefault="00B003BF" w:rsidP="002B27E6">
      <w:pPr>
        <w:ind w:left="851" w:hanging="851"/>
        <w:rPr>
          <w:sz w:val="24"/>
          <w:szCs w:val="24"/>
        </w:rPr>
      </w:pPr>
    </w:p>
    <w:p w:rsidR="00B003BF" w:rsidRPr="002B27E6" w:rsidRDefault="00B003BF" w:rsidP="002B27E6">
      <w:pPr>
        <w:ind w:left="851" w:hanging="851"/>
        <w:rPr>
          <w:b/>
          <w:sz w:val="24"/>
          <w:szCs w:val="24"/>
        </w:rPr>
      </w:pPr>
      <w:r w:rsidRPr="002B27E6">
        <w:rPr>
          <w:b/>
          <w:sz w:val="24"/>
          <w:szCs w:val="24"/>
        </w:rPr>
        <w:t>5.2</w:t>
      </w:r>
      <w:r w:rsidRPr="002B27E6">
        <w:rPr>
          <w:b/>
          <w:sz w:val="24"/>
          <w:szCs w:val="24"/>
        </w:rPr>
        <w:tab/>
        <w:t>Farmakokinetiske egenskaber</w:t>
      </w:r>
    </w:p>
    <w:p w:rsidR="00B5773E" w:rsidRDefault="00032920" w:rsidP="002B27E6">
      <w:pPr>
        <w:ind w:left="851" w:hanging="851"/>
        <w:rPr>
          <w:sz w:val="24"/>
          <w:szCs w:val="24"/>
        </w:rPr>
      </w:pPr>
      <w:r w:rsidRPr="002B27E6">
        <w:rPr>
          <w:sz w:val="24"/>
          <w:szCs w:val="24"/>
        </w:rPr>
        <w:tab/>
      </w:r>
    </w:p>
    <w:p w:rsidR="0057691C" w:rsidRPr="00265B74" w:rsidRDefault="008C76D1" w:rsidP="00265B74">
      <w:pPr>
        <w:ind w:left="851"/>
        <w:rPr>
          <w:sz w:val="24"/>
          <w:szCs w:val="24"/>
          <w:u w:val="single"/>
        </w:rPr>
      </w:pPr>
      <w:r>
        <w:rPr>
          <w:sz w:val="24"/>
          <w:szCs w:val="24"/>
          <w:u w:val="single"/>
        </w:rPr>
        <w:t>Fordeling</w:t>
      </w:r>
    </w:p>
    <w:p w:rsidR="00032920" w:rsidRPr="00741F41" w:rsidRDefault="00032920" w:rsidP="00265B74">
      <w:pPr>
        <w:ind w:left="851"/>
        <w:rPr>
          <w:sz w:val="24"/>
          <w:szCs w:val="24"/>
        </w:rPr>
      </w:pPr>
      <w:r w:rsidRPr="002B27E6">
        <w:rPr>
          <w:sz w:val="24"/>
          <w:szCs w:val="24"/>
        </w:rPr>
        <w:t>Paricalcitols farmakokinetiske egenskaber er blevet undersøgt hos patienter med kronisk nyreinsufficiens i hæmodialyse. Paricalcitol indgives som en intravenøs bolus-injektion. Inden for 2 timer efter indgivelse af en dosis på mellem 0,04 og 0,24 mikrogram/kg faldt koncentrationen af paricalcitol hastigt, hvorefter den faldt log-lineært med en gennemsnits</w:t>
      </w:r>
      <w:r w:rsidR="008E58ED">
        <w:rPr>
          <w:sz w:val="24"/>
          <w:szCs w:val="24"/>
        </w:rPr>
        <w:softHyphen/>
      </w:r>
      <w:r w:rsidRPr="00741F41">
        <w:rPr>
          <w:sz w:val="24"/>
          <w:szCs w:val="24"/>
        </w:rPr>
        <w:lastRenderedPageBreak/>
        <w:t xml:space="preserve">halveringstid på ca. 15 timer. Der blev ikke observeret nogen akkumulering af paricalcitol ved indgivelse af flere doser. </w:t>
      </w:r>
      <w:r w:rsidR="00A76ACC" w:rsidRPr="00741F41">
        <w:rPr>
          <w:i/>
          <w:sz w:val="24"/>
          <w:szCs w:val="24"/>
          <w:lang w:eastAsia="da-DK"/>
        </w:rPr>
        <w:t>In vitro</w:t>
      </w:r>
      <w:r w:rsidR="00A76ACC" w:rsidRPr="00741F41">
        <w:rPr>
          <w:sz w:val="24"/>
          <w:szCs w:val="24"/>
          <w:lang w:eastAsia="da-DK"/>
        </w:rPr>
        <w:t xml:space="preserve"> plasmaproteinbinding af paricalcitol var omfattende (&gt; 99,9 %) og usmørbar over koncentrationsområdet 1 til 100 ng/ml.</w:t>
      </w:r>
    </w:p>
    <w:p w:rsidR="00032920" w:rsidRPr="00741F41" w:rsidRDefault="00032920" w:rsidP="00265B74">
      <w:pPr>
        <w:ind w:left="851"/>
        <w:rPr>
          <w:sz w:val="24"/>
          <w:szCs w:val="24"/>
        </w:rPr>
      </w:pPr>
    </w:p>
    <w:p w:rsidR="00A76ACC" w:rsidRPr="00741F41" w:rsidRDefault="00A76ACC" w:rsidP="00A76ACC">
      <w:pPr>
        <w:tabs>
          <w:tab w:val="left" w:pos="851"/>
        </w:tabs>
        <w:ind w:left="851" w:hanging="851"/>
        <w:rPr>
          <w:sz w:val="24"/>
          <w:szCs w:val="24"/>
          <w:u w:val="single"/>
        </w:rPr>
      </w:pPr>
      <w:r w:rsidRPr="00741F41">
        <w:rPr>
          <w:sz w:val="24"/>
          <w:szCs w:val="24"/>
        </w:rPr>
        <w:tab/>
      </w:r>
      <w:r w:rsidRPr="00741F41">
        <w:rPr>
          <w:sz w:val="24"/>
          <w:szCs w:val="24"/>
          <w:u w:val="single"/>
        </w:rPr>
        <w:t xml:space="preserve">Biotransformation </w:t>
      </w:r>
    </w:p>
    <w:p w:rsidR="00A76ACC" w:rsidRPr="00741F41" w:rsidRDefault="00A76ACC" w:rsidP="00741F41">
      <w:pPr>
        <w:tabs>
          <w:tab w:val="left" w:pos="851"/>
        </w:tabs>
        <w:ind w:left="851"/>
        <w:rPr>
          <w:sz w:val="24"/>
          <w:szCs w:val="24"/>
        </w:rPr>
      </w:pPr>
      <w:r w:rsidRPr="00741F41">
        <w:rPr>
          <w:sz w:val="24"/>
          <w:szCs w:val="24"/>
        </w:rPr>
        <w:t>Adskillige ukendte metabolitter blev påvist i både urin og fæces uden målbare spor af paricalcitol i urin. Metabolitterne er ikke blevet beskrevet eller identificeret. Tilsammen udgjorde metabolitterne 51</w:t>
      </w:r>
      <w:r w:rsidR="00741F41">
        <w:rPr>
          <w:sz w:val="24"/>
          <w:szCs w:val="24"/>
        </w:rPr>
        <w:t xml:space="preserve"> </w:t>
      </w:r>
      <w:r w:rsidRPr="00741F41">
        <w:rPr>
          <w:sz w:val="24"/>
          <w:szCs w:val="24"/>
        </w:rPr>
        <w:t>% af radioaktiviteten i urin og 59</w:t>
      </w:r>
      <w:r w:rsidR="00741F41">
        <w:rPr>
          <w:sz w:val="24"/>
          <w:szCs w:val="24"/>
        </w:rPr>
        <w:t xml:space="preserve"> </w:t>
      </w:r>
      <w:r w:rsidRPr="00741F41">
        <w:rPr>
          <w:sz w:val="24"/>
          <w:szCs w:val="24"/>
        </w:rPr>
        <w:t xml:space="preserve">% af radioaktiviteten i fæces. </w:t>
      </w:r>
    </w:p>
    <w:p w:rsidR="00A76ACC" w:rsidRPr="00741F41" w:rsidRDefault="00A76ACC" w:rsidP="00A76ACC">
      <w:pPr>
        <w:tabs>
          <w:tab w:val="left" w:pos="851"/>
        </w:tabs>
        <w:ind w:left="851" w:hanging="851"/>
        <w:rPr>
          <w:sz w:val="24"/>
          <w:szCs w:val="24"/>
        </w:rPr>
      </w:pPr>
    </w:p>
    <w:tbl>
      <w:tblPr>
        <w:tblW w:w="8640" w:type="dxa"/>
        <w:jc w:val="center"/>
        <w:tblCellSpacing w:w="0" w:type="dxa"/>
        <w:tblCellMar>
          <w:top w:w="15" w:type="dxa"/>
          <w:left w:w="15" w:type="dxa"/>
          <w:bottom w:w="15" w:type="dxa"/>
          <w:right w:w="15" w:type="dxa"/>
        </w:tblCellMar>
        <w:tblLook w:val="04A0" w:firstRow="1" w:lastRow="0" w:firstColumn="1" w:lastColumn="0" w:noHBand="0" w:noVBand="1"/>
      </w:tblPr>
      <w:tblGrid>
        <w:gridCol w:w="3540"/>
        <w:gridCol w:w="2265"/>
        <w:gridCol w:w="2835"/>
      </w:tblGrid>
      <w:tr w:rsidR="00A76ACC" w:rsidRPr="00741F41" w:rsidTr="00E35C09">
        <w:trPr>
          <w:tblCellSpacing w:w="0" w:type="dxa"/>
          <w:jc w:val="center"/>
        </w:trPr>
        <w:tc>
          <w:tcPr>
            <w:tcW w:w="8640" w:type="dxa"/>
            <w:gridSpan w:val="3"/>
            <w:tcBorders>
              <w:top w:val="single" w:sz="8" w:space="0" w:color="auto"/>
              <w:left w:val="single" w:sz="8" w:space="0" w:color="auto"/>
              <w:bottom w:val="single" w:sz="8" w:space="0" w:color="auto"/>
              <w:right w:val="single" w:sz="8" w:space="0" w:color="auto"/>
            </w:tcBorders>
            <w:hideMark/>
          </w:tcPr>
          <w:p w:rsidR="00A76ACC" w:rsidRPr="00741F41" w:rsidRDefault="00A76ACC" w:rsidP="00A76ACC">
            <w:pPr>
              <w:ind w:left="29"/>
              <w:rPr>
                <w:sz w:val="24"/>
                <w:szCs w:val="24"/>
                <w:lang w:eastAsia="el-GR"/>
              </w:rPr>
            </w:pPr>
            <w:r w:rsidRPr="00741F41">
              <w:rPr>
                <w:b/>
                <w:bCs/>
                <w:color w:val="000000"/>
                <w:sz w:val="24"/>
                <w:szCs w:val="24"/>
                <w:lang w:eastAsia="el-GR"/>
              </w:rPr>
              <w:t>Paricalcitols farmakokinetiske egenskaber hos patienter med kronisk nyreinsufficiens (dosis: 0,24 mikrog/kg)</w:t>
            </w:r>
            <w:r w:rsidRPr="00741F41">
              <w:rPr>
                <w:sz w:val="24"/>
                <w:szCs w:val="24"/>
                <w:lang w:eastAsia="el-GR"/>
              </w:rPr>
              <w:t xml:space="preserve"> </w:t>
            </w:r>
          </w:p>
        </w:tc>
      </w:tr>
      <w:tr w:rsidR="00A76ACC" w:rsidRPr="00741F41" w:rsidTr="00E35C09">
        <w:trPr>
          <w:tblCellSpacing w:w="0" w:type="dxa"/>
          <w:jc w:val="center"/>
        </w:trPr>
        <w:tc>
          <w:tcPr>
            <w:tcW w:w="3540" w:type="dxa"/>
            <w:tcBorders>
              <w:top w:val="single" w:sz="8" w:space="0" w:color="auto"/>
              <w:left w:val="single" w:sz="8" w:space="0" w:color="auto"/>
              <w:bottom w:val="single" w:sz="8" w:space="0" w:color="auto"/>
              <w:right w:val="single" w:sz="8" w:space="0" w:color="auto"/>
            </w:tcBorders>
            <w:hideMark/>
          </w:tcPr>
          <w:p w:rsidR="00A76ACC" w:rsidRPr="00741F41" w:rsidRDefault="00A76ACC" w:rsidP="00E35C09">
            <w:pPr>
              <w:ind w:left="850" w:hanging="850"/>
              <w:jc w:val="center"/>
              <w:rPr>
                <w:sz w:val="24"/>
                <w:szCs w:val="24"/>
                <w:lang w:eastAsia="el-GR"/>
              </w:rPr>
            </w:pPr>
            <w:r w:rsidRPr="00741F41">
              <w:rPr>
                <w:b/>
                <w:bCs/>
                <w:color w:val="000000"/>
                <w:sz w:val="24"/>
                <w:szCs w:val="24"/>
                <w:lang w:eastAsia="el-GR"/>
              </w:rPr>
              <w:t>Parameter</w:t>
            </w:r>
            <w:r w:rsidRPr="00741F41">
              <w:rPr>
                <w:sz w:val="24"/>
                <w:szCs w:val="24"/>
                <w:lang w:eastAsia="el-GR"/>
              </w:rPr>
              <w:t xml:space="preserve"> </w:t>
            </w:r>
          </w:p>
        </w:tc>
        <w:tc>
          <w:tcPr>
            <w:tcW w:w="2265" w:type="dxa"/>
            <w:tcBorders>
              <w:top w:val="single" w:sz="8" w:space="0" w:color="auto"/>
              <w:left w:val="single" w:sz="8" w:space="0" w:color="auto"/>
              <w:bottom w:val="single" w:sz="8" w:space="0" w:color="auto"/>
              <w:right w:val="single" w:sz="8" w:space="0" w:color="auto"/>
            </w:tcBorders>
            <w:hideMark/>
          </w:tcPr>
          <w:p w:rsidR="00A76ACC" w:rsidRPr="00741F41" w:rsidRDefault="00A76ACC" w:rsidP="00E35C09">
            <w:pPr>
              <w:ind w:left="850" w:hanging="850"/>
              <w:jc w:val="center"/>
              <w:rPr>
                <w:sz w:val="24"/>
                <w:szCs w:val="24"/>
                <w:lang w:eastAsia="el-GR"/>
              </w:rPr>
            </w:pPr>
            <w:r w:rsidRPr="00741F41">
              <w:rPr>
                <w:b/>
                <w:bCs/>
                <w:color w:val="000000"/>
                <w:sz w:val="24"/>
                <w:szCs w:val="24"/>
                <w:lang w:eastAsia="el-GR"/>
              </w:rPr>
              <w:t>N</w:t>
            </w:r>
            <w:r w:rsidRPr="00741F41">
              <w:rPr>
                <w:sz w:val="24"/>
                <w:szCs w:val="24"/>
                <w:lang w:eastAsia="el-GR"/>
              </w:rPr>
              <w:t xml:space="preserve"> </w:t>
            </w:r>
          </w:p>
        </w:tc>
        <w:tc>
          <w:tcPr>
            <w:tcW w:w="2835" w:type="dxa"/>
            <w:tcBorders>
              <w:top w:val="single" w:sz="8" w:space="0" w:color="auto"/>
              <w:left w:val="single" w:sz="8" w:space="0" w:color="auto"/>
              <w:bottom w:val="single" w:sz="8" w:space="0" w:color="auto"/>
              <w:right w:val="single" w:sz="8" w:space="0" w:color="auto"/>
            </w:tcBorders>
            <w:hideMark/>
          </w:tcPr>
          <w:p w:rsidR="00A76ACC" w:rsidRPr="00741F41" w:rsidRDefault="00A76ACC" w:rsidP="00E35C09">
            <w:pPr>
              <w:ind w:left="850" w:hanging="850"/>
              <w:rPr>
                <w:sz w:val="24"/>
                <w:szCs w:val="24"/>
                <w:lang w:eastAsia="el-GR"/>
              </w:rPr>
            </w:pPr>
            <w:r w:rsidRPr="00741F41">
              <w:rPr>
                <w:b/>
                <w:bCs/>
                <w:color w:val="000000"/>
                <w:sz w:val="24"/>
                <w:szCs w:val="24"/>
                <w:lang w:eastAsia="el-GR"/>
              </w:rPr>
              <w:t xml:space="preserve">Værdier (Middel </w:t>
            </w:r>
            <w:r w:rsidRPr="00741F41">
              <w:rPr>
                <w:color w:val="000000"/>
                <w:sz w:val="24"/>
                <w:szCs w:val="24"/>
                <w:u w:val="single"/>
                <w:lang w:eastAsia="el-GR"/>
              </w:rPr>
              <w:t>+</w:t>
            </w:r>
            <w:r w:rsidRPr="00741F41">
              <w:rPr>
                <w:b/>
                <w:bCs/>
                <w:color w:val="000000"/>
                <w:sz w:val="24"/>
                <w:szCs w:val="24"/>
                <w:lang w:eastAsia="el-GR"/>
              </w:rPr>
              <w:t xml:space="preserve"> SD)</w:t>
            </w:r>
            <w:r w:rsidRPr="00741F41">
              <w:rPr>
                <w:sz w:val="24"/>
                <w:szCs w:val="24"/>
                <w:lang w:eastAsia="el-GR"/>
              </w:rPr>
              <w:t xml:space="preserve"> </w:t>
            </w:r>
          </w:p>
        </w:tc>
      </w:tr>
      <w:tr w:rsidR="00A76ACC" w:rsidRPr="00741F41" w:rsidTr="00E35C09">
        <w:trPr>
          <w:tblCellSpacing w:w="0" w:type="dxa"/>
          <w:jc w:val="center"/>
        </w:trPr>
        <w:tc>
          <w:tcPr>
            <w:tcW w:w="3540" w:type="dxa"/>
            <w:tcBorders>
              <w:top w:val="single" w:sz="8" w:space="0" w:color="auto"/>
              <w:left w:val="single" w:sz="8" w:space="0" w:color="auto"/>
              <w:bottom w:val="single" w:sz="8" w:space="0" w:color="auto"/>
              <w:right w:val="single" w:sz="8" w:space="0" w:color="auto"/>
            </w:tcBorders>
            <w:hideMark/>
          </w:tcPr>
          <w:p w:rsidR="00A76ACC" w:rsidRPr="00741F41" w:rsidRDefault="00A76ACC" w:rsidP="00E35C09">
            <w:pPr>
              <w:ind w:left="850" w:hanging="850"/>
              <w:rPr>
                <w:sz w:val="24"/>
                <w:szCs w:val="24"/>
                <w:lang w:eastAsia="el-GR"/>
              </w:rPr>
            </w:pPr>
            <w:r w:rsidRPr="00741F41">
              <w:rPr>
                <w:color w:val="000000"/>
                <w:sz w:val="24"/>
                <w:szCs w:val="24"/>
                <w:lang w:eastAsia="el-GR"/>
              </w:rPr>
              <w:t>C</w:t>
            </w:r>
            <w:r w:rsidRPr="00741F41">
              <w:rPr>
                <w:color w:val="000000"/>
                <w:sz w:val="24"/>
                <w:szCs w:val="24"/>
                <w:vertAlign w:val="subscript"/>
                <w:lang w:eastAsia="el-GR"/>
              </w:rPr>
              <w:t>max</w:t>
            </w:r>
            <w:r w:rsidRPr="00741F41">
              <w:rPr>
                <w:color w:val="000000"/>
                <w:sz w:val="24"/>
                <w:szCs w:val="24"/>
                <w:lang w:eastAsia="el-GR"/>
              </w:rPr>
              <w:t xml:space="preserve"> (5 minutter efter bolus)</w:t>
            </w:r>
            <w:r w:rsidRPr="00741F41">
              <w:rPr>
                <w:sz w:val="24"/>
                <w:szCs w:val="24"/>
                <w:lang w:eastAsia="el-GR"/>
              </w:rPr>
              <w:t xml:space="preserve"> </w:t>
            </w:r>
          </w:p>
        </w:tc>
        <w:tc>
          <w:tcPr>
            <w:tcW w:w="2265" w:type="dxa"/>
            <w:tcBorders>
              <w:top w:val="single" w:sz="8" w:space="0" w:color="auto"/>
              <w:left w:val="single" w:sz="8" w:space="0" w:color="auto"/>
              <w:bottom w:val="single" w:sz="8" w:space="0" w:color="auto"/>
              <w:right w:val="single" w:sz="8" w:space="0" w:color="auto"/>
            </w:tcBorders>
            <w:hideMark/>
          </w:tcPr>
          <w:p w:rsidR="00A76ACC" w:rsidRPr="00741F41" w:rsidRDefault="00A76ACC" w:rsidP="00E35C09">
            <w:pPr>
              <w:ind w:left="850" w:hanging="850"/>
              <w:jc w:val="center"/>
              <w:rPr>
                <w:sz w:val="24"/>
                <w:szCs w:val="24"/>
                <w:lang w:eastAsia="el-GR"/>
              </w:rPr>
            </w:pPr>
            <w:r w:rsidRPr="00741F41">
              <w:rPr>
                <w:color w:val="000000"/>
                <w:sz w:val="24"/>
                <w:szCs w:val="24"/>
                <w:lang w:eastAsia="el-GR"/>
              </w:rPr>
              <w:t>6</w:t>
            </w:r>
            <w:r w:rsidRPr="00741F41">
              <w:rPr>
                <w:sz w:val="24"/>
                <w:szCs w:val="24"/>
                <w:lang w:eastAsia="el-GR"/>
              </w:rPr>
              <w:t xml:space="preserve"> </w:t>
            </w:r>
          </w:p>
        </w:tc>
        <w:tc>
          <w:tcPr>
            <w:tcW w:w="2835" w:type="dxa"/>
            <w:tcBorders>
              <w:top w:val="single" w:sz="8" w:space="0" w:color="auto"/>
              <w:left w:val="single" w:sz="8" w:space="0" w:color="auto"/>
              <w:bottom w:val="single" w:sz="8" w:space="0" w:color="auto"/>
              <w:right w:val="single" w:sz="8" w:space="0" w:color="auto"/>
            </w:tcBorders>
            <w:hideMark/>
          </w:tcPr>
          <w:p w:rsidR="00A76ACC" w:rsidRPr="00741F41" w:rsidRDefault="00A76ACC" w:rsidP="00E35C09">
            <w:pPr>
              <w:ind w:left="850" w:hanging="850"/>
              <w:rPr>
                <w:sz w:val="24"/>
                <w:szCs w:val="24"/>
                <w:lang w:eastAsia="el-GR"/>
              </w:rPr>
            </w:pPr>
            <w:r w:rsidRPr="00741F41">
              <w:rPr>
                <w:color w:val="000000"/>
                <w:sz w:val="24"/>
                <w:szCs w:val="24"/>
                <w:lang w:eastAsia="el-GR"/>
              </w:rPr>
              <w:t>1.850</w:t>
            </w:r>
            <w:r w:rsidRPr="00741F41">
              <w:rPr>
                <w:color w:val="000000"/>
                <w:sz w:val="24"/>
                <w:szCs w:val="24"/>
                <w:u w:val="single"/>
                <w:lang w:eastAsia="el-GR"/>
              </w:rPr>
              <w:t>+</w:t>
            </w:r>
            <w:r w:rsidRPr="00741F41">
              <w:rPr>
                <w:color w:val="000000"/>
                <w:sz w:val="24"/>
                <w:szCs w:val="24"/>
                <w:lang w:eastAsia="el-GR"/>
              </w:rPr>
              <w:t xml:space="preserve"> 664 (pg/ml)</w:t>
            </w:r>
            <w:r w:rsidRPr="00741F41">
              <w:rPr>
                <w:sz w:val="24"/>
                <w:szCs w:val="24"/>
                <w:lang w:eastAsia="el-GR"/>
              </w:rPr>
              <w:t xml:space="preserve"> </w:t>
            </w:r>
          </w:p>
        </w:tc>
      </w:tr>
      <w:tr w:rsidR="00A76ACC" w:rsidRPr="00741F41" w:rsidTr="00E35C09">
        <w:trPr>
          <w:tblCellSpacing w:w="0" w:type="dxa"/>
          <w:jc w:val="center"/>
        </w:trPr>
        <w:tc>
          <w:tcPr>
            <w:tcW w:w="3540" w:type="dxa"/>
            <w:tcBorders>
              <w:top w:val="single" w:sz="8" w:space="0" w:color="auto"/>
              <w:left w:val="single" w:sz="8" w:space="0" w:color="auto"/>
              <w:bottom w:val="single" w:sz="8" w:space="0" w:color="auto"/>
              <w:right w:val="single" w:sz="8" w:space="0" w:color="auto"/>
            </w:tcBorders>
            <w:hideMark/>
          </w:tcPr>
          <w:p w:rsidR="00A76ACC" w:rsidRPr="00741F41" w:rsidRDefault="00A76ACC" w:rsidP="00E35C09">
            <w:pPr>
              <w:ind w:left="850" w:hanging="850"/>
              <w:rPr>
                <w:sz w:val="24"/>
                <w:szCs w:val="24"/>
                <w:lang w:eastAsia="el-GR"/>
              </w:rPr>
            </w:pPr>
            <w:r w:rsidRPr="00741F41">
              <w:rPr>
                <w:color w:val="000000"/>
                <w:sz w:val="24"/>
                <w:szCs w:val="24"/>
                <w:lang w:eastAsia="el-GR"/>
              </w:rPr>
              <w:t>AUC</w:t>
            </w:r>
            <w:r w:rsidRPr="00741F41">
              <w:rPr>
                <w:color w:val="000000"/>
                <w:sz w:val="24"/>
                <w:szCs w:val="24"/>
                <w:vertAlign w:val="subscript"/>
                <w:lang w:eastAsia="el-GR"/>
              </w:rPr>
              <w:t>o-∞</w:t>
            </w:r>
            <w:r w:rsidRPr="00741F41">
              <w:rPr>
                <w:sz w:val="24"/>
                <w:szCs w:val="24"/>
                <w:lang w:eastAsia="el-GR"/>
              </w:rPr>
              <w:t xml:space="preserve"> </w:t>
            </w:r>
          </w:p>
        </w:tc>
        <w:tc>
          <w:tcPr>
            <w:tcW w:w="2265" w:type="dxa"/>
            <w:tcBorders>
              <w:top w:val="single" w:sz="8" w:space="0" w:color="auto"/>
              <w:left w:val="single" w:sz="8" w:space="0" w:color="auto"/>
              <w:bottom w:val="single" w:sz="8" w:space="0" w:color="auto"/>
              <w:right w:val="single" w:sz="8" w:space="0" w:color="auto"/>
            </w:tcBorders>
            <w:hideMark/>
          </w:tcPr>
          <w:p w:rsidR="00A76ACC" w:rsidRPr="00741F41" w:rsidRDefault="00A76ACC" w:rsidP="00E35C09">
            <w:pPr>
              <w:ind w:left="850" w:hanging="850"/>
              <w:jc w:val="center"/>
              <w:rPr>
                <w:sz w:val="24"/>
                <w:szCs w:val="24"/>
                <w:lang w:eastAsia="el-GR"/>
              </w:rPr>
            </w:pPr>
            <w:r w:rsidRPr="00741F41">
              <w:rPr>
                <w:color w:val="000000"/>
                <w:sz w:val="24"/>
                <w:szCs w:val="24"/>
                <w:lang w:eastAsia="el-GR"/>
              </w:rPr>
              <w:t>5</w:t>
            </w:r>
            <w:r w:rsidRPr="00741F41">
              <w:rPr>
                <w:sz w:val="24"/>
                <w:szCs w:val="24"/>
                <w:lang w:eastAsia="el-GR"/>
              </w:rPr>
              <w:t xml:space="preserve"> </w:t>
            </w:r>
          </w:p>
        </w:tc>
        <w:tc>
          <w:tcPr>
            <w:tcW w:w="2835" w:type="dxa"/>
            <w:tcBorders>
              <w:top w:val="single" w:sz="8" w:space="0" w:color="auto"/>
              <w:left w:val="single" w:sz="8" w:space="0" w:color="auto"/>
              <w:bottom w:val="single" w:sz="8" w:space="0" w:color="auto"/>
              <w:right w:val="single" w:sz="8" w:space="0" w:color="auto"/>
            </w:tcBorders>
            <w:hideMark/>
          </w:tcPr>
          <w:p w:rsidR="00A76ACC" w:rsidRPr="00741F41" w:rsidRDefault="00A76ACC" w:rsidP="00E35C09">
            <w:pPr>
              <w:ind w:left="850" w:hanging="850"/>
              <w:rPr>
                <w:sz w:val="24"/>
                <w:szCs w:val="24"/>
                <w:lang w:eastAsia="el-GR"/>
              </w:rPr>
            </w:pPr>
            <w:r w:rsidRPr="00741F41">
              <w:rPr>
                <w:color w:val="000000"/>
                <w:sz w:val="24"/>
                <w:szCs w:val="24"/>
                <w:lang w:eastAsia="el-GR"/>
              </w:rPr>
              <w:t xml:space="preserve">27.382 </w:t>
            </w:r>
            <w:r w:rsidRPr="00741F41">
              <w:rPr>
                <w:color w:val="000000"/>
                <w:sz w:val="24"/>
                <w:szCs w:val="24"/>
                <w:u w:val="single"/>
                <w:lang w:eastAsia="el-GR"/>
              </w:rPr>
              <w:t>+</w:t>
            </w:r>
            <w:r w:rsidRPr="00741F41">
              <w:rPr>
                <w:color w:val="000000"/>
                <w:sz w:val="24"/>
                <w:szCs w:val="24"/>
                <w:lang w:eastAsia="el-GR"/>
              </w:rPr>
              <w:t xml:space="preserve"> 8.230 (pg x t/ml)</w:t>
            </w:r>
            <w:r w:rsidRPr="00741F41">
              <w:rPr>
                <w:sz w:val="24"/>
                <w:szCs w:val="24"/>
                <w:lang w:eastAsia="el-GR"/>
              </w:rPr>
              <w:t xml:space="preserve"> </w:t>
            </w:r>
          </w:p>
        </w:tc>
      </w:tr>
      <w:tr w:rsidR="00A76ACC" w:rsidRPr="00741F41" w:rsidTr="00E35C09">
        <w:trPr>
          <w:tblCellSpacing w:w="0" w:type="dxa"/>
          <w:jc w:val="center"/>
        </w:trPr>
        <w:tc>
          <w:tcPr>
            <w:tcW w:w="3540" w:type="dxa"/>
            <w:tcBorders>
              <w:top w:val="single" w:sz="8" w:space="0" w:color="auto"/>
              <w:left w:val="single" w:sz="8" w:space="0" w:color="auto"/>
              <w:bottom w:val="single" w:sz="8" w:space="0" w:color="auto"/>
              <w:right w:val="single" w:sz="8" w:space="0" w:color="auto"/>
            </w:tcBorders>
            <w:hideMark/>
          </w:tcPr>
          <w:p w:rsidR="00A76ACC" w:rsidRPr="00741F41" w:rsidRDefault="00A76ACC" w:rsidP="00E35C09">
            <w:pPr>
              <w:ind w:left="850" w:hanging="850"/>
              <w:rPr>
                <w:sz w:val="24"/>
                <w:szCs w:val="24"/>
                <w:lang w:eastAsia="el-GR"/>
              </w:rPr>
            </w:pPr>
            <w:r w:rsidRPr="00741F41">
              <w:rPr>
                <w:color w:val="000000"/>
                <w:sz w:val="24"/>
                <w:szCs w:val="24"/>
                <w:lang w:eastAsia="el-GR"/>
              </w:rPr>
              <w:t>CL</w:t>
            </w:r>
            <w:r w:rsidRPr="00741F41">
              <w:rPr>
                <w:sz w:val="24"/>
                <w:szCs w:val="24"/>
                <w:lang w:eastAsia="el-GR"/>
              </w:rPr>
              <w:t xml:space="preserve"> </w:t>
            </w:r>
          </w:p>
        </w:tc>
        <w:tc>
          <w:tcPr>
            <w:tcW w:w="2265" w:type="dxa"/>
            <w:tcBorders>
              <w:top w:val="single" w:sz="8" w:space="0" w:color="auto"/>
              <w:left w:val="single" w:sz="8" w:space="0" w:color="auto"/>
              <w:bottom w:val="single" w:sz="8" w:space="0" w:color="auto"/>
              <w:right w:val="single" w:sz="8" w:space="0" w:color="auto"/>
            </w:tcBorders>
            <w:hideMark/>
          </w:tcPr>
          <w:p w:rsidR="00A76ACC" w:rsidRPr="00741F41" w:rsidRDefault="00A76ACC" w:rsidP="00E35C09">
            <w:pPr>
              <w:ind w:left="850" w:hanging="850"/>
              <w:jc w:val="center"/>
              <w:rPr>
                <w:sz w:val="24"/>
                <w:szCs w:val="24"/>
                <w:lang w:eastAsia="el-GR"/>
              </w:rPr>
            </w:pPr>
            <w:r w:rsidRPr="00741F41">
              <w:rPr>
                <w:color w:val="000000"/>
                <w:sz w:val="24"/>
                <w:szCs w:val="24"/>
                <w:lang w:eastAsia="el-GR"/>
              </w:rPr>
              <w:t>5</w:t>
            </w:r>
            <w:r w:rsidRPr="00741F41">
              <w:rPr>
                <w:sz w:val="24"/>
                <w:szCs w:val="24"/>
                <w:lang w:eastAsia="el-GR"/>
              </w:rPr>
              <w:t xml:space="preserve"> </w:t>
            </w:r>
          </w:p>
        </w:tc>
        <w:tc>
          <w:tcPr>
            <w:tcW w:w="2835" w:type="dxa"/>
            <w:tcBorders>
              <w:top w:val="single" w:sz="8" w:space="0" w:color="auto"/>
              <w:left w:val="single" w:sz="8" w:space="0" w:color="auto"/>
              <w:bottom w:val="single" w:sz="8" w:space="0" w:color="auto"/>
              <w:right w:val="single" w:sz="8" w:space="0" w:color="auto"/>
            </w:tcBorders>
            <w:hideMark/>
          </w:tcPr>
          <w:p w:rsidR="00A76ACC" w:rsidRPr="00741F41" w:rsidRDefault="00A76ACC" w:rsidP="00E35C09">
            <w:pPr>
              <w:ind w:left="850" w:hanging="850"/>
              <w:rPr>
                <w:sz w:val="24"/>
                <w:szCs w:val="24"/>
                <w:lang w:eastAsia="el-GR"/>
              </w:rPr>
            </w:pPr>
            <w:r w:rsidRPr="00741F41">
              <w:rPr>
                <w:color w:val="000000"/>
                <w:sz w:val="24"/>
                <w:szCs w:val="24"/>
                <w:lang w:eastAsia="el-GR"/>
              </w:rPr>
              <w:t xml:space="preserve">0,72 </w:t>
            </w:r>
            <w:r w:rsidRPr="00741F41">
              <w:rPr>
                <w:color w:val="000000"/>
                <w:sz w:val="24"/>
                <w:szCs w:val="24"/>
                <w:u w:val="single"/>
                <w:lang w:eastAsia="el-GR"/>
              </w:rPr>
              <w:t>+</w:t>
            </w:r>
            <w:r w:rsidRPr="00741F41">
              <w:rPr>
                <w:color w:val="000000"/>
                <w:sz w:val="24"/>
                <w:szCs w:val="24"/>
                <w:lang w:eastAsia="el-GR"/>
              </w:rPr>
              <w:t xml:space="preserve"> 0,24 (l/t)</w:t>
            </w:r>
            <w:r w:rsidRPr="00741F41">
              <w:rPr>
                <w:sz w:val="24"/>
                <w:szCs w:val="24"/>
                <w:lang w:eastAsia="el-GR"/>
              </w:rPr>
              <w:t xml:space="preserve"> </w:t>
            </w:r>
          </w:p>
        </w:tc>
      </w:tr>
      <w:tr w:rsidR="00A76ACC" w:rsidRPr="00741F41" w:rsidTr="00E35C09">
        <w:trPr>
          <w:tblCellSpacing w:w="0" w:type="dxa"/>
          <w:jc w:val="center"/>
        </w:trPr>
        <w:tc>
          <w:tcPr>
            <w:tcW w:w="3540" w:type="dxa"/>
            <w:tcBorders>
              <w:top w:val="single" w:sz="8" w:space="0" w:color="auto"/>
              <w:left w:val="single" w:sz="8" w:space="0" w:color="auto"/>
              <w:bottom w:val="single" w:sz="8" w:space="0" w:color="auto"/>
              <w:right w:val="single" w:sz="8" w:space="0" w:color="auto"/>
            </w:tcBorders>
            <w:hideMark/>
          </w:tcPr>
          <w:p w:rsidR="00A76ACC" w:rsidRPr="00741F41" w:rsidRDefault="00A76ACC" w:rsidP="00E35C09">
            <w:pPr>
              <w:ind w:left="850" w:hanging="850"/>
              <w:rPr>
                <w:sz w:val="24"/>
                <w:szCs w:val="24"/>
                <w:lang w:eastAsia="el-GR"/>
              </w:rPr>
            </w:pPr>
            <w:r w:rsidRPr="00741F41">
              <w:rPr>
                <w:color w:val="000000"/>
                <w:sz w:val="24"/>
                <w:szCs w:val="24"/>
                <w:lang w:eastAsia="el-GR"/>
              </w:rPr>
              <w:t>V</w:t>
            </w:r>
            <w:r w:rsidRPr="00741F41">
              <w:rPr>
                <w:color w:val="000000"/>
                <w:sz w:val="24"/>
                <w:szCs w:val="24"/>
                <w:vertAlign w:val="subscript"/>
                <w:lang w:eastAsia="el-GR"/>
              </w:rPr>
              <w:t>ss</w:t>
            </w:r>
            <w:r w:rsidRPr="00741F41">
              <w:rPr>
                <w:sz w:val="24"/>
                <w:szCs w:val="24"/>
                <w:lang w:eastAsia="el-GR"/>
              </w:rPr>
              <w:t xml:space="preserve"> </w:t>
            </w:r>
          </w:p>
        </w:tc>
        <w:tc>
          <w:tcPr>
            <w:tcW w:w="2265" w:type="dxa"/>
            <w:tcBorders>
              <w:top w:val="single" w:sz="8" w:space="0" w:color="auto"/>
              <w:left w:val="single" w:sz="8" w:space="0" w:color="auto"/>
              <w:bottom w:val="single" w:sz="8" w:space="0" w:color="auto"/>
              <w:right w:val="single" w:sz="8" w:space="0" w:color="auto"/>
            </w:tcBorders>
            <w:hideMark/>
          </w:tcPr>
          <w:p w:rsidR="00A76ACC" w:rsidRPr="00741F41" w:rsidRDefault="00A76ACC" w:rsidP="00E35C09">
            <w:pPr>
              <w:ind w:left="850" w:hanging="850"/>
              <w:jc w:val="center"/>
              <w:rPr>
                <w:sz w:val="24"/>
                <w:szCs w:val="24"/>
                <w:lang w:eastAsia="el-GR"/>
              </w:rPr>
            </w:pPr>
            <w:r w:rsidRPr="00741F41">
              <w:rPr>
                <w:color w:val="000000"/>
                <w:sz w:val="24"/>
                <w:szCs w:val="24"/>
                <w:lang w:eastAsia="el-GR"/>
              </w:rPr>
              <w:t>5</w:t>
            </w:r>
            <w:r w:rsidRPr="00741F41">
              <w:rPr>
                <w:sz w:val="24"/>
                <w:szCs w:val="24"/>
                <w:lang w:eastAsia="el-GR"/>
              </w:rPr>
              <w:t xml:space="preserve"> </w:t>
            </w:r>
          </w:p>
        </w:tc>
        <w:tc>
          <w:tcPr>
            <w:tcW w:w="2835" w:type="dxa"/>
            <w:tcBorders>
              <w:top w:val="single" w:sz="8" w:space="0" w:color="auto"/>
              <w:left w:val="single" w:sz="8" w:space="0" w:color="auto"/>
              <w:bottom w:val="single" w:sz="8" w:space="0" w:color="auto"/>
              <w:right w:val="single" w:sz="8" w:space="0" w:color="auto"/>
            </w:tcBorders>
            <w:hideMark/>
          </w:tcPr>
          <w:p w:rsidR="00A76ACC" w:rsidRPr="00741F41" w:rsidRDefault="00A76ACC" w:rsidP="00E35C09">
            <w:pPr>
              <w:ind w:left="850" w:hanging="850"/>
              <w:rPr>
                <w:sz w:val="24"/>
                <w:szCs w:val="24"/>
                <w:lang w:eastAsia="el-GR"/>
              </w:rPr>
            </w:pPr>
            <w:r w:rsidRPr="00741F41">
              <w:rPr>
                <w:color w:val="000000"/>
                <w:sz w:val="24"/>
                <w:szCs w:val="24"/>
                <w:lang w:eastAsia="el-GR"/>
              </w:rPr>
              <w:t xml:space="preserve">6 </w:t>
            </w:r>
            <w:r w:rsidRPr="00741F41">
              <w:rPr>
                <w:color w:val="000000"/>
                <w:sz w:val="24"/>
                <w:szCs w:val="24"/>
                <w:u w:val="single"/>
                <w:lang w:eastAsia="el-GR"/>
              </w:rPr>
              <w:t>+</w:t>
            </w:r>
            <w:r w:rsidRPr="00741F41">
              <w:rPr>
                <w:color w:val="000000"/>
                <w:sz w:val="24"/>
                <w:szCs w:val="24"/>
                <w:lang w:eastAsia="el-GR"/>
              </w:rPr>
              <w:t xml:space="preserve"> 2 (l)</w:t>
            </w:r>
            <w:r w:rsidRPr="00741F41">
              <w:rPr>
                <w:sz w:val="24"/>
                <w:szCs w:val="24"/>
                <w:lang w:eastAsia="el-GR"/>
              </w:rPr>
              <w:t xml:space="preserve"> </w:t>
            </w:r>
          </w:p>
        </w:tc>
      </w:tr>
    </w:tbl>
    <w:p w:rsidR="00A76ACC" w:rsidRPr="00741F41" w:rsidRDefault="00A76ACC" w:rsidP="00A76ACC">
      <w:pPr>
        <w:tabs>
          <w:tab w:val="left" w:pos="851"/>
        </w:tabs>
        <w:rPr>
          <w:sz w:val="24"/>
          <w:szCs w:val="24"/>
        </w:rPr>
      </w:pPr>
    </w:p>
    <w:p w:rsidR="00A76ACC" w:rsidRPr="00741F41" w:rsidRDefault="00A76ACC" w:rsidP="00741F41">
      <w:pPr>
        <w:tabs>
          <w:tab w:val="left" w:pos="851"/>
        </w:tabs>
        <w:ind w:left="851"/>
        <w:rPr>
          <w:sz w:val="24"/>
          <w:szCs w:val="24"/>
          <w:u w:val="single"/>
        </w:rPr>
      </w:pPr>
      <w:r w:rsidRPr="00741F41">
        <w:rPr>
          <w:sz w:val="24"/>
          <w:szCs w:val="24"/>
          <w:u w:val="single"/>
        </w:rPr>
        <w:t>Elimination</w:t>
      </w:r>
    </w:p>
    <w:p w:rsidR="00A76ACC" w:rsidRPr="00741F41" w:rsidRDefault="00A76ACC" w:rsidP="00741F41">
      <w:pPr>
        <w:tabs>
          <w:tab w:val="left" w:pos="851"/>
        </w:tabs>
        <w:ind w:left="851"/>
        <w:rPr>
          <w:sz w:val="24"/>
          <w:szCs w:val="24"/>
        </w:rPr>
      </w:pPr>
      <w:r w:rsidRPr="00741F41">
        <w:rPr>
          <w:sz w:val="24"/>
          <w:szCs w:val="24"/>
        </w:rPr>
        <w:t xml:space="preserve">Et studium blev gennemført, hvor der i raske personer blev indgivet 1 intravenøs bolus-dosis på 0,16 mikrogram/kg 3H-paricalcitol (n=4); plasmaradioaktiviteten blev tilskrevet modersubstansen. Paricalcitol blev primært elimineret ved udskillelse via lever og galde. 74% af den radioaktive dosis blev genfundet i fæces og kun 16% blev fundet i urin. </w:t>
      </w:r>
    </w:p>
    <w:p w:rsidR="00741F41" w:rsidRDefault="00741F41">
      <w:pPr>
        <w:rPr>
          <w:sz w:val="24"/>
          <w:szCs w:val="24"/>
        </w:rPr>
      </w:pPr>
      <w:r>
        <w:rPr>
          <w:sz w:val="24"/>
          <w:szCs w:val="24"/>
        </w:rPr>
        <w:br w:type="page"/>
      </w:r>
    </w:p>
    <w:p w:rsidR="00A76ACC" w:rsidRPr="00741F41" w:rsidRDefault="00A76ACC" w:rsidP="00A76ACC">
      <w:pPr>
        <w:tabs>
          <w:tab w:val="left" w:pos="851"/>
        </w:tabs>
        <w:ind w:left="851" w:hanging="851"/>
        <w:rPr>
          <w:sz w:val="24"/>
          <w:szCs w:val="24"/>
        </w:rPr>
      </w:pPr>
    </w:p>
    <w:p w:rsidR="00032920" w:rsidRPr="00741F41" w:rsidRDefault="00D24DED" w:rsidP="00265B74">
      <w:pPr>
        <w:ind w:left="851"/>
        <w:rPr>
          <w:sz w:val="24"/>
          <w:szCs w:val="24"/>
          <w:u w:val="single"/>
        </w:rPr>
      </w:pPr>
      <w:r w:rsidRPr="00741F41">
        <w:rPr>
          <w:sz w:val="24"/>
          <w:szCs w:val="24"/>
          <w:u w:val="single"/>
        </w:rPr>
        <w:t>Specielle populationer</w:t>
      </w:r>
    </w:p>
    <w:p w:rsidR="003F1646" w:rsidRDefault="003F1646" w:rsidP="00265B74">
      <w:pPr>
        <w:ind w:left="851"/>
        <w:rPr>
          <w:i/>
          <w:sz w:val="24"/>
          <w:szCs w:val="24"/>
        </w:rPr>
      </w:pPr>
    </w:p>
    <w:p w:rsidR="00B5773E" w:rsidRPr="00B5773E" w:rsidRDefault="003F1646" w:rsidP="00265B74">
      <w:pPr>
        <w:ind w:left="851"/>
        <w:rPr>
          <w:i/>
          <w:sz w:val="24"/>
          <w:szCs w:val="24"/>
        </w:rPr>
      </w:pPr>
      <w:r>
        <w:rPr>
          <w:i/>
          <w:sz w:val="24"/>
          <w:szCs w:val="24"/>
        </w:rPr>
        <w:t>Køn, race og alder</w:t>
      </w:r>
    </w:p>
    <w:p w:rsidR="00032920" w:rsidRPr="002B27E6" w:rsidRDefault="00032920" w:rsidP="00265B74">
      <w:pPr>
        <w:ind w:left="851"/>
        <w:rPr>
          <w:sz w:val="24"/>
          <w:szCs w:val="24"/>
        </w:rPr>
      </w:pPr>
      <w:r w:rsidRPr="002B27E6">
        <w:rPr>
          <w:sz w:val="24"/>
          <w:szCs w:val="24"/>
        </w:rPr>
        <w:t xml:space="preserve">Hos de voksne patienter, der deltog i studiet, blev der ikke observeret nogen farmakokinetiske forskelle, der kan relateres til alder eller køn. Farmakokinetiske racemæssige forskelle er ikke identificeret. </w:t>
      </w:r>
    </w:p>
    <w:p w:rsidR="00032920" w:rsidRPr="002B27E6" w:rsidRDefault="00032920" w:rsidP="00265B74">
      <w:pPr>
        <w:ind w:left="851"/>
        <w:rPr>
          <w:sz w:val="24"/>
          <w:szCs w:val="24"/>
        </w:rPr>
      </w:pPr>
    </w:p>
    <w:p w:rsidR="00B5773E" w:rsidRPr="00B5773E" w:rsidRDefault="00B5773E" w:rsidP="00265B74">
      <w:pPr>
        <w:ind w:left="851"/>
        <w:rPr>
          <w:i/>
          <w:sz w:val="24"/>
          <w:szCs w:val="24"/>
        </w:rPr>
      </w:pPr>
      <w:r w:rsidRPr="00B5773E">
        <w:rPr>
          <w:i/>
          <w:sz w:val="24"/>
          <w:szCs w:val="24"/>
        </w:rPr>
        <w:t>Nedsat</w:t>
      </w:r>
      <w:r w:rsidR="003F1646">
        <w:rPr>
          <w:i/>
          <w:sz w:val="24"/>
          <w:szCs w:val="24"/>
        </w:rPr>
        <w:t xml:space="preserve"> leverfunktion</w:t>
      </w:r>
    </w:p>
    <w:p w:rsidR="00032920" w:rsidRPr="002B27E6" w:rsidRDefault="00032920" w:rsidP="00265B74">
      <w:pPr>
        <w:ind w:left="851"/>
        <w:rPr>
          <w:sz w:val="24"/>
          <w:szCs w:val="24"/>
        </w:rPr>
      </w:pPr>
      <w:r w:rsidRPr="002B27E6">
        <w:rPr>
          <w:sz w:val="24"/>
          <w:szCs w:val="24"/>
        </w:rPr>
        <w:t xml:space="preserve">Den ubundne koncentration af paricalcitol hos patienter med mild til moderat </w:t>
      </w:r>
      <w:r w:rsidR="00B5773E">
        <w:rPr>
          <w:sz w:val="24"/>
          <w:szCs w:val="24"/>
        </w:rPr>
        <w:t>nedsat leverfunktion</w:t>
      </w:r>
      <w:r w:rsidRPr="002B27E6">
        <w:rPr>
          <w:sz w:val="24"/>
          <w:szCs w:val="24"/>
        </w:rPr>
        <w:t xml:space="preserve"> ligner koncentrationen hos raske personer, og dosistilpasning er således ikke nødvendig hos denne patientpopulation. Der foreligger ingen resultater fra patienter med svær </w:t>
      </w:r>
      <w:r w:rsidR="00B5773E">
        <w:rPr>
          <w:sz w:val="24"/>
          <w:szCs w:val="24"/>
        </w:rPr>
        <w:t>nedsat leverfunktion</w:t>
      </w:r>
      <w:r w:rsidRPr="002B27E6">
        <w:rPr>
          <w:sz w:val="24"/>
          <w:szCs w:val="24"/>
        </w:rPr>
        <w:t>.</w:t>
      </w:r>
    </w:p>
    <w:p w:rsidR="00B003BF" w:rsidRPr="002B27E6" w:rsidRDefault="00B003BF" w:rsidP="002B27E6">
      <w:pPr>
        <w:ind w:left="851" w:hanging="851"/>
        <w:rPr>
          <w:sz w:val="24"/>
          <w:szCs w:val="24"/>
        </w:rPr>
      </w:pPr>
    </w:p>
    <w:p w:rsidR="00B003BF" w:rsidRPr="002B27E6" w:rsidRDefault="00B003BF" w:rsidP="002B27E6">
      <w:pPr>
        <w:ind w:left="851" w:hanging="851"/>
        <w:rPr>
          <w:b/>
          <w:sz w:val="24"/>
          <w:szCs w:val="24"/>
        </w:rPr>
      </w:pPr>
      <w:r w:rsidRPr="002B27E6">
        <w:rPr>
          <w:b/>
          <w:sz w:val="24"/>
          <w:szCs w:val="24"/>
        </w:rPr>
        <w:t>5.3</w:t>
      </w:r>
      <w:r w:rsidRPr="002B27E6">
        <w:rPr>
          <w:b/>
          <w:sz w:val="24"/>
          <w:szCs w:val="24"/>
        </w:rPr>
        <w:tab/>
        <w:t>Prækliniske sikkerhedsdata</w:t>
      </w:r>
    </w:p>
    <w:p w:rsidR="00032920" w:rsidRPr="002B27E6" w:rsidRDefault="00032920" w:rsidP="002B27E6">
      <w:pPr>
        <w:ind w:left="851" w:hanging="851"/>
        <w:rPr>
          <w:sz w:val="24"/>
          <w:szCs w:val="24"/>
        </w:rPr>
      </w:pPr>
      <w:r w:rsidRPr="002B27E6">
        <w:rPr>
          <w:sz w:val="24"/>
          <w:szCs w:val="24"/>
        </w:rPr>
        <w:tab/>
        <w:t xml:space="preserve">I toksikologiske studier på gnavere og hunde, var de mest fremtrædende fund relateret til paricalcitols calcæmiske virkning. Fund, der ikke klart var relateret til hypercalcæmi, omfattede reduceret antal hvide blodlegemer, atrofi af thymus hos hunde og ændrede APTT-værdier (forhøjet hos hunde og nedsat hos rotter). Ændringer i antallet af hvide blodlegemer er ikke observeret i kliniske forsøg med paricalcitol. </w:t>
      </w:r>
    </w:p>
    <w:p w:rsidR="00032920" w:rsidRPr="002B27E6" w:rsidRDefault="00032920" w:rsidP="002B27E6">
      <w:pPr>
        <w:ind w:left="851" w:hanging="851"/>
        <w:rPr>
          <w:sz w:val="24"/>
          <w:szCs w:val="24"/>
        </w:rPr>
      </w:pPr>
    </w:p>
    <w:p w:rsidR="00032920" w:rsidRPr="002B27E6" w:rsidRDefault="002115F4" w:rsidP="002B27E6">
      <w:pPr>
        <w:ind w:left="851" w:hanging="851"/>
        <w:rPr>
          <w:sz w:val="24"/>
          <w:szCs w:val="24"/>
        </w:rPr>
      </w:pPr>
      <w:r>
        <w:rPr>
          <w:sz w:val="24"/>
          <w:szCs w:val="24"/>
        </w:rPr>
        <w:tab/>
      </w:r>
      <w:r w:rsidR="00032920" w:rsidRPr="002B27E6">
        <w:rPr>
          <w:sz w:val="24"/>
          <w:szCs w:val="24"/>
        </w:rPr>
        <w:t>Paricalcitol havde ikke nogen indvirkning på rotters fertilitet, og der var ikke noget tegn på teratogen effekt på rotter og kaniner. Høje doser af andre D</w:t>
      </w:r>
      <w:r w:rsidR="00B5773E">
        <w:rPr>
          <w:sz w:val="24"/>
          <w:szCs w:val="24"/>
        </w:rPr>
        <w:t>-vitamin</w:t>
      </w:r>
      <w:r w:rsidR="00032920" w:rsidRPr="002B27E6">
        <w:rPr>
          <w:sz w:val="24"/>
          <w:szCs w:val="24"/>
        </w:rPr>
        <w:t xml:space="preserve">præparater givet til dyr i drægtighedsperioden medførte teratogenicitet. Paricalcitol viste sig at have indflydelse på fosterets levedygtighed, ligesom det forårsagede en significant stigning i den peri-natale og post-natale dødelighed af nyfødte rotter ved maternalt toksiske doser. </w:t>
      </w:r>
    </w:p>
    <w:p w:rsidR="00032920" w:rsidRPr="002B27E6" w:rsidRDefault="00032920" w:rsidP="002B27E6">
      <w:pPr>
        <w:ind w:left="851" w:hanging="851"/>
        <w:rPr>
          <w:sz w:val="24"/>
          <w:szCs w:val="24"/>
        </w:rPr>
      </w:pPr>
    </w:p>
    <w:p w:rsidR="00032920" w:rsidRPr="002B27E6" w:rsidRDefault="002115F4" w:rsidP="002B27E6">
      <w:pPr>
        <w:ind w:left="851" w:hanging="851"/>
        <w:rPr>
          <w:sz w:val="24"/>
          <w:szCs w:val="24"/>
        </w:rPr>
      </w:pPr>
      <w:r>
        <w:rPr>
          <w:sz w:val="24"/>
          <w:szCs w:val="24"/>
        </w:rPr>
        <w:lastRenderedPageBreak/>
        <w:tab/>
      </w:r>
      <w:r w:rsidR="00032920" w:rsidRPr="009E02EE">
        <w:rPr>
          <w:i/>
          <w:sz w:val="24"/>
          <w:szCs w:val="24"/>
        </w:rPr>
        <w:t>In vitro</w:t>
      </w:r>
      <w:r w:rsidR="00032920" w:rsidRPr="002B27E6">
        <w:rPr>
          <w:sz w:val="24"/>
          <w:szCs w:val="24"/>
        </w:rPr>
        <w:t xml:space="preserve">- og </w:t>
      </w:r>
      <w:r w:rsidR="00032920" w:rsidRPr="009E02EE">
        <w:rPr>
          <w:i/>
          <w:sz w:val="24"/>
          <w:szCs w:val="24"/>
        </w:rPr>
        <w:t>in vivo</w:t>
      </w:r>
      <w:r w:rsidR="00032920" w:rsidRPr="002B27E6">
        <w:rPr>
          <w:sz w:val="24"/>
          <w:szCs w:val="24"/>
        </w:rPr>
        <w:t xml:space="preserve">-forsøg med paricalcitol viste ingen tegn på genotoksisk potentiale. </w:t>
      </w:r>
    </w:p>
    <w:p w:rsidR="00B5773E" w:rsidRDefault="002115F4" w:rsidP="002B27E6">
      <w:pPr>
        <w:ind w:left="851" w:hanging="851"/>
        <w:rPr>
          <w:sz w:val="24"/>
          <w:szCs w:val="24"/>
        </w:rPr>
      </w:pPr>
      <w:r>
        <w:rPr>
          <w:sz w:val="24"/>
          <w:szCs w:val="24"/>
        </w:rPr>
        <w:tab/>
      </w:r>
    </w:p>
    <w:p w:rsidR="00032920" w:rsidRPr="002B27E6" w:rsidRDefault="00B5773E" w:rsidP="002B27E6">
      <w:pPr>
        <w:ind w:left="851" w:hanging="851"/>
        <w:rPr>
          <w:sz w:val="24"/>
          <w:szCs w:val="24"/>
        </w:rPr>
      </w:pPr>
      <w:r>
        <w:rPr>
          <w:sz w:val="24"/>
          <w:szCs w:val="24"/>
        </w:rPr>
        <w:tab/>
      </w:r>
      <w:r w:rsidR="00032920" w:rsidRPr="002B27E6">
        <w:rPr>
          <w:sz w:val="24"/>
          <w:szCs w:val="24"/>
        </w:rPr>
        <w:t>Carcinogenicitetsstudier på gnavere indikerede ingen speciel risiko for behandling af mennesker. De indgivne doser og/eller organismens eksponering for paricalcitol var lidt højere end terapeutiske doser/exponeringer.</w:t>
      </w:r>
    </w:p>
    <w:p w:rsidR="00B003BF" w:rsidRDefault="00B003BF" w:rsidP="002B27E6">
      <w:pPr>
        <w:ind w:left="851" w:hanging="851"/>
        <w:rPr>
          <w:sz w:val="24"/>
          <w:szCs w:val="24"/>
        </w:rPr>
      </w:pPr>
    </w:p>
    <w:p w:rsidR="002115F4" w:rsidRPr="002B27E6" w:rsidRDefault="002115F4" w:rsidP="002B27E6">
      <w:pPr>
        <w:ind w:left="851" w:hanging="851"/>
        <w:rPr>
          <w:sz w:val="24"/>
          <w:szCs w:val="24"/>
        </w:rPr>
      </w:pPr>
    </w:p>
    <w:p w:rsidR="00B003BF" w:rsidRPr="002B27E6" w:rsidRDefault="00B003BF" w:rsidP="002B27E6">
      <w:pPr>
        <w:ind w:left="851" w:hanging="851"/>
        <w:rPr>
          <w:b/>
          <w:sz w:val="24"/>
          <w:szCs w:val="24"/>
        </w:rPr>
      </w:pPr>
      <w:r w:rsidRPr="002B27E6">
        <w:rPr>
          <w:b/>
          <w:sz w:val="24"/>
          <w:szCs w:val="24"/>
        </w:rPr>
        <w:t>6.</w:t>
      </w:r>
      <w:r w:rsidRPr="002B27E6">
        <w:rPr>
          <w:b/>
          <w:sz w:val="24"/>
          <w:szCs w:val="24"/>
        </w:rPr>
        <w:tab/>
        <w:t>FARMACEUTISKE OPLYSNINGER</w:t>
      </w:r>
    </w:p>
    <w:p w:rsidR="00B003BF" w:rsidRPr="002B27E6" w:rsidRDefault="00B003BF" w:rsidP="002B27E6">
      <w:pPr>
        <w:ind w:left="851" w:hanging="851"/>
        <w:rPr>
          <w:b/>
          <w:sz w:val="24"/>
          <w:szCs w:val="24"/>
        </w:rPr>
      </w:pPr>
    </w:p>
    <w:p w:rsidR="00B003BF" w:rsidRPr="002B27E6" w:rsidRDefault="00B003BF" w:rsidP="002B27E6">
      <w:pPr>
        <w:ind w:left="851" w:hanging="851"/>
        <w:rPr>
          <w:b/>
          <w:sz w:val="24"/>
          <w:szCs w:val="24"/>
        </w:rPr>
      </w:pPr>
      <w:r w:rsidRPr="002B27E6">
        <w:rPr>
          <w:b/>
          <w:sz w:val="24"/>
          <w:szCs w:val="24"/>
        </w:rPr>
        <w:t>6.1</w:t>
      </w:r>
      <w:r w:rsidRPr="002B27E6">
        <w:rPr>
          <w:b/>
          <w:sz w:val="24"/>
          <w:szCs w:val="24"/>
        </w:rPr>
        <w:tab/>
        <w:t>Hjælpestoffer</w:t>
      </w:r>
    </w:p>
    <w:p w:rsidR="00032920" w:rsidRPr="002B27E6" w:rsidRDefault="00032920" w:rsidP="002B27E6">
      <w:pPr>
        <w:ind w:left="851" w:hanging="851"/>
        <w:rPr>
          <w:sz w:val="24"/>
          <w:szCs w:val="24"/>
        </w:rPr>
      </w:pPr>
      <w:r w:rsidRPr="002B27E6">
        <w:rPr>
          <w:sz w:val="24"/>
          <w:szCs w:val="24"/>
        </w:rPr>
        <w:tab/>
        <w:t>Macrogol 15 hydroxystearat</w:t>
      </w:r>
    </w:p>
    <w:p w:rsidR="00032920" w:rsidRPr="002B27E6" w:rsidRDefault="002115F4" w:rsidP="002B27E6">
      <w:pPr>
        <w:ind w:left="851" w:hanging="851"/>
        <w:rPr>
          <w:sz w:val="24"/>
          <w:szCs w:val="24"/>
        </w:rPr>
      </w:pPr>
      <w:r>
        <w:rPr>
          <w:sz w:val="24"/>
          <w:szCs w:val="24"/>
        </w:rPr>
        <w:tab/>
      </w:r>
      <w:r w:rsidR="00032920" w:rsidRPr="002B27E6">
        <w:rPr>
          <w:sz w:val="24"/>
          <w:szCs w:val="24"/>
        </w:rPr>
        <w:t xml:space="preserve">Ethanol </w:t>
      </w:r>
    </w:p>
    <w:p w:rsidR="00032920" w:rsidRPr="002B27E6" w:rsidRDefault="002115F4" w:rsidP="002B27E6">
      <w:pPr>
        <w:ind w:left="851" w:hanging="851"/>
        <w:rPr>
          <w:sz w:val="24"/>
          <w:szCs w:val="24"/>
        </w:rPr>
      </w:pPr>
      <w:r>
        <w:rPr>
          <w:sz w:val="24"/>
          <w:szCs w:val="24"/>
        </w:rPr>
        <w:tab/>
      </w:r>
      <w:r w:rsidR="00032920" w:rsidRPr="002B27E6">
        <w:rPr>
          <w:sz w:val="24"/>
          <w:szCs w:val="24"/>
        </w:rPr>
        <w:t>Vand til injektionsvæsker</w:t>
      </w:r>
    </w:p>
    <w:p w:rsidR="00B003BF" w:rsidRPr="002B27E6" w:rsidRDefault="00B003BF" w:rsidP="002B27E6">
      <w:pPr>
        <w:ind w:left="851" w:hanging="851"/>
        <w:rPr>
          <w:sz w:val="24"/>
          <w:szCs w:val="24"/>
        </w:rPr>
      </w:pPr>
    </w:p>
    <w:p w:rsidR="00B003BF" w:rsidRPr="002B27E6" w:rsidRDefault="00B003BF" w:rsidP="002B27E6">
      <w:pPr>
        <w:ind w:left="851" w:hanging="851"/>
        <w:rPr>
          <w:b/>
          <w:sz w:val="24"/>
          <w:szCs w:val="24"/>
        </w:rPr>
      </w:pPr>
      <w:r w:rsidRPr="002B27E6">
        <w:rPr>
          <w:b/>
          <w:sz w:val="24"/>
          <w:szCs w:val="24"/>
        </w:rPr>
        <w:t>6.2</w:t>
      </w:r>
      <w:r w:rsidRPr="002B27E6">
        <w:rPr>
          <w:b/>
          <w:sz w:val="24"/>
          <w:szCs w:val="24"/>
        </w:rPr>
        <w:tab/>
        <w:t>Uforligeligheder</w:t>
      </w:r>
    </w:p>
    <w:p w:rsidR="00032920" w:rsidRPr="002B27E6" w:rsidRDefault="00032920" w:rsidP="002B27E6">
      <w:pPr>
        <w:ind w:left="851" w:hanging="851"/>
        <w:rPr>
          <w:sz w:val="24"/>
          <w:szCs w:val="24"/>
        </w:rPr>
      </w:pPr>
      <w:r w:rsidRPr="002B27E6">
        <w:rPr>
          <w:sz w:val="24"/>
          <w:szCs w:val="24"/>
        </w:rPr>
        <w:tab/>
        <w:t>Dette lægemiddel bør ikke blandes med andre lægemidler, med mindre der foreligger undersøgelser vedrørende forligelighed.</w:t>
      </w:r>
    </w:p>
    <w:p w:rsidR="00B003BF" w:rsidRPr="002B27E6" w:rsidRDefault="00B003BF" w:rsidP="002B27E6">
      <w:pPr>
        <w:ind w:left="851" w:hanging="851"/>
        <w:rPr>
          <w:sz w:val="24"/>
          <w:szCs w:val="24"/>
        </w:rPr>
      </w:pPr>
    </w:p>
    <w:p w:rsidR="00B003BF" w:rsidRPr="002B27E6" w:rsidRDefault="00B003BF" w:rsidP="002B27E6">
      <w:pPr>
        <w:ind w:left="851" w:hanging="851"/>
        <w:rPr>
          <w:b/>
          <w:sz w:val="24"/>
          <w:szCs w:val="24"/>
        </w:rPr>
      </w:pPr>
      <w:r w:rsidRPr="002B27E6">
        <w:rPr>
          <w:b/>
          <w:sz w:val="24"/>
          <w:szCs w:val="24"/>
        </w:rPr>
        <w:t>6.3</w:t>
      </w:r>
      <w:r w:rsidRPr="002B27E6">
        <w:rPr>
          <w:b/>
          <w:sz w:val="24"/>
          <w:szCs w:val="24"/>
        </w:rPr>
        <w:tab/>
        <w:t>Opbevaringstid</w:t>
      </w:r>
    </w:p>
    <w:p w:rsidR="00032920" w:rsidRDefault="002115F4" w:rsidP="002B27E6">
      <w:pPr>
        <w:ind w:left="851" w:hanging="851"/>
        <w:rPr>
          <w:sz w:val="24"/>
          <w:szCs w:val="24"/>
          <w:lang w:eastAsia="el-GR"/>
        </w:rPr>
      </w:pPr>
      <w:r>
        <w:rPr>
          <w:sz w:val="24"/>
          <w:szCs w:val="24"/>
          <w:lang w:eastAsia="el-GR"/>
        </w:rPr>
        <w:tab/>
      </w:r>
      <w:r w:rsidR="009E02EE">
        <w:rPr>
          <w:sz w:val="24"/>
          <w:szCs w:val="24"/>
          <w:lang w:eastAsia="el-GR"/>
        </w:rPr>
        <w:t>2 år.</w:t>
      </w:r>
    </w:p>
    <w:p w:rsidR="009E02EE" w:rsidRPr="002B27E6" w:rsidRDefault="009E02EE" w:rsidP="002B27E6">
      <w:pPr>
        <w:ind w:left="851" w:hanging="851"/>
        <w:rPr>
          <w:sz w:val="24"/>
          <w:szCs w:val="24"/>
          <w:lang w:eastAsia="el-GR"/>
        </w:rPr>
      </w:pPr>
    </w:p>
    <w:p w:rsidR="00032920" w:rsidRPr="002B27E6" w:rsidRDefault="002115F4" w:rsidP="002B27E6">
      <w:pPr>
        <w:ind w:left="851" w:hanging="851"/>
        <w:rPr>
          <w:sz w:val="24"/>
          <w:szCs w:val="24"/>
          <w:lang w:eastAsia="el-GR"/>
        </w:rPr>
      </w:pPr>
      <w:r>
        <w:rPr>
          <w:sz w:val="24"/>
          <w:szCs w:val="24"/>
          <w:lang w:eastAsia="el-GR"/>
        </w:rPr>
        <w:tab/>
      </w:r>
      <w:r w:rsidR="009E02EE">
        <w:rPr>
          <w:sz w:val="24"/>
          <w:szCs w:val="24"/>
          <w:lang w:eastAsia="el-GR"/>
        </w:rPr>
        <w:t xml:space="preserve">Efter åbning: </w:t>
      </w:r>
      <w:r w:rsidR="00032920" w:rsidRPr="002B27E6">
        <w:rPr>
          <w:sz w:val="24"/>
          <w:szCs w:val="24"/>
          <w:lang w:eastAsia="el-GR"/>
        </w:rPr>
        <w:t>An</w:t>
      </w:r>
      <w:r w:rsidR="009E02EE">
        <w:rPr>
          <w:sz w:val="24"/>
          <w:szCs w:val="24"/>
          <w:lang w:eastAsia="el-GR"/>
        </w:rPr>
        <w:t>vendes straks.</w:t>
      </w:r>
    </w:p>
    <w:p w:rsidR="00F97C04" w:rsidRDefault="00F97C04">
      <w:pPr>
        <w:rPr>
          <w:sz w:val="24"/>
          <w:szCs w:val="24"/>
        </w:rPr>
      </w:pPr>
      <w:r>
        <w:rPr>
          <w:sz w:val="24"/>
          <w:szCs w:val="24"/>
        </w:rPr>
        <w:br w:type="page"/>
      </w:r>
    </w:p>
    <w:p w:rsidR="00B003BF" w:rsidRPr="002B27E6" w:rsidRDefault="00B003BF" w:rsidP="002B27E6">
      <w:pPr>
        <w:ind w:left="851" w:hanging="851"/>
        <w:rPr>
          <w:sz w:val="24"/>
          <w:szCs w:val="24"/>
        </w:rPr>
      </w:pPr>
    </w:p>
    <w:p w:rsidR="00B003BF" w:rsidRPr="002B27E6" w:rsidRDefault="00B003BF" w:rsidP="002B27E6">
      <w:pPr>
        <w:ind w:left="851" w:hanging="851"/>
        <w:rPr>
          <w:b/>
          <w:sz w:val="24"/>
          <w:szCs w:val="24"/>
        </w:rPr>
      </w:pPr>
      <w:r w:rsidRPr="002B27E6">
        <w:rPr>
          <w:b/>
          <w:sz w:val="24"/>
          <w:szCs w:val="24"/>
        </w:rPr>
        <w:t>6.4</w:t>
      </w:r>
      <w:r w:rsidRPr="002B27E6">
        <w:rPr>
          <w:b/>
          <w:sz w:val="24"/>
          <w:szCs w:val="24"/>
        </w:rPr>
        <w:tab/>
        <w:t>Særlige opbevaringsforhold</w:t>
      </w:r>
    </w:p>
    <w:p w:rsidR="00032920" w:rsidRPr="002B27E6" w:rsidRDefault="00032920" w:rsidP="002B27E6">
      <w:pPr>
        <w:ind w:left="851" w:hanging="851"/>
        <w:rPr>
          <w:sz w:val="24"/>
          <w:szCs w:val="24"/>
        </w:rPr>
      </w:pPr>
      <w:r w:rsidRPr="002B27E6">
        <w:rPr>
          <w:sz w:val="24"/>
          <w:szCs w:val="24"/>
        </w:rPr>
        <w:tab/>
        <w:t>Opbevar ampullerne i den originale yderpakning for at beskytte mod lys.</w:t>
      </w:r>
    </w:p>
    <w:p w:rsidR="00B003BF" w:rsidRPr="002B27E6" w:rsidRDefault="00B003BF" w:rsidP="002B27E6">
      <w:pPr>
        <w:ind w:left="851" w:hanging="851"/>
        <w:rPr>
          <w:sz w:val="24"/>
          <w:szCs w:val="24"/>
        </w:rPr>
      </w:pPr>
    </w:p>
    <w:p w:rsidR="00B003BF" w:rsidRPr="002B27E6" w:rsidRDefault="00B003BF" w:rsidP="002B27E6">
      <w:pPr>
        <w:ind w:left="851" w:hanging="851"/>
        <w:rPr>
          <w:b/>
          <w:sz w:val="24"/>
          <w:szCs w:val="24"/>
        </w:rPr>
      </w:pPr>
      <w:r w:rsidRPr="002B27E6">
        <w:rPr>
          <w:b/>
          <w:sz w:val="24"/>
          <w:szCs w:val="24"/>
        </w:rPr>
        <w:t>6.5</w:t>
      </w:r>
      <w:r w:rsidRPr="002B27E6">
        <w:rPr>
          <w:b/>
          <w:sz w:val="24"/>
          <w:szCs w:val="24"/>
        </w:rPr>
        <w:tab/>
        <w:t>Emballagetyper og pakningsstørrelser</w:t>
      </w:r>
    </w:p>
    <w:p w:rsidR="00032920" w:rsidRPr="002B27E6" w:rsidRDefault="00032920" w:rsidP="002B27E6">
      <w:pPr>
        <w:ind w:left="851" w:hanging="851"/>
        <w:rPr>
          <w:sz w:val="24"/>
          <w:szCs w:val="24"/>
        </w:rPr>
      </w:pPr>
      <w:r w:rsidRPr="002B27E6">
        <w:rPr>
          <w:sz w:val="24"/>
          <w:szCs w:val="24"/>
        </w:rPr>
        <w:tab/>
      </w:r>
      <w:r w:rsidR="00644455">
        <w:rPr>
          <w:sz w:val="24"/>
          <w:szCs w:val="24"/>
        </w:rPr>
        <w:t>Type I glasampul</w:t>
      </w:r>
    </w:p>
    <w:p w:rsidR="00032920" w:rsidRPr="002B27E6" w:rsidRDefault="00032920" w:rsidP="002B27E6">
      <w:pPr>
        <w:ind w:left="851" w:hanging="851"/>
        <w:rPr>
          <w:sz w:val="24"/>
          <w:szCs w:val="24"/>
        </w:rPr>
      </w:pPr>
    </w:p>
    <w:p w:rsidR="00644455" w:rsidRPr="00644455" w:rsidRDefault="00B5773E" w:rsidP="00644455">
      <w:pPr>
        <w:ind w:left="851"/>
        <w:rPr>
          <w:sz w:val="24"/>
          <w:szCs w:val="24"/>
          <w:u w:val="single"/>
        </w:rPr>
      </w:pPr>
      <w:r w:rsidRPr="00644455">
        <w:rPr>
          <w:sz w:val="24"/>
          <w:szCs w:val="24"/>
          <w:u w:val="single"/>
        </w:rPr>
        <w:t>Pakningsstørrelser</w:t>
      </w:r>
    </w:p>
    <w:p w:rsidR="00032920" w:rsidRPr="002B27E6" w:rsidRDefault="009E02EE" w:rsidP="002115F4">
      <w:pPr>
        <w:ind w:left="851"/>
        <w:rPr>
          <w:sz w:val="24"/>
          <w:szCs w:val="24"/>
        </w:rPr>
      </w:pPr>
      <w:r>
        <w:rPr>
          <w:sz w:val="24"/>
          <w:szCs w:val="24"/>
        </w:rPr>
        <w:t>5 ampuller á</w:t>
      </w:r>
      <w:r w:rsidR="00032920" w:rsidRPr="002B27E6">
        <w:rPr>
          <w:sz w:val="24"/>
          <w:szCs w:val="24"/>
        </w:rPr>
        <w:t xml:space="preserve"> 1 ml opløsning til injektion</w:t>
      </w:r>
      <w:r w:rsidR="00B5773E">
        <w:rPr>
          <w:sz w:val="24"/>
          <w:szCs w:val="24"/>
        </w:rPr>
        <w:t>.</w:t>
      </w:r>
    </w:p>
    <w:p w:rsidR="00032920" w:rsidRPr="002B27E6" w:rsidRDefault="009E02EE" w:rsidP="002115F4">
      <w:pPr>
        <w:ind w:left="851"/>
        <w:rPr>
          <w:sz w:val="24"/>
          <w:szCs w:val="24"/>
        </w:rPr>
      </w:pPr>
      <w:r>
        <w:rPr>
          <w:sz w:val="24"/>
          <w:szCs w:val="24"/>
        </w:rPr>
        <w:t>5 ampuller á</w:t>
      </w:r>
      <w:r w:rsidR="00032920" w:rsidRPr="002B27E6">
        <w:rPr>
          <w:sz w:val="24"/>
          <w:szCs w:val="24"/>
        </w:rPr>
        <w:t xml:space="preserve"> 2 ml opløsning til injektion</w:t>
      </w:r>
      <w:r w:rsidR="00B5773E">
        <w:rPr>
          <w:sz w:val="24"/>
          <w:szCs w:val="24"/>
        </w:rPr>
        <w:t>.</w:t>
      </w:r>
    </w:p>
    <w:p w:rsidR="002115F4" w:rsidRDefault="002115F4" w:rsidP="002115F4">
      <w:pPr>
        <w:ind w:left="851"/>
        <w:rPr>
          <w:sz w:val="24"/>
          <w:szCs w:val="24"/>
        </w:rPr>
      </w:pPr>
    </w:p>
    <w:p w:rsidR="00032920" w:rsidRPr="002B27E6" w:rsidRDefault="00032920" w:rsidP="002115F4">
      <w:pPr>
        <w:ind w:left="851"/>
        <w:rPr>
          <w:sz w:val="24"/>
          <w:szCs w:val="24"/>
        </w:rPr>
      </w:pPr>
      <w:r w:rsidRPr="002B27E6">
        <w:rPr>
          <w:sz w:val="24"/>
          <w:szCs w:val="24"/>
        </w:rPr>
        <w:t>Ikke alle pakningsstørrelser er nødvendigvis markedsført</w:t>
      </w:r>
      <w:r w:rsidR="00B5773E">
        <w:rPr>
          <w:sz w:val="24"/>
          <w:szCs w:val="24"/>
        </w:rPr>
        <w:t>.</w:t>
      </w:r>
    </w:p>
    <w:p w:rsidR="00B003BF" w:rsidRPr="002B27E6" w:rsidRDefault="00B003BF" w:rsidP="002B27E6">
      <w:pPr>
        <w:ind w:left="851" w:hanging="851"/>
        <w:rPr>
          <w:sz w:val="24"/>
          <w:szCs w:val="24"/>
        </w:rPr>
      </w:pPr>
    </w:p>
    <w:p w:rsidR="00B003BF" w:rsidRPr="002B27E6" w:rsidRDefault="00B003BF" w:rsidP="002B27E6">
      <w:pPr>
        <w:ind w:left="851" w:hanging="851"/>
        <w:rPr>
          <w:b/>
          <w:sz w:val="24"/>
          <w:szCs w:val="24"/>
        </w:rPr>
      </w:pPr>
      <w:r w:rsidRPr="002B27E6">
        <w:rPr>
          <w:b/>
          <w:sz w:val="24"/>
          <w:szCs w:val="24"/>
        </w:rPr>
        <w:t>6.6</w:t>
      </w:r>
      <w:r w:rsidRPr="002B27E6">
        <w:rPr>
          <w:b/>
          <w:sz w:val="24"/>
          <w:szCs w:val="24"/>
        </w:rPr>
        <w:tab/>
        <w:t>Regler for destruktion og anden håndtering</w:t>
      </w:r>
    </w:p>
    <w:p w:rsidR="00032920" w:rsidRPr="002B27E6" w:rsidRDefault="00032920" w:rsidP="00644455">
      <w:pPr>
        <w:ind w:left="851"/>
        <w:rPr>
          <w:sz w:val="24"/>
          <w:szCs w:val="24"/>
        </w:rPr>
      </w:pPr>
      <w:r w:rsidRPr="002B27E6">
        <w:rPr>
          <w:sz w:val="24"/>
          <w:szCs w:val="24"/>
        </w:rPr>
        <w:t>Parenterale lægemidler bør inspiceres visuelt for partikler og misfarvning inden indgivelse. Denne opløsning er klar og farveløs.</w:t>
      </w:r>
    </w:p>
    <w:p w:rsidR="00644455" w:rsidRDefault="00644455" w:rsidP="00644455">
      <w:pPr>
        <w:ind w:left="851"/>
        <w:rPr>
          <w:sz w:val="24"/>
          <w:szCs w:val="24"/>
        </w:rPr>
      </w:pPr>
      <w:r>
        <w:rPr>
          <w:sz w:val="24"/>
          <w:szCs w:val="24"/>
        </w:rPr>
        <w:t>Kun til enkeltdosis.</w:t>
      </w:r>
    </w:p>
    <w:p w:rsidR="00032920" w:rsidRPr="002B27E6" w:rsidRDefault="00032920" w:rsidP="00644455">
      <w:pPr>
        <w:ind w:left="851"/>
        <w:rPr>
          <w:sz w:val="24"/>
          <w:szCs w:val="24"/>
        </w:rPr>
      </w:pPr>
      <w:r w:rsidRPr="002B27E6">
        <w:rPr>
          <w:sz w:val="24"/>
          <w:szCs w:val="24"/>
        </w:rPr>
        <w:t xml:space="preserve">Ubrugt opløsning kasseres. </w:t>
      </w:r>
    </w:p>
    <w:p w:rsidR="00032920" w:rsidRPr="002B27E6" w:rsidRDefault="00032920" w:rsidP="00644455">
      <w:pPr>
        <w:ind w:left="851"/>
        <w:rPr>
          <w:sz w:val="24"/>
          <w:szCs w:val="24"/>
        </w:rPr>
      </w:pPr>
    </w:p>
    <w:p w:rsidR="00032920" w:rsidRPr="002B27E6" w:rsidRDefault="00B5773E" w:rsidP="00644455">
      <w:pPr>
        <w:ind w:left="851"/>
        <w:rPr>
          <w:sz w:val="24"/>
          <w:szCs w:val="24"/>
        </w:rPr>
      </w:pPr>
      <w:r>
        <w:rPr>
          <w:sz w:val="24"/>
          <w:szCs w:val="24"/>
        </w:rPr>
        <w:t>Ikke anvendt lægemiddel</w:t>
      </w:r>
      <w:r w:rsidR="00032920" w:rsidRPr="002B27E6">
        <w:rPr>
          <w:sz w:val="24"/>
          <w:szCs w:val="24"/>
        </w:rPr>
        <w:t xml:space="preserve"> eller rester bør kasseres i overen</w:t>
      </w:r>
      <w:r>
        <w:rPr>
          <w:sz w:val="24"/>
          <w:szCs w:val="24"/>
        </w:rPr>
        <w:t>s</w:t>
      </w:r>
      <w:r w:rsidR="00032920" w:rsidRPr="002B27E6">
        <w:rPr>
          <w:sz w:val="24"/>
          <w:szCs w:val="24"/>
        </w:rPr>
        <w:t>stemmelse med lokale retningslinier.</w:t>
      </w:r>
    </w:p>
    <w:p w:rsidR="00B003BF" w:rsidRPr="002B27E6" w:rsidRDefault="00B003BF" w:rsidP="002B27E6">
      <w:pPr>
        <w:ind w:left="851" w:hanging="851"/>
        <w:jc w:val="both"/>
        <w:rPr>
          <w:sz w:val="24"/>
          <w:szCs w:val="24"/>
        </w:rPr>
      </w:pPr>
    </w:p>
    <w:p w:rsidR="00B003BF" w:rsidRPr="002B27E6" w:rsidRDefault="00B003BF" w:rsidP="002B27E6">
      <w:pPr>
        <w:ind w:left="851" w:hanging="851"/>
        <w:rPr>
          <w:b/>
          <w:sz w:val="24"/>
          <w:szCs w:val="24"/>
        </w:rPr>
      </w:pPr>
      <w:r w:rsidRPr="002B27E6">
        <w:rPr>
          <w:b/>
          <w:sz w:val="24"/>
          <w:szCs w:val="24"/>
        </w:rPr>
        <w:t>7.</w:t>
      </w:r>
      <w:r w:rsidRPr="002B27E6">
        <w:rPr>
          <w:b/>
          <w:sz w:val="24"/>
          <w:szCs w:val="24"/>
        </w:rPr>
        <w:tab/>
        <w:t>INDEHAVER AF MARKEDSFØRINGSTILLADELSEN</w:t>
      </w:r>
    </w:p>
    <w:p w:rsidR="002115F4" w:rsidRDefault="00032920" w:rsidP="002B27E6">
      <w:pPr>
        <w:ind w:left="851" w:hanging="851"/>
        <w:rPr>
          <w:sz w:val="24"/>
          <w:szCs w:val="24"/>
        </w:rPr>
      </w:pPr>
      <w:r w:rsidRPr="002B27E6">
        <w:rPr>
          <w:sz w:val="24"/>
          <w:szCs w:val="24"/>
        </w:rPr>
        <w:tab/>
        <w:t>Pharmathen S.A.</w:t>
      </w:r>
    </w:p>
    <w:p w:rsidR="002115F4" w:rsidRDefault="002115F4" w:rsidP="002B27E6">
      <w:pPr>
        <w:ind w:left="851" w:hanging="851"/>
        <w:rPr>
          <w:sz w:val="24"/>
          <w:szCs w:val="24"/>
        </w:rPr>
      </w:pPr>
      <w:r>
        <w:rPr>
          <w:sz w:val="24"/>
          <w:szCs w:val="24"/>
        </w:rPr>
        <w:tab/>
      </w:r>
      <w:r w:rsidR="00032920" w:rsidRPr="002B27E6">
        <w:rPr>
          <w:sz w:val="24"/>
          <w:szCs w:val="24"/>
        </w:rPr>
        <w:t xml:space="preserve">Dervenakion </w:t>
      </w:r>
      <w:r w:rsidR="00644455">
        <w:rPr>
          <w:sz w:val="24"/>
          <w:szCs w:val="24"/>
        </w:rPr>
        <w:t xml:space="preserve">str. </w:t>
      </w:r>
      <w:r w:rsidR="00032920" w:rsidRPr="002B27E6">
        <w:rPr>
          <w:sz w:val="24"/>
          <w:szCs w:val="24"/>
        </w:rPr>
        <w:t>6</w:t>
      </w:r>
    </w:p>
    <w:p w:rsidR="002115F4" w:rsidRDefault="002115F4" w:rsidP="00644455">
      <w:pPr>
        <w:ind w:left="851" w:hanging="851"/>
        <w:rPr>
          <w:sz w:val="24"/>
          <w:szCs w:val="24"/>
        </w:rPr>
      </w:pPr>
      <w:r>
        <w:rPr>
          <w:sz w:val="24"/>
          <w:szCs w:val="24"/>
        </w:rPr>
        <w:tab/>
      </w:r>
      <w:r w:rsidR="00032920" w:rsidRPr="002B27E6">
        <w:rPr>
          <w:sz w:val="24"/>
          <w:szCs w:val="24"/>
        </w:rPr>
        <w:t>153</w:t>
      </w:r>
      <w:r w:rsidR="00644455">
        <w:rPr>
          <w:sz w:val="24"/>
          <w:szCs w:val="24"/>
        </w:rPr>
        <w:t xml:space="preserve"> </w:t>
      </w:r>
      <w:r w:rsidR="00032920" w:rsidRPr="002B27E6">
        <w:rPr>
          <w:sz w:val="24"/>
          <w:szCs w:val="24"/>
        </w:rPr>
        <w:t>51</w:t>
      </w:r>
      <w:r w:rsidR="00644455">
        <w:rPr>
          <w:sz w:val="24"/>
          <w:szCs w:val="24"/>
        </w:rPr>
        <w:t xml:space="preserve"> </w:t>
      </w:r>
      <w:r w:rsidR="00644455" w:rsidRPr="002B27E6">
        <w:rPr>
          <w:sz w:val="24"/>
          <w:szCs w:val="24"/>
        </w:rPr>
        <w:t>Pallini</w:t>
      </w:r>
      <w:r w:rsidR="00644455">
        <w:rPr>
          <w:sz w:val="24"/>
          <w:szCs w:val="24"/>
        </w:rPr>
        <w:t xml:space="preserve"> </w:t>
      </w:r>
      <w:r w:rsidR="00032920" w:rsidRPr="002B27E6">
        <w:rPr>
          <w:sz w:val="24"/>
          <w:szCs w:val="24"/>
        </w:rPr>
        <w:t>Attiki</w:t>
      </w:r>
    </w:p>
    <w:p w:rsidR="00032920" w:rsidRPr="002B27E6" w:rsidRDefault="002115F4" w:rsidP="002B27E6">
      <w:pPr>
        <w:ind w:left="851" w:hanging="851"/>
        <w:rPr>
          <w:sz w:val="24"/>
          <w:szCs w:val="24"/>
        </w:rPr>
      </w:pPr>
      <w:r>
        <w:rPr>
          <w:sz w:val="24"/>
          <w:szCs w:val="24"/>
        </w:rPr>
        <w:tab/>
      </w:r>
      <w:r w:rsidR="00032920" w:rsidRPr="002B27E6">
        <w:rPr>
          <w:sz w:val="24"/>
          <w:szCs w:val="24"/>
        </w:rPr>
        <w:t>Grækenland</w:t>
      </w:r>
    </w:p>
    <w:p w:rsidR="00B003BF" w:rsidRPr="002B27E6" w:rsidRDefault="00B003BF" w:rsidP="002B27E6">
      <w:pPr>
        <w:ind w:left="851" w:hanging="851"/>
        <w:rPr>
          <w:sz w:val="24"/>
          <w:szCs w:val="24"/>
        </w:rPr>
      </w:pPr>
      <w:bookmarkStart w:id="3" w:name="_GoBack"/>
      <w:bookmarkEnd w:id="3"/>
    </w:p>
    <w:p w:rsidR="00B003BF" w:rsidRPr="002B27E6" w:rsidRDefault="00B003BF" w:rsidP="002B27E6">
      <w:pPr>
        <w:ind w:left="851" w:hanging="851"/>
        <w:rPr>
          <w:b/>
          <w:sz w:val="24"/>
          <w:szCs w:val="24"/>
        </w:rPr>
      </w:pPr>
      <w:r w:rsidRPr="002B27E6">
        <w:rPr>
          <w:b/>
          <w:sz w:val="24"/>
          <w:szCs w:val="24"/>
        </w:rPr>
        <w:t>8.</w:t>
      </w:r>
      <w:r w:rsidRPr="002B27E6">
        <w:rPr>
          <w:b/>
          <w:sz w:val="24"/>
          <w:szCs w:val="24"/>
        </w:rPr>
        <w:tab/>
        <w:t>MARKEDSFØRINGSTILLADELSESNUMMER (NUMRE)</w:t>
      </w:r>
    </w:p>
    <w:p w:rsidR="00B003BF" w:rsidRPr="002B27E6" w:rsidRDefault="00B003BF" w:rsidP="002B27E6">
      <w:pPr>
        <w:ind w:left="851" w:hanging="851"/>
        <w:rPr>
          <w:sz w:val="24"/>
          <w:szCs w:val="24"/>
        </w:rPr>
      </w:pPr>
      <w:r w:rsidRPr="002B27E6">
        <w:rPr>
          <w:sz w:val="24"/>
          <w:szCs w:val="24"/>
        </w:rPr>
        <w:tab/>
      </w:r>
      <w:r w:rsidR="001E311B" w:rsidRPr="002B27E6">
        <w:rPr>
          <w:sz w:val="24"/>
          <w:szCs w:val="24"/>
        </w:rPr>
        <w:t>2 mikrog</w:t>
      </w:r>
      <w:r w:rsidR="009C13FC">
        <w:rPr>
          <w:sz w:val="24"/>
          <w:szCs w:val="24"/>
        </w:rPr>
        <w:t>ram</w:t>
      </w:r>
      <w:r w:rsidR="001E311B" w:rsidRPr="002B27E6">
        <w:rPr>
          <w:sz w:val="24"/>
          <w:szCs w:val="24"/>
        </w:rPr>
        <w:t xml:space="preserve">/ml: 50584 </w:t>
      </w:r>
    </w:p>
    <w:p w:rsidR="001E311B" w:rsidRPr="002B27E6" w:rsidRDefault="002115F4" w:rsidP="002B27E6">
      <w:pPr>
        <w:ind w:left="851" w:hanging="851"/>
        <w:rPr>
          <w:sz w:val="24"/>
          <w:szCs w:val="24"/>
        </w:rPr>
      </w:pPr>
      <w:r>
        <w:rPr>
          <w:sz w:val="24"/>
          <w:szCs w:val="24"/>
        </w:rPr>
        <w:tab/>
      </w:r>
      <w:r w:rsidR="001E311B" w:rsidRPr="002B27E6">
        <w:rPr>
          <w:sz w:val="24"/>
          <w:szCs w:val="24"/>
        </w:rPr>
        <w:t>5 mikrog</w:t>
      </w:r>
      <w:r w:rsidR="009C13FC">
        <w:rPr>
          <w:sz w:val="24"/>
          <w:szCs w:val="24"/>
        </w:rPr>
        <w:t>ram</w:t>
      </w:r>
      <w:r w:rsidR="001E311B" w:rsidRPr="002B27E6">
        <w:rPr>
          <w:sz w:val="24"/>
          <w:szCs w:val="24"/>
        </w:rPr>
        <w:t>/ml: 50585</w:t>
      </w:r>
    </w:p>
    <w:p w:rsidR="00B003BF" w:rsidRPr="002B27E6" w:rsidRDefault="00B003BF" w:rsidP="002B27E6">
      <w:pPr>
        <w:ind w:left="851" w:hanging="851"/>
        <w:jc w:val="both"/>
        <w:rPr>
          <w:sz w:val="24"/>
          <w:szCs w:val="24"/>
        </w:rPr>
      </w:pPr>
    </w:p>
    <w:p w:rsidR="00B003BF" w:rsidRPr="002B27E6" w:rsidRDefault="00B003BF" w:rsidP="002B27E6">
      <w:pPr>
        <w:ind w:left="851" w:hanging="851"/>
        <w:rPr>
          <w:b/>
          <w:sz w:val="24"/>
          <w:szCs w:val="24"/>
        </w:rPr>
      </w:pPr>
      <w:r w:rsidRPr="002B27E6">
        <w:rPr>
          <w:b/>
          <w:sz w:val="24"/>
          <w:szCs w:val="24"/>
        </w:rPr>
        <w:t>9.</w:t>
      </w:r>
      <w:r w:rsidRPr="002B27E6">
        <w:rPr>
          <w:b/>
          <w:sz w:val="24"/>
          <w:szCs w:val="24"/>
        </w:rPr>
        <w:tab/>
        <w:t>DATO FOR FØRSTE MARKEDSFØRINGSTILLADELSE</w:t>
      </w:r>
    </w:p>
    <w:p w:rsidR="00B003BF" w:rsidRPr="002B27E6" w:rsidRDefault="00B003BF" w:rsidP="002B27E6">
      <w:pPr>
        <w:ind w:left="851" w:hanging="851"/>
        <w:rPr>
          <w:sz w:val="24"/>
          <w:szCs w:val="24"/>
        </w:rPr>
      </w:pPr>
      <w:r w:rsidRPr="002B27E6">
        <w:rPr>
          <w:sz w:val="24"/>
          <w:szCs w:val="24"/>
        </w:rPr>
        <w:tab/>
      </w:r>
      <w:r w:rsidR="001E311B" w:rsidRPr="002B27E6">
        <w:rPr>
          <w:sz w:val="24"/>
          <w:szCs w:val="24"/>
        </w:rPr>
        <w:t>22. oktober 2013</w:t>
      </w:r>
    </w:p>
    <w:p w:rsidR="00B003BF" w:rsidRPr="002B27E6" w:rsidRDefault="00B003BF" w:rsidP="002B27E6">
      <w:pPr>
        <w:ind w:left="851" w:hanging="851"/>
        <w:rPr>
          <w:sz w:val="24"/>
          <w:szCs w:val="24"/>
        </w:rPr>
      </w:pPr>
    </w:p>
    <w:p w:rsidR="00B003BF" w:rsidRPr="002B27E6" w:rsidRDefault="00B003BF" w:rsidP="002B27E6">
      <w:pPr>
        <w:ind w:left="851" w:hanging="851"/>
        <w:rPr>
          <w:b/>
          <w:sz w:val="24"/>
          <w:szCs w:val="24"/>
        </w:rPr>
      </w:pPr>
      <w:r w:rsidRPr="002B27E6">
        <w:rPr>
          <w:b/>
          <w:sz w:val="24"/>
          <w:szCs w:val="24"/>
        </w:rPr>
        <w:t>10.</w:t>
      </w:r>
      <w:r w:rsidRPr="002B27E6">
        <w:rPr>
          <w:b/>
          <w:sz w:val="24"/>
          <w:szCs w:val="24"/>
        </w:rPr>
        <w:tab/>
        <w:t>DATO FOR ÆNDRING AF TEKSTEN</w:t>
      </w:r>
    </w:p>
    <w:p w:rsidR="00B003BF" w:rsidRPr="002B27E6" w:rsidRDefault="00B003BF" w:rsidP="002B27E6">
      <w:pPr>
        <w:ind w:left="851" w:hanging="851"/>
        <w:rPr>
          <w:sz w:val="24"/>
          <w:szCs w:val="24"/>
        </w:rPr>
      </w:pPr>
      <w:r w:rsidRPr="002B27E6">
        <w:rPr>
          <w:sz w:val="24"/>
          <w:szCs w:val="24"/>
        </w:rPr>
        <w:tab/>
      </w:r>
      <w:r w:rsidR="00935D7E">
        <w:rPr>
          <w:sz w:val="24"/>
          <w:szCs w:val="24"/>
        </w:rPr>
        <w:t>12. juli 2018</w:t>
      </w:r>
    </w:p>
    <w:sectPr w:rsidR="00B003BF" w:rsidRPr="002B27E6"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3D55" w:rsidRDefault="00273D55">
      <w:r>
        <w:separator/>
      </w:r>
    </w:p>
  </w:endnote>
  <w:endnote w:type="continuationSeparator" w:id="0">
    <w:p w:rsidR="00273D55" w:rsidRDefault="00273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D55" w:rsidRDefault="00273D55">
    <w:pPr>
      <w:pStyle w:val="Sidefod"/>
      <w:pBdr>
        <w:bottom w:val="single" w:sz="6" w:space="1" w:color="auto"/>
      </w:pBdr>
    </w:pPr>
  </w:p>
  <w:p w:rsidR="00273D55" w:rsidRDefault="00273D55" w:rsidP="00C42586">
    <w:pPr>
      <w:pStyle w:val="Sidefod"/>
      <w:tabs>
        <w:tab w:val="clear" w:pos="4819"/>
        <w:tab w:val="left" w:pos="8505"/>
      </w:tabs>
      <w:rPr>
        <w:i/>
        <w:sz w:val="18"/>
        <w:szCs w:val="18"/>
      </w:rPr>
    </w:pPr>
  </w:p>
  <w:p w:rsidR="00273D55" w:rsidRPr="00B373D7" w:rsidRDefault="008B7AEB" w:rsidP="00C42586">
    <w:pPr>
      <w:pStyle w:val="Sidefod"/>
      <w:tabs>
        <w:tab w:val="clear" w:pos="4819"/>
        <w:tab w:val="left" w:pos="8505"/>
      </w:tabs>
      <w:rPr>
        <w:i/>
        <w:sz w:val="18"/>
        <w:szCs w:val="18"/>
      </w:rPr>
    </w:pPr>
    <w:r w:rsidRPr="00B373D7">
      <w:rPr>
        <w:i/>
        <w:sz w:val="18"/>
        <w:szCs w:val="18"/>
      </w:rPr>
      <w:fldChar w:fldCharType="begin"/>
    </w:r>
    <w:r w:rsidR="00273D55" w:rsidRPr="00B373D7">
      <w:rPr>
        <w:i/>
        <w:sz w:val="18"/>
        <w:szCs w:val="18"/>
      </w:rPr>
      <w:instrText xml:space="preserve"> FILENAME </w:instrText>
    </w:r>
    <w:r w:rsidRPr="00B373D7">
      <w:rPr>
        <w:i/>
        <w:sz w:val="18"/>
        <w:szCs w:val="18"/>
      </w:rPr>
      <w:fldChar w:fldCharType="separate"/>
    </w:r>
    <w:r w:rsidR="005119D3">
      <w:rPr>
        <w:i/>
        <w:noProof/>
        <w:sz w:val="18"/>
        <w:szCs w:val="18"/>
      </w:rPr>
      <w:t>Paricalcitol Pharmathen, injektionsvæske, opløsning 2 mikrog-ml og 5 mikrog-ml</w:t>
    </w:r>
    <w:r w:rsidRPr="00B373D7">
      <w:rPr>
        <w:i/>
        <w:sz w:val="18"/>
        <w:szCs w:val="18"/>
      </w:rPr>
      <w:fldChar w:fldCharType="end"/>
    </w:r>
    <w:r w:rsidR="00273D55" w:rsidRPr="00B373D7">
      <w:rPr>
        <w:i/>
        <w:sz w:val="18"/>
        <w:szCs w:val="18"/>
      </w:rPr>
      <w:tab/>
      <w:t xml:space="preserve">Side </w:t>
    </w:r>
    <w:r w:rsidRPr="00B373D7">
      <w:rPr>
        <w:rStyle w:val="Sidetal"/>
        <w:i/>
        <w:sz w:val="18"/>
        <w:szCs w:val="18"/>
      </w:rPr>
      <w:fldChar w:fldCharType="begin"/>
    </w:r>
    <w:r w:rsidR="00273D55" w:rsidRPr="00B373D7">
      <w:rPr>
        <w:rStyle w:val="Sidetal"/>
        <w:i/>
        <w:sz w:val="18"/>
        <w:szCs w:val="18"/>
      </w:rPr>
      <w:instrText xml:space="preserve"> PAGE </w:instrText>
    </w:r>
    <w:r w:rsidRPr="00B373D7">
      <w:rPr>
        <w:rStyle w:val="Sidetal"/>
        <w:i/>
        <w:sz w:val="18"/>
        <w:szCs w:val="18"/>
      </w:rPr>
      <w:fldChar w:fldCharType="separate"/>
    </w:r>
    <w:r w:rsidR="005119D3">
      <w:rPr>
        <w:rStyle w:val="Sidetal"/>
        <w:i/>
        <w:noProof/>
        <w:sz w:val="18"/>
        <w:szCs w:val="18"/>
      </w:rPr>
      <w:t>9</w:t>
    </w:r>
    <w:r w:rsidRPr="00B373D7">
      <w:rPr>
        <w:rStyle w:val="Sidetal"/>
        <w:i/>
        <w:sz w:val="18"/>
        <w:szCs w:val="18"/>
      </w:rPr>
      <w:fldChar w:fldCharType="end"/>
    </w:r>
    <w:r w:rsidR="00273D55" w:rsidRPr="00B373D7">
      <w:rPr>
        <w:rStyle w:val="Sidetal"/>
        <w:i/>
        <w:sz w:val="18"/>
        <w:szCs w:val="18"/>
      </w:rPr>
      <w:t xml:space="preserve"> af </w:t>
    </w:r>
    <w:r w:rsidRPr="00B373D7">
      <w:rPr>
        <w:rStyle w:val="Sidetal"/>
        <w:i/>
        <w:sz w:val="18"/>
        <w:szCs w:val="18"/>
      </w:rPr>
      <w:fldChar w:fldCharType="begin"/>
    </w:r>
    <w:r w:rsidR="00273D55" w:rsidRPr="00B373D7">
      <w:rPr>
        <w:rStyle w:val="Sidetal"/>
        <w:i/>
        <w:sz w:val="18"/>
        <w:szCs w:val="18"/>
      </w:rPr>
      <w:instrText xml:space="preserve"> NUMPAGES </w:instrText>
    </w:r>
    <w:r w:rsidRPr="00B373D7">
      <w:rPr>
        <w:rStyle w:val="Sidetal"/>
        <w:i/>
        <w:sz w:val="18"/>
        <w:szCs w:val="18"/>
      </w:rPr>
      <w:fldChar w:fldCharType="separate"/>
    </w:r>
    <w:r w:rsidR="005119D3">
      <w:rPr>
        <w:rStyle w:val="Sidetal"/>
        <w:i/>
        <w:noProof/>
        <w:sz w:val="18"/>
        <w:szCs w:val="18"/>
      </w:rPr>
      <w:t>10</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3D55" w:rsidRDefault="00273D55">
      <w:r>
        <w:separator/>
      </w:r>
    </w:p>
  </w:footnote>
  <w:footnote w:type="continuationSeparator" w:id="0">
    <w:p w:rsidR="00273D55" w:rsidRDefault="00273D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B0B8F"/>
    <w:rsid w:val="000259B9"/>
    <w:rsid w:val="00032920"/>
    <w:rsid w:val="00041491"/>
    <w:rsid w:val="00050D16"/>
    <w:rsid w:val="00074F2A"/>
    <w:rsid w:val="000A1CA8"/>
    <w:rsid w:val="000A466B"/>
    <w:rsid w:val="000A746C"/>
    <w:rsid w:val="000E4EE6"/>
    <w:rsid w:val="00154D73"/>
    <w:rsid w:val="001E311B"/>
    <w:rsid w:val="002115F4"/>
    <w:rsid w:val="00245753"/>
    <w:rsid w:val="00265B74"/>
    <w:rsid w:val="00273D55"/>
    <w:rsid w:val="00274C0C"/>
    <w:rsid w:val="00283A2B"/>
    <w:rsid w:val="002B27E6"/>
    <w:rsid w:val="002B30AD"/>
    <w:rsid w:val="002C2C01"/>
    <w:rsid w:val="002F0350"/>
    <w:rsid w:val="00387212"/>
    <w:rsid w:val="003A29AE"/>
    <w:rsid w:val="003A32D7"/>
    <w:rsid w:val="003B4074"/>
    <w:rsid w:val="003C769A"/>
    <w:rsid w:val="003E29C2"/>
    <w:rsid w:val="003F1646"/>
    <w:rsid w:val="00454F4C"/>
    <w:rsid w:val="0045746C"/>
    <w:rsid w:val="0049104B"/>
    <w:rsid w:val="00496B92"/>
    <w:rsid w:val="004E3B12"/>
    <w:rsid w:val="005119D3"/>
    <w:rsid w:val="0051476D"/>
    <w:rsid w:val="00565F0F"/>
    <w:rsid w:val="0057691C"/>
    <w:rsid w:val="00594A86"/>
    <w:rsid w:val="00596D86"/>
    <w:rsid w:val="005B2063"/>
    <w:rsid w:val="0061037C"/>
    <w:rsid w:val="0062411C"/>
    <w:rsid w:val="00644455"/>
    <w:rsid w:val="006560B1"/>
    <w:rsid w:val="006756DD"/>
    <w:rsid w:val="00740EEC"/>
    <w:rsid w:val="00741F41"/>
    <w:rsid w:val="0078011A"/>
    <w:rsid w:val="00782AF4"/>
    <w:rsid w:val="00790EE7"/>
    <w:rsid w:val="007B6649"/>
    <w:rsid w:val="0082576E"/>
    <w:rsid w:val="008B7AEB"/>
    <w:rsid w:val="008C76D1"/>
    <w:rsid w:val="008E58ED"/>
    <w:rsid w:val="00907F75"/>
    <w:rsid w:val="0093258A"/>
    <w:rsid w:val="00935D7E"/>
    <w:rsid w:val="009C13FC"/>
    <w:rsid w:val="009C7BA3"/>
    <w:rsid w:val="009D1F5A"/>
    <w:rsid w:val="009E02EE"/>
    <w:rsid w:val="00A76ACC"/>
    <w:rsid w:val="00AF0D09"/>
    <w:rsid w:val="00B003BF"/>
    <w:rsid w:val="00B373D7"/>
    <w:rsid w:val="00B5773E"/>
    <w:rsid w:val="00B7629C"/>
    <w:rsid w:val="00BB0B8F"/>
    <w:rsid w:val="00BC1850"/>
    <w:rsid w:val="00BF3743"/>
    <w:rsid w:val="00C36276"/>
    <w:rsid w:val="00C42586"/>
    <w:rsid w:val="00C93C97"/>
    <w:rsid w:val="00C95551"/>
    <w:rsid w:val="00CB20D7"/>
    <w:rsid w:val="00D020B0"/>
    <w:rsid w:val="00D11748"/>
    <w:rsid w:val="00D24DED"/>
    <w:rsid w:val="00D366CF"/>
    <w:rsid w:val="00DA3BAD"/>
    <w:rsid w:val="00DD3294"/>
    <w:rsid w:val="00E108AA"/>
    <w:rsid w:val="00E3749A"/>
    <w:rsid w:val="00E7437F"/>
    <w:rsid w:val="00E865B8"/>
    <w:rsid w:val="00EC0B9B"/>
    <w:rsid w:val="00ED5E9F"/>
    <w:rsid w:val="00F11A77"/>
    <w:rsid w:val="00F311C1"/>
    <w:rsid w:val="00F41C98"/>
    <w:rsid w:val="00F81D52"/>
    <w:rsid w:val="00F97C04"/>
    <w:rsid w:val="00FB6D01"/>
    <w:rsid w:val="00FD55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59BF6D-BB65-4470-8DB2-1673CA4C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basedOn w:val="Standardskrifttypeiafsnit"/>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basedOn w:val="Standardskrifttypeiafsnit"/>
    <w:link w:val="Sidehoved"/>
    <w:rsid w:val="00B003BF"/>
    <w:rPr>
      <w:sz w:val="24"/>
    </w:rPr>
  </w:style>
  <w:style w:type="character" w:customStyle="1" w:styleId="TitelTegn">
    <w:name w:val="Titel Tegn"/>
    <w:basedOn w:val="Standardskrifttypeiafsnit"/>
    <w:link w:val="Titel"/>
    <w:rsid w:val="00B003BF"/>
    <w:rPr>
      <w:b/>
      <w:sz w:val="24"/>
    </w:rPr>
  </w:style>
  <w:style w:type="character" w:styleId="Hyperlink">
    <w:name w:val="Hyperlink"/>
    <w:basedOn w:val="Standardskrifttypeiafsnit"/>
    <w:uiPriority w:val="99"/>
    <w:unhideWhenUsed/>
    <w:rsid w:val="00F41C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10</Pages>
  <Words>2847</Words>
  <Characters>17371</Characters>
  <Application>Microsoft Office Word</Application>
  <DocSecurity>0</DocSecurity>
  <Lines>144</Lines>
  <Paragraphs>40</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20178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2018051333 var 4 opdat iht ref.præparat</dc:description>
  <cp:lastModifiedBy>Hanne Thy Iversen</cp:lastModifiedBy>
  <cp:revision>21</cp:revision>
  <cp:lastPrinted>2018-07-12T12:00:00Z</cp:lastPrinted>
  <dcterms:created xsi:type="dcterms:W3CDTF">2013-10-21T12:29:00Z</dcterms:created>
  <dcterms:modified xsi:type="dcterms:W3CDTF">2018-07-12T12:00:00Z</dcterms:modified>
</cp:coreProperties>
</file>