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A718E9">
        <w:rPr>
          <w:szCs w:val="24"/>
        </w:rPr>
        <w:t>4. april 2025</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3E0998" w:rsidP="009260DE">
      <w:pPr>
        <w:jc w:val="center"/>
        <w:rPr>
          <w:b/>
          <w:sz w:val="24"/>
          <w:szCs w:val="24"/>
        </w:rPr>
      </w:pPr>
      <w:r>
        <w:rPr>
          <w:b/>
          <w:sz w:val="24"/>
          <w:szCs w:val="24"/>
        </w:rPr>
        <w:t>Parkadin, hårde kapsler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3E0998" w:rsidP="009260DE">
      <w:pPr>
        <w:tabs>
          <w:tab w:val="left" w:pos="851"/>
        </w:tabs>
        <w:ind w:left="851"/>
        <w:rPr>
          <w:sz w:val="24"/>
          <w:szCs w:val="24"/>
        </w:rPr>
      </w:pPr>
      <w:r>
        <w:rPr>
          <w:sz w:val="24"/>
          <w:szCs w:val="24"/>
        </w:rPr>
        <w:t>34057</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3E0998" w:rsidP="009260DE">
      <w:pPr>
        <w:tabs>
          <w:tab w:val="left" w:pos="851"/>
        </w:tabs>
        <w:ind w:left="851"/>
        <w:rPr>
          <w:sz w:val="24"/>
          <w:szCs w:val="24"/>
        </w:rPr>
      </w:pPr>
      <w:r>
        <w:rPr>
          <w:sz w:val="24"/>
          <w:szCs w:val="24"/>
        </w:rPr>
        <w:t>Parkadin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08364F" w:rsidRPr="0008364F" w:rsidRDefault="0008364F" w:rsidP="0008364F">
      <w:pPr>
        <w:tabs>
          <w:tab w:val="left" w:pos="851"/>
        </w:tabs>
        <w:ind w:left="851"/>
        <w:rPr>
          <w:iCs/>
          <w:sz w:val="24"/>
          <w:szCs w:val="24"/>
        </w:rPr>
      </w:pPr>
      <w:r w:rsidRPr="0008364F">
        <w:rPr>
          <w:iCs/>
          <w:sz w:val="24"/>
          <w:szCs w:val="24"/>
        </w:rPr>
        <w:t>Hver kapsel indeholder 100 mg amantadinhydrochlorid.</w:t>
      </w:r>
    </w:p>
    <w:p w:rsidR="0008364F" w:rsidRPr="0008364F" w:rsidRDefault="0008364F" w:rsidP="0008364F">
      <w:pPr>
        <w:tabs>
          <w:tab w:val="left" w:pos="851"/>
        </w:tabs>
        <w:ind w:left="851"/>
        <w:rPr>
          <w:iCs/>
          <w:sz w:val="24"/>
          <w:szCs w:val="24"/>
          <w:u w:val="single"/>
        </w:rPr>
      </w:pPr>
    </w:p>
    <w:p w:rsidR="0008364F" w:rsidRPr="0008364F" w:rsidRDefault="0008364F" w:rsidP="0008364F">
      <w:pPr>
        <w:tabs>
          <w:tab w:val="left" w:pos="851"/>
        </w:tabs>
        <w:ind w:left="851"/>
        <w:rPr>
          <w:iCs/>
          <w:sz w:val="24"/>
          <w:szCs w:val="24"/>
          <w:u w:val="single"/>
        </w:rPr>
      </w:pPr>
      <w:r w:rsidRPr="0008364F">
        <w:rPr>
          <w:iCs/>
          <w:sz w:val="24"/>
          <w:szCs w:val="24"/>
          <w:u w:val="single"/>
        </w:rPr>
        <w:t>Hjælpestof, som behandleren skal være opmærksom på</w:t>
      </w:r>
    </w:p>
    <w:p w:rsidR="0008364F" w:rsidRPr="0008364F" w:rsidRDefault="0008364F" w:rsidP="0008364F">
      <w:pPr>
        <w:tabs>
          <w:tab w:val="left" w:pos="851"/>
        </w:tabs>
        <w:ind w:left="851"/>
        <w:rPr>
          <w:iCs/>
          <w:sz w:val="24"/>
          <w:szCs w:val="24"/>
        </w:rPr>
      </w:pPr>
      <w:r w:rsidRPr="0008364F">
        <w:rPr>
          <w:iCs/>
          <w:sz w:val="24"/>
          <w:szCs w:val="24"/>
        </w:rPr>
        <w:t>Hver kapsel indeholder også 15,20 mg lactosemonohydrat.</w:t>
      </w:r>
    </w:p>
    <w:p w:rsidR="00085ABA" w:rsidRDefault="00085ABA" w:rsidP="0008364F">
      <w:pPr>
        <w:tabs>
          <w:tab w:val="left" w:pos="851"/>
        </w:tabs>
        <w:ind w:left="851"/>
        <w:rPr>
          <w:iCs/>
          <w:sz w:val="24"/>
          <w:szCs w:val="24"/>
        </w:rPr>
      </w:pPr>
    </w:p>
    <w:p w:rsidR="0008364F" w:rsidRPr="0008364F" w:rsidRDefault="0008364F" w:rsidP="0008364F">
      <w:pPr>
        <w:tabs>
          <w:tab w:val="left" w:pos="851"/>
        </w:tabs>
        <w:ind w:left="851"/>
        <w:rPr>
          <w:iCs/>
          <w:sz w:val="24"/>
          <w:szCs w:val="24"/>
        </w:rPr>
      </w:pPr>
      <w:r w:rsidRPr="0008364F">
        <w:rPr>
          <w:iCs/>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085ABA" w:rsidRPr="00085ABA" w:rsidRDefault="00085ABA" w:rsidP="00085ABA">
      <w:pPr>
        <w:tabs>
          <w:tab w:val="left" w:pos="851"/>
        </w:tabs>
        <w:ind w:left="851"/>
        <w:rPr>
          <w:sz w:val="24"/>
          <w:szCs w:val="24"/>
        </w:rPr>
      </w:pPr>
      <w:r w:rsidRPr="00085ABA">
        <w:rPr>
          <w:sz w:val="24"/>
          <w:szCs w:val="24"/>
        </w:rPr>
        <w:t>Hårde kapsler</w:t>
      </w:r>
    </w:p>
    <w:p w:rsidR="00085ABA" w:rsidRPr="00085ABA" w:rsidRDefault="00085ABA" w:rsidP="00085ABA">
      <w:pPr>
        <w:tabs>
          <w:tab w:val="left" w:pos="851"/>
        </w:tabs>
        <w:ind w:left="851"/>
        <w:rPr>
          <w:iCs/>
          <w:sz w:val="24"/>
          <w:szCs w:val="24"/>
        </w:rPr>
      </w:pPr>
    </w:p>
    <w:p w:rsidR="00085ABA" w:rsidRPr="00085ABA" w:rsidRDefault="00085ABA" w:rsidP="00085ABA">
      <w:pPr>
        <w:tabs>
          <w:tab w:val="left" w:pos="851"/>
        </w:tabs>
        <w:ind w:left="851"/>
        <w:rPr>
          <w:iCs/>
          <w:sz w:val="24"/>
          <w:szCs w:val="24"/>
        </w:rPr>
      </w:pPr>
      <w:r w:rsidRPr="00085ABA">
        <w:rPr>
          <w:iCs/>
          <w:sz w:val="24"/>
          <w:szCs w:val="24"/>
        </w:rPr>
        <w:t>Hård kapsel af gelatine (størrelse “4”, 14 mm), brunrød hætte præget i sort med “RENATA” og brunrød underdel præget i sort med “AMCL” indeholdende hvidt, krystallinsk pulver.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085ABA" w:rsidRPr="00085ABA" w:rsidRDefault="00085ABA" w:rsidP="00085ABA">
      <w:pPr>
        <w:tabs>
          <w:tab w:val="left" w:pos="851"/>
        </w:tabs>
        <w:ind w:left="851"/>
        <w:rPr>
          <w:bCs/>
          <w:iCs/>
          <w:sz w:val="24"/>
          <w:szCs w:val="24"/>
        </w:rPr>
      </w:pPr>
    </w:p>
    <w:p w:rsidR="00085ABA" w:rsidRPr="00085ABA" w:rsidRDefault="00085ABA" w:rsidP="00085ABA">
      <w:pPr>
        <w:tabs>
          <w:tab w:val="left" w:pos="851"/>
        </w:tabs>
        <w:ind w:left="851"/>
        <w:rPr>
          <w:bCs/>
          <w:sz w:val="24"/>
          <w:szCs w:val="24"/>
          <w:u w:val="single"/>
          <w:lang w:val="pt-BR"/>
        </w:rPr>
      </w:pPr>
      <w:r w:rsidRPr="00085ABA">
        <w:rPr>
          <w:bCs/>
          <w:iCs/>
          <w:sz w:val="24"/>
          <w:szCs w:val="24"/>
          <w:u w:val="single"/>
        </w:rPr>
        <w:t>Symptomatisk behandling af Parkinsons sygdom</w:t>
      </w:r>
    </w:p>
    <w:p w:rsidR="00085ABA" w:rsidRPr="00085ABA" w:rsidRDefault="00085ABA" w:rsidP="00085ABA">
      <w:pPr>
        <w:tabs>
          <w:tab w:val="left" w:pos="851"/>
        </w:tabs>
        <w:ind w:left="851"/>
        <w:rPr>
          <w:sz w:val="24"/>
          <w:szCs w:val="24"/>
          <w:lang w:val="pt-BR"/>
        </w:rPr>
      </w:pPr>
      <w:r w:rsidRPr="00085ABA">
        <w:rPr>
          <w:iCs/>
          <w:sz w:val="24"/>
          <w:szCs w:val="24"/>
          <w:lang w:val="sv-SE"/>
        </w:rPr>
        <w:t xml:space="preserve">Parkadin </w:t>
      </w:r>
      <w:r w:rsidRPr="00085ABA">
        <w:rPr>
          <w:sz w:val="24"/>
          <w:szCs w:val="24"/>
        </w:rPr>
        <w:t>kan gives som monoterapi ved start af behandling for Parkinsons sygdom eller i kombination med levodopa.</w:t>
      </w:r>
    </w:p>
    <w:p w:rsidR="009260DE" w:rsidRPr="00085ABA" w:rsidRDefault="009260DE" w:rsidP="009260DE">
      <w:pPr>
        <w:tabs>
          <w:tab w:val="left" w:pos="851"/>
        </w:tabs>
        <w:ind w:left="851"/>
        <w:rPr>
          <w:sz w:val="24"/>
          <w:szCs w:val="24"/>
          <w:lang w:val="pt-BR"/>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085ABA" w:rsidRDefault="00085ABA" w:rsidP="00085ABA">
      <w:pPr>
        <w:tabs>
          <w:tab w:val="left" w:pos="851"/>
        </w:tabs>
        <w:ind w:left="851"/>
        <w:rPr>
          <w:sz w:val="24"/>
          <w:szCs w:val="24"/>
          <w:u w:val="single"/>
        </w:rPr>
      </w:pPr>
    </w:p>
    <w:p w:rsidR="00085ABA" w:rsidRPr="00085ABA" w:rsidRDefault="00085ABA" w:rsidP="00085ABA">
      <w:pPr>
        <w:tabs>
          <w:tab w:val="left" w:pos="851"/>
        </w:tabs>
        <w:ind w:left="851"/>
        <w:rPr>
          <w:sz w:val="24"/>
          <w:szCs w:val="24"/>
          <w:u w:val="single"/>
        </w:rPr>
      </w:pPr>
      <w:r w:rsidRPr="00085ABA">
        <w:rPr>
          <w:sz w:val="24"/>
          <w:szCs w:val="24"/>
          <w:u w:val="single"/>
        </w:rPr>
        <w:t>Dosering</w:t>
      </w:r>
    </w:p>
    <w:p w:rsidR="00085ABA" w:rsidRPr="00085ABA" w:rsidRDefault="00085ABA" w:rsidP="00085ABA">
      <w:pPr>
        <w:tabs>
          <w:tab w:val="left" w:pos="851"/>
        </w:tabs>
        <w:ind w:left="851"/>
        <w:rPr>
          <w:sz w:val="24"/>
          <w:szCs w:val="24"/>
          <w:lang w:val="pt-BR"/>
        </w:rPr>
      </w:pPr>
      <w:r w:rsidRPr="00085ABA">
        <w:rPr>
          <w:sz w:val="24"/>
          <w:szCs w:val="24"/>
        </w:rPr>
        <w:t>Startdosis: 100 mg en gang dagligt efter et måltid, helst om morgenen.</w:t>
      </w:r>
    </w:p>
    <w:p w:rsidR="00085ABA" w:rsidRPr="00085ABA" w:rsidRDefault="00085ABA" w:rsidP="00085ABA">
      <w:pPr>
        <w:tabs>
          <w:tab w:val="left" w:pos="851"/>
        </w:tabs>
        <w:ind w:left="851"/>
        <w:rPr>
          <w:sz w:val="24"/>
          <w:szCs w:val="24"/>
        </w:rPr>
      </w:pPr>
      <w:r w:rsidRPr="00085ABA">
        <w:rPr>
          <w:sz w:val="24"/>
          <w:szCs w:val="24"/>
        </w:rPr>
        <w:lastRenderedPageBreak/>
        <w:t>Vedligeholdelsesdosis: 100 mg to gange dagligt efter måltider.</w:t>
      </w:r>
    </w:p>
    <w:p w:rsidR="00085ABA" w:rsidRPr="00085ABA" w:rsidRDefault="00085ABA" w:rsidP="00085ABA">
      <w:pPr>
        <w:tabs>
          <w:tab w:val="left" w:pos="851"/>
        </w:tabs>
        <w:ind w:left="851"/>
        <w:rPr>
          <w:sz w:val="24"/>
          <w:szCs w:val="24"/>
        </w:rPr>
      </w:pPr>
    </w:p>
    <w:p w:rsidR="00085ABA" w:rsidRPr="00085ABA" w:rsidRDefault="00085ABA" w:rsidP="00085ABA">
      <w:pPr>
        <w:tabs>
          <w:tab w:val="left" w:pos="851"/>
        </w:tabs>
        <w:ind w:left="851"/>
        <w:rPr>
          <w:sz w:val="24"/>
          <w:szCs w:val="24"/>
        </w:rPr>
      </w:pPr>
      <w:r w:rsidRPr="00085ABA">
        <w:rPr>
          <w:sz w:val="24"/>
          <w:szCs w:val="24"/>
        </w:rPr>
        <w:t>Tidsintervallet mellem startdosis og vedligeholdelsesdosis skal være mindst 7 dage.</w:t>
      </w:r>
    </w:p>
    <w:p w:rsidR="00085ABA" w:rsidRPr="00085ABA" w:rsidRDefault="00085ABA" w:rsidP="00085ABA">
      <w:pPr>
        <w:tabs>
          <w:tab w:val="left" w:pos="851"/>
        </w:tabs>
        <w:ind w:left="851"/>
        <w:rPr>
          <w:sz w:val="24"/>
          <w:szCs w:val="24"/>
        </w:rPr>
      </w:pPr>
      <w:r w:rsidRPr="00085ABA">
        <w:rPr>
          <w:sz w:val="24"/>
          <w:szCs w:val="24"/>
        </w:rPr>
        <w:t>I enkelte tilfælde kan dosis øges yderligere baseret på det kliniske billede.</w:t>
      </w:r>
    </w:p>
    <w:p w:rsidR="00085ABA" w:rsidRPr="00085ABA" w:rsidRDefault="00085ABA" w:rsidP="00085ABA">
      <w:pPr>
        <w:tabs>
          <w:tab w:val="left" w:pos="851"/>
        </w:tabs>
        <w:ind w:left="851"/>
        <w:rPr>
          <w:sz w:val="24"/>
          <w:szCs w:val="24"/>
        </w:rPr>
      </w:pPr>
      <w:r w:rsidRPr="00085ABA">
        <w:rPr>
          <w:sz w:val="24"/>
          <w:szCs w:val="24"/>
        </w:rPr>
        <w:t>Det anbefales at gøre dette gradvist med intervaller på mindst 1 uge.</w:t>
      </w:r>
    </w:p>
    <w:p w:rsidR="00085ABA" w:rsidRPr="00085ABA" w:rsidRDefault="00085ABA" w:rsidP="00085ABA">
      <w:pPr>
        <w:tabs>
          <w:tab w:val="left" w:pos="851"/>
        </w:tabs>
        <w:ind w:left="851"/>
        <w:rPr>
          <w:sz w:val="24"/>
          <w:szCs w:val="24"/>
        </w:rPr>
      </w:pPr>
      <w:r w:rsidRPr="00085ABA">
        <w:rPr>
          <w:sz w:val="24"/>
          <w:szCs w:val="24"/>
        </w:rPr>
        <w:t>Administrationen må ikke stoppes pludseligt (se pkt. 4.4).</w:t>
      </w:r>
    </w:p>
    <w:p w:rsidR="00085ABA" w:rsidRPr="00085ABA" w:rsidRDefault="00085ABA" w:rsidP="00085ABA">
      <w:pPr>
        <w:tabs>
          <w:tab w:val="left" w:pos="851"/>
        </w:tabs>
        <w:ind w:left="851"/>
        <w:rPr>
          <w:sz w:val="24"/>
          <w:szCs w:val="24"/>
        </w:rPr>
      </w:pPr>
    </w:p>
    <w:p w:rsidR="00085ABA" w:rsidRPr="00085ABA" w:rsidRDefault="00085ABA" w:rsidP="00085ABA">
      <w:pPr>
        <w:tabs>
          <w:tab w:val="left" w:pos="851"/>
        </w:tabs>
        <w:ind w:left="851"/>
        <w:rPr>
          <w:i/>
          <w:iCs/>
          <w:sz w:val="24"/>
          <w:szCs w:val="24"/>
          <w:lang w:val="pt-BR"/>
        </w:rPr>
      </w:pPr>
      <w:r w:rsidRPr="00085ABA">
        <w:rPr>
          <w:sz w:val="24"/>
          <w:szCs w:val="24"/>
        </w:rPr>
        <w:t xml:space="preserve">Kombineret behandling: Hvis </w:t>
      </w:r>
      <w:r w:rsidRPr="00085ABA">
        <w:rPr>
          <w:iCs/>
          <w:sz w:val="24"/>
          <w:szCs w:val="24"/>
          <w:lang w:val="sv-SE"/>
        </w:rPr>
        <w:t xml:space="preserve">Parkadin </w:t>
      </w:r>
      <w:r w:rsidRPr="00085ABA">
        <w:rPr>
          <w:sz w:val="24"/>
          <w:szCs w:val="24"/>
        </w:rPr>
        <w:t>føjes til eksisterende Parkinsons behandling, skal der startes med den lavest mulige dosis, og dosen titreres forsigtigt og langsomt.</w:t>
      </w:r>
    </w:p>
    <w:p w:rsidR="00085ABA" w:rsidRPr="00085ABA" w:rsidRDefault="00085ABA" w:rsidP="00085ABA">
      <w:pPr>
        <w:tabs>
          <w:tab w:val="left" w:pos="851"/>
        </w:tabs>
        <w:ind w:left="851"/>
        <w:rPr>
          <w:b/>
          <w:bCs/>
          <w:sz w:val="24"/>
          <w:szCs w:val="24"/>
        </w:rPr>
      </w:pPr>
    </w:p>
    <w:p w:rsidR="00085ABA" w:rsidRPr="00085ABA" w:rsidRDefault="00085ABA" w:rsidP="00085ABA">
      <w:pPr>
        <w:tabs>
          <w:tab w:val="left" w:pos="851"/>
        </w:tabs>
        <w:ind w:left="851"/>
        <w:rPr>
          <w:bCs/>
          <w:sz w:val="24"/>
          <w:szCs w:val="24"/>
          <w:u w:val="single"/>
        </w:rPr>
      </w:pPr>
      <w:r w:rsidRPr="00085ABA">
        <w:rPr>
          <w:bCs/>
          <w:sz w:val="24"/>
          <w:szCs w:val="24"/>
          <w:u w:val="single"/>
        </w:rPr>
        <w:t>Særlige populationer</w:t>
      </w:r>
    </w:p>
    <w:p w:rsidR="00085ABA" w:rsidRPr="00085ABA" w:rsidRDefault="00085ABA" w:rsidP="00085ABA">
      <w:pPr>
        <w:tabs>
          <w:tab w:val="left" w:pos="851"/>
        </w:tabs>
        <w:ind w:left="851"/>
        <w:rPr>
          <w:i/>
          <w:iCs/>
          <w:sz w:val="24"/>
          <w:szCs w:val="24"/>
        </w:rPr>
      </w:pPr>
    </w:p>
    <w:p w:rsidR="00085ABA" w:rsidRPr="00085ABA" w:rsidRDefault="00085ABA" w:rsidP="00085ABA">
      <w:pPr>
        <w:tabs>
          <w:tab w:val="left" w:pos="851"/>
        </w:tabs>
        <w:ind w:left="851"/>
        <w:rPr>
          <w:i/>
          <w:iCs/>
          <w:sz w:val="24"/>
          <w:szCs w:val="24"/>
        </w:rPr>
      </w:pPr>
      <w:r w:rsidRPr="00085ABA">
        <w:rPr>
          <w:i/>
          <w:iCs/>
          <w:sz w:val="24"/>
          <w:szCs w:val="24"/>
        </w:rPr>
        <w:t>Pædiatrisk population</w:t>
      </w:r>
    </w:p>
    <w:p w:rsidR="00085ABA" w:rsidRPr="00085ABA" w:rsidRDefault="00085ABA" w:rsidP="00085ABA">
      <w:pPr>
        <w:tabs>
          <w:tab w:val="left" w:pos="851"/>
        </w:tabs>
        <w:ind w:left="851"/>
        <w:rPr>
          <w:sz w:val="24"/>
          <w:szCs w:val="24"/>
        </w:rPr>
      </w:pPr>
      <w:r w:rsidRPr="00085ABA">
        <w:rPr>
          <w:iCs/>
          <w:sz w:val="24"/>
          <w:szCs w:val="24"/>
          <w:lang w:val="sv-SE"/>
        </w:rPr>
        <w:t xml:space="preserve">Parkadin </w:t>
      </w:r>
      <w:r w:rsidRPr="00085ABA">
        <w:rPr>
          <w:sz w:val="24"/>
          <w:szCs w:val="24"/>
        </w:rPr>
        <w:t>er ikke indiceret til anvendelse hos børn.</w:t>
      </w:r>
    </w:p>
    <w:p w:rsidR="00085ABA" w:rsidRPr="00085ABA" w:rsidRDefault="00085ABA" w:rsidP="00085ABA">
      <w:pPr>
        <w:tabs>
          <w:tab w:val="left" w:pos="851"/>
        </w:tabs>
        <w:ind w:left="851"/>
        <w:rPr>
          <w:i/>
          <w:iCs/>
          <w:sz w:val="24"/>
          <w:szCs w:val="24"/>
          <w:lang w:val="pt-BR"/>
        </w:rPr>
      </w:pPr>
    </w:p>
    <w:p w:rsidR="00085ABA" w:rsidRPr="00085ABA" w:rsidRDefault="00085ABA" w:rsidP="00085ABA">
      <w:pPr>
        <w:tabs>
          <w:tab w:val="left" w:pos="851"/>
        </w:tabs>
        <w:ind w:left="851"/>
        <w:rPr>
          <w:i/>
          <w:iCs/>
          <w:sz w:val="24"/>
          <w:szCs w:val="24"/>
        </w:rPr>
      </w:pPr>
      <w:r w:rsidRPr="00085ABA">
        <w:rPr>
          <w:i/>
          <w:iCs/>
          <w:sz w:val="24"/>
          <w:szCs w:val="24"/>
        </w:rPr>
        <w:t>Ældre (65 år og ældre)</w:t>
      </w:r>
    </w:p>
    <w:p w:rsidR="00085ABA" w:rsidRPr="00085ABA" w:rsidRDefault="00085ABA" w:rsidP="00085ABA">
      <w:pPr>
        <w:tabs>
          <w:tab w:val="left" w:pos="851"/>
        </w:tabs>
        <w:ind w:left="851"/>
        <w:rPr>
          <w:i/>
          <w:iCs/>
          <w:sz w:val="24"/>
          <w:szCs w:val="24"/>
        </w:rPr>
      </w:pPr>
      <w:r w:rsidRPr="00085ABA">
        <w:rPr>
          <w:sz w:val="24"/>
          <w:szCs w:val="24"/>
        </w:rPr>
        <w:t>Plasmakoncentrationen af Parkadin påvirkes af nyrefunktion. Halveringstiden ved elimination er længere hos ældre, og nyreclearance er lavere end hos yngre patienter. Derfor anbefales en vedligeholdelsesdosis, der ikke overstiger 100 mg pr. dag, til ældre patienter uden nyresygdom. Hvis patienten har nedsat nyrefunktion, skal doseringsintervallet justeres (se nedenfor ”</w:t>
      </w:r>
      <w:r w:rsidRPr="00085ABA">
        <w:rPr>
          <w:i/>
          <w:iCs/>
          <w:sz w:val="24"/>
          <w:szCs w:val="24"/>
        </w:rPr>
        <w:t>Patienter med nedsat nyrefunktion”</w:t>
      </w:r>
      <w:r w:rsidRPr="00085ABA">
        <w:rPr>
          <w:sz w:val="24"/>
          <w:szCs w:val="24"/>
        </w:rPr>
        <w:t>).</w:t>
      </w:r>
    </w:p>
    <w:p w:rsidR="00085ABA" w:rsidRPr="00085ABA" w:rsidRDefault="00085ABA" w:rsidP="00085ABA">
      <w:pPr>
        <w:tabs>
          <w:tab w:val="left" w:pos="851"/>
        </w:tabs>
        <w:ind w:left="851"/>
        <w:rPr>
          <w:i/>
          <w:iCs/>
          <w:sz w:val="24"/>
          <w:szCs w:val="24"/>
        </w:rPr>
      </w:pPr>
    </w:p>
    <w:p w:rsidR="00085ABA" w:rsidRPr="00085ABA" w:rsidRDefault="00085ABA" w:rsidP="00085ABA">
      <w:pPr>
        <w:tabs>
          <w:tab w:val="left" w:pos="851"/>
        </w:tabs>
        <w:ind w:left="851"/>
        <w:rPr>
          <w:i/>
          <w:iCs/>
          <w:sz w:val="24"/>
          <w:szCs w:val="24"/>
        </w:rPr>
      </w:pPr>
      <w:r w:rsidRPr="00085ABA">
        <w:rPr>
          <w:i/>
          <w:iCs/>
          <w:sz w:val="24"/>
          <w:szCs w:val="24"/>
        </w:rPr>
        <w:t>Patienter med nedsat nyrefunktion</w:t>
      </w:r>
    </w:p>
    <w:p w:rsidR="00085ABA" w:rsidRPr="00085ABA" w:rsidRDefault="00085ABA" w:rsidP="00085ABA">
      <w:pPr>
        <w:tabs>
          <w:tab w:val="left" w:pos="851"/>
        </w:tabs>
        <w:ind w:left="851"/>
        <w:rPr>
          <w:sz w:val="24"/>
          <w:szCs w:val="24"/>
          <w:lang w:val="pt-BR"/>
        </w:rPr>
      </w:pPr>
      <w:r w:rsidRPr="00085ABA">
        <w:rPr>
          <w:sz w:val="24"/>
          <w:szCs w:val="24"/>
        </w:rPr>
        <w:t xml:space="preserve">Clearance er signifikant reduceret hos patienter med nedsat nyrefunktion, hvilket resulterer i øgede plasmakoncentrationer af </w:t>
      </w:r>
      <w:r w:rsidRPr="00085ABA">
        <w:rPr>
          <w:iCs/>
          <w:sz w:val="24"/>
          <w:szCs w:val="24"/>
          <w:lang w:val="sv-SE"/>
        </w:rPr>
        <w:t>amantadin</w:t>
      </w:r>
      <w:r w:rsidRPr="00085ABA">
        <w:rPr>
          <w:sz w:val="24"/>
          <w:szCs w:val="24"/>
        </w:rPr>
        <w:t>. Hos disse patienter skal doseringen justeres med forsigtighed ved at forlænge doseringsintervallet i henhold til kreatininclearance (se tabel 1) efter en startdosis på dag 1 i behandlingen.</w:t>
      </w:r>
    </w:p>
    <w:p w:rsidR="00085ABA" w:rsidRPr="00085ABA" w:rsidRDefault="00085ABA" w:rsidP="00085ABA">
      <w:pPr>
        <w:tabs>
          <w:tab w:val="left" w:pos="851"/>
        </w:tabs>
        <w:ind w:left="851"/>
        <w:rPr>
          <w:sz w:val="24"/>
          <w:szCs w:val="24"/>
        </w:rPr>
      </w:pPr>
    </w:p>
    <w:p w:rsidR="00085ABA" w:rsidRPr="00085ABA" w:rsidRDefault="00085ABA" w:rsidP="00085ABA">
      <w:pPr>
        <w:tabs>
          <w:tab w:val="left" w:pos="851"/>
        </w:tabs>
        <w:ind w:left="851"/>
        <w:rPr>
          <w:sz w:val="24"/>
          <w:szCs w:val="24"/>
        </w:rPr>
      </w:pPr>
      <w:r w:rsidRPr="00085ABA">
        <w:rPr>
          <w:sz w:val="24"/>
          <w:szCs w:val="24"/>
        </w:rPr>
        <w:t>Hvis Parkinsons sygdom diagnosticeres hos en patient, som allerede har nedsat nyrefunktion (med eller uden hæmodialyse), skal behandlingen påbegyndes med en startdosis på 100 mg/dag på dag 1 af behandlingen. Efter den indledende dosis bør doseringsintervallet følges i henhold til kreatininclearance (se tabel 1).</w:t>
      </w:r>
    </w:p>
    <w:p w:rsidR="00085ABA" w:rsidRPr="00085ABA" w:rsidRDefault="00085ABA" w:rsidP="00085ABA">
      <w:pPr>
        <w:tabs>
          <w:tab w:val="left" w:pos="851"/>
        </w:tabs>
        <w:ind w:left="851"/>
        <w:rPr>
          <w:sz w:val="24"/>
          <w:szCs w:val="24"/>
        </w:rPr>
      </w:pPr>
    </w:p>
    <w:p w:rsidR="00085ABA" w:rsidRPr="00085ABA" w:rsidRDefault="00085ABA" w:rsidP="00085ABA">
      <w:pPr>
        <w:tabs>
          <w:tab w:val="left" w:pos="851"/>
        </w:tabs>
        <w:ind w:left="851"/>
        <w:rPr>
          <w:sz w:val="24"/>
          <w:szCs w:val="24"/>
        </w:rPr>
      </w:pPr>
      <w:r w:rsidRPr="00085ABA">
        <w:rPr>
          <w:sz w:val="24"/>
          <w:szCs w:val="24"/>
        </w:rPr>
        <w:t xml:space="preserve">Hvis der observeres nedsat nyrefunktion hos patienter med Parkinsons sygdom, som allerede modtager vedligeholdelsesdosen af </w:t>
      </w:r>
      <w:r w:rsidRPr="00085ABA">
        <w:rPr>
          <w:iCs/>
          <w:sz w:val="24"/>
          <w:szCs w:val="24"/>
          <w:lang w:val="sv-SE"/>
        </w:rPr>
        <w:t xml:space="preserve">Parkadin </w:t>
      </w:r>
      <w:r w:rsidRPr="00085ABA">
        <w:rPr>
          <w:sz w:val="24"/>
          <w:szCs w:val="24"/>
        </w:rPr>
        <w:t>(100 mg to gange dagligt), kan doseringsintervallet straks skiftes til doseringsregimet baseret på kreatininclearance (se tabel 1) uden en startdosis.</w:t>
      </w:r>
    </w:p>
    <w:p w:rsidR="00085ABA" w:rsidRPr="00085ABA" w:rsidRDefault="00085ABA" w:rsidP="00085ABA">
      <w:pPr>
        <w:tabs>
          <w:tab w:val="left" w:pos="851"/>
        </w:tabs>
        <w:ind w:left="851"/>
        <w:rPr>
          <w:sz w:val="24"/>
          <w:szCs w:val="24"/>
        </w:rPr>
      </w:pPr>
    </w:p>
    <w:p w:rsidR="00085ABA" w:rsidRPr="00085ABA" w:rsidRDefault="00085ABA" w:rsidP="00085ABA">
      <w:pPr>
        <w:tabs>
          <w:tab w:val="left" w:pos="851"/>
        </w:tabs>
        <w:ind w:left="851"/>
        <w:rPr>
          <w:sz w:val="24"/>
          <w:szCs w:val="24"/>
          <w:u w:val="single"/>
        </w:rPr>
      </w:pPr>
      <w:r w:rsidRPr="00085ABA">
        <w:rPr>
          <w:sz w:val="24"/>
          <w:szCs w:val="24"/>
        </w:rPr>
        <w:t xml:space="preserve">Tabel 1. </w:t>
      </w:r>
      <w:r w:rsidRPr="00085ABA">
        <w:rPr>
          <w:sz w:val="24"/>
          <w:szCs w:val="24"/>
          <w:u w:val="single"/>
        </w:rPr>
        <w:t>100 mg doseringsinterval baseret på kreatininclearance</w:t>
      </w:r>
    </w:p>
    <w:p w:rsidR="00085ABA" w:rsidRPr="00085ABA" w:rsidRDefault="00085ABA" w:rsidP="00085ABA">
      <w:pPr>
        <w:tabs>
          <w:tab w:val="left" w:pos="851"/>
        </w:tabs>
        <w:ind w:left="851"/>
        <w:rPr>
          <w:sz w:val="24"/>
          <w:szCs w:val="24"/>
          <w:u w:val="single"/>
        </w:rPr>
      </w:pPr>
    </w:p>
    <w:tbl>
      <w:tblPr>
        <w:tblW w:w="0" w:type="auto"/>
        <w:tblInd w:w="8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0" w:type="dxa"/>
          <w:right w:w="40" w:type="dxa"/>
        </w:tblCellMar>
        <w:tblLook w:val="04A0" w:firstRow="1" w:lastRow="0" w:firstColumn="1" w:lastColumn="0" w:noHBand="0" w:noVBand="1"/>
      </w:tblPr>
      <w:tblGrid>
        <w:gridCol w:w="4678"/>
        <w:gridCol w:w="3636"/>
      </w:tblGrid>
      <w:tr w:rsidR="00085ABA" w:rsidRPr="00085ABA" w:rsidTr="00085ABA">
        <w:trPr>
          <w:trHeight w:val="278"/>
        </w:trPr>
        <w:tc>
          <w:tcPr>
            <w:tcW w:w="4678" w:type="dxa"/>
            <w:tcBorders>
              <w:top w:val="single" w:sz="8" w:space="0" w:color="auto"/>
              <w:left w:val="single" w:sz="8" w:space="0" w:color="auto"/>
              <w:bottom w:val="single" w:sz="8" w:space="0" w:color="auto"/>
              <w:right w:val="single" w:sz="8" w:space="0" w:color="auto"/>
            </w:tcBorders>
            <w:hideMark/>
          </w:tcPr>
          <w:p w:rsidR="00085ABA" w:rsidRPr="00085ABA" w:rsidRDefault="00085ABA" w:rsidP="00085ABA">
            <w:pPr>
              <w:tabs>
                <w:tab w:val="left" w:pos="851"/>
              </w:tabs>
              <w:ind w:left="851"/>
              <w:rPr>
                <w:b/>
                <w:bCs/>
                <w:sz w:val="24"/>
                <w:szCs w:val="24"/>
                <w:lang w:val="pt-BR"/>
              </w:rPr>
            </w:pPr>
            <w:r w:rsidRPr="00085ABA">
              <w:rPr>
                <w:b/>
                <w:bCs/>
                <w:sz w:val="24"/>
                <w:szCs w:val="24"/>
              </w:rPr>
              <w:t>Kreatininclearance</w:t>
            </w:r>
          </w:p>
        </w:tc>
        <w:tc>
          <w:tcPr>
            <w:tcW w:w="3636" w:type="dxa"/>
            <w:tcBorders>
              <w:top w:val="single" w:sz="8" w:space="0" w:color="auto"/>
              <w:left w:val="single" w:sz="8" w:space="0" w:color="auto"/>
              <w:bottom w:val="single" w:sz="8" w:space="0" w:color="auto"/>
              <w:right w:val="single" w:sz="8" w:space="0" w:color="auto"/>
            </w:tcBorders>
            <w:hideMark/>
          </w:tcPr>
          <w:p w:rsidR="00085ABA" w:rsidRPr="00085ABA" w:rsidRDefault="00085ABA" w:rsidP="00085ABA">
            <w:pPr>
              <w:tabs>
                <w:tab w:val="left" w:pos="851"/>
              </w:tabs>
              <w:ind w:left="851"/>
              <w:rPr>
                <w:b/>
                <w:bCs/>
                <w:sz w:val="24"/>
                <w:szCs w:val="24"/>
              </w:rPr>
            </w:pPr>
            <w:r w:rsidRPr="00085ABA">
              <w:rPr>
                <w:b/>
                <w:bCs/>
                <w:sz w:val="24"/>
                <w:szCs w:val="24"/>
              </w:rPr>
              <w:t>Doseringsinterval</w:t>
            </w:r>
          </w:p>
        </w:tc>
      </w:tr>
      <w:tr w:rsidR="00085ABA" w:rsidRPr="00085ABA" w:rsidTr="00085ABA">
        <w:trPr>
          <w:trHeight w:val="245"/>
        </w:trPr>
        <w:tc>
          <w:tcPr>
            <w:tcW w:w="4678" w:type="dxa"/>
            <w:tcBorders>
              <w:top w:val="single" w:sz="8" w:space="0" w:color="auto"/>
              <w:left w:val="single" w:sz="8" w:space="0" w:color="auto"/>
              <w:bottom w:val="single" w:sz="8" w:space="0" w:color="auto"/>
              <w:right w:val="single" w:sz="8" w:space="0" w:color="auto"/>
            </w:tcBorders>
            <w:hideMark/>
          </w:tcPr>
          <w:p w:rsidR="00085ABA" w:rsidRPr="00085ABA" w:rsidRDefault="00085ABA" w:rsidP="00085ABA">
            <w:pPr>
              <w:tabs>
                <w:tab w:val="left" w:pos="851"/>
              </w:tabs>
              <w:ind w:left="851"/>
              <w:rPr>
                <w:sz w:val="24"/>
                <w:szCs w:val="24"/>
                <w:lang w:val="pt-BR"/>
              </w:rPr>
            </w:pPr>
            <w:r w:rsidRPr="00085ABA">
              <w:rPr>
                <w:sz w:val="24"/>
                <w:szCs w:val="24"/>
              </w:rPr>
              <w:t>(ml/min/1,73 m</w:t>
            </w:r>
            <w:r w:rsidRPr="00085ABA">
              <w:rPr>
                <w:sz w:val="24"/>
                <w:szCs w:val="24"/>
                <w:vertAlign w:val="superscript"/>
              </w:rPr>
              <w:t>2</w:t>
            </w:r>
            <w:r w:rsidRPr="00085ABA">
              <w:rPr>
                <w:sz w:val="24"/>
                <w:szCs w:val="24"/>
              </w:rPr>
              <w:t>)</w:t>
            </w:r>
          </w:p>
        </w:tc>
        <w:tc>
          <w:tcPr>
            <w:tcW w:w="3636" w:type="dxa"/>
            <w:tcBorders>
              <w:top w:val="single" w:sz="8" w:space="0" w:color="auto"/>
              <w:left w:val="single" w:sz="8" w:space="0" w:color="auto"/>
              <w:bottom w:val="single" w:sz="8" w:space="0" w:color="auto"/>
              <w:right w:val="single" w:sz="8" w:space="0" w:color="auto"/>
            </w:tcBorders>
            <w:hideMark/>
          </w:tcPr>
          <w:p w:rsidR="00085ABA" w:rsidRPr="00085ABA" w:rsidRDefault="00085ABA" w:rsidP="00085ABA">
            <w:pPr>
              <w:tabs>
                <w:tab w:val="left" w:pos="851"/>
              </w:tabs>
              <w:ind w:left="851"/>
              <w:rPr>
                <w:b/>
                <w:bCs/>
                <w:sz w:val="24"/>
                <w:szCs w:val="24"/>
                <w:lang w:val="pt-BR"/>
              </w:rPr>
            </w:pPr>
            <w:r w:rsidRPr="00085ABA">
              <w:rPr>
                <w:b/>
                <w:bCs/>
                <w:sz w:val="24"/>
                <w:szCs w:val="24"/>
              </w:rPr>
              <w:t>100 mg</w:t>
            </w:r>
          </w:p>
        </w:tc>
      </w:tr>
      <w:tr w:rsidR="00085ABA" w:rsidRPr="00085ABA" w:rsidTr="00085ABA">
        <w:trPr>
          <w:trHeight w:val="269"/>
        </w:trPr>
        <w:tc>
          <w:tcPr>
            <w:tcW w:w="4678" w:type="dxa"/>
            <w:tcBorders>
              <w:top w:val="single" w:sz="8" w:space="0" w:color="auto"/>
              <w:left w:val="single" w:sz="8" w:space="0" w:color="auto"/>
              <w:bottom w:val="single" w:sz="8" w:space="0" w:color="auto"/>
              <w:right w:val="single" w:sz="8" w:space="0" w:color="auto"/>
            </w:tcBorders>
            <w:hideMark/>
          </w:tcPr>
          <w:p w:rsidR="00085ABA" w:rsidRPr="00085ABA" w:rsidRDefault="00085ABA" w:rsidP="00085ABA">
            <w:pPr>
              <w:tabs>
                <w:tab w:val="left" w:pos="851"/>
              </w:tabs>
              <w:ind w:left="851"/>
              <w:rPr>
                <w:sz w:val="24"/>
                <w:szCs w:val="24"/>
                <w:lang w:val="pt-BR"/>
              </w:rPr>
            </w:pPr>
            <w:r w:rsidRPr="00085ABA">
              <w:rPr>
                <w:sz w:val="24"/>
                <w:szCs w:val="24"/>
              </w:rPr>
              <w:t>&lt;15</w:t>
            </w:r>
          </w:p>
        </w:tc>
        <w:tc>
          <w:tcPr>
            <w:tcW w:w="3636" w:type="dxa"/>
            <w:tcBorders>
              <w:top w:val="single" w:sz="8" w:space="0" w:color="auto"/>
              <w:left w:val="single" w:sz="8" w:space="0" w:color="auto"/>
              <w:bottom w:val="single" w:sz="8" w:space="0" w:color="auto"/>
              <w:right w:val="single" w:sz="8" w:space="0" w:color="auto"/>
            </w:tcBorders>
            <w:hideMark/>
          </w:tcPr>
          <w:p w:rsidR="00085ABA" w:rsidRPr="00085ABA" w:rsidRDefault="00085ABA" w:rsidP="00085ABA">
            <w:pPr>
              <w:tabs>
                <w:tab w:val="left" w:pos="851"/>
              </w:tabs>
              <w:ind w:left="851"/>
              <w:rPr>
                <w:sz w:val="24"/>
                <w:szCs w:val="24"/>
              </w:rPr>
            </w:pPr>
            <w:r w:rsidRPr="00085ABA">
              <w:rPr>
                <w:sz w:val="24"/>
                <w:szCs w:val="24"/>
              </w:rPr>
              <w:t>7 dage</w:t>
            </w:r>
          </w:p>
        </w:tc>
      </w:tr>
      <w:tr w:rsidR="00085ABA" w:rsidRPr="00085ABA" w:rsidTr="00085ABA">
        <w:trPr>
          <w:trHeight w:val="269"/>
        </w:trPr>
        <w:tc>
          <w:tcPr>
            <w:tcW w:w="4678" w:type="dxa"/>
            <w:tcBorders>
              <w:top w:val="single" w:sz="8" w:space="0" w:color="auto"/>
              <w:left w:val="single" w:sz="8" w:space="0" w:color="auto"/>
              <w:bottom w:val="single" w:sz="8" w:space="0" w:color="auto"/>
              <w:right w:val="single" w:sz="8" w:space="0" w:color="auto"/>
            </w:tcBorders>
            <w:hideMark/>
          </w:tcPr>
          <w:p w:rsidR="00085ABA" w:rsidRPr="00085ABA" w:rsidRDefault="00085ABA" w:rsidP="00085ABA">
            <w:pPr>
              <w:tabs>
                <w:tab w:val="left" w:pos="851"/>
              </w:tabs>
              <w:ind w:left="851"/>
              <w:rPr>
                <w:sz w:val="24"/>
                <w:szCs w:val="24"/>
              </w:rPr>
            </w:pPr>
            <w:r w:rsidRPr="00085ABA">
              <w:rPr>
                <w:sz w:val="24"/>
                <w:szCs w:val="24"/>
              </w:rPr>
              <w:t>15-25</w:t>
            </w:r>
          </w:p>
        </w:tc>
        <w:tc>
          <w:tcPr>
            <w:tcW w:w="3636" w:type="dxa"/>
            <w:tcBorders>
              <w:top w:val="single" w:sz="8" w:space="0" w:color="auto"/>
              <w:left w:val="single" w:sz="8" w:space="0" w:color="auto"/>
              <w:bottom w:val="single" w:sz="8" w:space="0" w:color="auto"/>
              <w:right w:val="single" w:sz="8" w:space="0" w:color="auto"/>
            </w:tcBorders>
            <w:hideMark/>
          </w:tcPr>
          <w:p w:rsidR="00085ABA" w:rsidRPr="00085ABA" w:rsidRDefault="00085ABA" w:rsidP="00085ABA">
            <w:pPr>
              <w:tabs>
                <w:tab w:val="left" w:pos="851"/>
              </w:tabs>
              <w:ind w:left="851"/>
              <w:rPr>
                <w:sz w:val="24"/>
                <w:szCs w:val="24"/>
              </w:rPr>
            </w:pPr>
            <w:r w:rsidRPr="00085ABA">
              <w:rPr>
                <w:sz w:val="24"/>
                <w:szCs w:val="24"/>
              </w:rPr>
              <w:t>3 dage</w:t>
            </w:r>
          </w:p>
        </w:tc>
      </w:tr>
      <w:tr w:rsidR="00085ABA" w:rsidRPr="00085ABA" w:rsidTr="00085ABA">
        <w:trPr>
          <w:trHeight w:val="269"/>
        </w:trPr>
        <w:tc>
          <w:tcPr>
            <w:tcW w:w="4678" w:type="dxa"/>
            <w:tcBorders>
              <w:top w:val="single" w:sz="8" w:space="0" w:color="auto"/>
              <w:left w:val="single" w:sz="8" w:space="0" w:color="auto"/>
              <w:bottom w:val="single" w:sz="8" w:space="0" w:color="auto"/>
              <w:right w:val="single" w:sz="8" w:space="0" w:color="auto"/>
            </w:tcBorders>
            <w:hideMark/>
          </w:tcPr>
          <w:p w:rsidR="00085ABA" w:rsidRPr="00085ABA" w:rsidRDefault="00085ABA" w:rsidP="00085ABA">
            <w:pPr>
              <w:tabs>
                <w:tab w:val="left" w:pos="851"/>
              </w:tabs>
              <w:ind w:left="851"/>
              <w:rPr>
                <w:sz w:val="24"/>
                <w:szCs w:val="24"/>
              </w:rPr>
            </w:pPr>
            <w:r w:rsidRPr="00085ABA">
              <w:rPr>
                <w:sz w:val="24"/>
                <w:szCs w:val="24"/>
              </w:rPr>
              <w:t>25-35</w:t>
            </w:r>
          </w:p>
        </w:tc>
        <w:tc>
          <w:tcPr>
            <w:tcW w:w="3636" w:type="dxa"/>
            <w:tcBorders>
              <w:top w:val="single" w:sz="8" w:space="0" w:color="auto"/>
              <w:left w:val="single" w:sz="8" w:space="0" w:color="auto"/>
              <w:bottom w:val="single" w:sz="8" w:space="0" w:color="auto"/>
              <w:right w:val="single" w:sz="8" w:space="0" w:color="auto"/>
            </w:tcBorders>
            <w:hideMark/>
          </w:tcPr>
          <w:p w:rsidR="00085ABA" w:rsidRPr="00085ABA" w:rsidRDefault="00085ABA" w:rsidP="00085ABA">
            <w:pPr>
              <w:tabs>
                <w:tab w:val="left" w:pos="851"/>
              </w:tabs>
              <w:ind w:left="851"/>
              <w:rPr>
                <w:sz w:val="24"/>
                <w:szCs w:val="24"/>
              </w:rPr>
            </w:pPr>
            <w:r w:rsidRPr="00085ABA">
              <w:rPr>
                <w:sz w:val="24"/>
                <w:szCs w:val="24"/>
              </w:rPr>
              <w:t>2 dage</w:t>
            </w:r>
          </w:p>
        </w:tc>
      </w:tr>
      <w:tr w:rsidR="00085ABA" w:rsidRPr="00085ABA" w:rsidTr="00085ABA">
        <w:trPr>
          <w:trHeight w:val="264"/>
        </w:trPr>
        <w:tc>
          <w:tcPr>
            <w:tcW w:w="4678" w:type="dxa"/>
            <w:tcBorders>
              <w:top w:val="single" w:sz="8" w:space="0" w:color="auto"/>
              <w:left w:val="single" w:sz="8" w:space="0" w:color="auto"/>
              <w:bottom w:val="single" w:sz="8" w:space="0" w:color="auto"/>
              <w:right w:val="single" w:sz="8" w:space="0" w:color="auto"/>
            </w:tcBorders>
            <w:hideMark/>
          </w:tcPr>
          <w:p w:rsidR="00085ABA" w:rsidRPr="00085ABA" w:rsidRDefault="00085ABA" w:rsidP="00085ABA">
            <w:pPr>
              <w:tabs>
                <w:tab w:val="left" w:pos="851"/>
              </w:tabs>
              <w:ind w:left="851"/>
              <w:rPr>
                <w:sz w:val="24"/>
                <w:szCs w:val="24"/>
              </w:rPr>
            </w:pPr>
            <w:r w:rsidRPr="00085ABA">
              <w:rPr>
                <w:sz w:val="24"/>
                <w:szCs w:val="24"/>
              </w:rPr>
              <w:t>35-75</w:t>
            </w:r>
          </w:p>
        </w:tc>
        <w:tc>
          <w:tcPr>
            <w:tcW w:w="3636" w:type="dxa"/>
            <w:tcBorders>
              <w:top w:val="single" w:sz="8" w:space="0" w:color="auto"/>
              <w:left w:val="single" w:sz="8" w:space="0" w:color="auto"/>
              <w:bottom w:val="single" w:sz="8" w:space="0" w:color="auto"/>
              <w:right w:val="single" w:sz="8" w:space="0" w:color="auto"/>
            </w:tcBorders>
            <w:hideMark/>
          </w:tcPr>
          <w:p w:rsidR="00085ABA" w:rsidRPr="00085ABA" w:rsidRDefault="00085ABA" w:rsidP="00085ABA">
            <w:pPr>
              <w:tabs>
                <w:tab w:val="left" w:pos="851"/>
              </w:tabs>
              <w:ind w:left="851"/>
              <w:rPr>
                <w:sz w:val="24"/>
                <w:szCs w:val="24"/>
              </w:rPr>
            </w:pPr>
            <w:r w:rsidRPr="00085ABA">
              <w:rPr>
                <w:sz w:val="24"/>
                <w:szCs w:val="24"/>
              </w:rPr>
              <w:t>1 dag</w:t>
            </w:r>
          </w:p>
        </w:tc>
      </w:tr>
      <w:tr w:rsidR="00085ABA" w:rsidRPr="00085ABA" w:rsidTr="00085ABA">
        <w:trPr>
          <w:trHeight w:val="278"/>
        </w:trPr>
        <w:tc>
          <w:tcPr>
            <w:tcW w:w="4678" w:type="dxa"/>
            <w:tcBorders>
              <w:top w:val="single" w:sz="8" w:space="0" w:color="auto"/>
              <w:left w:val="single" w:sz="8" w:space="0" w:color="auto"/>
              <w:bottom w:val="single" w:sz="8" w:space="0" w:color="auto"/>
              <w:right w:val="single" w:sz="8" w:space="0" w:color="auto"/>
            </w:tcBorders>
            <w:hideMark/>
          </w:tcPr>
          <w:p w:rsidR="00085ABA" w:rsidRPr="00085ABA" w:rsidRDefault="00085ABA" w:rsidP="00085ABA">
            <w:pPr>
              <w:tabs>
                <w:tab w:val="left" w:pos="851"/>
              </w:tabs>
              <w:ind w:left="851"/>
              <w:rPr>
                <w:sz w:val="24"/>
                <w:szCs w:val="24"/>
              </w:rPr>
            </w:pPr>
            <w:r w:rsidRPr="00085ABA">
              <w:rPr>
                <w:sz w:val="24"/>
                <w:szCs w:val="24"/>
              </w:rPr>
              <w:t>&gt;75</w:t>
            </w:r>
          </w:p>
        </w:tc>
        <w:tc>
          <w:tcPr>
            <w:tcW w:w="3636" w:type="dxa"/>
            <w:tcBorders>
              <w:top w:val="single" w:sz="8" w:space="0" w:color="auto"/>
              <w:left w:val="single" w:sz="8" w:space="0" w:color="auto"/>
              <w:bottom w:val="single" w:sz="8" w:space="0" w:color="auto"/>
              <w:right w:val="single" w:sz="8" w:space="0" w:color="auto"/>
            </w:tcBorders>
            <w:hideMark/>
          </w:tcPr>
          <w:p w:rsidR="00085ABA" w:rsidRPr="00085ABA" w:rsidRDefault="00085ABA" w:rsidP="00085ABA">
            <w:pPr>
              <w:tabs>
                <w:tab w:val="left" w:pos="851"/>
              </w:tabs>
              <w:ind w:left="851"/>
              <w:rPr>
                <w:sz w:val="24"/>
                <w:szCs w:val="24"/>
              </w:rPr>
            </w:pPr>
            <w:r w:rsidRPr="00085ABA">
              <w:rPr>
                <w:sz w:val="24"/>
                <w:szCs w:val="24"/>
              </w:rPr>
              <w:t>12 timer</w:t>
            </w:r>
          </w:p>
        </w:tc>
      </w:tr>
    </w:tbl>
    <w:p w:rsidR="00085ABA" w:rsidRPr="00085ABA" w:rsidRDefault="00085ABA" w:rsidP="00085ABA">
      <w:pPr>
        <w:tabs>
          <w:tab w:val="left" w:pos="851"/>
        </w:tabs>
        <w:ind w:left="851"/>
        <w:rPr>
          <w:sz w:val="24"/>
          <w:szCs w:val="24"/>
        </w:rPr>
      </w:pPr>
    </w:p>
    <w:p w:rsidR="00085ABA" w:rsidRPr="00085ABA" w:rsidRDefault="00085ABA" w:rsidP="00085ABA">
      <w:pPr>
        <w:tabs>
          <w:tab w:val="left" w:pos="851"/>
        </w:tabs>
        <w:ind w:left="851"/>
        <w:rPr>
          <w:sz w:val="24"/>
          <w:szCs w:val="24"/>
        </w:rPr>
      </w:pPr>
      <w:r w:rsidRPr="00085ABA">
        <w:rPr>
          <w:sz w:val="24"/>
          <w:szCs w:val="24"/>
        </w:rPr>
        <w:t xml:space="preserve">Monitorering af plasmaniveauer anbefales. Omhyggelig monitorering af patienten anbefales (se pkt. 4.4 og 5.2 </w:t>
      </w:r>
      <w:r w:rsidRPr="00085ABA">
        <w:rPr>
          <w:i/>
          <w:iCs/>
          <w:sz w:val="24"/>
          <w:szCs w:val="24"/>
        </w:rPr>
        <w:t>”Karakteristik af patienter”</w:t>
      </w:r>
      <w:r w:rsidRPr="00085ABA">
        <w:rPr>
          <w:sz w:val="24"/>
          <w:szCs w:val="24"/>
        </w:rPr>
        <w:t>).</w:t>
      </w:r>
    </w:p>
    <w:p w:rsidR="00085ABA" w:rsidRPr="00085ABA" w:rsidRDefault="00085ABA" w:rsidP="00085ABA">
      <w:pPr>
        <w:tabs>
          <w:tab w:val="left" w:pos="851"/>
        </w:tabs>
        <w:ind w:left="851"/>
        <w:rPr>
          <w:sz w:val="24"/>
          <w:szCs w:val="24"/>
          <w:u w:val="single"/>
        </w:rPr>
      </w:pPr>
    </w:p>
    <w:p w:rsidR="00085ABA" w:rsidRPr="00085ABA" w:rsidRDefault="00085ABA" w:rsidP="00085ABA">
      <w:pPr>
        <w:tabs>
          <w:tab w:val="left" w:pos="851"/>
        </w:tabs>
        <w:ind w:left="851"/>
        <w:rPr>
          <w:sz w:val="24"/>
          <w:szCs w:val="24"/>
          <w:u w:val="single"/>
        </w:rPr>
      </w:pPr>
      <w:r w:rsidRPr="00085ABA">
        <w:rPr>
          <w:sz w:val="24"/>
          <w:szCs w:val="24"/>
          <w:u w:val="single"/>
        </w:rPr>
        <w:lastRenderedPageBreak/>
        <w:t>Administration</w:t>
      </w:r>
    </w:p>
    <w:p w:rsidR="00085ABA" w:rsidRPr="00085ABA" w:rsidRDefault="00085ABA" w:rsidP="00085ABA">
      <w:pPr>
        <w:tabs>
          <w:tab w:val="left" w:pos="851"/>
        </w:tabs>
        <w:ind w:left="851"/>
        <w:rPr>
          <w:sz w:val="24"/>
          <w:szCs w:val="24"/>
        </w:rPr>
      </w:pPr>
      <w:r w:rsidRPr="00085ABA">
        <w:rPr>
          <w:sz w:val="24"/>
          <w:szCs w:val="24"/>
        </w:rPr>
        <w:t xml:space="preserve">Oral anvendelse. </w:t>
      </w:r>
    </w:p>
    <w:p w:rsidR="00085ABA" w:rsidRPr="00085ABA" w:rsidRDefault="00085ABA" w:rsidP="00085ABA">
      <w:pPr>
        <w:tabs>
          <w:tab w:val="left" w:pos="851"/>
        </w:tabs>
        <w:ind w:left="851"/>
        <w:rPr>
          <w:sz w:val="24"/>
          <w:szCs w:val="24"/>
        </w:rPr>
      </w:pPr>
      <w:r w:rsidRPr="00085ABA">
        <w:rPr>
          <w:sz w:val="24"/>
          <w:szCs w:val="24"/>
        </w:rPr>
        <w:t>Kapslerne skal tages med mad for at undgå maveproblemer.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AC42BA" w:rsidRPr="00AC42BA" w:rsidRDefault="00AC42BA" w:rsidP="00AC42BA">
      <w:pPr>
        <w:numPr>
          <w:ilvl w:val="0"/>
          <w:numId w:val="6"/>
        </w:numPr>
        <w:tabs>
          <w:tab w:val="left" w:pos="1134"/>
        </w:tabs>
        <w:ind w:left="1134" w:hanging="283"/>
        <w:rPr>
          <w:sz w:val="24"/>
          <w:szCs w:val="24"/>
        </w:rPr>
      </w:pPr>
      <w:r w:rsidRPr="00AC42BA">
        <w:rPr>
          <w:sz w:val="24"/>
          <w:szCs w:val="24"/>
        </w:rPr>
        <w:t xml:space="preserve">Overfølsomhed over for det aktive stof eller over for et eller flere af hjælpestofferne anført i pkt. 6.1. </w:t>
      </w:r>
    </w:p>
    <w:p w:rsidR="00AC42BA" w:rsidRPr="00AC42BA" w:rsidRDefault="00AC42BA" w:rsidP="00AC42BA">
      <w:pPr>
        <w:numPr>
          <w:ilvl w:val="0"/>
          <w:numId w:val="6"/>
        </w:numPr>
        <w:tabs>
          <w:tab w:val="left" w:pos="1134"/>
        </w:tabs>
        <w:ind w:left="1134" w:hanging="283"/>
        <w:rPr>
          <w:sz w:val="24"/>
          <w:szCs w:val="24"/>
        </w:rPr>
      </w:pPr>
      <w:r w:rsidRPr="00AC42BA">
        <w:rPr>
          <w:sz w:val="24"/>
          <w:szCs w:val="24"/>
        </w:rPr>
        <w:t>Refraktær epilepsi.</w:t>
      </w:r>
    </w:p>
    <w:p w:rsidR="00AC42BA" w:rsidRPr="00AC42BA" w:rsidRDefault="00AC42BA" w:rsidP="00AC42BA">
      <w:pPr>
        <w:numPr>
          <w:ilvl w:val="0"/>
          <w:numId w:val="6"/>
        </w:numPr>
        <w:tabs>
          <w:tab w:val="left" w:pos="1134"/>
        </w:tabs>
        <w:ind w:left="1134" w:hanging="283"/>
        <w:rPr>
          <w:sz w:val="24"/>
          <w:szCs w:val="24"/>
        </w:rPr>
      </w:pPr>
      <w:r w:rsidRPr="00AC42BA">
        <w:rPr>
          <w:sz w:val="24"/>
          <w:szCs w:val="24"/>
        </w:rPr>
        <w:t>Psykoser.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AC42BA" w:rsidRPr="00AC42BA" w:rsidRDefault="00AC42BA" w:rsidP="00AC42BA">
      <w:pPr>
        <w:tabs>
          <w:tab w:val="left" w:pos="851"/>
        </w:tabs>
        <w:ind w:left="851"/>
        <w:rPr>
          <w:sz w:val="24"/>
          <w:szCs w:val="24"/>
        </w:rPr>
      </w:pPr>
      <w:r w:rsidRPr="00AC42BA">
        <w:rPr>
          <w:sz w:val="24"/>
          <w:szCs w:val="24"/>
        </w:rPr>
        <w:t xml:space="preserve">Det er blevet rapporteret, at patienter med præeksisterende epilepsi med anfald kan udvikle en stigning i hyppigheden af stærke motoriske anfald under behandling med </w:t>
      </w:r>
      <w:r w:rsidRPr="00AC42BA">
        <w:rPr>
          <w:iCs/>
          <w:sz w:val="24"/>
          <w:szCs w:val="24"/>
          <w:lang w:val="sv-SE"/>
        </w:rPr>
        <w:t>amantadin</w:t>
      </w:r>
      <w:r w:rsidRPr="00AC42BA">
        <w:rPr>
          <w:sz w:val="24"/>
          <w:szCs w:val="24"/>
        </w:rPr>
        <w:t xml:space="preserve">. En dosisreduktion kan minimere denne risiko. Disse patienter skal overvåges nøje. </w:t>
      </w:r>
      <w:r w:rsidRPr="00AC42BA">
        <w:rPr>
          <w:iCs/>
          <w:sz w:val="24"/>
          <w:szCs w:val="24"/>
          <w:lang w:val="sv-SE"/>
        </w:rPr>
        <w:t xml:space="preserve">Amantadin </w:t>
      </w:r>
      <w:r w:rsidRPr="00AC42BA">
        <w:rPr>
          <w:sz w:val="24"/>
          <w:szCs w:val="24"/>
        </w:rPr>
        <w:t>er kontraindiceret ved refraktær epilepsi.</w:t>
      </w:r>
    </w:p>
    <w:p w:rsidR="00AC42BA" w:rsidRPr="00AC42BA" w:rsidRDefault="00AC42BA" w:rsidP="00AC42BA">
      <w:pPr>
        <w:tabs>
          <w:tab w:val="left" w:pos="851"/>
        </w:tabs>
        <w:ind w:left="851"/>
        <w:rPr>
          <w:sz w:val="24"/>
          <w:szCs w:val="24"/>
        </w:rPr>
      </w:pPr>
    </w:p>
    <w:p w:rsidR="00AC42BA" w:rsidRPr="00AC42BA" w:rsidRDefault="00AC42BA" w:rsidP="00AC42BA">
      <w:pPr>
        <w:tabs>
          <w:tab w:val="left" w:pos="851"/>
        </w:tabs>
        <w:ind w:left="851"/>
        <w:rPr>
          <w:sz w:val="24"/>
          <w:szCs w:val="24"/>
        </w:rPr>
      </w:pPr>
      <w:r w:rsidRPr="00AC42BA">
        <w:rPr>
          <w:sz w:val="24"/>
          <w:szCs w:val="24"/>
        </w:rPr>
        <w:t xml:space="preserve">På grund af sværhedsgraden af bivirkninger ved overdosering skal der udvises forsigtighed ved ordinering af </w:t>
      </w:r>
      <w:r w:rsidRPr="00AC42BA">
        <w:rPr>
          <w:iCs/>
          <w:sz w:val="24"/>
          <w:szCs w:val="24"/>
          <w:lang w:val="sv-SE"/>
        </w:rPr>
        <w:t xml:space="preserve">Parkadin </w:t>
      </w:r>
      <w:r w:rsidRPr="00AC42BA">
        <w:rPr>
          <w:sz w:val="24"/>
          <w:szCs w:val="24"/>
        </w:rPr>
        <w:t>til patienter med øget risiko for selvmordsadfærd. Disse patienter skal ordineres den mindst mulige mængde, der stemmer overens med god patientbehandling.</w:t>
      </w:r>
    </w:p>
    <w:p w:rsidR="00AC42BA" w:rsidRPr="00AC42BA" w:rsidRDefault="00AC42BA" w:rsidP="00AC42BA">
      <w:pPr>
        <w:tabs>
          <w:tab w:val="left" w:pos="851"/>
        </w:tabs>
        <w:ind w:left="851"/>
        <w:rPr>
          <w:sz w:val="24"/>
          <w:szCs w:val="24"/>
        </w:rPr>
      </w:pPr>
    </w:p>
    <w:p w:rsidR="00AC42BA" w:rsidRPr="00AC42BA" w:rsidRDefault="00AC42BA" w:rsidP="00AC42BA">
      <w:pPr>
        <w:tabs>
          <w:tab w:val="left" w:pos="851"/>
        </w:tabs>
        <w:ind w:left="851"/>
        <w:rPr>
          <w:sz w:val="24"/>
          <w:szCs w:val="24"/>
        </w:rPr>
      </w:pPr>
      <w:r w:rsidRPr="00AC42BA">
        <w:rPr>
          <w:sz w:val="24"/>
          <w:szCs w:val="24"/>
        </w:rPr>
        <w:t xml:space="preserve">Perifert ødem kan forekomme under behandling med </w:t>
      </w:r>
      <w:r w:rsidRPr="00AC42BA">
        <w:rPr>
          <w:iCs/>
          <w:sz w:val="24"/>
          <w:szCs w:val="24"/>
          <w:lang w:val="sv-SE"/>
        </w:rPr>
        <w:t>Parkadin</w:t>
      </w:r>
      <w:r w:rsidRPr="00AC42BA">
        <w:rPr>
          <w:sz w:val="24"/>
          <w:szCs w:val="24"/>
        </w:rPr>
        <w:t>, sandsynligvis på grund af lokale vaskulære forstyrrelser. Dette bør tages i betragtning hos patienter med en anamnese med hjertesvigt.</w:t>
      </w:r>
    </w:p>
    <w:p w:rsidR="00AC42BA" w:rsidRPr="00AC42BA" w:rsidRDefault="00AC42BA" w:rsidP="00AC42BA">
      <w:pPr>
        <w:tabs>
          <w:tab w:val="left" w:pos="851"/>
        </w:tabs>
        <w:ind w:left="851"/>
        <w:rPr>
          <w:sz w:val="24"/>
          <w:szCs w:val="24"/>
        </w:rPr>
      </w:pPr>
    </w:p>
    <w:p w:rsidR="00AC42BA" w:rsidRPr="00AC42BA" w:rsidRDefault="00AC42BA" w:rsidP="00AC42BA">
      <w:pPr>
        <w:tabs>
          <w:tab w:val="left" w:pos="851"/>
        </w:tabs>
        <w:ind w:left="851"/>
        <w:rPr>
          <w:sz w:val="24"/>
          <w:szCs w:val="24"/>
        </w:rPr>
      </w:pPr>
      <w:r w:rsidRPr="00AC42BA">
        <w:rPr>
          <w:sz w:val="24"/>
          <w:szCs w:val="24"/>
        </w:rPr>
        <w:t>Særlig forsigtighed er nødvendig for patienter, der lider af eller har lidt af tilbagevendende eksem, mavesår eller kardiovaskulære sygdomme.</w:t>
      </w:r>
    </w:p>
    <w:p w:rsidR="00AC42BA" w:rsidRPr="00AC42BA" w:rsidRDefault="00AC42BA" w:rsidP="00AC42BA">
      <w:pPr>
        <w:tabs>
          <w:tab w:val="left" w:pos="851"/>
        </w:tabs>
        <w:ind w:left="851"/>
        <w:rPr>
          <w:sz w:val="24"/>
          <w:szCs w:val="24"/>
        </w:rPr>
      </w:pPr>
    </w:p>
    <w:p w:rsidR="00AC42BA" w:rsidRPr="00AC42BA" w:rsidRDefault="00AC42BA" w:rsidP="00AC42BA">
      <w:pPr>
        <w:tabs>
          <w:tab w:val="left" w:pos="851"/>
        </w:tabs>
        <w:ind w:left="851"/>
        <w:rPr>
          <w:sz w:val="24"/>
          <w:szCs w:val="24"/>
        </w:rPr>
      </w:pPr>
      <w:r w:rsidRPr="00AC42BA">
        <w:rPr>
          <w:iCs/>
          <w:sz w:val="24"/>
          <w:szCs w:val="24"/>
          <w:lang w:val="sv-SE"/>
        </w:rPr>
        <w:t xml:space="preserve">Parkadin </w:t>
      </w:r>
      <w:r w:rsidRPr="00AC42BA">
        <w:rPr>
          <w:sz w:val="24"/>
          <w:szCs w:val="24"/>
        </w:rPr>
        <w:t xml:space="preserve">bør anvendes med forsigtighed hos patienter med nedsat lever- eller nyrefunktion. I tilfælde af nedsat nyrefunktion bør dosis justeres i overensstemmelse hermed og plasmakoncentrationer af </w:t>
      </w:r>
      <w:r w:rsidRPr="00AC42BA">
        <w:rPr>
          <w:iCs/>
          <w:sz w:val="24"/>
          <w:szCs w:val="24"/>
          <w:lang w:val="sv-SE"/>
        </w:rPr>
        <w:t xml:space="preserve">amantadin </w:t>
      </w:r>
      <w:r w:rsidRPr="00AC42BA">
        <w:rPr>
          <w:sz w:val="24"/>
          <w:szCs w:val="24"/>
        </w:rPr>
        <w:t xml:space="preserve">ideelt set overvåges. Da kun små mængder </w:t>
      </w:r>
      <w:r w:rsidRPr="00AC42BA">
        <w:rPr>
          <w:iCs/>
          <w:sz w:val="24"/>
          <w:szCs w:val="24"/>
          <w:lang w:val="sv-SE"/>
        </w:rPr>
        <w:t xml:space="preserve">amantadin </w:t>
      </w:r>
      <w:r w:rsidRPr="00AC42BA">
        <w:rPr>
          <w:sz w:val="24"/>
          <w:szCs w:val="24"/>
        </w:rPr>
        <w:t>fjernes ved hæmodialyse, bør dosis justeres nøjagtigt hos patienter med nyresvigt for at undgå bivirkninger (se pkt. 4.2 og 4.9).</w:t>
      </w:r>
    </w:p>
    <w:p w:rsidR="00AC42BA" w:rsidRPr="00AC42BA" w:rsidRDefault="00AC42BA" w:rsidP="00AC42BA">
      <w:pPr>
        <w:tabs>
          <w:tab w:val="left" w:pos="851"/>
        </w:tabs>
        <w:ind w:left="851"/>
        <w:rPr>
          <w:sz w:val="24"/>
          <w:szCs w:val="24"/>
        </w:rPr>
      </w:pPr>
    </w:p>
    <w:p w:rsidR="00AC42BA" w:rsidRPr="00AC42BA" w:rsidRDefault="00AC42BA" w:rsidP="00AC42BA">
      <w:pPr>
        <w:tabs>
          <w:tab w:val="left" w:pos="851"/>
        </w:tabs>
        <w:ind w:left="851"/>
        <w:rPr>
          <w:sz w:val="24"/>
          <w:szCs w:val="24"/>
        </w:rPr>
      </w:pPr>
      <w:r w:rsidRPr="00AC42BA">
        <w:rPr>
          <w:sz w:val="24"/>
          <w:szCs w:val="24"/>
        </w:rPr>
        <w:t>Der kræves forsigtighed hos patienter med hypotension og hjertearytmier og dopaminrelaterede endokrine sygdomme.</w:t>
      </w:r>
    </w:p>
    <w:p w:rsidR="00AC42BA" w:rsidRPr="00AC42BA" w:rsidRDefault="00AC42BA" w:rsidP="00AC42BA">
      <w:pPr>
        <w:tabs>
          <w:tab w:val="left" w:pos="851"/>
        </w:tabs>
        <w:ind w:left="851"/>
        <w:rPr>
          <w:sz w:val="24"/>
          <w:szCs w:val="24"/>
        </w:rPr>
      </w:pPr>
    </w:p>
    <w:p w:rsidR="00AC42BA" w:rsidRPr="00AC42BA" w:rsidRDefault="00AC42BA" w:rsidP="00AC42BA">
      <w:pPr>
        <w:tabs>
          <w:tab w:val="left" w:pos="851"/>
        </w:tabs>
        <w:ind w:left="851"/>
        <w:rPr>
          <w:sz w:val="24"/>
          <w:szCs w:val="24"/>
        </w:rPr>
      </w:pPr>
      <w:r w:rsidRPr="00AC42BA">
        <w:rPr>
          <w:sz w:val="24"/>
          <w:szCs w:val="24"/>
        </w:rPr>
        <w:t xml:space="preserve">Da </w:t>
      </w:r>
      <w:r w:rsidRPr="00AC42BA">
        <w:rPr>
          <w:iCs/>
          <w:sz w:val="24"/>
          <w:szCs w:val="24"/>
          <w:lang w:val="sv-SE"/>
        </w:rPr>
        <w:t xml:space="preserve">amantadin </w:t>
      </w:r>
      <w:r w:rsidRPr="00AC42BA">
        <w:rPr>
          <w:sz w:val="24"/>
          <w:szCs w:val="24"/>
        </w:rPr>
        <w:t xml:space="preserve">har antikolinerge virkninger, bør </w:t>
      </w:r>
      <w:r w:rsidRPr="00AC42BA">
        <w:rPr>
          <w:iCs/>
          <w:sz w:val="24"/>
          <w:szCs w:val="24"/>
          <w:lang w:val="sv-SE"/>
        </w:rPr>
        <w:t xml:space="preserve">Parkadin </w:t>
      </w:r>
      <w:r w:rsidRPr="00AC42BA">
        <w:rPr>
          <w:sz w:val="24"/>
          <w:szCs w:val="24"/>
        </w:rPr>
        <w:t>ikke gives til patienter med ubehandlet snævervinklet glaukom.</w:t>
      </w:r>
    </w:p>
    <w:p w:rsidR="00AC42BA" w:rsidRPr="00AC42BA" w:rsidRDefault="00AC42BA" w:rsidP="00AC42BA">
      <w:pPr>
        <w:tabs>
          <w:tab w:val="left" w:pos="851"/>
        </w:tabs>
        <w:ind w:left="851"/>
        <w:rPr>
          <w:sz w:val="24"/>
          <w:szCs w:val="24"/>
        </w:rPr>
      </w:pPr>
    </w:p>
    <w:p w:rsidR="00AC42BA" w:rsidRPr="00AC42BA" w:rsidRDefault="00AC42BA" w:rsidP="00AC42BA">
      <w:pPr>
        <w:tabs>
          <w:tab w:val="left" w:pos="851"/>
        </w:tabs>
        <w:ind w:left="851"/>
        <w:rPr>
          <w:sz w:val="24"/>
          <w:szCs w:val="24"/>
        </w:rPr>
      </w:pPr>
      <w:r w:rsidRPr="00AC42BA">
        <w:rPr>
          <w:sz w:val="24"/>
          <w:szCs w:val="24"/>
        </w:rPr>
        <w:t xml:space="preserve">Stigning i hallucinationer, konfusion og mareridt kan forekomme. I disse tilfælde bør </w:t>
      </w:r>
      <w:r w:rsidRPr="00AC42BA">
        <w:rPr>
          <w:iCs/>
          <w:sz w:val="24"/>
          <w:szCs w:val="24"/>
          <w:lang w:val="sv-SE"/>
        </w:rPr>
        <w:t xml:space="preserve">amantadin </w:t>
      </w:r>
      <w:r w:rsidRPr="00AC42BA">
        <w:rPr>
          <w:sz w:val="24"/>
          <w:szCs w:val="24"/>
        </w:rPr>
        <w:t xml:space="preserve">gives med forsigtighed. Hallucinationer, konfusion og mareridt er mere almindelige, når </w:t>
      </w:r>
      <w:r w:rsidRPr="00AC42BA">
        <w:rPr>
          <w:iCs/>
          <w:sz w:val="24"/>
          <w:szCs w:val="24"/>
          <w:lang w:val="sv-SE"/>
        </w:rPr>
        <w:t xml:space="preserve">amantadin </w:t>
      </w:r>
      <w:r w:rsidRPr="00AC42BA">
        <w:rPr>
          <w:sz w:val="24"/>
          <w:szCs w:val="24"/>
        </w:rPr>
        <w:t>administreres samtidig med antikolinergika, eller når patienten har en underliggende psykiatrisk lidelse.</w:t>
      </w:r>
    </w:p>
    <w:p w:rsidR="00AC42BA" w:rsidRPr="00AC42BA" w:rsidRDefault="00AC42BA" w:rsidP="00AC42BA">
      <w:pPr>
        <w:tabs>
          <w:tab w:val="left" w:pos="851"/>
        </w:tabs>
        <w:ind w:left="851"/>
        <w:rPr>
          <w:sz w:val="24"/>
          <w:szCs w:val="24"/>
        </w:rPr>
      </w:pPr>
    </w:p>
    <w:p w:rsidR="00AC42BA" w:rsidRPr="00AC42BA" w:rsidRDefault="00AC42BA" w:rsidP="00AC42BA">
      <w:pPr>
        <w:tabs>
          <w:tab w:val="left" w:pos="851"/>
        </w:tabs>
        <w:ind w:left="851"/>
        <w:rPr>
          <w:sz w:val="24"/>
          <w:szCs w:val="24"/>
        </w:rPr>
      </w:pPr>
      <w:r w:rsidRPr="00AC42BA">
        <w:rPr>
          <w:sz w:val="24"/>
          <w:szCs w:val="24"/>
        </w:rPr>
        <w:t xml:space="preserve">Nogle få tilfælde af malignt neuroleptikasyndrom (NMS) er blevet rapporteret hos Parkinsons patienter, der tager </w:t>
      </w:r>
      <w:r w:rsidRPr="00AC42BA">
        <w:rPr>
          <w:iCs/>
          <w:sz w:val="24"/>
          <w:szCs w:val="24"/>
          <w:lang w:val="sv-SE"/>
        </w:rPr>
        <w:t>amantadin</w:t>
      </w:r>
      <w:r w:rsidRPr="00AC42BA">
        <w:rPr>
          <w:sz w:val="24"/>
          <w:szCs w:val="24"/>
        </w:rPr>
        <w:t xml:space="preserve">, både under brugen og nogen tid efter at have stoppet </w:t>
      </w:r>
      <w:r w:rsidRPr="00AC42BA">
        <w:rPr>
          <w:iCs/>
          <w:sz w:val="24"/>
          <w:szCs w:val="24"/>
          <w:lang w:val="sv-SE"/>
        </w:rPr>
        <w:t>amantadin</w:t>
      </w:r>
      <w:r w:rsidRPr="00AC42BA">
        <w:rPr>
          <w:sz w:val="24"/>
          <w:szCs w:val="24"/>
        </w:rPr>
        <w:t xml:space="preserve">. En årsagssammenhæng med brugen af </w:t>
      </w:r>
      <w:r w:rsidRPr="00AC42BA">
        <w:rPr>
          <w:iCs/>
          <w:sz w:val="24"/>
          <w:szCs w:val="24"/>
          <w:lang w:val="sv-SE"/>
        </w:rPr>
        <w:t xml:space="preserve">amantadin </w:t>
      </w:r>
      <w:r w:rsidRPr="00AC42BA">
        <w:rPr>
          <w:sz w:val="24"/>
          <w:szCs w:val="24"/>
        </w:rPr>
        <w:t>er ikke klar.</w:t>
      </w:r>
    </w:p>
    <w:p w:rsidR="00AC42BA" w:rsidRPr="00AC42BA" w:rsidRDefault="00AC42BA" w:rsidP="00AC42BA">
      <w:pPr>
        <w:tabs>
          <w:tab w:val="left" w:pos="851"/>
        </w:tabs>
        <w:ind w:left="851"/>
        <w:rPr>
          <w:sz w:val="24"/>
          <w:szCs w:val="24"/>
        </w:rPr>
      </w:pPr>
    </w:p>
    <w:p w:rsidR="00AC42BA" w:rsidRPr="00AC42BA" w:rsidRDefault="00AC42BA" w:rsidP="00AC42BA">
      <w:pPr>
        <w:tabs>
          <w:tab w:val="left" w:pos="851"/>
        </w:tabs>
        <w:ind w:left="851"/>
        <w:rPr>
          <w:sz w:val="24"/>
          <w:szCs w:val="24"/>
        </w:rPr>
      </w:pPr>
      <w:r w:rsidRPr="00AC42BA">
        <w:rPr>
          <w:sz w:val="24"/>
          <w:szCs w:val="24"/>
        </w:rPr>
        <w:lastRenderedPageBreak/>
        <w:t xml:space="preserve">Hvis der opstår sløret syn eller andre synsproblemer, bør en øjenlæge konsulteres for at udelukke kornealt ødem. Hvis der diagnosticeres kornealt ødem, bør behandling med </w:t>
      </w:r>
      <w:r w:rsidRPr="00AC42BA">
        <w:rPr>
          <w:iCs/>
          <w:sz w:val="24"/>
          <w:szCs w:val="24"/>
          <w:lang w:val="sv-SE"/>
        </w:rPr>
        <w:t xml:space="preserve">amantadin </w:t>
      </w:r>
      <w:r w:rsidRPr="00AC42BA">
        <w:rPr>
          <w:sz w:val="24"/>
          <w:szCs w:val="24"/>
        </w:rPr>
        <w:t>seponeres.</w:t>
      </w:r>
    </w:p>
    <w:p w:rsidR="00AC42BA" w:rsidRPr="00AC42BA" w:rsidRDefault="00AC42BA" w:rsidP="00AC42BA">
      <w:pPr>
        <w:tabs>
          <w:tab w:val="left" w:pos="851"/>
        </w:tabs>
        <w:ind w:left="851"/>
        <w:rPr>
          <w:i/>
          <w:iCs/>
          <w:sz w:val="24"/>
          <w:szCs w:val="24"/>
          <w:lang w:val="pt-BR"/>
        </w:rPr>
      </w:pPr>
    </w:p>
    <w:p w:rsidR="00AC42BA" w:rsidRPr="00AC42BA" w:rsidRDefault="00AC42BA" w:rsidP="00AC42BA">
      <w:pPr>
        <w:tabs>
          <w:tab w:val="left" w:pos="851"/>
        </w:tabs>
        <w:ind w:left="851"/>
        <w:rPr>
          <w:iCs/>
          <w:sz w:val="24"/>
          <w:szCs w:val="24"/>
          <w:u w:val="single"/>
        </w:rPr>
      </w:pPr>
      <w:r w:rsidRPr="00AC42BA">
        <w:rPr>
          <w:iCs/>
          <w:sz w:val="24"/>
          <w:szCs w:val="24"/>
          <w:u w:val="single"/>
        </w:rPr>
        <w:t>Ophør af behandling</w:t>
      </w:r>
    </w:p>
    <w:p w:rsidR="00AC42BA" w:rsidRPr="00AC42BA" w:rsidRDefault="00AC42BA" w:rsidP="00AC42BA">
      <w:pPr>
        <w:tabs>
          <w:tab w:val="left" w:pos="851"/>
        </w:tabs>
        <w:ind w:left="851"/>
        <w:rPr>
          <w:sz w:val="24"/>
          <w:szCs w:val="24"/>
          <w:lang w:val="pt-BR"/>
        </w:rPr>
      </w:pPr>
      <w:r w:rsidRPr="00AC42BA">
        <w:rPr>
          <w:sz w:val="24"/>
          <w:szCs w:val="24"/>
        </w:rPr>
        <w:t xml:space="preserve">Behandling med </w:t>
      </w:r>
      <w:r w:rsidRPr="00AC42BA">
        <w:rPr>
          <w:iCs/>
          <w:sz w:val="24"/>
          <w:szCs w:val="24"/>
          <w:lang w:val="sv-SE"/>
        </w:rPr>
        <w:t xml:space="preserve">amantadin </w:t>
      </w:r>
      <w:r w:rsidRPr="00AC42BA">
        <w:rPr>
          <w:sz w:val="24"/>
          <w:szCs w:val="24"/>
        </w:rPr>
        <w:t xml:space="preserve">bør ikke stoppes pludseligt. Ophør af behandling med </w:t>
      </w:r>
      <w:r w:rsidRPr="00AC42BA">
        <w:rPr>
          <w:iCs/>
          <w:sz w:val="24"/>
          <w:szCs w:val="24"/>
          <w:lang w:val="sv-SE"/>
        </w:rPr>
        <w:t xml:space="preserve">amantadin </w:t>
      </w:r>
      <w:r w:rsidRPr="00AC42BA">
        <w:rPr>
          <w:sz w:val="24"/>
          <w:szCs w:val="24"/>
        </w:rPr>
        <w:t>kan resultere i forværring af symptomer ved Parkinsons sygdom, symptomer svarende til malignt neuroleptikasyndrom (NMS) (se også ovenfor), katatoni samt en kognitiv manifestation (f.eks. konfusion, desorientering, forværring af mental status, delirium).</w:t>
      </w:r>
    </w:p>
    <w:p w:rsidR="00AC42BA" w:rsidRPr="00AC42BA" w:rsidRDefault="00AC42BA" w:rsidP="00AC42BA">
      <w:pPr>
        <w:tabs>
          <w:tab w:val="left" w:pos="851"/>
        </w:tabs>
        <w:ind w:left="851"/>
        <w:rPr>
          <w:i/>
          <w:iCs/>
          <w:sz w:val="24"/>
          <w:szCs w:val="24"/>
          <w:lang w:val="pt-BR"/>
        </w:rPr>
      </w:pPr>
    </w:p>
    <w:p w:rsidR="00AC42BA" w:rsidRPr="00AC42BA" w:rsidRDefault="00AC42BA" w:rsidP="00AC42BA">
      <w:pPr>
        <w:tabs>
          <w:tab w:val="left" w:pos="851"/>
        </w:tabs>
        <w:ind w:left="851"/>
        <w:rPr>
          <w:iCs/>
          <w:sz w:val="24"/>
          <w:szCs w:val="24"/>
          <w:u w:val="single"/>
        </w:rPr>
      </w:pPr>
      <w:r w:rsidRPr="00AC42BA">
        <w:rPr>
          <w:iCs/>
          <w:sz w:val="24"/>
          <w:szCs w:val="24"/>
          <w:u w:val="single"/>
        </w:rPr>
        <w:t>Impulskontrolforstyrrelser</w:t>
      </w:r>
    </w:p>
    <w:p w:rsidR="00AC42BA" w:rsidRPr="00AC42BA" w:rsidRDefault="00AC42BA" w:rsidP="00AC42BA">
      <w:pPr>
        <w:tabs>
          <w:tab w:val="left" w:pos="851"/>
        </w:tabs>
        <w:ind w:left="851"/>
        <w:rPr>
          <w:sz w:val="24"/>
          <w:szCs w:val="24"/>
          <w:lang w:val="pt-BR"/>
        </w:rPr>
      </w:pPr>
      <w:r w:rsidRPr="00AC42BA">
        <w:rPr>
          <w:sz w:val="24"/>
          <w:szCs w:val="24"/>
        </w:rPr>
        <w:t xml:space="preserve">Patienter bør overvåges regelmæssigt for udvikling af impulskontrolforstyrrelser. Patienter og plejere bør være opmærksomme på, at adfærden hos patienter behandlet med lægemidler med dopaminerg virkning, herunder </w:t>
      </w:r>
      <w:r w:rsidRPr="00AC42BA">
        <w:rPr>
          <w:iCs/>
          <w:sz w:val="24"/>
          <w:szCs w:val="24"/>
          <w:lang w:val="sv-SE"/>
        </w:rPr>
        <w:t>Parkadin</w:t>
      </w:r>
      <w:r w:rsidRPr="00AC42BA">
        <w:rPr>
          <w:sz w:val="24"/>
          <w:szCs w:val="24"/>
        </w:rPr>
        <w:t>, kan udvikle symptomer på impulskontrolforstyrrelse, herunder sygelig spilletrang, øget libido, hyperseksualitet, overdreven brug af penge, tvangsoverspisning og sygelig overspisning. En dosisreduktion eller gradvis nedtrapning og behandlingsophør bør overvejes, hvis sådanne symptomer udvikler sig.</w:t>
      </w:r>
    </w:p>
    <w:p w:rsidR="00AC42BA" w:rsidRPr="00AC42BA" w:rsidRDefault="00AC42BA" w:rsidP="00AC42BA">
      <w:pPr>
        <w:tabs>
          <w:tab w:val="left" w:pos="851"/>
        </w:tabs>
        <w:ind w:left="851"/>
        <w:rPr>
          <w:i/>
          <w:iCs/>
          <w:sz w:val="24"/>
          <w:szCs w:val="24"/>
          <w:lang w:val="pt-BR"/>
        </w:rPr>
      </w:pPr>
    </w:p>
    <w:p w:rsidR="00AC42BA" w:rsidRPr="00AC42BA" w:rsidRDefault="00AC42BA" w:rsidP="00AC42BA">
      <w:pPr>
        <w:tabs>
          <w:tab w:val="left" w:pos="851"/>
        </w:tabs>
        <w:ind w:left="851"/>
        <w:rPr>
          <w:sz w:val="24"/>
          <w:szCs w:val="24"/>
          <w:u w:val="single"/>
          <w:lang w:val="pt-BR"/>
        </w:rPr>
      </w:pPr>
      <w:r w:rsidRPr="00AC42BA">
        <w:rPr>
          <w:iCs/>
          <w:sz w:val="24"/>
          <w:szCs w:val="24"/>
          <w:u w:val="single"/>
        </w:rPr>
        <w:t>Hjælpestoffer</w:t>
      </w:r>
    </w:p>
    <w:p w:rsidR="00AC42BA" w:rsidRPr="00AC42BA" w:rsidRDefault="00AC42BA" w:rsidP="00AC42BA">
      <w:pPr>
        <w:tabs>
          <w:tab w:val="left" w:pos="851"/>
        </w:tabs>
        <w:ind w:left="851"/>
        <w:rPr>
          <w:sz w:val="24"/>
          <w:szCs w:val="24"/>
        </w:rPr>
      </w:pPr>
      <w:r w:rsidRPr="00AC42BA">
        <w:rPr>
          <w:iCs/>
          <w:sz w:val="24"/>
          <w:szCs w:val="24"/>
          <w:lang w:val="sv-SE"/>
        </w:rPr>
        <w:t xml:space="preserve">Parkadin </w:t>
      </w:r>
      <w:r w:rsidRPr="00AC42BA">
        <w:rPr>
          <w:sz w:val="24"/>
          <w:szCs w:val="24"/>
        </w:rPr>
        <w:t>indeholder lactose. Bør ikke anvendes til patienter med hereditær galactoseintolerans, total lactasemangel eller glucose/galactosemalabsorption.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C370F" w:rsidRPr="000C370F" w:rsidRDefault="000C370F" w:rsidP="000C370F">
      <w:pPr>
        <w:tabs>
          <w:tab w:val="left" w:pos="851"/>
        </w:tabs>
        <w:ind w:left="851"/>
        <w:rPr>
          <w:sz w:val="24"/>
          <w:szCs w:val="24"/>
        </w:rPr>
      </w:pPr>
      <w:r w:rsidRPr="000C370F">
        <w:rPr>
          <w:sz w:val="24"/>
          <w:szCs w:val="24"/>
        </w:rPr>
        <w:t xml:space="preserve">Samtidig administration af </w:t>
      </w:r>
      <w:r w:rsidRPr="000C370F">
        <w:rPr>
          <w:iCs/>
          <w:sz w:val="24"/>
          <w:szCs w:val="24"/>
          <w:lang w:val="sv-SE"/>
        </w:rPr>
        <w:t xml:space="preserve">amantadin </w:t>
      </w:r>
      <w:r w:rsidRPr="000C370F">
        <w:rPr>
          <w:sz w:val="24"/>
          <w:szCs w:val="24"/>
        </w:rPr>
        <w:t>og antikolinergika eller levodopa kan øge konfusion, hallucinationer, mareridt, gastrointestinalt ubehag eller andre antikolinerge bivirkninger, såsom forstyrrelse i akkomodation, mundtørhed og urinretention. Dette bør tages i betragtning ved samtidig brug.</w:t>
      </w:r>
    </w:p>
    <w:p w:rsidR="000C370F" w:rsidRPr="000C370F" w:rsidRDefault="000C370F" w:rsidP="000C370F">
      <w:pPr>
        <w:tabs>
          <w:tab w:val="left" w:pos="851"/>
        </w:tabs>
        <w:ind w:left="851"/>
        <w:rPr>
          <w:sz w:val="24"/>
          <w:szCs w:val="24"/>
        </w:rPr>
      </w:pPr>
    </w:p>
    <w:p w:rsidR="000C370F" w:rsidRPr="000C370F" w:rsidRDefault="000C370F" w:rsidP="000C370F">
      <w:pPr>
        <w:tabs>
          <w:tab w:val="left" w:pos="851"/>
        </w:tabs>
        <w:ind w:left="851"/>
        <w:rPr>
          <w:sz w:val="24"/>
          <w:szCs w:val="24"/>
        </w:rPr>
      </w:pPr>
      <w:r w:rsidRPr="000C370F">
        <w:rPr>
          <w:sz w:val="24"/>
          <w:szCs w:val="24"/>
        </w:rPr>
        <w:t xml:space="preserve">I isolerede tilfælde er psykologisk dekompensation blevet rapporteret hos patienter, der samtidig får </w:t>
      </w:r>
      <w:r w:rsidRPr="000C370F">
        <w:rPr>
          <w:iCs/>
          <w:sz w:val="24"/>
          <w:szCs w:val="24"/>
          <w:lang w:val="sv-SE"/>
        </w:rPr>
        <w:t xml:space="preserve">amantadin </w:t>
      </w:r>
      <w:r w:rsidRPr="000C370F">
        <w:rPr>
          <w:sz w:val="24"/>
          <w:szCs w:val="24"/>
        </w:rPr>
        <w:t>og antipsykotika eller levodopa. Derfor frarådes samtidig brug.</w:t>
      </w:r>
    </w:p>
    <w:p w:rsidR="000C370F" w:rsidRPr="000C370F" w:rsidRDefault="000C370F" w:rsidP="000C370F">
      <w:pPr>
        <w:tabs>
          <w:tab w:val="left" w:pos="851"/>
        </w:tabs>
        <w:ind w:left="851"/>
        <w:rPr>
          <w:sz w:val="24"/>
          <w:szCs w:val="24"/>
        </w:rPr>
      </w:pPr>
    </w:p>
    <w:p w:rsidR="000C370F" w:rsidRPr="000C370F" w:rsidRDefault="000C370F" w:rsidP="000C370F">
      <w:pPr>
        <w:tabs>
          <w:tab w:val="left" w:pos="851"/>
        </w:tabs>
        <w:ind w:left="851"/>
        <w:rPr>
          <w:sz w:val="24"/>
          <w:szCs w:val="24"/>
        </w:rPr>
      </w:pPr>
      <w:r w:rsidRPr="000C370F">
        <w:rPr>
          <w:sz w:val="24"/>
          <w:szCs w:val="24"/>
        </w:rPr>
        <w:t xml:space="preserve">Samtidig administration af </w:t>
      </w:r>
      <w:r w:rsidRPr="000C370F">
        <w:rPr>
          <w:iCs/>
          <w:sz w:val="24"/>
          <w:szCs w:val="24"/>
          <w:lang w:val="sv-SE"/>
        </w:rPr>
        <w:t xml:space="preserve">amantadin </w:t>
      </w:r>
      <w:r w:rsidRPr="000C370F">
        <w:rPr>
          <w:sz w:val="24"/>
          <w:szCs w:val="24"/>
        </w:rPr>
        <w:t>og lægemidler eller stoffer (f.eks. alkohol), der indvirker på centralnervesystemet, kan resultere i additiv toksicitet i centralnervesystemet. Omhyggelig overvågning anbefales (se pkt. 4.9).</w:t>
      </w:r>
    </w:p>
    <w:p w:rsidR="000C370F" w:rsidRPr="000C370F" w:rsidRDefault="000C370F" w:rsidP="000C370F">
      <w:pPr>
        <w:tabs>
          <w:tab w:val="left" w:pos="851"/>
        </w:tabs>
        <w:ind w:left="851"/>
        <w:rPr>
          <w:sz w:val="24"/>
          <w:szCs w:val="24"/>
        </w:rPr>
      </w:pPr>
    </w:p>
    <w:p w:rsidR="000C370F" w:rsidRPr="000C370F" w:rsidRDefault="000C370F" w:rsidP="000C370F">
      <w:pPr>
        <w:tabs>
          <w:tab w:val="left" w:pos="851"/>
        </w:tabs>
        <w:ind w:left="851"/>
        <w:rPr>
          <w:sz w:val="24"/>
          <w:szCs w:val="24"/>
        </w:rPr>
      </w:pPr>
      <w:r w:rsidRPr="000C370F">
        <w:rPr>
          <w:sz w:val="24"/>
          <w:szCs w:val="24"/>
        </w:rPr>
        <w:t xml:space="preserve">Der har været isolerede rapporter om mistænkt interaktion mellem </w:t>
      </w:r>
      <w:r w:rsidRPr="000C370F">
        <w:rPr>
          <w:iCs/>
          <w:sz w:val="24"/>
          <w:szCs w:val="24"/>
          <w:lang w:val="sv-SE"/>
        </w:rPr>
        <w:t xml:space="preserve">amantadin </w:t>
      </w:r>
      <w:r w:rsidRPr="000C370F">
        <w:rPr>
          <w:sz w:val="24"/>
          <w:szCs w:val="24"/>
        </w:rPr>
        <w:t xml:space="preserve">og kombinationsdiuretika (hydrochlorthiazid + kaliumbesparende diuretika). En eller begge komponenter reducerer tilsyneladende clearance af </w:t>
      </w:r>
      <w:r w:rsidRPr="000C370F">
        <w:rPr>
          <w:iCs/>
          <w:sz w:val="24"/>
          <w:szCs w:val="24"/>
          <w:lang w:val="sv-SE"/>
        </w:rPr>
        <w:t>amantadin</w:t>
      </w:r>
      <w:r w:rsidRPr="000C370F">
        <w:rPr>
          <w:sz w:val="24"/>
          <w:szCs w:val="24"/>
        </w:rPr>
        <w:t xml:space="preserve">, hvilket fører til højere plasmakoncentrationer og toksiske virkninger (konfusion, hallucinationer, ataksi, myokloni). </w:t>
      </w:r>
      <w:r w:rsidRPr="000C370F">
        <w:rPr>
          <w:b/>
          <w:bCs/>
          <w:sz w:val="24"/>
          <w:szCs w:val="24"/>
        </w:rPr>
        <w:t>Derfor frarådes samtidig brug.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0C370F" w:rsidRPr="000C370F" w:rsidRDefault="000C370F" w:rsidP="000C370F">
      <w:pPr>
        <w:tabs>
          <w:tab w:val="left" w:pos="851"/>
        </w:tabs>
        <w:ind w:left="851"/>
        <w:rPr>
          <w:sz w:val="24"/>
          <w:szCs w:val="24"/>
        </w:rPr>
      </w:pPr>
    </w:p>
    <w:p w:rsidR="000C370F" w:rsidRPr="000C370F" w:rsidRDefault="000C370F" w:rsidP="000C370F">
      <w:pPr>
        <w:tabs>
          <w:tab w:val="left" w:pos="851"/>
        </w:tabs>
        <w:ind w:left="851"/>
        <w:rPr>
          <w:sz w:val="24"/>
          <w:szCs w:val="24"/>
          <w:u w:val="single"/>
        </w:rPr>
      </w:pPr>
      <w:r w:rsidRPr="000C370F">
        <w:rPr>
          <w:sz w:val="24"/>
          <w:szCs w:val="24"/>
          <w:u w:val="single"/>
        </w:rPr>
        <w:t>Graviditet og kvinder i den fertile alder</w:t>
      </w:r>
    </w:p>
    <w:p w:rsidR="000C370F" w:rsidRPr="000C370F" w:rsidRDefault="000C370F" w:rsidP="000C370F">
      <w:pPr>
        <w:tabs>
          <w:tab w:val="left" w:pos="851"/>
        </w:tabs>
        <w:ind w:left="851"/>
        <w:rPr>
          <w:sz w:val="24"/>
          <w:szCs w:val="24"/>
          <w:lang w:val="pt-BR"/>
        </w:rPr>
      </w:pPr>
      <w:r w:rsidRPr="000C370F">
        <w:rPr>
          <w:sz w:val="24"/>
          <w:szCs w:val="24"/>
        </w:rPr>
        <w:t xml:space="preserve">Der er utilstrækkelige data fra anvendelse af </w:t>
      </w:r>
      <w:r w:rsidRPr="000C370F">
        <w:rPr>
          <w:iCs/>
          <w:sz w:val="24"/>
          <w:szCs w:val="24"/>
          <w:lang w:val="sv-SE"/>
        </w:rPr>
        <w:t xml:space="preserve">amantadin </w:t>
      </w:r>
      <w:r w:rsidRPr="000C370F">
        <w:rPr>
          <w:sz w:val="24"/>
          <w:szCs w:val="24"/>
        </w:rPr>
        <w:t>under graviditet. Observationer hos mennesker har indikeret, at stoffet kan være skadeligt under graviditet (herunder aborter, molær graviditet, hjertefejl). Dyreforsøg har påvist reproduktionstoksicitet (se pkt. 5.3).</w:t>
      </w:r>
    </w:p>
    <w:p w:rsidR="000C370F" w:rsidRPr="000C370F" w:rsidRDefault="000C370F" w:rsidP="000C370F">
      <w:pPr>
        <w:tabs>
          <w:tab w:val="left" w:pos="851"/>
        </w:tabs>
        <w:ind w:left="851"/>
        <w:rPr>
          <w:sz w:val="24"/>
          <w:szCs w:val="24"/>
        </w:rPr>
      </w:pPr>
      <w:r w:rsidRPr="000C370F">
        <w:rPr>
          <w:sz w:val="24"/>
          <w:szCs w:val="24"/>
        </w:rPr>
        <w:t xml:space="preserve">Kvinder i den fertile alder skal anvende sikker kontraception under behandlingen og i 5 dage efter den sidste dosis </w:t>
      </w:r>
      <w:r w:rsidRPr="000C370F">
        <w:rPr>
          <w:iCs/>
          <w:sz w:val="24"/>
          <w:szCs w:val="24"/>
          <w:lang w:val="sv-SE"/>
        </w:rPr>
        <w:t>amantadin</w:t>
      </w:r>
      <w:r w:rsidRPr="000C370F">
        <w:rPr>
          <w:sz w:val="24"/>
          <w:szCs w:val="24"/>
        </w:rPr>
        <w:t>.</w:t>
      </w:r>
    </w:p>
    <w:p w:rsidR="000C370F" w:rsidRPr="000C370F" w:rsidRDefault="000C370F" w:rsidP="000C370F">
      <w:pPr>
        <w:tabs>
          <w:tab w:val="left" w:pos="851"/>
        </w:tabs>
        <w:ind w:left="851"/>
        <w:rPr>
          <w:sz w:val="24"/>
          <w:szCs w:val="24"/>
        </w:rPr>
      </w:pPr>
      <w:r w:rsidRPr="000C370F">
        <w:rPr>
          <w:iCs/>
          <w:sz w:val="24"/>
          <w:szCs w:val="24"/>
          <w:lang w:val="sv-SE"/>
        </w:rPr>
        <w:lastRenderedPageBreak/>
        <w:t xml:space="preserve">Parkadin </w:t>
      </w:r>
      <w:r w:rsidRPr="000C370F">
        <w:rPr>
          <w:sz w:val="24"/>
          <w:szCs w:val="24"/>
        </w:rPr>
        <w:t>bør ikke anvendes under graviditet, medmindre det er strengt nødvendigt. Detaljeret ultralydsovervågning kan overvejes efter eksponering i første trimester.</w:t>
      </w:r>
    </w:p>
    <w:p w:rsidR="000C370F" w:rsidRPr="000C370F" w:rsidRDefault="000C370F" w:rsidP="000C370F">
      <w:pPr>
        <w:tabs>
          <w:tab w:val="left" w:pos="851"/>
        </w:tabs>
        <w:ind w:left="851"/>
        <w:rPr>
          <w:sz w:val="24"/>
          <w:szCs w:val="24"/>
        </w:rPr>
      </w:pPr>
    </w:p>
    <w:p w:rsidR="000C370F" w:rsidRPr="000C370F" w:rsidRDefault="000C370F" w:rsidP="000C370F">
      <w:pPr>
        <w:tabs>
          <w:tab w:val="left" w:pos="851"/>
        </w:tabs>
        <w:ind w:left="851"/>
        <w:rPr>
          <w:sz w:val="24"/>
          <w:szCs w:val="24"/>
          <w:u w:val="single"/>
        </w:rPr>
      </w:pPr>
      <w:r w:rsidRPr="000C370F">
        <w:rPr>
          <w:sz w:val="24"/>
          <w:szCs w:val="24"/>
          <w:u w:val="single"/>
        </w:rPr>
        <w:t>Amning</w:t>
      </w:r>
    </w:p>
    <w:p w:rsidR="000C370F" w:rsidRPr="000C370F" w:rsidRDefault="000C370F" w:rsidP="000C370F">
      <w:pPr>
        <w:tabs>
          <w:tab w:val="left" w:pos="851"/>
        </w:tabs>
        <w:ind w:left="851"/>
        <w:rPr>
          <w:sz w:val="24"/>
          <w:szCs w:val="24"/>
        </w:rPr>
      </w:pPr>
      <w:r w:rsidRPr="000C370F">
        <w:rPr>
          <w:iCs/>
          <w:sz w:val="24"/>
          <w:szCs w:val="24"/>
          <w:lang w:val="sv-SE"/>
        </w:rPr>
        <w:t xml:space="preserve">Amantadin </w:t>
      </w:r>
      <w:r w:rsidRPr="000C370F">
        <w:rPr>
          <w:sz w:val="24"/>
          <w:szCs w:val="24"/>
        </w:rPr>
        <w:t xml:space="preserve">udskilles i human mælk. Der er blevet rapporteret uønskede virkninger hos ammede spædbørn. Mødre, der ammer, bør ikke tage </w:t>
      </w:r>
      <w:r w:rsidRPr="000C370F">
        <w:rPr>
          <w:iCs/>
          <w:sz w:val="24"/>
          <w:szCs w:val="24"/>
          <w:lang w:val="sv-SE"/>
        </w:rPr>
        <w:t>Parkadin</w:t>
      </w:r>
      <w:r w:rsidRPr="000C370F">
        <w:rPr>
          <w:sz w:val="24"/>
          <w:szCs w:val="24"/>
        </w:rPr>
        <w:t xml:space="preserve">. </w:t>
      </w:r>
    </w:p>
    <w:p w:rsidR="000C370F" w:rsidRPr="000C370F" w:rsidRDefault="000C370F" w:rsidP="000C370F">
      <w:pPr>
        <w:tabs>
          <w:tab w:val="left" w:pos="851"/>
        </w:tabs>
        <w:ind w:left="851"/>
        <w:rPr>
          <w:sz w:val="24"/>
          <w:szCs w:val="24"/>
        </w:rPr>
      </w:pPr>
    </w:p>
    <w:p w:rsidR="000C370F" w:rsidRPr="000C370F" w:rsidRDefault="000C370F" w:rsidP="000C370F">
      <w:pPr>
        <w:tabs>
          <w:tab w:val="left" w:pos="851"/>
        </w:tabs>
        <w:ind w:left="851"/>
        <w:rPr>
          <w:sz w:val="24"/>
          <w:szCs w:val="24"/>
          <w:u w:val="single"/>
        </w:rPr>
      </w:pPr>
      <w:r w:rsidRPr="000C370F">
        <w:rPr>
          <w:sz w:val="24"/>
          <w:szCs w:val="24"/>
          <w:u w:val="single"/>
        </w:rPr>
        <w:t xml:space="preserve">Fertilitet </w:t>
      </w:r>
    </w:p>
    <w:p w:rsidR="000C370F" w:rsidRPr="000C370F" w:rsidRDefault="000C370F" w:rsidP="000C370F">
      <w:pPr>
        <w:tabs>
          <w:tab w:val="left" w:pos="851"/>
        </w:tabs>
        <w:ind w:left="851"/>
        <w:rPr>
          <w:sz w:val="24"/>
          <w:szCs w:val="24"/>
        </w:rPr>
      </w:pPr>
      <w:r w:rsidRPr="000C370F">
        <w:rPr>
          <w:sz w:val="24"/>
          <w:szCs w:val="24"/>
        </w:rPr>
        <w:t>Der er utilstrækkelige data vedrørende fertilitet til at estimere en potentiel risiko for mennesker (se pkt. 5.3).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0C370F" w:rsidRPr="000C370F" w:rsidRDefault="000C370F" w:rsidP="000C370F">
      <w:pPr>
        <w:tabs>
          <w:tab w:val="left" w:pos="851"/>
        </w:tabs>
        <w:ind w:left="851"/>
        <w:rPr>
          <w:sz w:val="24"/>
          <w:szCs w:val="24"/>
        </w:rPr>
      </w:pPr>
      <w:r w:rsidRPr="000C370F">
        <w:rPr>
          <w:sz w:val="24"/>
          <w:szCs w:val="24"/>
        </w:rPr>
        <w:t>Ikke mærkning.</w:t>
      </w:r>
    </w:p>
    <w:p w:rsidR="000C370F" w:rsidRPr="000C370F" w:rsidRDefault="000C370F" w:rsidP="000C370F">
      <w:pPr>
        <w:tabs>
          <w:tab w:val="left" w:pos="851"/>
        </w:tabs>
        <w:ind w:left="851"/>
        <w:rPr>
          <w:sz w:val="24"/>
          <w:szCs w:val="24"/>
        </w:rPr>
      </w:pPr>
      <w:r w:rsidRPr="000C370F">
        <w:rPr>
          <w:sz w:val="24"/>
          <w:szCs w:val="24"/>
        </w:rPr>
        <w:t xml:space="preserve">Patienter, der tager </w:t>
      </w:r>
      <w:r w:rsidRPr="000C370F">
        <w:rPr>
          <w:iCs/>
          <w:sz w:val="24"/>
          <w:szCs w:val="24"/>
          <w:lang w:val="sv-SE"/>
        </w:rPr>
        <w:t>Parkadin</w:t>
      </w:r>
      <w:r w:rsidRPr="000C370F">
        <w:rPr>
          <w:sz w:val="24"/>
          <w:szCs w:val="24"/>
        </w:rPr>
        <w:t xml:space="preserve">, skal advares om, at svimmelhed, synsforstyrrelser og andre symptomer i centralnervesystemet (se pkt. 4.8) kan forekomme, og at patientens reaktionsevne kan være nedsat. </w:t>
      </w:r>
      <w:r w:rsidRPr="000C370F">
        <w:rPr>
          <w:iCs/>
          <w:sz w:val="24"/>
          <w:szCs w:val="24"/>
          <w:lang w:val="sv-SE"/>
        </w:rPr>
        <w:t xml:space="preserve">Parkadin </w:t>
      </w:r>
      <w:r w:rsidRPr="000C370F">
        <w:rPr>
          <w:sz w:val="24"/>
          <w:szCs w:val="24"/>
        </w:rPr>
        <w:t>kan derfor påvirke evnen til at føre motorkøretøj og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0C370F" w:rsidRPr="000C370F" w:rsidRDefault="000C370F" w:rsidP="000C370F">
      <w:pPr>
        <w:tabs>
          <w:tab w:val="left" w:pos="851"/>
        </w:tabs>
        <w:ind w:left="851"/>
        <w:rPr>
          <w:sz w:val="24"/>
          <w:szCs w:val="24"/>
        </w:rPr>
      </w:pPr>
      <w:r w:rsidRPr="000C370F">
        <w:rPr>
          <w:sz w:val="24"/>
          <w:szCs w:val="24"/>
        </w:rPr>
        <w:t>Amantadins bivirkninger er ofte milde og forbigående, og de forekommer som regel inden for de første 2-4 dage af behandlingen og forsvinder ofte 24-48 timer efter ophør. Der er ikke påvist en direkte sammenhæng mellem dosis og forekomsten af bivirkninger, der synes dog at være en tendens til hyppigere bivirkninger (især påvirkning af CNS) ved stigende doser.</w:t>
      </w:r>
    </w:p>
    <w:p w:rsidR="000C370F" w:rsidRPr="000C370F" w:rsidRDefault="000C370F" w:rsidP="000C370F">
      <w:pPr>
        <w:tabs>
          <w:tab w:val="left" w:pos="851"/>
        </w:tabs>
        <w:ind w:left="851"/>
        <w:rPr>
          <w:sz w:val="24"/>
          <w:szCs w:val="24"/>
        </w:rPr>
      </w:pPr>
    </w:p>
    <w:p w:rsidR="000C370F" w:rsidRPr="000C370F" w:rsidRDefault="000C370F" w:rsidP="000C370F">
      <w:pPr>
        <w:tabs>
          <w:tab w:val="left" w:pos="851"/>
        </w:tabs>
        <w:ind w:left="851"/>
        <w:rPr>
          <w:sz w:val="24"/>
          <w:szCs w:val="24"/>
          <w:u w:val="single"/>
        </w:rPr>
      </w:pPr>
      <w:r w:rsidRPr="000C370F">
        <w:rPr>
          <w:sz w:val="24"/>
          <w:szCs w:val="24"/>
          <w:u w:val="single"/>
        </w:rPr>
        <w:t>Bivirkningsliste i tabelform</w:t>
      </w:r>
    </w:p>
    <w:p w:rsidR="000C370F" w:rsidRPr="000C370F" w:rsidRDefault="000C370F" w:rsidP="000C370F">
      <w:pPr>
        <w:tabs>
          <w:tab w:val="left" w:pos="851"/>
        </w:tabs>
        <w:ind w:left="851"/>
        <w:rPr>
          <w:sz w:val="24"/>
          <w:szCs w:val="24"/>
        </w:rPr>
      </w:pPr>
      <w:r w:rsidRPr="000C370F">
        <w:rPr>
          <w:sz w:val="24"/>
          <w:szCs w:val="24"/>
        </w:rPr>
        <w:t xml:space="preserve">Bivirkninger rapporteret under kliniske studier, brug efter markedsføring og fra litteraturen er opført efter systemorganklasse i henhold til MedDRA-klassificeringen. Inden for hver systemorganklasse er bivirkningerne fordelt efter hyppighed med den hyppigste først og efter følgende konvention: </w:t>
      </w:r>
      <w:r>
        <w:rPr>
          <w:sz w:val="24"/>
          <w:szCs w:val="24"/>
        </w:rPr>
        <w:t>M</w:t>
      </w:r>
      <w:r w:rsidRPr="000C370F">
        <w:rPr>
          <w:sz w:val="24"/>
          <w:szCs w:val="24"/>
        </w:rPr>
        <w:t>eget almindelig (≥1/10), almindelig (≥1/100 til &lt;1/10), ikke almindelig (≥1/1.000 til &lt;1/100), sjælden (≥1/10.000 til &lt;1/1.000), meget sjælden (&lt;1/10.000), ikke kendt (hyppigheden kan ikke estimeres ud fra forhåndenværende data). I hver hyppighedskategori er bivirkningerne anført efter faldende sværhedsgrad.</w:t>
      </w:r>
    </w:p>
    <w:p w:rsidR="000C370F" w:rsidRDefault="000C370F" w:rsidP="000C370F">
      <w:pPr>
        <w:tabs>
          <w:tab w:val="left" w:pos="709"/>
        </w:tabs>
        <w:rPr>
          <w:i/>
          <w:sz w:val="22"/>
          <w:szCs w:val="22"/>
        </w:rPr>
      </w:pPr>
    </w:p>
    <w:tbl>
      <w:tblPr>
        <w:tblW w:w="51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11"/>
      </w:tblGrid>
      <w:tr w:rsidR="000C370F" w:rsidRPr="000C370F" w:rsidTr="000C370F">
        <w:tc>
          <w:tcPr>
            <w:tcW w:w="5000" w:type="pct"/>
            <w:gridSpan w:val="2"/>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b/>
                <w:sz w:val="22"/>
                <w:szCs w:val="22"/>
                <w:u w:val="single"/>
              </w:rPr>
            </w:pPr>
            <w:r w:rsidRPr="000C370F">
              <w:rPr>
                <w:b/>
                <w:bCs/>
                <w:i/>
                <w:iCs/>
                <w:sz w:val="22"/>
                <w:szCs w:val="22"/>
              </w:rPr>
              <w:t>Blod og lymfesystem</w:t>
            </w:r>
          </w:p>
        </w:tc>
      </w:tr>
      <w:tr w:rsidR="000C370F" w:rsidRPr="000C370F" w:rsidTr="000C370F">
        <w:tc>
          <w:tcPr>
            <w:tcW w:w="933"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t>Meget sjælden:</w:t>
            </w:r>
          </w:p>
        </w:tc>
        <w:tc>
          <w:tcPr>
            <w:tcW w:w="4067"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u w:val="single"/>
              </w:rPr>
            </w:pPr>
            <w:r w:rsidRPr="000C370F">
              <w:rPr>
                <w:sz w:val="22"/>
                <w:szCs w:val="22"/>
              </w:rPr>
              <w:t>Leukopeni.</w:t>
            </w:r>
          </w:p>
        </w:tc>
      </w:tr>
      <w:tr w:rsidR="000C370F" w:rsidRPr="000C370F" w:rsidTr="000C370F">
        <w:tc>
          <w:tcPr>
            <w:tcW w:w="5000" w:type="pct"/>
            <w:gridSpan w:val="2"/>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b/>
                <w:bCs/>
                <w:sz w:val="22"/>
                <w:szCs w:val="22"/>
              </w:rPr>
            </w:pPr>
            <w:r w:rsidRPr="000C370F">
              <w:rPr>
                <w:rStyle w:val="FontStyle25"/>
                <w:b/>
                <w:bCs/>
                <w:sz w:val="22"/>
                <w:szCs w:val="22"/>
                <w:lang w:eastAsia="nl-NL"/>
              </w:rPr>
              <w:t>Metabolisme og ernæring</w:t>
            </w:r>
          </w:p>
        </w:tc>
      </w:tr>
      <w:tr w:rsidR="000C370F" w:rsidRPr="000C370F" w:rsidTr="000C370F">
        <w:tc>
          <w:tcPr>
            <w:tcW w:w="933"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t>Almindelig:</w:t>
            </w:r>
          </w:p>
        </w:tc>
        <w:tc>
          <w:tcPr>
            <w:tcW w:w="4067"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rStyle w:val="FontStyle27"/>
                <w:sz w:val="22"/>
                <w:szCs w:val="22"/>
                <w:lang w:eastAsia="nl-NL"/>
              </w:rPr>
              <w:t>Nedsat appetit.</w:t>
            </w:r>
          </w:p>
        </w:tc>
      </w:tr>
      <w:tr w:rsidR="000C370F" w:rsidRPr="000C370F" w:rsidTr="000C370F">
        <w:tc>
          <w:tcPr>
            <w:tcW w:w="5000" w:type="pct"/>
            <w:gridSpan w:val="2"/>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b/>
                <w:bCs/>
                <w:i/>
                <w:iCs/>
                <w:sz w:val="22"/>
                <w:szCs w:val="22"/>
              </w:rPr>
              <w:t>Psykiske forstyrrelser</w:t>
            </w:r>
          </w:p>
        </w:tc>
      </w:tr>
      <w:tr w:rsidR="000C370F" w:rsidRPr="000C370F" w:rsidTr="000C370F">
        <w:tc>
          <w:tcPr>
            <w:tcW w:w="933"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t>Almindelig:</w:t>
            </w:r>
          </w:p>
        </w:tc>
        <w:tc>
          <w:tcPr>
            <w:tcW w:w="4067"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rStyle w:val="FontStyle27"/>
                <w:sz w:val="22"/>
                <w:szCs w:val="22"/>
                <w:lang w:eastAsia="nl-NL"/>
              </w:rPr>
              <w:t>Depression, angst, forbedret humør, agitation, nervøsitet, søvnløshed, hallucinationer, mareridt, opmærksomhedsforstyrrelse.</w:t>
            </w:r>
          </w:p>
        </w:tc>
      </w:tr>
      <w:tr w:rsidR="000C370F" w:rsidRPr="000C370F" w:rsidTr="000C370F">
        <w:tc>
          <w:tcPr>
            <w:tcW w:w="933"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t>Sjælden:</w:t>
            </w:r>
          </w:p>
        </w:tc>
        <w:tc>
          <w:tcPr>
            <w:tcW w:w="4067"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rStyle w:val="FontStyle27"/>
                <w:sz w:val="22"/>
                <w:szCs w:val="22"/>
                <w:lang w:eastAsia="nl-NL"/>
              </w:rPr>
              <w:t>Konfus tilstand, desorientering, psykotisk lidelse.</w:t>
            </w:r>
          </w:p>
        </w:tc>
      </w:tr>
      <w:tr w:rsidR="000C370F" w:rsidRPr="000C370F" w:rsidTr="000C370F">
        <w:tc>
          <w:tcPr>
            <w:tcW w:w="933"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t>Ikke kendt:</w:t>
            </w:r>
          </w:p>
        </w:tc>
        <w:tc>
          <w:tcPr>
            <w:tcW w:w="4067"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rStyle w:val="FontStyle27"/>
                <w:sz w:val="22"/>
                <w:szCs w:val="22"/>
                <w:lang w:eastAsia="nl-NL"/>
              </w:rPr>
              <w:t>Impulskontrolforstyrrelser</w:t>
            </w:r>
            <w:r w:rsidRPr="000C370F">
              <w:rPr>
                <w:rStyle w:val="FontStyle27"/>
                <w:sz w:val="22"/>
                <w:szCs w:val="22"/>
                <w:vertAlign w:val="superscript"/>
                <w:lang w:eastAsia="nl-NL"/>
              </w:rPr>
              <w:t>1</w:t>
            </w:r>
            <w:r w:rsidRPr="000C370F">
              <w:rPr>
                <w:rStyle w:val="FontStyle27"/>
                <w:sz w:val="22"/>
                <w:szCs w:val="22"/>
                <w:lang w:eastAsia="nl-NL"/>
              </w:rPr>
              <w:t xml:space="preserve">, delirium, hypomani, mani. </w:t>
            </w:r>
          </w:p>
        </w:tc>
      </w:tr>
      <w:tr w:rsidR="000C370F" w:rsidRPr="000C370F" w:rsidTr="000C370F">
        <w:tc>
          <w:tcPr>
            <w:tcW w:w="5000" w:type="pct"/>
            <w:gridSpan w:val="2"/>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b/>
                <w:i/>
                <w:sz w:val="22"/>
                <w:szCs w:val="22"/>
              </w:rPr>
            </w:pPr>
            <w:r w:rsidRPr="000C370F">
              <w:rPr>
                <w:b/>
                <w:bCs/>
                <w:i/>
                <w:iCs/>
                <w:sz w:val="22"/>
                <w:szCs w:val="22"/>
              </w:rPr>
              <w:t>Nervesystemet</w:t>
            </w:r>
          </w:p>
        </w:tc>
      </w:tr>
      <w:tr w:rsidR="000C370F" w:rsidRPr="000C370F" w:rsidTr="000C370F">
        <w:tc>
          <w:tcPr>
            <w:tcW w:w="933"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t>Almindelig:</w:t>
            </w:r>
          </w:p>
        </w:tc>
        <w:tc>
          <w:tcPr>
            <w:tcW w:w="4067"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t xml:space="preserve">Svimmelhed, uklarhed i hovedet, hovedpine, apati, ataksi, </w:t>
            </w:r>
            <w:r w:rsidRPr="000C370F">
              <w:rPr>
                <w:color w:val="000000"/>
                <w:sz w:val="22"/>
                <w:szCs w:val="22"/>
              </w:rPr>
              <w:t>dysartri.</w:t>
            </w:r>
            <w:r w:rsidRPr="000C370F">
              <w:rPr>
                <w:sz w:val="22"/>
                <w:szCs w:val="22"/>
              </w:rPr>
              <w:t xml:space="preserve"> </w:t>
            </w:r>
          </w:p>
        </w:tc>
      </w:tr>
      <w:tr w:rsidR="000C370F" w:rsidRPr="000C370F" w:rsidTr="000C370F">
        <w:tc>
          <w:tcPr>
            <w:tcW w:w="933"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t xml:space="preserve">Sjælden: </w:t>
            </w:r>
          </w:p>
        </w:tc>
        <w:tc>
          <w:tcPr>
            <w:tcW w:w="4067"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t>Tremor, dyskinesi, kramper.</w:t>
            </w:r>
          </w:p>
        </w:tc>
      </w:tr>
      <w:tr w:rsidR="000C370F" w:rsidRPr="000C370F" w:rsidTr="000C370F">
        <w:tc>
          <w:tcPr>
            <w:tcW w:w="933"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t>Meget sjælden:</w:t>
            </w:r>
          </w:p>
        </w:tc>
        <w:tc>
          <w:tcPr>
            <w:tcW w:w="4067"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t>Symptomer svarende til malignt neuroleptikasyndrom (NMS) (se pkt. 4.4).</w:t>
            </w:r>
          </w:p>
        </w:tc>
      </w:tr>
      <w:tr w:rsidR="000C370F" w:rsidRPr="000C370F" w:rsidTr="000C370F">
        <w:tc>
          <w:tcPr>
            <w:tcW w:w="5000" w:type="pct"/>
            <w:gridSpan w:val="2"/>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highlight w:val="magenta"/>
                <w:u w:val="single"/>
              </w:rPr>
            </w:pPr>
            <w:r w:rsidRPr="000C370F">
              <w:rPr>
                <w:b/>
                <w:bCs/>
                <w:i/>
                <w:iCs/>
                <w:sz w:val="22"/>
                <w:szCs w:val="22"/>
              </w:rPr>
              <w:t>Øjne</w:t>
            </w:r>
          </w:p>
        </w:tc>
      </w:tr>
      <w:tr w:rsidR="000C370F" w:rsidRPr="000C370F" w:rsidTr="000C370F">
        <w:tc>
          <w:tcPr>
            <w:tcW w:w="933"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t>Ikke almindelig:</w:t>
            </w:r>
          </w:p>
        </w:tc>
        <w:tc>
          <w:tcPr>
            <w:tcW w:w="4067"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t xml:space="preserve">Sløret syn. </w:t>
            </w:r>
          </w:p>
        </w:tc>
      </w:tr>
      <w:tr w:rsidR="000C370F" w:rsidRPr="000C370F" w:rsidTr="000C370F">
        <w:tc>
          <w:tcPr>
            <w:tcW w:w="933"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t>Sjælden:</w:t>
            </w:r>
          </w:p>
        </w:tc>
        <w:tc>
          <w:tcPr>
            <w:tcW w:w="4067"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t>Korneale læsioner, f.eks. punktformet subepiteliel sløring, som kan skyldes overfladisk punkformet keratitis, korneaepitelødem og markant nedsat synsstyrke.</w:t>
            </w:r>
          </w:p>
        </w:tc>
      </w:tr>
      <w:tr w:rsidR="000C370F" w:rsidRPr="000C370F" w:rsidTr="000C370F">
        <w:tc>
          <w:tcPr>
            <w:tcW w:w="5000" w:type="pct"/>
            <w:gridSpan w:val="2"/>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b/>
                <w:i/>
                <w:sz w:val="22"/>
                <w:szCs w:val="22"/>
              </w:rPr>
            </w:pPr>
            <w:r w:rsidRPr="000C370F">
              <w:rPr>
                <w:b/>
                <w:bCs/>
                <w:i/>
                <w:iCs/>
                <w:sz w:val="22"/>
                <w:szCs w:val="22"/>
              </w:rPr>
              <w:t>Hjerte</w:t>
            </w:r>
          </w:p>
        </w:tc>
      </w:tr>
      <w:tr w:rsidR="000C370F" w:rsidRPr="000C370F" w:rsidTr="000C370F">
        <w:tc>
          <w:tcPr>
            <w:tcW w:w="933"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lastRenderedPageBreak/>
              <w:t>Almindelig:</w:t>
            </w:r>
          </w:p>
        </w:tc>
        <w:tc>
          <w:tcPr>
            <w:tcW w:w="4067"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t>Palpitationer.</w:t>
            </w:r>
          </w:p>
        </w:tc>
      </w:tr>
      <w:tr w:rsidR="000C370F" w:rsidRPr="000C370F" w:rsidTr="000C370F">
        <w:tc>
          <w:tcPr>
            <w:tcW w:w="933"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t>Meget sjælden:</w:t>
            </w:r>
          </w:p>
        </w:tc>
        <w:tc>
          <w:tcPr>
            <w:tcW w:w="4067"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t>Hjerteinsufficiens.</w:t>
            </w:r>
          </w:p>
        </w:tc>
      </w:tr>
      <w:tr w:rsidR="000C370F" w:rsidRPr="000C370F" w:rsidTr="000C370F">
        <w:tc>
          <w:tcPr>
            <w:tcW w:w="5000" w:type="pct"/>
            <w:gridSpan w:val="2"/>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b/>
                <w:bCs/>
                <w:i/>
                <w:iCs/>
                <w:sz w:val="22"/>
                <w:szCs w:val="22"/>
              </w:rPr>
              <w:t>Vaskulære sygdomme</w:t>
            </w:r>
          </w:p>
        </w:tc>
      </w:tr>
      <w:tr w:rsidR="000C370F" w:rsidRPr="000C370F" w:rsidTr="000C370F">
        <w:tc>
          <w:tcPr>
            <w:tcW w:w="933"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t>Almindelig:</w:t>
            </w:r>
          </w:p>
        </w:tc>
        <w:tc>
          <w:tcPr>
            <w:tcW w:w="4067"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t>Ortostatisk hypotension.</w:t>
            </w:r>
          </w:p>
        </w:tc>
      </w:tr>
      <w:tr w:rsidR="000C370F" w:rsidRPr="000C370F" w:rsidTr="000C370F">
        <w:tc>
          <w:tcPr>
            <w:tcW w:w="5000" w:type="pct"/>
            <w:gridSpan w:val="2"/>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b/>
                <w:i/>
                <w:sz w:val="22"/>
                <w:szCs w:val="22"/>
              </w:rPr>
            </w:pPr>
            <w:r w:rsidRPr="000C370F">
              <w:rPr>
                <w:b/>
                <w:bCs/>
                <w:i/>
                <w:iCs/>
                <w:sz w:val="22"/>
                <w:szCs w:val="22"/>
              </w:rPr>
              <w:t>Mave-tarm-kanalen</w:t>
            </w:r>
          </w:p>
        </w:tc>
      </w:tr>
      <w:tr w:rsidR="000C370F" w:rsidRPr="000C370F" w:rsidTr="000C370F">
        <w:tc>
          <w:tcPr>
            <w:tcW w:w="933"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t>Almindelig:</w:t>
            </w:r>
          </w:p>
        </w:tc>
        <w:tc>
          <w:tcPr>
            <w:tcW w:w="4067"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t>Tør mund, kvalme, opkastning, obstipation.</w:t>
            </w:r>
          </w:p>
        </w:tc>
      </w:tr>
      <w:tr w:rsidR="000C370F" w:rsidRPr="000C370F" w:rsidTr="000C370F">
        <w:tc>
          <w:tcPr>
            <w:tcW w:w="933"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t>Sjælden:</w:t>
            </w:r>
          </w:p>
        </w:tc>
        <w:tc>
          <w:tcPr>
            <w:tcW w:w="4067"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t>Diarré.</w:t>
            </w:r>
          </w:p>
        </w:tc>
      </w:tr>
      <w:tr w:rsidR="000C370F" w:rsidRPr="000C370F" w:rsidTr="000C370F">
        <w:tc>
          <w:tcPr>
            <w:tcW w:w="5000" w:type="pct"/>
            <w:gridSpan w:val="2"/>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b/>
                <w:bCs/>
                <w:i/>
                <w:iCs/>
                <w:sz w:val="22"/>
                <w:szCs w:val="22"/>
              </w:rPr>
              <w:t>Hud og subkutane væv</w:t>
            </w:r>
          </w:p>
        </w:tc>
      </w:tr>
      <w:tr w:rsidR="000C370F" w:rsidRPr="000C370F" w:rsidTr="000C370F">
        <w:tc>
          <w:tcPr>
            <w:tcW w:w="933"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t>Meget almindelig:</w:t>
            </w:r>
          </w:p>
        </w:tc>
        <w:tc>
          <w:tcPr>
            <w:tcW w:w="4067"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rStyle w:val="FontStyle27"/>
                <w:sz w:val="22"/>
                <w:szCs w:val="22"/>
                <w:lang w:eastAsia="nl-NL"/>
              </w:rPr>
              <w:t>Livedo reticularis</w:t>
            </w:r>
          </w:p>
        </w:tc>
      </w:tr>
      <w:tr w:rsidR="000C370F" w:rsidRPr="000C370F" w:rsidTr="000C370F">
        <w:tc>
          <w:tcPr>
            <w:tcW w:w="933"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t>Almindelig:</w:t>
            </w:r>
          </w:p>
        </w:tc>
        <w:tc>
          <w:tcPr>
            <w:tcW w:w="4067"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rStyle w:val="FontStyle27"/>
                <w:sz w:val="22"/>
                <w:szCs w:val="22"/>
                <w:lang w:eastAsia="nl-NL"/>
              </w:rPr>
              <w:t>Hyperhidrose.</w:t>
            </w:r>
          </w:p>
        </w:tc>
      </w:tr>
      <w:tr w:rsidR="000C370F" w:rsidRPr="000C370F" w:rsidTr="000C370F">
        <w:tc>
          <w:tcPr>
            <w:tcW w:w="933"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t>Sjælden:</w:t>
            </w:r>
          </w:p>
        </w:tc>
        <w:tc>
          <w:tcPr>
            <w:tcW w:w="4067"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t>Udslæt.</w:t>
            </w:r>
          </w:p>
        </w:tc>
      </w:tr>
      <w:tr w:rsidR="000C370F" w:rsidRPr="000C370F" w:rsidTr="000C370F">
        <w:tc>
          <w:tcPr>
            <w:tcW w:w="933"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t>Meget sjælden:</w:t>
            </w:r>
          </w:p>
        </w:tc>
        <w:tc>
          <w:tcPr>
            <w:tcW w:w="4067"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rStyle w:val="FontStyle27"/>
                <w:sz w:val="22"/>
                <w:szCs w:val="22"/>
                <w:lang w:eastAsia="nl-NL"/>
              </w:rPr>
              <w:t>Lysfølsomhedsreaktion.</w:t>
            </w:r>
          </w:p>
        </w:tc>
      </w:tr>
      <w:tr w:rsidR="000C370F" w:rsidRPr="000C370F" w:rsidTr="000C370F">
        <w:tc>
          <w:tcPr>
            <w:tcW w:w="5000" w:type="pct"/>
            <w:gridSpan w:val="2"/>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b/>
                <w:bCs/>
                <w:i/>
                <w:iCs/>
                <w:sz w:val="22"/>
                <w:szCs w:val="22"/>
              </w:rPr>
              <w:t>Nyrer og urinveje</w:t>
            </w:r>
          </w:p>
        </w:tc>
      </w:tr>
      <w:tr w:rsidR="000C370F" w:rsidRPr="000C370F" w:rsidTr="000C370F">
        <w:tc>
          <w:tcPr>
            <w:tcW w:w="933"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t>Sjælden:</w:t>
            </w:r>
          </w:p>
        </w:tc>
        <w:tc>
          <w:tcPr>
            <w:tcW w:w="4067"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lang w:eastAsia="en-GB"/>
              </w:rPr>
              <w:t>Urinretention, urininkontinens.</w:t>
            </w:r>
          </w:p>
        </w:tc>
      </w:tr>
      <w:tr w:rsidR="000C370F" w:rsidRPr="000C370F" w:rsidTr="000C370F">
        <w:tc>
          <w:tcPr>
            <w:tcW w:w="5000" w:type="pct"/>
            <w:gridSpan w:val="2"/>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b/>
                <w:bCs/>
                <w:sz w:val="22"/>
                <w:szCs w:val="22"/>
                <w:lang w:eastAsia="en-GB"/>
              </w:rPr>
            </w:pPr>
            <w:r w:rsidRPr="000C370F">
              <w:rPr>
                <w:rStyle w:val="FontStyle25"/>
                <w:b/>
                <w:bCs/>
                <w:sz w:val="22"/>
                <w:szCs w:val="22"/>
                <w:lang w:eastAsia="nl-NL"/>
              </w:rPr>
              <w:t>Almene symptomer og reaktioner på administrationsstedet</w:t>
            </w:r>
          </w:p>
        </w:tc>
      </w:tr>
      <w:tr w:rsidR="000C370F" w:rsidRPr="000C370F" w:rsidTr="000C370F">
        <w:tc>
          <w:tcPr>
            <w:tcW w:w="933"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t>Meget almindelig:</w:t>
            </w:r>
          </w:p>
        </w:tc>
        <w:tc>
          <w:tcPr>
            <w:tcW w:w="4067"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lang w:eastAsia="en-GB"/>
              </w:rPr>
            </w:pPr>
            <w:r w:rsidRPr="000C370F">
              <w:rPr>
                <w:rStyle w:val="FontStyle27"/>
                <w:sz w:val="22"/>
                <w:szCs w:val="22"/>
                <w:lang w:eastAsia="nl-NL"/>
              </w:rPr>
              <w:t>Perifert ødem.</w:t>
            </w:r>
          </w:p>
        </w:tc>
      </w:tr>
      <w:tr w:rsidR="000C370F" w:rsidRPr="000C370F" w:rsidTr="000C370F">
        <w:tc>
          <w:tcPr>
            <w:tcW w:w="933"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t>Ikke kendt:</w:t>
            </w:r>
          </w:p>
        </w:tc>
        <w:tc>
          <w:tcPr>
            <w:tcW w:w="4067"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lang w:eastAsia="en-GB"/>
              </w:rPr>
            </w:pPr>
            <w:r w:rsidRPr="000C370F">
              <w:rPr>
                <w:rStyle w:val="FontStyle27"/>
                <w:sz w:val="22"/>
                <w:szCs w:val="22"/>
                <w:lang w:eastAsia="nl-NL"/>
              </w:rPr>
              <w:t>Hypotermi.</w:t>
            </w:r>
          </w:p>
        </w:tc>
      </w:tr>
      <w:tr w:rsidR="000C370F" w:rsidRPr="000C370F" w:rsidTr="000C370F">
        <w:tc>
          <w:tcPr>
            <w:tcW w:w="5000" w:type="pct"/>
            <w:gridSpan w:val="2"/>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b/>
                <w:bCs/>
                <w:sz w:val="22"/>
                <w:szCs w:val="22"/>
                <w:lang w:eastAsia="en-GB"/>
              </w:rPr>
            </w:pPr>
            <w:r w:rsidRPr="000C370F">
              <w:rPr>
                <w:rStyle w:val="FontStyle25"/>
                <w:b/>
                <w:bCs/>
                <w:sz w:val="22"/>
                <w:szCs w:val="22"/>
                <w:lang w:eastAsia="nl-NL"/>
              </w:rPr>
              <w:t>Undersøgelser</w:t>
            </w:r>
          </w:p>
        </w:tc>
      </w:tr>
      <w:tr w:rsidR="000C370F" w:rsidRPr="000C370F" w:rsidTr="000C370F">
        <w:tc>
          <w:tcPr>
            <w:tcW w:w="933"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rPr>
            </w:pPr>
            <w:r w:rsidRPr="000C370F">
              <w:rPr>
                <w:sz w:val="22"/>
                <w:szCs w:val="22"/>
              </w:rPr>
              <w:t>Meget sjælden:</w:t>
            </w:r>
          </w:p>
        </w:tc>
        <w:tc>
          <w:tcPr>
            <w:tcW w:w="4067" w:type="pct"/>
            <w:tcBorders>
              <w:top w:val="single" w:sz="4" w:space="0" w:color="auto"/>
              <w:left w:val="single" w:sz="4" w:space="0" w:color="auto"/>
              <w:bottom w:val="single" w:sz="4" w:space="0" w:color="auto"/>
              <w:right w:val="single" w:sz="4" w:space="0" w:color="auto"/>
            </w:tcBorders>
            <w:hideMark/>
          </w:tcPr>
          <w:p w:rsidR="000C370F" w:rsidRPr="000C370F" w:rsidRDefault="000C370F">
            <w:pPr>
              <w:tabs>
                <w:tab w:val="left" w:pos="720"/>
              </w:tabs>
              <w:autoSpaceDE w:val="0"/>
              <w:autoSpaceDN w:val="0"/>
              <w:adjustRightInd w:val="0"/>
              <w:rPr>
                <w:sz w:val="22"/>
                <w:szCs w:val="22"/>
                <w:lang w:eastAsia="en-GB"/>
              </w:rPr>
            </w:pPr>
            <w:r w:rsidRPr="000C370F">
              <w:rPr>
                <w:rStyle w:val="FontStyle27"/>
                <w:sz w:val="22"/>
                <w:szCs w:val="22"/>
                <w:lang w:eastAsia="nl-NL"/>
              </w:rPr>
              <w:t>Reversibel stigning i leverenzymer.</w:t>
            </w:r>
          </w:p>
        </w:tc>
      </w:tr>
    </w:tbl>
    <w:p w:rsidR="000C370F" w:rsidRPr="000C370F" w:rsidRDefault="000C370F" w:rsidP="000C370F">
      <w:pPr>
        <w:tabs>
          <w:tab w:val="left" w:pos="720"/>
        </w:tabs>
        <w:autoSpaceDE w:val="0"/>
        <w:autoSpaceDN w:val="0"/>
        <w:adjustRightInd w:val="0"/>
        <w:ind w:left="851"/>
        <w:rPr>
          <w:sz w:val="24"/>
          <w:szCs w:val="24"/>
          <w:vertAlign w:val="superscript"/>
        </w:rPr>
      </w:pPr>
    </w:p>
    <w:p w:rsidR="000C370F" w:rsidRPr="000C370F" w:rsidRDefault="000C370F" w:rsidP="000C370F">
      <w:pPr>
        <w:pStyle w:val="Style5"/>
        <w:widowControl/>
        <w:spacing w:after="240"/>
        <w:ind w:left="851"/>
        <w:rPr>
          <w:rStyle w:val="FontStyle27"/>
          <w:sz w:val="24"/>
          <w:szCs w:val="24"/>
          <w:u w:val="single"/>
          <w:lang w:eastAsia="nl-NL"/>
        </w:rPr>
      </w:pPr>
      <w:r w:rsidRPr="000C370F">
        <w:rPr>
          <w:rStyle w:val="FontStyle27"/>
          <w:rFonts w:eastAsia="Times New Roman"/>
          <w:sz w:val="24"/>
          <w:szCs w:val="24"/>
          <w:u w:val="single"/>
          <w:lang w:val="da-DK" w:eastAsia="nl-NL"/>
        </w:rPr>
        <w:t>Yderligere bivirkninger rapporteret under brug efter markedsføring og i litteraturen (forekomsthyppighed kendes ikke)</w:t>
      </w:r>
    </w:p>
    <w:p w:rsidR="000C370F" w:rsidRPr="000C370F" w:rsidRDefault="000C370F" w:rsidP="000C370F">
      <w:pPr>
        <w:pStyle w:val="Style7"/>
        <w:widowControl/>
        <w:ind w:left="851"/>
        <w:rPr>
          <w:rStyle w:val="FontStyle25"/>
          <w:sz w:val="24"/>
          <w:szCs w:val="24"/>
          <w:vertAlign w:val="superscript"/>
        </w:rPr>
      </w:pPr>
      <w:r w:rsidRPr="000C370F">
        <w:rPr>
          <w:rStyle w:val="FontStyle25"/>
          <w:rFonts w:eastAsia="Times New Roman"/>
          <w:sz w:val="24"/>
          <w:szCs w:val="24"/>
          <w:vertAlign w:val="superscript"/>
          <w:lang w:val="da-DK" w:eastAsia="nl-NL"/>
        </w:rPr>
        <w:t xml:space="preserve">1 </w:t>
      </w:r>
      <w:r w:rsidRPr="000C370F">
        <w:rPr>
          <w:rStyle w:val="FontStyle25"/>
          <w:rFonts w:eastAsia="Times New Roman"/>
          <w:sz w:val="24"/>
          <w:szCs w:val="24"/>
          <w:lang w:val="da-DK" w:eastAsia="nl-NL"/>
        </w:rPr>
        <w:t>Impulskontrolforstyrrelser</w:t>
      </w:r>
    </w:p>
    <w:p w:rsidR="000C370F" w:rsidRPr="000C370F" w:rsidRDefault="000C370F" w:rsidP="000C370F">
      <w:pPr>
        <w:tabs>
          <w:tab w:val="left" w:pos="720"/>
        </w:tabs>
        <w:autoSpaceDE w:val="0"/>
        <w:autoSpaceDN w:val="0"/>
        <w:adjustRightInd w:val="0"/>
        <w:ind w:left="851"/>
        <w:rPr>
          <w:sz w:val="24"/>
          <w:szCs w:val="24"/>
        </w:rPr>
      </w:pPr>
      <w:r w:rsidRPr="000C370F">
        <w:rPr>
          <w:rStyle w:val="FontStyle27"/>
          <w:sz w:val="24"/>
          <w:szCs w:val="24"/>
          <w:lang w:eastAsia="nl-NL"/>
        </w:rPr>
        <w:t xml:space="preserve">Patologisk spilletrang, øget libido, hyperseksualitet, overdreven brug af penge, tvangsoverspisning og sygelig overspisning kan forekomme hos patienter behandlet med lægemidler med dopaminerge virkninger, herunder </w:t>
      </w:r>
      <w:r w:rsidRPr="000C370F">
        <w:rPr>
          <w:iCs/>
          <w:noProof/>
          <w:sz w:val="24"/>
          <w:szCs w:val="24"/>
          <w:lang w:val="sv-SE"/>
        </w:rPr>
        <w:t xml:space="preserve">Parkadin </w:t>
      </w:r>
      <w:r w:rsidRPr="000C370F">
        <w:rPr>
          <w:rStyle w:val="FontStyle27"/>
          <w:sz w:val="24"/>
          <w:szCs w:val="24"/>
          <w:lang w:eastAsia="nl-NL"/>
        </w:rPr>
        <w:t>(se pkt. 4.4).</w:t>
      </w:r>
    </w:p>
    <w:p w:rsidR="000C370F" w:rsidRPr="000C370F" w:rsidRDefault="000C370F" w:rsidP="000C370F">
      <w:pPr>
        <w:tabs>
          <w:tab w:val="left" w:pos="720"/>
        </w:tabs>
        <w:autoSpaceDE w:val="0"/>
        <w:autoSpaceDN w:val="0"/>
        <w:adjustRightInd w:val="0"/>
        <w:ind w:left="851"/>
        <w:rPr>
          <w:sz w:val="24"/>
          <w:szCs w:val="24"/>
          <w:u w:val="single"/>
        </w:rPr>
      </w:pPr>
    </w:p>
    <w:p w:rsidR="000C370F" w:rsidRPr="000C370F" w:rsidRDefault="000C370F" w:rsidP="000C370F">
      <w:pPr>
        <w:autoSpaceDE w:val="0"/>
        <w:autoSpaceDN w:val="0"/>
        <w:adjustRightInd w:val="0"/>
        <w:ind w:left="851"/>
        <w:rPr>
          <w:sz w:val="24"/>
          <w:szCs w:val="24"/>
          <w:u w:val="single"/>
        </w:rPr>
      </w:pPr>
      <w:r w:rsidRPr="000C370F">
        <w:rPr>
          <w:sz w:val="24"/>
          <w:szCs w:val="24"/>
          <w:u w:val="single"/>
        </w:rPr>
        <w:t>Indberetning af formodede bivirkninger</w:t>
      </w:r>
    </w:p>
    <w:p w:rsidR="000C370F" w:rsidRPr="000C370F" w:rsidRDefault="000C370F" w:rsidP="000C370F">
      <w:pPr>
        <w:ind w:left="851"/>
        <w:rPr>
          <w:sz w:val="24"/>
          <w:szCs w:val="24"/>
        </w:rPr>
      </w:pPr>
      <w:r w:rsidRPr="000C370F">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rsidR="000C370F" w:rsidRPr="000C370F" w:rsidRDefault="000C370F" w:rsidP="000C370F">
      <w:pPr>
        <w:ind w:left="851"/>
        <w:rPr>
          <w:sz w:val="24"/>
          <w:szCs w:val="24"/>
        </w:rPr>
      </w:pPr>
    </w:p>
    <w:p w:rsidR="000C370F" w:rsidRPr="000C370F" w:rsidRDefault="000C370F" w:rsidP="000C370F">
      <w:pPr>
        <w:ind w:left="851"/>
        <w:rPr>
          <w:sz w:val="24"/>
          <w:szCs w:val="24"/>
        </w:rPr>
      </w:pPr>
      <w:r w:rsidRPr="000C370F">
        <w:rPr>
          <w:sz w:val="24"/>
          <w:szCs w:val="24"/>
        </w:rPr>
        <w:t>Lægemiddelstyrelsen</w:t>
      </w:r>
    </w:p>
    <w:p w:rsidR="000C370F" w:rsidRPr="000C370F" w:rsidRDefault="000C370F" w:rsidP="000C370F">
      <w:pPr>
        <w:ind w:left="851"/>
        <w:rPr>
          <w:sz w:val="24"/>
          <w:szCs w:val="24"/>
        </w:rPr>
      </w:pPr>
      <w:r w:rsidRPr="000C370F">
        <w:rPr>
          <w:sz w:val="24"/>
          <w:szCs w:val="24"/>
        </w:rPr>
        <w:t>Axel Heides Gade 1</w:t>
      </w:r>
    </w:p>
    <w:p w:rsidR="000C370F" w:rsidRPr="000C370F" w:rsidRDefault="000C370F" w:rsidP="000C370F">
      <w:pPr>
        <w:ind w:left="851"/>
        <w:rPr>
          <w:sz w:val="24"/>
          <w:szCs w:val="24"/>
        </w:rPr>
      </w:pPr>
      <w:r w:rsidRPr="000C370F">
        <w:rPr>
          <w:sz w:val="24"/>
          <w:szCs w:val="24"/>
        </w:rPr>
        <w:t>DK-2300 København S</w:t>
      </w:r>
    </w:p>
    <w:p w:rsidR="000C370F" w:rsidRPr="000C370F" w:rsidRDefault="000C370F" w:rsidP="000C370F">
      <w:pPr>
        <w:ind w:left="851"/>
        <w:rPr>
          <w:sz w:val="24"/>
          <w:szCs w:val="24"/>
        </w:rPr>
      </w:pPr>
      <w:r w:rsidRPr="000C370F">
        <w:rPr>
          <w:sz w:val="24"/>
          <w:szCs w:val="24"/>
        </w:rPr>
        <w:t>Websted: www.meldenbivirkning.dk</w:t>
      </w:r>
    </w:p>
    <w:p w:rsidR="000C370F" w:rsidRPr="00A10294" w:rsidRDefault="000C370F"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43273A" w:rsidRPr="0043273A" w:rsidRDefault="0043273A" w:rsidP="0043273A">
      <w:pPr>
        <w:tabs>
          <w:tab w:val="left" w:pos="851"/>
        </w:tabs>
        <w:ind w:left="851"/>
        <w:rPr>
          <w:sz w:val="24"/>
          <w:szCs w:val="24"/>
        </w:rPr>
      </w:pPr>
      <w:r w:rsidRPr="0043273A">
        <w:rPr>
          <w:sz w:val="24"/>
          <w:szCs w:val="24"/>
        </w:rPr>
        <w:t xml:space="preserve">Overdosering (akut overdosis på grund af flere maksimale anbefalede doser eller overeksponering på grund af høje doser hos ældre og/eller patienter med nedsat nyrefunktion) med </w:t>
      </w:r>
      <w:r w:rsidRPr="0043273A">
        <w:rPr>
          <w:iCs/>
          <w:sz w:val="24"/>
          <w:szCs w:val="24"/>
          <w:lang w:val="sv-SE"/>
        </w:rPr>
        <w:t xml:space="preserve">Parkadin </w:t>
      </w:r>
      <w:r w:rsidRPr="0043273A">
        <w:rPr>
          <w:sz w:val="24"/>
          <w:szCs w:val="24"/>
        </w:rPr>
        <w:t>kan have dødelige konsekvenser (se pkt. 4.4).</w:t>
      </w:r>
    </w:p>
    <w:p w:rsidR="0043273A" w:rsidRPr="0043273A" w:rsidRDefault="0043273A" w:rsidP="0043273A">
      <w:pPr>
        <w:tabs>
          <w:tab w:val="left" w:pos="851"/>
        </w:tabs>
        <w:ind w:left="851"/>
        <w:rPr>
          <w:sz w:val="24"/>
          <w:szCs w:val="24"/>
        </w:rPr>
      </w:pPr>
    </w:p>
    <w:p w:rsidR="0043273A" w:rsidRPr="0043273A" w:rsidRDefault="0043273A" w:rsidP="0043273A">
      <w:pPr>
        <w:tabs>
          <w:tab w:val="left" w:pos="851"/>
        </w:tabs>
        <w:ind w:left="851"/>
        <w:rPr>
          <w:sz w:val="24"/>
          <w:szCs w:val="24"/>
          <w:u w:val="single"/>
        </w:rPr>
      </w:pPr>
      <w:r w:rsidRPr="0043273A">
        <w:rPr>
          <w:sz w:val="24"/>
          <w:szCs w:val="24"/>
          <w:u w:val="single"/>
        </w:rPr>
        <w:t>Symptomer</w:t>
      </w:r>
    </w:p>
    <w:p w:rsidR="0043273A" w:rsidRPr="0043273A" w:rsidRDefault="0043273A" w:rsidP="0043273A">
      <w:pPr>
        <w:tabs>
          <w:tab w:val="left" w:pos="851"/>
        </w:tabs>
        <w:ind w:left="851"/>
        <w:rPr>
          <w:sz w:val="24"/>
          <w:szCs w:val="24"/>
        </w:rPr>
      </w:pPr>
      <w:r w:rsidRPr="0043273A">
        <w:rPr>
          <w:sz w:val="24"/>
          <w:szCs w:val="24"/>
        </w:rPr>
        <w:t>Neuromuskulære sygdomme og symptomer på akut psykose er vigtige tegn på akut amantadinforgiftning.</w:t>
      </w:r>
    </w:p>
    <w:p w:rsidR="0043273A" w:rsidRPr="0043273A" w:rsidRDefault="0043273A" w:rsidP="0043273A">
      <w:pPr>
        <w:tabs>
          <w:tab w:val="left" w:pos="851"/>
        </w:tabs>
        <w:ind w:left="851"/>
        <w:rPr>
          <w:i/>
          <w:sz w:val="24"/>
          <w:szCs w:val="24"/>
        </w:rPr>
      </w:pPr>
    </w:p>
    <w:p w:rsidR="0043273A" w:rsidRPr="0043273A" w:rsidRDefault="0043273A" w:rsidP="0043273A">
      <w:pPr>
        <w:tabs>
          <w:tab w:val="left" w:pos="851"/>
        </w:tabs>
        <w:ind w:left="851"/>
        <w:rPr>
          <w:i/>
          <w:iCs/>
          <w:sz w:val="24"/>
          <w:szCs w:val="24"/>
          <w:lang w:val="pt-BR"/>
        </w:rPr>
      </w:pPr>
      <w:r w:rsidRPr="0043273A">
        <w:rPr>
          <w:i/>
          <w:iCs/>
          <w:sz w:val="24"/>
          <w:szCs w:val="24"/>
        </w:rPr>
        <w:t>Psykiske forstyrrelser</w:t>
      </w:r>
    </w:p>
    <w:p w:rsidR="0043273A" w:rsidRPr="0043273A" w:rsidRDefault="0043273A" w:rsidP="0043273A">
      <w:pPr>
        <w:tabs>
          <w:tab w:val="left" w:pos="851"/>
        </w:tabs>
        <w:ind w:left="851"/>
        <w:rPr>
          <w:sz w:val="24"/>
          <w:szCs w:val="24"/>
        </w:rPr>
      </w:pPr>
      <w:r w:rsidRPr="0043273A">
        <w:rPr>
          <w:sz w:val="24"/>
          <w:szCs w:val="24"/>
        </w:rPr>
        <w:t>Konfusion, desorientering, delirium, synshallucinationer, aggression/fjendtlighed.</w:t>
      </w:r>
    </w:p>
    <w:p w:rsidR="0043273A" w:rsidRDefault="0043273A">
      <w:pPr>
        <w:rPr>
          <w:i/>
          <w:sz w:val="24"/>
          <w:szCs w:val="24"/>
        </w:rPr>
      </w:pPr>
      <w:r>
        <w:rPr>
          <w:i/>
          <w:sz w:val="24"/>
          <w:szCs w:val="24"/>
        </w:rPr>
        <w:br w:type="page"/>
      </w:r>
    </w:p>
    <w:p w:rsidR="0043273A" w:rsidRPr="0043273A" w:rsidRDefault="0043273A" w:rsidP="0043273A">
      <w:pPr>
        <w:tabs>
          <w:tab w:val="left" w:pos="851"/>
        </w:tabs>
        <w:ind w:left="851"/>
        <w:rPr>
          <w:i/>
          <w:sz w:val="24"/>
          <w:szCs w:val="24"/>
        </w:rPr>
      </w:pPr>
    </w:p>
    <w:p w:rsidR="0043273A" w:rsidRPr="0043273A" w:rsidRDefault="0043273A" w:rsidP="0043273A">
      <w:pPr>
        <w:tabs>
          <w:tab w:val="left" w:pos="851"/>
        </w:tabs>
        <w:ind w:left="851"/>
        <w:rPr>
          <w:sz w:val="24"/>
          <w:szCs w:val="24"/>
        </w:rPr>
      </w:pPr>
      <w:r w:rsidRPr="0043273A">
        <w:rPr>
          <w:i/>
          <w:iCs/>
          <w:sz w:val="24"/>
          <w:szCs w:val="24"/>
        </w:rPr>
        <w:t>Nervesystemet</w:t>
      </w:r>
    </w:p>
    <w:p w:rsidR="0043273A" w:rsidRPr="0043273A" w:rsidRDefault="0043273A" w:rsidP="0043273A">
      <w:pPr>
        <w:tabs>
          <w:tab w:val="left" w:pos="851"/>
        </w:tabs>
        <w:ind w:left="851"/>
        <w:rPr>
          <w:sz w:val="24"/>
          <w:szCs w:val="24"/>
        </w:rPr>
      </w:pPr>
      <w:r w:rsidRPr="0043273A">
        <w:rPr>
          <w:sz w:val="24"/>
          <w:szCs w:val="24"/>
        </w:rPr>
        <w:t xml:space="preserve">Hyperrefleksi, motorisk rastløshed, kramper, ekstrapyramidale symptomer (torsionelle spasmer, med antagelse af en dystonisk kropsholdning), myokloni, nedsat bevidsthedsniveau og koma. </w:t>
      </w:r>
    </w:p>
    <w:p w:rsidR="0043273A" w:rsidRPr="0043273A" w:rsidRDefault="0043273A" w:rsidP="0043273A">
      <w:pPr>
        <w:tabs>
          <w:tab w:val="left" w:pos="851"/>
        </w:tabs>
        <w:ind w:left="851"/>
        <w:rPr>
          <w:sz w:val="24"/>
          <w:szCs w:val="24"/>
        </w:rPr>
      </w:pPr>
    </w:p>
    <w:p w:rsidR="0043273A" w:rsidRPr="0043273A" w:rsidRDefault="0043273A" w:rsidP="0043273A">
      <w:pPr>
        <w:tabs>
          <w:tab w:val="left" w:pos="851"/>
        </w:tabs>
        <w:ind w:left="851"/>
        <w:rPr>
          <w:i/>
          <w:iCs/>
          <w:sz w:val="24"/>
          <w:szCs w:val="24"/>
          <w:lang w:val="pt-BR"/>
        </w:rPr>
      </w:pPr>
      <w:r w:rsidRPr="0043273A">
        <w:rPr>
          <w:i/>
          <w:iCs/>
          <w:sz w:val="24"/>
          <w:szCs w:val="24"/>
        </w:rPr>
        <w:t>Øjne</w:t>
      </w:r>
    </w:p>
    <w:p w:rsidR="0043273A" w:rsidRDefault="0043273A" w:rsidP="0043273A">
      <w:pPr>
        <w:tabs>
          <w:tab w:val="left" w:pos="851"/>
        </w:tabs>
        <w:ind w:left="851"/>
        <w:rPr>
          <w:sz w:val="24"/>
          <w:szCs w:val="24"/>
        </w:rPr>
      </w:pPr>
      <w:r w:rsidRPr="0043273A">
        <w:rPr>
          <w:sz w:val="24"/>
          <w:szCs w:val="24"/>
        </w:rPr>
        <w:t>Dilaterede pupiller.</w:t>
      </w:r>
    </w:p>
    <w:p w:rsidR="0043273A" w:rsidRPr="0043273A" w:rsidRDefault="0043273A" w:rsidP="0043273A">
      <w:pPr>
        <w:tabs>
          <w:tab w:val="left" w:pos="851"/>
        </w:tabs>
        <w:ind w:left="851"/>
        <w:rPr>
          <w:sz w:val="24"/>
          <w:szCs w:val="24"/>
          <w:lang w:val="pt-BR"/>
        </w:rPr>
      </w:pPr>
    </w:p>
    <w:p w:rsidR="0043273A" w:rsidRPr="0043273A" w:rsidRDefault="0043273A" w:rsidP="0043273A">
      <w:pPr>
        <w:tabs>
          <w:tab w:val="left" w:pos="851"/>
        </w:tabs>
        <w:ind w:left="851"/>
        <w:rPr>
          <w:sz w:val="24"/>
          <w:szCs w:val="24"/>
        </w:rPr>
      </w:pPr>
      <w:r w:rsidRPr="0043273A">
        <w:rPr>
          <w:i/>
          <w:iCs/>
          <w:sz w:val="24"/>
          <w:szCs w:val="24"/>
        </w:rPr>
        <w:t>Hjerte</w:t>
      </w:r>
      <w:r w:rsidRPr="0043273A">
        <w:rPr>
          <w:sz w:val="24"/>
          <w:szCs w:val="24"/>
        </w:rPr>
        <w:t xml:space="preserve"> </w:t>
      </w:r>
    </w:p>
    <w:p w:rsidR="0043273A" w:rsidRPr="0043273A" w:rsidRDefault="0043273A" w:rsidP="0043273A">
      <w:pPr>
        <w:tabs>
          <w:tab w:val="left" w:pos="851"/>
        </w:tabs>
        <w:ind w:left="851"/>
        <w:rPr>
          <w:sz w:val="24"/>
          <w:szCs w:val="24"/>
        </w:rPr>
      </w:pPr>
      <w:r w:rsidRPr="0043273A">
        <w:rPr>
          <w:sz w:val="24"/>
          <w:szCs w:val="24"/>
        </w:rPr>
        <w:t>Der er blevet rapporteret om hjertestop og pludselig hjertedød. Sinustakykardi, arytmi. Ventrikulær ektopi, ventrikelflimren og torsade de pointes er blevet beskrevet.</w:t>
      </w:r>
    </w:p>
    <w:p w:rsidR="0043273A" w:rsidRPr="0043273A" w:rsidRDefault="0043273A" w:rsidP="0043273A">
      <w:pPr>
        <w:tabs>
          <w:tab w:val="left" w:pos="851"/>
        </w:tabs>
        <w:ind w:left="851"/>
        <w:rPr>
          <w:i/>
          <w:sz w:val="24"/>
          <w:szCs w:val="24"/>
        </w:rPr>
      </w:pPr>
    </w:p>
    <w:p w:rsidR="0043273A" w:rsidRPr="0043273A" w:rsidRDefault="0043273A" w:rsidP="0043273A">
      <w:pPr>
        <w:tabs>
          <w:tab w:val="left" w:pos="851"/>
        </w:tabs>
        <w:ind w:left="851"/>
        <w:rPr>
          <w:i/>
          <w:iCs/>
          <w:sz w:val="24"/>
          <w:szCs w:val="24"/>
          <w:lang w:val="pt-BR"/>
        </w:rPr>
      </w:pPr>
      <w:r w:rsidRPr="0043273A">
        <w:rPr>
          <w:i/>
          <w:iCs/>
          <w:sz w:val="24"/>
          <w:szCs w:val="24"/>
        </w:rPr>
        <w:t>Vaskulære sygdomme</w:t>
      </w:r>
    </w:p>
    <w:p w:rsidR="0043273A" w:rsidRDefault="0043273A" w:rsidP="0043273A">
      <w:pPr>
        <w:tabs>
          <w:tab w:val="left" w:pos="851"/>
        </w:tabs>
        <w:ind w:left="851"/>
        <w:rPr>
          <w:sz w:val="24"/>
          <w:szCs w:val="24"/>
        </w:rPr>
      </w:pPr>
      <w:r w:rsidRPr="0043273A">
        <w:rPr>
          <w:sz w:val="24"/>
          <w:szCs w:val="24"/>
        </w:rPr>
        <w:t>Hypertension.</w:t>
      </w:r>
    </w:p>
    <w:p w:rsidR="0043273A" w:rsidRPr="0043273A" w:rsidRDefault="0043273A" w:rsidP="0043273A">
      <w:pPr>
        <w:tabs>
          <w:tab w:val="left" w:pos="851"/>
        </w:tabs>
        <w:ind w:left="851"/>
        <w:rPr>
          <w:sz w:val="24"/>
          <w:szCs w:val="24"/>
          <w:lang w:val="pt-BR"/>
        </w:rPr>
      </w:pPr>
    </w:p>
    <w:p w:rsidR="0043273A" w:rsidRPr="0043273A" w:rsidRDefault="0043273A" w:rsidP="0043273A">
      <w:pPr>
        <w:tabs>
          <w:tab w:val="left" w:pos="851"/>
        </w:tabs>
        <w:ind w:left="851"/>
        <w:rPr>
          <w:i/>
          <w:iCs/>
          <w:sz w:val="24"/>
          <w:szCs w:val="24"/>
          <w:lang w:val="pt-BR"/>
        </w:rPr>
      </w:pPr>
      <w:r w:rsidRPr="0043273A">
        <w:rPr>
          <w:i/>
          <w:iCs/>
          <w:sz w:val="24"/>
          <w:szCs w:val="24"/>
        </w:rPr>
        <w:t>Luftveje, thorax og mediastinum</w:t>
      </w:r>
    </w:p>
    <w:p w:rsidR="0043273A" w:rsidRDefault="0043273A" w:rsidP="0043273A">
      <w:pPr>
        <w:tabs>
          <w:tab w:val="left" w:pos="851"/>
        </w:tabs>
        <w:ind w:left="851"/>
        <w:rPr>
          <w:sz w:val="24"/>
          <w:szCs w:val="24"/>
        </w:rPr>
      </w:pPr>
      <w:r w:rsidRPr="0043273A">
        <w:rPr>
          <w:sz w:val="24"/>
          <w:szCs w:val="24"/>
        </w:rPr>
        <w:t>Hyperventilation, lungeødem, åndedrætsbesvær, herunder “akut respiratorisk distress-syndrom”.</w:t>
      </w:r>
    </w:p>
    <w:p w:rsidR="0043273A" w:rsidRPr="0043273A" w:rsidRDefault="0043273A" w:rsidP="0043273A">
      <w:pPr>
        <w:tabs>
          <w:tab w:val="left" w:pos="851"/>
        </w:tabs>
        <w:ind w:left="851"/>
        <w:rPr>
          <w:sz w:val="24"/>
          <w:szCs w:val="24"/>
          <w:lang w:val="pt-BR"/>
        </w:rPr>
      </w:pPr>
    </w:p>
    <w:p w:rsidR="0043273A" w:rsidRPr="0043273A" w:rsidRDefault="0043273A" w:rsidP="0043273A">
      <w:pPr>
        <w:tabs>
          <w:tab w:val="left" w:pos="851"/>
        </w:tabs>
        <w:ind w:left="851"/>
        <w:rPr>
          <w:sz w:val="24"/>
          <w:szCs w:val="24"/>
        </w:rPr>
      </w:pPr>
      <w:r w:rsidRPr="0043273A">
        <w:rPr>
          <w:i/>
          <w:iCs/>
          <w:sz w:val="24"/>
          <w:szCs w:val="24"/>
        </w:rPr>
        <w:t>Mave-tarm-kanalen</w:t>
      </w:r>
    </w:p>
    <w:p w:rsidR="0043273A" w:rsidRPr="0043273A" w:rsidRDefault="0043273A" w:rsidP="0043273A">
      <w:pPr>
        <w:tabs>
          <w:tab w:val="left" w:pos="851"/>
        </w:tabs>
        <w:ind w:left="851"/>
        <w:rPr>
          <w:sz w:val="24"/>
          <w:szCs w:val="24"/>
        </w:rPr>
      </w:pPr>
      <w:r w:rsidRPr="0043273A">
        <w:rPr>
          <w:sz w:val="24"/>
          <w:szCs w:val="24"/>
        </w:rPr>
        <w:t xml:space="preserve">Kvalme, opkastning, mundtørhed, konstipation. </w:t>
      </w:r>
    </w:p>
    <w:p w:rsidR="0043273A" w:rsidRPr="0043273A" w:rsidRDefault="0043273A" w:rsidP="0043273A">
      <w:pPr>
        <w:tabs>
          <w:tab w:val="left" w:pos="851"/>
        </w:tabs>
        <w:ind w:left="851"/>
        <w:rPr>
          <w:i/>
          <w:sz w:val="24"/>
          <w:szCs w:val="24"/>
        </w:rPr>
      </w:pPr>
    </w:p>
    <w:p w:rsidR="0043273A" w:rsidRPr="0043273A" w:rsidRDefault="0043273A" w:rsidP="0043273A">
      <w:pPr>
        <w:tabs>
          <w:tab w:val="left" w:pos="851"/>
        </w:tabs>
        <w:ind w:left="851"/>
        <w:rPr>
          <w:sz w:val="24"/>
          <w:szCs w:val="24"/>
        </w:rPr>
      </w:pPr>
      <w:r w:rsidRPr="0043273A">
        <w:rPr>
          <w:i/>
          <w:iCs/>
          <w:sz w:val="24"/>
          <w:szCs w:val="24"/>
        </w:rPr>
        <w:t>Nyrer og urinveje</w:t>
      </w:r>
    </w:p>
    <w:p w:rsidR="0043273A" w:rsidRPr="0043273A" w:rsidRDefault="0043273A" w:rsidP="0043273A">
      <w:pPr>
        <w:tabs>
          <w:tab w:val="left" w:pos="851"/>
        </w:tabs>
        <w:ind w:left="851"/>
        <w:rPr>
          <w:sz w:val="24"/>
          <w:szCs w:val="24"/>
        </w:rPr>
      </w:pPr>
      <w:r w:rsidRPr="0043273A">
        <w:rPr>
          <w:sz w:val="24"/>
          <w:szCs w:val="24"/>
        </w:rPr>
        <w:t>Urinretention, nyredysfunktion, herunder en stigning i BUN og nedsat kreatininclearance.</w:t>
      </w:r>
    </w:p>
    <w:p w:rsidR="0043273A" w:rsidRPr="0043273A" w:rsidRDefault="0043273A" w:rsidP="0043273A">
      <w:pPr>
        <w:tabs>
          <w:tab w:val="left" w:pos="851"/>
        </w:tabs>
        <w:ind w:left="851"/>
        <w:rPr>
          <w:sz w:val="24"/>
          <w:szCs w:val="24"/>
        </w:rPr>
      </w:pPr>
    </w:p>
    <w:p w:rsidR="0043273A" w:rsidRPr="0043273A" w:rsidRDefault="0043273A" w:rsidP="0043273A">
      <w:pPr>
        <w:tabs>
          <w:tab w:val="left" w:pos="851"/>
        </w:tabs>
        <w:ind w:left="851"/>
        <w:rPr>
          <w:i/>
          <w:iCs/>
          <w:sz w:val="24"/>
          <w:szCs w:val="24"/>
          <w:lang w:val="pt-BR"/>
        </w:rPr>
      </w:pPr>
      <w:r w:rsidRPr="0043273A">
        <w:rPr>
          <w:i/>
          <w:iCs/>
          <w:sz w:val="24"/>
          <w:szCs w:val="24"/>
        </w:rPr>
        <w:t>Kombinationsforgiftning</w:t>
      </w:r>
    </w:p>
    <w:p w:rsidR="0043273A" w:rsidRPr="0043273A" w:rsidRDefault="0043273A" w:rsidP="0043273A">
      <w:pPr>
        <w:tabs>
          <w:tab w:val="left" w:pos="851"/>
        </w:tabs>
        <w:ind w:left="851"/>
        <w:rPr>
          <w:sz w:val="24"/>
          <w:szCs w:val="24"/>
        </w:rPr>
      </w:pPr>
      <w:r w:rsidRPr="0043273A">
        <w:rPr>
          <w:sz w:val="24"/>
          <w:szCs w:val="24"/>
        </w:rPr>
        <w:t xml:space="preserve">De perifere og centrale bivirkninger af antikolinerge lægemidler forstærkes ved samtidig brug af </w:t>
      </w:r>
      <w:r w:rsidRPr="0043273A">
        <w:rPr>
          <w:iCs/>
          <w:sz w:val="24"/>
          <w:szCs w:val="24"/>
          <w:lang w:val="sv-SE"/>
        </w:rPr>
        <w:t>amantadin</w:t>
      </w:r>
      <w:r w:rsidRPr="0043273A">
        <w:rPr>
          <w:sz w:val="24"/>
          <w:szCs w:val="24"/>
        </w:rPr>
        <w:t xml:space="preserve">. Akutte, psykotiske reaktioner, som kan være identiske med reaktioner forbundet med atropinforgiftning, kan forekomme, hvis der anvendes høje doser antikolinergika. Hvis alkohol eller stoffer med en stimulerende virkning på centralnervesystemet er taget samtidig, kan symptomerne på akut forgiftning med </w:t>
      </w:r>
      <w:r w:rsidRPr="0043273A">
        <w:rPr>
          <w:iCs/>
          <w:sz w:val="24"/>
          <w:szCs w:val="24"/>
          <w:lang w:val="sv-SE"/>
        </w:rPr>
        <w:t xml:space="preserve">amantadin </w:t>
      </w:r>
      <w:r w:rsidRPr="0043273A">
        <w:rPr>
          <w:sz w:val="24"/>
          <w:szCs w:val="24"/>
        </w:rPr>
        <w:t>blive forværret eller afpasset.</w:t>
      </w:r>
    </w:p>
    <w:p w:rsidR="0043273A" w:rsidRPr="0043273A" w:rsidRDefault="0043273A" w:rsidP="0043273A">
      <w:pPr>
        <w:tabs>
          <w:tab w:val="left" w:pos="851"/>
        </w:tabs>
        <w:ind w:left="851"/>
        <w:rPr>
          <w:sz w:val="24"/>
          <w:szCs w:val="24"/>
        </w:rPr>
      </w:pPr>
    </w:p>
    <w:p w:rsidR="0043273A" w:rsidRPr="0043273A" w:rsidRDefault="0043273A" w:rsidP="0043273A">
      <w:pPr>
        <w:tabs>
          <w:tab w:val="left" w:pos="851"/>
        </w:tabs>
        <w:ind w:left="851"/>
        <w:rPr>
          <w:sz w:val="24"/>
          <w:szCs w:val="24"/>
          <w:u w:val="single"/>
        </w:rPr>
      </w:pPr>
      <w:r w:rsidRPr="0043273A">
        <w:rPr>
          <w:sz w:val="24"/>
          <w:szCs w:val="24"/>
          <w:u w:val="single"/>
        </w:rPr>
        <w:t>Behandling</w:t>
      </w:r>
    </w:p>
    <w:p w:rsidR="0043273A" w:rsidRPr="0043273A" w:rsidRDefault="0043273A" w:rsidP="0043273A">
      <w:pPr>
        <w:tabs>
          <w:tab w:val="left" w:pos="851"/>
        </w:tabs>
        <w:ind w:left="851"/>
        <w:rPr>
          <w:sz w:val="24"/>
          <w:szCs w:val="24"/>
        </w:rPr>
      </w:pPr>
      <w:r w:rsidRPr="0043273A">
        <w:rPr>
          <w:sz w:val="24"/>
          <w:szCs w:val="24"/>
        </w:rPr>
        <w:t>Der er ingen specifik modgift.</w:t>
      </w:r>
    </w:p>
    <w:p w:rsidR="0043273A" w:rsidRPr="0043273A" w:rsidRDefault="0043273A" w:rsidP="0043273A">
      <w:pPr>
        <w:numPr>
          <w:ilvl w:val="1"/>
          <w:numId w:val="7"/>
        </w:numPr>
        <w:tabs>
          <w:tab w:val="left" w:pos="851"/>
        </w:tabs>
        <w:ind w:left="1134" w:hanging="283"/>
        <w:rPr>
          <w:i/>
          <w:iCs/>
          <w:sz w:val="24"/>
          <w:szCs w:val="24"/>
        </w:rPr>
      </w:pPr>
      <w:r w:rsidRPr="0043273A">
        <w:rPr>
          <w:i/>
          <w:iCs/>
          <w:sz w:val="24"/>
          <w:szCs w:val="24"/>
        </w:rPr>
        <w:t xml:space="preserve">Fjernelse og/eller inaktivering af det/de stof(fer), der er ansvarlige for forgiftningen: </w:t>
      </w:r>
      <w:r w:rsidRPr="0043273A">
        <w:rPr>
          <w:iCs/>
          <w:sz w:val="24"/>
          <w:szCs w:val="24"/>
        </w:rPr>
        <w:t xml:space="preserve">Induktion af opkastning og/eller ventrikelaspiration eller -skylning, aktivt kul, saltholdigt afføringsmiddel, hvis det anses for hensigtsmæssigt. Da </w:t>
      </w:r>
      <w:r w:rsidRPr="0043273A">
        <w:rPr>
          <w:iCs/>
          <w:sz w:val="24"/>
          <w:szCs w:val="24"/>
          <w:lang w:val="sv-SE"/>
        </w:rPr>
        <w:t xml:space="preserve">amantadin </w:t>
      </w:r>
      <w:r w:rsidRPr="0043273A">
        <w:rPr>
          <w:iCs/>
          <w:sz w:val="24"/>
          <w:szCs w:val="24"/>
        </w:rPr>
        <w:t xml:space="preserve">stort set udskilles uændret i urinen, kan stimulering af nyrernes udskillelsesfunktion være effektiv til at fjerne det fra blodcirkulationen. Udskillelsen af </w:t>
      </w:r>
      <w:r w:rsidRPr="0043273A">
        <w:rPr>
          <w:iCs/>
          <w:sz w:val="24"/>
          <w:szCs w:val="24"/>
          <w:lang w:val="sv-SE"/>
        </w:rPr>
        <w:t xml:space="preserve">amantadin </w:t>
      </w:r>
      <w:r w:rsidRPr="0043273A">
        <w:rPr>
          <w:iCs/>
          <w:sz w:val="24"/>
          <w:szCs w:val="24"/>
        </w:rPr>
        <w:t xml:space="preserve">i urinen kan fremmes ved at gøre urinen mere sur. Hæmodialyse fjerner ikke signifikante mængder </w:t>
      </w:r>
      <w:r w:rsidRPr="0043273A">
        <w:rPr>
          <w:iCs/>
          <w:sz w:val="24"/>
          <w:szCs w:val="24"/>
          <w:lang w:val="sv-SE"/>
        </w:rPr>
        <w:t>amantadin</w:t>
      </w:r>
      <w:r w:rsidRPr="0043273A">
        <w:rPr>
          <w:iCs/>
          <w:sz w:val="24"/>
          <w:szCs w:val="24"/>
        </w:rPr>
        <w:t>; hos patienter med nyresvigt, der havde taget 300 mg, blev kun 7 til 15 mg fjernet under 4-timers hæmodialyse.</w:t>
      </w:r>
    </w:p>
    <w:p w:rsidR="0043273A" w:rsidRPr="0043273A" w:rsidRDefault="0043273A" w:rsidP="0043273A">
      <w:pPr>
        <w:numPr>
          <w:ilvl w:val="1"/>
          <w:numId w:val="7"/>
        </w:numPr>
        <w:tabs>
          <w:tab w:val="left" w:pos="851"/>
        </w:tabs>
        <w:ind w:left="1134" w:hanging="283"/>
        <w:rPr>
          <w:sz w:val="24"/>
          <w:szCs w:val="24"/>
        </w:rPr>
      </w:pPr>
      <w:r w:rsidRPr="0043273A">
        <w:rPr>
          <w:sz w:val="24"/>
          <w:szCs w:val="24"/>
        </w:rPr>
        <w:t>Blodtryk, puls, EKG, respiration og kropstemperatur bør monitoreres, og evt. hypotension og hjertearytmier behandles efter behov. Der skal udvises forsigtighed ved administration af adrenerge komponenter i tilfælde af hjertearytmier og hypotension, da den kliniske status kan forringes på grund af adrenerge komponenters arytmogene egenskab.</w:t>
      </w:r>
    </w:p>
    <w:p w:rsidR="0043273A" w:rsidRPr="0043273A" w:rsidRDefault="0043273A" w:rsidP="0043273A">
      <w:pPr>
        <w:numPr>
          <w:ilvl w:val="1"/>
          <w:numId w:val="7"/>
        </w:numPr>
        <w:tabs>
          <w:tab w:val="left" w:pos="851"/>
        </w:tabs>
        <w:ind w:left="1134" w:hanging="283"/>
        <w:rPr>
          <w:sz w:val="24"/>
          <w:szCs w:val="24"/>
        </w:rPr>
      </w:pPr>
      <w:r w:rsidRPr="0043273A">
        <w:rPr>
          <w:i/>
          <w:iCs/>
          <w:sz w:val="24"/>
          <w:szCs w:val="24"/>
        </w:rPr>
        <w:lastRenderedPageBreak/>
        <w:t>Krampeanfald og overdreven motorisk agitation</w:t>
      </w:r>
      <w:r w:rsidRPr="0043273A">
        <w:rPr>
          <w:sz w:val="24"/>
          <w:szCs w:val="24"/>
        </w:rPr>
        <w:t xml:space="preserve">: </w:t>
      </w:r>
      <w:r>
        <w:rPr>
          <w:sz w:val="24"/>
          <w:szCs w:val="24"/>
        </w:rPr>
        <w:t>A</w:t>
      </w:r>
      <w:r w:rsidRPr="0043273A">
        <w:rPr>
          <w:sz w:val="24"/>
          <w:szCs w:val="24"/>
        </w:rPr>
        <w:t>dministration af antikonvulsiva såsom diazepam intravenøst, paraldehyd intramuskulært eller rektalt eller phenobarbital intramuskulært.</w:t>
      </w:r>
    </w:p>
    <w:p w:rsidR="0043273A" w:rsidRPr="0043273A" w:rsidRDefault="0043273A" w:rsidP="0043273A">
      <w:pPr>
        <w:numPr>
          <w:ilvl w:val="1"/>
          <w:numId w:val="7"/>
        </w:numPr>
        <w:tabs>
          <w:tab w:val="left" w:pos="851"/>
        </w:tabs>
        <w:ind w:left="1134" w:hanging="283"/>
        <w:rPr>
          <w:sz w:val="24"/>
          <w:szCs w:val="24"/>
        </w:rPr>
      </w:pPr>
      <w:r w:rsidRPr="0043273A">
        <w:rPr>
          <w:i/>
          <w:iCs/>
          <w:sz w:val="24"/>
          <w:szCs w:val="24"/>
        </w:rPr>
        <w:t>Akutte psykotiske symptomer, delirium, dystonisk kropsholdning, myoklone manifestationer</w:t>
      </w:r>
      <w:r w:rsidRPr="0043273A">
        <w:rPr>
          <w:sz w:val="24"/>
          <w:szCs w:val="24"/>
        </w:rPr>
        <w:t xml:space="preserve">: </w:t>
      </w:r>
      <w:r>
        <w:rPr>
          <w:sz w:val="24"/>
          <w:szCs w:val="24"/>
        </w:rPr>
        <w:t>P</w:t>
      </w:r>
      <w:r w:rsidRPr="0043273A">
        <w:rPr>
          <w:sz w:val="24"/>
          <w:szCs w:val="24"/>
        </w:rPr>
        <w:t xml:space="preserve">hysostigmin ved langsom intravenøs infusion (doser på 1 mg hos voksne og 0,5 mg hos børn) med gentagen administration i henhold til indledende respons og det efterfølgende behov er blevet rapporteret. </w:t>
      </w:r>
    </w:p>
    <w:p w:rsidR="0043273A" w:rsidRPr="0043273A" w:rsidRDefault="0043273A" w:rsidP="0043273A">
      <w:pPr>
        <w:numPr>
          <w:ilvl w:val="1"/>
          <w:numId w:val="7"/>
        </w:numPr>
        <w:tabs>
          <w:tab w:val="left" w:pos="851"/>
        </w:tabs>
        <w:ind w:left="1134" w:hanging="283"/>
        <w:rPr>
          <w:sz w:val="24"/>
          <w:szCs w:val="24"/>
        </w:rPr>
      </w:pPr>
      <w:r w:rsidRPr="0043273A">
        <w:rPr>
          <w:i/>
          <w:iCs/>
          <w:sz w:val="24"/>
          <w:szCs w:val="24"/>
        </w:rPr>
        <w:t>Urinretention:</w:t>
      </w:r>
      <w:r w:rsidRPr="0043273A">
        <w:rPr>
          <w:sz w:val="24"/>
          <w:szCs w:val="24"/>
        </w:rPr>
        <w:t xml:space="preserve"> </w:t>
      </w:r>
      <w:r>
        <w:rPr>
          <w:sz w:val="24"/>
          <w:szCs w:val="24"/>
        </w:rPr>
        <w:t>B</w:t>
      </w:r>
      <w:r w:rsidRPr="0043273A">
        <w:rPr>
          <w:sz w:val="24"/>
          <w:szCs w:val="24"/>
        </w:rPr>
        <w:t>læren skal kateteriseres; et internt kateter kan forblive på plads i den påkrævede tid.</w:t>
      </w:r>
    </w:p>
    <w:p w:rsidR="009260DE" w:rsidRPr="00C84483" w:rsidRDefault="009260DE" w:rsidP="0043273A">
      <w:pPr>
        <w:tabs>
          <w:tab w:val="left" w:pos="851"/>
        </w:tabs>
        <w:ind w:left="1134" w:hanging="283"/>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43273A"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43273A" w:rsidRPr="0043273A" w:rsidRDefault="0043273A" w:rsidP="0043273A">
      <w:pPr>
        <w:tabs>
          <w:tab w:val="left" w:pos="851"/>
        </w:tabs>
        <w:ind w:left="851"/>
        <w:rPr>
          <w:sz w:val="24"/>
          <w:szCs w:val="24"/>
        </w:rPr>
      </w:pPr>
      <w:r w:rsidRPr="0043273A">
        <w:rPr>
          <w:sz w:val="24"/>
          <w:szCs w:val="24"/>
        </w:rPr>
        <w:t xml:space="preserve">Farmakoterapeutisk klassifikation: Adamantanderivater, dopaminergt middel. </w:t>
      </w:r>
    </w:p>
    <w:p w:rsidR="0043273A" w:rsidRPr="0043273A" w:rsidRDefault="0043273A" w:rsidP="0043273A">
      <w:pPr>
        <w:tabs>
          <w:tab w:val="left" w:pos="851"/>
        </w:tabs>
        <w:ind w:left="851"/>
        <w:rPr>
          <w:sz w:val="24"/>
          <w:szCs w:val="24"/>
        </w:rPr>
      </w:pPr>
      <w:r w:rsidRPr="0043273A">
        <w:rPr>
          <w:sz w:val="24"/>
          <w:szCs w:val="24"/>
        </w:rPr>
        <w:t>ATC-kode: N04BB01.</w:t>
      </w:r>
    </w:p>
    <w:p w:rsidR="0043273A" w:rsidRPr="0043273A" w:rsidRDefault="0043273A" w:rsidP="0043273A">
      <w:pPr>
        <w:tabs>
          <w:tab w:val="left" w:pos="851"/>
        </w:tabs>
        <w:ind w:left="851"/>
        <w:rPr>
          <w:sz w:val="24"/>
          <w:szCs w:val="24"/>
        </w:rPr>
      </w:pPr>
    </w:p>
    <w:p w:rsidR="0043273A" w:rsidRPr="0043273A" w:rsidRDefault="0043273A" w:rsidP="0043273A">
      <w:pPr>
        <w:tabs>
          <w:tab w:val="left" w:pos="851"/>
        </w:tabs>
        <w:ind w:left="851"/>
        <w:rPr>
          <w:sz w:val="24"/>
          <w:szCs w:val="24"/>
          <w:lang w:val="pt-BR"/>
        </w:rPr>
      </w:pPr>
      <w:r w:rsidRPr="0043273A">
        <w:rPr>
          <w:iCs/>
          <w:sz w:val="24"/>
          <w:szCs w:val="24"/>
        </w:rPr>
        <w:t>A</w:t>
      </w:r>
      <w:r w:rsidRPr="0043273A">
        <w:rPr>
          <w:iCs/>
          <w:sz w:val="24"/>
          <w:szCs w:val="24"/>
          <w:lang w:val="sv-SE"/>
        </w:rPr>
        <w:t xml:space="preserve">mantadin </w:t>
      </w:r>
      <w:r w:rsidRPr="0043273A">
        <w:rPr>
          <w:sz w:val="24"/>
          <w:szCs w:val="24"/>
        </w:rPr>
        <w:t>menes at virke ved at øge frigivelsen af dopamin fra centrale neuroner og forsinke dets genoptagelse i synaptiske vesikler. Derudover kan det have en vis antikolinerg aktivitet.</w:t>
      </w:r>
    </w:p>
    <w:p w:rsidR="0043273A" w:rsidRPr="0043273A" w:rsidRDefault="0043273A" w:rsidP="0043273A">
      <w:pPr>
        <w:tabs>
          <w:tab w:val="left" w:pos="851"/>
        </w:tabs>
        <w:ind w:left="851"/>
        <w:rPr>
          <w:sz w:val="24"/>
          <w:szCs w:val="24"/>
        </w:rPr>
      </w:pPr>
      <w:r w:rsidRPr="0043273A">
        <w:rPr>
          <w:sz w:val="24"/>
          <w:szCs w:val="24"/>
        </w:rPr>
        <w:t xml:space="preserve">Når det administreres alene eller i kombination med andre lægemidler, forbedrer </w:t>
      </w:r>
      <w:r w:rsidRPr="0043273A">
        <w:rPr>
          <w:iCs/>
          <w:sz w:val="24"/>
          <w:szCs w:val="24"/>
          <w:lang w:val="sv-SE"/>
        </w:rPr>
        <w:t xml:space="preserve">amantadin </w:t>
      </w:r>
      <w:r w:rsidRPr="0043273A">
        <w:rPr>
          <w:sz w:val="24"/>
          <w:szCs w:val="24"/>
        </w:rPr>
        <w:t>de vigtigste tegn og symptomer på Parkinsons sygdom.</w:t>
      </w:r>
    </w:p>
    <w:p w:rsidR="0043273A" w:rsidRPr="0043273A" w:rsidRDefault="0043273A" w:rsidP="0043273A">
      <w:pPr>
        <w:tabs>
          <w:tab w:val="left" w:pos="851"/>
        </w:tabs>
        <w:ind w:left="851"/>
        <w:rPr>
          <w:sz w:val="24"/>
          <w:szCs w:val="24"/>
          <w:lang w:val="pt-BR"/>
        </w:rPr>
      </w:pPr>
      <w:r w:rsidRPr="0043273A">
        <w:rPr>
          <w:sz w:val="24"/>
          <w:szCs w:val="24"/>
        </w:rPr>
        <w:t xml:space="preserve">Effekten forekommer normalt to til fem dage efter behandlingsstart. Især har det en positiv effekt på akinesi, stivhed og tremor. Ved fortsat behandling mister </w:t>
      </w:r>
      <w:r w:rsidRPr="0043273A">
        <w:rPr>
          <w:iCs/>
          <w:sz w:val="24"/>
          <w:szCs w:val="24"/>
          <w:lang w:val="sv-SE"/>
        </w:rPr>
        <w:t xml:space="preserve">Parkadin </w:t>
      </w:r>
      <w:r w:rsidRPr="0043273A">
        <w:rPr>
          <w:sz w:val="24"/>
          <w:szCs w:val="24"/>
        </w:rPr>
        <w:t>sin virkning efter længere eller kortere tid.</w:t>
      </w:r>
    </w:p>
    <w:p w:rsidR="009260DE" w:rsidRPr="0043273A" w:rsidRDefault="009260DE" w:rsidP="009260DE">
      <w:pPr>
        <w:tabs>
          <w:tab w:val="left" w:pos="851"/>
        </w:tabs>
        <w:ind w:left="851"/>
        <w:rPr>
          <w:sz w:val="24"/>
          <w:szCs w:val="24"/>
          <w:lang w:val="pt-BR"/>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43273A" w:rsidRPr="0043273A" w:rsidRDefault="0043273A" w:rsidP="0043273A">
      <w:pPr>
        <w:tabs>
          <w:tab w:val="left" w:pos="851"/>
        </w:tabs>
        <w:ind w:left="851"/>
        <w:rPr>
          <w:sz w:val="24"/>
          <w:szCs w:val="24"/>
        </w:rPr>
      </w:pPr>
    </w:p>
    <w:p w:rsidR="0043273A" w:rsidRPr="0043273A" w:rsidRDefault="0043273A" w:rsidP="0043273A">
      <w:pPr>
        <w:tabs>
          <w:tab w:val="left" w:pos="851"/>
        </w:tabs>
        <w:ind w:left="851"/>
        <w:rPr>
          <w:sz w:val="24"/>
          <w:szCs w:val="24"/>
          <w:u w:val="single"/>
        </w:rPr>
      </w:pPr>
      <w:r w:rsidRPr="0043273A">
        <w:rPr>
          <w:sz w:val="24"/>
          <w:szCs w:val="24"/>
          <w:u w:val="single"/>
        </w:rPr>
        <w:t>Absorption</w:t>
      </w:r>
    </w:p>
    <w:p w:rsidR="0043273A" w:rsidRPr="0043273A" w:rsidRDefault="0043273A" w:rsidP="0043273A">
      <w:pPr>
        <w:tabs>
          <w:tab w:val="left" w:pos="851"/>
        </w:tabs>
        <w:ind w:left="851"/>
        <w:rPr>
          <w:sz w:val="24"/>
          <w:szCs w:val="24"/>
        </w:rPr>
      </w:pPr>
      <w:r w:rsidRPr="0043273A">
        <w:rPr>
          <w:iCs/>
          <w:sz w:val="24"/>
          <w:szCs w:val="24"/>
          <w:lang w:val="sv-SE"/>
        </w:rPr>
        <w:t xml:space="preserve">Amantadin </w:t>
      </w:r>
      <w:r w:rsidRPr="0043273A">
        <w:rPr>
          <w:sz w:val="24"/>
          <w:szCs w:val="24"/>
        </w:rPr>
        <w:t xml:space="preserve">absorberes langsomt, men næsten fuldstændigt. Maksimale plasmaniveauer på henholdsvis ca. 250 ng/ml eller 500 ng/ml nås inden for 3 til 4 timer efter en enkelt administration af 100 mg eller 200 mg </w:t>
      </w:r>
      <w:r w:rsidRPr="0043273A">
        <w:rPr>
          <w:iCs/>
          <w:sz w:val="24"/>
          <w:szCs w:val="24"/>
          <w:lang w:val="sv-SE"/>
        </w:rPr>
        <w:t>amantadin</w:t>
      </w:r>
      <w:r w:rsidRPr="0043273A">
        <w:rPr>
          <w:sz w:val="24"/>
          <w:szCs w:val="24"/>
        </w:rPr>
        <w:t>. Efter gentagen administration af 25, 100 eller 150 mg to gange dagligt opnås steady state-plasmakoncentrationer på henholdsvis 110, 302 eller 588 ng/ml inden for 3 dage.</w:t>
      </w:r>
    </w:p>
    <w:p w:rsidR="0043273A" w:rsidRPr="0043273A" w:rsidRDefault="0043273A" w:rsidP="0043273A">
      <w:pPr>
        <w:tabs>
          <w:tab w:val="left" w:pos="851"/>
        </w:tabs>
        <w:ind w:left="851"/>
        <w:rPr>
          <w:sz w:val="24"/>
          <w:szCs w:val="24"/>
        </w:rPr>
      </w:pPr>
    </w:p>
    <w:p w:rsidR="0043273A" w:rsidRPr="0043273A" w:rsidRDefault="0043273A" w:rsidP="0043273A">
      <w:pPr>
        <w:tabs>
          <w:tab w:val="left" w:pos="851"/>
        </w:tabs>
        <w:ind w:left="851"/>
        <w:rPr>
          <w:sz w:val="24"/>
          <w:szCs w:val="24"/>
          <w:u w:val="single"/>
        </w:rPr>
      </w:pPr>
      <w:r w:rsidRPr="0043273A">
        <w:rPr>
          <w:sz w:val="24"/>
          <w:szCs w:val="24"/>
          <w:u w:val="single"/>
        </w:rPr>
        <w:t>Fordeling</w:t>
      </w:r>
    </w:p>
    <w:p w:rsidR="0043273A" w:rsidRPr="0043273A" w:rsidRDefault="0043273A" w:rsidP="0043273A">
      <w:pPr>
        <w:tabs>
          <w:tab w:val="left" w:pos="851"/>
        </w:tabs>
        <w:ind w:left="851"/>
        <w:rPr>
          <w:sz w:val="24"/>
          <w:szCs w:val="24"/>
        </w:rPr>
      </w:pPr>
      <w:r w:rsidRPr="0043273A">
        <w:rPr>
          <w:i/>
          <w:iCs/>
          <w:sz w:val="24"/>
          <w:szCs w:val="24"/>
        </w:rPr>
        <w:t>In vitro</w:t>
      </w:r>
      <w:r w:rsidRPr="0043273A">
        <w:rPr>
          <w:sz w:val="24"/>
          <w:szCs w:val="24"/>
        </w:rPr>
        <w:t xml:space="preserve"> bindes 67 % af </w:t>
      </w:r>
      <w:r w:rsidRPr="0043273A">
        <w:rPr>
          <w:iCs/>
          <w:sz w:val="24"/>
          <w:szCs w:val="24"/>
          <w:lang w:val="sv-SE"/>
        </w:rPr>
        <w:t xml:space="preserve">amantadin </w:t>
      </w:r>
      <w:r w:rsidRPr="0043273A">
        <w:rPr>
          <w:sz w:val="24"/>
          <w:szCs w:val="24"/>
        </w:rPr>
        <w:t xml:space="preserve">til plasmaproteiner. En væsentlig del af </w:t>
      </w:r>
      <w:r w:rsidRPr="0043273A">
        <w:rPr>
          <w:iCs/>
          <w:sz w:val="24"/>
          <w:szCs w:val="24"/>
          <w:lang w:val="sv-SE"/>
        </w:rPr>
        <w:t xml:space="preserve">amantadin </w:t>
      </w:r>
      <w:r w:rsidRPr="0043273A">
        <w:rPr>
          <w:sz w:val="24"/>
          <w:szCs w:val="24"/>
        </w:rPr>
        <w:t xml:space="preserve">bindes til røde blodlegemer. Koncentrationen af </w:t>
      </w:r>
      <w:r w:rsidRPr="0043273A">
        <w:rPr>
          <w:iCs/>
          <w:sz w:val="24"/>
          <w:szCs w:val="24"/>
          <w:lang w:val="sv-SE"/>
        </w:rPr>
        <w:t xml:space="preserve">amantadin </w:t>
      </w:r>
      <w:r w:rsidRPr="0043273A">
        <w:rPr>
          <w:sz w:val="24"/>
          <w:szCs w:val="24"/>
        </w:rPr>
        <w:t>i erytrocytter hos raske frivillige er 2,66 gange plasmakoncentrationen.</w:t>
      </w:r>
    </w:p>
    <w:p w:rsidR="0043273A" w:rsidRPr="0043273A" w:rsidRDefault="0043273A" w:rsidP="0043273A">
      <w:pPr>
        <w:tabs>
          <w:tab w:val="left" w:pos="851"/>
        </w:tabs>
        <w:ind w:left="851"/>
        <w:rPr>
          <w:sz w:val="24"/>
          <w:szCs w:val="24"/>
          <w:u w:val="single"/>
        </w:rPr>
      </w:pPr>
      <w:r w:rsidRPr="0043273A">
        <w:rPr>
          <w:sz w:val="24"/>
          <w:szCs w:val="24"/>
        </w:rPr>
        <w:t>Det tilsyneladende fordelingsvolumen (V</w:t>
      </w:r>
      <w:r w:rsidRPr="0043273A">
        <w:rPr>
          <w:sz w:val="24"/>
          <w:szCs w:val="24"/>
          <w:vertAlign w:val="subscript"/>
        </w:rPr>
        <w:t>D</w:t>
      </w:r>
      <w:r w:rsidRPr="0043273A">
        <w:rPr>
          <w:sz w:val="24"/>
          <w:szCs w:val="24"/>
        </w:rPr>
        <w:t>) er 5-10 l/kg, hvilket tyder på stærk vævsbinding. V</w:t>
      </w:r>
      <w:r w:rsidRPr="0043273A">
        <w:rPr>
          <w:sz w:val="24"/>
          <w:szCs w:val="24"/>
          <w:vertAlign w:val="subscript"/>
        </w:rPr>
        <w:t>D</w:t>
      </w:r>
      <w:r w:rsidRPr="0043273A">
        <w:rPr>
          <w:sz w:val="24"/>
          <w:szCs w:val="24"/>
        </w:rPr>
        <w:t xml:space="preserve"> falder med stigende doser. Koncentrationen af </w:t>
      </w:r>
      <w:r w:rsidRPr="0043273A">
        <w:rPr>
          <w:iCs/>
          <w:sz w:val="24"/>
          <w:szCs w:val="24"/>
          <w:lang w:val="sv-SE"/>
        </w:rPr>
        <w:t xml:space="preserve">amantadin </w:t>
      </w:r>
      <w:r w:rsidRPr="0043273A">
        <w:rPr>
          <w:sz w:val="24"/>
          <w:szCs w:val="24"/>
        </w:rPr>
        <w:t xml:space="preserve">i lunge, hjerte, nyre, lever og milt er højere end i blodet. </w:t>
      </w:r>
      <w:r w:rsidRPr="0043273A">
        <w:rPr>
          <w:iCs/>
          <w:sz w:val="24"/>
          <w:szCs w:val="24"/>
          <w:lang w:val="sv-SE"/>
        </w:rPr>
        <w:t xml:space="preserve">Amantadin </w:t>
      </w:r>
      <w:r w:rsidRPr="0043273A">
        <w:rPr>
          <w:sz w:val="24"/>
          <w:szCs w:val="24"/>
        </w:rPr>
        <w:t xml:space="preserve">akkumuleres i næsesekreter efter flere timer. </w:t>
      </w:r>
      <w:r w:rsidRPr="0043273A">
        <w:rPr>
          <w:iCs/>
          <w:sz w:val="24"/>
          <w:szCs w:val="24"/>
          <w:lang w:val="sv-SE"/>
        </w:rPr>
        <w:t xml:space="preserve">Amantadin </w:t>
      </w:r>
      <w:r w:rsidRPr="0043273A">
        <w:rPr>
          <w:sz w:val="24"/>
          <w:szCs w:val="24"/>
        </w:rPr>
        <w:t>krydser blod-hjerne-barrieren. Det gennemsnitlige forhold mellem cerebrospinalvæske (CSF) og total amantadin i serum er ca. 0,76.</w:t>
      </w:r>
    </w:p>
    <w:p w:rsidR="0043273A" w:rsidRDefault="0043273A">
      <w:pPr>
        <w:rPr>
          <w:sz w:val="24"/>
          <w:szCs w:val="24"/>
          <w:u w:val="single"/>
        </w:rPr>
      </w:pPr>
      <w:r>
        <w:rPr>
          <w:sz w:val="24"/>
          <w:szCs w:val="24"/>
          <w:u w:val="single"/>
        </w:rPr>
        <w:br w:type="page"/>
      </w:r>
    </w:p>
    <w:p w:rsidR="0043273A" w:rsidRPr="0043273A" w:rsidRDefault="0043273A" w:rsidP="0043273A">
      <w:pPr>
        <w:tabs>
          <w:tab w:val="left" w:pos="851"/>
        </w:tabs>
        <w:ind w:left="851"/>
        <w:rPr>
          <w:sz w:val="24"/>
          <w:szCs w:val="24"/>
          <w:u w:val="single"/>
        </w:rPr>
      </w:pPr>
    </w:p>
    <w:p w:rsidR="0043273A" w:rsidRPr="0043273A" w:rsidRDefault="0043273A" w:rsidP="0043273A">
      <w:pPr>
        <w:tabs>
          <w:tab w:val="left" w:pos="851"/>
        </w:tabs>
        <w:ind w:left="851"/>
        <w:rPr>
          <w:sz w:val="24"/>
          <w:szCs w:val="24"/>
          <w:u w:val="single"/>
        </w:rPr>
      </w:pPr>
      <w:r w:rsidRPr="0043273A">
        <w:rPr>
          <w:sz w:val="24"/>
          <w:szCs w:val="24"/>
          <w:u w:val="single"/>
        </w:rPr>
        <w:t>Biotransformation</w:t>
      </w:r>
    </w:p>
    <w:p w:rsidR="0043273A" w:rsidRPr="0043273A" w:rsidRDefault="0043273A" w:rsidP="0043273A">
      <w:pPr>
        <w:tabs>
          <w:tab w:val="left" w:pos="851"/>
        </w:tabs>
        <w:ind w:left="851"/>
        <w:rPr>
          <w:sz w:val="24"/>
          <w:szCs w:val="24"/>
        </w:rPr>
      </w:pPr>
      <w:r w:rsidRPr="0043273A">
        <w:rPr>
          <w:iCs/>
          <w:sz w:val="24"/>
          <w:szCs w:val="24"/>
          <w:lang w:val="sv-SE"/>
        </w:rPr>
        <w:t xml:space="preserve">Amantadin </w:t>
      </w:r>
      <w:r w:rsidRPr="0043273A">
        <w:rPr>
          <w:sz w:val="24"/>
          <w:szCs w:val="24"/>
        </w:rPr>
        <w:t xml:space="preserve">metaboliseres i mindre grad, og der er identificeret otte metabolitter af </w:t>
      </w:r>
      <w:r w:rsidRPr="0043273A">
        <w:rPr>
          <w:iCs/>
          <w:sz w:val="24"/>
          <w:szCs w:val="24"/>
          <w:lang w:val="sv-SE"/>
        </w:rPr>
        <w:t>amantadin</w:t>
      </w:r>
      <w:r w:rsidRPr="0043273A">
        <w:rPr>
          <w:sz w:val="24"/>
          <w:szCs w:val="24"/>
        </w:rPr>
        <w:t>. Hovedmetabolitten, N-acetylmetabolitten, udgør 5-15 % af den administrerede dosis. Metabolitternes farmakologiske aktivitet kendes ikke.</w:t>
      </w:r>
    </w:p>
    <w:p w:rsidR="0043273A" w:rsidRPr="0043273A" w:rsidRDefault="0043273A" w:rsidP="0043273A">
      <w:pPr>
        <w:tabs>
          <w:tab w:val="left" w:pos="851"/>
        </w:tabs>
        <w:ind w:left="851"/>
        <w:rPr>
          <w:sz w:val="24"/>
          <w:szCs w:val="24"/>
        </w:rPr>
      </w:pPr>
    </w:p>
    <w:p w:rsidR="0043273A" w:rsidRPr="0043273A" w:rsidRDefault="0043273A" w:rsidP="0043273A">
      <w:pPr>
        <w:tabs>
          <w:tab w:val="left" w:pos="851"/>
        </w:tabs>
        <w:ind w:left="851"/>
        <w:rPr>
          <w:sz w:val="24"/>
          <w:szCs w:val="24"/>
          <w:u w:val="single"/>
        </w:rPr>
      </w:pPr>
      <w:r w:rsidRPr="0043273A">
        <w:rPr>
          <w:sz w:val="24"/>
          <w:szCs w:val="24"/>
          <w:u w:val="single"/>
        </w:rPr>
        <w:t>Elimination</w:t>
      </w:r>
    </w:p>
    <w:p w:rsidR="0043273A" w:rsidRPr="0043273A" w:rsidRDefault="0043273A" w:rsidP="0043273A">
      <w:pPr>
        <w:tabs>
          <w:tab w:val="left" w:pos="851"/>
        </w:tabs>
        <w:ind w:left="851"/>
        <w:rPr>
          <w:sz w:val="24"/>
          <w:szCs w:val="24"/>
        </w:rPr>
      </w:pPr>
      <w:r w:rsidRPr="0043273A">
        <w:rPr>
          <w:iCs/>
          <w:sz w:val="24"/>
          <w:szCs w:val="24"/>
          <w:lang w:val="sv-SE"/>
        </w:rPr>
        <w:t xml:space="preserve">Amantadin </w:t>
      </w:r>
      <w:r w:rsidRPr="0043273A">
        <w:rPr>
          <w:sz w:val="24"/>
          <w:szCs w:val="24"/>
        </w:rPr>
        <w:t xml:space="preserve">elimineres hos raske unge voksne med en gennemsnitlig plasmahalveringstid ved elimination på 15 timer (10 til 31 timer). </w:t>
      </w:r>
    </w:p>
    <w:p w:rsidR="0043273A" w:rsidRPr="0043273A" w:rsidRDefault="0043273A" w:rsidP="0043273A">
      <w:pPr>
        <w:tabs>
          <w:tab w:val="left" w:pos="851"/>
        </w:tabs>
        <w:ind w:left="851"/>
        <w:rPr>
          <w:sz w:val="24"/>
          <w:szCs w:val="24"/>
        </w:rPr>
      </w:pPr>
      <w:r w:rsidRPr="0043273A">
        <w:rPr>
          <w:sz w:val="24"/>
          <w:szCs w:val="24"/>
        </w:rPr>
        <w:t xml:space="preserve">Halveringstiden for elimination af </w:t>
      </w:r>
      <w:r w:rsidRPr="0043273A">
        <w:rPr>
          <w:iCs/>
          <w:sz w:val="24"/>
          <w:szCs w:val="24"/>
          <w:lang w:val="sv-SE"/>
        </w:rPr>
        <w:t xml:space="preserve">amantadin </w:t>
      </w:r>
      <w:r w:rsidRPr="0043273A">
        <w:rPr>
          <w:sz w:val="24"/>
          <w:szCs w:val="24"/>
        </w:rPr>
        <w:t>i hjernevæv (6,5 dage) er meget længere end i blod.</w:t>
      </w:r>
    </w:p>
    <w:p w:rsidR="0043273A" w:rsidRPr="0043273A" w:rsidRDefault="0043273A" w:rsidP="0043273A">
      <w:pPr>
        <w:tabs>
          <w:tab w:val="left" w:pos="851"/>
        </w:tabs>
        <w:ind w:left="851"/>
        <w:rPr>
          <w:sz w:val="24"/>
          <w:szCs w:val="24"/>
        </w:rPr>
      </w:pPr>
      <w:r w:rsidRPr="0043273A">
        <w:rPr>
          <w:sz w:val="24"/>
          <w:szCs w:val="24"/>
        </w:rPr>
        <w:t xml:space="preserve">Den totale plasmaclearance er omtrent lig med renal clearance (250 ml/min). Nyreclearance af </w:t>
      </w:r>
      <w:r w:rsidRPr="0043273A">
        <w:rPr>
          <w:iCs/>
          <w:sz w:val="24"/>
          <w:szCs w:val="24"/>
          <w:lang w:val="sv-SE"/>
        </w:rPr>
        <w:t xml:space="preserve">amantadin </w:t>
      </w:r>
      <w:r w:rsidRPr="0043273A">
        <w:rPr>
          <w:sz w:val="24"/>
          <w:szCs w:val="24"/>
        </w:rPr>
        <w:t xml:space="preserve">er meget højere end kreatininclearance, hvilket tyder på renal tubulær sekretion. Urinens pH har stor indflydelse på eliminationshastigheden. Forøgelse af urinens pH kan føre til et signifikant fald i eliminationshastigheden for </w:t>
      </w:r>
      <w:r w:rsidRPr="0043273A">
        <w:rPr>
          <w:iCs/>
          <w:sz w:val="24"/>
          <w:szCs w:val="24"/>
          <w:lang w:val="sv-SE"/>
        </w:rPr>
        <w:t>amantadin</w:t>
      </w:r>
      <w:r w:rsidRPr="0043273A">
        <w:rPr>
          <w:sz w:val="24"/>
          <w:szCs w:val="24"/>
        </w:rPr>
        <w:t>.</w:t>
      </w:r>
    </w:p>
    <w:p w:rsidR="0043273A" w:rsidRPr="0043273A" w:rsidRDefault="0043273A" w:rsidP="0043273A">
      <w:pPr>
        <w:tabs>
          <w:tab w:val="left" w:pos="851"/>
        </w:tabs>
        <w:ind w:left="851"/>
        <w:rPr>
          <w:sz w:val="24"/>
          <w:szCs w:val="24"/>
        </w:rPr>
      </w:pPr>
    </w:p>
    <w:p w:rsidR="0043273A" w:rsidRPr="0043273A" w:rsidRDefault="0043273A" w:rsidP="0043273A">
      <w:pPr>
        <w:tabs>
          <w:tab w:val="left" w:pos="851"/>
        </w:tabs>
        <w:ind w:left="851"/>
        <w:rPr>
          <w:sz w:val="24"/>
          <w:szCs w:val="24"/>
          <w:u w:val="single"/>
          <w:lang w:val="pt-BR"/>
        </w:rPr>
      </w:pPr>
      <w:r w:rsidRPr="0043273A">
        <w:rPr>
          <w:bCs/>
          <w:sz w:val="24"/>
          <w:szCs w:val="24"/>
          <w:u w:val="single"/>
        </w:rPr>
        <w:t>Linearitet/non-linearitet</w:t>
      </w:r>
    </w:p>
    <w:p w:rsidR="0043273A" w:rsidRPr="0043273A" w:rsidRDefault="0043273A" w:rsidP="0043273A">
      <w:pPr>
        <w:tabs>
          <w:tab w:val="left" w:pos="851"/>
        </w:tabs>
        <w:ind w:left="851"/>
        <w:rPr>
          <w:b/>
          <w:bCs/>
          <w:sz w:val="24"/>
          <w:szCs w:val="24"/>
          <w:lang w:val="pt-BR"/>
        </w:rPr>
      </w:pPr>
      <w:r w:rsidRPr="0043273A">
        <w:rPr>
          <w:iCs/>
          <w:sz w:val="24"/>
          <w:szCs w:val="24"/>
          <w:lang w:val="sv-SE"/>
        </w:rPr>
        <w:t xml:space="preserve">Amantadin </w:t>
      </w:r>
      <w:r w:rsidRPr="0043273A">
        <w:rPr>
          <w:sz w:val="24"/>
          <w:szCs w:val="24"/>
        </w:rPr>
        <w:t>udviser dosisproportionel farmakokinetik i et doseringsinterval på 100-200 mg.</w:t>
      </w:r>
    </w:p>
    <w:p w:rsidR="0043273A" w:rsidRPr="0043273A" w:rsidRDefault="0043273A" w:rsidP="0043273A">
      <w:pPr>
        <w:tabs>
          <w:tab w:val="left" w:pos="851"/>
        </w:tabs>
        <w:ind w:left="851"/>
        <w:rPr>
          <w:sz w:val="24"/>
          <w:szCs w:val="24"/>
        </w:rPr>
      </w:pPr>
    </w:p>
    <w:p w:rsidR="0043273A" w:rsidRPr="0043273A" w:rsidRDefault="0043273A" w:rsidP="0043273A">
      <w:pPr>
        <w:tabs>
          <w:tab w:val="left" w:pos="851"/>
        </w:tabs>
        <w:ind w:left="851"/>
        <w:rPr>
          <w:sz w:val="24"/>
          <w:szCs w:val="24"/>
          <w:u w:val="single"/>
        </w:rPr>
      </w:pPr>
      <w:r w:rsidRPr="0043273A">
        <w:rPr>
          <w:sz w:val="24"/>
          <w:szCs w:val="24"/>
          <w:u w:val="single"/>
        </w:rPr>
        <w:t>Karakteristika i særlige patientpopulationer</w:t>
      </w:r>
    </w:p>
    <w:p w:rsidR="0043273A" w:rsidRPr="0043273A" w:rsidRDefault="0043273A" w:rsidP="0043273A">
      <w:pPr>
        <w:tabs>
          <w:tab w:val="left" w:pos="851"/>
        </w:tabs>
        <w:ind w:left="851"/>
        <w:rPr>
          <w:sz w:val="24"/>
          <w:szCs w:val="24"/>
        </w:rPr>
      </w:pPr>
    </w:p>
    <w:p w:rsidR="0043273A" w:rsidRPr="0043273A" w:rsidRDefault="0043273A" w:rsidP="0043273A">
      <w:pPr>
        <w:tabs>
          <w:tab w:val="left" w:pos="851"/>
        </w:tabs>
        <w:ind w:left="851"/>
        <w:rPr>
          <w:i/>
          <w:sz w:val="24"/>
          <w:szCs w:val="24"/>
        </w:rPr>
      </w:pPr>
      <w:r w:rsidRPr="0043273A">
        <w:rPr>
          <w:i/>
          <w:iCs/>
          <w:sz w:val="24"/>
          <w:szCs w:val="24"/>
        </w:rPr>
        <w:t>Ældre patienter</w:t>
      </w:r>
    </w:p>
    <w:p w:rsidR="0043273A" w:rsidRPr="0043273A" w:rsidRDefault="0043273A" w:rsidP="0043273A">
      <w:pPr>
        <w:tabs>
          <w:tab w:val="left" w:pos="851"/>
        </w:tabs>
        <w:ind w:left="851"/>
        <w:rPr>
          <w:sz w:val="24"/>
          <w:szCs w:val="24"/>
        </w:rPr>
      </w:pPr>
      <w:r w:rsidRPr="0043273A">
        <w:rPr>
          <w:sz w:val="24"/>
          <w:szCs w:val="24"/>
        </w:rPr>
        <w:t>Sammenlignet med data fra raske unge voksne er halveringstiden fordoblet og nyreclearance reduceret. Forholdet mellem nyreclearance og kreatininclearance er lavere hos ældre end hos unge. Generelt er tubulær sekretion mere reduceret end glomerulær filtrering hos ældre. Hos ældre patienter med nedsat nyrefunktion resulterede gentagen administration af 100 mg dagligt i 14 dage i plasmakoncentrationer i det toksiske område.</w:t>
      </w:r>
    </w:p>
    <w:p w:rsidR="0043273A" w:rsidRPr="0043273A" w:rsidRDefault="0043273A" w:rsidP="0043273A">
      <w:pPr>
        <w:tabs>
          <w:tab w:val="left" w:pos="851"/>
        </w:tabs>
        <w:ind w:left="851"/>
        <w:rPr>
          <w:sz w:val="24"/>
          <w:szCs w:val="24"/>
        </w:rPr>
      </w:pPr>
    </w:p>
    <w:p w:rsidR="0043273A" w:rsidRPr="0043273A" w:rsidRDefault="0043273A" w:rsidP="0043273A">
      <w:pPr>
        <w:tabs>
          <w:tab w:val="left" w:pos="851"/>
        </w:tabs>
        <w:ind w:left="851"/>
        <w:rPr>
          <w:i/>
          <w:sz w:val="24"/>
          <w:szCs w:val="24"/>
        </w:rPr>
      </w:pPr>
      <w:r w:rsidRPr="0043273A">
        <w:rPr>
          <w:i/>
          <w:iCs/>
          <w:sz w:val="24"/>
          <w:szCs w:val="24"/>
        </w:rPr>
        <w:t>Patienter med nedsat nyrefunktion</w:t>
      </w:r>
    </w:p>
    <w:p w:rsidR="0043273A" w:rsidRPr="0043273A" w:rsidRDefault="0043273A" w:rsidP="0043273A">
      <w:pPr>
        <w:tabs>
          <w:tab w:val="left" w:pos="851"/>
        </w:tabs>
        <w:ind w:left="851"/>
        <w:rPr>
          <w:sz w:val="24"/>
          <w:szCs w:val="24"/>
        </w:rPr>
      </w:pPr>
      <w:r w:rsidRPr="0043273A">
        <w:rPr>
          <w:sz w:val="24"/>
          <w:szCs w:val="24"/>
        </w:rPr>
        <w:t>Da amantadin</w:t>
      </w:r>
      <w:r w:rsidRPr="0043273A">
        <w:rPr>
          <w:iCs/>
          <w:sz w:val="24"/>
          <w:szCs w:val="24"/>
          <w:lang w:val="sv-SE"/>
        </w:rPr>
        <w:t xml:space="preserve"> </w:t>
      </w:r>
      <w:r w:rsidRPr="0043273A">
        <w:rPr>
          <w:sz w:val="24"/>
          <w:szCs w:val="24"/>
        </w:rPr>
        <w:t>hovedsageligt udskilles af nyrerne, kan der forekomme akkumulering af amantadin</w:t>
      </w:r>
      <w:r w:rsidRPr="0043273A">
        <w:rPr>
          <w:iCs/>
          <w:sz w:val="24"/>
          <w:szCs w:val="24"/>
          <w:lang w:val="sv-SE"/>
        </w:rPr>
        <w:t xml:space="preserve"> </w:t>
      </w:r>
      <w:r w:rsidRPr="0043273A">
        <w:rPr>
          <w:sz w:val="24"/>
          <w:szCs w:val="24"/>
        </w:rPr>
        <w:t>hos patienter med nedsat nyrefunktion, hvilket fører til alvorlige bivirkninger. En kreatininclearance på mindre end 40 ml/min [1,73 m</w:t>
      </w:r>
      <w:r w:rsidRPr="0043273A">
        <w:rPr>
          <w:sz w:val="24"/>
          <w:szCs w:val="24"/>
          <w:vertAlign w:val="superscript"/>
        </w:rPr>
        <w:t>2</w:t>
      </w:r>
      <w:r w:rsidRPr="0043273A">
        <w:rPr>
          <w:sz w:val="24"/>
          <w:szCs w:val="24"/>
        </w:rPr>
        <w:t>] forårsager en tre til fem gange længere halveringstid og en fem gange lavere total og renal clearance. Renal elimination er dominerende selv ved nyreinsufficiens. Ældre patienter eller patienter, der lider af nyreinsufficiens, bør modtage en adækvat reduceret dosis. Den plasmakoncentration af amantadin, der skal opnås, bør ikke overstige maksimalt 300 ng/ml.</w:t>
      </w:r>
    </w:p>
    <w:p w:rsidR="0043273A" w:rsidRPr="0043273A" w:rsidRDefault="0043273A" w:rsidP="0043273A">
      <w:pPr>
        <w:tabs>
          <w:tab w:val="left" w:pos="851"/>
        </w:tabs>
        <w:ind w:left="851"/>
        <w:rPr>
          <w:sz w:val="24"/>
          <w:szCs w:val="24"/>
        </w:rPr>
      </w:pPr>
    </w:p>
    <w:p w:rsidR="0043273A" w:rsidRPr="0043273A" w:rsidRDefault="0043273A" w:rsidP="0043273A">
      <w:pPr>
        <w:tabs>
          <w:tab w:val="left" w:pos="851"/>
        </w:tabs>
        <w:ind w:left="851"/>
        <w:rPr>
          <w:i/>
          <w:iCs/>
          <w:sz w:val="24"/>
          <w:szCs w:val="24"/>
          <w:lang w:val="pt-BR"/>
        </w:rPr>
      </w:pPr>
      <w:r w:rsidRPr="0043273A">
        <w:rPr>
          <w:bCs/>
          <w:i/>
          <w:iCs/>
          <w:sz w:val="24"/>
          <w:szCs w:val="24"/>
        </w:rPr>
        <w:t>Patienter i hæmodialyse</w:t>
      </w:r>
    </w:p>
    <w:p w:rsidR="0043273A" w:rsidRPr="0043273A" w:rsidRDefault="0043273A" w:rsidP="0043273A">
      <w:pPr>
        <w:tabs>
          <w:tab w:val="left" w:pos="851"/>
        </w:tabs>
        <w:ind w:left="851"/>
        <w:rPr>
          <w:sz w:val="24"/>
          <w:szCs w:val="24"/>
          <w:lang w:val="pt-BR"/>
        </w:rPr>
      </w:pPr>
      <w:r w:rsidRPr="0043273A">
        <w:rPr>
          <w:sz w:val="24"/>
          <w:szCs w:val="24"/>
        </w:rPr>
        <w:t>Hæmodialyse fjerner kun lidt amantadin; denne ineffektivitet kan være relateret til dets stærke vævsbinding. Mindre end 5 % af en dosis fjernes i løbet af 4 timers hæmodialyse. Den gennemsnitlige halveringstid når 24 timers dialyse.</w:t>
      </w:r>
    </w:p>
    <w:p w:rsidR="0043273A" w:rsidRPr="0043273A" w:rsidRDefault="0043273A" w:rsidP="0043273A">
      <w:pPr>
        <w:tabs>
          <w:tab w:val="left" w:pos="851"/>
        </w:tabs>
        <w:ind w:left="851"/>
        <w:rPr>
          <w:i/>
          <w:iCs/>
          <w:sz w:val="24"/>
          <w:szCs w:val="24"/>
          <w:lang w:val="pt-BR"/>
        </w:rPr>
      </w:pPr>
    </w:p>
    <w:p w:rsidR="0043273A" w:rsidRPr="0043273A" w:rsidRDefault="0043273A" w:rsidP="0043273A">
      <w:pPr>
        <w:tabs>
          <w:tab w:val="left" w:pos="851"/>
        </w:tabs>
        <w:ind w:left="851"/>
        <w:rPr>
          <w:i/>
          <w:iCs/>
          <w:sz w:val="24"/>
          <w:szCs w:val="24"/>
        </w:rPr>
      </w:pPr>
      <w:r w:rsidRPr="0043273A">
        <w:rPr>
          <w:bCs/>
          <w:i/>
          <w:iCs/>
          <w:sz w:val="24"/>
          <w:szCs w:val="24"/>
        </w:rPr>
        <w:t>Patienter med nedsat leverfunktion</w:t>
      </w:r>
    </w:p>
    <w:p w:rsidR="0043273A" w:rsidRPr="0043273A" w:rsidRDefault="0043273A" w:rsidP="0043273A">
      <w:pPr>
        <w:tabs>
          <w:tab w:val="left" w:pos="851"/>
        </w:tabs>
        <w:ind w:left="851"/>
        <w:rPr>
          <w:sz w:val="24"/>
          <w:szCs w:val="24"/>
          <w:lang w:val="pt-BR"/>
        </w:rPr>
      </w:pPr>
      <w:r w:rsidRPr="0043273A">
        <w:rPr>
          <w:sz w:val="24"/>
          <w:szCs w:val="24"/>
        </w:rPr>
        <w:t>Indflydelsen af nedsat leverfunktion på farmakokinetikken af amantadin</w:t>
      </w:r>
      <w:r w:rsidRPr="0043273A">
        <w:rPr>
          <w:iCs/>
          <w:sz w:val="24"/>
          <w:szCs w:val="24"/>
          <w:lang w:val="sv-SE"/>
        </w:rPr>
        <w:t xml:space="preserve"> </w:t>
      </w:r>
      <w:r w:rsidRPr="0043273A">
        <w:rPr>
          <w:sz w:val="24"/>
          <w:szCs w:val="24"/>
        </w:rPr>
        <w:t>kendes ikke. Kun en lille del af amantadin</w:t>
      </w:r>
      <w:r w:rsidRPr="0043273A">
        <w:rPr>
          <w:iCs/>
          <w:sz w:val="24"/>
          <w:szCs w:val="24"/>
          <w:lang w:val="sv-SE"/>
        </w:rPr>
        <w:t xml:space="preserve"> </w:t>
      </w:r>
      <w:r w:rsidRPr="0043273A">
        <w:rPr>
          <w:sz w:val="24"/>
          <w:szCs w:val="24"/>
        </w:rPr>
        <w:t xml:space="preserve">gennemgår levermetabolisme (se </w:t>
      </w:r>
      <w:r w:rsidRPr="0043273A">
        <w:rPr>
          <w:i/>
          <w:iCs/>
          <w:sz w:val="24"/>
          <w:szCs w:val="24"/>
        </w:rPr>
        <w:t xml:space="preserve">”Biotransformation” </w:t>
      </w:r>
      <w:r w:rsidRPr="0043273A">
        <w:rPr>
          <w:sz w:val="24"/>
          <w:szCs w:val="24"/>
        </w:rPr>
        <w:t>under pkt. 5.2).</w:t>
      </w:r>
    </w:p>
    <w:p w:rsidR="0043273A" w:rsidRPr="0043273A" w:rsidRDefault="0043273A" w:rsidP="0043273A">
      <w:pPr>
        <w:tabs>
          <w:tab w:val="left" w:pos="851"/>
        </w:tabs>
        <w:ind w:left="851"/>
        <w:rPr>
          <w:i/>
          <w:iCs/>
          <w:sz w:val="24"/>
          <w:szCs w:val="24"/>
          <w:lang w:val="pt-BR"/>
        </w:rPr>
      </w:pPr>
    </w:p>
    <w:p w:rsidR="0043273A" w:rsidRPr="0043273A" w:rsidRDefault="0043273A" w:rsidP="0043273A">
      <w:pPr>
        <w:tabs>
          <w:tab w:val="left" w:pos="851"/>
        </w:tabs>
        <w:ind w:left="851"/>
        <w:rPr>
          <w:i/>
          <w:iCs/>
          <w:sz w:val="24"/>
          <w:szCs w:val="24"/>
        </w:rPr>
      </w:pPr>
      <w:r w:rsidRPr="0043273A">
        <w:rPr>
          <w:bCs/>
          <w:i/>
          <w:iCs/>
          <w:sz w:val="24"/>
          <w:szCs w:val="24"/>
        </w:rPr>
        <w:t>Ernæringsmæssig virkning</w:t>
      </w:r>
    </w:p>
    <w:p w:rsidR="0043273A" w:rsidRPr="0043273A" w:rsidRDefault="0043273A" w:rsidP="0043273A">
      <w:pPr>
        <w:tabs>
          <w:tab w:val="left" w:pos="851"/>
        </w:tabs>
        <w:ind w:left="851"/>
        <w:rPr>
          <w:sz w:val="24"/>
          <w:szCs w:val="24"/>
          <w:lang w:val="pt-BR"/>
        </w:rPr>
      </w:pPr>
      <w:r w:rsidRPr="0043273A">
        <w:rPr>
          <w:sz w:val="24"/>
          <w:szCs w:val="24"/>
        </w:rPr>
        <w:t>Fødevarer har ingen større indflydelse på amantadins farmakokinetik.</w:t>
      </w:r>
    </w:p>
    <w:p w:rsidR="0043273A" w:rsidRDefault="0043273A">
      <w:pPr>
        <w:rPr>
          <w:i/>
          <w:iCs/>
          <w:sz w:val="24"/>
          <w:szCs w:val="24"/>
          <w:lang w:val="pt-BR"/>
        </w:rPr>
      </w:pPr>
      <w:r>
        <w:rPr>
          <w:i/>
          <w:iCs/>
          <w:sz w:val="24"/>
          <w:szCs w:val="24"/>
          <w:lang w:val="pt-BR"/>
        </w:rPr>
        <w:br w:type="page"/>
      </w:r>
    </w:p>
    <w:p w:rsidR="0043273A" w:rsidRPr="0043273A" w:rsidRDefault="0043273A" w:rsidP="0043273A">
      <w:pPr>
        <w:tabs>
          <w:tab w:val="left" w:pos="851"/>
        </w:tabs>
        <w:ind w:left="851"/>
        <w:rPr>
          <w:i/>
          <w:iCs/>
          <w:sz w:val="24"/>
          <w:szCs w:val="24"/>
          <w:lang w:val="pt-BR"/>
        </w:rPr>
      </w:pPr>
    </w:p>
    <w:p w:rsidR="0043273A" w:rsidRPr="0043273A" w:rsidRDefault="0043273A" w:rsidP="0043273A">
      <w:pPr>
        <w:tabs>
          <w:tab w:val="left" w:pos="851"/>
        </w:tabs>
        <w:ind w:left="851"/>
        <w:rPr>
          <w:i/>
          <w:iCs/>
          <w:sz w:val="24"/>
          <w:szCs w:val="24"/>
        </w:rPr>
      </w:pPr>
      <w:r w:rsidRPr="0043273A">
        <w:rPr>
          <w:bCs/>
          <w:i/>
          <w:iCs/>
          <w:sz w:val="24"/>
          <w:szCs w:val="24"/>
        </w:rPr>
        <w:t>Etnicitet</w:t>
      </w:r>
    </w:p>
    <w:p w:rsidR="0043273A" w:rsidRPr="0043273A" w:rsidRDefault="0043273A" w:rsidP="0043273A">
      <w:pPr>
        <w:tabs>
          <w:tab w:val="left" w:pos="851"/>
        </w:tabs>
        <w:ind w:left="851"/>
        <w:rPr>
          <w:sz w:val="24"/>
          <w:szCs w:val="24"/>
        </w:rPr>
      </w:pPr>
      <w:r w:rsidRPr="0043273A">
        <w:rPr>
          <w:sz w:val="24"/>
          <w:szCs w:val="24"/>
        </w:rPr>
        <w:t>Det vides ikke, om farmakokinetikken af amantadin</w:t>
      </w:r>
      <w:r w:rsidRPr="0043273A">
        <w:rPr>
          <w:iCs/>
          <w:sz w:val="24"/>
          <w:szCs w:val="24"/>
          <w:lang w:val="sv-SE"/>
        </w:rPr>
        <w:t xml:space="preserve"> </w:t>
      </w:r>
      <w:r w:rsidRPr="0043273A">
        <w:rPr>
          <w:sz w:val="24"/>
          <w:szCs w:val="24"/>
        </w:rPr>
        <w:t>kontrolleres af genetiske faktorer.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43273A" w:rsidRPr="0043273A" w:rsidRDefault="0043273A" w:rsidP="0043273A">
      <w:pPr>
        <w:tabs>
          <w:tab w:val="left" w:pos="851"/>
        </w:tabs>
        <w:ind w:left="851"/>
        <w:rPr>
          <w:sz w:val="24"/>
          <w:szCs w:val="24"/>
        </w:rPr>
      </w:pPr>
      <w:r w:rsidRPr="0043273A">
        <w:rPr>
          <w:sz w:val="24"/>
          <w:szCs w:val="24"/>
        </w:rPr>
        <w:t>Amantadinhydrochlorid viste et lavt niveau af akut toksicitet i forskellige dyreforsøg. Der er udført subkroniske orale toksicitetsundersøgelser hos rotter, hunde og aber. Der var ingen tegn på specifik toksicitet. Kroniske toksicitetsundersøgelser udført hos rotter og hunde i op til to år viste ingen specifik toksicitet.</w:t>
      </w:r>
    </w:p>
    <w:p w:rsidR="0043273A" w:rsidRPr="006E2E89" w:rsidRDefault="0043273A" w:rsidP="0043273A">
      <w:pPr>
        <w:tabs>
          <w:tab w:val="left" w:pos="851"/>
        </w:tabs>
        <w:ind w:left="851"/>
        <w:rPr>
          <w:iCs/>
          <w:sz w:val="24"/>
          <w:szCs w:val="24"/>
        </w:rPr>
      </w:pPr>
      <w:r w:rsidRPr="0043273A">
        <w:rPr>
          <w:i/>
          <w:iCs/>
          <w:sz w:val="24"/>
          <w:szCs w:val="24"/>
        </w:rPr>
        <w:t xml:space="preserve">In vitro- </w:t>
      </w:r>
      <w:r w:rsidRPr="006E2E89">
        <w:rPr>
          <w:iCs/>
          <w:sz w:val="24"/>
          <w:szCs w:val="24"/>
        </w:rPr>
        <w:t>og</w:t>
      </w:r>
      <w:r w:rsidRPr="0043273A">
        <w:rPr>
          <w:i/>
          <w:iCs/>
          <w:sz w:val="24"/>
          <w:szCs w:val="24"/>
        </w:rPr>
        <w:t xml:space="preserve"> in vivo-</w:t>
      </w:r>
      <w:r w:rsidRPr="006E2E89">
        <w:rPr>
          <w:iCs/>
          <w:sz w:val="24"/>
          <w:szCs w:val="24"/>
        </w:rPr>
        <w:t xml:space="preserve">undersøgelser har vist, at </w:t>
      </w:r>
      <w:r w:rsidRPr="006E2E89">
        <w:rPr>
          <w:sz w:val="24"/>
          <w:szCs w:val="24"/>
        </w:rPr>
        <w:t>amantadin</w:t>
      </w:r>
      <w:r w:rsidRPr="006E2E89">
        <w:rPr>
          <w:iCs/>
          <w:sz w:val="24"/>
          <w:szCs w:val="24"/>
          <w:lang w:val="sv-SE"/>
        </w:rPr>
        <w:t xml:space="preserve"> </w:t>
      </w:r>
      <w:r w:rsidRPr="006E2E89">
        <w:rPr>
          <w:iCs/>
          <w:sz w:val="24"/>
          <w:szCs w:val="24"/>
        </w:rPr>
        <w:t>ikke er mutagent. Der er ikke udført karcinogenicitetsstudier. Der blev ikke fundet tegn på karcinogen virkning i et 2-årigt oralt toksicitetsstudie hos rotter. Antallet af dyr pr. dosisgruppe i dette studie var imidlertid ikke tilstrækkeligt til fuldt ud at evaluere det karcinogene potentiale.</w:t>
      </w:r>
    </w:p>
    <w:p w:rsidR="0043273A" w:rsidRPr="0043273A" w:rsidRDefault="0043273A" w:rsidP="0043273A">
      <w:pPr>
        <w:tabs>
          <w:tab w:val="left" w:pos="851"/>
        </w:tabs>
        <w:ind w:left="851"/>
        <w:rPr>
          <w:sz w:val="24"/>
          <w:szCs w:val="24"/>
        </w:rPr>
      </w:pPr>
      <w:r w:rsidRPr="0043273A">
        <w:rPr>
          <w:sz w:val="24"/>
          <w:szCs w:val="24"/>
        </w:rPr>
        <w:t>I embryotoksicitetsstudier hos rotter, mus og kaniner er der kun set embryoletale virkninger og misdannelser hos rotter. Der var en stigning i ødem, fejlplacering af bagbenene, knogleabnormiteter (manglende ribben, aplasi af den kaudale ryghvirvel). Den laveste dosis, hvor der forekom virkninger hos rotter, var 15 gange højere end den maksimale humane dosis. Dens relevans for mennesker kendes ikke.</w:t>
      </w:r>
    </w:p>
    <w:p w:rsidR="0043273A" w:rsidRPr="0043273A" w:rsidRDefault="0043273A" w:rsidP="0043273A">
      <w:pPr>
        <w:tabs>
          <w:tab w:val="left" w:pos="851"/>
        </w:tabs>
        <w:ind w:left="851"/>
        <w:rPr>
          <w:sz w:val="24"/>
          <w:szCs w:val="24"/>
        </w:rPr>
      </w:pPr>
      <w:r w:rsidRPr="0043273A">
        <w:rPr>
          <w:sz w:val="24"/>
          <w:szCs w:val="24"/>
        </w:rPr>
        <w:t>Virkningerne på forplantningsevnen er ikke blevet tilstrækkeligt undersøgt, men der er tegn på reduceret forplantningsevne hos rotter ved de samme doser, som der blev observeret reproduktionstoksicitet ved.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6E2E89" w:rsidRPr="006E2E89" w:rsidRDefault="006E2E89" w:rsidP="006E2E89">
      <w:pPr>
        <w:tabs>
          <w:tab w:val="left" w:pos="851"/>
        </w:tabs>
        <w:ind w:left="851"/>
        <w:rPr>
          <w:b/>
          <w:sz w:val="24"/>
          <w:szCs w:val="24"/>
        </w:rPr>
      </w:pPr>
    </w:p>
    <w:p w:rsidR="006E2E89" w:rsidRPr="006E2E89" w:rsidRDefault="006E2E89" w:rsidP="006E2E89">
      <w:pPr>
        <w:tabs>
          <w:tab w:val="left" w:pos="851"/>
        </w:tabs>
        <w:ind w:left="851"/>
        <w:rPr>
          <w:sz w:val="24"/>
          <w:szCs w:val="24"/>
          <w:u w:val="single"/>
        </w:rPr>
      </w:pPr>
      <w:r w:rsidRPr="006E2E89">
        <w:rPr>
          <w:sz w:val="24"/>
          <w:szCs w:val="24"/>
          <w:u w:val="single"/>
        </w:rPr>
        <w:t>Pulver i kapsel</w:t>
      </w:r>
    </w:p>
    <w:p w:rsidR="006E2E89" w:rsidRPr="006E2E89" w:rsidRDefault="006E2E89" w:rsidP="006E2E89">
      <w:pPr>
        <w:tabs>
          <w:tab w:val="left" w:pos="851"/>
        </w:tabs>
        <w:ind w:left="851"/>
        <w:rPr>
          <w:sz w:val="24"/>
          <w:szCs w:val="24"/>
        </w:rPr>
      </w:pPr>
      <w:r w:rsidRPr="006E2E89">
        <w:rPr>
          <w:sz w:val="24"/>
          <w:szCs w:val="24"/>
        </w:rPr>
        <w:t>Lactosemonohydrat</w:t>
      </w:r>
    </w:p>
    <w:p w:rsidR="006E2E89" w:rsidRPr="006E2E89" w:rsidRDefault="006E2E89" w:rsidP="006E2E89">
      <w:pPr>
        <w:tabs>
          <w:tab w:val="left" w:pos="851"/>
        </w:tabs>
        <w:ind w:left="851"/>
        <w:rPr>
          <w:sz w:val="24"/>
          <w:szCs w:val="24"/>
        </w:rPr>
      </w:pPr>
      <w:r w:rsidRPr="006E2E89">
        <w:rPr>
          <w:sz w:val="24"/>
          <w:szCs w:val="24"/>
        </w:rPr>
        <w:t>Povidon</w:t>
      </w:r>
    </w:p>
    <w:p w:rsidR="006E2E89" w:rsidRPr="006E2E89" w:rsidRDefault="006E2E89" w:rsidP="006E2E89">
      <w:pPr>
        <w:tabs>
          <w:tab w:val="left" w:pos="851"/>
        </w:tabs>
        <w:ind w:left="851"/>
        <w:rPr>
          <w:sz w:val="24"/>
          <w:szCs w:val="24"/>
        </w:rPr>
      </w:pPr>
      <w:r w:rsidRPr="006E2E89">
        <w:rPr>
          <w:sz w:val="24"/>
          <w:szCs w:val="24"/>
        </w:rPr>
        <w:t>Magnesiumstearat</w:t>
      </w:r>
    </w:p>
    <w:p w:rsidR="006E2E89" w:rsidRPr="006E2E89" w:rsidRDefault="006E2E89" w:rsidP="006E2E89">
      <w:pPr>
        <w:tabs>
          <w:tab w:val="left" w:pos="851"/>
        </w:tabs>
        <w:ind w:left="851"/>
        <w:rPr>
          <w:sz w:val="24"/>
          <w:szCs w:val="24"/>
        </w:rPr>
      </w:pPr>
    </w:p>
    <w:p w:rsidR="006E2E89" w:rsidRPr="006E2E89" w:rsidRDefault="006E2E89" w:rsidP="006E2E89">
      <w:pPr>
        <w:tabs>
          <w:tab w:val="left" w:pos="851"/>
        </w:tabs>
        <w:ind w:left="851"/>
        <w:rPr>
          <w:sz w:val="24"/>
          <w:szCs w:val="24"/>
          <w:u w:val="single"/>
        </w:rPr>
      </w:pPr>
      <w:r w:rsidRPr="006E2E89">
        <w:rPr>
          <w:sz w:val="24"/>
          <w:szCs w:val="24"/>
          <w:u w:val="single"/>
        </w:rPr>
        <w:t>Kapselskal</w:t>
      </w:r>
    </w:p>
    <w:p w:rsidR="006E2E89" w:rsidRPr="006E2E89" w:rsidRDefault="006E2E89" w:rsidP="006E2E89">
      <w:pPr>
        <w:tabs>
          <w:tab w:val="left" w:pos="851"/>
        </w:tabs>
        <w:ind w:left="851"/>
        <w:rPr>
          <w:sz w:val="24"/>
          <w:szCs w:val="24"/>
        </w:rPr>
      </w:pPr>
      <w:r w:rsidRPr="006E2E89">
        <w:rPr>
          <w:sz w:val="24"/>
          <w:szCs w:val="24"/>
        </w:rPr>
        <w:t>Gelatine</w:t>
      </w:r>
    </w:p>
    <w:p w:rsidR="006E2E89" w:rsidRPr="006E2E89" w:rsidRDefault="006E2E89" w:rsidP="006E2E89">
      <w:pPr>
        <w:tabs>
          <w:tab w:val="left" w:pos="851"/>
        </w:tabs>
        <w:ind w:left="851"/>
        <w:rPr>
          <w:sz w:val="24"/>
          <w:szCs w:val="24"/>
        </w:rPr>
      </w:pPr>
      <w:r w:rsidRPr="006E2E89">
        <w:rPr>
          <w:sz w:val="24"/>
          <w:szCs w:val="24"/>
        </w:rPr>
        <w:t>Sort jernoxid (E172)</w:t>
      </w:r>
    </w:p>
    <w:p w:rsidR="006E2E89" w:rsidRPr="006E2E89" w:rsidRDefault="006E2E89" w:rsidP="006E2E89">
      <w:pPr>
        <w:tabs>
          <w:tab w:val="left" w:pos="851"/>
        </w:tabs>
        <w:ind w:left="851"/>
        <w:rPr>
          <w:sz w:val="24"/>
          <w:szCs w:val="24"/>
        </w:rPr>
      </w:pPr>
      <w:r w:rsidRPr="006E2E89">
        <w:rPr>
          <w:sz w:val="24"/>
          <w:szCs w:val="24"/>
        </w:rPr>
        <w:t>Rød jernoxid (E172)</w:t>
      </w:r>
    </w:p>
    <w:p w:rsidR="006E2E89" w:rsidRPr="006E2E89" w:rsidRDefault="006E2E89" w:rsidP="006E2E89">
      <w:pPr>
        <w:tabs>
          <w:tab w:val="left" w:pos="851"/>
        </w:tabs>
        <w:ind w:left="851"/>
        <w:rPr>
          <w:sz w:val="24"/>
          <w:szCs w:val="24"/>
          <w:u w:val="single"/>
        </w:rPr>
      </w:pPr>
      <w:r w:rsidRPr="006E2E89">
        <w:rPr>
          <w:sz w:val="24"/>
          <w:szCs w:val="24"/>
        </w:rPr>
        <w:t>Titandioxid (E171)</w:t>
      </w:r>
    </w:p>
    <w:p w:rsidR="006E2E89" w:rsidRPr="006E2E89" w:rsidRDefault="006E2E89" w:rsidP="006E2E89">
      <w:pPr>
        <w:tabs>
          <w:tab w:val="left" w:pos="851"/>
        </w:tabs>
        <w:ind w:left="851"/>
        <w:rPr>
          <w:sz w:val="24"/>
          <w:szCs w:val="24"/>
          <w:u w:val="single"/>
        </w:rPr>
      </w:pPr>
    </w:p>
    <w:p w:rsidR="006E2E89" w:rsidRPr="006E2E89" w:rsidRDefault="006E2E89" w:rsidP="006E2E89">
      <w:pPr>
        <w:tabs>
          <w:tab w:val="left" w:pos="851"/>
        </w:tabs>
        <w:ind w:left="851"/>
        <w:rPr>
          <w:sz w:val="24"/>
          <w:szCs w:val="24"/>
          <w:u w:val="single"/>
        </w:rPr>
      </w:pPr>
      <w:r w:rsidRPr="006E2E89">
        <w:rPr>
          <w:sz w:val="24"/>
          <w:szCs w:val="24"/>
          <w:u w:val="single"/>
        </w:rPr>
        <w:t>Trykblæk</w:t>
      </w:r>
    </w:p>
    <w:p w:rsidR="006E2E89" w:rsidRPr="006E2E89" w:rsidRDefault="006E2E89" w:rsidP="006E2E89">
      <w:pPr>
        <w:tabs>
          <w:tab w:val="left" w:pos="851"/>
        </w:tabs>
        <w:ind w:left="851"/>
        <w:rPr>
          <w:sz w:val="24"/>
          <w:szCs w:val="24"/>
        </w:rPr>
      </w:pPr>
      <w:r w:rsidRPr="006E2E89">
        <w:rPr>
          <w:sz w:val="24"/>
          <w:szCs w:val="24"/>
        </w:rPr>
        <w:t>Shellac</w:t>
      </w:r>
    </w:p>
    <w:p w:rsidR="006E2E89" w:rsidRPr="006E2E89" w:rsidRDefault="006E2E89" w:rsidP="006E2E89">
      <w:pPr>
        <w:tabs>
          <w:tab w:val="left" w:pos="851"/>
        </w:tabs>
        <w:ind w:left="851"/>
        <w:rPr>
          <w:sz w:val="24"/>
          <w:szCs w:val="24"/>
        </w:rPr>
      </w:pPr>
      <w:r w:rsidRPr="006E2E89">
        <w:rPr>
          <w:sz w:val="24"/>
          <w:szCs w:val="24"/>
        </w:rPr>
        <w:t>Sort jernoxid (E172)</w:t>
      </w:r>
    </w:p>
    <w:p w:rsidR="006E2E89" w:rsidRPr="006E2E89" w:rsidRDefault="006E2E89" w:rsidP="006E2E89">
      <w:pPr>
        <w:tabs>
          <w:tab w:val="left" w:pos="851"/>
        </w:tabs>
        <w:ind w:left="851"/>
        <w:rPr>
          <w:sz w:val="24"/>
          <w:szCs w:val="24"/>
        </w:rPr>
      </w:pPr>
      <w:r w:rsidRPr="006E2E89">
        <w:rPr>
          <w:sz w:val="24"/>
          <w:szCs w:val="24"/>
        </w:rPr>
        <w:t>Kaliumhydroxid (E525)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6E2E89" w:rsidRPr="006E2E89" w:rsidRDefault="006E2E89" w:rsidP="006E2E89">
      <w:pPr>
        <w:tabs>
          <w:tab w:val="left" w:pos="851"/>
        </w:tabs>
        <w:ind w:left="851"/>
        <w:rPr>
          <w:sz w:val="24"/>
          <w:szCs w:val="24"/>
        </w:rPr>
      </w:pPr>
      <w:r w:rsidRPr="006E2E89">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6E2E89" w:rsidRPr="006E2E89" w:rsidRDefault="006E2E89" w:rsidP="006E2E89">
      <w:pPr>
        <w:tabs>
          <w:tab w:val="left" w:pos="851"/>
        </w:tabs>
        <w:ind w:left="851"/>
        <w:rPr>
          <w:sz w:val="24"/>
          <w:szCs w:val="24"/>
        </w:rPr>
      </w:pPr>
      <w:r w:rsidRPr="006E2E89">
        <w:rPr>
          <w:sz w:val="24"/>
          <w:szCs w:val="24"/>
        </w:rPr>
        <w:t>4 år</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6E2E89" w:rsidRPr="006E2E89" w:rsidRDefault="006E2E89" w:rsidP="006E2E89">
      <w:pPr>
        <w:tabs>
          <w:tab w:val="left" w:pos="851"/>
        </w:tabs>
        <w:ind w:left="851"/>
        <w:rPr>
          <w:sz w:val="24"/>
          <w:szCs w:val="24"/>
        </w:rPr>
      </w:pPr>
      <w:r w:rsidRPr="006E2E89">
        <w:rPr>
          <w:sz w:val="24"/>
          <w:szCs w:val="24"/>
        </w:rPr>
        <w:t>Må ikke opbevares ved temperaturer over 30</w:t>
      </w:r>
      <w:r>
        <w:rPr>
          <w:sz w:val="24"/>
          <w:szCs w:val="24"/>
        </w:rPr>
        <w:t xml:space="preserve"> </w:t>
      </w:r>
      <w:r w:rsidRPr="006E2E89">
        <w:rPr>
          <w:sz w:val="24"/>
          <w:szCs w:val="24"/>
        </w:rPr>
        <w:t>°C.</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6E2E89" w:rsidRDefault="006E2E89" w:rsidP="006E2E89">
      <w:pPr>
        <w:tabs>
          <w:tab w:val="left" w:pos="851"/>
        </w:tabs>
        <w:ind w:left="851"/>
        <w:rPr>
          <w:sz w:val="24"/>
          <w:szCs w:val="24"/>
        </w:rPr>
      </w:pPr>
      <w:r w:rsidRPr="006E2E89">
        <w:rPr>
          <w:sz w:val="24"/>
          <w:szCs w:val="24"/>
        </w:rPr>
        <w:t>Alu-PVC/PVdC blisterpakning</w:t>
      </w:r>
      <w:r>
        <w:rPr>
          <w:sz w:val="24"/>
          <w:szCs w:val="24"/>
        </w:rPr>
        <w:t>.</w:t>
      </w:r>
    </w:p>
    <w:p w:rsidR="006E2E89" w:rsidRDefault="006E2E89" w:rsidP="006E2E89">
      <w:pPr>
        <w:tabs>
          <w:tab w:val="left" w:pos="851"/>
        </w:tabs>
        <w:ind w:left="851"/>
        <w:rPr>
          <w:sz w:val="24"/>
          <w:szCs w:val="24"/>
        </w:rPr>
      </w:pPr>
    </w:p>
    <w:p w:rsidR="006E2E89" w:rsidRPr="006E2E89" w:rsidRDefault="006E2E89" w:rsidP="006E2E89">
      <w:pPr>
        <w:tabs>
          <w:tab w:val="left" w:pos="851"/>
        </w:tabs>
        <w:ind w:left="851"/>
        <w:rPr>
          <w:sz w:val="24"/>
          <w:szCs w:val="24"/>
          <w:u w:val="single"/>
        </w:rPr>
      </w:pPr>
      <w:r w:rsidRPr="006E2E89">
        <w:rPr>
          <w:sz w:val="24"/>
          <w:szCs w:val="24"/>
          <w:u w:val="single"/>
        </w:rPr>
        <w:t>Pakningsstørrelser</w:t>
      </w:r>
    </w:p>
    <w:p w:rsidR="006E2E89" w:rsidRPr="006E2E89" w:rsidRDefault="006E2E89" w:rsidP="006E2E89">
      <w:pPr>
        <w:tabs>
          <w:tab w:val="left" w:pos="851"/>
        </w:tabs>
        <w:ind w:left="851"/>
        <w:rPr>
          <w:sz w:val="24"/>
          <w:szCs w:val="24"/>
        </w:rPr>
      </w:pPr>
      <w:r w:rsidRPr="006E2E89">
        <w:rPr>
          <w:sz w:val="24"/>
          <w:szCs w:val="24"/>
        </w:rPr>
        <w:t>12 (1</w:t>
      </w:r>
      <w:r>
        <w:rPr>
          <w:sz w:val="24"/>
          <w:szCs w:val="24"/>
        </w:rPr>
        <w:t>×</w:t>
      </w:r>
      <w:r w:rsidRPr="006E2E89">
        <w:rPr>
          <w:sz w:val="24"/>
          <w:szCs w:val="24"/>
        </w:rPr>
        <w:t>12 blisterstrips), 14 (1</w:t>
      </w:r>
      <w:r>
        <w:rPr>
          <w:sz w:val="24"/>
          <w:szCs w:val="24"/>
        </w:rPr>
        <w:t>×</w:t>
      </w:r>
      <w:r w:rsidRPr="006E2E89">
        <w:rPr>
          <w:sz w:val="24"/>
          <w:szCs w:val="24"/>
        </w:rPr>
        <w:t>14 blisterstrips), 24 (2</w:t>
      </w:r>
      <w:r>
        <w:rPr>
          <w:sz w:val="24"/>
          <w:szCs w:val="24"/>
        </w:rPr>
        <w:t>×</w:t>
      </w:r>
      <w:r w:rsidRPr="006E2E89">
        <w:rPr>
          <w:sz w:val="24"/>
          <w:szCs w:val="24"/>
        </w:rPr>
        <w:t>12 blisterstrips), 28 (2</w:t>
      </w:r>
      <w:r>
        <w:rPr>
          <w:sz w:val="24"/>
          <w:szCs w:val="24"/>
        </w:rPr>
        <w:t>×</w:t>
      </w:r>
      <w:r w:rsidRPr="006E2E89">
        <w:rPr>
          <w:sz w:val="24"/>
          <w:szCs w:val="24"/>
        </w:rPr>
        <w:t>14 blisterstrips) og 56 (4</w:t>
      </w:r>
      <w:r>
        <w:rPr>
          <w:sz w:val="24"/>
          <w:szCs w:val="24"/>
        </w:rPr>
        <w:t>×</w:t>
      </w:r>
      <w:r w:rsidRPr="006E2E89">
        <w:rPr>
          <w:sz w:val="24"/>
          <w:szCs w:val="24"/>
        </w:rPr>
        <w:t xml:space="preserve">14 blisterstrips) kapsler. </w:t>
      </w:r>
    </w:p>
    <w:p w:rsidR="006E2E89" w:rsidRPr="006E2E89" w:rsidRDefault="006E2E89" w:rsidP="006E2E89">
      <w:pPr>
        <w:tabs>
          <w:tab w:val="left" w:pos="851"/>
        </w:tabs>
        <w:ind w:left="851"/>
        <w:rPr>
          <w:sz w:val="24"/>
          <w:szCs w:val="24"/>
        </w:rPr>
      </w:pPr>
    </w:p>
    <w:p w:rsidR="006E2E89" w:rsidRPr="006E2E89" w:rsidRDefault="006E2E89" w:rsidP="006E2E89">
      <w:pPr>
        <w:tabs>
          <w:tab w:val="left" w:pos="851"/>
        </w:tabs>
        <w:ind w:left="851"/>
        <w:rPr>
          <w:sz w:val="24"/>
          <w:szCs w:val="24"/>
        </w:rPr>
      </w:pPr>
      <w:r w:rsidRPr="006E2E89">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6E2E89" w:rsidRPr="006E2E89" w:rsidRDefault="006E2E89" w:rsidP="006E2E89">
      <w:pPr>
        <w:tabs>
          <w:tab w:val="left" w:pos="851"/>
        </w:tabs>
        <w:ind w:left="851"/>
        <w:rPr>
          <w:sz w:val="24"/>
          <w:szCs w:val="24"/>
        </w:rPr>
      </w:pPr>
      <w:r w:rsidRPr="006E2E89">
        <w:rPr>
          <w:sz w:val="24"/>
          <w:szCs w:val="24"/>
        </w:rPr>
        <w:t xml:space="preserve">Ingen særlige forholdsregler. </w:t>
      </w:r>
    </w:p>
    <w:p w:rsidR="006E2E89" w:rsidRPr="006E2E89" w:rsidRDefault="006E2E89" w:rsidP="006E2E89">
      <w:pPr>
        <w:tabs>
          <w:tab w:val="left" w:pos="851"/>
        </w:tabs>
        <w:ind w:left="851"/>
        <w:rPr>
          <w:sz w:val="24"/>
          <w:szCs w:val="24"/>
        </w:rPr>
      </w:pPr>
    </w:p>
    <w:p w:rsidR="006E2E89" w:rsidRPr="006E2E89" w:rsidRDefault="006E2E89" w:rsidP="006E2E89">
      <w:pPr>
        <w:tabs>
          <w:tab w:val="left" w:pos="851"/>
        </w:tabs>
        <w:ind w:left="851"/>
        <w:rPr>
          <w:sz w:val="24"/>
          <w:szCs w:val="24"/>
        </w:rPr>
      </w:pPr>
      <w:r w:rsidRPr="006E2E89">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6E2E89" w:rsidRPr="006E2E89" w:rsidRDefault="006E2E89" w:rsidP="006E2E89">
      <w:pPr>
        <w:tabs>
          <w:tab w:val="left" w:pos="851"/>
        </w:tabs>
        <w:ind w:left="851"/>
        <w:rPr>
          <w:sz w:val="24"/>
          <w:szCs w:val="24"/>
        </w:rPr>
      </w:pPr>
      <w:r w:rsidRPr="006E2E89">
        <w:rPr>
          <w:sz w:val="24"/>
          <w:szCs w:val="24"/>
        </w:rPr>
        <w:t xml:space="preserve">Renata Pharmaceuticals (Ireland) Limited </w:t>
      </w:r>
    </w:p>
    <w:p w:rsidR="006E2E89" w:rsidRPr="006E2E89" w:rsidRDefault="006E2E89" w:rsidP="006E2E89">
      <w:pPr>
        <w:tabs>
          <w:tab w:val="left" w:pos="851"/>
        </w:tabs>
        <w:ind w:left="851"/>
        <w:rPr>
          <w:sz w:val="24"/>
          <w:szCs w:val="24"/>
          <w:lang w:val="en-US"/>
        </w:rPr>
      </w:pPr>
      <w:r w:rsidRPr="006E2E89">
        <w:rPr>
          <w:sz w:val="24"/>
          <w:szCs w:val="24"/>
          <w:lang w:val="en-US"/>
        </w:rPr>
        <w:t xml:space="preserve">12 Crowe Street </w:t>
      </w:r>
    </w:p>
    <w:p w:rsidR="006E2E89" w:rsidRPr="006E2E89" w:rsidRDefault="006E2E89" w:rsidP="006E2E89">
      <w:pPr>
        <w:tabs>
          <w:tab w:val="left" w:pos="851"/>
        </w:tabs>
        <w:ind w:left="851"/>
        <w:rPr>
          <w:sz w:val="24"/>
          <w:szCs w:val="24"/>
          <w:lang w:val="en-US"/>
        </w:rPr>
      </w:pPr>
      <w:r w:rsidRPr="006E2E89">
        <w:rPr>
          <w:sz w:val="24"/>
          <w:szCs w:val="24"/>
          <w:lang w:val="en-US"/>
        </w:rPr>
        <w:t xml:space="preserve">A91 NN29 Dundalk </w:t>
      </w:r>
    </w:p>
    <w:p w:rsidR="006E2E89" w:rsidRPr="006E2E89" w:rsidRDefault="006E2E89" w:rsidP="006E2E89">
      <w:pPr>
        <w:tabs>
          <w:tab w:val="left" w:pos="851"/>
        </w:tabs>
        <w:ind w:left="851"/>
        <w:rPr>
          <w:sz w:val="24"/>
          <w:szCs w:val="24"/>
          <w:lang w:val="en-US"/>
        </w:rPr>
      </w:pPr>
      <w:r w:rsidRPr="006E2E89">
        <w:rPr>
          <w:sz w:val="24"/>
          <w:szCs w:val="24"/>
          <w:lang w:val="en-US"/>
        </w:rPr>
        <w:t xml:space="preserve">Co. Louth </w:t>
      </w:r>
    </w:p>
    <w:p w:rsidR="006E2E89" w:rsidRPr="00A718E9" w:rsidRDefault="006E2E89" w:rsidP="006E2E89">
      <w:pPr>
        <w:tabs>
          <w:tab w:val="left" w:pos="851"/>
        </w:tabs>
        <w:ind w:left="851"/>
        <w:rPr>
          <w:sz w:val="24"/>
          <w:szCs w:val="24"/>
        </w:rPr>
      </w:pPr>
      <w:r w:rsidRPr="00A718E9">
        <w:rPr>
          <w:sz w:val="24"/>
          <w:szCs w:val="24"/>
        </w:rPr>
        <w:t xml:space="preserve">Irland </w:t>
      </w:r>
    </w:p>
    <w:p w:rsidR="006E2E89" w:rsidRPr="00A718E9" w:rsidRDefault="006E2E89" w:rsidP="006E2E89">
      <w:pPr>
        <w:tabs>
          <w:tab w:val="left" w:pos="851"/>
        </w:tabs>
        <w:ind w:left="851"/>
        <w:rPr>
          <w:b/>
          <w:bCs/>
          <w:sz w:val="24"/>
          <w:szCs w:val="24"/>
        </w:rPr>
      </w:pPr>
    </w:p>
    <w:p w:rsidR="006E2E89" w:rsidRPr="006E2E89" w:rsidRDefault="006E2E89" w:rsidP="006E2E89">
      <w:pPr>
        <w:tabs>
          <w:tab w:val="left" w:pos="851"/>
        </w:tabs>
        <w:ind w:left="851"/>
        <w:rPr>
          <w:b/>
          <w:bCs/>
          <w:sz w:val="24"/>
          <w:szCs w:val="24"/>
        </w:rPr>
      </w:pPr>
      <w:r>
        <w:rPr>
          <w:b/>
          <w:bCs/>
          <w:sz w:val="24"/>
          <w:szCs w:val="24"/>
        </w:rPr>
        <w:t>R</w:t>
      </w:r>
      <w:r w:rsidRPr="006E2E89">
        <w:rPr>
          <w:b/>
          <w:bCs/>
          <w:sz w:val="24"/>
          <w:szCs w:val="24"/>
        </w:rPr>
        <w:t>epræsentant</w:t>
      </w:r>
    </w:p>
    <w:p w:rsidR="006E2E89" w:rsidRDefault="006E2E89" w:rsidP="006E2E89">
      <w:pPr>
        <w:tabs>
          <w:tab w:val="left" w:pos="851"/>
        </w:tabs>
        <w:ind w:left="851"/>
        <w:rPr>
          <w:sz w:val="24"/>
          <w:szCs w:val="24"/>
        </w:rPr>
      </w:pPr>
      <w:r w:rsidRPr="006E2E89">
        <w:rPr>
          <w:sz w:val="24"/>
          <w:szCs w:val="24"/>
        </w:rPr>
        <w:t>Nordic Prime ApS</w:t>
      </w:r>
    </w:p>
    <w:p w:rsidR="006E2E89" w:rsidRDefault="006E2E89" w:rsidP="006E2E89">
      <w:pPr>
        <w:tabs>
          <w:tab w:val="left" w:pos="851"/>
        </w:tabs>
        <w:ind w:left="851"/>
        <w:rPr>
          <w:sz w:val="24"/>
          <w:szCs w:val="24"/>
        </w:rPr>
      </w:pPr>
      <w:r w:rsidRPr="006E2E89">
        <w:rPr>
          <w:sz w:val="24"/>
          <w:szCs w:val="24"/>
        </w:rPr>
        <w:t>Niels Bohrs Vej 6</w:t>
      </w:r>
    </w:p>
    <w:p w:rsidR="006E2E89" w:rsidRPr="006E2E89" w:rsidRDefault="006E2E89" w:rsidP="006E2E89">
      <w:pPr>
        <w:tabs>
          <w:tab w:val="left" w:pos="851"/>
        </w:tabs>
        <w:ind w:left="851"/>
        <w:rPr>
          <w:sz w:val="24"/>
          <w:szCs w:val="24"/>
        </w:rPr>
      </w:pPr>
      <w:r w:rsidRPr="006E2E89">
        <w:rPr>
          <w:sz w:val="24"/>
          <w:szCs w:val="24"/>
        </w:rPr>
        <w:t>6700 Esbjerg</w:t>
      </w:r>
    </w:p>
    <w:p w:rsidR="00641C65" w:rsidRPr="00641C65" w:rsidRDefault="00641C65"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6E2E89" w:rsidP="009260DE">
      <w:pPr>
        <w:tabs>
          <w:tab w:val="left" w:pos="851"/>
        </w:tabs>
        <w:ind w:left="851"/>
        <w:rPr>
          <w:sz w:val="24"/>
          <w:szCs w:val="24"/>
        </w:rPr>
      </w:pPr>
      <w:r>
        <w:rPr>
          <w:sz w:val="24"/>
          <w:szCs w:val="24"/>
        </w:rPr>
        <w:t>71930</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A718E9" w:rsidP="009260DE">
      <w:pPr>
        <w:tabs>
          <w:tab w:val="left" w:pos="851"/>
        </w:tabs>
        <w:ind w:left="851"/>
        <w:rPr>
          <w:sz w:val="24"/>
          <w:szCs w:val="24"/>
        </w:rPr>
      </w:pPr>
      <w:r>
        <w:rPr>
          <w:sz w:val="24"/>
          <w:szCs w:val="24"/>
        </w:rPr>
        <w:t>4. april 2025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6E2E89"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998" w:rsidRDefault="003E0998">
      <w:r>
        <w:separator/>
      </w:r>
    </w:p>
  </w:endnote>
  <w:endnote w:type="continuationSeparator" w:id="0">
    <w:p w:rsidR="003E0998" w:rsidRDefault="003E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85ABA">
      <w:rPr>
        <w:i/>
        <w:noProof/>
        <w:sz w:val="18"/>
        <w:szCs w:val="18"/>
      </w:rPr>
      <w:t>Parkadin, hårde kapsler 100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998" w:rsidRDefault="003E0998">
      <w:r>
        <w:separator/>
      </w:r>
    </w:p>
  </w:footnote>
  <w:footnote w:type="continuationSeparator" w:id="0">
    <w:p w:rsidR="003E0998" w:rsidRDefault="003E0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7AD7"/>
    <w:multiLevelType w:val="hybridMultilevel"/>
    <w:tmpl w:val="5142C294"/>
    <w:lvl w:ilvl="0" w:tplc="FC026608">
      <w:start w:val="4"/>
      <w:numFmt w:val="bullet"/>
      <w:lvlText w:val="•"/>
      <w:lvlJc w:val="left"/>
      <w:pPr>
        <w:ind w:left="720" w:hanging="360"/>
      </w:pPr>
      <w:rPr>
        <w:rFonts w:ascii="Times New Roman" w:eastAsiaTheme="minorEastAsia" w:hAnsi="Times New Roman" w:cs="Times New Roman" w:hint="default"/>
      </w:rPr>
    </w:lvl>
    <w:lvl w:ilvl="1" w:tplc="CB16CA34">
      <w:start w:val="4"/>
      <w:numFmt w:val="bullet"/>
      <w:lvlText w:val="-"/>
      <w:lvlJc w:val="left"/>
      <w:pPr>
        <w:ind w:left="1440" w:hanging="360"/>
      </w:pPr>
      <w:rPr>
        <w:rFonts w:ascii="Times New Roman" w:eastAsiaTheme="minorEastAsia" w:hAnsi="Times New Roman" w:cs="Times New Roman" w:hint="default"/>
      </w:rPr>
    </w:lvl>
    <w:lvl w:ilvl="2" w:tplc="A57E5770">
      <w:start w:val="1"/>
      <w:numFmt w:val="bullet"/>
      <w:lvlText w:val=""/>
      <w:lvlJc w:val="left"/>
      <w:pPr>
        <w:ind w:left="2160" w:hanging="360"/>
      </w:pPr>
      <w:rPr>
        <w:rFonts w:ascii="Wingdings" w:hAnsi="Wingdings" w:hint="default"/>
      </w:rPr>
    </w:lvl>
    <w:lvl w:ilvl="3" w:tplc="BA4450E6">
      <w:start w:val="1"/>
      <w:numFmt w:val="bullet"/>
      <w:lvlText w:val=""/>
      <w:lvlJc w:val="left"/>
      <w:pPr>
        <w:ind w:left="2880" w:hanging="360"/>
      </w:pPr>
      <w:rPr>
        <w:rFonts w:ascii="Symbol" w:hAnsi="Symbol" w:hint="default"/>
      </w:rPr>
    </w:lvl>
    <w:lvl w:ilvl="4" w:tplc="F0F0E460">
      <w:start w:val="1"/>
      <w:numFmt w:val="bullet"/>
      <w:lvlText w:val="o"/>
      <w:lvlJc w:val="left"/>
      <w:pPr>
        <w:ind w:left="3600" w:hanging="360"/>
      </w:pPr>
      <w:rPr>
        <w:rFonts w:ascii="Courier New" w:hAnsi="Courier New" w:cs="Courier New" w:hint="default"/>
      </w:rPr>
    </w:lvl>
    <w:lvl w:ilvl="5" w:tplc="FE048BB2">
      <w:start w:val="1"/>
      <w:numFmt w:val="bullet"/>
      <w:lvlText w:val=""/>
      <w:lvlJc w:val="left"/>
      <w:pPr>
        <w:ind w:left="4320" w:hanging="360"/>
      </w:pPr>
      <w:rPr>
        <w:rFonts w:ascii="Wingdings" w:hAnsi="Wingdings" w:hint="default"/>
      </w:rPr>
    </w:lvl>
    <w:lvl w:ilvl="6" w:tplc="C9823EBE">
      <w:start w:val="1"/>
      <w:numFmt w:val="bullet"/>
      <w:lvlText w:val=""/>
      <w:lvlJc w:val="left"/>
      <w:pPr>
        <w:ind w:left="5040" w:hanging="360"/>
      </w:pPr>
      <w:rPr>
        <w:rFonts w:ascii="Symbol" w:hAnsi="Symbol" w:hint="default"/>
      </w:rPr>
    </w:lvl>
    <w:lvl w:ilvl="7" w:tplc="5F7EF56E">
      <w:start w:val="1"/>
      <w:numFmt w:val="bullet"/>
      <w:lvlText w:val="o"/>
      <w:lvlJc w:val="left"/>
      <w:pPr>
        <w:ind w:left="5760" w:hanging="360"/>
      </w:pPr>
      <w:rPr>
        <w:rFonts w:ascii="Courier New" w:hAnsi="Courier New" w:cs="Courier New" w:hint="default"/>
      </w:rPr>
    </w:lvl>
    <w:lvl w:ilvl="8" w:tplc="398E5542">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9B14556"/>
    <w:multiLevelType w:val="hybridMultilevel"/>
    <w:tmpl w:val="7472D06E"/>
    <w:lvl w:ilvl="0" w:tplc="586A3512">
      <w:start w:val="1"/>
      <w:numFmt w:val="bullet"/>
      <w:lvlText w:val="­"/>
      <w:lvlJc w:val="left"/>
      <w:pPr>
        <w:ind w:left="360" w:hanging="360"/>
      </w:pPr>
      <w:rPr>
        <w:rFonts w:ascii="Tahoma" w:hAnsi="Tahoma" w:cs="Times New Roman" w:hint="default"/>
      </w:rPr>
    </w:lvl>
    <w:lvl w:ilvl="1" w:tplc="5EECEF14">
      <w:start w:val="4"/>
      <w:numFmt w:val="bullet"/>
      <w:lvlText w:val="-"/>
      <w:lvlJc w:val="left"/>
      <w:pPr>
        <w:ind w:left="1080" w:hanging="360"/>
      </w:pPr>
      <w:rPr>
        <w:rFonts w:ascii="Times New Roman" w:eastAsiaTheme="minorEastAsia" w:hAnsi="Times New Roman" w:cs="Times New Roman" w:hint="default"/>
      </w:rPr>
    </w:lvl>
    <w:lvl w:ilvl="2" w:tplc="686A30B6">
      <w:start w:val="1"/>
      <w:numFmt w:val="bullet"/>
      <w:lvlText w:val=""/>
      <w:lvlJc w:val="left"/>
      <w:pPr>
        <w:ind w:left="1800" w:hanging="360"/>
      </w:pPr>
      <w:rPr>
        <w:rFonts w:ascii="Wingdings" w:hAnsi="Wingdings" w:hint="default"/>
      </w:rPr>
    </w:lvl>
    <w:lvl w:ilvl="3" w:tplc="0332EF02">
      <w:start w:val="1"/>
      <w:numFmt w:val="bullet"/>
      <w:lvlText w:val=""/>
      <w:lvlJc w:val="left"/>
      <w:pPr>
        <w:ind w:left="2520" w:hanging="360"/>
      </w:pPr>
      <w:rPr>
        <w:rFonts w:ascii="Symbol" w:hAnsi="Symbol" w:hint="default"/>
      </w:rPr>
    </w:lvl>
    <w:lvl w:ilvl="4" w:tplc="B824AA9E">
      <w:start w:val="1"/>
      <w:numFmt w:val="bullet"/>
      <w:lvlText w:val="o"/>
      <w:lvlJc w:val="left"/>
      <w:pPr>
        <w:ind w:left="3240" w:hanging="360"/>
      </w:pPr>
      <w:rPr>
        <w:rFonts w:ascii="Courier New" w:hAnsi="Courier New" w:cs="Courier New" w:hint="default"/>
      </w:rPr>
    </w:lvl>
    <w:lvl w:ilvl="5" w:tplc="E786B954">
      <w:start w:val="1"/>
      <w:numFmt w:val="bullet"/>
      <w:lvlText w:val=""/>
      <w:lvlJc w:val="left"/>
      <w:pPr>
        <w:ind w:left="3960" w:hanging="360"/>
      </w:pPr>
      <w:rPr>
        <w:rFonts w:ascii="Wingdings" w:hAnsi="Wingdings" w:hint="default"/>
      </w:rPr>
    </w:lvl>
    <w:lvl w:ilvl="6" w:tplc="593CEF26">
      <w:start w:val="1"/>
      <w:numFmt w:val="bullet"/>
      <w:lvlText w:val=""/>
      <w:lvlJc w:val="left"/>
      <w:pPr>
        <w:ind w:left="4680" w:hanging="360"/>
      </w:pPr>
      <w:rPr>
        <w:rFonts w:ascii="Symbol" w:hAnsi="Symbol" w:hint="default"/>
      </w:rPr>
    </w:lvl>
    <w:lvl w:ilvl="7" w:tplc="43161A20">
      <w:start w:val="1"/>
      <w:numFmt w:val="bullet"/>
      <w:lvlText w:val="o"/>
      <w:lvlJc w:val="left"/>
      <w:pPr>
        <w:ind w:left="5400" w:hanging="360"/>
      </w:pPr>
      <w:rPr>
        <w:rFonts w:ascii="Courier New" w:hAnsi="Courier New" w:cs="Courier New" w:hint="default"/>
      </w:rPr>
    </w:lvl>
    <w:lvl w:ilvl="8" w:tplc="9FE6CB7E">
      <w:start w:val="1"/>
      <w:numFmt w:val="bullet"/>
      <w:lvlText w:val=""/>
      <w:lvlJc w:val="left"/>
      <w:pPr>
        <w:ind w:left="612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998"/>
    <w:rsid w:val="000259B9"/>
    <w:rsid w:val="00041491"/>
    <w:rsid w:val="00050D16"/>
    <w:rsid w:val="000730CA"/>
    <w:rsid w:val="00074F2A"/>
    <w:rsid w:val="0008364F"/>
    <w:rsid w:val="00085ABA"/>
    <w:rsid w:val="000A1CA8"/>
    <w:rsid w:val="000A466B"/>
    <w:rsid w:val="000B058C"/>
    <w:rsid w:val="000C370F"/>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E0998"/>
    <w:rsid w:val="003F1838"/>
    <w:rsid w:val="004251C1"/>
    <w:rsid w:val="0043273A"/>
    <w:rsid w:val="0045746C"/>
    <w:rsid w:val="0049104B"/>
    <w:rsid w:val="004E3B12"/>
    <w:rsid w:val="00532310"/>
    <w:rsid w:val="00565F0F"/>
    <w:rsid w:val="00594A86"/>
    <w:rsid w:val="00596D86"/>
    <w:rsid w:val="00637F5A"/>
    <w:rsid w:val="00641C65"/>
    <w:rsid w:val="006560B1"/>
    <w:rsid w:val="006756DD"/>
    <w:rsid w:val="006E2E89"/>
    <w:rsid w:val="0071241E"/>
    <w:rsid w:val="00737275"/>
    <w:rsid w:val="00740EEC"/>
    <w:rsid w:val="0078011A"/>
    <w:rsid w:val="00782AF4"/>
    <w:rsid w:val="00790EE7"/>
    <w:rsid w:val="007B6649"/>
    <w:rsid w:val="0082576E"/>
    <w:rsid w:val="0089346F"/>
    <w:rsid w:val="00907F75"/>
    <w:rsid w:val="009260DE"/>
    <w:rsid w:val="0093258A"/>
    <w:rsid w:val="009C7BA3"/>
    <w:rsid w:val="009D1F5A"/>
    <w:rsid w:val="00A10294"/>
    <w:rsid w:val="00A718E9"/>
    <w:rsid w:val="00AC42BA"/>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9135B"/>
  <w15:chartTrackingRefBased/>
  <w15:docId w15:val="{30B8074C-6C08-40B8-B8DD-3E0927CE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semiHidden/>
    <w:unhideWhenUsed/>
    <w:rsid w:val="000C370F"/>
    <w:rPr>
      <w:color w:val="0000FF"/>
      <w:u w:val="single"/>
    </w:rPr>
  </w:style>
  <w:style w:type="paragraph" w:customStyle="1" w:styleId="Style5">
    <w:name w:val="Style5"/>
    <w:basedOn w:val="Normal"/>
    <w:uiPriority w:val="99"/>
    <w:rsid w:val="000C370F"/>
    <w:pPr>
      <w:widowControl w:val="0"/>
      <w:autoSpaceDE w:val="0"/>
      <w:autoSpaceDN w:val="0"/>
      <w:adjustRightInd w:val="0"/>
    </w:pPr>
    <w:rPr>
      <w:rFonts w:eastAsiaTheme="minorEastAsia"/>
      <w:sz w:val="24"/>
      <w:szCs w:val="24"/>
      <w:lang w:val="pt-BR" w:eastAsia="pt-BR"/>
    </w:rPr>
  </w:style>
  <w:style w:type="paragraph" w:customStyle="1" w:styleId="Style7">
    <w:name w:val="Style7"/>
    <w:basedOn w:val="Normal"/>
    <w:uiPriority w:val="99"/>
    <w:rsid w:val="000C370F"/>
    <w:pPr>
      <w:widowControl w:val="0"/>
      <w:autoSpaceDE w:val="0"/>
      <w:autoSpaceDN w:val="0"/>
      <w:adjustRightInd w:val="0"/>
    </w:pPr>
    <w:rPr>
      <w:rFonts w:eastAsiaTheme="minorEastAsia"/>
      <w:sz w:val="24"/>
      <w:szCs w:val="24"/>
      <w:lang w:val="pt-BR" w:eastAsia="pt-BR"/>
    </w:rPr>
  </w:style>
  <w:style w:type="character" w:customStyle="1" w:styleId="FontStyle27">
    <w:name w:val="Font Style27"/>
    <w:basedOn w:val="Standardskrifttypeiafsnit"/>
    <w:uiPriority w:val="99"/>
    <w:rsid w:val="000C370F"/>
    <w:rPr>
      <w:rFonts w:ascii="Times New Roman" w:hAnsi="Times New Roman" w:cs="Times New Roman" w:hint="default"/>
      <w:color w:val="000000"/>
      <w:sz w:val="20"/>
      <w:szCs w:val="20"/>
    </w:rPr>
  </w:style>
  <w:style w:type="character" w:customStyle="1" w:styleId="FontStyle25">
    <w:name w:val="Font Style25"/>
    <w:basedOn w:val="Standardskrifttypeiafsnit"/>
    <w:uiPriority w:val="99"/>
    <w:rsid w:val="000C370F"/>
    <w:rPr>
      <w:rFonts w:ascii="Times New Roman" w:hAnsi="Times New Roman" w:cs="Times New Roman"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4806">
      <w:bodyDiv w:val="1"/>
      <w:marLeft w:val="0"/>
      <w:marRight w:val="0"/>
      <w:marTop w:val="0"/>
      <w:marBottom w:val="0"/>
      <w:divBdr>
        <w:top w:val="none" w:sz="0" w:space="0" w:color="auto"/>
        <w:left w:val="none" w:sz="0" w:space="0" w:color="auto"/>
        <w:bottom w:val="none" w:sz="0" w:space="0" w:color="auto"/>
        <w:right w:val="none" w:sz="0" w:space="0" w:color="auto"/>
      </w:divBdr>
    </w:div>
    <w:div w:id="29499231">
      <w:bodyDiv w:val="1"/>
      <w:marLeft w:val="0"/>
      <w:marRight w:val="0"/>
      <w:marTop w:val="0"/>
      <w:marBottom w:val="0"/>
      <w:divBdr>
        <w:top w:val="none" w:sz="0" w:space="0" w:color="auto"/>
        <w:left w:val="none" w:sz="0" w:space="0" w:color="auto"/>
        <w:bottom w:val="none" w:sz="0" w:space="0" w:color="auto"/>
        <w:right w:val="none" w:sz="0" w:space="0" w:color="auto"/>
      </w:divBdr>
    </w:div>
    <w:div w:id="39132568">
      <w:bodyDiv w:val="1"/>
      <w:marLeft w:val="0"/>
      <w:marRight w:val="0"/>
      <w:marTop w:val="0"/>
      <w:marBottom w:val="0"/>
      <w:divBdr>
        <w:top w:val="none" w:sz="0" w:space="0" w:color="auto"/>
        <w:left w:val="none" w:sz="0" w:space="0" w:color="auto"/>
        <w:bottom w:val="none" w:sz="0" w:space="0" w:color="auto"/>
        <w:right w:val="none" w:sz="0" w:space="0" w:color="auto"/>
      </w:divBdr>
    </w:div>
    <w:div w:id="73170357">
      <w:bodyDiv w:val="1"/>
      <w:marLeft w:val="0"/>
      <w:marRight w:val="0"/>
      <w:marTop w:val="0"/>
      <w:marBottom w:val="0"/>
      <w:divBdr>
        <w:top w:val="none" w:sz="0" w:space="0" w:color="auto"/>
        <w:left w:val="none" w:sz="0" w:space="0" w:color="auto"/>
        <w:bottom w:val="none" w:sz="0" w:space="0" w:color="auto"/>
        <w:right w:val="none" w:sz="0" w:space="0" w:color="auto"/>
      </w:divBdr>
    </w:div>
    <w:div w:id="10226870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6755360">
      <w:bodyDiv w:val="1"/>
      <w:marLeft w:val="0"/>
      <w:marRight w:val="0"/>
      <w:marTop w:val="0"/>
      <w:marBottom w:val="0"/>
      <w:divBdr>
        <w:top w:val="none" w:sz="0" w:space="0" w:color="auto"/>
        <w:left w:val="none" w:sz="0" w:space="0" w:color="auto"/>
        <w:bottom w:val="none" w:sz="0" w:space="0" w:color="auto"/>
        <w:right w:val="none" w:sz="0" w:space="0" w:color="auto"/>
      </w:divBdr>
    </w:div>
    <w:div w:id="263537369">
      <w:bodyDiv w:val="1"/>
      <w:marLeft w:val="0"/>
      <w:marRight w:val="0"/>
      <w:marTop w:val="0"/>
      <w:marBottom w:val="0"/>
      <w:divBdr>
        <w:top w:val="none" w:sz="0" w:space="0" w:color="auto"/>
        <w:left w:val="none" w:sz="0" w:space="0" w:color="auto"/>
        <w:bottom w:val="none" w:sz="0" w:space="0" w:color="auto"/>
        <w:right w:val="none" w:sz="0" w:space="0" w:color="auto"/>
      </w:divBdr>
    </w:div>
    <w:div w:id="273563904">
      <w:bodyDiv w:val="1"/>
      <w:marLeft w:val="0"/>
      <w:marRight w:val="0"/>
      <w:marTop w:val="0"/>
      <w:marBottom w:val="0"/>
      <w:divBdr>
        <w:top w:val="none" w:sz="0" w:space="0" w:color="auto"/>
        <w:left w:val="none" w:sz="0" w:space="0" w:color="auto"/>
        <w:bottom w:val="none" w:sz="0" w:space="0" w:color="auto"/>
        <w:right w:val="none" w:sz="0" w:space="0" w:color="auto"/>
      </w:divBdr>
    </w:div>
    <w:div w:id="360131796">
      <w:bodyDiv w:val="1"/>
      <w:marLeft w:val="0"/>
      <w:marRight w:val="0"/>
      <w:marTop w:val="0"/>
      <w:marBottom w:val="0"/>
      <w:divBdr>
        <w:top w:val="none" w:sz="0" w:space="0" w:color="auto"/>
        <w:left w:val="none" w:sz="0" w:space="0" w:color="auto"/>
        <w:bottom w:val="none" w:sz="0" w:space="0" w:color="auto"/>
        <w:right w:val="none" w:sz="0" w:space="0" w:color="auto"/>
      </w:divBdr>
    </w:div>
    <w:div w:id="362942325">
      <w:bodyDiv w:val="1"/>
      <w:marLeft w:val="0"/>
      <w:marRight w:val="0"/>
      <w:marTop w:val="0"/>
      <w:marBottom w:val="0"/>
      <w:divBdr>
        <w:top w:val="none" w:sz="0" w:space="0" w:color="auto"/>
        <w:left w:val="none" w:sz="0" w:space="0" w:color="auto"/>
        <w:bottom w:val="none" w:sz="0" w:space="0" w:color="auto"/>
        <w:right w:val="none" w:sz="0" w:space="0" w:color="auto"/>
      </w:divBdr>
    </w:div>
    <w:div w:id="504516041">
      <w:bodyDiv w:val="1"/>
      <w:marLeft w:val="0"/>
      <w:marRight w:val="0"/>
      <w:marTop w:val="0"/>
      <w:marBottom w:val="0"/>
      <w:divBdr>
        <w:top w:val="none" w:sz="0" w:space="0" w:color="auto"/>
        <w:left w:val="none" w:sz="0" w:space="0" w:color="auto"/>
        <w:bottom w:val="none" w:sz="0" w:space="0" w:color="auto"/>
        <w:right w:val="none" w:sz="0" w:space="0" w:color="auto"/>
      </w:divBdr>
    </w:div>
    <w:div w:id="576789196">
      <w:bodyDiv w:val="1"/>
      <w:marLeft w:val="0"/>
      <w:marRight w:val="0"/>
      <w:marTop w:val="0"/>
      <w:marBottom w:val="0"/>
      <w:divBdr>
        <w:top w:val="none" w:sz="0" w:space="0" w:color="auto"/>
        <w:left w:val="none" w:sz="0" w:space="0" w:color="auto"/>
        <w:bottom w:val="none" w:sz="0" w:space="0" w:color="auto"/>
        <w:right w:val="none" w:sz="0" w:space="0" w:color="auto"/>
      </w:divBdr>
    </w:div>
    <w:div w:id="630288817">
      <w:bodyDiv w:val="1"/>
      <w:marLeft w:val="0"/>
      <w:marRight w:val="0"/>
      <w:marTop w:val="0"/>
      <w:marBottom w:val="0"/>
      <w:divBdr>
        <w:top w:val="none" w:sz="0" w:space="0" w:color="auto"/>
        <w:left w:val="none" w:sz="0" w:space="0" w:color="auto"/>
        <w:bottom w:val="none" w:sz="0" w:space="0" w:color="auto"/>
        <w:right w:val="none" w:sz="0" w:space="0" w:color="auto"/>
      </w:divBdr>
    </w:div>
    <w:div w:id="685405239">
      <w:bodyDiv w:val="1"/>
      <w:marLeft w:val="0"/>
      <w:marRight w:val="0"/>
      <w:marTop w:val="0"/>
      <w:marBottom w:val="0"/>
      <w:divBdr>
        <w:top w:val="none" w:sz="0" w:space="0" w:color="auto"/>
        <w:left w:val="none" w:sz="0" w:space="0" w:color="auto"/>
        <w:bottom w:val="none" w:sz="0" w:space="0" w:color="auto"/>
        <w:right w:val="none" w:sz="0" w:space="0" w:color="auto"/>
      </w:divBdr>
    </w:div>
    <w:div w:id="756751845">
      <w:bodyDiv w:val="1"/>
      <w:marLeft w:val="0"/>
      <w:marRight w:val="0"/>
      <w:marTop w:val="0"/>
      <w:marBottom w:val="0"/>
      <w:divBdr>
        <w:top w:val="none" w:sz="0" w:space="0" w:color="auto"/>
        <w:left w:val="none" w:sz="0" w:space="0" w:color="auto"/>
        <w:bottom w:val="none" w:sz="0" w:space="0" w:color="auto"/>
        <w:right w:val="none" w:sz="0" w:space="0" w:color="auto"/>
      </w:divBdr>
    </w:div>
    <w:div w:id="768820276">
      <w:bodyDiv w:val="1"/>
      <w:marLeft w:val="0"/>
      <w:marRight w:val="0"/>
      <w:marTop w:val="0"/>
      <w:marBottom w:val="0"/>
      <w:divBdr>
        <w:top w:val="none" w:sz="0" w:space="0" w:color="auto"/>
        <w:left w:val="none" w:sz="0" w:space="0" w:color="auto"/>
        <w:bottom w:val="none" w:sz="0" w:space="0" w:color="auto"/>
        <w:right w:val="none" w:sz="0" w:space="0" w:color="auto"/>
      </w:divBdr>
    </w:div>
    <w:div w:id="866531138">
      <w:bodyDiv w:val="1"/>
      <w:marLeft w:val="0"/>
      <w:marRight w:val="0"/>
      <w:marTop w:val="0"/>
      <w:marBottom w:val="0"/>
      <w:divBdr>
        <w:top w:val="none" w:sz="0" w:space="0" w:color="auto"/>
        <w:left w:val="none" w:sz="0" w:space="0" w:color="auto"/>
        <w:bottom w:val="none" w:sz="0" w:space="0" w:color="auto"/>
        <w:right w:val="none" w:sz="0" w:space="0" w:color="auto"/>
      </w:divBdr>
    </w:div>
    <w:div w:id="870730220">
      <w:bodyDiv w:val="1"/>
      <w:marLeft w:val="0"/>
      <w:marRight w:val="0"/>
      <w:marTop w:val="0"/>
      <w:marBottom w:val="0"/>
      <w:divBdr>
        <w:top w:val="none" w:sz="0" w:space="0" w:color="auto"/>
        <w:left w:val="none" w:sz="0" w:space="0" w:color="auto"/>
        <w:bottom w:val="none" w:sz="0" w:space="0" w:color="auto"/>
        <w:right w:val="none" w:sz="0" w:space="0" w:color="auto"/>
      </w:divBdr>
    </w:div>
    <w:div w:id="983436201">
      <w:bodyDiv w:val="1"/>
      <w:marLeft w:val="0"/>
      <w:marRight w:val="0"/>
      <w:marTop w:val="0"/>
      <w:marBottom w:val="0"/>
      <w:divBdr>
        <w:top w:val="none" w:sz="0" w:space="0" w:color="auto"/>
        <w:left w:val="none" w:sz="0" w:space="0" w:color="auto"/>
        <w:bottom w:val="none" w:sz="0" w:space="0" w:color="auto"/>
        <w:right w:val="none" w:sz="0" w:space="0" w:color="auto"/>
      </w:divBdr>
    </w:div>
    <w:div w:id="1046639599">
      <w:bodyDiv w:val="1"/>
      <w:marLeft w:val="0"/>
      <w:marRight w:val="0"/>
      <w:marTop w:val="0"/>
      <w:marBottom w:val="0"/>
      <w:divBdr>
        <w:top w:val="none" w:sz="0" w:space="0" w:color="auto"/>
        <w:left w:val="none" w:sz="0" w:space="0" w:color="auto"/>
        <w:bottom w:val="none" w:sz="0" w:space="0" w:color="auto"/>
        <w:right w:val="none" w:sz="0" w:space="0" w:color="auto"/>
      </w:divBdr>
    </w:div>
    <w:div w:id="1391032302">
      <w:bodyDiv w:val="1"/>
      <w:marLeft w:val="0"/>
      <w:marRight w:val="0"/>
      <w:marTop w:val="0"/>
      <w:marBottom w:val="0"/>
      <w:divBdr>
        <w:top w:val="none" w:sz="0" w:space="0" w:color="auto"/>
        <w:left w:val="none" w:sz="0" w:space="0" w:color="auto"/>
        <w:bottom w:val="none" w:sz="0" w:space="0" w:color="auto"/>
        <w:right w:val="none" w:sz="0" w:space="0" w:color="auto"/>
      </w:divBdr>
    </w:div>
    <w:div w:id="1439906913">
      <w:bodyDiv w:val="1"/>
      <w:marLeft w:val="0"/>
      <w:marRight w:val="0"/>
      <w:marTop w:val="0"/>
      <w:marBottom w:val="0"/>
      <w:divBdr>
        <w:top w:val="none" w:sz="0" w:space="0" w:color="auto"/>
        <w:left w:val="none" w:sz="0" w:space="0" w:color="auto"/>
        <w:bottom w:val="none" w:sz="0" w:space="0" w:color="auto"/>
        <w:right w:val="none" w:sz="0" w:space="0" w:color="auto"/>
      </w:divBdr>
    </w:div>
    <w:div w:id="1478037126">
      <w:bodyDiv w:val="1"/>
      <w:marLeft w:val="0"/>
      <w:marRight w:val="0"/>
      <w:marTop w:val="0"/>
      <w:marBottom w:val="0"/>
      <w:divBdr>
        <w:top w:val="none" w:sz="0" w:space="0" w:color="auto"/>
        <w:left w:val="none" w:sz="0" w:space="0" w:color="auto"/>
        <w:bottom w:val="none" w:sz="0" w:space="0" w:color="auto"/>
        <w:right w:val="none" w:sz="0" w:space="0" w:color="auto"/>
      </w:divBdr>
    </w:div>
    <w:div w:id="1486583600">
      <w:bodyDiv w:val="1"/>
      <w:marLeft w:val="0"/>
      <w:marRight w:val="0"/>
      <w:marTop w:val="0"/>
      <w:marBottom w:val="0"/>
      <w:divBdr>
        <w:top w:val="none" w:sz="0" w:space="0" w:color="auto"/>
        <w:left w:val="none" w:sz="0" w:space="0" w:color="auto"/>
        <w:bottom w:val="none" w:sz="0" w:space="0" w:color="auto"/>
        <w:right w:val="none" w:sz="0" w:space="0" w:color="auto"/>
      </w:divBdr>
    </w:div>
    <w:div w:id="1668171970">
      <w:bodyDiv w:val="1"/>
      <w:marLeft w:val="0"/>
      <w:marRight w:val="0"/>
      <w:marTop w:val="0"/>
      <w:marBottom w:val="0"/>
      <w:divBdr>
        <w:top w:val="none" w:sz="0" w:space="0" w:color="auto"/>
        <w:left w:val="none" w:sz="0" w:space="0" w:color="auto"/>
        <w:bottom w:val="none" w:sz="0" w:space="0" w:color="auto"/>
        <w:right w:val="none" w:sz="0" w:space="0" w:color="auto"/>
      </w:divBdr>
    </w:div>
    <w:div w:id="1676804274">
      <w:bodyDiv w:val="1"/>
      <w:marLeft w:val="0"/>
      <w:marRight w:val="0"/>
      <w:marTop w:val="0"/>
      <w:marBottom w:val="0"/>
      <w:divBdr>
        <w:top w:val="none" w:sz="0" w:space="0" w:color="auto"/>
        <w:left w:val="none" w:sz="0" w:space="0" w:color="auto"/>
        <w:bottom w:val="none" w:sz="0" w:space="0" w:color="auto"/>
        <w:right w:val="none" w:sz="0" w:space="0" w:color="auto"/>
      </w:divBdr>
    </w:div>
    <w:div w:id="1691056941">
      <w:bodyDiv w:val="1"/>
      <w:marLeft w:val="0"/>
      <w:marRight w:val="0"/>
      <w:marTop w:val="0"/>
      <w:marBottom w:val="0"/>
      <w:divBdr>
        <w:top w:val="none" w:sz="0" w:space="0" w:color="auto"/>
        <w:left w:val="none" w:sz="0" w:space="0" w:color="auto"/>
        <w:bottom w:val="none" w:sz="0" w:space="0" w:color="auto"/>
        <w:right w:val="none" w:sz="0" w:space="0" w:color="auto"/>
      </w:divBdr>
    </w:div>
    <w:div w:id="1743138548">
      <w:bodyDiv w:val="1"/>
      <w:marLeft w:val="0"/>
      <w:marRight w:val="0"/>
      <w:marTop w:val="0"/>
      <w:marBottom w:val="0"/>
      <w:divBdr>
        <w:top w:val="none" w:sz="0" w:space="0" w:color="auto"/>
        <w:left w:val="none" w:sz="0" w:space="0" w:color="auto"/>
        <w:bottom w:val="none" w:sz="0" w:space="0" w:color="auto"/>
        <w:right w:val="none" w:sz="0" w:space="0" w:color="auto"/>
      </w:divBdr>
    </w:div>
    <w:div w:id="1750422442">
      <w:bodyDiv w:val="1"/>
      <w:marLeft w:val="0"/>
      <w:marRight w:val="0"/>
      <w:marTop w:val="0"/>
      <w:marBottom w:val="0"/>
      <w:divBdr>
        <w:top w:val="none" w:sz="0" w:space="0" w:color="auto"/>
        <w:left w:val="none" w:sz="0" w:space="0" w:color="auto"/>
        <w:bottom w:val="none" w:sz="0" w:space="0" w:color="auto"/>
        <w:right w:val="none" w:sz="0" w:space="0" w:color="auto"/>
      </w:divBdr>
    </w:div>
    <w:div w:id="1775632413">
      <w:bodyDiv w:val="1"/>
      <w:marLeft w:val="0"/>
      <w:marRight w:val="0"/>
      <w:marTop w:val="0"/>
      <w:marBottom w:val="0"/>
      <w:divBdr>
        <w:top w:val="none" w:sz="0" w:space="0" w:color="auto"/>
        <w:left w:val="none" w:sz="0" w:space="0" w:color="auto"/>
        <w:bottom w:val="none" w:sz="0" w:space="0" w:color="auto"/>
        <w:right w:val="none" w:sz="0" w:space="0" w:color="auto"/>
      </w:divBdr>
    </w:div>
    <w:div w:id="1861049332">
      <w:bodyDiv w:val="1"/>
      <w:marLeft w:val="0"/>
      <w:marRight w:val="0"/>
      <w:marTop w:val="0"/>
      <w:marBottom w:val="0"/>
      <w:divBdr>
        <w:top w:val="none" w:sz="0" w:space="0" w:color="auto"/>
        <w:left w:val="none" w:sz="0" w:space="0" w:color="auto"/>
        <w:bottom w:val="none" w:sz="0" w:space="0" w:color="auto"/>
        <w:right w:val="none" w:sz="0" w:space="0" w:color="auto"/>
      </w:divBdr>
    </w:div>
    <w:div w:id="1865288621">
      <w:bodyDiv w:val="1"/>
      <w:marLeft w:val="0"/>
      <w:marRight w:val="0"/>
      <w:marTop w:val="0"/>
      <w:marBottom w:val="0"/>
      <w:divBdr>
        <w:top w:val="none" w:sz="0" w:space="0" w:color="auto"/>
        <w:left w:val="none" w:sz="0" w:space="0" w:color="auto"/>
        <w:bottom w:val="none" w:sz="0" w:space="0" w:color="auto"/>
        <w:right w:val="none" w:sz="0" w:space="0" w:color="auto"/>
      </w:divBdr>
    </w:div>
    <w:div w:id="1898128799">
      <w:bodyDiv w:val="1"/>
      <w:marLeft w:val="0"/>
      <w:marRight w:val="0"/>
      <w:marTop w:val="0"/>
      <w:marBottom w:val="0"/>
      <w:divBdr>
        <w:top w:val="none" w:sz="0" w:space="0" w:color="auto"/>
        <w:left w:val="none" w:sz="0" w:space="0" w:color="auto"/>
        <w:bottom w:val="none" w:sz="0" w:space="0" w:color="auto"/>
        <w:right w:val="none" w:sz="0" w:space="0" w:color="auto"/>
      </w:divBdr>
    </w:div>
    <w:div w:id="1949506073">
      <w:bodyDiv w:val="1"/>
      <w:marLeft w:val="0"/>
      <w:marRight w:val="0"/>
      <w:marTop w:val="0"/>
      <w:marBottom w:val="0"/>
      <w:divBdr>
        <w:top w:val="none" w:sz="0" w:space="0" w:color="auto"/>
        <w:left w:val="none" w:sz="0" w:space="0" w:color="auto"/>
        <w:bottom w:val="none" w:sz="0" w:space="0" w:color="auto"/>
        <w:right w:val="none" w:sz="0" w:space="0" w:color="auto"/>
      </w:divBdr>
    </w:div>
    <w:div w:id="1976258746">
      <w:bodyDiv w:val="1"/>
      <w:marLeft w:val="0"/>
      <w:marRight w:val="0"/>
      <w:marTop w:val="0"/>
      <w:marBottom w:val="0"/>
      <w:divBdr>
        <w:top w:val="none" w:sz="0" w:space="0" w:color="auto"/>
        <w:left w:val="none" w:sz="0" w:space="0" w:color="auto"/>
        <w:bottom w:val="none" w:sz="0" w:space="0" w:color="auto"/>
        <w:right w:val="none" w:sz="0" w:space="0" w:color="auto"/>
      </w:divBdr>
    </w:div>
    <w:div w:id="2046562254">
      <w:bodyDiv w:val="1"/>
      <w:marLeft w:val="0"/>
      <w:marRight w:val="0"/>
      <w:marTop w:val="0"/>
      <w:marBottom w:val="0"/>
      <w:divBdr>
        <w:top w:val="none" w:sz="0" w:space="0" w:color="auto"/>
        <w:left w:val="none" w:sz="0" w:space="0" w:color="auto"/>
        <w:bottom w:val="none" w:sz="0" w:space="0" w:color="auto"/>
        <w:right w:val="none" w:sz="0" w:space="0" w:color="auto"/>
      </w:divBdr>
    </w:div>
    <w:div w:id="2047681383">
      <w:bodyDiv w:val="1"/>
      <w:marLeft w:val="0"/>
      <w:marRight w:val="0"/>
      <w:marTop w:val="0"/>
      <w:marBottom w:val="0"/>
      <w:divBdr>
        <w:top w:val="none" w:sz="0" w:space="0" w:color="auto"/>
        <w:left w:val="none" w:sz="0" w:space="0" w:color="auto"/>
        <w:bottom w:val="none" w:sz="0" w:space="0" w:color="auto"/>
        <w:right w:val="none" w:sz="0" w:space="0" w:color="auto"/>
      </w:divBdr>
    </w:div>
    <w:div w:id="2048605404">
      <w:bodyDiv w:val="1"/>
      <w:marLeft w:val="0"/>
      <w:marRight w:val="0"/>
      <w:marTop w:val="0"/>
      <w:marBottom w:val="0"/>
      <w:divBdr>
        <w:top w:val="none" w:sz="0" w:space="0" w:color="auto"/>
        <w:left w:val="none" w:sz="0" w:space="0" w:color="auto"/>
        <w:bottom w:val="none" w:sz="0" w:space="0" w:color="auto"/>
        <w:right w:val="none" w:sz="0" w:space="0" w:color="auto"/>
      </w:divBdr>
    </w:div>
    <w:div w:id="2059930662">
      <w:bodyDiv w:val="1"/>
      <w:marLeft w:val="0"/>
      <w:marRight w:val="0"/>
      <w:marTop w:val="0"/>
      <w:marBottom w:val="0"/>
      <w:divBdr>
        <w:top w:val="none" w:sz="0" w:space="0" w:color="auto"/>
        <w:left w:val="none" w:sz="0" w:space="0" w:color="auto"/>
        <w:bottom w:val="none" w:sz="0" w:space="0" w:color="auto"/>
        <w:right w:val="none" w:sz="0" w:space="0" w:color="auto"/>
      </w:divBdr>
    </w:div>
    <w:div w:id="2091997357">
      <w:bodyDiv w:val="1"/>
      <w:marLeft w:val="0"/>
      <w:marRight w:val="0"/>
      <w:marTop w:val="0"/>
      <w:marBottom w:val="0"/>
      <w:divBdr>
        <w:top w:val="none" w:sz="0" w:space="0" w:color="auto"/>
        <w:left w:val="none" w:sz="0" w:space="0" w:color="auto"/>
        <w:bottom w:val="none" w:sz="0" w:space="0" w:color="auto"/>
        <w:right w:val="none" w:sz="0" w:space="0" w:color="auto"/>
      </w:divBdr>
    </w:div>
    <w:div w:id="2105563751">
      <w:bodyDiv w:val="1"/>
      <w:marLeft w:val="0"/>
      <w:marRight w:val="0"/>
      <w:marTop w:val="0"/>
      <w:marBottom w:val="0"/>
      <w:divBdr>
        <w:top w:val="none" w:sz="0" w:space="0" w:color="auto"/>
        <w:left w:val="none" w:sz="0" w:space="0" w:color="auto"/>
        <w:bottom w:val="none" w:sz="0" w:space="0" w:color="auto"/>
        <w:right w:val="none" w:sz="0" w:space="0" w:color="auto"/>
      </w:divBdr>
    </w:div>
    <w:div w:id="2106073647">
      <w:bodyDiv w:val="1"/>
      <w:marLeft w:val="0"/>
      <w:marRight w:val="0"/>
      <w:marTop w:val="0"/>
      <w:marBottom w:val="0"/>
      <w:divBdr>
        <w:top w:val="none" w:sz="0" w:space="0" w:color="auto"/>
        <w:left w:val="none" w:sz="0" w:space="0" w:color="auto"/>
        <w:bottom w:val="none" w:sz="0" w:space="0" w:color="auto"/>
        <w:right w:val="none" w:sz="0" w:space="0" w:color="auto"/>
      </w:divBdr>
    </w:div>
    <w:div w:id="211192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29</TotalTime>
  <Pages>11</Pages>
  <Words>2931</Words>
  <Characters>19997</Characters>
  <Application>Microsoft Office Word</Application>
  <DocSecurity>0</DocSecurity>
  <Lines>166</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2024054626 mt</dc:description>
  <cp:lastModifiedBy>Hanne Thy Iversen</cp:lastModifiedBy>
  <cp:revision>6</cp:revision>
  <cp:lastPrinted>2012-08-22T08:53:00Z</cp:lastPrinted>
  <dcterms:created xsi:type="dcterms:W3CDTF">2025-04-03T14:07:00Z</dcterms:created>
  <dcterms:modified xsi:type="dcterms:W3CDTF">2025-04-04T13:32:00Z</dcterms:modified>
</cp:coreProperties>
</file>