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F5ACD">
        <w:rPr>
          <w:szCs w:val="24"/>
        </w:rPr>
        <w:t>1</w:t>
      </w:r>
      <w:r w:rsidR="00F603BA">
        <w:rPr>
          <w:szCs w:val="24"/>
        </w:rPr>
        <w:t>2</w:t>
      </w:r>
      <w:r w:rsidR="00EF5ACD">
        <w:rPr>
          <w:szCs w:val="24"/>
        </w:rPr>
        <w:t>.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EF5ACD" w:rsidRDefault="00EF5ACD"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607F1" w:rsidP="009260DE">
      <w:pPr>
        <w:jc w:val="center"/>
        <w:rPr>
          <w:b/>
          <w:sz w:val="24"/>
          <w:szCs w:val="24"/>
        </w:rPr>
      </w:pPr>
      <w:proofErr w:type="spellStart"/>
      <w:r>
        <w:rPr>
          <w:b/>
          <w:sz w:val="24"/>
          <w:szCs w:val="24"/>
        </w:rPr>
        <w:t>Pedippi</w:t>
      </w:r>
      <w:proofErr w:type="spellEnd"/>
      <w:r>
        <w:rPr>
          <w:b/>
          <w:sz w:val="24"/>
          <w:szCs w:val="24"/>
        </w:rPr>
        <w:t>, pulver til oral suspension</w:t>
      </w:r>
      <w:r w:rsidR="0014350D">
        <w:rPr>
          <w:b/>
          <w:sz w:val="24"/>
          <w:szCs w:val="24"/>
        </w:rPr>
        <w:t xml:space="preserve"> 2 mg</w:t>
      </w:r>
      <w:r w:rsidR="00CF7A08">
        <w:rPr>
          <w:b/>
          <w:sz w:val="24"/>
          <w:szCs w:val="24"/>
        </w:rPr>
        <w:t>/</w:t>
      </w:r>
      <w:r w:rsidR="0014350D">
        <w:rPr>
          <w:b/>
          <w:sz w:val="24"/>
          <w:szCs w:val="24"/>
        </w:rPr>
        <w:t>ml</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70F05" w:rsidP="009260DE">
      <w:pPr>
        <w:tabs>
          <w:tab w:val="left" w:pos="851"/>
        </w:tabs>
        <w:ind w:left="851"/>
        <w:rPr>
          <w:sz w:val="24"/>
          <w:szCs w:val="24"/>
        </w:rPr>
      </w:pPr>
      <w:r>
        <w:rPr>
          <w:sz w:val="24"/>
          <w:szCs w:val="24"/>
        </w:rPr>
        <w:t>32860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70F05" w:rsidP="009260DE">
      <w:pPr>
        <w:tabs>
          <w:tab w:val="left" w:pos="851"/>
        </w:tabs>
        <w:ind w:left="851"/>
        <w:rPr>
          <w:sz w:val="24"/>
          <w:szCs w:val="24"/>
        </w:rPr>
      </w:pPr>
      <w:proofErr w:type="spellStart"/>
      <w:r>
        <w:rPr>
          <w:sz w:val="24"/>
          <w:szCs w:val="24"/>
        </w:rPr>
        <w:t>Pedippi</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938E6" w:rsidRPr="004938E6" w:rsidRDefault="004938E6" w:rsidP="004938E6">
      <w:pPr>
        <w:tabs>
          <w:tab w:val="left" w:pos="851"/>
        </w:tabs>
        <w:ind w:left="851"/>
        <w:rPr>
          <w:sz w:val="24"/>
          <w:szCs w:val="24"/>
        </w:rPr>
      </w:pPr>
      <w:r w:rsidRPr="004938E6">
        <w:rPr>
          <w:sz w:val="24"/>
          <w:szCs w:val="24"/>
        </w:rPr>
        <w:t xml:space="preserve">2 mg/ml: 1 ml færdigblandet suspension indeholder 2 mg </w:t>
      </w:r>
      <w:proofErr w:type="spellStart"/>
      <w:r w:rsidRPr="004938E6">
        <w:rPr>
          <w:sz w:val="24"/>
          <w:szCs w:val="24"/>
        </w:rPr>
        <w:t>omeprazol</w:t>
      </w:r>
      <w:proofErr w:type="spellEnd"/>
      <w:r w:rsidRPr="004938E6">
        <w:rPr>
          <w:sz w:val="24"/>
          <w:szCs w:val="24"/>
        </w:rPr>
        <w:t xml:space="preserve">. Hver færdigblandet flaske (90 ml) indeholder 180 mg </w:t>
      </w:r>
      <w:proofErr w:type="spellStart"/>
      <w:r w:rsidRPr="004938E6">
        <w:rPr>
          <w:sz w:val="24"/>
          <w:szCs w:val="24"/>
        </w:rPr>
        <w:t>omeprazol</w:t>
      </w:r>
      <w:proofErr w:type="spellEnd"/>
      <w:r w:rsidRPr="004938E6">
        <w:rPr>
          <w:sz w:val="24"/>
          <w:szCs w:val="24"/>
        </w:rPr>
        <w:t xml:space="preserve">. </w:t>
      </w:r>
    </w:p>
    <w:p w:rsidR="004938E6" w:rsidRPr="004938E6" w:rsidRDefault="004938E6" w:rsidP="004938E6">
      <w:pPr>
        <w:tabs>
          <w:tab w:val="left" w:pos="851"/>
        </w:tabs>
        <w:ind w:left="851"/>
        <w:rPr>
          <w:sz w:val="24"/>
          <w:szCs w:val="24"/>
        </w:rPr>
      </w:pPr>
    </w:p>
    <w:p w:rsidR="004938E6" w:rsidRPr="004938E6" w:rsidRDefault="004938E6" w:rsidP="004938E6">
      <w:pPr>
        <w:tabs>
          <w:tab w:val="left" w:pos="851"/>
        </w:tabs>
        <w:ind w:left="851"/>
        <w:rPr>
          <w:sz w:val="24"/>
          <w:szCs w:val="24"/>
          <w:u w:val="single"/>
        </w:rPr>
      </w:pPr>
      <w:r w:rsidRPr="004938E6">
        <w:rPr>
          <w:sz w:val="24"/>
          <w:szCs w:val="24"/>
          <w:u w:val="single"/>
        </w:rPr>
        <w:t>Hjælpestoffer, som behandleren skal være opmærksom på</w:t>
      </w:r>
    </w:p>
    <w:p w:rsidR="004938E6" w:rsidRPr="004938E6" w:rsidRDefault="004938E6" w:rsidP="004938E6">
      <w:pPr>
        <w:tabs>
          <w:tab w:val="left" w:pos="851"/>
        </w:tabs>
        <w:ind w:left="851"/>
        <w:rPr>
          <w:sz w:val="24"/>
          <w:szCs w:val="24"/>
        </w:rPr>
      </w:pPr>
      <w:r w:rsidRPr="004938E6">
        <w:rPr>
          <w:sz w:val="24"/>
          <w:szCs w:val="24"/>
        </w:rPr>
        <w:t xml:space="preserve">Hver ml af suspension indeholder </w:t>
      </w:r>
      <w:r>
        <w:rPr>
          <w:sz w:val="24"/>
          <w:szCs w:val="24"/>
        </w:rPr>
        <w:t xml:space="preserve">2,3 mg </w:t>
      </w:r>
      <w:proofErr w:type="spellStart"/>
      <w:r w:rsidRPr="004938E6">
        <w:rPr>
          <w:sz w:val="24"/>
          <w:szCs w:val="24"/>
        </w:rPr>
        <w:t>natriummethylparahydroxybenzoat</w:t>
      </w:r>
      <w:proofErr w:type="spellEnd"/>
      <w:r w:rsidRPr="004938E6">
        <w:rPr>
          <w:sz w:val="24"/>
          <w:szCs w:val="24"/>
        </w:rPr>
        <w:t xml:space="preserve"> (E219), </w:t>
      </w:r>
      <w:r w:rsidR="00565241">
        <w:rPr>
          <w:sz w:val="24"/>
          <w:szCs w:val="24"/>
        </w:rPr>
        <w:t xml:space="preserve">272 mg </w:t>
      </w:r>
      <w:proofErr w:type="spellStart"/>
      <w:r w:rsidRPr="004938E6">
        <w:rPr>
          <w:sz w:val="24"/>
          <w:szCs w:val="24"/>
        </w:rPr>
        <w:t>maltitol</w:t>
      </w:r>
      <w:proofErr w:type="spellEnd"/>
      <w:r w:rsidRPr="004938E6">
        <w:rPr>
          <w:sz w:val="24"/>
          <w:szCs w:val="24"/>
        </w:rPr>
        <w:t xml:space="preserve"> (E965), </w:t>
      </w:r>
      <w:r w:rsidR="00565241">
        <w:rPr>
          <w:sz w:val="24"/>
          <w:szCs w:val="24"/>
        </w:rPr>
        <w:t xml:space="preserve">5 mg </w:t>
      </w:r>
      <w:r w:rsidRPr="004938E6">
        <w:rPr>
          <w:sz w:val="24"/>
          <w:szCs w:val="24"/>
        </w:rPr>
        <w:t>natriumbenzoat (E211)</w:t>
      </w:r>
      <w:r w:rsidR="00565241">
        <w:rPr>
          <w:sz w:val="24"/>
          <w:szCs w:val="24"/>
        </w:rPr>
        <w:t>,</w:t>
      </w:r>
      <w:r w:rsidRPr="004938E6">
        <w:rPr>
          <w:sz w:val="24"/>
          <w:szCs w:val="24"/>
        </w:rPr>
        <w:t xml:space="preserve"> </w:t>
      </w:r>
      <w:r w:rsidR="00565241">
        <w:rPr>
          <w:sz w:val="24"/>
          <w:szCs w:val="24"/>
        </w:rPr>
        <w:t xml:space="preserve">17,2 mg </w:t>
      </w:r>
      <w:r w:rsidRPr="004938E6">
        <w:rPr>
          <w:sz w:val="24"/>
          <w:szCs w:val="24"/>
        </w:rPr>
        <w:t xml:space="preserve">natrium og </w:t>
      </w:r>
      <w:r w:rsidR="00565241">
        <w:rPr>
          <w:sz w:val="24"/>
          <w:szCs w:val="24"/>
        </w:rPr>
        <w:t xml:space="preserve">54,3 mg </w:t>
      </w:r>
      <w:r w:rsidRPr="004938E6">
        <w:rPr>
          <w:sz w:val="24"/>
          <w:szCs w:val="24"/>
        </w:rPr>
        <w:t>kalium.</w:t>
      </w:r>
    </w:p>
    <w:p w:rsidR="004938E6" w:rsidRPr="004938E6" w:rsidRDefault="004938E6" w:rsidP="004938E6">
      <w:pPr>
        <w:tabs>
          <w:tab w:val="left" w:pos="851"/>
        </w:tabs>
        <w:ind w:left="851"/>
        <w:rPr>
          <w:sz w:val="24"/>
          <w:szCs w:val="24"/>
        </w:rPr>
      </w:pPr>
    </w:p>
    <w:p w:rsidR="004938E6" w:rsidRPr="004938E6" w:rsidRDefault="004938E6" w:rsidP="004938E6">
      <w:pPr>
        <w:tabs>
          <w:tab w:val="left" w:pos="851"/>
        </w:tabs>
        <w:ind w:left="851"/>
        <w:rPr>
          <w:sz w:val="24"/>
          <w:szCs w:val="24"/>
        </w:rPr>
      </w:pPr>
      <w:r w:rsidRPr="004938E6">
        <w:rPr>
          <w:sz w:val="24"/>
          <w:szCs w:val="24"/>
        </w:rPr>
        <w:t>Alle hjælpestoffer er anført under pkt. 6.1.</w:t>
      </w:r>
    </w:p>
    <w:p w:rsidR="004938E6" w:rsidRPr="004938E6" w:rsidRDefault="004938E6" w:rsidP="004938E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4938E6" w:rsidRDefault="009260DE" w:rsidP="009260DE">
      <w:pPr>
        <w:tabs>
          <w:tab w:val="left" w:pos="851"/>
        </w:tabs>
        <w:ind w:left="851" w:hanging="851"/>
        <w:rPr>
          <w:b/>
          <w:sz w:val="24"/>
          <w:szCs w:val="24"/>
        </w:rPr>
      </w:pPr>
      <w:r w:rsidRPr="004938E6">
        <w:rPr>
          <w:b/>
          <w:sz w:val="24"/>
          <w:szCs w:val="24"/>
        </w:rPr>
        <w:t>3.</w:t>
      </w:r>
      <w:r w:rsidRPr="004938E6">
        <w:rPr>
          <w:b/>
          <w:sz w:val="24"/>
          <w:szCs w:val="24"/>
        </w:rPr>
        <w:tab/>
        <w:t>LÆGEMIDDELFORM</w:t>
      </w:r>
    </w:p>
    <w:p w:rsidR="00EF5ACD" w:rsidRPr="004938E6" w:rsidRDefault="00EF5ACD" w:rsidP="00EF5ACD">
      <w:pPr>
        <w:tabs>
          <w:tab w:val="left" w:pos="851"/>
        </w:tabs>
        <w:ind w:left="851"/>
        <w:rPr>
          <w:sz w:val="24"/>
          <w:szCs w:val="24"/>
          <w:lang w:eastAsia="da-DK"/>
        </w:rPr>
      </w:pPr>
      <w:r w:rsidRPr="004938E6">
        <w:rPr>
          <w:sz w:val="24"/>
          <w:szCs w:val="24"/>
        </w:rPr>
        <w:t>Pulver til oral suspension</w:t>
      </w:r>
    </w:p>
    <w:p w:rsidR="00EF5ACD" w:rsidRPr="004938E6" w:rsidRDefault="00EF5ACD" w:rsidP="00EF5ACD">
      <w:pPr>
        <w:tabs>
          <w:tab w:val="left" w:pos="851"/>
        </w:tabs>
        <w:ind w:left="851"/>
        <w:rPr>
          <w:sz w:val="24"/>
          <w:szCs w:val="24"/>
        </w:rPr>
      </w:pPr>
    </w:p>
    <w:p w:rsidR="00EF5ACD" w:rsidRPr="004938E6" w:rsidRDefault="00EF5ACD" w:rsidP="00EF5ACD">
      <w:pPr>
        <w:tabs>
          <w:tab w:val="left" w:pos="851"/>
        </w:tabs>
        <w:ind w:left="851"/>
        <w:rPr>
          <w:sz w:val="24"/>
          <w:szCs w:val="24"/>
        </w:rPr>
      </w:pPr>
      <w:r w:rsidRPr="004938E6">
        <w:rPr>
          <w:sz w:val="24"/>
          <w:szCs w:val="24"/>
        </w:rPr>
        <w:t xml:space="preserve">Pulver i låget: </w:t>
      </w:r>
      <w:r>
        <w:rPr>
          <w:sz w:val="24"/>
          <w:szCs w:val="24"/>
        </w:rPr>
        <w:t>h</w:t>
      </w:r>
      <w:r w:rsidRPr="004938E6">
        <w:rPr>
          <w:sz w:val="24"/>
          <w:szCs w:val="24"/>
        </w:rPr>
        <w:t xml:space="preserve">vidt/råhvidt/let gult pulver. </w:t>
      </w:r>
    </w:p>
    <w:p w:rsidR="00EF5ACD" w:rsidRPr="004938E6" w:rsidRDefault="00EF5ACD" w:rsidP="00EF5ACD">
      <w:pPr>
        <w:tabs>
          <w:tab w:val="left" w:pos="851"/>
        </w:tabs>
        <w:ind w:left="851"/>
        <w:rPr>
          <w:sz w:val="24"/>
          <w:szCs w:val="24"/>
        </w:rPr>
      </w:pPr>
      <w:r w:rsidRPr="004938E6">
        <w:rPr>
          <w:sz w:val="24"/>
          <w:szCs w:val="24"/>
        </w:rPr>
        <w:t xml:space="preserve">Pulver i flasken: </w:t>
      </w:r>
      <w:r>
        <w:rPr>
          <w:sz w:val="24"/>
          <w:szCs w:val="24"/>
        </w:rPr>
        <w:t>h</w:t>
      </w:r>
      <w:r w:rsidRPr="004938E6">
        <w:rPr>
          <w:sz w:val="24"/>
          <w:szCs w:val="24"/>
        </w:rPr>
        <w:t>vidt/råhvidt/let gult pulver. Kan indeholde mørke pletter på grund af sødemiddel.</w:t>
      </w:r>
    </w:p>
    <w:p w:rsidR="009260DE" w:rsidRPr="004938E6" w:rsidRDefault="009260DE" w:rsidP="009260DE">
      <w:pPr>
        <w:tabs>
          <w:tab w:val="left" w:pos="851"/>
        </w:tabs>
        <w:ind w:left="851"/>
        <w:rPr>
          <w:sz w:val="24"/>
          <w:szCs w:val="24"/>
        </w:rPr>
      </w:pPr>
    </w:p>
    <w:p w:rsidR="009260DE" w:rsidRPr="004938E6"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F5ACD" w:rsidRPr="00917842" w:rsidRDefault="00EF5ACD" w:rsidP="00EF5ACD">
      <w:pPr>
        <w:tabs>
          <w:tab w:val="left" w:pos="851"/>
        </w:tabs>
        <w:ind w:left="851"/>
        <w:rPr>
          <w:sz w:val="24"/>
          <w:szCs w:val="24"/>
        </w:rPr>
      </w:pPr>
      <w:proofErr w:type="spellStart"/>
      <w:r w:rsidRPr="00917842">
        <w:rPr>
          <w:sz w:val="24"/>
          <w:szCs w:val="24"/>
        </w:rPr>
        <w:t>Pedippi</w:t>
      </w:r>
      <w:proofErr w:type="spellEnd"/>
      <w:r w:rsidRPr="00917842">
        <w:rPr>
          <w:sz w:val="24"/>
          <w:szCs w:val="24"/>
        </w:rPr>
        <w:t xml:space="preserve"> er indiceret til:</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sz w:val="24"/>
          <w:szCs w:val="24"/>
          <w:u w:val="single"/>
        </w:rPr>
      </w:pPr>
      <w:r w:rsidRPr="00917842">
        <w:rPr>
          <w:sz w:val="24"/>
          <w:szCs w:val="24"/>
          <w:u w:val="single"/>
        </w:rPr>
        <w:t>Voksne</w:t>
      </w:r>
    </w:p>
    <w:p w:rsidR="00EF5ACD" w:rsidRPr="00917842" w:rsidRDefault="00EF5ACD" w:rsidP="00EF5ACD">
      <w:pPr>
        <w:numPr>
          <w:ilvl w:val="0"/>
          <w:numId w:val="6"/>
        </w:numPr>
        <w:tabs>
          <w:tab w:val="left" w:pos="851"/>
        </w:tabs>
        <w:rPr>
          <w:sz w:val="24"/>
          <w:szCs w:val="24"/>
        </w:rPr>
      </w:pPr>
      <w:r w:rsidRPr="00917842">
        <w:rPr>
          <w:sz w:val="24"/>
          <w:szCs w:val="24"/>
        </w:rPr>
        <w:t xml:space="preserve">Recidivprofylaktisk mod </w:t>
      </w:r>
      <w:proofErr w:type="spellStart"/>
      <w:r w:rsidRPr="00917842">
        <w:rPr>
          <w:sz w:val="24"/>
          <w:szCs w:val="24"/>
        </w:rPr>
        <w:t>duodenale</w:t>
      </w:r>
      <w:proofErr w:type="spellEnd"/>
      <w:r w:rsidRPr="00917842">
        <w:rPr>
          <w:sz w:val="24"/>
          <w:szCs w:val="24"/>
        </w:rPr>
        <w:t xml:space="preserve"> </w:t>
      </w:r>
      <w:proofErr w:type="spellStart"/>
      <w:r w:rsidRPr="00917842">
        <w:rPr>
          <w:sz w:val="24"/>
          <w:szCs w:val="24"/>
        </w:rPr>
        <w:t>ulcera</w:t>
      </w:r>
      <w:proofErr w:type="spellEnd"/>
    </w:p>
    <w:p w:rsidR="00EF5ACD" w:rsidRPr="00917842" w:rsidRDefault="00EF5ACD" w:rsidP="00EF5ACD">
      <w:pPr>
        <w:numPr>
          <w:ilvl w:val="0"/>
          <w:numId w:val="6"/>
        </w:numPr>
        <w:tabs>
          <w:tab w:val="left" w:pos="851"/>
        </w:tabs>
        <w:rPr>
          <w:sz w:val="24"/>
          <w:szCs w:val="24"/>
        </w:rPr>
      </w:pPr>
      <w:r w:rsidRPr="00917842">
        <w:rPr>
          <w:sz w:val="24"/>
          <w:szCs w:val="24"/>
        </w:rPr>
        <w:t xml:space="preserve">Vedligeholdelsesbehandling af patienter med helet </w:t>
      </w:r>
      <w:proofErr w:type="spellStart"/>
      <w:r w:rsidRPr="00917842">
        <w:rPr>
          <w:sz w:val="24"/>
          <w:szCs w:val="24"/>
        </w:rPr>
        <w:t>refluksøsofagitis</w:t>
      </w:r>
      <w:proofErr w:type="spellEnd"/>
    </w:p>
    <w:p w:rsidR="00EF5ACD" w:rsidRPr="00917842" w:rsidRDefault="00EF5ACD" w:rsidP="00EF5ACD">
      <w:pPr>
        <w:numPr>
          <w:ilvl w:val="0"/>
          <w:numId w:val="6"/>
        </w:numPr>
        <w:tabs>
          <w:tab w:val="left" w:pos="851"/>
        </w:tabs>
        <w:rPr>
          <w:sz w:val="24"/>
          <w:szCs w:val="24"/>
        </w:rPr>
      </w:pPr>
      <w:r w:rsidRPr="00917842">
        <w:rPr>
          <w:sz w:val="24"/>
          <w:szCs w:val="24"/>
        </w:rPr>
        <w:t xml:space="preserve">Behandling af symptomgivende </w:t>
      </w:r>
      <w:proofErr w:type="spellStart"/>
      <w:r w:rsidRPr="00917842">
        <w:rPr>
          <w:sz w:val="24"/>
          <w:szCs w:val="24"/>
        </w:rPr>
        <w:t>gastroøsofageal</w:t>
      </w:r>
      <w:proofErr w:type="spellEnd"/>
      <w:r w:rsidRPr="00917842">
        <w:rPr>
          <w:sz w:val="24"/>
          <w:szCs w:val="24"/>
        </w:rPr>
        <w:t xml:space="preserve"> </w:t>
      </w:r>
      <w:proofErr w:type="spellStart"/>
      <w:r w:rsidRPr="00917842">
        <w:rPr>
          <w:sz w:val="24"/>
          <w:szCs w:val="24"/>
        </w:rPr>
        <w:t>reflukssygdom</w:t>
      </w:r>
      <w:proofErr w:type="spellEnd"/>
    </w:p>
    <w:p w:rsidR="00917842" w:rsidRPr="00917842" w:rsidRDefault="00917842" w:rsidP="00917842">
      <w:pPr>
        <w:tabs>
          <w:tab w:val="left" w:pos="851"/>
        </w:tabs>
        <w:ind w:left="851"/>
        <w:rPr>
          <w:sz w:val="24"/>
          <w:szCs w:val="24"/>
        </w:rPr>
      </w:pPr>
    </w:p>
    <w:p w:rsidR="00EF5ACD" w:rsidRPr="00917842" w:rsidRDefault="00EF5ACD" w:rsidP="00EF5ACD">
      <w:pPr>
        <w:tabs>
          <w:tab w:val="left" w:pos="851"/>
        </w:tabs>
        <w:ind w:left="851"/>
        <w:rPr>
          <w:sz w:val="24"/>
          <w:szCs w:val="24"/>
          <w:u w:val="single"/>
        </w:rPr>
      </w:pPr>
      <w:r w:rsidRPr="00917842">
        <w:rPr>
          <w:sz w:val="24"/>
          <w:szCs w:val="24"/>
          <w:u w:val="single"/>
        </w:rPr>
        <w:lastRenderedPageBreak/>
        <w:t>Pædiatrisk anvendelse</w:t>
      </w:r>
    </w:p>
    <w:p w:rsidR="00EF5ACD" w:rsidRDefault="00EF5ACD" w:rsidP="00EF5ACD">
      <w:pPr>
        <w:tabs>
          <w:tab w:val="left" w:pos="851"/>
        </w:tabs>
        <w:ind w:left="851"/>
        <w:rPr>
          <w:i/>
          <w:iCs/>
          <w:sz w:val="24"/>
          <w:szCs w:val="24"/>
          <w:u w:val="single"/>
        </w:rPr>
      </w:pPr>
    </w:p>
    <w:p w:rsidR="00EF5ACD" w:rsidRPr="00917842" w:rsidRDefault="00EF5ACD" w:rsidP="00EF5ACD">
      <w:pPr>
        <w:tabs>
          <w:tab w:val="left" w:pos="851"/>
        </w:tabs>
        <w:ind w:left="851"/>
        <w:rPr>
          <w:i/>
          <w:iCs/>
          <w:sz w:val="24"/>
          <w:szCs w:val="24"/>
        </w:rPr>
      </w:pPr>
      <w:r w:rsidRPr="00917842">
        <w:rPr>
          <w:i/>
          <w:iCs/>
          <w:sz w:val="24"/>
          <w:szCs w:val="24"/>
        </w:rPr>
        <w:t>Børn over 1 måned</w:t>
      </w:r>
    </w:p>
    <w:p w:rsidR="00EF5ACD" w:rsidRPr="00917842" w:rsidRDefault="00EF5ACD" w:rsidP="00EF5ACD">
      <w:pPr>
        <w:numPr>
          <w:ilvl w:val="0"/>
          <w:numId w:val="7"/>
        </w:numPr>
        <w:tabs>
          <w:tab w:val="left" w:pos="851"/>
        </w:tabs>
        <w:rPr>
          <w:sz w:val="24"/>
          <w:szCs w:val="24"/>
        </w:rPr>
      </w:pPr>
      <w:r w:rsidRPr="00917842">
        <w:rPr>
          <w:sz w:val="24"/>
          <w:szCs w:val="24"/>
        </w:rPr>
        <w:t xml:space="preserve">Behandling af </w:t>
      </w:r>
      <w:proofErr w:type="spellStart"/>
      <w:r w:rsidRPr="00917842">
        <w:rPr>
          <w:sz w:val="24"/>
          <w:szCs w:val="24"/>
        </w:rPr>
        <w:t>refluksøsofagitis</w:t>
      </w:r>
      <w:proofErr w:type="spellEnd"/>
    </w:p>
    <w:p w:rsidR="00EF5ACD" w:rsidRPr="00917842" w:rsidRDefault="00EF5ACD" w:rsidP="00EF5ACD">
      <w:pPr>
        <w:numPr>
          <w:ilvl w:val="0"/>
          <w:numId w:val="7"/>
        </w:numPr>
        <w:tabs>
          <w:tab w:val="left" w:pos="851"/>
        </w:tabs>
        <w:rPr>
          <w:sz w:val="24"/>
          <w:szCs w:val="24"/>
        </w:rPr>
      </w:pPr>
      <w:r w:rsidRPr="00917842">
        <w:rPr>
          <w:sz w:val="24"/>
          <w:szCs w:val="24"/>
        </w:rPr>
        <w:t xml:space="preserve">Symptomatisk behandling af halsbrand og </w:t>
      </w:r>
      <w:proofErr w:type="spellStart"/>
      <w:r w:rsidRPr="00917842">
        <w:rPr>
          <w:sz w:val="24"/>
          <w:szCs w:val="24"/>
        </w:rPr>
        <w:t>syreregurgitation</w:t>
      </w:r>
      <w:proofErr w:type="spellEnd"/>
      <w:r w:rsidRPr="00917842">
        <w:rPr>
          <w:sz w:val="24"/>
          <w:szCs w:val="24"/>
        </w:rPr>
        <w:t xml:space="preserve"> ved </w:t>
      </w:r>
      <w:proofErr w:type="spellStart"/>
      <w:r w:rsidRPr="00917842">
        <w:rPr>
          <w:sz w:val="24"/>
          <w:szCs w:val="24"/>
        </w:rPr>
        <w:t>gastroøsofageal</w:t>
      </w:r>
      <w:proofErr w:type="spellEnd"/>
      <w:r w:rsidRPr="00917842">
        <w:rPr>
          <w:sz w:val="24"/>
          <w:szCs w:val="24"/>
        </w:rPr>
        <w:t xml:space="preserve"> </w:t>
      </w:r>
      <w:proofErr w:type="spellStart"/>
      <w:r w:rsidRPr="00917842">
        <w:rPr>
          <w:sz w:val="24"/>
          <w:szCs w:val="24"/>
        </w:rPr>
        <w:t>reflukssygdom</w:t>
      </w:r>
      <w:proofErr w:type="spellEnd"/>
    </w:p>
    <w:p w:rsidR="009260DE" w:rsidRPr="00C84483" w:rsidRDefault="009260DE" w:rsidP="00EF5ACD">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82115">
        <w:rPr>
          <w:b/>
          <w:sz w:val="24"/>
          <w:szCs w:val="24"/>
        </w:rPr>
        <w:t>administration</w:t>
      </w:r>
    </w:p>
    <w:p w:rsidR="00F40E63" w:rsidRDefault="00F40E63" w:rsidP="00917842">
      <w:pPr>
        <w:tabs>
          <w:tab w:val="left" w:pos="851"/>
        </w:tabs>
        <w:ind w:left="851"/>
        <w:rPr>
          <w:b/>
          <w:bCs/>
          <w:sz w:val="24"/>
          <w:szCs w:val="24"/>
        </w:rPr>
      </w:pPr>
    </w:p>
    <w:p w:rsidR="00EF5ACD" w:rsidRPr="00917842" w:rsidRDefault="00EF5ACD" w:rsidP="00EF5ACD">
      <w:pPr>
        <w:tabs>
          <w:tab w:val="left" w:pos="851"/>
        </w:tabs>
        <w:ind w:left="851"/>
        <w:rPr>
          <w:b/>
          <w:bCs/>
          <w:sz w:val="24"/>
          <w:szCs w:val="24"/>
        </w:rPr>
      </w:pPr>
      <w:r w:rsidRPr="00D060B8">
        <w:rPr>
          <w:b/>
          <w:bCs/>
          <w:sz w:val="24"/>
          <w:szCs w:val="24"/>
        </w:rPr>
        <w:t xml:space="preserve">Den maksimalt anbefalede dosis </w:t>
      </w:r>
      <w:r>
        <w:rPr>
          <w:b/>
          <w:bCs/>
          <w:sz w:val="24"/>
          <w:szCs w:val="24"/>
        </w:rPr>
        <w:t xml:space="preserve">af </w:t>
      </w:r>
      <w:proofErr w:type="spellStart"/>
      <w:r>
        <w:rPr>
          <w:b/>
          <w:bCs/>
          <w:sz w:val="24"/>
          <w:szCs w:val="24"/>
        </w:rPr>
        <w:t>Pedippi</w:t>
      </w:r>
      <w:proofErr w:type="spellEnd"/>
      <w:r w:rsidRPr="00D060B8">
        <w:rPr>
          <w:b/>
          <w:bCs/>
          <w:sz w:val="24"/>
          <w:szCs w:val="24"/>
        </w:rPr>
        <w:t xml:space="preserve"> 2 mg/ml oral suspension er 15 mg dagligt. </w:t>
      </w:r>
      <w:r>
        <w:rPr>
          <w:b/>
          <w:bCs/>
          <w:sz w:val="24"/>
          <w:szCs w:val="24"/>
        </w:rPr>
        <w:t>Andre styrker</w:t>
      </w:r>
      <w:r w:rsidRPr="00D060B8">
        <w:rPr>
          <w:b/>
          <w:bCs/>
          <w:sz w:val="24"/>
          <w:szCs w:val="24"/>
        </w:rPr>
        <w:t xml:space="preserve"> </w:t>
      </w:r>
      <w:r>
        <w:rPr>
          <w:b/>
          <w:bCs/>
          <w:sz w:val="24"/>
          <w:szCs w:val="24"/>
        </w:rPr>
        <w:t xml:space="preserve">og </w:t>
      </w:r>
      <w:r w:rsidRPr="00D060B8">
        <w:rPr>
          <w:b/>
          <w:bCs/>
          <w:sz w:val="24"/>
          <w:szCs w:val="24"/>
        </w:rPr>
        <w:t xml:space="preserve">farmaceutiske </w:t>
      </w:r>
      <w:r>
        <w:rPr>
          <w:b/>
          <w:bCs/>
          <w:sz w:val="24"/>
          <w:szCs w:val="24"/>
        </w:rPr>
        <w:t xml:space="preserve">former af </w:t>
      </w:r>
      <w:proofErr w:type="spellStart"/>
      <w:r w:rsidRPr="00D060B8">
        <w:rPr>
          <w:b/>
          <w:bCs/>
          <w:sz w:val="24"/>
          <w:szCs w:val="24"/>
        </w:rPr>
        <w:t>omeprazol</w:t>
      </w:r>
      <w:proofErr w:type="spellEnd"/>
      <w:r>
        <w:rPr>
          <w:b/>
          <w:bCs/>
          <w:sz w:val="24"/>
          <w:szCs w:val="24"/>
        </w:rPr>
        <w:t xml:space="preserve"> skal anvendes</w:t>
      </w:r>
      <w:r w:rsidRPr="00D060B8">
        <w:rPr>
          <w:b/>
          <w:bCs/>
          <w:sz w:val="24"/>
          <w:szCs w:val="24"/>
        </w:rPr>
        <w:t xml:space="preserve"> til administration af højere </w:t>
      </w:r>
      <w:r>
        <w:rPr>
          <w:b/>
          <w:bCs/>
          <w:sz w:val="24"/>
          <w:szCs w:val="24"/>
        </w:rPr>
        <w:t xml:space="preserve">doser af </w:t>
      </w:r>
      <w:proofErr w:type="spellStart"/>
      <w:r w:rsidRPr="00D060B8">
        <w:rPr>
          <w:b/>
          <w:bCs/>
          <w:sz w:val="24"/>
          <w:szCs w:val="24"/>
        </w:rPr>
        <w:t>omeprazol</w:t>
      </w:r>
      <w:proofErr w:type="spellEnd"/>
      <w:r w:rsidRPr="00D060B8">
        <w:rPr>
          <w:b/>
          <w:bCs/>
          <w:sz w:val="24"/>
          <w:szCs w:val="24"/>
        </w:rPr>
        <w:t>.</w:t>
      </w:r>
    </w:p>
    <w:p w:rsidR="00EF5ACD" w:rsidRPr="00917842" w:rsidRDefault="00EF5ACD" w:rsidP="00EF5ACD">
      <w:pPr>
        <w:tabs>
          <w:tab w:val="left" w:pos="851"/>
        </w:tabs>
        <w:ind w:left="851"/>
        <w:rPr>
          <w:b/>
          <w:bCs/>
          <w:sz w:val="24"/>
          <w:szCs w:val="24"/>
        </w:rPr>
      </w:pPr>
    </w:p>
    <w:p w:rsidR="00EF5ACD" w:rsidRPr="00917842" w:rsidRDefault="00EF5ACD" w:rsidP="00EF5ACD">
      <w:pPr>
        <w:tabs>
          <w:tab w:val="left" w:pos="851"/>
        </w:tabs>
        <w:rPr>
          <w:sz w:val="24"/>
          <w:szCs w:val="24"/>
        </w:rPr>
      </w:pPr>
    </w:p>
    <w:p w:rsidR="00EF5ACD" w:rsidRPr="00917842" w:rsidRDefault="00EF5ACD" w:rsidP="00EF5ACD">
      <w:pPr>
        <w:tabs>
          <w:tab w:val="left" w:pos="851"/>
        </w:tabs>
        <w:ind w:left="851"/>
        <w:rPr>
          <w:i/>
          <w:iCs/>
          <w:sz w:val="24"/>
          <w:szCs w:val="24"/>
        </w:rPr>
      </w:pPr>
      <w:r w:rsidRPr="00917842">
        <w:rPr>
          <w:i/>
          <w:iCs/>
          <w:sz w:val="24"/>
          <w:szCs w:val="24"/>
        </w:rPr>
        <w:t xml:space="preserve">Profylaktisk mod recidiverende </w:t>
      </w:r>
      <w:proofErr w:type="spellStart"/>
      <w:r w:rsidRPr="00917842">
        <w:rPr>
          <w:i/>
          <w:iCs/>
          <w:sz w:val="24"/>
          <w:szCs w:val="24"/>
        </w:rPr>
        <w:t>duodenale</w:t>
      </w:r>
      <w:proofErr w:type="spellEnd"/>
      <w:r w:rsidRPr="00917842">
        <w:rPr>
          <w:i/>
          <w:iCs/>
          <w:sz w:val="24"/>
          <w:szCs w:val="24"/>
        </w:rPr>
        <w:t xml:space="preserve"> </w:t>
      </w:r>
      <w:proofErr w:type="spellStart"/>
      <w:r w:rsidRPr="00917842">
        <w:rPr>
          <w:i/>
          <w:iCs/>
          <w:sz w:val="24"/>
          <w:szCs w:val="24"/>
        </w:rPr>
        <w:t>ulcera</w:t>
      </w:r>
      <w:proofErr w:type="spellEnd"/>
    </w:p>
    <w:p w:rsidR="00EF5ACD" w:rsidRPr="00917842" w:rsidRDefault="00EF5ACD" w:rsidP="00EF5ACD">
      <w:pPr>
        <w:tabs>
          <w:tab w:val="left" w:pos="851"/>
        </w:tabs>
        <w:ind w:left="851"/>
        <w:rPr>
          <w:sz w:val="24"/>
          <w:szCs w:val="24"/>
        </w:rPr>
      </w:pPr>
      <w:r w:rsidRPr="00917842">
        <w:rPr>
          <w:sz w:val="24"/>
          <w:szCs w:val="24"/>
        </w:rPr>
        <w:t xml:space="preserve">Den anbefalede profylaktiske dosis til recidiverende </w:t>
      </w:r>
      <w:proofErr w:type="spellStart"/>
      <w:r w:rsidRPr="00917842">
        <w:rPr>
          <w:sz w:val="24"/>
          <w:szCs w:val="24"/>
        </w:rPr>
        <w:t>duodenale</w:t>
      </w:r>
      <w:proofErr w:type="spellEnd"/>
      <w:r w:rsidRPr="00917842">
        <w:rPr>
          <w:sz w:val="24"/>
          <w:szCs w:val="24"/>
        </w:rPr>
        <w:t xml:space="preserve"> </w:t>
      </w:r>
      <w:proofErr w:type="spellStart"/>
      <w:r w:rsidRPr="00917842">
        <w:rPr>
          <w:sz w:val="24"/>
          <w:szCs w:val="24"/>
        </w:rPr>
        <w:t>ulcera</w:t>
      </w:r>
      <w:proofErr w:type="spellEnd"/>
      <w:r w:rsidRPr="00917842">
        <w:rPr>
          <w:sz w:val="24"/>
          <w:szCs w:val="24"/>
        </w:rPr>
        <w:t xml:space="preserve"> hos </w:t>
      </w:r>
      <w:r w:rsidRPr="00917842">
        <w:rPr>
          <w:i/>
          <w:iCs/>
          <w:sz w:val="24"/>
          <w:szCs w:val="24"/>
        </w:rPr>
        <w:t xml:space="preserve">H. </w:t>
      </w:r>
      <w:proofErr w:type="spellStart"/>
      <w:r w:rsidRPr="00917842">
        <w:rPr>
          <w:i/>
          <w:iCs/>
          <w:sz w:val="24"/>
          <w:szCs w:val="24"/>
        </w:rPr>
        <w:t>pylori</w:t>
      </w:r>
      <w:proofErr w:type="spellEnd"/>
      <w:r w:rsidRPr="00917842">
        <w:rPr>
          <w:sz w:val="24"/>
          <w:szCs w:val="24"/>
        </w:rPr>
        <w:t xml:space="preserve"> negative patienter, eller når </w:t>
      </w:r>
      <w:r w:rsidRPr="00917842">
        <w:rPr>
          <w:i/>
          <w:iCs/>
          <w:sz w:val="24"/>
          <w:szCs w:val="24"/>
        </w:rPr>
        <w:t xml:space="preserve">H. </w:t>
      </w:r>
      <w:proofErr w:type="spellStart"/>
      <w:r w:rsidRPr="00917842">
        <w:rPr>
          <w:i/>
          <w:iCs/>
          <w:sz w:val="24"/>
          <w:szCs w:val="24"/>
        </w:rPr>
        <w:t>pylori</w:t>
      </w:r>
      <w:proofErr w:type="spellEnd"/>
      <w:r w:rsidRPr="00917842">
        <w:rPr>
          <w:sz w:val="24"/>
          <w:szCs w:val="24"/>
        </w:rPr>
        <w:t xml:space="preserve"> </w:t>
      </w:r>
      <w:proofErr w:type="spellStart"/>
      <w:r w:rsidRPr="00917842">
        <w:rPr>
          <w:sz w:val="24"/>
          <w:szCs w:val="24"/>
        </w:rPr>
        <w:t>eradikation</w:t>
      </w:r>
      <w:proofErr w:type="spellEnd"/>
      <w:r w:rsidRPr="00917842">
        <w:rPr>
          <w:sz w:val="24"/>
          <w:szCs w:val="24"/>
        </w:rPr>
        <w:t xml:space="preserve"> ikke er muligt, er </w:t>
      </w:r>
      <w:proofErr w:type="spellStart"/>
      <w:r w:rsidRPr="00917842">
        <w:rPr>
          <w:sz w:val="24"/>
          <w:szCs w:val="24"/>
        </w:rPr>
        <w:t>Pedippi</w:t>
      </w:r>
      <w:proofErr w:type="spellEnd"/>
      <w:r w:rsidRPr="00917842">
        <w:rPr>
          <w:sz w:val="24"/>
          <w:szCs w:val="24"/>
        </w:rPr>
        <w:t xml:space="preserve"> 20 mg en gang </w:t>
      </w:r>
      <w:r>
        <w:rPr>
          <w:sz w:val="24"/>
          <w:szCs w:val="24"/>
        </w:rPr>
        <w:t>daglig</w:t>
      </w:r>
      <w:r w:rsidRPr="00917842">
        <w:rPr>
          <w:sz w:val="24"/>
          <w:szCs w:val="24"/>
        </w:rPr>
        <w:t>. Hos nogle patienter kan en daglig dosis på 10 mg være tilstrækkelig. I tilfælde af behandlingssvigt kan dosis øges til 40 mg.</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i/>
          <w:iCs/>
          <w:sz w:val="24"/>
          <w:szCs w:val="24"/>
        </w:rPr>
      </w:pPr>
      <w:r w:rsidRPr="00917842">
        <w:rPr>
          <w:i/>
          <w:iCs/>
          <w:sz w:val="24"/>
          <w:szCs w:val="24"/>
        </w:rPr>
        <w:t xml:space="preserve">Vedligeholdelsesbehandling af patienter med helet </w:t>
      </w:r>
      <w:proofErr w:type="spellStart"/>
      <w:r w:rsidRPr="00917842">
        <w:rPr>
          <w:i/>
          <w:iCs/>
          <w:sz w:val="24"/>
          <w:szCs w:val="24"/>
        </w:rPr>
        <w:t>refluksøsofagitis</w:t>
      </w:r>
      <w:proofErr w:type="spellEnd"/>
    </w:p>
    <w:p w:rsidR="00EF5ACD" w:rsidRPr="00917842" w:rsidRDefault="00EF5ACD" w:rsidP="00EF5ACD">
      <w:pPr>
        <w:tabs>
          <w:tab w:val="left" w:pos="851"/>
        </w:tabs>
        <w:ind w:left="851"/>
        <w:rPr>
          <w:sz w:val="24"/>
          <w:szCs w:val="24"/>
        </w:rPr>
      </w:pPr>
      <w:r w:rsidRPr="00917842">
        <w:rPr>
          <w:sz w:val="24"/>
          <w:szCs w:val="24"/>
        </w:rPr>
        <w:t xml:space="preserve">Til langvarig vedligeholdelsesbehandling af patienter med helet </w:t>
      </w:r>
      <w:proofErr w:type="spellStart"/>
      <w:r w:rsidRPr="00917842">
        <w:rPr>
          <w:sz w:val="24"/>
          <w:szCs w:val="24"/>
        </w:rPr>
        <w:t>refluksøsofagitis</w:t>
      </w:r>
      <w:proofErr w:type="spellEnd"/>
      <w:r w:rsidRPr="00917842">
        <w:rPr>
          <w:sz w:val="24"/>
          <w:szCs w:val="24"/>
        </w:rPr>
        <w:t xml:space="preserve"> er den anbefalede dosis </w:t>
      </w:r>
      <w:proofErr w:type="spellStart"/>
      <w:r w:rsidRPr="00917842">
        <w:rPr>
          <w:sz w:val="24"/>
          <w:szCs w:val="24"/>
        </w:rPr>
        <w:t>Pedippi</w:t>
      </w:r>
      <w:proofErr w:type="spellEnd"/>
      <w:r w:rsidRPr="00917842">
        <w:rPr>
          <w:sz w:val="24"/>
          <w:szCs w:val="24"/>
        </w:rPr>
        <w:t xml:space="preserve"> 10 mg en gang </w:t>
      </w:r>
      <w:r>
        <w:rPr>
          <w:sz w:val="24"/>
          <w:szCs w:val="24"/>
        </w:rPr>
        <w:t>daglig</w:t>
      </w:r>
      <w:r w:rsidRPr="00917842">
        <w:rPr>
          <w:sz w:val="24"/>
          <w:szCs w:val="24"/>
        </w:rPr>
        <w:t xml:space="preserve">. Om nødvendigt kan dosis øges til </w:t>
      </w:r>
      <w:proofErr w:type="spellStart"/>
      <w:r w:rsidRPr="00917842">
        <w:rPr>
          <w:sz w:val="24"/>
          <w:szCs w:val="24"/>
        </w:rPr>
        <w:t>Pedippi</w:t>
      </w:r>
      <w:proofErr w:type="spellEnd"/>
      <w:r w:rsidRPr="00917842">
        <w:rPr>
          <w:sz w:val="24"/>
          <w:szCs w:val="24"/>
        </w:rPr>
        <w:t xml:space="preserve"> 20-40 mg en gang </w:t>
      </w:r>
      <w:r>
        <w:rPr>
          <w:sz w:val="24"/>
          <w:szCs w:val="24"/>
        </w:rPr>
        <w:t>daglig</w:t>
      </w:r>
      <w:r w:rsidRPr="00917842">
        <w:rPr>
          <w:sz w:val="24"/>
          <w:szCs w:val="24"/>
        </w:rPr>
        <w:t>.</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i/>
          <w:iCs/>
          <w:sz w:val="24"/>
          <w:szCs w:val="24"/>
        </w:rPr>
      </w:pPr>
      <w:r w:rsidRPr="00917842">
        <w:rPr>
          <w:i/>
          <w:iCs/>
          <w:sz w:val="24"/>
          <w:szCs w:val="24"/>
        </w:rPr>
        <w:t xml:space="preserve">Behandling af symptomgivende </w:t>
      </w:r>
      <w:proofErr w:type="spellStart"/>
      <w:r w:rsidRPr="00917842">
        <w:rPr>
          <w:i/>
          <w:iCs/>
          <w:sz w:val="24"/>
          <w:szCs w:val="24"/>
        </w:rPr>
        <w:t>gastroøsofageal</w:t>
      </w:r>
      <w:proofErr w:type="spellEnd"/>
      <w:r w:rsidRPr="00917842">
        <w:rPr>
          <w:i/>
          <w:iCs/>
          <w:sz w:val="24"/>
          <w:szCs w:val="24"/>
        </w:rPr>
        <w:t xml:space="preserve"> </w:t>
      </w:r>
      <w:proofErr w:type="spellStart"/>
      <w:r w:rsidRPr="00917842">
        <w:rPr>
          <w:i/>
          <w:iCs/>
          <w:sz w:val="24"/>
          <w:szCs w:val="24"/>
        </w:rPr>
        <w:t>reflukssygdom</w:t>
      </w:r>
      <w:proofErr w:type="spellEnd"/>
      <w:r w:rsidRPr="00917842">
        <w:rPr>
          <w:i/>
          <w:iCs/>
          <w:sz w:val="24"/>
          <w:szCs w:val="24"/>
        </w:rPr>
        <w:t xml:space="preserve"> </w:t>
      </w:r>
    </w:p>
    <w:p w:rsidR="00EF5ACD" w:rsidRPr="00917842" w:rsidRDefault="00EF5ACD" w:rsidP="00EF5ACD">
      <w:pPr>
        <w:tabs>
          <w:tab w:val="left" w:pos="851"/>
        </w:tabs>
        <w:ind w:left="851"/>
        <w:rPr>
          <w:sz w:val="24"/>
          <w:szCs w:val="24"/>
        </w:rPr>
      </w:pPr>
      <w:r w:rsidRPr="00917842">
        <w:rPr>
          <w:sz w:val="24"/>
          <w:szCs w:val="24"/>
        </w:rPr>
        <w:t xml:space="preserve">Den anbefalede dosis er </w:t>
      </w:r>
      <w:proofErr w:type="spellStart"/>
      <w:r w:rsidRPr="00917842">
        <w:rPr>
          <w:sz w:val="24"/>
          <w:szCs w:val="24"/>
        </w:rPr>
        <w:t>Pedippi</w:t>
      </w:r>
      <w:proofErr w:type="spellEnd"/>
      <w:r w:rsidRPr="00917842">
        <w:rPr>
          <w:sz w:val="24"/>
          <w:szCs w:val="24"/>
        </w:rPr>
        <w:t xml:space="preserve"> 20 mg </w:t>
      </w:r>
      <w:r>
        <w:rPr>
          <w:sz w:val="24"/>
          <w:szCs w:val="24"/>
        </w:rPr>
        <w:t>daglig</w:t>
      </w:r>
      <w:r w:rsidRPr="00917842">
        <w:rPr>
          <w:sz w:val="24"/>
          <w:szCs w:val="24"/>
        </w:rPr>
        <w:t xml:space="preserve">. Nogle patienter kan respondere tilstrækkeligt på 10 mg </w:t>
      </w:r>
      <w:r>
        <w:rPr>
          <w:sz w:val="24"/>
          <w:szCs w:val="24"/>
        </w:rPr>
        <w:t>daglig</w:t>
      </w:r>
      <w:r w:rsidRPr="00917842">
        <w:rPr>
          <w:sz w:val="24"/>
          <w:szCs w:val="24"/>
        </w:rPr>
        <w:t xml:space="preserve">, og individuel dosisjustering bør derfor overvejes. </w:t>
      </w:r>
    </w:p>
    <w:p w:rsidR="00EF5ACD" w:rsidRPr="00917842" w:rsidRDefault="00EF5ACD" w:rsidP="00EF5ACD">
      <w:pPr>
        <w:tabs>
          <w:tab w:val="left" w:pos="851"/>
        </w:tabs>
        <w:ind w:left="851"/>
        <w:rPr>
          <w:sz w:val="24"/>
          <w:szCs w:val="24"/>
        </w:rPr>
      </w:pPr>
      <w:r w:rsidRPr="00917842">
        <w:rPr>
          <w:sz w:val="24"/>
          <w:szCs w:val="24"/>
        </w:rPr>
        <w:t xml:space="preserve">Hvis symptomkontrol ikke er opnået efter 4 ugers behandling med </w:t>
      </w:r>
      <w:proofErr w:type="spellStart"/>
      <w:r w:rsidRPr="00917842">
        <w:rPr>
          <w:sz w:val="24"/>
          <w:szCs w:val="24"/>
        </w:rPr>
        <w:t>Pedippi</w:t>
      </w:r>
      <w:proofErr w:type="spellEnd"/>
      <w:r w:rsidRPr="00917842">
        <w:rPr>
          <w:sz w:val="24"/>
          <w:szCs w:val="24"/>
        </w:rPr>
        <w:t xml:space="preserve"> 20 mg </w:t>
      </w:r>
      <w:r>
        <w:rPr>
          <w:sz w:val="24"/>
          <w:szCs w:val="24"/>
        </w:rPr>
        <w:t>daglig</w:t>
      </w:r>
      <w:r w:rsidRPr="00917842">
        <w:rPr>
          <w:sz w:val="24"/>
          <w:szCs w:val="24"/>
        </w:rPr>
        <w:t xml:space="preserve">, anbefales yderligere undersøgelser. </w:t>
      </w:r>
    </w:p>
    <w:p w:rsidR="00EF5ACD" w:rsidRPr="00917842" w:rsidRDefault="00EF5ACD" w:rsidP="00EF5ACD">
      <w:pPr>
        <w:rPr>
          <w:sz w:val="24"/>
          <w:szCs w:val="24"/>
        </w:rPr>
      </w:pPr>
    </w:p>
    <w:p w:rsidR="00EF5ACD" w:rsidRPr="000D5E30" w:rsidRDefault="00EF5ACD" w:rsidP="00EF5ACD">
      <w:pPr>
        <w:tabs>
          <w:tab w:val="left" w:pos="851"/>
        </w:tabs>
        <w:ind w:left="851"/>
        <w:rPr>
          <w:iCs/>
          <w:sz w:val="24"/>
          <w:szCs w:val="24"/>
          <w:u w:val="single"/>
        </w:rPr>
      </w:pPr>
      <w:r w:rsidRPr="000D5E30">
        <w:rPr>
          <w:iCs/>
          <w:sz w:val="24"/>
          <w:szCs w:val="24"/>
          <w:u w:val="single"/>
        </w:rPr>
        <w:t>Pædiatrisk population</w:t>
      </w:r>
    </w:p>
    <w:p w:rsidR="00EF5ACD" w:rsidRPr="00917842" w:rsidRDefault="00EF5ACD" w:rsidP="00EF5ACD">
      <w:pPr>
        <w:tabs>
          <w:tab w:val="left" w:pos="851"/>
        </w:tabs>
        <w:ind w:left="851"/>
        <w:rPr>
          <w:i/>
          <w:iCs/>
          <w:sz w:val="24"/>
          <w:szCs w:val="24"/>
          <w:u w:val="single"/>
        </w:rPr>
      </w:pPr>
    </w:p>
    <w:p w:rsidR="00EF5ACD" w:rsidRPr="00917842" w:rsidRDefault="00EF5ACD" w:rsidP="00EF5ACD">
      <w:pPr>
        <w:tabs>
          <w:tab w:val="left" w:pos="851"/>
        </w:tabs>
        <w:ind w:left="851"/>
        <w:rPr>
          <w:i/>
          <w:iCs/>
          <w:sz w:val="24"/>
          <w:szCs w:val="24"/>
          <w:u w:val="single"/>
        </w:rPr>
      </w:pPr>
      <w:r w:rsidRPr="00917842">
        <w:rPr>
          <w:i/>
          <w:iCs/>
          <w:sz w:val="24"/>
          <w:szCs w:val="24"/>
          <w:u w:val="single"/>
        </w:rPr>
        <w:t>Børn over 1 måned</w:t>
      </w:r>
    </w:p>
    <w:p w:rsidR="00EF5ACD" w:rsidRDefault="00EF5ACD" w:rsidP="00EF5ACD">
      <w:pPr>
        <w:tabs>
          <w:tab w:val="left" w:pos="851"/>
        </w:tabs>
        <w:ind w:left="851"/>
        <w:rPr>
          <w:i/>
          <w:iCs/>
          <w:sz w:val="24"/>
          <w:szCs w:val="24"/>
        </w:rPr>
      </w:pPr>
    </w:p>
    <w:p w:rsidR="00EF5ACD" w:rsidRPr="00917842" w:rsidRDefault="00EF5ACD" w:rsidP="00EF5ACD">
      <w:pPr>
        <w:tabs>
          <w:tab w:val="left" w:pos="851"/>
        </w:tabs>
        <w:ind w:left="851"/>
        <w:rPr>
          <w:i/>
          <w:iCs/>
          <w:sz w:val="24"/>
          <w:szCs w:val="24"/>
        </w:rPr>
      </w:pPr>
      <w:r w:rsidRPr="00917842">
        <w:rPr>
          <w:i/>
          <w:iCs/>
          <w:sz w:val="24"/>
          <w:szCs w:val="24"/>
        </w:rPr>
        <w:t xml:space="preserve">Behandling af </w:t>
      </w:r>
      <w:proofErr w:type="spellStart"/>
      <w:r w:rsidRPr="00917842">
        <w:rPr>
          <w:i/>
          <w:iCs/>
          <w:sz w:val="24"/>
          <w:szCs w:val="24"/>
        </w:rPr>
        <w:t>refluksøsofagitis</w:t>
      </w:r>
      <w:proofErr w:type="spellEnd"/>
    </w:p>
    <w:p w:rsidR="00EF5ACD" w:rsidRPr="00917842" w:rsidRDefault="00EF5ACD" w:rsidP="00EF5ACD">
      <w:pPr>
        <w:tabs>
          <w:tab w:val="left" w:pos="851"/>
        </w:tabs>
        <w:ind w:left="851"/>
        <w:rPr>
          <w:i/>
          <w:iCs/>
          <w:sz w:val="24"/>
          <w:szCs w:val="24"/>
        </w:rPr>
      </w:pPr>
      <w:r w:rsidRPr="00917842">
        <w:rPr>
          <w:i/>
          <w:iCs/>
          <w:sz w:val="24"/>
          <w:szCs w:val="24"/>
        </w:rPr>
        <w:t xml:space="preserve">Symptomatisk behandling af halsbrand og </w:t>
      </w:r>
      <w:proofErr w:type="spellStart"/>
      <w:r w:rsidRPr="00917842">
        <w:rPr>
          <w:i/>
          <w:iCs/>
          <w:sz w:val="24"/>
          <w:szCs w:val="24"/>
        </w:rPr>
        <w:t>syreregurgitation</w:t>
      </w:r>
      <w:proofErr w:type="spellEnd"/>
      <w:r w:rsidRPr="00917842">
        <w:rPr>
          <w:i/>
          <w:iCs/>
          <w:sz w:val="24"/>
          <w:szCs w:val="24"/>
        </w:rPr>
        <w:t xml:space="preserve"> ved </w:t>
      </w:r>
      <w:proofErr w:type="spellStart"/>
      <w:r w:rsidRPr="00917842">
        <w:rPr>
          <w:i/>
          <w:iCs/>
          <w:sz w:val="24"/>
          <w:szCs w:val="24"/>
        </w:rPr>
        <w:t>gastroøsofageal</w:t>
      </w:r>
      <w:proofErr w:type="spellEnd"/>
      <w:r w:rsidRPr="00917842">
        <w:rPr>
          <w:i/>
          <w:iCs/>
          <w:sz w:val="24"/>
          <w:szCs w:val="24"/>
        </w:rPr>
        <w:t xml:space="preserve"> </w:t>
      </w:r>
      <w:proofErr w:type="spellStart"/>
      <w:r w:rsidRPr="00917842">
        <w:rPr>
          <w:i/>
          <w:iCs/>
          <w:sz w:val="24"/>
          <w:szCs w:val="24"/>
        </w:rPr>
        <w:t>reflukssygdom</w:t>
      </w:r>
      <w:proofErr w:type="spellEnd"/>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sz w:val="24"/>
          <w:szCs w:val="24"/>
        </w:rPr>
      </w:pPr>
      <w:r w:rsidRPr="00917842">
        <w:rPr>
          <w:sz w:val="24"/>
          <w:szCs w:val="24"/>
        </w:rPr>
        <w:t>Dosisanbefalinger*: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121"/>
        <w:gridCol w:w="5881"/>
      </w:tblGrid>
      <w:tr w:rsidR="00EF5ACD" w:rsidRPr="00917842" w:rsidTr="005550FC">
        <w:tc>
          <w:tcPr>
            <w:tcW w:w="1775"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33"/>
              <w:rPr>
                <w:sz w:val="24"/>
                <w:szCs w:val="24"/>
              </w:rPr>
            </w:pPr>
            <w:r w:rsidRPr="00917842">
              <w:rPr>
                <w:sz w:val="24"/>
                <w:szCs w:val="24"/>
              </w:rPr>
              <w:t>Alder</w:t>
            </w:r>
          </w:p>
        </w:tc>
        <w:tc>
          <w:tcPr>
            <w:tcW w:w="112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54"/>
              <w:rPr>
                <w:sz w:val="24"/>
                <w:szCs w:val="24"/>
              </w:rPr>
            </w:pPr>
            <w:r w:rsidRPr="00917842">
              <w:rPr>
                <w:sz w:val="24"/>
                <w:szCs w:val="24"/>
              </w:rPr>
              <w:t>Vægt</w:t>
            </w:r>
          </w:p>
        </w:tc>
        <w:tc>
          <w:tcPr>
            <w:tcW w:w="588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rPr>
                <w:sz w:val="24"/>
                <w:szCs w:val="24"/>
              </w:rPr>
            </w:pPr>
            <w:r w:rsidRPr="00917842">
              <w:rPr>
                <w:sz w:val="24"/>
                <w:szCs w:val="24"/>
              </w:rPr>
              <w:t>Dosering</w:t>
            </w:r>
          </w:p>
        </w:tc>
      </w:tr>
      <w:tr w:rsidR="00EF5ACD" w:rsidRPr="00917842" w:rsidTr="005550FC">
        <w:tc>
          <w:tcPr>
            <w:tcW w:w="1775"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33"/>
              <w:rPr>
                <w:sz w:val="24"/>
                <w:szCs w:val="24"/>
              </w:rPr>
            </w:pPr>
            <w:r w:rsidRPr="00917842">
              <w:rPr>
                <w:sz w:val="24"/>
                <w:szCs w:val="24"/>
              </w:rPr>
              <w:t>≥ 1 måned</w:t>
            </w:r>
          </w:p>
        </w:tc>
        <w:tc>
          <w:tcPr>
            <w:tcW w:w="112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54"/>
              <w:rPr>
                <w:sz w:val="24"/>
                <w:szCs w:val="24"/>
              </w:rPr>
            </w:pPr>
            <w:r>
              <w:rPr>
                <w:sz w:val="24"/>
                <w:szCs w:val="24"/>
              </w:rPr>
              <w:t xml:space="preserve">&gt; 5 til </w:t>
            </w:r>
            <w:r w:rsidRPr="005550FC">
              <w:rPr>
                <w:sz w:val="24"/>
                <w:szCs w:val="24"/>
              </w:rPr>
              <w:t>≤ 10</w:t>
            </w:r>
            <w:r>
              <w:rPr>
                <w:sz w:val="24"/>
                <w:szCs w:val="24"/>
              </w:rPr>
              <w:t xml:space="preserve"> kg</w:t>
            </w:r>
          </w:p>
        </w:tc>
        <w:tc>
          <w:tcPr>
            <w:tcW w:w="588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rPr>
                <w:sz w:val="24"/>
                <w:szCs w:val="24"/>
              </w:rPr>
            </w:pPr>
            <w:r w:rsidRPr="00917842">
              <w:rPr>
                <w:sz w:val="24"/>
                <w:szCs w:val="24"/>
              </w:rPr>
              <w:t xml:space="preserve">1 mg/kg en gang </w:t>
            </w:r>
            <w:r>
              <w:rPr>
                <w:sz w:val="24"/>
                <w:szCs w:val="24"/>
              </w:rPr>
              <w:t>dagligt op til maksimalt 10 mg en gang dagligt</w:t>
            </w:r>
            <w:r w:rsidRPr="00917842">
              <w:rPr>
                <w:sz w:val="24"/>
                <w:szCs w:val="24"/>
              </w:rPr>
              <w:t>. Doser over 1,5 mg/kg/dag er ikke undersøgt.</w:t>
            </w:r>
          </w:p>
        </w:tc>
      </w:tr>
      <w:tr w:rsidR="00EF5ACD" w:rsidRPr="00917842" w:rsidTr="005550FC">
        <w:tc>
          <w:tcPr>
            <w:tcW w:w="1775"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33"/>
              <w:rPr>
                <w:sz w:val="24"/>
                <w:szCs w:val="24"/>
              </w:rPr>
            </w:pPr>
            <w:r w:rsidRPr="00917842">
              <w:rPr>
                <w:sz w:val="24"/>
                <w:szCs w:val="24"/>
              </w:rPr>
              <w:t>≥ 1 år</w:t>
            </w:r>
            <w:r>
              <w:rPr>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ind w:left="54"/>
              <w:rPr>
                <w:sz w:val="24"/>
                <w:szCs w:val="24"/>
              </w:rPr>
            </w:pPr>
            <w:r w:rsidRPr="00917842">
              <w:rPr>
                <w:sz w:val="24"/>
                <w:szCs w:val="24"/>
              </w:rPr>
              <w:t>10-20</w:t>
            </w:r>
            <w:r>
              <w:rPr>
                <w:sz w:val="24"/>
                <w:szCs w:val="24"/>
              </w:rPr>
              <w:t xml:space="preserve"> </w:t>
            </w:r>
            <w:r w:rsidRPr="00917842">
              <w:rPr>
                <w:sz w:val="24"/>
                <w:szCs w:val="24"/>
              </w:rPr>
              <w:t>kg</w:t>
            </w:r>
          </w:p>
        </w:tc>
        <w:tc>
          <w:tcPr>
            <w:tcW w:w="5881" w:type="dxa"/>
            <w:tcBorders>
              <w:top w:val="single" w:sz="4" w:space="0" w:color="auto"/>
              <w:left w:val="single" w:sz="4" w:space="0" w:color="auto"/>
              <w:bottom w:val="single" w:sz="4" w:space="0" w:color="auto"/>
              <w:right w:val="single" w:sz="4" w:space="0" w:color="auto"/>
            </w:tcBorders>
            <w:hideMark/>
          </w:tcPr>
          <w:p w:rsidR="00EF5ACD" w:rsidRPr="00917842" w:rsidRDefault="00EF5ACD" w:rsidP="005550FC">
            <w:pPr>
              <w:rPr>
                <w:sz w:val="24"/>
                <w:szCs w:val="24"/>
              </w:rPr>
            </w:pPr>
            <w:r w:rsidRPr="00917842">
              <w:rPr>
                <w:sz w:val="24"/>
                <w:szCs w:val="24"/>
              </w:rPr>
              <w:t xml:space="preserve">10 mg en gang </w:t>
            </w:r>
            <w:r>
              <w:rPr>
                <w:sz w:val="24"/>
                <w:szCs w:val="24"/>
              </w:rPr>
              <w:t>dagligt</w:t>
            </w:r>
            <w:r w:rsidRPr="00917842">
              <w:rPr>
                <w:sz w:val="24"/>
                <w:szCs w:val="24"/>
              </w:rPr>
              <w:t xml:space="preserve">. Om nødvendigt kan dosis øges til 20 mg en gang </w:t>
            </w:r>
            <w:r>
              <w:rPr>
                <w:sz w:val="24"/>
                <w:szCs w:val="24"/>
              </w:rPr>
              <w:t>dagligt</w:t>
            </w:r>
            <w:r w:rsidRPr="00917842">
              <w:rPr>
                <w:sz w:val="24"/>
                <w:szCs w:val="24"/>
              </w:rPr>
              <w:t>.</w:t>
            </w:r>
          </w:p>
        </w:tc>
      </w:tr>
    </w:tbl>
    <w:p w:rsidR="00EF5ACD" w:rsidRDefault="00EF5ACD" w:rsidP="00EF5ACD">
      <w:pPr>
        <w:tabs>
          <w:tab w:val="left" w:pos="1134"/>
        </w:tabs>
        <w:ind w:left="1134" w:hanging="283"/>
        <w:rPr>
          <w:sz w:val="20"/>
        </w:rPr>
      </w:pPr>
      <w:r w:rsidRPr="00E32B88">
        <w:rPr>
          <w:sz w:val="20"/>
        </w:rPr>
        <w:t>*</w:t>
      </w:r>
      <w:r>
        <w:rPr>
          <w:sz w:val="20"/>
        </w:rPr>
        <w:tab/>
      </w:r>
      <w:r w:rsidRPr="00E32B88">
        <w:rPr>
          <w:sz w:val="20"/>
        </w:rPr>
        <w:t xml:space="preserve">Individuelle dosismålinger </w:t>
      </w:r>
      <w:r w:rsidRPr="00E32B88">
        <w:rPr>
          <w:sz w:val="20"/>
        </w:rPr>
        <w:sym w:font="Symbol" w:char="F0A3"/>
      </w:r>
      <w:r w:rsidRPr="00E32B88">
        <w:rPr>
          <w:sz w:val="20"/>
        </w:rPr>
        <w:t xml:space="preserve"> 2ml er ikke indiceret</w:t>
      </w:r>
    </w:p>
    <w:p w:rsidR="00EF5ACD" w:rsidRPr="005717C4" w:rsidRDefault="00EF5ACD" w:rsidP="00EF5ACD">
      <w:pPr>
        <w:tabs>
          <w:tab w:val="left" w:pos="1134"/>
        </w:tabs>
        <w:ind w:left="1134" w:hanging="283"/>
        <w:rPr>
          <w:sz w:val="20"/>
        </w:rPr>
      </w:pPr>
      <w:r w:rsidRPr="005717C4">
        <w:rPr>
          <w:sz w:val="20"/>
        </w:rPr>
        <w:t xml:space="preserve">** </w:t>
      </w:r>
      <w:proofErr w:type="spellStart"/>
      <w:r w:rsidRPr="005717C4">
        <w:rPr>
          <w:sz w:val="20"/>
        </w:rPr>
        <w:t>Pedippi</w:t>
      </w:r>
      <w:proofErr w:type="spellEnd"/>
      <w:r>
        <w:rPr>
          <w:sz w:val="20"/>
        </w:rPr>
        <w:t xml:space="preserve"> 2 mg/ml oral suspension</w:t>
      </w:r>
      <w:r w:rsidRPr="005717C4">
        <w:rPr>
          <w:sz w:val="20"/>
        </w:rPr>
        <w:t xml:space="preserve"> </w:t>
      </w:r>
      <w:r w:rsidRPr="005550FC">
        <w:rPr>
          <w:sz w:val="20"/>
        </w:rPr>
        <w:t>kan anvend</w:t>
      </w:r>
      <w:r>
        <w:rPr>
          <w:sz w:val="20"/>
        </w:rPr>
        <w:t xml:space="preserve">es til patienter for at administrere op til 15 mg </w:t>
      </w:r>
      <w:proofErr w:type="spellStart"/>
      <w:r>
        <w:rPr>
          <w:sz w:val="20"/>
        </w:rPr>
        <w:t>omeprazol</w:t>
      </w:r>
      <w:proofErr w:type="spellEnd"/>
      <w:r>
        <w:rPr>
          <w:sz w:val="20"/>
        </w:rPr>
        <w:t xml:space="preserve"> dagligt for at give tilstrækkelig bufferkapacitet og absorption. Andre farmaceutiske former af </w:t>
      </w:r>
      <w:proofErr w:type="spellStart"/>
      <w:r>
        <w:rPr>
          <w:sz w:val="20"/>
        </w:rPr>
        <w:t>omeprazol</w:t>
      </w:r>
      <w:proofErr w:type="spellEnd"/>
      <w:r>
        <w:rPr>
          <w:sz w:val="20"/>
        </w:rPr>
        <w:t xml:space="preserve"> skal anvendes til administration af højere doser </w:t>
      </w:r>
      <w:proofErr w:type="spellStart"/>
      <w:r>
        <w:rPr>
          <w:sz w:val="20"/>
        </w:rPr>
        <w:t>omeprazol</w:t>
      </w:r>
      <w:proofErr w:type="spellEnd"/>
      <w:r>
        <w:rPr>
          <w:sz w:val="20"/>
        </w:rPr>
        <w:t xml:space="preserve">. </w:t>
      </w:r>
    </w:p>
    <w:p w:rsidR="00EF5ACD" w:rsidRPr="005717C4" w:rsidRDefault="00EF5ACD" w:rsidP="00EF5ACD">
      <w:pPr>
        <w:tabs>
          <w:tab w:val="left" w:pos="851"/>
        </w:tabs>
        <w:ind w:left="851"/>
        <w:rPr>
          <w:sz w:val="24"/>
          <w:szCs w:val="24"/>
        </w:rPr>
      </w:pPr>
    </w:p>
    <w:p w:rsidR="00EF5ACD" w:rsidRDefault="00EF5ACD" w:rsidP="00EF5ACD">
      <w:pPr>
        <w:tabs>
          <w:tab w:val="left" w:pos="851"/>
        </w:tabs>
        <w:ind w:left="851"/>
        <w:rPr>
          <w:i/>
          <w:iCs/>
          <w:sz w:val="24"/>
          <w:szCs w:val="24"/>
        </w:rPr>
      </w:pPr>
      <w:proofErr w:type="spellStart"/>
      <w:r w:rsidRPr="00917842">
        <w:rPr>
          <w:i/>
          <w:iCs/>
          <w:sz w:val="24"/>
          <w:szCs w:val="24"/>
        </w:rPr>
        <w:t>Refluksøsofagitis</w:t>
      </w:r>
      <w:proofErr w:type="spellEnd"/>
    </w:p>
    <w:p w:rsidR="00EF5ACD" w:rsidRPr="00917842" w:rsidRDefault="00EF5ACD" w:rsidP="00EF5ACD">
      <w:pPr>
        <w:tabs>
          <w:tab w:val="left" w:pos="851"/>
        </w:tabs>
        <w:ind w:left="851"/>
        <w:rPr>
          <w:sz w:val="24"/>
          <w:szCs w:val="24"/>
        </w:rPr>
      </w:pPr>
      <w:r w:rsidRPr="00917842">
        <w:rPr>
          <w:sz w:val="24"/>
          <w:szCs w:val="24"/>
        </w:rPr>
        <w:t>Behandlingstiden er 4-8 uger.</w:t>
      </w:r>
    </w:p>
    <w:p w:rsidR="00EF5ACD" w:rsidRPr="00917842" w:rsidRDefault="00EF5ACD" w:rsidP="00EF5ACD">
      <w:pPr>
        <w:tabs>
          <w:tab w:val="left" w:pos="851"/>
        </w:tabs>
        <w:ind w:left="851"/>
        <w:rPr>
          <w:sz w:val="24"/>
          <w:szCs w:val="24"/>
        </w:rPr>
      </w:pPr>
    </w:p>
    <w:p w:rsidR="00EF5ACD" w:rsidRDefault="00EF5ACD" w:rsidP="00EF5ACD">
      <w:pPr>
        <w:tabs>
          <w:tab w:val="left" w:pos="851"/>
        </w:tabs>
        <w:ind w:left="851"/>
        <w:rPr>
          <w:i/>
          <w:iCs/>
          <w:sz w:val="24"/>
          <w:szCs w:val="24"/>
        </w:rPr>
      </w:pPr>
      <w:r w:rsidRPr="00917842">
        <w:rPr>
          <w:i/>
          <w:iCs/>
          <w:sz w:val="24"/>
          <w:szCs w:val="24"/>
        </w:rPr>
        <w:t xml:space="preserve">Symptomatisk behandling af halsbrand og </w:t>
      </w:r>
      <w:proofErr w:type="spellStart"/>
      <w:r w:rsidRPr="00917842">
        <w:rPr>
          <w:i/>
          <w:iCs/>
          <w:sz w:val="24"/>
          <w:szCs w:val="24"/>
        </w:rPr>
        <w:t>syreregurgitation</w:t>
      </w:r>
      <w:proofErr w:type="spellEnd"/>
      <w:r w:rsidRPr="00917842">
        <w:rPr>
          <w:i/>
          <w:iCs/>
          <w:sz w:val="24"/>
          <w:szCs w:val="24"/>
        </w:rPr>
        <w:t xml:space="preserve"> ved </w:t>
      </w:r>
      <w:proofErr w:type="spellStart"/>
      <w:r w:rsidRPr="00917842">
        <w:rPr>
          <w:i/>
          <w:iCs/>
          <w:sz w:val="24"/>
          <w:szCs w:val="24"/>
        </w:rPr>
        <w:t>gastroøsofageal</w:t>
      </w:r>
      <w:proofErr w:type="spellEnd"/>
      <w:r w:rsidRPr="00917842">
        <w:rPr>
          <w:i/>
          <w:iCs/>
          <w:sz w:val="24"/>
          <w:szCs w:val="24"/>
        </w:rPr>
        <w:t xml:space="preserve"> </w:t>
      </w:r>
      <w:proofErr w:type="spellStart"/>
      <w:r w:rsidRPr="00917842">
        <w:rPr>
          <w:i/>
          <w:iCs/>
          <w:sz w:val="24"/>
          <w:szCs w:val="24"/>
        </w:rPr>
        <w:t>reflukssygdom</w:t>
      </w:r>
      <w:proofErr w:type="spellEnd"/>
    </w:p>
    <w:p w:rsidR="00EF5ACD" w:rsidRPr="00917842" w:rsidRDefault="00EF5ACD" w:rsidP="00EF5ACD">
      <w:pPr>
        <w:tabs>
          <w:tab w:val="left" w:pos="851"/>
        </w:tabs>
        <w:ind w:left="851"/>
        <w:rPr>
          <w:sz w:val="24"/>
          <w:szCs w:val="24"/>
        </w:rPr>
      </w:pPr>
      <w:r w:rsidRPr="00917842">
        <w:rPr>
          <w:sz w:val="24"/>
          <w:szCs w:val="24"/>
        </w:rPr>
        <w:t>Behandlingstiden er 2-4 uger. Hvis symptomkontrol ikke er opnået efter 2 4 uger, bør patienten undersøges yderligere.</w:t>
      </w:r>
    </w:p>
    <w:p w:rsidR="00EF5ACD" w:rsidRPr="00917842" w:rsidRDefault="00EF5ACD" w:rsidP="00EF5ACD">
      <w:pPr>
        <w:tabs>
          <w:tab w:val="left" w:pos="851"/>
        </w:tabs>
        <w:ind w:left="851"/>
        <w:rPr>
          <w:sz w:val="24"/>
          <w:szCs w:val="24"/>
        </w:rPr>
      </w:pPr>
    </w:p>
    <w:p w:rsidR="00EF5ACD" w:rsidRPr="00993CF1" w:rsidRDefault="00EF5ACD" w:rsidP="00EF5ACD">
      <w:pPr>
        <w:tabs>
          <w:tab w:val="left" w:pos="851"/>
        </w:tabs>
        <w:ind w:left="851"/>
        <w:rPr>
          <w:iCs/>
          <w:sz w:val="24"/>
          <w:szCs w:val="24"/>
          <w:u w:val="single"/>
        </w:rPr>
      </w:pPr>
      <w:r w:rsidRPr="00993CF1">
        <w:rPr>
          <w:iCs/>
          <w:sz w:val="24"/>
          <w:szCs w:val="24"/>
          <w:u w:val="single"/>
        </w:rPr>
        <w:t>Særlige patientgrupper</w:t>
      </w:r>
    </w:p>
    <w:p w:rsidR="00EF5ACD" w:rsidRDefault="00EF5ACD" w:rsidP="00EF5ACD">
      <w:pPr>
        <w:tabs>
          <w:tab w:val="left" w:pos="851"/>
        </w:tabs>
        <w:ind w:left="851"/>
        <w:rPr>
          <w:i/>
          <w:iCs/>
          <w:sz w:val="24"/>
          <w:szCs w:val="24"/>
        </w:rPr>
      </w:pPr>
    </w:p>
    <w:p w:rsidR="00EF5ACD" w:rsidRPr="00917842" w:rsidRDefault="00EF5ACD" w:rsidP="00EF5ACD">
      <w:pPr>
        <w:tabs>
          <w:tab w:val="left" w:pos="851"/>
        </w:tabs>
        <w:ind w:left="851"/>
        <w:rPr>
          <w:i/>
          <w:iCs/>
          <w:sz w:val="24"/>
          <w:szCs w:val="24"/>
        </w:rPr>
      </w:pPr>
      <w:r w:rsidRPr="00917842">
        <w:rPr>
          <w:i/>
          <w:iCs/>
          <w:sz w:val="24"/>
          <w:szCs w:val="24"/>
        </w:rPr>
        <w:t>Nedsat nyrefunktion</w:t>
      </w:r>
    </w:p>
    <w:p w:rsidR="00EF5ACD" w:rsidRPr="00917842" w:rsidRDefault="00EF5ACD" w:rsidP="00EF5ACD">
      <w:pPr>
        <w:tabs>
          <w:tab w:val="left" w:pos="851"/>
        </w:tabs>
        <w:ind w:left="851"/>
        <w:rPr>
          <w:sz w:val="24"/>
          <w:szCs w:val="24"/>
        </w:rPr>
      </w:pPr>
      <w:r w:rsidRPr="00917842">
        <w:rPr>
          <w:sz w:val="24"/>
          <w:szCs w:val="24"/>
        </w:rPr>
        <w:t>Dosisjustering er ikke nødvendig hos patienter med nedsat nyrefunktion (se pkt. 5.2).</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i/>
          <w:iCs/>
          <w:sz w:val="24"/>
          <w:szCs w:val="24"/>
        </w:rPr>
      </w:pPr>
      <w:r w:rsidRPr="00917842">
        <w:rPr>
          <w:i/>
          <w:iCs/>
          <w:sz w:val="24"/>
          <w:szCs w:val="24"/>
        </w:rPr>
        <w:t>Nedsat leverfunktion</w:t>
      </w:r>
    </w:p>
    <w:p w:rsidR="00EF5ACD" w:rsidRPr="00917842" w:rsidRDefault="00EF5ACD" w:rsidP="00EF5ACD">
      <w:pPr>
        <w:tabs>
          <w:tab w:val="left" w:pos="851"/>
        </w:tabs>
        <w:ind w:left="851"/>
        <w:rPr>
          <w:sz w:val="24"/>
          <w:szCs w:val="24"/>
        </w:rPr>
      </w:pPr>
      <w:r>
        <w:rPr>
          <w:sz w:val="24"/>
          <w:szCs w:val="24"/>
        </w:rPr>
        <w:t>Dosisjustering er ikke nødvendig hos patienter med nedsat leverfunktion (se pkt. 5.2).</w:t>
      </w:r>
    </w:p>
    <w:p w:rsidR="00EF5ACD" w:rsidRPr="00917842" w:rsidRDefault="00EF5ACD" w:rsidP="00EF5ACD">
      <w:pPr>
        <w:tabs>
          <w:tab w:val="left" w:pos="851"/>
        </w:tabs>
        <w:ind w:left="851"/>
        <w:rPr>
          <w:i/>
          <w:iCs/>
          <w:sz w:val="24"/>
          <w:szCs w:val="24"/>
        </w:rPr>
      </w:pPr>
    </w:p>
    <w:p w:rsidR="00EF5ACD" w:rsidRPr="00917842" w:rsidRDefault="00EF5ACD" w:rsidP="00EF5ACD">
      <w:pPr>
        <w:tabs>
          <w:tab w:val="left" w:pos="851"/>
        </w:tabs>
        <w:ind w:left="851"/>
        <w:rPr>
          <w:i/>
          <w:iCs/>
          <w:sz w:val="24"/>
          <w:szCs w:val="24"/>
        </w:rPr>
      </w:pPr>
      <w:r w:rsidRPr="00917842">
        <w:rPr>
          <w:i/>
          <w:iCs/>
          <w:sz w:val="24"/>
          <w:szCs w:val="24"/>
        </w:rPr>
        <w:t>Ældre (&gt;65 år)</w:t>
      </w:r>
    </w:p>
    <w:p w:rsidR="00EF5ACD" w:rsidRPr="00917842" w:rsidRDefault="00EF5ACD" w:rsidP="00EF5ACD">
      <w:pPr>
        <w:tabs>
          <w:tab w:val="left" w:pos="851"/>
        </w:tabs>
        <w:ind w:left="851"/>
        <w:rPr>
          <w:sz w:val="24"/>
          <w:szCs w:val="24"/>
        </w:rPr>
      </w:pPr>
      <w:r w:rsidRPr="00917842">
        <w:rPr>
          <w:sz w:val="24"/>
          <w:szCs w:val="24"/>
        </w:rPr>
        <w:t>Dosisjustering er ikke nødvendig hos ældre (se pkt. 5.2).</w:t>
      </w:r>
    </w:p>
    <w:p w:rsidR="00EF5ACD" w:rsidRPr="00917842" w:rsidRDefault="00EF5ACD" w:rsidP="00EF5ACD">
      <w:pPr>
        <w:tabs>
          <w:tab w:val="left" w:pos="851"/>
        </w:tabs>
        <w:ind w:left="851"/>
        <w:rPr>
          <w:sz w:val="24"/>
          <w:szCs w:val="24"/>
        </w:rPr>
      </w:pPr>
    </w:p>
    <w:p w:rsidR="00EF5ACD" w:rsidRPr="00993CF1" w:rsidRDefault="00EF5ACD" w:rsidP="00EF5ACD">
      <w:pPr>
        <w:tabs>
          <w:tab w:val="left" w:pos="851"/>
        </w:tabs>
        <w:ind w:left="851"/>
        <w:rPr>
          <w:b/>
          <w:sz w:val="24"/>
          <w:szCs w:val="24"/>
        </w:rPr>
      </w:pPr>
      <w:r w:rsidRPr="00993CF1">
        <w:rPr>
          <w:b/>
          <w:sz w:val="24"/>
          <w:szCs w:val="24"/>
        </w:rPr>
        <w:t>Administration</w:t>
      </w:r>
    </w:p>
    <w:p w:rsidR="00EF5ACD" w:rsidRDefault="00EF5ACD" w:rsidP="00EF5ACD">
      <w:pPr>
        <w:tabs>
          <w:tab w:val="left" w:pos="851"/>
        </w:tabs>
        <w:ind w:left="851"/>
        <w:rPr>
          <w:sz w:val="24"/>
          <w:szCs w:val="24"/>
        </w:rPr>
      </w:pPr>
      <w:proofErr w:type="spellStart"/>
      <w:r w:rsidRPr="00917842">
        <w:rPr>
          <w:sz w:val="24"/>
          <w:szCs w:val="24"/>
        </w:rPr>
        <w:t>Pedippi</w:t>
      </w:r>
      <w:proofErr w:type="spellEnd"/>
      <w:r w:rsidRPr="00917842">
        <w:rPr>
          <w:sz w:val="24"/>
          <w:szCs w:val="24"/>
        </w:rPr>
        <w:t xml:space="preserve"> oral suspension skal tages på tom mave, mindst 30 minutter før et måltid. </w:t>
      </w:r>
    </w:p>
    <w:p w:rsidR="00EF5ACD" w:rsidRPr="00917842" w:rsidRDefault="00EF5ACD" w:rsidP="00EF5ACD">
      <w:pPr>
        <w:tabs>
          <w:tab w:val="left" w:pos="851"/>
        </w:tabs>
        <w:ind w:left="851"/>
        <w:rPr>
          <w:sz w:val="24"/>
          <w:szCs w:val="24"/>
        </w:rPr>
      </w:pPr>
      <w:r w:rsidRPr="001245B7">
        <w:rPr>
          <w:sz w:val="24"/>
          <w:szCs w:val="24"/>
        </w:rPr>
        <w:t>For at lette administrationen af ​​produktet til spædbørn er administration med en lille mængde mælk (ikke mere end 10-15 ml) mulig.</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i/>
          <w:iCs/>
          <w:sz w:val="24"/>
          <w:szCs w:val="24"/>
        </w:rPr>
      </w:pPr>
      <w:r w:rsidRPr="00917842">
        <w:rPr>
          <w:i/>
          <w:iCs/>
          <w:sz w:val="24"/>
          <w:szCs w:val="24"/>
        </w:rPr>
        <w:t>Sikkerhedsforanstaltninger, der skal tages før håndtering og administration af lægemidlet</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sz w:val="24"/>
          <w:szCs w:val="24"/>
        </w:rPr>
      </w:pPr>
      <w:proofErr w:type="spellStart"/>
      <w:r w:rsidRPr="00917842">
        <w:rPr>
          <w:sz w:val="24"/>
          <w:szCs w:val="24"/>
        </w:rPr>
        <w:t>Pedippi</w:t>
      </w:r>
      <w:proofErr w:type="spellEnd"/>
      <w:r w:rsidRPr="00917842">
        <w:rPr>
          <w:sz w:val="24"/>
          <w:szCs w:val="24"/>
        </w:rPr>
        <w:t xml:space="preserve"> pulver til oral suspension skal blandes før oral anvendelse. For instruktioner om </w:t>
      </w:r>
      <w:proofErr w:type="spellStart"/>
      <w:r w:rsidRPr="00917842">
        <w:rPr>
          <w:sz w:val="24"/>
          <w:szCs w:val="24"/>
        </w:rPr>
        <w:t>blandingrekonstitution</w:t>
      </w:r>
      <w:proofErr w:type="spellEnd"/>
      <w:r w:rsidRPr="00917842">
        <w:rPr>
          <w:sz w:val="24"/>
          <w:szCs w:val="24"/>
        </w:rPr>
        <w:t xml:space="preserve"> af lægemidlet før administration, se pkt. 6.6.</w:t>
      </w:r>
    </w:p>
    <w:p w:rsidR="00EF5ACD" w:rsidRPr="00917842" w:rsidRDefault="00EF5ACD" w:rsidP="00EF5ACD">
      <w:pPr>
        <w:tabs>
          <w:tab w:val="left" w:pos="851"/>
        </w:tabs>
        <w:ind w:left="851"/>
        <w:rPr>
          <w:sz w:val="24"/>
          <w:szCs w:val="24"/>
        </w:rPr>
      </w:pPr>
    </w:p>
    <w:p w:rsidR="00EF5ACD" w:rsidRPr="00917842" w:rsidRDefault="00EF5ACD" w:rsidP="00EF5ACD">
      <w:pPr>
        <w:tabs>
          <w:tab w:val="left" w:pos="851"/>
        </w:tabs>
        <w:ind w:left="851"/>
        <w:rPr>
          <w:sz w:val="24"/>
          <w:szCs w:val="24"/>
        </w:rPr>
      </w:pPr>
      <w:r w:rsidRPr="00917842">
        <w:rPr>
          <w:sz w:val="24"/>
          <w:szCs w:val="24"/>
        </w:rPr>
        <w:t xml:space="preserve">For vejledning til administration via </w:t>
      </w:r>
      <w:proofErr w:type="spellStart"/>
      <w:r w:rsidRPr="00917842">
        <w:rPr>
          <w:sz w:val="24"/>
          <w:szCs w:val="24"/>
        </w:rPr>
        <w:t>nasogastrisk</w:t>
      </w:r>
      <w:proofErr w:type="spellEnd"/>
      <w:r w:rsidRPr="00917842">
        <w:rPr>
          <w:sz w:val="24"/>
          <w:szCs w:val="24"/>
        </w:rPr>
        <w:t xml:space="preserve"> (NG) eller </w:t>
      </w:r>
      <w:proofErr w:type="spellStart"/>
      <w:r w:rsidRPr="00917842">
        <w:rPr>
          <w:sz w:val="24"/>
          <w:szCs w:val="24"/>
        </w:rPr>
        <w:t>perkutan</w:t>
      </w:r>
      <w:proofErr w:type="spellEnd"/>
      <w:r w:rsidRPr="00917842">
        <w:rPr>
          <w:sz w:val="24"/>
          <w:szCs w:val="24"/>
        </w:rPr>
        <w:t xml:space="preserve"> </w:t>
      </w:r>
      <w:proofErr w:type="spellStart"/>
      <w:r w:rsidRPr="00917842">
        <w:rPr>
          <w:sz w:val="24"/>
          <w:szCs w:val="24"/>
        </w:rPr>
        <w:t>endoskopisk</w:t>
      </w:r>
      <w:proofErr w:type="spellEnd"/>
      <w:r w:rsidRPr="00917842">
        <w:rPr>
          <w:sz w:val="24"/>
          <w:szCs w:val="24"/>
        </w:rPr>
        <w:t xml:space="preserve"> </w:t>
      </w:r>
      <w:proofErr w:type="spellStart"/>
      <w:r w:rsidRPr="00917842">
        <w:rPr>
          <w:sz w:val="24"/>
          <w:szCs w:val="24"/>
        </w:rPr>
        <w:t>gastrostomi</w:t>
      </w:r>
      <w:proofErr w:type="spellEnd"/>
      <w:r w:rsidRPr="00917842">
        <w:rPr>
          <w:sz w:val="24"/>
          <w:szCs w:val="24"/>
        </w:rPr>
        <w:t xml:space="preserve"> (PEG) sonde, se pkt. 6.6.</w:t>
      </w:r>
    </w:p>
    <w:p w:rsidR="00917842" w:rsidRPr="00917842" w:rsidRDefault="00917842" w:rsidP="0091784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F111C" w:rsidRPr="004F111C" w:rsidRDefault="004F111C" w:rsidP="004F111C">
      <w:pPr>
        <w:tabs>
          <w:tab w:val="left" w:pos="851"/>
        </w:tabs>
        <w:ind w:left="851"/>
        <w:rPr>
          <w:sz w:val="24"/>
          <w:szCs w:val="24"/>
        </w:rPr>
      </w:pPr>
      <w:r w:rsidRPr="004F111C">
        <w:rPr>
          <w:sz w:val="24"/>
          <w:szCs w:val="24"/>
        </w:rPr>
        <w:t xml:space="preserve">Overfølsomhed over for det aktive stof, substituerede </w:t>
      </w:r>
      <w:proofErr w:type="spellStart"/>
      <w:r w:rsidRPr="004F111C">
        <w:rPr>
          <w:sz w:val="24"/>
          <w:szCs w:val="24"/>
        </w:rPr>
        <w:t>benzimidazoler</w:t>
      </w:r>
      <w:proofErr w:type="spellEnd"/>
      <w:r w:rsidRPr="004F111C">
        <w:rPr>
          <w:sz w:val="24"/>
          <w:szCs w:val="24"/>
        </w:rPr>
        <w:t xml:space="preserve"> eller over for et eller flere af hjælpestofferne anført i pkt. 6.1.</w:t>
      </w:r>
    </w:p>
    <w:p w:rsidR="004F111C" w:rsidRPr="004F111C" w:rsidRDefault="004F111C" w:rsidP="004F111C">
      <w:pPr>
        <w:tabs>
          <w:tab w:val="left" w:pos="851"/>
        </w:tabs>
        <w:ind w:left="851"/>
        <w:rPr>
          <w:sz w:val="24"/>
          <w:szCs w:val="24"/>
        </w:rPr>
      </w:pPr>
    </w:p>
    <w:p w:rsidR="004F111C" w:rsidRPr="004F111C" w:rsidRDefault="004F111C" w:rsidP="004F111C">
      <w:pPr>
        <w:tabs>
          <w:tab w:val="left" w:pos="851"/>
        </w:tabs>
        <w:ind w:left="851"/>
        <w:rPr>
          <w:sz w:val="24"/>
          <w:szCs w:val="24"/>
        </w:rPr>
      </w:pPr>
      <w:r w:rsidRPr="004F111C">
        <w:rPr>
          <w:sz w:val="24"/>
          <w:szCs w:val="24"/>
        </w:rPr>
        <w:t xml:space="preserve">Som andre </w:t>
      </w:r>
      <w:proofErr w:type="spellStart"/>
      <w:r w:rsidRPr="004F111C">
        <w:rPr>
          <w:sz w:val="24"/>
          <w:szCs w:val="24"/>
        </w:rPr>
        <w:t>protonpumpehæmmere</w:t>
      </w:r>
      <w:proofErr w:type="spellEnd"/>
      <w:r w:rsidRPr="004F111C">
        <w:rPr>
          <w:sz w:val="24"/>
          <w:szCs w:val="24"/>
        </w:rPr>
        <w:t xml:space="preserve"> må </w:t>
      </w:r>
      <w:proofErr w:type="spellStart"/>
      <w:r w:rsidRPr="004F111C">
        <w:rPr>
          <w:sz w:val="24"/>
          <w:szCs w:val="24"/>
        </w:rPr>
        <w:t>omeprazol</w:t>
      </w:r>
      <w:proofErr w:type="spellEnd"/>
      <w:r w:rsidRPr="004F111C">
        <w:rPr>
          <w:sz w:val="24"/>
          <w:szCs w:val="24"/>
        </w:rPr>
        <w:t xml:space="preserve"> ikke anvendes samtidigt med </w:t>
      </w:r>
      <w:proofErr w:type="spellStart"/>
      <w:r w:rsidRPr="004F111C">
        <w:rPr>
          <w:sz w:val="24"/>
          <w:szCs w:val="24"/>
        </w:rPr>
        <w:t>nelfinavir</w:t>
      </w:r>
      <w:proofErr w:type="spellEnd"/>
      <w:r w:rsidRPr="004F111C">
        <w:rPr>
          <w:sz w:val="24"/>
          <w:szCs w:val="24"/>
        </w:rPr>
        <w:t xml:space="preserve">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0547E" w:rsidRPr="0090547E" w:rsidRDefault="0090547E" w:rsidP="0090547E">
      <w:pPr>
        <w:tabs>
          <w:tab w:val="left" w:pos="851"/>
        </w:tabs>
        <w:ind w:left="851"/>
        <w:rPr>
          <w:sz w:val="24"/>
          <w:szCs w:val="24"/>
        </w:rPr>
      </w:pPr>
      <w:r w:rsidRPr="0090547E">
        <w:rPr>
          <w:sz w:val="24"/>
          <w:szCs w:val="24"/>
        </w:rPr>
        <w:t xml:space="preserve">Hvis der er nogen form for alarmsymptomer (fx signifikant, utilsigtet vægttab, gentagne opkastninger, </w:t>
      </w:r>
      <w:proofErr w:type="spellStart"/>
      <w:r w:rsidRPr="0090547E">
        <w:rPr>
          <w:sz w:val="24"/>
          <w:szCs w:val="24"/>
        </w:rPr>
        <w:t>dysfagi</w:t>
      </w:r>
      <w:proofErr w:type="spellEnd"/>
      <w:r w:rsidRPr="0090547E">
        <w:rPr>
          <w:sz w:val="24"/>
          <w:szCs w:val="24"/>
        </w:rPr>
        <w:t xml:space="preserve">, </w:t>
      </w:r>
      <w:proofErr w:type="spellStart"/>
      <w:r w:rsidRPr="0090547E">
        <w:rPr>
          <w:sz w:val="24"/>
          <w:szCs w:val="24"/>
        </w:rPr>
        <w:t>hæmatemese</w:t>
      </w:r>
      <w:proofErr w:type="spellEnd"/>
      <w:r w:rsidRPr="0090547E">
        <w:rPr>
          <w:sz w:val="24"/>
          <w:szCs w:val="24"/>
        </w:rPr>
        <w:t xml:space="preserve"> eller </w:t>
      </w:r>
      <w:proofErr w:type="spellStart"/>
      <w:r w:rsidRPr="0090547E">
        <w:rPr>
          <w:sz w:val="24"/>
          <w:szCs w:val="24"/>
        </w:rPr>
        <w:t>melæna</w:t>
      </w:r>
      <w:proofErr w:type="spellEnd"/>
      <w:r w:rsidRPr="0090547E">
        <w:rPr>
          <w:sz w:val="24"/>
          <w:szCs w:val="24"/>
        </w:rPr>
        <w:t>), og hvis gastrisk ulcus er mistænkt eller bekræftet, skal malign lidelse udelukkes, da behandlingen kan lindre symptomerne og derved forsinke diagnosticering.</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Co-administration af </w:t>
      </w:r>
      <w:proofErr w:type="spellStart"/>
      <w:r w:rsidRPr="0090547E">
        <w:rPr>
          <w:sz w:val="24"/>
          <w:szCs w:val="24"/>
        </w:rPr>
        <w:t>atazanavir</w:t>
      </w:r>
      <w:proofErr w:type="spellEnd"/>
      <w:r w:rsidRPr="0090547E">
        <w:rPr>
          <w:sz w:val="24"/>
          <w:szCs w:val="24"/>
        </w:rPr>
        <w:t xml:space="preserve"> med </w:t>
      </w:r>
      <w:proofErr w:type="spellStart"/>
      <w:r w:rsidRPr="0090547E">
        <w:rPr>
          <w:sz w:val="24"/>
          <w:szCs w:val="24"/>
        </w:rPr>
        <w:t>protonpumpehæmmere</w:t>
      </w:r>
      <w:proofErr w:type="spellEnd"/>
      <w:r w:rsidRPr="0090547E">
        <w:rPr>
          <w:sz w:val="24"/>
          <w:szCs w:val="24"/>
        </w:rPr>
        <w:t xml:space="preserve"> kan ikke anbefales (se pkt. 4.5). Hvis kombination af </w:t>
      </w:r>
      <w:proofErr w:type="spellStart"/>
      <w:r w:rsidRPr="0090547E">
        <w:rPr>
          <w:sz w:val="24"/>
          <w:szCs w:val="24"/>
        </w:rPr>
        <w:t>atazanavir</w:t>
      </w:r>
      <w:proofErr w:type="spellEnd"/>
      <w:r w:rsidRPr="0090547E">
        <w:rPr>
          <w:sz w:val="24"/>
          <w:szCs w:val="24"/>
        </w:rPr>
        <w:t xml:space="preserve"> og en protonpumpehæmmer vurderes at være uundgåelig, anbefales tæt klinisk monitorering (f.eks. virusbelastning) i kombination med øgning af </w:t>
      </w:r>
      <w:proofErr w:type="spellStart"/>
      <w:r w:rsidRPr="0090547E">
        <w:rPr>
          <w:sz w:val="24"/>
          <w:szCs w:val="24"/>
        </w:rPr>
        <w:t>atazanavir</w:t>
      </w:r>
      <w:proofErr w:type="spellEnd"/>
      <w:r w:rsidRPr="0090547E">
        <w:rPr>
          <w:sz w:val="24"/>
          <w:szCs w:val="24"/>
        </w:rPr>
        <w:t xml:space="preserve"> dosis til 400 mg med 100 mg </w:t>
      </w:r>
      <w:proofErr w:type="spellStart"/>
      <w:r w:rsidRPr="0090547E">
        <w:rPr>
          <w:sz w:val="24"/>
          <w:szCs w:val="24"/>
        </w:rPr>
        <w:t>ritonavir</w:t>
      </w:r>
      <w:proofErr w:type="spellEnd"/>
      <w:r w:rsidRPr="0090547E">
        <w:rPr>
          <w:sz w:val="24"/>
          <w:szCs w:val="24"/>
        </w:rPr>
        <w:t xml:space="preserve">. En dosis på 20 mg </w:t>
      </w:r>
      <w:proofErr w:type="spellStart"/>
      <w:r w:rsidRPr="0090547E">
        <w:rPr>
          <w:sz w:val="24"/>
          <w:szCs w:val="24"/>
        </w:rPr>
        <w:t>omeprazol</w:t>
      </w:r>
      <w:proofErr w:type="spellEnd"/>
      <w:r w:rsidRPr="0090547E">
        <w:rPr>
          <w:sz w:val="24"/>
          <w:szCs w:val="24"/>
        </w:rPr>
        <w:t xml:space="preserve"> bør ikke overskrides.</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proofErr w:type="spellStart"/>
      <w:r w:rsidRPr="0090547E">
        <w:rPr>
          <w:sz w:val="24"/>
          <w:szCs w:val="24"/>
        </w:rPr>
        <w:t>Omeprazol</w:t>
      </w:r>
      <w:proofErr w:type="spellEnd"/>
      <w:r w:rsidRPr="0090547E">
        <w:rPr>
          <w:sz w:val="24"/>
          <w:szCs w:val="24"/>
        </w:rPr>
        <w:t xml:space="preserve"> kan i lighed med alle syrehæmmende midler reducere absorptionen af </w:t>
      </w:r>
      <w:proofErr w:type="spellStart"/>
      <w:r w:rsidRPr="0090547E">
        <w:rPr>
          <w:sz w:val="24"/>
          <w:szCs w:val="24"/>
        </w:rPr>
        <w:t>cyanocobalamin</w:t>
      </w:r>
      <w:proofErr w:type="spellEnd"/>
      <w:r w:rsidRPr="0090547E">
        <w:rPr>
          <w:sz w:val="24"/>
          <w:szCs w:val="24"/>
        </w:rPr>
        <w:t xml:space="preserve"> (vitamin B</w:t>
      </w:r>
      <w:r w:rsidRPr="0090547E">
        <w:rPr>
          <w:sz w:val="24"/>
          <w:szCs w:val="24"/>
          <w:vertAlign w:val="subscript"/>
        </w:rPr>
        <w:t>12</w:t>
      </w:r>
      <w:r w:rsidRPr="0090547E">
        <w:rPr>
          <w:sz w:val="24"/>
          <w:szCs w:val="24"/>
        </w:rPr>
        <w:t xml:space="preserve">) på grund af </w:t>
      </w:r>
      <w:proofErr w:type="spellStart"/>
      <w:r w:rsidRPr="0090547E">
        <w:rPr>
          <w:sz w:val="24"/>
          <w:szCs w:val="24"/>
        </w:rPr>
        <w:t>hypo</w:t>
      </w:r>
      <w:proofErr w:type="spellEnd"/>
      <w:r w:rsidRPr="0090547E">
        <w:rPr>
          <w:sz w:val="24"/>
          <w:szCs w:val="24"/>
        </w:rPr>
        <w:t xml:space="preserve">- eller </w:t>
      </w:r>
      <w:proofErr w:type="spellStart"/>
      <w:r w:rsidRPr="0090547E">
        <w:rPr>
          <w:sz w:val="24"/>
          <w:szCs w:val="24"/>
        </w:rPr>
        <w:t>aklorhydri</w:t>
      </w:r>
      <w:proofErr w:type="spellEnd"/>
      <w:r w:rsidRPr="0090547E">
        <w:rPr>
          <w:sz w:val="24"/>
          <w:szCs w:val="24"/>
        </w:rPr>
        <w:t xml:space="preserve">. Ved langtidsbehandling </w:t>
      </w:r>
      <w:r w:rsidRPr="0090547E">
        <w:rPr>
          <w:sz w:val="24"/>
          <w:szCs w:val="24"/>
        </w:rPr>
        <w:lastRenderedPageBreak/>
        <w:t>bør der tages højde for dette hos patienter med reduceret depot eller risikofaktorer for nedsat vitamin B</w:t>
      </w:r>
      <w:r w:rsidRPr="0090547E">
        <w:rPr>
          <w:sz w:val="24"/>
          <w:szCs w:val="24"/>
          <w:vertAlign w:val="subscript"/>
        </w:rPr>
        <w:t>12</w:t>
      </w:r>
      <w:r w:rsidRPr="0090547E">
        <w:rPr>
          <w:sz w:val="24"/>
          <w:szCs w:val="24"/>
        </w:rPr>
        <w:t>-absorption.</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proofErr w:type="spellStart"/>
      <w:r w:rsidRPr="0090547E">
        <w:rPr>
          <w:sz w:val="24"/>
          <w:szCs w:val="24"/>
        </w:rPr>
        <w:t>Omeprazol</w:t>
      </w:r>
      <w:proofErr w:type="spellEnd"/>
      <w:r w:rsidRPr="0090547E">
        <w:rPr>
          <w:sz w:val="24"/>
          <w:szCs w:val="24"/>
        </w:rPr>
        <w:t xml:space="preserve"> er en CYP2C19-hæmmer. Ved start og afslutning af behandling med </w:t>
      </w:r>
      <w:proofErr w:type="spellStart"/>
      <w:r w:rsidRPr="0090547E">
        <w:rPr>
          <w:sz w:val="24"/>
          <w:szCs w:val="24"/>
        </w:rPr>
        <w:t>omeprazol</w:t>
      </w:r>
      <w:proofErr w:type="spellEnd"/>
      <w:r w:rsidRPr="0090547E">
        <w:rPr>
          <w:sz w:val="24"/>
          <w:szCs w:val="24"/>
        </w:rPr>
        <w:t xml:space="preserve"> skal risikoen for interaktioner med lægemidler, som </w:t>
      </w:r>
      <w:proofErr w:type="spellStart"/>
      <w:r w:rsidRPr="0090547E">
        <w:rPr>
          <w:sz w:val="24"/>
          <w:szCs w:val="24"/>
        </w:rPr>
        <w:t>metaboliseres</w:t>
      </w:r>
      <w:proofErr w:type="spellEnd"/>
      <w:r w:rsidRPr="0090547E">
        <w:rPr>
          <w:sz w:val="24"/>
          <w:szCs w:val="24"/>
        </w:rPr>
        <w:t xml:space="preserve"> via CYP2C19, tages i betragtning. Der er set interaktion mellem </w:t>
      </w:r>
      <w:proofErr w:type="spellStart"/>
      <w:r w:rsidRPr="0090547E">
        <w:rPr>
          <w:sz w:val="24"/>
          <w:szCs w:val="24"/>
        </w:rPr>
        <w:t>clopidogrel</w:t>
      </w:r>
      <w:proofErr w:type="spellEnd"/>
      <w:r w:rsidRPr="0090547E">
        <w:rPr>
          <w:sz w:val="24"/>
          <w:szCs w:val="24"/>
        </w:rPr>
        <w:t xml:space="preserve"> og </w:t>
      </w:r>
      <w:proofErr w:type="spellStart"/>
      <w:r w:rsidRPr="0090547E">
        <w:rPr>
          <w:sz w:val="24"/>
          <w:szCs w:val="24"/>
        </w:rPr>
        <w:t>omeprazol</w:t>
      </w:r>
      <w:proofErr w:type="spellEnd"/>
      <w:r w:rsidRPr="0090547E">
        <w:rPr>
          <w:sz w:val="24"/>
          <w:szCs w:val="24"/>
        </w:rPr>
        <w:t xml:space="preserve"> (se pkt. 4.5). Den kliniske relevans af denne interaktion er uafklaret. Som en forholdsregel frarådes samtidig brug af </w:t>
      </w:r>
      <w:proofErr w:type="spellStart"/>
      <w:r w:rsidRPr="0090547E">
        <w:rPr>
          <w:sz w:val="24"/>
          <w:szCs w:val="24"/>
        </w:rPr>
        <w:t>omeprazol</w:t>
      </w:r>
      <w:proofErr w:type="spellEnd"/>
      <w:r w:rsidRPr="0090547E">
        <w:rPr>
          <w:sz w:val="24"/>
          <w:szCs w:val="24"/>
        </w:rPr>
        <w:t xml:space="preserve"> og </w:t>
      </w:r>
      <w:proofErr w:type="spellStart"/>
      <w:r w:rsidRPr="0090547E">
        <w:rPr>
          <w:sz w:val="24"/>
          <w:szCs w:val="24"/>
        </w:rPr>
        <w:t>clopidogrel</w:t>
      </w:r>
      <w:proofErr w:type="spellEnd"/>
      <w:r w:rsidRPr="0090547E">
        <w:rPr>
          <w:sz w:val="24"/>
          <w:szCs w:val="24"/>
        </w:rPr>
        <w:t>.</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Alvorlig </w:t>
      </w:r>
      <w:proofErr w:type="spellStart"/>
      <w:r w:rsidRPr="0090547E">
        <w:rPr>
          <w:sz w:val="24"/>
          <w:szCs w:val="24"/>
        </w:rPr>
        <w:t>hypomagnesiæmi</w:t>
      </w:r>
      <w:proofErr w:type="spellEnd"/>
      <w:r w:rsidRPr="0090547E">
        <w:rPr>
          <w:sz w:val="24"/>
          <w:szCs w:val="24"/>
        </w:rPr>
        <w:t xml:space="preserve"> har være rapporteret hos patienter behandlet med </w:t>
      </w:r>
      <w:proofErr w:type="spellStart"/>
      <w:r w:rsidRPr="0090547E">
        <w:rPr>
          <w:sz w:val="24"/>
          <w:szCs w:val="24"/>
        </w:rPr>
        <w:t>protonpumpehæmmere</w:t>
      </w:r>
      <w:proofErr w:type="spellEnd"/>
      <w:r w:rsidRPr="0090547E">
        <w:rPr>
          <w:sz w:val="24"/>
          <w:szCs w:val="24"/>
        </w:rPr>
        <w:t xml:space="preserve"> (</w:t>
      </w:r>
      <w:proofErr w:type="spellStart"/>
      <w:r w:rsidRPr="0090547E">
        <w:rPr>
          <w:sz w:val="24"/>
          <w:szCs w:val="24"/>
        </w:rPr>
        <w:t>PPI’er</w:t>
      </w:r>
      <w:proofErr w:type="spellEnd"/>
      <w:r w:rsidRPr="0090547E">
        <w:rPr>
          <w:sz w:val="24"/>
          <w:szCs w:val="24"/>
        </w:rPr>
        <w:t xml:space="preserve">), såsom </w:t>
      </w:r>
      <w:proofErr w:type="spellStart"/>
      <w:r w:rsidRPr="0090547E">
        <w:rPr>
          <w:sz w:val="24"/>
          <w:szCs w:val="24"/>
        </w:rPr>
        <w:t>omeprazol</w:t>
      </w:r>
      <w:proofErr w:type="spellEnd"/>
      <w:r w:rsidRPr="0090547E">
        <w:rPr>
          <w:sz w:val="24"/>
          <w:szCs w:val="24"/>
        </w:rPr>
        <w:t xml:space="preserve">, i mindst tre måneder og i de fleste tilfælde i et år. Alvorlige manifestationer af </w:t>
      </w:r>
      <w:proofErr w:type="spellStart"/>
      <w:r w:rsidRPr="0090547E">
        <w:rPr>
          <w:sz w:val="24"/>
          <w:szCs w:val="24"/>
        </w:rPr>
        <w:t>hypomagnesiæmi</w:t>
      </w:r>
      <w:proofErr w:type="spellEnd"/>
      <w:r w:rsidRPr="0090547E">
        <w:rPr>
          <w:sz w:val="24"/>
          <w:szCs w:val="24"/>
        </w:rPr>
        <w:t xml:space="preserve"> som træthed, tetani, delirium, kramper, svimmelhed og </w:t>
      </w:r>
      <w:proofErr w:type="spellStart"/>
      <w:r w:rsidRPr="0090547E">
        <w:rPr>
          <w:sz w:val="24"/>
          <w:szCs w:val="24"/>
        </w:rPr>
        <w:t>ventrikulær</w:t>
      </w:r>
      <w:proofErr w:type="spellEnd"/>
      <w:r w:rsidRPr="0090547E">
        <w:rPr>
          <w:sz w:val="24"/>
          <w:szCs w:val="24"/>
        </w:rPr>
        <w:t xml:space="preserve"> </w:t>
      </w:r>
      <w:proofErr w:type="spellStart"/>
      <w:r w:rsidRPr="0090547E">
        <w:rPr>
          <w:sz w:val="24"/>
          <w:szCs w:val="24"/>
        </w:rPr>
        <w:t>arytmi</w:t>
      </w:r>
      <w:proofErr w:type="spellEnd"/>
      <w:r w:rsidRPr="0090547E">
        <w:rPr>
          <w:sz w:val="24"/>
          <w:szCs w:val="24"/>
        </w:rPr>
        <w:t xml:space="preserve"> kan forekomme, men kan begynde stille og kan blive overset. Tilstanden forbedres hos de fleste patienter efter magnesium erstatning og </w:t>
      </w:r>
      <w:proofErr w:type="spellStart"/>
      <w:r w:rsidRPr="0090547E">
        <w:rPr>
          <w:sz w:val="24"/>
          <w:szCs w:val="24"/>
        </w:rPr>
        <w:t>seponering</w:t>
      </w:r>
      <w:proofErr w:type="spellEnd"/>
      <w:r w:rsidRPr="0090547E">
        <w:rPr>
          <w:sz w:val="24"/>
          <w:szCs w:val="24"/>
        </w:rPr>
        <w:t xml:space="preserve"> af PPI. </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Det bør overvejes at måle serummagnesium før opstart af </w:t>
      </w:r>
      <w:proofErr w:type="gramStart"/>
      <w:r w:rsidRPr="0090547E">
        <w:rPr>
          <w:sz w:val="24"/>
          <w:szCs w:val="24"/>
        </w:rPr>
        <w:t>PPI behandling</w:t>
      </w:r>
      <w:proofErr w:type="gramEnd"/>
      <w:r w:rsidRPr="0090547E">
        <w:rPr>
          <w:sz w:val="24"/>
          <w:szCs w:val="24"/>
        </w:rPr>
        <w:t xml:space="preserve"> og regelmæssigt under behandlingen hos patienter, der forventes at være i langvarig behandling eller tager </w:t>
      </w:r>
      <w:proofErr w:type="spellStart"/>
      <w:r w:rsidRPr="0090547E">
        <w:rPr>
          <w:sz w:val="24"/>
          <w:szCs w:val="24"/>
        </w:rPr>
        <w:t>PPI’er</w:t>
      </w:r>
      <w:proofErr w:type="spellEnd"/>
      <w:r w:rsidRPr="0090547E">
        <w:rPr>
          <w:sz w:val="24"/>
          <w:szCs w:val="24"/>
        </w:rPr>
        <w:t xml:space="preserve"> samtidigt med </w:t>
      </w:r>
      <w:proofErr w:type="spellStart"/>
      <w:r w:rsidRPr="0090547E">
        <w:rPr>
          <w:sz w:val="24"/>
          <w:szCs w:val="24"/>
        </w:rPr>
        <w:t>digoxin</w:t>
      </w:r>
      <w:proofErr w:type="spellEnd"/>
      <w:r w:rsidRPr="0090547E">
        <w:rPr>
          <w:sz w:val="24"/>
          <w:szCs w:val="24"/>
        </w:rPr>
        <w:t xml:space="preserve"> eller andre lægemidler, der kan forårsage </w:t>
      </w:r>
      <w:proofErr w:type="spellStart"/>
      <w:r w:rsidRPr="0090547E">
        <w:rPr>
          <w:sz w:val="24"/>
          <w:szCs w:val="24"/>
        </w:rPr>
        <w:t>hypomagnesiæmi</w:t>
      </w:r>
      <w:proofErr w:type="spellEnd"/>
      <w:r w:rsidRPr="0090547E">
        <w:rPr>
          <w:sz w:val="24"/>
          <w:szCs w:val="24"/>
        </w:rPr>
        <w:t xml:space="preserve"> (fx </w:t>
      </w:r>
      <w:proofErr w:type="spellStart"/>
      <w:r w:rsidRPr="0090547E">
        <w:rPr>
          <w:sz w:val="24"/>
          <w:szCs w:val="24"/>
        </w:rPr>
        <w:t>diuretika</w:t>
      </w:r>
      <w:proofErr w:type="spellEnd"/>
      <w:r w:rsidRPr="0090547E">
        <w:rPr>
          <w:sz w:val="24"/>
          <w:szCs w:val="24"/>
        </w:rPr>
        <w:t>).</w:t>
      </w:r>
    </w:p>
    <w:p w:rsidR="0090547E" w:rsidRPr="0090547E" w:rsidRDefault="0090547E" w:rsidP="0090547E">
      <w:pPr>
        <w:tabs>
          <w:tab w:val="left" w:pos="851"/>
        </w:tabs>
        <w:ind w:left="851"/>
        <w:rPr>
          <w:sz w:val="24"/>
          <w:szCs w:val="24"/>
        </w:rPr>
      </w:pPr>
    </w:p>
    <w:p w:rsidR="0090547E" w:rsidRDefault="0090547E" w:rsidP="0090547E">
      <w:pPr>
        <w:tabs>
          <w:tab w:val="left" w:pos="851"/>
        </w:tabs>
        <w:ind w:left="851"/>
        <w:rPr>
          <w:sz w:val="24"/>
          <w:szCs w:val="24"/>
        </w:rPr>
      </w:pPr>
      <w:proofErr w:type="spellStart"/>
      <w:r w:rsidRPr="0090547E">
        <w:rPr>
          <w:sz w:val="24"/>
          <w:szCs w:val="24"/>
        </w:rPr>
        <w:t>Protonpumpehæmmere</w:t>
      </w:r>
      <w:proofErr w:type="spellEnd"/>
      <w:r w:rsidRPr="0090547E">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90547E">
        <w:rPr>
          <w:sz w:val="24"/>
          <w:szCs w:val="24"/>
        </w:rPr>
        <w:t>protonpumpehæmmere</w:t>
      </w:r>
      <w:proofErr w:type="spellEnd"/>
      <w:r w:rsidRPr="0090547E">
        <w:rPr>
          <w:sz w:val="24"/>
          <w:szCs w:val="24"/>
        </w:rPr>
        <w:t xml:space="preserve"> kan øge den overordnede risiko for fraktur med 10-40</w:t>
      </w:r>
      <w:r w:rsidR="003A35D1">
        <w:rPr>
          <w:sz w:val="24"/>
          <w:szCs w:val="24"/>
        </w:rPr>
        <w:t xml:space="preserve"> %</w:t>
      </w:r>
      <w:r w:rsidRPr="0090547E">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D3018F" w:rsidRDefault="00D3018F" w:rsidP="0090547E">
      <w:pPr>
        <w:tabs>
          <w:tab w:val="left" w:pos="851"/>
        </w:tabs>
        <w:ind w:left="851"/>
        <w:rPr>
          <w:sz w:val="24"/>
          <w:szCs w:val="24"/>
        </w:rPr>
      </w:pPr>
    </w:p>
    <w:p w:rsidR="00D3018F" w:rsidRDefault="00D3018F" w:rsidP="00D3018F">
      <w:pPr>
        <w:tabs>
          <w:tab w:val="left" w:pos="851"/>
        </w:tabs>
        <w:ind w:left="851"/>
        <w:rPr>
          <w:sz w:val="24"/>
          <w:szCs w:val="24"/>
        </w:rPr>
      </w:pPr>
      <w:r w:rsidRPr="008A300B">
        <w:rPr>
          <w:sz w:val="24"/>
          <w:szCs w:val="24"/>
        </w:rPr>
        <w:t xml:space="preserve">Der er rapporteret om svære </w:t>
      </w:r>
      <w:proofErr w:type="spellStart"/>
      <w:r w:rsidRPr="008A300B">
        <w:rPr>
          <w:sz w:val="24"/>
          <w:szCs w:val="24"/>
        </w:rPr>
        <w:t>kutane</w:t>
      </w:r>
      <w:proofErr w:type="spellEnd"/>
      <w:r w:rsidRPr="008A300B">
        <w:rPr>
          <w:sz w:val="24"/>
          <w:szCs w:val="24"/>
        </w:rPr>
        <w:t xml:space="preserve"> bivirkninger (</w:t>
      </w:r>
      <w:proofErr w:type="spellStart"/>
      <w:r w:rsidRPr="008A300B">
        <w:rPr>
          <w:sz w:val="24"/>
          <w:szCs w:val="24"/>
        </w:rPr>
        <w:t>SCARs</w:t>
      </w:r>
      <w:proofErr w:type="spellEnd"/>
      <w:r w:rsidRPr="008A300B">
        <w:rPr>
          <w:sz w:val="24"/>
          <w:szCs w:val="24"/>
        </w:rPr>
        <w:t xml:space="preserve">), herunder Stevens-Johnsons syndrom (SJS), toksisk </w:t>
      </w:r>
      <w:proofErr w:type="spellStart"/>
      <w:r w:rsidRPr="008A300B">
        <w:rPr>
          <w:sz w:val="24"/>
          <w:szCs w:val="24"/>
        </w:rPr>
        <w:t>epidermal</w:t>
      </w:r>
      <w:proofErr w:type="spellEnd"/>
      <w:r w:rsidRPr="008A300B">
        <w:rPr>
          <w:sz w:val="24"/>
          <w:szCs w:val="24"/>
        </w:rPr>
        <w:t xml:space="preserve"> </w:t>
      </w:r>
      <w:proofErr w:type="spellStart"/>
      <w:r w:rsidRPr="008A300B">
        <w:rPr>
          <w:sz w:val="24"/>
          <w:szCs w:val="24"/>
        </w:rPr>
        <w:t>nekrolyse</w:t>
      </w:r>
      <w:proofErr w:type="spellEnd"/>
      <w:r w:rsidRPr="008A300B">
        <w:rPr>
          <w:sz w:val="24"/>
          <w:szCs w:val="24"/>
        </w:rPr>
        <w:t xml:space="preserve"> (TEN), lægemiddelreaktion med </w:t>
      </w:r>
      <w:proofErr w:type="spellStart"/>
      <w:r w:rsidRPr="008A300B">
        <w:rPr>
          <w:sz w:val="24"/>
          <w:szCs w:val="24"/>
        </w:rPr>
        <w:t>eosinofili</w:t>
      </w:r>
      <w:proofErr w:type="spellEnd"/>
      <w:r w:rsidRPr="008A300B">
        <w:rPr>
          <w:sz w:val="24"/>
          <w:szCs w:val="24"/>
        </w:rPr>
        <w:t xml:space="preserve"> og systemiske symptomer (DRESS) og akut generaliseret </w:t>
      </w:r>
      <w:proofErr w:type="spellStart"/>
      <w:r w:rsidRPr="008A300B">
        <w:rPr>
          <w:sz w:val="24"/>
          <w:szCs w:val="24"/>
        </w:rPr>
        <w:t>eksantematøs</w:t>
      </w:r>
      <w:proofErr w:type="spellEnd"/>
      <w:r w:rsidRPr="008A300B">
        <w:rPr>
          <w:sz w:val="24"/>
          <w:szCs w:val="24"/>
        </w:rPr>
        <w:t xml:space="preserve"> </w:t>
      </w:r>
      <w:proofErr w:type="spellStart"/>
      <w:r w:rsidRPr="008A300B">
        <w:rPr>
          <w:sz w:val="24"/>
          <w:szCs w:val="24"/>
        </w:rPr>
        <w:t>pustulose</w:t>
      </w:r>
      <w:proofErr w:type="spellEnd"/>
      <w:r w:rsidRPr="008A300B">
        <w:rPr>
          <w:sz w:val="24"/>
          <w:szCs w:val="24"/>
        </w:rPr>
        <w:t xml:space="preserve"> (AGEP), som kan være livstruende eller fatale, i henholdsvis meget sjældne og sjældne tilfælde i forbindelse med </w:t>
      </w:r>
      <w:proofErr w:type="spellStart"/>
      <w:r w:rsidRPr="008A300B">
        <w:rPr>
          <w:sz w:val="24"/>
          <w:szCs w:val="24"/>
        </w:rPr>
        <w:t>omeprazolbehandling</w:t>
      </w:r>
      <w:proofErr w:type="spellEnd"/>
      <w:r w:rsidRPr="008A300B">
        <w:rPr>
          <w:sz w:val="24"/>
          <w:szCs w:val="24"/>
        </w:rPr>
        <w:t>.</w:t>
      </w:r>
    </w:p>
    <w:p w:rsidR="00CF7A08" w:rsidRDefault="00CF7A08" w:rsidP="0090547E">
      <w:pPr>
        <w:tabs>
          <w:tab w:val="left" w:pos="851"/>
        </w:tabs>
        <w:ind w:left="851"/>
        <w:rPr>
          <w:sz w:val="24"/>
          <w:szCs w:val="24"/>
        </w:rPr>
      </w:pPr>
    </w:p>
    <w:p w:rsidR="00CF7A08" w:rsidRDefault="00CF7A08" w:rsidP="00CF7A08">
      <w:pPr>
        <w:tabs>
          <w:tab w:val="left" w:pos="851"/>
        </w:tabs>
        <w:ind w:left="851"/>
        <w:rPr>
          <w:sz w:val="24"/>
          <w:szCs w:val="24"/>
          <w:u w:val="single"/>
        </w:rPr>
      </w:pPr>
      <w:r>
        <w:rPr>
          <w:sz w:val="24"/>
          <w:szCs w:val="24"/>
          <w:u w:val="single"/>
        </w:rPr>
        <w:t>Nedsat nyrefunktion</w:t>
      </w:r>
    </w:p>
    <w:p w:rsidR="00CF7A08" w:rsidRDefault="00CF7A08" w:rsidP="00CF7A08">
      <w:pPr>
        <w:tabs>
          <w:tab w:val="left" w:pos="851"/>
        </w:tabs>
        <w:ind w:left="851"/>
        <w:rPr>
          <w:sz w:val="24"/>
          <w:szCs w:val="24"/>
        </w:rPr>
      </w:pPr>
      <w:r>
        <w:rPr>
          <w:sz w:val="24"/>
          <w:szCs w:val="24"/>
        </w:rPr>
        <w:t xml:space="preserve">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(TIN) er set hos patienter, der tager </w:t>
      </w:r>
      <w:proofErr w:type="spellStart"/>
      <w:r>
        <w:rPr>
          <w:sz w:val="24"/>
          <w:szCs w:val="24"/>
        </w:rPr>
        <w:t>omeprazol</w:t>
      </w:r>
      <w:proofErr w:type="spellEnd"/>
      <w:r>
        <w:rPr>
          <w:sz w:val="24"/>
          <w:szCs w:val="24"/>
        </w:rPr>
        <w:t xml:space="preserve">, og kan forekomme når som helst under behandling med </w:t>
      </w:r>
      <w:proofErr w:type="spellStart"/>
      <w:r>
        <w:rPr>
          <w:sz w:val="24"/>
          <w:szCs w:val="24"/>
        </w:rPr>
        <w:t>omeprazol</w:t>
      </w:r>
      <w:proofErr w:type="spellEnd"/>
      <w:r>
        <w:rPr>
          <w:sz w:val="24"/>
          <w:szCs w:val="24"/>
        </w:rPr>
        <w:t xml:space="preserve"> (se punkt 4.8). 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kan forværres til nyresvigt. </w:t>
      </w:r>
    </w:p>
    <w:p w:rsidR="00CF7A08" w:rsidRDefault="00CF7A08" w:rsidP="00CF7A08">
      <w:pPr>
        <w:tabs>
          <w:tab w:val="left" w:pos="851"/>
        </w:tabs>
        <w:ind w:left="851"/>
        <w:rPr>
          <w:sz w:val="24"/>
          <w:szCs w:val="24"/>
        </w:rPr>
      </w:pPr>
    </w:p>
    <w:p w:rsidR="00CF7A08" w:rsidRDefault="00CF7A08" w:rsidP="00CF7A08">
      <w:pPr>
        <w:tabs>
          <w:tab w:val="left" w:pos="851"/>
        </w:tabs>
        <w:ind w:left="851"/>
        <w:rPr>
          <w:sz w:val="24"/>
          <w:szCs w:val="24"/>
        </w:rPr>
      </w:pPr>
      <w:proofErr w:type="spellStart"/>
      <w:r>
        <w:rPr>
          <w:sz w:val="24"/>
          <w:szCs w:val="24"/>
        </w:rPr>
        <w:t>Omeprazol</w:t>
      </w:r>
      <w:proofErr w:type="spellEnd"/>
      <w:r>
        <w:rPr>
          <w:sz w:val="24"/>
          <w:szCs w:val="24"/>
        </w:rPr>
        <w:t xml:space="preserve"> bør seponeres ved mistanke om TIN, og passende behandling bør iværksættes med det samme.</w:t>
      </w:r>
    </w:p>
    <w:p w:rsidR="0090547E" w:rsidRPr="0090547E" w:rsidRDefault="0090547E" w:rsidP="00CF7A08">
      <w:pPr>
        <w:tabs>
          <w:tab w:val="left" w:pos="851"/>
        </w:tabs>
        <w:rPr>
          <w:sz w:val="24"/>
          <w:szCs w:val="24"/>
        </w:rPr>
      </w:pPr>
    </w:p>
    <w:p w:rsidR="0090547E" w:rsidRPr="0090547E" w:rsidRDefault="0090547E" w:rsidP="0090547E">
      <w:pPr>
        <w:tabs>
          <w:tab w:val="left" w:pos="851"/>
        </w:tabs>
        <w:ind w:left="851"/>
        <w:rPr>
          <w:sz w:val="24"/>
          <w:szCs w:val="24"/>
          <w:u w:val="single"/>
          <w:lang w:val="en-US"/>
        </w:rPr>
      </w:pPr>
      <w:proofErr w:type="spellStart"/>
      <w:r w:rsidRPr="0090547E">
        <w:rPr>
          <w:sz w:val="24"/>
          <w:szCs w:val="24"/>
          <w:u w:val="single"/>
          <w:lang w:val="en-US"/>
        </w:rPr>
        <w:t>Subakut</w:t>
      </w:r>
      <w:proofErr w:type="spellEnd"/>
      <w:r w:rsidRPr="0090547E">
        <w:rPr>
          <w:sz w:val="24"/>
          <w:szCs w:val="24"/>
          <w:u w:val="single"/>
          <w:lang w:val="en-US"/>
        </w:rPr>
        <w:t xml:space="preserve"> </w:t>
      </w:r>
      <w:proofErr w:type="spellStart"/>
      <w:r w:rsidRPr="0090547E">
        <w:rPr>
          <w:sz w:val="24"/>
          <w:szCs w:val="24"/>
          <w:u w:val="single"/>
          <w:lang w:val="en-US"/>
        </w:rPr>
        <w:t>kutan</w:t>
      </w:r>
      <w:proofErr w:type="spellEnd"/>
      <w:r w:rsidRPr="0090547E">
        <w:rPr>
          <w:sz w:val="24"/>
          <w:szCs w:val="24"/>
          <w:u w:val="single"/>
          <w:lang w:val="en-US"/>
        </w:rPr>
        <w:t xml:space="preserve"> lupus erythematosus (SCLE)</w:t>
      </w:r>
    </w:p>
    <w:p w:rsidR="0090547E" w:rsidRPr="0090547E" w:rsidRDefault="0090547E" w:rsidP="0090547E">
      <w:pPr>
        <w:tabs>
          <w:tab w:val="left" w:pos="851"/>
        </w:tabs>
        <w:ind w:left="851"/>
        <w:rPr>
          <w:sz w:val="24"/>
          <w:szCs w:val="24"/>
        </w:rPr>
      </w:pPr>
      <w:proofErr w:type="spellStart"/>
      <w:r w:rsidRPr="0090547E">
        <w:rPr>
          <w:sz w:val="24"/>
          <w:szCs w:val="24"/>
        </w:rPr>
        <w:t>Protonpumpehæmmere</w:t>
      </w:r>
      <w:proofErr w:type="spellEnd"/>
      <w:r w:rsidRPr="0090547E">
        <w:rPr>
          <w:sz w:val="24"/>
          <w:szCs w:val="24"/>
        </w:rPr>
        <w:t xml:space="preserve"> er forbundet med meget sjældne tilfælde af SCLE. Hvis sådanne hudreaktioner optræder, navnlig på hudområder udsat for sol, og er ledsaget af </w:t>
      </w:r>
      <w:proofErr w:type="spellStart"/>
      <w:r w:rsidRPr="0090547E">
        <w:rPr>
          <w:sz w:val="24"/>
          <w:szCs w:val="24"/>
        </w:rPr>
        <w:t>artralgi</w:t>
      </w:r>
      <w:proofErr w:type="spellEnd"/>
      <w:r w:rsidRPr="0090547E">
        <w:rPr>
          <w:sz w:val="24"/>
          <w:szCs w:val="24"/>
        </w:rPr>
        <w:t xml:space="preserve">, bør patienten straks søge læge, og lægen bør overveje at seponere </w:t>
      </w:r>
      <w:proofErr w:type="spellStart"/>
      <w:r w:rsidRPr="0090547E">
        <w:rPr>
          <w:sz w:val="24"/>
          <w:szCs w:val="24"/>
        </w:rPr>
        <w:t>Pedippi</w:t>
      </w:r>
      <w:proofErr w:type="spellEnd"/>
      <w:r w:rsidRPr="0090547E">
        <w:rPr>
          <w:sz w:val="24"/>
          <w:szCs w:val="24"/>
        </w:rPr>
        <w:t xml:space="preserve">. SCLE efter tidligere behandling med en protonpumpehæmmer kan øge risikoen for SCLE med andre </w:t>
      </w:r>
      <w:proofErr w:type="spellStart"/>
      <w:r w:rsidRPr="0090547E">
        <w:rPr>
          <w:sz w:val="24"/>
          <w:szCs w:val="24"/>
        </w:rPr>
        <w:t>protonpumpehæmmere</w:t>
      </w:r>
      <w:proofErr w:type="spellEnd"/>
      <w:r w:rsidRPr="0090547E">
        <w:rPr>
          <w:sz w:val="24"/>
          <w:szCs w:val="24"/>
        </w:rPr>
        <w:t>.</w:t>
      </w:r>
    </w:p>
    <w:p w:rsidR="0090547E" w:rsidRPr="0090547E" w:rsidRDefault="0090547E" w:rsidP="0090547E">
      <w:pPr>
        <w:tabs>
          <w:tab w:val="left" w:pos="851"/>
        </w:tabs>
        <w:ind w:left="851"/>
        <w:rPr>
          <w:sz w:val="24"/>
          <w:szCs w:val="24"/>
        </w:rPr>
      </w:pPr>
    </w:p>
    <w:p w:rsidR="00EF5ACD" w:rsidRDefault="00EF5ACD" w:rsidP="0090547E">
      <w:pPr>
        <w:tabs>
          <w:tab w:val="left" w:pos="851"/>
        </w:tabs>
        <w:ind w:left="851"/>
        <w:rPr>
          <w:sz w:val="24"/>
          <w:szCs w:val="24"/>
          <w:u w:val="single"/>
        </w:rPr>
      </w:pPr>
    </w:p>
    <w:p w:rsidR="0090547E" w:rsidRPr="0090547E" w:rsidRDefault="0090547E" w:rsidP="0090547E">
      <w:pPr>
        <w:tabs>
          <w:tab w:val="left" w:pos="851"/>
        </w:tabs>
        <w:ind w:left="851"/>
        <w:rPr>
          <w:sz w:val="24"/>
          <w:szCs w:val="24"/>
          <w:u w:val="single"/>
        </w:rPr>
      </w:pPr>
      <w:r w:rsidRPr="0090547E">
        <w:rPr>
          <w:sz w:val="24"/>
          <w:szCs w:val="24"/>
          <w:u w:val="single"/>
        </w:rPr>
        <w:lastRenderedPageBreak/>
        <w:t xml:space="preserve">Interferens med laboratorieprøver </w:t>
      </w:r>
    </w:p>
    <w:p w:rsidR="0090547E" w:rsidRPr="0090547E" w:rsidRDefault="0090547E" w:rsidP="0090547E">
      <w:pPr>
        <w:tabs>
          <w:tab w:val="left" w:pos="851"/>
        </w:tabs>
        <w:ind w:left="851"/>
        <w:rPr>
          <w:sz w:val="24"/>
          <w:szCs w:val="24"/>
        </w:rPr>
      </w:pPr>
      <w:r w:rsidRPr="0090547E">
        <w:rPr>
          <w:sz w:val="24"/>
          <w:szCs w:val="24"/>
        </w:rPr>
        <w:t xml:space="preserve">Forhøjet </w:t>
      </w:r>
      <w:proofErr w:type="spellStart"/>
      <w:r w:rsidRPr="0090547E">
        <w:rPr>
          <w:sz w:val="24"/>
          <w:szCs w:val="24"/>
        </w:rPr>
        <w:t>chromogranin</w:t>
      </w:r>
      <w:proofErr w:type="spellEnd"/>
      <w:r w:rsidRPr="0090547E">
        <w:rPr>
          <w:sz w:val="24"/>
          <w:szCs w:val="24"/>
        </w:rPr>
        <w:t xml:space="preserve"> A (</w:t>
      </w:r>
      <w:proofErr w:type="spellStart"/>
      <w:r w:rsidRPr="0090547E">
        <w:rPr>
          <w:sz w:val="24"/>
          <w:szCs w:val="24"/>
        </w:rPr>
        <w:t>CgA</w:t>
      </w:r>
      <w:proofErr w:type="spellEnd"/>
      <w:r w:rsidRPr="0090547E">
        <w:rPr>
          <w:sz w:val="24"/>
          <w:szCs w:val="24"/>
        </w:rPr>
        <w:t xml:space="preserve">) kan interferere med undersøgelser for </w:t>
      </w:r>
      <w:proofErr w:type="spellStart"/>
      <w:r w:rsidRPr="0090547E">
        <w:rPr>
          <w:sz w:val="24"/>
          <w:szCs w:val="24"/>
        </w:rPr>
        <w:t>neuroendokrine</w:t>
      </w:r>
      <w:proofErr w:type="spellEnd"/>
      <w:r w:rsidRPr="0090547E">
        <w:rPr>
          <w:sz w:val="24"/>
          <w:szCs w:val="24"/>
        </w:rPr>
        <w:t xml:space="preserve"> tumorer. For at undgå denne interferens, bør </w:t>
      </w:r>
      <w:proofErr w:type="spellStart"/>
      <w:r w:rsidRPr="0090547E">
        <w:rPr>
          <w:sz w:val="24"/>
          <w:szCs w:val="24"/>
        </w:rPr>
        <w:t>omeprazol</w:t>
      </w:r>
      <w:proofErr w:type="spellEnd"/>
      <w:r w:rsidRPr="0090547E">
        <w:rPr>
          <w:sz w:val="24"/>
          <w:szCs w:val="24"/>
        </w:rPr>
        <w:t xml:space="preserve"> behandling seponeres mindst 5 dage inden måling af </w:t>
      </w:r>
      <w:proofErr w:type="spellStart"/>
      <w:r w:rsidRPr="0090547E">
        <w:rPr>
          <w:sz w:val="24"/>
          <w:szCs w:val="24"/>
        </w:rPr>
        <w:t>CgA</w:t>
      </w:r>
      <w:proofErr w:type="spellEnd"/>
      <w:r w:rsidRPr="0090547E">
        <w:rPr>
          <w:sz w:val="24"/>
          <w:szCs w:val="24"/>
        </w:rPr>
        <w:t xml:space="preserve">-målinger (se pkt. 5.1). Hvis indholdet af </w:t>
      </w:r>
      <w:proofErr w:type="spellStart"/>
      <w:r w:rsidRPr="0090547E">
        <w:rPr>
          <w:sz w:val="24"/>
          <w:szCs w:val="24"/>
        </w:rPr>
        <w:t>CgA</w:t>
      </w:r>
      <w:proofErr w:type="spellEnd"/>
      <w:r w:rsidRPr="0090547E">
        <w:rPr>
          <w:sz w:val="24"/>
          <w:szCs w:val="24"/>
        </w:rPr>
        <w:t xml:space="preserve"> og gastrin ikke er returneret til referenceområdet ved den første måling, bør målingen gentages 14 dage efter </w:t>
      </w:r>
      <w:proofErr w:type="spellStart"/>
      <w:r w:rsidRPr="0090547E">
        <w:rPr>
          <w:sz w:val="24"/>
          <w:szCs w:val="24"/>
        </w:rPr>
        <w:t>seponering</w:t>
      </w:r>
      <w:proofErr w:type="spellEnd"/>
      <w:r w:rsidRPr="0090547E">
        <w:rPr>
          <w:sz w:val="24"/>
          <w:szCs w:val="24"/>
        </w:rPr>
        <w:t xml:space="preserve"> af protonpumpehæmmeren.</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Selvom det ikke er anbefalet, kan nogle børn med kroniske sygdomme behøve langvarig behandling.</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Behandling med </w:t>
      </w:r>
      <w:proofErr w:type="spellStart"/>
      <w:r w:rsidRPr="0090547E">
        <w:rPr>
          <w:sz w:val="24"/>
          <w:szCs w:val="24"/>
        </w:rPr>
        <w:t>protonpumpehæmmere</w:t>
      </w:r>
      <w:proofErr w:type="spellEnd"/>
      <w:r w:rsidRPr="0090547E">
        <w:rPr>
          <w:sz w:val="24"/>
          <w:szCs w:val="24"/>
        </w:rPr>
        <w:t xml:space="preserve"> kan medføre en let forøget risiko for </w:t>
      </w:r>
      <w:proofErr w:type="spellStart"/>
      <w:r w:rsidRPr="0090547E">
        <w:rPr>
          <w:sz w:val="24"/>
          <w:szCs w:val="24"/>
        </w:rPr>
        <w:t>gastrointestinale</w:t>
      </w:r>
      <w:proofErr w:type="spellEnd"/>
      <w:r w:rsidRPr="0090547E">
        <w:rPr>
          <w:sz w:val="24"/>
          <w:szCs w:val="24"/>
        </w:rPr>
        <w:t xml:space="preserve"> infektioner såsom </w:t>
      </w:r>
      <w:r w:rsidRPr="0090547E">
        <w:rPr>
          <w:i/>
          <w:iCs/>
          <w:sz w:val="24"/>
          <w:szCs w:val="24"/>
        </w:rPr>
        <w:t>Salmonella</w:t>
      </w:r>
      <w:r w:rsidRPr="0090547E">
        <w:rPr>
          <w:sz w:val="24"/>
          <w:szCs w:val="24"/>
        </w:rPr>
        <w:t xml:space="preserve"> og </w:t>
      </w:r>
      <w:r w:rsidRPr="0090547E">
        <w:rPr>
          <w:i/>
          <w:iCs/>
          <w:sz w:val="24"/>
          <w:szCs w:val="24"/>
        </w:rPr>
        <w:t>Campylobacter</w:t>
      </w:r>
      <w:r w:rsidRPr="0090547E">
        <w:rPr>
          <w:sz w:val="24"/>
          <w:szCs w:val="24"/>
        </w:rPr>
        <w:t xml:space="preserve"> og, hos hospitalsindlagte patienter, muligvis også </w:t>
      </w:r>
      <w:proofErr w:type="spellStart"/>
      <w:r w:rsidRPr="0090547E">
        <w:rPr>
          <w:i/>
          <w:iCs/>
          <w:sz w:val="24"/>
          <w:szCs w:val="24"/>
        </w:rPr>
        <w:t>Clostridium</w:t>
      </w:r>
      <w:proofErr w:type="spellEnd"/>
      <w:r w:rsidRPr="0090547E">
        <w:rPr>
          <w:i/>
          <w:iCs/>
          <w:sz w:val="24"/>
          <w:szCs w:val="24"/>
        </w:rPr>
        <w:t xml:space="preserve"> difficile</w:t>
      </w:r>
      <w:r w:rsidRPr="0090547E">
        <w:rPr>
          <w:sz w:val="24"/>
          <w:szCs w:val="24"/>
        </w:rPr>
        <w:t xml:space="preserve"> (se pkt. 5.1).</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Som ved al langtidsbehandling, især når behandlingsvarigheden overstiger et år, bør patienterne tilses regelmæssigt.</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Dette lægemiddel indeholder 17,2 mg (0,75 mmol) natrium pr ml eller 86 mg (3,75 mmol) natrium pr 5 ml dosis, svarende (for 5 ml dosis) til 4,3</w:t>
      </w:r>
      <w:r w:rsidR="003A35D1">
        <w:rPr>
          <w:sz w:val="24"/>
          <w:szCs w:val="24"/>
        </w:rPr>
        <w:t xml:space="preserve"> %</w:t>
      </w:r>
      <w:r w:rsidRPr="0090547E">
        <w:rPr>
          <w:sz w:val="24"/>
          <w:szCs w:val="24"/>
        </w:rPr>
        <w:t xml:space="preserve"> af den WHO anbefalede maksimale daglige indtagelse af 2 g natrium for en voksen.</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Dette lægemiddel indeholder 54,3 mg (1,39 mmol) kalium pr ml eller 271,5 g (6,95 mmol) kalium pr 5 ml dosis. Dette skal tages til overvejelse hos patienter med nedsat nyrefunktion eller patienter på kontrolleret kalium diæt.</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Dette lægemiddel indeholder </w:t>
      </w:r>
      <w:proofErr w:type="spellStart"/>
      <w:r w:rsidRPr="0090547E">
        <w:rPr>
          <w:sz w:val="24"/>
          <w:szCs w:val="24"/>
        </w:rPr>
        <w:t>natriummethylparahydroxy-benzoat</w:t>
      </w:r>
      <w:proofErr w:type="spellEnd"/>
      <w:r w:rsidRPr="0090547E">
        <w:rPr>
          <w:sz w:val="24"/>
          <w:szCs w:val="24"/>
        </w:rPr>
        <w:t xml:space="preserve">, hvilket kan give allergiske reaktioner (kan optræde efter behandlingen). </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1 ml af dette lægemiddel indeholder 5 mg natriumbenzoat.</w:t>
      </w:r>
    </w:p>
    <w:p w:rsidR="0090547E" w:rsidRPr="0090547E" w:rsidRDefault="0090547E" w:rsidP="0090547E">
      <w:pPr>
        <w:tabs>
          <w:tab w:val="left" w:pos="851"/>
        </w:tabs>
        <w:ind w:left="851"/>
        <w:rPr>
          <w:sz w:val="24"/>
          <w:szCs w:val="24"/>
        </w:rPr>
      </w:pPr>
    </w:p>
    <w:p w:rsidR="0090547E" w:rsidRPr="0090547E" w:rsidRDefault="0090547E" w:rsidP="0090547E">
      <w:pPr>
        <w:tabs>
          <w:tab w:val="left" w:pos="851"/>
        </w:tabs>
        <w:ind w:left="851"/>
        <w:rPr>
          <w:sz w:val="24"/>
          <w:szCs w:val="24"/>
        </w:rPr>
      </w:pPr>
      <w:r w:rsidRPr="0090547E">
        <w:rPr>
          <w:sz w:val="24"/>
          <w:szCs w:val="24"/>
        </w:rPr>
        <w:t xml:space="preserve">Dette lægemiddel indeholder </w:t>
      </w:r>
      <w:proofErr w:type="spellStart"/>
      <w:r w:rsidRPr="0090547E">
        <w:rPr>
          <w:sz w:val="24"/>
          <w:szCs w:val="24"/>
        </w:rPr>
        <w:t>maltitol</w:t>
      </w:r>
      <w:proofErr w:type="spellEnd"/>
      <w:r w:rsidRPr="0090547E">
        <w:rPr>
          <w:sz w:val="24"/>
          <w:szCs w:val="24"/>
        </w:rPr>
        <w:t>. Patienter med arvelig fruktose-</w:t>
      </w:r>
      <w:proofErr w:type="spellStart"/>
      <w:r w:rsidRPr="0090547E">
        <w:rPr>
          <w:sz w:val="24"/>
          <w:szCs w:val="24"/>
        </w:rPr>
        <w:t>intolerans</w:t>
      </w:r>
      <w:proofErr w:type="spellEnd"/>
      <w:r w:rsidRPr="0090547E">
        <w:rPr>
          <w:sz w:val="24"/>
          <w:szCs w:val="24"/>
        </w:rPr>
        <w:t xml:space="preserve"> bør ikke anvende dette lægemiddel.</w:t>
      </w:r>
    </w:p>
    <w:p w:rsidR="0090547E" w:rsidRPr="0090547E" w:rsidRDefault="0090547E" w:rsidP="0090547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376AC" w:rsidRDefault="00B376AC" w:rsidP="00B376AC">
      <w:pPr>
        <w:tabs>
          <w:tab w:val="left" w:pos="851"/>
        </w:tabs>
        <w:ind w:left="851"/>
        <w:rPr>
          <w:sz w:val="24"/>
          <w:szCs w:val="24"/>
          <w:u w:val="single"/>
        </w:rPr>
      </w:pPr>
    </w:p>
    <w:p w:rsidR="00B376AC" w:rsidRPr="00B376AC" w:rsidRDefault="00B376AC" w:rsidP="00B376AC">
      <w:pPr>
        <w:tabs>
          <w:tab w:val="left" w:pos="851"/>
        </w:tabs>
        <w:ind w:left="851"/>
        <w:rPr>
          <w:b/>
          <w:sz w:val="24"/>
          <w:szCs w:val="24"/>
        </w:rPr>
      </w:pPr>
      <w:proofErr w:type="spellStart"/>
      <w:r w:rsidRPr="00B376AC">
        <w:rPr>
          <w:b/>
          <w:sz w:val="24"/>
          <w:szCs w:val="24"/>
        </w:rPr>
        <w:t>Omeprazols</w:t>
      </w:r>
      <w:proofErr w:type="spellEnd"/>
      <w:r w:rsidRPr="00B376AC">
        <w:rPr>
          <w:b/>
          <w:sz w:val="24"/>
          <w:szCs w:val="24"/>
        </w:rPr>
        <w:t xml:space="preserve"> virkning på andre lægemidlers farmakokinetik</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Cs/>
          <w:sz w:val="24"/>
          <w:szCs w:val="24"/>
          <w:u w:val="single"/>
        </w:rPr>
      </w:pPr>
      <w:r w:rsidRPr="00B376AC">
        <w:rPr>
          <w:iCs/>
          <w:sz w:val="24"/>
          <w:szCs w:val="24"/>
          <w:u w:val="single"/>
        </w:rPr>
        <w:t>Lægemidler med pH-afhængig absorption</w:t>
      </w:r>
    </w:p>
    <w:p w:rsidR="00B376AC" w:rsidRPr="00B376AC" w:rsidRDefault="00B376AC" w:rsidP="00B376AC">
      <w:pPr>
        <w:tabs>
          <w:tab w:val="left" w:pos="851"/>
        </w:tabs>
        <w:ind w:left="851"/>
        <w:rPr>
          <w:sz w:val="24"/>
          <w:szCs w:val="24"/>
        </w:rPr>
      </w:pPr>
      <w:r w:rsidRPr="00B376AC">
        <w:rPr>
          <w:sz w:val="24"/>
          <w:szCs w:val="24"/>
        </w:rPr>
        <w:t xml:space="preserve">Den nedsatte intragastriske surhedsgrad under behandling med </w:t>
      </w:r>
      <w:proofErr w:type="spellStart"/>
      <w:r w:rsidRPr="00B376AC">
        <w:rPr>
          <w:sz w:val="24"/>
          <w:szCs w:val="24"/>
        </w:rPr>
        <w:t>omeprazol</w:t>
      </w:r>
      <w:proofErr w:type="spellEnd"/>
      <w:r w:rsidRPr="00B376AC">
        <w:rPr>
          <w:sz w:val="24"/>
          <w:szCs w:val="24"/>
        </w:rPr>
        <w:t xml:space="preserve"> kan øge eller nedsætte absorptionen af aktive stoffer med gastrisk pH-afhængig absorption.</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Nelfinavir</w:t>
      </w:r>
      <w:proofErr w:type="spellEnd"/>
      <w:r w:rsidRPr="00B376AC">
        <w:rPr>
          <w:i/>
          <w:iCs/>
          <w:sz w:val="24"/>
          <w:szCs w:val="24"/>
        </w:rPr>
        <w:t xml:space="preserve">, </w:t>
      </w:r>
      <w:proofErr w:type="spellStart"/>
      <w:r w:rsidRPr="00B376AC">
        <w:rPr>
          <w:i/>
          <w:iCs/>
          <w:sz w:val="24"/>
          <w:szCs w:val="24"/>
        </w:rPr>
        <w:t>atazanavir</w:t>
      </w:r>
      <w:proofErr w:type="spellEnd"/>
    </w:p>
    <w:p w:rsidR="00B376AC" w:rsidRPr="00B376AC" w:rsidRDefault="00B376AC" w:rsidP="00B376AC">
      <w:pPr>
        <w:tabs>
          <w:tab w:val="left" w:pos="851"/>
        </w:tabs>
        <w:ind w:left="851"/>
        <w:rPr>
          <w:sz w:val="24"/>
          <w:szCs w:val="24"/>
        </w:rPr>
      </w:pPr>
      <w:r w:rsidRPr="00B376AC">
        <w:rPr>
          <w:sz w:val="24"/>
          <w:szCs w:val="24"/>
        </w:rPr>
        <w:t xml:space="preserve">Plasmakoncentrationerne af </w:t>
      </w:r>
      <w:proofErr w:type="spellStart"/>
      <w:r w:rsidRPr="00B376AC">
        <w:rPr>
          <w:sz w:val="24"/>
          <w:szCs w:val="24"/>
        </w:rPr>
        <w:t>nelfinavir</w:t>
      </w:r>
      <w:proofErr w:type="spellEnd"/>
      <w:r w:rsidRPr="00B376AC">
        <w:rPr>
          <w:sz w:val="24"/>
          <w:szCs w:val="24"/>
        </w:rPr>
        <w:t xml:space="preserve"> og </w:t>
      </w:r>
      <w:proofErr w:type="spellStart"/>
      <w:r w:rsidRPr="00B376AC">
        <w:rPr>
          <w:sz w:val="24"/>
          <w:szCs w:val="24"/>
        </w:rPr>
        <w:t>atazanavir</w:t>
      </w:r>
      <w:proofErr w:type="spellEnd"/>
      <w:r w:rsidRPr="00B376AC">
        <w:rPr>
          <w:sz w:val="24"/>
          <w:szCs w:val="24"/>
        </w:rPr>
        <w:t xml:space="preserve"> reduceres ved </w:t>
      </w:r>
      <w:proofErr w:type="spellStart"/>
      <w:r w:rsidRPr="00B376AC">
        <w:rPr>
          <w:sz w:val="24"/>
          <w:szCs w:val="24"/>
        </w:rPr>
        <w:t>co</w:t>
      </w:r>
      <w:proofErr w:type="spellEnd"/>
      <w:r w:rsidRPr="00B376AC">
        <w:rPr>
          <w:sz w:val="24"/>
          <w:szCs w:val="24"/>
        </w:rPr>
        <w:t xml:space="preserve">-administration af </w:t>
      </w:r>
      <w:proofErr w:type="spellStart"/>
      <w:r w:rsidRPr="00B376AC">
        <w:rPr>
          <w:sz w:val="24"/>
          <w:szCs w:val="24"/>
        </w:rPr>
        <w:t>omeprazol</w:t>
      </w:r>
      <w:proofErr w:type="spellEnd"/>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sz w:val="24"/>
          <w:szCs w:val="24"/>
        </w:rPr>
      </w:pPr>
      <w:r w:rsidRPr="00B376AC">
        <w:rPr>
          <w:sz w:val="24"/>
          <w:szCs w:val="24"/>
        </w:rPr>
        <w:t xml:space="preserve">Samtidig administration af </w:t>
      </w:r>
      <w:proofErr w:type="spellStart"/>
      <w:r w:rsidRPr="00B376AC">
        <w:rPr>
          <w:sz w:val="24"/>
          <w:szCs w:val="24"/>
        </w:rPr>
        <w:t>omeprazol</w:t>
      </w:r>
      <w:proofErr w:type="spellEnd"/>
      <w:r w:rsidRPr="00B376AC">
        <w:rPr>
          <w:sz w:val="24"/>
          <w:szCs w:val="24"/>
        </w:rPr>
        <w:t xml:space="preserve"> og </w:t>
      </w:r>
      <w:proofErr w:type="spellStart"/>
      <w:r w:rsidRPr="00B376AC">
        <w:rPr>
          <w:sz w:val="24"/>
          <w:szCs w:val="24"/>
        </w:rPr>
        <w:t>nelfinavir</w:t>
      </w:r>
      <w:proofErr w:type="spellEnd"/>
      <w:r w:rsidRPr="00B376AC">
        <w:rPr>
          <w:sz w:val="24"/>
          <w:szCs w:val="24"/>
        </w:rPr>
        <w:t xml:space="preserve"> er kontraindiceret (se pkt. 4.3). Co-administration af </w:t>
      </w:r>
      <w:proofErr w:type="spellStart"/>
      <w:r w:rsidRPr="00B376AC">
        <w:rPr>
          <w:sz w:val="24"/>
          <w:szCs w:val="24"/>
        </w:rPr>
        <w:t>omeprazol</w:t>
      </w:r>
      <w:proofErr w:type="spellEnd"/>
      <w:r w:rsidRPr="00B376AC">
        <w:rPr>
          <w:sz w:val="24"/>
          <w:szCs w:val="24"/>
        </w:rPr>
        <w:t xml:space="preserve"> (40 mg en gang </w:t>
      </w:r>
      <w:r w:rsidR="003A35D1">
        <w:rPr>
          <w:sz w:val="24"/>
          <w:szCs w:val="24"/>
        </w:rPr>
        <w:t>daglig</w:t>
      </w:r>
      <w:r w:rsidRPr="00B376AC">
        <w:rPr>
          <w:sz w:val="24"/>
          <w:szCs w:val="24"/>
        </w:rPr>
        <w:t xml:space="preserve">) reducerede den gennemsnitlige eksponering for </w:t>
      </w:r>
      <w:proofErr w:type="spellStart"/>
      <w:r w:rsidRPr="00B376AC">
        <w:rPr>
          <w:sz w:val="24"/>
          <w:szCs w:val="24"/>
        </w:rPr>
        <w:t>nelfinavir</w:t>
      </w:r>
      <w:proofErr w:type="spellEnd"/>
      <w:r w:rsidRPr="00B376AC">
        <w:rPr>
          <w:sz w:val="24"/>
          <w:szCs w:val="24"/>
        </w:rPr>
        <w:t xml:space="preserve"> med ca. 40</w:t>
      </w:r>
      <w:r w:rsidR="003A35D1">
        <w:rPr>
          <w:sz w:val="24"/>
          <w:szCs w:val="24"/>
        </w:rPr>
        <w:t xml:space="preserve"> %</w:t>
      </w:r>
      <w:r w:rsidRPr="00B376AC">
        <w:rPr>
          <w:sz w:val="24"/>
          <w:szCs w:val="24"/>
        </w:rPr>
        <w:t>, og den gennemsnitlige eksponering for den farmakologisk aktive metabolit M8 blev reduceret med 75-90</w:t>
      </w:r>
      <w:r w:rsidR="003A35D1">
        <w:rPr>
          <w:sz w:val="24"/>
          <w:szCs w:val="24"/>
        </w:rPr>
        <w:t xml:space="preserve"> %</w:t>
      </w:r>
      <w:r w:rsidRPr="00B376AC">
        <w:rPr>
          <w:sz w:val="24"/>
          <w:szCs w:val="24"/>
        </w:rPr>
        <w:t>. Interaktionen kan også involvere hæmning af CYP2C19.</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sz w:val="24"/>
          <w:szCs w:val="24"/>
        </w:rPr>
      </w:pPr>
      <w:r w:rsidRPr="00B376AC">
        <w:rPr>
          <w:sz w:val="24"/>
          <w:szCs w:val="24"/>
        </w:rPr>
        <w:lastRenderedPageBreak/>
        <w:t xml:space="preserve">Samtidig administration af </w:t>
      </w:r>
      <w:proofErr w:type="spellStart"/>
      <w:r w:rsidRPr="00B376AC">
        <w:rPr>
          <w:sz w:val="24"/>
          <w:szCs w:val="24"/>
        </w:rPr>
        <w:t>omeprazol</w:t>
      </w:r>
      <w:proofErr w:type="spellEnd"/>
      <w:r w:rsidRPr="00B376AC">
        <w:rPr>
          <w:sz w:val="24"/>
          <w:szCs w:val="24"/>
        </w:rPr>
        <w:t xml:space="preserve"> og </w:t>
      </w:r>
      <w:proofErr w:type="spellStart"/>
      <w:r w:rsidRPr="00B376AC">
        <w:rPr>
          <w:sz w:val="24"/>
          <w:szCs w:val="24"/>
        </w:rPr>
        <w:t>atazanavir</w:t>
      </w:r>
      <w:proofErr w:type="spellEnd"/>
      <w:r w:rsidRPr="00B376AC">
        <w:rPr>
          <w:sz w:val="24"/>
          <w:szCs w:val="24"/>
        </w:rPr>
        <w:t xml:space="preserve"> kan ikke anbefales (se pkt. 4.4). Samtidig administration af </w:t>
      </w:r>
      <w:proofErr w:type="spellStart"/>
      <w:r w:rsidRPr="00B376AC">
        <w:rPr>
          <w:sz w:val="24"/>
          <w:szCs w:val="24"/>
        </w:rPr>
        <w:t>omeprazol</w:t>
      </w:r>
      <w:proofErr w:type="spellEnd"/>
      <w:r w:rsidRPr="00B376AC">
        <w:rPr>
          <w:sz w:val="24"/>
          <w:szCs w:val="24"/>
        </w:rPr>
        <w:t xml:space="preserve"> (40 mg én gang </w:t>
      </w:r>
      <w:r w:rsidR="003A35D1">
        <w:rPr>
          <w:sz w:val="24"/>
          <w:szCs w:val="24"/>
        </w:rPr>
        <w:t>daglig</w:t>
      </w:r>
      <w:r w:rsidRPr="00B376AC">
        <w:rPr>
          <w:sz w:val="24"/>
          <w:szCs w:val="24"/>
        </w:rPr>
        <w:t xml:space="preserve">) og </w:t>
      </w:r>
      <w:proofErr w:type="spellStart"/>
      <w:r w:rsidRPr="00B376AC">
        <w:rPr>
          <w:sz w:val="24"/>
          <w:szCs w:val="24"/>
        </w:rPr>
        <w:t>atazanavir</w:t>
      </w:r>
      <w:proofErr w:type="spellEnd"/>
      <w:r w:rsidRPr="00B376AC">
        <w:rPr>
          <w:sz w:val="24"/>
          <w:szCs w:val="24"/>
        </w:rPr>
        <w:t xml:space="preserve"> 300 mg/</w:t>
      </w:r>
      <w:proofErr w:type="spellStart"/>
      <w:r w:rsidRPr="00B376AC">
        <w:rPr>
          <w:sz w:val="24"/>
          <w:szCs w:val="24"/>
        </w:rPr>
        <w:t>ritonavir</w:t>
      </w:r>
      <w:proofErr w:type="spellEnd"/>
      <w:r w:rsidRPr="00B376AC">
        <w:rPr>
          <w:sz w:val="24"/>
          <w:szCs w:val="24"/>
        </w:rPr>
        <w:t xml:space="preserve"> 100 mg til raske frivillige resulterede i en reduktion af </w:t>
      </w:r>
      <w:proofErr w:type="spellStart"/>
      <w:r w:rsidRPr="00B376AC">
        <w:rPr>
          <w:sz w:val="24"/>
          <w:szCs w:val="24"/>
        </w:rPr>
        <w:t>atazanavir</w:t>
      </w:r>
      <w:proofErr w:type="spellEnd"/>
      <w:r w:rsidRPr="00B376AC">
        <w:rPr>
          <w:sz w:val="24"/>
          <w:szCs w:val="24"/>
        </w:rPr>
        <w:t>-eksponeringen på 75</w:t>
      </w:r>
      <w:r w:rsidR="003A35D1">
        <w:rPr>
          <w:sz w:val="24"/>
          <w:szCs w:val="24"/>
        </w:rPr>
        <w:t xml:space="preserve"> %</w:t>
      </w:r>
      <w:r w:rsidRPr="00B376AC">
        <w:rPr>
          <w:sz w:val="24"/>
          <w:szCs w:val="24"/>
        </w:rPr>
        <w:t xml:space="preserve">. Øgning af </w:t>
      </w:r>
      <w:proofErr w:type="spellStart"/>
      <w:r w:rsidRPr="00B376AC">
        <w:rPr>
          <w:sz w:val="24"/>
          <w:szCs w:val="24"/>
        </w:rPr>
        <w:t>atazanavirdosis</w:t>
      </w:r>
      <w:proofErr w:type="spellEnd"/>
      <w:r w:rsidRPr="00B376AC">
        <w:rPr>
          <w:sz w:val="24"/>
          <w:szCs w:val="24"/>
        </w:rPr>
        <w:t xml:space="preserve"> til 400 mg kompenserede ikke for indvirkningen af </w:t>
      </w:r>
      <w:proofErr w:type="spellStart"/>
      <w:r w:rsidRPr="00B376AC">
        <w:rPr>
          <w:sz w:val="24"/>
          <w:szCs w:val="24"/>
        </w:rPr>
        <w:t>omeprazol</w:t>
      </w:r>
      <w:proofErr w:type="spellEnd"/>
      <w:r w:rsidRPr="00B376AC">
        <w:rPr>
          <w:sz w:val="24"/>
          <w:szCs w:val="24"/>
        </w:rPr>
        <w:t xml:space="preserve"> på </w:t>
      </w:r>
      <w:proofErr w:type="spellStart"/>
      <w:r w:rsidRPr="00B376AC">
        <w:rPr>
          <w:sz w:val="24"/>
          <w:szCs w:val="24"/>
        </w:rPr>
        <w:t>atazanavir</w:t>
      </w:r>
      <w:proofErr w:type="spellEnd"/>
      <w:r w:rsidRPr="00B376AC">
        <w:rPr>
          <w:sz w:val="24"/>
          <w:szCs w:val="24"/>
        </w:rPr>
        <w:t xml:space="preserve">-eksponeringen. Co-administration af </w:t>
      </w:r>
      <w:proofErr w:type="spellStart"/>
      <w:r w:rsidRPr="00B376AC">
        <w:rPr>
          <w:sz w:val="24"/>
          <w:szCs w:val="24"/>
        </w:rPr>
        <w:t>omeprazol</w:t>
      </w:r>
      <w:proofErr w:type="spellEnd"/>
      <w:r w:rsidRPr="00B376AC">
        <w:rPr>
          <w:sz w:val="24"/>
          <w:szCs w:val="24"/>
        </w:rPr>
        <w:t xml:space="preserve"> (20 mg en gang </w:t>
      </w:r>
      <w:r w:rsidR="003A35D1">
        <w:rPr>
          <w:sz w:val="24"/>
          <w:szCs w:val="24"/>
        </w:rPr>
        <w:t>daglig</w:t>
      </w:r>
      <w:r w:rsidRPr="00B376AC">
        <w:rPr>
          <w:sz w:val="24"/>
          <w:szCs w:val="24"/>
        </w:rPr>
        <w:t xml:space="preserve">) med </w:t>
      </w:r>
      <w:proofErr w:type="spellStart"/>
      <w:r w:rsidRPr="00B376AC">
        <w:rPr>
          <w:sz w:val="24"/>
          <w:szCs w:val="24"/>
        </w:rPr>
        <w:t>atazanavir</w:t>
      </w:r>
      <w:proofErr w:type="spellEnd"/>
      <w:r w:rsidRPr="00B376AC">
        <w:rPr>
          <w:sz w:val="24"/>
          <w:szCs w:val="24"/>
        </w:rPr>
        <w:t xml:space="preserve"> 400 mg/</w:t>
      </w:r>
      <w:proofErr w:type="spellStart"/>
      <w:r w:rsidRPr="00B376AC">
        <w:rPr>
          <w:sz w:val="24"/>
          <w:szCs w:val="24"/>
        </w:rPr>
        <w:t>ritonavir</w:t>
      </w:r>
      <w:proofErr w:type="spellEnd"/>
      <w:r w:rsidRPr="00B376AC">
        <w:rPr>
          <w:sz w:val="24"/>
          <w:szCs w:val="24"/>
        </w:rPr>
        <w:t xml:space="preserve"> 100 mg til raske frivillige resulterede i et fald i eksponeringen for </w:t>
      </w:r>
      <w:proofErr w:type="spellStart"/>
      <w:r w:rsidRPr="00B376AC">
        <w:rPr>
          <w:sz w:val="24"/>
          <w:szCs w:val="24"/>
        </w:rPr>
        <w:t>atazanavir</w:t>
      </w:r>
      <w:proofErr w:type="spellEnd"/>
      <w:r w:rsidRPr="00B376AC">
        <w:rPr>
          <w:sz w:val="24"/>
          <w:szCs w:val="24"/>
        </w:rPr>
        <w:t xml:space="preserve"> på ca. 30</w:t>
      </w:r>
      <w:r w:rsidR="003A35D1">
        <w:rPr>
          <w:sz w:val="24"/>
          <w:szCs w:val="24"/>
        </w:rPr>
        <w:t xml:space="preserve"> %</w:t>
      </w:r>
      <w:r w:rsidRPr="00B376AC">
        <w:rPr>
          <w:sz w:val="24"/>
          <w:szCs w:val="24"/>
        </w:rPr>
        <w:t xml:space="preserve"> sammenlignet med </w:t>
      </w:r>
      <w:proofErr w:type="spellStart"/>
      <w:r w:rsidRPr="00B376AC">
        <w:rPr>
          <w:sz w:val="24"/>
          <w:szCs w:val="24"/>
        </w:rPr>
        <w:t>atazanavir</w:t>
      </w:r>
      <w:proofErr w:type="spellEnd"/>
      <w:r w:rsidRPr="00B376AC">
        <w:rPr>
          <w:sz w:val="24"/>
          <w:szCs w:val="24"/>
        </w:rPr>
        <w:t xml:space="preserve"> 300 mg/</w:t>
      </w:r>
      <w:proofErr w:type="spellStart"/>
      <w:r w:rsidRPr="00B376AC">
        <w:rPr>
          <w:sz w:val="24"/>
          <w:szCs w:val="24"/>
        </w:rPr>
        <w:t>ritonavir</w:t>
      </w:r>
      <w:proofErr w:type="spellEnd"/>
      <w:r w:rsidRPr="00B376AC">
        <w:rPr>
          <w:sz w:val="24"/>
          <w:szCs w:val="24"/>
        </w:rPr>
        <w:t xml:space="preserve"> 100 mg en gang </w:t>
      </w:r>
      <w:r w:rsidR="003A35D1">
        <w:rPr>
          <w:sz w:val="24"/>
          <w:szCs w:val="24"/>
        </w:rPr>
        <w:t>daglig</w:t>
      </w:r>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Digoxin</w:t>
      </w:r>
      <w:proofErr w:type="spellEnd"/>
    </w:p>
    <w:p w:rsidR="00B376AC" w:rsidRPr="00B376AC" w:rsidRDefault="00B376AC" w:rsidP="00B376AC">
      <w:pPr>
        <w:tabs>
          <w:tab w:val="left" w:pos="851"/>
        </w:tabs>
        <w:ind w:left="851"/>
        <w:rPr>
          <w:sz w:val="24"/>
          <w:szCs w:val="24"/>
        </w:rPr>
      </w:pPr>
      <w:r w:rsidRPr="00B376AC">
        <w:rPr>
          <w:sz w:val="24"/>
          <w:szCs w:val="24"/>
        </w:rPr>
        <w:t xml:space="preserve">Samtidig behandling med </w:t>
      </w:r>
      <w:proofErr w:type="spellStart"/>
      <w:r w:rsidRPr="00B376AC">
        <w:rPr>
          <w:sz w:val="24"/>
          <w:szCs w:val="24"/>
        </w:rPr>
        <w:t>omeprazol</w:t>
      </w:r>
      <w:proofErr w:type="spellEnd"/>
      <w:r w:rsidRPr="00B376AC">
        <w:rPr>
          <w:sz w:val="24"/>
          <w:szCs w:val="24"/>
        </w:rPr>
        <w:t xml:space="preserve"> (20 mg </w:t>
      </w:r>
      <w:r w:rsidR="003A35D1">
        <w:rPr>
          <w:sz w:val="24"/>
          <w:szCs w:val="24"/>
        </w:rPr>
        <w:t>daglig</w:t>
      </w:r>
      <w:r w:rsidRPr="00B376AC">
        <w:rPr>
          <w:sz w:val="24"/>
          <w:szCs w:val="24"/>
        </w:rPr>
        <w:t xml:space="preserve">) og </w:t>
      </w:r>
      <w:proofErr w:type="spellStart"/>
      <w:r w:rsidRPr="00B376AC">
        <w:rPr>
          <w:sz w:val="24"/>
          <w:szCs w:val="24"/>
        </w:rPr>
        <w:t>digoxin</w:t>
      </w:r>
      <w:proofErr w:type="spellEnd"/>
      <w:r w:rsidRPr="00B376AC">
        <w:rPr>
          <w:sz w:val="24"/>
          <w:szCs w:val="24"/>
        </w:rPr>
        <w:t xml:space="preserve"> til raske frivillige øgede biotilgængeligheden af </w:t>
      </w:r>
      <w:proofErr w:type="spellStart"/>
      <w:r w:rsidRPr="00B376AC">
        <w:rPr>
          <w:sz w:val="24"/>
          <w:szCs w:val="24"/>
        </w:rPr>
        <w:t>digoxin</w:t>
      </w:r>
      <w:proofErr w:type="spellEnd"/>
      <w:r w:rsidRPr="00B376AC">
        <w:rPr>
          <w:sz w:val="24"/>
          <w:szCs w:val="24"/>
        </w:rPr>
        <w:t xml:space="preserve"> med 10</w:t>
      </w:r>
      <w:r w:rsidR="003A35D1">
        <w:rPr>
          <w:sz w:val="24"/>
          <w:szCs w:val="24"/>
        </w:rPr>
        <w:t xml:space="preserve"> %</w:t>
      </w:r>
      <w:r w:rsidRPr="00B376AC">
        <w:rPr>
          <w:sz w:val="24"/>
          <w:szCs w:val="24"/>
        </w:rPr>
        <w:t xml:space="preserve">. </w:t>
      </w:r>
      <w:proofErr w:type="spellStart"/>
      <w:r w:rsidRPr="00B376AC">
        <w:rPr>
          <w:sz w:val="24"/>
          <w:szCs w:val="24"/>
        </w:rPr>
        <w:t>Digoxintoksicitet</w:t>
      </w:r>
      <w:proofErr w:type="spellEnd"/>
      <w:r w:rsidRPr="00B376AC">
        <w:rPr>
          <w:sz w:val="24"/>
          <w:szCs w:val="24"/>
        </w:rPr>
        <w:t xml:space="preserve"> er sjældent blevet rapporteret. Dog bør der udvises forsigtighed, når </w:t>
      </w:r>
      <w:proofErr w:type="spellStart"/>
      <w:r w:rsidRPr="00B376AC">
        <w:rPr>
          <w:sz w:val="24"/>
          <w:szCs w:val="24"/>
        </w:rPr>
        <w:t>omeprazol</w:t>
      </w:r>
      <w:proofErr w:type="spellEnd"/>
      <w:r w:rsidRPr="00B376AC">
        <w:rPr>
          <w:sz w:val="24"/>
          <w:szCs w:val="24"/>
        </w:rPr>
        <w:t xml:space="preserve"> gives i høje doser til ældre patienter. Serumkoncentrationen af </w:t>
      </w:r>
      <w:proofErr w:type="spellStart"/>
      <w:r w:rsidRPr="00B376AC">
        <w:rPr>
          <w:sz w:val="24"/>
          <w:szCs w:val="24"/>
        </w:rPr>
        <w:t>digoxin</w:t>
      </w:r>
      <w:proofErr w:type="spellEnd"/>
      <w:r w:rsidRPr="00B376AC">
        <w:rPr>
          <w:sz w:val="24"/>
          <w:szCs w:val="24"/>
        </w:rPr>
        <w:t xml:space="preserve"> bør monitoreres.</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Clopidogrel</w:t>
      </w:r>
      <w:proofErr w:type="spellEnd"/>
    </w:p>
    <w:p w:rsidR="00B376AC" w:rsidRPr="00B376AC" w:rsidRDefault="00B376AC" w:rsidP="00B376AC">
      <w:pPr>
        <w:tabs>
          <w:tab w:val="left" w:pos="851"/>
        </w:tabs>
        <w:ind w:left="851"/>
        <w:rPr>
          <w:sz w:val="24"/>
          <w:szCs w:val="24"/>
        </w:rPr>
      </w:pPr>
      <w:r w:rsidRPr="00B376AC">
        <w:rPr>
          <w:sz w:val="24"/>
          <w:szCs w:val="24"/>
        </w:rPr>
        <w:t xml:space="preserve">Resultater fra studier hos raske forsøgspersoner har vist en </w:t>
      </w:r>
      <w:proofErr w:type="spellStart"/>
      <w:r w:rsidRPr="00B376AC">
        <w:rPr>
          <w:sz w:val="24"/>
          <w:szCs w:val="24"/>
        </w:rPr>
        <w:t>farmakokinetisk</w:t>
      </w:r>
      <w:proofErr w:type="spellEnd"/>
      <w:r w:rsidRPr="00B376AC">
        <w:rPr>
          <w:sz w:val="24"/>
          <w:szCs w:val="24"/>
        </w:rPr>
        <w:t xml:space="preserve"> (PK)/</w:t>
      </w:r>
      <w:proofErr w:type="spellStart"/>
      <w:r w:rsidRPr="00B376AC">
        <w:rPr>
          <w:sz w:val="24"/>
          <w:szCs w:val="24"/>
        </w:rPr>
        <w:t>farmakodynamisk</w:t>
      </w:r>
      <w:proofErr w:type="spellEnd"/>
      <w:r w:rsidRPr="00B376AC">
        <w:rPr>
          <w:sz w:val="24"/>
          <w:szCs w:val="24"/>
        </w:rPr>
        <w:t xml:space="preserve"> (PD) interaktion mellem </w:t>
      </w:r>
      <w:proofErr w:type="spellStart"/>
      <w:r w:rsidRPr="00B376AC">
        <w:rPr>
          <w:sz w:val="24"/>
          <w:szCs w:val="24"/>
        </w:rPr>
        <w:t>clopidogrel</w:t>
      </w:r>
      <w:proofErr w:type="spellEnd"/>
      <w:r w:rsidRPr="00B376AC">
        <w:rPr>
          <w:sz w:val="24"/>
          <w:szCs w:val="24"/>
        </w:rPr>
        <w:t xml:space="preserve"> (300 mg belastningsdosis/75 mg daglig vedligeholdelsesdosis) og </w:t>
      </w:r>
      <w:proofErr w:type="spellStart"/>
      <w:r w:rsidRPr="00B376AC">
        <w:rPr>
          <w:sz w:val="24"/>
          <w:szCs w:val="24"/>
        </w:rPr>
        <w:t>omeprazol</w:t>
      </w:r>
      <w:proofErr w:type="spellEnd"/>
      <w:r w:rsidRPr="00B376AC">
        <w:rPr>
          <w:sz w:val="24"/>
          <w:szCs w:val="24"/>
        </w:rPr>
        <w:t xml:space="preserve"> (80 mg oral dosis </w:t>
      </w:r>
      <w:r w:rsidR="003A35D1">
        <w:rPr>
          <w:sz w:val="24"/>
          <w:szCs w:val="24"/>
        </w:rPr>
        <w:t>daglig</w:t>
      </w:r>
      <w:r w:rsidRPr="00B376AC">
        <w:rPr>
          <w:sz w:val="24"/>
          <w:szCs w:val="24"/>
        </w:rPr>
        <w:t>), der resulterede i et fald på 46</w:t>
      </w:r>
      <w:r w:rsidR="003A35D1">
        <w:rPr>
          <w:sz w:val="24"/>
          <w:szCs w:val="24"/>
        </w:rPr>
        <w:t xml:space="preserve"> %</w:t>
      </w:r>
      <w:r w:rsidRPr="00B376AC">
        <w:rPr>
          <w:sz w:val="24"/>
          <w:szCs w:val="24"/>
        </w:rPr>
        <w:t xml:space="preserve"> (gennemsnitsværdi) i eksponering af </w:t>
      </w:r>
      <w:proofErr w:type="spellStart"/>
      <w:r w:rsidRPr="00B376AC">
        <w:rPr>
          <w:sz w:val="24"/>
          <w:szCs w:val="24"/>
        </w:rPr>
        <w:t>clopidogrels</w:t>
      </w:r>
      <w:proofErr w:type="spellEnd"/>
      <w:r w:rsidRPr="00B376AC">
        <w:rPr>
          <w:sz w:val="24"/>
          <w:szCs w:val="24"/>
        </w:rPr>
        <w:t xml:space="preserve"> aktive metabolit og et fald på 16</w:t>
      </w:r>
      <w:r w:rsidR="003A35D1">
        <w:rPr>
          <w:sz w:val="24"/>
          <w:szCs w:val="24"/>
        </w:rPr>
        <w:t xml:space="preserve"> %</w:t>
      </w:r>
      <w:r w:rsidRPr="00B376AC">
        <w:rPr>
          <w:sz w:val="24"/>
          <w:szCs w:val="24"/>
        </w:rPr>
        <w:t xml:space="preserve"> (gennemsnitsværdi) i den maksimale hæmning af (ADP-induceret) </w:t>
      </w:r>
      <w:proofErr w:type="spellStart"/>
      <w:r w:rsidRPr="00B376AC">
        <w:rPr>
          <w:sz w:val="24"/>
          <w:szCs w:val="24"/>
        </w:rPr>
        <w:t>trombocytaggregationen</w:t>
      </w:r>
      <w:proofErr w:type="spellEnd"/>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sz w:val="24"/>
          <w:szCs w:val="24"/>
        </w:rPr>
      </w:pPr>
      <w:r w:rsidRPr="00B376AC">
        <w:rPr>
          <w:sz w:val="24"/>
          <w:szCs w:val="24"/>
        </w:rPr>
        <w:t>Inkonsistente data vedrørende de kliniske konsekvenser af PK/</w:t>
      </w:r>
      <w:proofErr w:type="gramStart"/>
      <w:r w:rsidRPr="00B376AC">
        <w:rPr>
          <w:sz w:val="24"/>
          <w:szCs w:val="24"/>
        </w:rPr>
        <w:t>PD interaktionen</w:t>
      </w:r>
      <w:proofErr w:type="gramEnd"/>
      <w:r w:rsidRPr="00B376AC">
        <w:rPr>
          <w:sz w:val="24"/>
          <w:szCs w:val="24"/>
        </w:rPr>
        <w:t xml:space="preserve"> med hensyn til større </w:t>
      </w:r>
      <w:proofErr w:type="spellStart"/>
      <w:r w:rsidRPr="00B376AC">
        <w:rPr>
          <w:sz w:val="24"/>
          <w:szCs w:val="24"/>
        </w:rPr>
        <w:t>kardiovaskulære</w:t>
      </w:r>
      <w:proofErr w:type="spellEnd"/>
      <w:r w:rsidRPr="00B376AC">
        <w:rPr>
          <w:sz w:val="24"/>
          <w:szCs w:val="24"/>
        </w:rPr>
        <w:t xml:space="preserve"> hændelser er blevet rapporteret fra observations- og kliniske studier. Som forebyggende foranstaltning frarådes derfor samtidig anvendelse af </w:t>
      </w:r>
      <w:proofErr w:type="spellStart"/>
      <w:r w:rsidRPr="00B376AC">
        <w:rPr>
          <w:sz w:val="24"/>
          <w:szCs w:val="24"/>
        </w:rPr>
        <w:t>omeprazol</w:t>
      </w:r>
      <w:proofErr w:type="spellEnd"/>
      <w:r w:rsidRPr="00B376AC">
        <w:rPr>
          <w:sz w:val="24"/>
          <w:szCs w:val="24"/>
        </w:rPr>
        <w:t xml:space="preserve"> og </w:t>
      </w:r>
      <w:proofErr w:type="spellStart"/>
      <w:r w:rsidRPr="00B376AC">
        <w:rPr>
          <w:sz w:val="24"/>
          <w:szCs w:val="24"/>
        </w:rPr>
        <w:t>clopidogrel</w:t>
      </w:r>
      <w:proofErr w:type="spellEnd"/>
      <w:r w:rsidRPr="00B376AC">
        <w:rPr>
          <w:sz w:val="24"/>
          <w:szCs w:val="24"/>
        </w:rPr>
        <w:t xml:space="preserve"> (se pkt. 4.4).</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r w:rsidRPr="00B376AC">
        <w:rPr>
          <w:i/>
          <w:iCs/>
          <w:sz w:val="24"/>
          <w:szCs w:val="24"/>
        </w:rPr>
        <w:t>Andre lægemidler</w:t>
      </w:r>
    </w:p>
    <w:p w:rsidR="00B376AC" w:rsidRPr="00B376AC" w:rsidRDefault="00B376AC" w:rsidP="00B376AC">
      <w:pPr>
        <w:tabs>
          <w:tab w:val="left" w:pos="851"/>
        </w:tabs>
        <w:ind w:left="851"/>
        <w:rPr>
          <w:sz w:val="24"/>
          <w:szCs w:val="24"/>
        </w:rPr>
      </w:pPr>
      <w:r w:rsidRPr="00B376AC">
        <w:rPr>
          <w:sz w:val="24"/>
          <w:szCs w:val="24"/>
        </w:rPr>
        <w:t xml:space="preserve">Absorptionen af </w:t>
      </w:r>
      <w:proofErr w:type="spellStart"/>
      <w:r w:rsidRPr="00B376AC">
        <w:rPr>
          <w:sz w:val="24"/>
          <w:szCs w:val="24"/>
        </w:rPr>
        <w:t>posaconazol</w:t>
      </w:r>
      <w:proofErr w:type="spellEnd"/>
      <w:r w:rsidRPr="00B376AC">
        <w:rPr>
          <w:sz w:val="24"/>
          <w:szCs w:val="24"/>
        </w:rPr>
        <w:t xml:space="preserve">, </w:t>
      </w:r>
      <w:proofErr w:type="spellStart"/>
      <w:r w:rsidRPr="00B376AC">
        <w:rPr>
          <w:sz w:val="24"/>
          <w:szCs w:val="24"/>
        </w:rPr>
        <w:t>erlotinib</w:t>
      </w:r>
      <w:proofErr w:type="spellEnd"/>
      <w:r w:rsidRPr="00B376AC">
        <w:rPr>
          <w:sz w:val="24"/>
          <w:szCs w:val="24"/>
        </w:rPr>
        <w:t xml:space="preserve">, </w:t>
      </w:r>
      <w:proofErr w:type="spellStart"/>
      <w:r w:rsidRPr="00B376AC">
        <w:rPr>
          <w:sz w:val="24"/>
          <w:szCs w:val="24"/>
        </w:rPr>
        <w:t>ketoconazol</w:t>
      </w:r>
      <w:proofErr w:type="spellEnd"/>
      <w:r w:rsidRPr="00B376AC">
        <w:rPr>
          <w:sz w:val="24"/>
          <w:szCs w:val="24"/>
        </w:rPr>
        <w:t xml:space="preserve"> og </w:t>
      </w:r>
      <w:proofErr w:type="spellStart"/>
      <w:r w:rsidRPr="00B376AC">
        <w:rPr>
          <w:sz w:val="24"/>
          <w:szCs w:val="24"/>
        </w:rPr>
        <w:t>itraconazol</w:t>
      </w:r>
      <w:proofErr w:type="spellEnd"/>
      <w:r w:rsidRPr="00B376AC">
        <w:rPr>
          <w:sz w:val="24"/>
          <w:szCs w:val="24"/>
        </w:rPr>
        <w:t xml:space="preserve"> reduceres signifikant, og den kliniske effekt kan være nedsat. Med hensyn til </w:t>
      </w:r>
      <w:proofErr w:type="spellStart"/>
      <w:r w:rsidRPr="00B376AC">
        <w:rPr>
          <w:sz w:val="24"/>
          <w:szCs w:val="24"/>
        </w:rPr>
        <w:t>posaconazol</w:t>
      </w:r>
      <w:proofErr w:type="spellEnd"/>
      <w:r w:rsidRPr="00B376AC">
        <w:rPr>
          <w:sz w:val="24"/>
          <w:szCs w:val="24"/>
        </w:rPr>
        <w:t xml:space="preserve"> og </w:t>
      </w:r>
      <w:proofErr w:type="spellStart"/>
      <w:r w:rsidRPr="00B376AC">
        <w:rPr>
          <w:sz w:val="24"/>
          <w:szCs w:val="24"/>
        </w:rPr>
        <w:t>erlonitib</w:t>
      </w:r>
      <w:proofErr w:type="spellEnd"/>
      <w:r w:rsidRPr="00B376AC">
        <w:rPr>
          <w:sz w:val="24"/>
          <w:szCs w:val="24"/>
        </w:rPr>
        <w:t xml:space="preserve"> bør samtidig anvendelse undgås.</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Cs/>
          <w:sz w:val="24"/>
          <w:szCs w:val="24"/>
          <w:u w:val="single"/>
        </w:rPr>
      </w:pPr>
      <w:r w:rsidRPr="00B376AC">
        <w:rPr>
          <w:iCs/>
          <w:sz w:val="24"/>
          <w:szCs w:val="24"/>
          <w:u w:val="single"/>
        </w:rPr>
        <w:t xml:space="preserve">Lægemidler, der </w:t>
      </w:r>
      <w:proofErr w:type="spellStart"/>
      <w:r w:rsidRPr="00B376AC">
        <w:rPr>
          <w:iCs/>
          <w:sz w:val="24"/>
          <w:szCs w:val="24"/>
          <w:u w:val="single"/>
        </w:rPr>
        <w:t>metaboliseres</w:t>
      </w:r>
      <w:proofErr w:type="spellEnd"/>
      <w:r w:rsidRPr="00B376AC">
        <w:rPr>
          <w:iCs/>
          <w:sz w:val="24"/>
          <w:szCs w:val="24"/>
          <w:u w:val="single"/>
        </w:rPr>
        <w:t xml:space="preserve"> via CYP2C19</w:t>
      </w:r>
    </w:p>
    <w:p w:rsidR="00B376AC" w:rsidRPr="00B376AC" w:rsidRDefault="00B376AC" w:rsidP="00B376AC">
      <w:pPr>
        <w:tabs>
          <w:tab w:val="left" w:pos="851"/>
        </w:tabs>
        <w:ind w:left="851"/>
        <w:rPr>
          <w:sz w:val="24"/>
          <w:szCs w:val="24"/>
        </w:rPr>
      </w:pPr>
      <w:proofErr w:type="spellStart"/>
      <w:r w:rsidRPr="00B376AC">
        <w:rPr>
          <w:sz w:val="24"/>
          <w:szCs w:val="24"/>
        </w:rPr>
        <w:t>Omeprazol</w:t>
      </w:r>
      <w:proofErr w:type="spellEnd"/>
      <w:r w:rsidRPr="00B376AC">
        <w:rPr>
          <w:sz w:val="24"/>
          <w:szCs w:val="24"/>
        </w:rPr>
        <w:t xml:space="preserve"> er en moderat inhibitor af CYP2C19, som er det primære enzym i </w:t>
      </w:r>
      <w:proofErr w:type="spellStart"/>
      <w:r w:rsidRPr="00B376AC">
        <w:rPr>
          <w:sz w:val="24"/>
          <w:szCs w:val="24"/>
        </w:rPr>
        <w:t>omeprazols</w:t>
      </w:r>
      <w:proofErr w:type="spellEnd"/>
      <w:r w:rsidRPr="00B376AC">
        <w:rPr>
          <w:sz w:val="24"/>
          <w:szCs w:val="24"/>
        </w:rPr>
        <w:t xml:space="preserve"> metabolisme. Derfor kan metabolismen af aktive stoffer, der indtages samtidig og </w:t>
      </w:r>
      <w:proofErr w:type="spellStart"/>
      <w:r w:rsidRPr="00B376AC">
        <w:rPr>
          <w:sz w:val="24"/>
          <w:szCs w:val="24"/>
        </w:rPr>
        <w:t>metaboliseres</w:t>
      </w:r>
      <w:proofErr w:type="spellEnd"/>
      <w:r w:rsidRPr="00B376AC">
        <w:rPr>
          <w:sz w:val="24"/>
          <w:szCs w:val="24"/>
        </w:rPr>
        <w:t xml:space="preserve"> af CYP2C19, nedsættes, og den systemiske eksponering for disse lægemidler øges. Eksempler på sådanne lægemidler er R-</w:t>
      </w:r>
      <w:proofErr w:type="spellStart"/>
      <w:r w:rsidRPr="00B376AC">
        <w:rPr>
          <w:sz w:val="24"/>
          <w:szCs w:val="24"/>
        </w:rPr>
        <w:t>warfarin</w:t>
      </w:r>
      <w:proofErr w:type="spellEnd"/>
      <w:r w:rsidRPr="00B376AC">
        <w:rPr>
          <w:sz w:val="24"/>
          <w:szCs w:val="24"/>
        </w:rPr>
        <w:t xml:space="preserve"> og andre </w:t>
      </w:r>
      <w:proofErr w:type="gramStart"/>
      <w:r w:rsidRPr="00B376AC">
        <w:rPr>
          <w:sz w:val="24"/>
          <w:szCs w:val="24"/>
        </w:rPr>
        <w:t>vitamin K-antagonister</w:t>
      </w:r>
      <w:proofErr w:type="gramEnd"/>
      <w:r w:rsidRPr="00B376AC">
        <w:rPr>
          <w:sz w:val="24"/>
          <w:szCs w:val="24"/>
        </w:rPr>
        <w:t xml:space="preserve">, </w:t>
      </w:r>
      <w:proofErr w:type="spellStart"/>
      <w:r w:rsidRPr="00B376AC">
        <w:rPr>
          <w:sz w:val="24"/>
          <w:szCs w:val="24"/>
        </w:rPr>
        <w:t>cilostazol</w:t>
      </w:r>
      <w:proofErr w:type="spellEnd"/>
      <w:r w:rsidRPr="00B376AC">
        <w:rPr>
          <w:sz w:val="24"/>
          <w:szCs w:val="24"/>
        </w:rPr>
        <w:t xml:space="preserve">, </w:t>
      </w:r>
      <w:proofErr w:type="spellStart"/>
      <w:r w:rsidRPr="00B376AC">
        <w:rPr>
          <w:sz w:val="24"/>
          <w:szCs w:val="24"/>
        </w:rPr>
        <w:t>diazepam</w:t>
      </w:r>
      <w:proofErr w:type="spellEnd"/>
      <w:r w:rsidRPr="00B376AC">
        <w:rPr>
          <w:sz w:val="24"/>
          <w:szCs w:val="24"/>
        </w:rPr>
        <w:t xml:space="preserve"> og </w:t>
      </w:r>
      <w:proofErr w:type="spellStart"/>
      <w:r w:rsidRPr="00B376AC">
        <w:rPr>
          <w:sz w:val="24"/>
          <w:szCs w:val="24"/>
        </w:rPr>
        <w:t>phenytoin</w:t>
      </w:r>
      <w:proofErr w:type="spellEnd"/>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Cilostazol</w:t>
      </w:r>
      <w:proofErr w:type="spellEnd"/>
    </w:p>
    <w:p w:rsidR="00B376AC" w:rsidRPr="00B376AC" w:rsidRDefault="00B376AC" w:rsidP="00B376AC">
      <w:pPr>
        <w:tabs>
          <w:tab w:val="left" w:pos="851"/>
        </w:tabs>
        <w:ind w:left="851"/>
        <w:rPr>
          <w:sz w:val="24"/>
          <w:szCs w:val="24"/>
        </w:rPr>
      </w:pPr>
      <w:proofErr w:type="spellStart"/>
      <w:r w:rsidRPr="00B376AC">
        <w:rPr>
          <w:sz w:val="24"/>
          <w:szCs w:val="24"/>
        </w:rPr>
        <w:t>Omeprazol</w:t>
      </w:r>
      <w:proofErr w:type="spellEnd"/>
      <w:r w:rsidRPr="00B376AC">
        <w:rPr>
          <w:sz w:val="24"/>
          <w:szCs w:val="24"/>
        </w:rPr>
        <w:t xml:space="preserve"> givet i doser på 40 mg til raske frivillige i en cross-over undersøgelse øgede </w:t>
      </w:r>
      <w:proofErr w:type="spellStart"/>
      <w:r w:rsidRPr="00B376AC">
        <w:rPr>
          <w:sz w:val="24"/>
          <w:szCs w:val="24"/>
        </w:rPr>
        <w:t>C</w:t>
      </w:r>
      <w:r w:rsidRPr="00B376AC">
        <w:rPr>
          <w:sz w:val="24"/>
          <w:szCs w:val="24"/>
          <w:vertAlign w:val="subscript"/>
        </w:rPr>
        <w:t>max</w:t>
      </w:r>
      <w:proofErr w:type="spellEnd"/>
      <w:r w:rsidRPr="00B376AC">
        <w:rPr>
          <w:sz w:val="24"/>
          <w:szCs w:val="24"/>
        </w:rPr>
        <w:t xml:space="preserve"> og arealet under plasmakoncentration-tid-kurven (AUC) for </w:t>
      </w:r>
      <w:proofErr w:type="spellStart"/>
      <w:r w:rsidRPr="00B376AC">
        <w:rPr>
          <w:sz w:val="24"/>
          <w:szCs w:val="24"/>
        </w:rPr>
        <w:t>cilostazol</w:t>
      </w:r>
      <w:proofErr w:type="spellEnd"/>
      <w:r w:rsidRPr="00B376AC">
        <w:rPr>
          <w:sz w:val="24"/>
          <w:szCs w:val="24"/>
        </w:rPr>
        <w:t xml:space="preserve"> med henholdsvis 18</w:t>
      </w:r>
      <w:r w:rsidR="003A35D1">
        <w:rPr>
          <w:sz w:val="24"/>
          <w:szCs w:val="24"/>
        </w:rPr>
        <w:t xml:space="preserve"> %</w:t>
      </w:r>
      <w:r w:rsidRPr="00B376AC">
        <w:rPr>
          <w:sz w:val="24"/>
          <w:szCs w:val="24"/>
        </w:rPr>
        <w:t xml:space="preserve"> og 26</w:t>
      </w:r>
      <w:r w:rsidR="003A35D1">
        <w:rPr>
          <w:sz w:val="24"/>
          <w:szCs w:val="24"/>
        </w:rPr>
        <w:t xml:space="preserve"> %</w:t>
      </w:r>
      <w:r w:rsidRPr="00B376AC">
        <w:rPr>
          <w:sz w:val="24"/>
          <w:szCs w:val="24"/>
        </w:rPr>
        <w:t xml:space="preserve"> og for en af dets aktive metabolitter med henholdsvis 29</w:t>
      </w:r>
      <w:r w:rsidR="003A35D1">
        <w:rPr>
          <w:sz w:val="24"/>
          <w:szCs w:val="24"/>
        </w:rPr>
        <w:t xml:space="preserve"> %</w:t>
      </w:r>
      <w:r w:rsidRPr="00B376AC">
        <w:rPr>
          <w:sz w:val="24"/>
          <w:szCs w:val="24"/>
        </w:rPr>
        <w:t xml:space="preserve"> og 69</w:t>
      </w:r>
      <w:r w:rsidR="003A35D1">
        <w:rPr>
          <w:sz w:val="24"/>
          <w:szCs w:val="24"/>
        </w:rPr>
        <w:t xml:space="preserve"> %</w:t>
      </w:r>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Phenytoin</w:t>
      </w:r>
      <w:proofErr w:type="spellEnd"/>
    </w:p>
    <w:p w:rsidR="00B376AC" w:rsidRPr="00B376AC" w:rsidRDefault="00B376AC" w:rsidP="00B376AC">
      <w:pPr>
        <w:tabs>
          <w:tab w:val="left" w:pos="851"/>
        </w:tabs>
        <w:ind w:left="851"/>
        <w:rPr>
          <w:sz w:val="24"/>
          <w:szCs w:val="24"/>
        </w:rPr>
      </w:pPr>
      <w:r w:rsidRPr="00B376AC">
        <w:rPr>
          <w:sz w:val="24"/>
          <w:szCs w:val="24"/>
        </w:rPr>
        <w:t xml:space="preserve">Det anbefales at monitorere plasmakoncentrationen af </w:t>
      </w:r>
      <w:proofErr w:type="spellStart"/>
      <w:r w:rsidRPr="00B376AC">
        <w:rPr>
          <w:sz w:val="24"/>
          <w:szCs w:val="24"/>
        </w:rPr>
        <w:t>phenytoin</w:t>
      </w:r>
      <w:proofErr w:type="spellEnd"/>
      <w:r w:rsidRPr="00B376AC">
        <w:rPr>
          <w:sz w:val="24"/>
          <w:szCs w:val="24"/>
        </w:rPr>
        <w:t xml:space="preserve"> de to første uger efter initiering af </w:t>
      </w:r>
      <w:proofErr w:type="spellStart"/>
      <w:r w:rsidRPr="00B376AC">
        <w:rPr>
          <w:sz w:val="24"/>
          <w:szCs w:val="24"/>
        </w:rPr>
        <w:t>omeprazolbehandling</w:t>
      </w:r>
      <w:proofErr w:type="spellEnd"/>
      <w:r w:rsidRPr="00B376AC">
        <w:rPr>
          <w:sz w:val="24"/>
          <w:szCs w:val="24"/>
        </w:rPr>
        <w:t xml:space="preserve">. Såfremt </w:t>
      </w:r>
      <w:proofErr w:type="spellStart"/>
      <w:r w:rsidRPr="00B376AC">
        <w:rPr>
          <w:sz w:val="24"/>
          <w:szCs w:val="24"/>
        </w:rPr>
        <w:t>phenytoindosis</w:t>
      </w:r>
      <w:proofErr w:type="spellEnd"/>
      <w:r w:rsidRPr="00B376AC">
        <w:rPr>
          <w:sz w:val="24"/>
          <w:szCs w:val="24"/>
        </w:rPr>
        <w:t xml:space="preserve"> justeres, anbefales monitorering og yderligere dosisjustering ved afslutning af </w:t>
      </w:r>
      <w:proofErr w:type="spellStart"/>
      <w:r w:rsidRPr="00B376AC">
        <w:rPr>
          <w:sz w:val="24"/>
          <w:szCs w:val="24"/>
        </w:rPr>
        <w:t>omeprazolbehandling</w:t>
      </w:r>
      <w:proofErr w:type="spellEnd"/>
      <w:r w:rsidRPr="00B376AC">
        <w:rPr>
          <w:sz w:val="24"/>
          <w:szCs w:val="24"/>
        </w:rPr>
        <w:t>.</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Cs/>
          <w:sz w:val="24"/>
          <w:szCs w:val="24"/>
          <w:u w:val="single"/>
        </w:rPr>
      </w:pPr>
      <w:r w:rsidRPr="00B376AC">
        <w:rPr>
          <w:iCs/>
          <w:sz w:val="24"/>
          <w:szCs w:val="24"/>
          <w:u w:val="single"/>
        </w:rPr>
        <w:lastRenderedPageBreak/>
        <w:t>Ukendt mekanisme</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Saquinavir</w:t>
      </w:r>
      <w:proofErr w:type="spellEnd"/>
    </w:p>
    <w:p w:rsidR="00B376AC" w:rsidRPr="00B376AC" w:rsidRDefault="00B376AC" w:rsidP="00B376AC">
      <w:pPr>
        <w:tabs>
          <w:tab w:val="left" w:pos="851"/>
        </w:tabs>
        <w:ind w:left="851"/>
        <w:rPr>
          <w:sz w:val="24"/>
          <w:szCs w:val="24"/>
        </w:rPr>
      </w:pPr>
      <w:r w:rsidRPr="00B376AC">
        <w:rPr>
          <w:sz w:val="24"/>
          <w:szCs w:val="24"/>
        </w:rPr>
        <w:t xml:space="preserve">Samtidig administration af </w:t>
      </w:r>
      <w:proofErr w:type="spellStart"/>
      <w:r w:rsidRPr="00B376AC">
        <w:rPr>
          <w:sz w:val="24"/>
          <w:szCs w:val="24"/>
        </w:rPr>
        <w:t>omeprazol</w:t>
      </w:r>
      <w:proofErr w:type="spellEnd"/>
      <w:r w:rsidRPr="00B376AC">
        <w:rPr>
          <w:sz w:val="24"/>
          <w:szCs w:val="24"/>
        </w:rPr>
        <w:t xml:space="preserve"> og </w:t>
      </w:r>
      <w:proofErr w:type="spellStart"/>
      <w:r w:rsidRPr="00B376AC">
        <w:rPr>
          <w:sz w:val="24"/>
          <w:szCs w:val="24"/>
        </w:rPr>
        <w:t>saquinavir</w:t>
      </w:r>
      <w:proofErr w:type="spellEnd"/>
      <w:r w:rsidRPr="00B376AC">
        <w:rPr>
          <w:sz w:val="24"/>
          <w:szCs w:val="24"/>
        </w:rPr>
        <w:t>/</w:t>
      </w:r>
      <w:proofErr w:type="spellStart"/>
      <w:r w:rsidRPr="00B376AC">
        <w:rPr>
          <w:sz w:val="24"/>
          <w:szCs w:val="24"/>
        </w:rPr>
        <w:t>ritonavir</w:t>
      </w:r>
      <w:proofErr w:type="spellEnd"/>
      <w:r w:rsidRPr="00B376AC">
        <w:rPr>
          <w:sz w:val="24"/>
          <w:szCs w:val="24"/>
        </w:rPr>
        <w:t xml:space="preserve"> resulterede i øgede plasmakoncentrationer af </w:t>
      </w:r>
      <w:proofErr w:type="spellStart"/>
      <w:r w:rsidRPr="00B376AC">
        <w:rPr>
          <w:sz w:val="24"/>
          <w:szCs w:val="24"/>
        </w:rPr>
        <w:t>saquinavir</w:t>
      </w:r>
      <w:proofErr w:type="spellEnd"/>
      <w:r w:rsidRPr="00B376AC">
        <w:rPr>
          <w:sz w:val="24"/>
          <w:szCs w:val="24"/>
        </w:rPr>
        <w:t xml:space="preserve"> på op til omkring 70</w:t>
      </w:r>
      <w:r w:rsidR="003A35D1">
        <w:rPr>
          <w:sz w:val="24"/>
          <w:szCs w:val="24"/>
        </w:rPr>
        <w:t xml:space="preserve"> %</w:t>
      </w:r>
      <w:r w:rsidRPr="00B376AC">
        <w:rPr>
          <w:sz w:val="24"/>
          <w:szCs w:val="24"/>
        </w:rPr>
        <w:t xml:space="preserve">. Dette var forbundet med god </w:t>
      </w:r>
      <w:proofErr w:type="spellStart"/>
      <w:r w:rsidRPr="00B376AC">
        <w:rPr>
          <w:sz w:val="24"/>
          <w:szCs w:val="24"/>
        </w:rPr>
        <w:t>tolerabilitet</w:t>
      </w:r>
      <w:proofErr w:type="spellEnd"/>
      <w:r w:rsidRPr="00B376AC">
        <w:rPr>
          <w:sz w:val="24"/>
          <w:szCs w:val="24"/>
        </w:rPr>
        <w:t xml:space="preserve"> i HIV-inficerede patienter.</w:t>
      </w:r>
    </w:p>
    <w:p w:rsidR="00B376AC" w:rsidRPr="00B376AC" w:rsidRDefault="00B376AC" w:rsidP="00B376AC">
      <w:pPr>
        <w:tabs>
          <w:tab w:val="left" w:pos="851"/>
        </w:tabs>
        <w:ind w:left="851"/>
        <w:rPr>
          <w:sz w:val="24"/>
          <w:szCs w:val="24"/>
        </w:rPr>
      </w:pPr>
    </w:p>
    <w:p w:rsidR="00B376AC" w:rsidRPr="00B376AC" w:rsidRDefault="00B376AC" w:rsidP="00B376AC">
      <w:pPr>
        <w:tabs>
          <w:tab w:val="left" w:pos="851"/>
        </w:tabs>
        <w:ind w:left="851"/>
        <w:rPr>
          <w:i/>
          <w:iCs/>
          <w:sz w:val="24"/>
          <w:szCs w:val="24"/>
        </w:rPr>
      </w:pPr>
      <w:proofErr w:type="spellStart"/>
      <w:r w:rsidRPr="00B376AC">
        <w:rPr>
          <w:i/>
          <w:iCs/>
          <w:sz w:val="24"/>
          <w:szCs w:val="24"/>
        </w:rPr>
        <w:t>Tacrolimus</w:t>
      </w:r>
      <w:proofErr w:type="spellEnd"/>
    </w:p>
    <w:p w:rsidR="00B376AC" w:rsidRPr="00B376AC" w:rsidRDefault="00B376AC" w:rsidP="00B376AC">
      <w:pPr>
        <w:tabs>
          <w:tab w:val="left" w:pos="851"/>
        </w:tabs>
        <w:ind w:left="851"/>
        <w:rPr>
          <w:sz w:val="24"/>
          <w:szCs w:val="24"/>
        </w:rPr>
      </w:pPr>
      <w:r w:rsidRPr="00B376AC">
        <w:rPr>
          <w:sz w:val="24"/>
          <w:szCs w:val="24"/>
        </w:rPr>
        <w:t xml:space="preserve">Det er rapporteret, at samtidig administration af </w:t>
      </w:r>
      <w:proofErr w:type="spellStart"/>
      <w:r w:rsidRPr="00B376AC">
        <w:rPr>
          <w:sz w:val="24"/>
          <w:szCs w:val="24"/>
        </w:rPr>
        <w:t>omeprazol</w:t>
      </w:r>
      <w:proofErr w:type="spellEnd"/>
      <w:r w:rsidRPr="00B376AC">
        <w:rPr>
          <w:sz w:val="24"/>
          <w:szCs w:val="24"/>
        </w:rPr>
        <w:t xml:space="preserve"> øger serumniveauet af </w:t>
      </w:r>
      <w:proofErr w:type="spellStart"/>
      <w:r w:rsidRPr="00B376AC">
        <w:rPr>
          <w:sz w:val="24"/>
          <w:szCs w:val="24"/>
        </w:rPr>
        <w:t>tacrolimus</w:t>
      </w:r>
      <w:proofErr w:type="spellEnd"/>
      <w:r w:rsidRPr="00B376AC">
        <w:rPr>
          <w:sz w:val="24"/>
          <w:szCs w:val="24"/>
        </w:rPr>
        <w:t xml:space="preserve">. Koncentrationen af </w:t>
      </w:r>
      <w:proofErr w:type="spellStart"/>
      <w:r w:rsidRPr="00B376AC">
        <w:rPr>
          <w:sz w:val="24"/>
          <w:szCs w:val="24"/>
        </w:rPr>
        <w:t>tacrolimus</w:t>
      </w:r>
      <w:proofErr w:type="spellEnd"/>
      <w:r w:rsidRPr="00B376AC">
        <w:rPr>
          <w:sz w:val="24"/>
          <w:szCs w:val="24"/>
        </w:rPr>
        <w:t xml:space="preserve"> samt nyrefunktionen (</w:t>
      </w:r>
      <w:proofErr w:type="spellStart"/>
      <w:r w:rsidRPr="00B376AC">
        <w:rPr>
          <w:sz w:val="24"/>
          <w:szCs w:val="24"/>
        </w:rPr>
        <w:t>kreatininclearance</w:t>
      </w:r>
      <w:proofErr w:type="spellEnd"/>
      <w:r w:rsidRPr="00B376AC">
        <w:rPr>
          <w:sz w:val="24"/>
          <w:szCs w:val="24"/>
        </w:rPr>
        <w:t xml:space="preserve">) bør monitoreres, og </w:t>
      </w:r>
      <w:proofErr w:type="spellStart"/>
      <w:r w:rsidRPr="00B376AC">
        <w:rPr>
          <w:sz w:val="24"/>
          <w:szCs w:val="24"/>
        </w:rPr>
        <w:t>tacrolimusdosis</w:t>
      </w:r>
      <w:proofErr w:type="spellEnd"/>
      <w:r w:rsidRPr="00B376AC">
        <w:rPr>
          <w:sz w:val="24"/>
          <w:szCs w:val="24"/>
        </w:rPr>
        <w:t xml:space="preserve"> justeres om nødvendigt.</w:t>
      </w:r>
    </w:p>
    <w:p w:rsidR="00B376AC" w:rsidRPr="00B376AC" w:rsidRDefault="00B376AC" w:rsidP="00B376AC">
      <w:pPr>
        <w:tabs>
          <w:tab w:val="left" w:pos="851"/>
        </w:tabs>
        <w:ind w:left="851"/>
        <w:rPr>
          <w:i/>
          <w:iCs/>
          <w:sz w:val="24"/>
          <w:szCs w:val="24"/>
        </w:rPr>
      </w:pPr>
    </w:p>
    <w:p w:rsidR="00B376AC" w:rsidRPr="00B376AC" w:rsidRDefault="00B376AC" w:rsidP="00CF7A08">
      <w:pPr>
        <w:keepNext/>
        <w:tabs>
          <w:tab w:val="left" w:pos="851"/>
        </w:tabs>
        <w:ind w:left="851"/>
        <w:rPr>
          <w:i/>
          <w:iCs/>
          <w:sz w:val="24"/>
          <w:szCs w:val="24"/>
        </w:rPr>
      </w:pPr>
      <w:proofErr w:type="spellStart"/>
      <w:r w:rsidRPr="00B376AC">
        <w:rPr>
          <w:i/>
          <w:iCs/>
          <w:sz w:val="24"/>
          <w:szCs w:val="24"/>
        </w:rPr>
        <w:t>Methotrexat</w:t>
      </w:r>
      <w:proofErr w:type="spellEnd"/>
    </w:p>
    <w:p w:rsidR="00CF7A08" w:rsidRDefault="00B376AC" w:rsidP="00CF7A08">
      <w:pPr>
        <w:keepNext/>
        <w:tabs>
          <w:tab w:val="left" w:pos="851"/>
        </w:tabs>
        <w:ind w:left="851"/>
        <w:rPr>
          <w:sz w:val="24"/>
          <w:szCs w:val="24"/>
        </w:rPr>
      </w:pPr>
      <w:r w:rsidRPr="00B376AC">
        <w:rPr>
          <w:sz w:val="24"/>
          <w:szCs w:val="24"/>
        </w:rPr>
        <w:t xml:space="preserve">Ved samtidig administration af </w:t>
      </w:r>
      <w:proofErr w:type="spellStart"/>
      <w:r w:rsidRPr="00B376AC">
        <w:rPr>
          <w:sz w:val="24"/>
          <w:szCs w:val="24"/>
        </w:rPr>
        <w:t>protonpumpehæmmere</w:t>
      </w:r>
      <w:proofErr w:type="spellEnd"/>
      <w:r w:rsidRPr="00B376AC">
        <w:rPr>
          <w:sz w:val="24"/>
          <w:szCs w:val="24"/>
        </w:rPr>
        <w:t xml:space="preserve"> er der set stigende </w:t>
      </w:r>
      <w:proofErr w:type="spellStart"/>
      <w:r w:rsidRPr="00B376AC">
        <w:rPr>
          <w:sz w:val="24"/>
          <w:szCs w:val="24"/>
        </w:rPr>
        <w:t>methotrexatkoncentrationer</w:t>
      </w:r>
      <w:proofErr w:type="spellEnd"/>
      <w:r w:rsidRPr="00B376AC">
        <w:rPr>
          <w:sz w:val="24"/>
          <w:szCs w:val="24"/>
        </w:rPr>
        <w:t xml:space="preserve"> hos nogle patienter. Ved administration af </w:t>
      </w:r>
      <w:proofErr w:type="spellStart"/>
      <w:r w:rsidRPr="00B376AC">
        <w:rPr>
          <w:sz w:val="24"/>
          <w:szCs w:val="24"/>
        </w:rPr>
        <w:t>methotrexat</w:t>
      </w:r>
      <w:proofErr w:type="spellEnd"/>
      <w:r w:rsidRPr="00B376AC">
        <w:rPr>
          <w:sz w:val="24"/>
          <w:szCs w:val="24"/>
        </w:rPr>
        <w:t xml:space="preserve"> i høj dosis kan det være nødvendigt midlertidigt at seponere administrationen af </w:t>
      </w:r>
      <w:proofErr w:type="spellStart"/>
      <w:r w:rsidRPr="00B376AC">
        <w:rPr>
          <w:sz w:val="24"/>
          <w:szCs w:val="24"/>
        </w:rPr>
        <w:t>omeprazol</w:t>
      </w:r>
      <w:proofErr w:type="spellEnd"/>
      <w:r w:rsidRPr="00B376AC">
        <w:rPr>
          <w:sz w:val="24"/>
          <w:szCs w:val="24"/>
        </w:rPr>
        <w:t>.</w:t>
      </w:r>
    </w:p>
    <w:p w:rsidR="00CF7A08" w:rsidRDefault="00CF7A08" w:rsidP="00CF7A08">
      <w:pPr>
        <w:keepNext/>
        <w:tabs>
          <w:tab w:val="left" w:pos="851"/>
        </w:tabs>
        <w:ind w:left="851"/>
        <w:rPr>
          <w:b/>
          <w:sz w:val="24"/>
          <w:szCs w:val="24"/>
        </w:rPr>
      </w:pPr>
    </w:p>
    <w:p w:rsidR="00B376AC" w:rsidRPr="00CF7A08" w:rsidRDefault="00B376AC" w:rsidP="00CF7A08">
      <w:pPr>
        <w:keepNext/>
        <w:tabs>
          <w:tab w:val="left" w:pos="851"/>
        </w:tabs>
        <w:ind w:left="851"/>
        <w:rPr>
          <w:sz w:val="24"/>
          <w:szCs w:val="24"/>
        </w:rPr>
      </w:pPr>
      <w:r w:rsidRPr="00B376AC">
        <w:rPr>
          <w:b/>
          <w:sz w:val="24"/>
          <w:szCs w:val="24"/>
        </w:rPr>
        <w:t xml:space="preserve">Andre lægemidlers virkning på </w:t>
      </w:r>
      <w:proofErr w:type="spellStart"/>
      <w:r w:rsidRPr="00B376AC">
        <w:rPr>
          <w:b/>
          <w:sz w:val="24"/>
          <w:szCs w:val="24"/>
        </w:rPr>
        <w:t>omeprazols</w:t>
      </w:r>
      <w:proofErr w:type="spellEnd"/>
      <w:r w:rsidRPr="00B376AC">
        <w:rPr>
          <w:b/>
          <w:sz w:val="24"/>
          <w:szCs w:val="24"/>
        </w:rPr>
        <w:t xml:space="preserve"> farmakokinetik</w:t>
      </w:r>
      <w:r w:rsidRPr="00B376AC">
        <w:rPr>
          <w:b/>
          <w:sz w:val="24"/>
          <w:szCs w:val="24"/>
        </w:rPr>
        <w:tab/>
      </w:r>
    </w:p>
    <w:p w:rsidR="00B376AC" w:rsidRPr="00B376AC" w:rsidRDefault="00B376AC" w:rsidP="00B376AC">
      <w:pPr>
        <w:tabs>
          <w:tab w:val="left" w:pos="851"/>
        </w:tabs>
        <w:ind w:left="851"/>
        <w:rPr>
          <w:sz w:val="24"/>
          <w:szCs w:val="24"/>
        </w:rPr>
      </w:pPr>
    </w:p>
    <w:p w:rsidR="00B376AC" w:rsidRPr="00762935" w:rsidRDefault="00B376AC" w:rsidP="00B376AC">
      <w:pPr>
        <w:tabs>
          <w:tab w:val="left" w:pos="851"/>
        </w:tabs>
        <w:ind w:left="851"/>
        <w:rPr>
          <w:iCs/>
          <w:sz w:val="24"/>
          <w:szCs w:val="24"/>
          <w:u w:val="single"/>
        </w:rPr>
      </w:pPr>
      <w:r w:rsidRPr="00762935">
        <w:rPr>
          <w:iCs/>
          <w:sz w:val="24"/>
          <w:szCs w:val="24"/>
          <w:u w:val="single"/>
        </w:rPr>
        <w:t>Inhibitorer af CYP2C19 og/eller CYP3A4</w:t>
      </w:r>
    </w:p>
    <w:p w:rsidR="00B376AC" w:rsidRPr="00B376AC" w:rsidRDefault="00B376AC" w:rsidP="00B376AC">
      <w:pPr>
        <w:tabs>
          <w:tab w:val="left" w:pos="851"/>
        </w:tabs>
        <w:ind w:left="851"/>
        <w:rPr>
          <w:sz w:val="24"/>
          <w:szCs w:val="24"/>
        </w:rPr>
      </w:pPr>
      <w:r w:rsidRPr="00B376AC">
        <w:rPr>
          <w:sz w:val="24"/>
          <w:szCs w:val="24"/>
        </w:rPr>
        <w:t xml:space="preserve">Da </w:t>
      </w:r>
      <w:proofErr w:type="spellStart"/>
      <w:r w:rsidRPr="00B376AC">
        <w:rPr>
          <w:sz w:val="24"/>
          <w:szCs w:val="24"/>
        </w:rPr>
        <w:t>omeprazol</w:t>
      </w:r>
      <w:proofErr w:type="spellEnd"/>
      <w:r w:rsidRPr="00B376AC">
        <w:rPr>
          <w:sz w:val="24"/>
          <w:szCs w:val="24"/>
        </w:rPr>
        <w:t xml:space="preserve"> </w:t>
      </w:r>
      <w:proofErr w:type="spellStart"/>
      <w:r w:rsidRPr="00B376AC">
        <w:rPr>
          <w:sz w:val="24"/>
          <w:szCs w:val="24"/>
        </w:rPr>
        <w:t>metaboliseres</w:t>
      </w:r>
      <w:proofErr w:type="spellEnd"/>
      <w:r w:rsidRPr="00B376AC">
        <w:rPr>
          <w:sz w:val="24"/>
          <w:szCs w:val="24"/>
        </w:rPr>
        <w:t xml:space="preserve"> via CYP2C19 og CYP3A4, kan lægemidler, der hæmmer CYP2C19 eller CYP3A4 (såsom </w:t>
      </w:r>
      <w:proofErr w:type="spellStart"/>
      <w:r w:rsidRPr="00B376AC">
        <w:rPr>
          <w:sz w:val="24"/>
          <w:szCs w:val="24"/>
        </w:rPr>
        <w:t>clarithromycin</w:t>
      </w:r>
      <w:proofErr w:type="spellEnd"/>
      <w:r w:rsidRPr="00B376AC">
        <w:rPr>
          <w:sz w:val="24"/>
          <w:szCs w:val="24"/>
        </w:rPr>
        <w:t xml:space="preserve"> og </w:t>
      </w:r>
      <w:proofErr w:type="spellStart"/>
      <w:r w:rsidRPr="00B376AC">
        <w:rPr>
          <w:sz w:val="24"/>
          <w:szCs w:val="24"/>
        </w:rPr>
        <w:t>voriconazol</w:t>
      </w:r>
      <w:proofErr w:type="spellEnd"/>
      <w:r w:rsidRPr="00B376AC">
        <w:rPr>
          <w:sz w:val="24"/>
          <w:szCs w:val="24"/>
        </w:rPr>
        <w:t xml:space="preserve">), medføre øgede serumniveauer af </w:t>
      </w:r>
      <w:proofErr w:type="spellStart"/>
      <w:r w:rsidRPr="00B376AC">
        <w:rPr>
          <w:sz w:val="24"/>
          <w:szCs w:val="24"/>
        </w:rPr>
        <w:t>omeprazol</w:t>
      </w:r>
      <w:proofErr w:type="spellEnd"/>
      <w:r w:rsidRPr="00B376AC">
        <w:rPr>
          <w:sz w:val="24"/>
          <w:szCs w:val="24"/>
        </w:rPr>
        <w:t xml:space="preserve">, idet </w:t>
      </w:r>
      <w:proofErr w:type="spellStart"/>
      <w:r w:rsidRPr="00B376AC">
        <w:rPr>
          <w:sz w:val="24"/>
          <w:szCs w:val="24"/>
        </w:rPr>
        <w:t>omeprazols</w:t>
      </w:r>
      <w:proofErr w:type="spellEnd"/>
      <w:r w:rsidRPr="00B376AC">
        <w:rPr>
          <w:sz w:val="24"/>
          <w:szCs w:val="24"/>
        </w:rPr>
        <w:t xml:space="preserve"> </w:t>
      </w:r>
      <w:proofErr w:type="spellStart"/>
      <w:r w:rsidRPr="00B376AC">
        <w:rPr>
          <w:sz w:val="24"/>
          <w:szCs w:val="24"/>
        </w:rPr>
        <w:t>metaboliseringshastighed</w:t>
      </w:r>
      <w:proofErr w:type="spellEnd"/>
      <w:r w:rsidRPr="00B376AC">
        <w:rPr>
          <w:sz w:val="24"/>
          <w:szCs w:val="24"/>
        </w:rPr>
        <w:t xml:space="preserve"> falder. Samtidig behandling med </w:t>
      </w:r>
      <w:proofErr w:type="spellStart"/>
      <w:r w:rsidRPr="00B376AC">
        <w:rPr>
          <w:sz w:val="24"/>
          <w:szCs w:val="24"/>
        </w:rPr>
        <w:t>voriconazol</w:t>
      </w:r>
      <w:proofErr w:type="spellEnd"/>
      <w:r w:rsidRPr="00B376AC">
        <w:rPr>
          <w:sz w:val="24"/>
          <w:szCs w:val="24"/>
        </w:rPr>
        <w:t xml:space="preserve"> resulterede i mere end en fordobling af </w:t>
      </w:r>
      <w:proofErr w:type="spellStart"/>
      <w:r w:rsidRPr="00B376AC">
        <w:rPr>
          <w:sz w:val="24"/>
          <w:szCs w:val="24"/>
        </w:rPr>
        <w:t>omeprazoleksponeringen</w:t>
      </w:r>
      <w:proofErr w:type="spellEnd"/>
      <w:r w:rsidRPr="00B376AC">
        <w:rPr>
          <w:sz w:val="24"/>
          <w:szCs w:val="24"/>
        </w:rPr>
        <w:t xml:space="preserve">. Eftersom høje doser af </w:t>
      </w:r>
      <w:proofErr w:type="spellStart"/>
      <w:r w:rsidRPr="00B376AC">
        <w:rPr>
          <w:sz w:val="24"/>
          <w:szCs w:val="24"/>
        </w:rPr>
        <w:t>omeprazol</w:t>
      </w:r>
      <w:proofErr w:type="spellEnd"/>
      <w:r w:rsidRPr="00B376AC">
        <w:rPr>
          <w:sz w:val="24"/>
          <w:szCs w:val="24"/>
        </w:rPr>
        <w:t xml:space="preserve"> har været veltolereret, er det typisk ikke nødvendigt at justere </w:t>
      </w:r>
      <w:proofErr w:type="spellStart"/>
      <w:r w:rsidRPr="00B376AC">
        <w:rPr>
          <w:sz w:val="24"/>
          <w:szCs w:val="24"/>
        </w:rPr>
        <w:t>omeprazoldosis</w:t>
      </w:r>
      <w:proofErr w:type="spellEnd"/>
      <w:r w:rsidRPr="00B376AC">
        <w:rPr>
          <w:sz w:val="24"/>
          <w:szCs w:val="24"/>
        </w:rPr>
        <w:t>. Dog bør dosisjustering overvejes hos patienter med alvorligt nedsat leverfunktion, og hvis langvarig behandling er indiceret.</w:t>
      </w:r>
    </w:p>
    <w:p w:rsidR="00B376AC" w:rsidRPr="00B376AC" w:rsidRDefault="00B376AC" w:rsidP="00B376AC">
      <w:pPr>
        <w:tabs>
          <w:tab w:val="left" w:pos="851"/>
        </w:tabs>
        <w:ind w:left="851"/>
        <w:rPr>
          <w:sz w:val="24"/>
          <w:szCs w:val="24"/>
        </w:rPr>
      </w:pPr>
    </w:p>
    <w:p w:rsidR="00B376AC" w:rsidRPr="00762935" w:rsidRDefault="00B376AC" w:rsidP="00B376AC">
      <w:pPr>
        <w:tabs>
          <w:tab w:val="left" w:pos="851"/>
        </w:tabs>
        <w:ind w:left="851"/>
        <w:rPr>
          <w:iCs/>
          <w:sz w:val="24"/>
          <w:szCs w:val="24"/>
          <w:u w:val="single"/>
        </w:rPr>
      </w:pPr>
      <w:r w:rsidRPr="00762935">
        <w:rPr>
          <w:iCs/>
          <w:sz w:val="24"/>
          <w:szCs w:val="24"/>
          <w:u w:val="single"/>
        </w:rPr>
        <w:t>Induktorer af CYP2C19 og/eller CYP3A4</w:t>
      </w:r>
    </w:p>
    <w:p w:rsidR="00B376AC" w:rsidRPr="00B376AC" w:rsidRDefault="00B376AC" w:rsidP="00B376AC">
      <w:pPr>
        <w:tabs>
          <w:tab w:val="left" w:pos="851"/>
        </w:tabs>
        <w:ind w:left="851"/>
        <w:rPr>
          <w:sz w:val="24"/>
          <w:szCs w:val="24"/>
        </w:rPr>
      </w:pPr>
      <w:r w:rsidRPr="00B376AC">
        <w:rPr>
          <w:sz w:val="24"/>
          <w:szCs w:val="24"/>
        </w:rPr>
        <w:t xml:space="preserve">Lægemidler, der inducerer CYP2C19 eller CYP3A4 eller begge (såsom </w:t>
      </w:r>
      <w:proofErr w:type="spellStart"/>
      <w:r w:rsidRPr="00B376AC">
        <w:rPr>
          <w:sz w:val="24"/>
          <w:szCs w:val="24"/>
        </w:rPr>
        <w:t>rifampicin</w:t>
      </w:r>
      <w:proofErr w:type="spellEnd"/>
      <w:r w:rsidRPr="00B376AC">
        <w:rPr>
          <w:sz w:val="24"/>
          <w:szCs w:val="24"/>
        </w:rPr>
        <w:t xml:space="preserve"> og perikon), kan medføre nedsat serumkoncentration af </w:t>
      </w:r>
      <w:proofErr w:type="spellStart"/>
      <w:r w:rsidRPr="00B376AC">
        <w:rPr>
          <w:sz w:val="24"/>
          <w:szCs w:val="24"/>
        </w:rPr>
        <w:t>omeprazol</w:t>
      </w:r>
      <w:proofErr w:type="spellEnd"/>
      <w:r w:rsidRPr="00B376AC">
        <w:rPr>
          <w:sz w:val="24"/>
          <w:szCs w:val="24"/>
        </w:rPr>
        <w:t xml:space="preserve">, idet </w:t>
      </w:r>
      <w:proofErr w:type="spellStart"/>
      <w:r w:rsidRPr="00B376AC">
        <w:rPr>
          <w:sz w:val="24"/>
          <w:szCs w:val="24"/>
        </w:rPr>
        <w:t>omeprazols</w:t>
      </w:r>
      <w:proofErr w:type="spellEnd"/>
      <w:r w:rsidRPr="00B376AC">
        <w:rPr>
          <w:sz w:val="24"/>
          <w:szCs w:val="24"/>
        </w:rPr>
        <w:t xml:space="preserve"> </w:t>
      </w:r>
      <w:proofErr w:type="spellStart"/>
      <w:r w:rsidRPr="00B376AC">
        <w:rPr>
          <w:sz w:val="24"/>
          <w:szCs w:val="24"/>
        </w:rPr>
        <w:t>metaboliseringshastighed</w:t>
      </w:r>
      <w:proofErr w:type="spellEnd"/>
      <w:r w:rsidRPr="00B376AC">
        <w:rPr>
          <w:sz w:val="24"/>
          <w:szCs w:val="24"/>
        </w:rPr>
        <w:t xml:space="preserve"> øges.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F7A08">
        <w:rPr>
          <w:b/>
          <w:sz w:val="24"/>
          <w:szCs w:val="24"/>
        </w:rPr>
        <w:t>Fertilitet, g</w:t>
      </w:r>
      <w:r w:rsidRPr="00C84483">
        <w:rPr>
          <w:b/>
          <w:sz w:val="24"/>
          <w:szCs w:val="24"/>
        </w:rPr>
        <w:t>raviditet og amning</w:t>
      </w:r>
    </w:p>
    <w:p w:rsidR="006D0823" w:rsidRDefault="006D0823" w:rsidP="006D0823">
      <w:pPr>
        <w:tabs>
          <w:tab w:val="left" w:pos="851"/>
        </w:tabs>
        <w:ind w:left="851"/>
        <w:rPr>
          <w:sz w:val="24"/>
          <w:szCs w:val="24"/>
          <w:u w:val="single"/>
        </w:rPr>
      </w:pPr>
    </w:p>
    <w:p w:rsidR="006D0823" w:rsidRPr="006D0823" w:rsidRDefault="006D0823" w:rsidP="006D0823">
      <w:pPr>
        <w:tabs>
          <w:tab w:val="left" w:pos="851"/>
        </w:tabs>
        <w:ind w:left="851"/>
        <w:rPr>
          <w:sz w:val="24"/>
          <w:szCs w:val="24"/>
          <w:u w:val="single"/>
        </w:rPr>
      </w:pPr>
      <w:r w:rsidRPr="006D0823">
        <w:rPr>
          <w:sz w:val="24"/>
          <w:szCs w:val="24"/>
          <w:u w:val="single"/>
        </w:rPr>
        <w:t>Graviditet</w:t>
      </w:r>
    </w:p>
    <w:p w:rsidR="006D0823" w:rsidRPr="006D0823" w:rsidRDefault="006D0823" w:rsidP="006D0823">
      <w:pPr>
        <w:tabs>
          <w:tab w:val="left" w:pos="851"/>
        </w:tabs>
        <w:ind w:left="851"/>
        <w:rPr>
          <w:sz w:val="24"/>
          <w:szCs w:val="24"/>
        </w:rPr>
      </w:pPr>
      <w:r w:rsidRPr="006D0823">
        <w:rPr>
          <w:sz w:val="24"/>
          <w:szCs w:val="24"/>
        </w:rPr>
        <w:t xml:space="preserve">Resultater fra tre </w:t>
      </w:r>
      <w:proofErr w:type="spellStart"/>
      <w:r w:rsidRPr="006D0823">
        <w:rPr>
          <w:sz w:val="24"/>
          <w:szCs w:val="24"/>
        </w:rPr>
        <w:t>prospektive</w:t>
      </w:r>
      <w:proofErr w:type="spellEnd"/>
      <w:r w:rsidRPr="006D0823">
        <w:rPr>
          <w:sz w:val="24"/>
          <w:szCs w:val="24"/>
        </w:rPr>
        <w:t xml:space="preserve">, epidemiologiske undersøgelser (med resultater fra mere end 1.000 eksponeringer) viser ingen skadelige virkninger af </w:t>
      </w:r>
      <w:proofErr w:type="spellStart"/>
      <w:r w:rsidRPr="006D0823">
        <w:rPr>
          <w:sz w:val="24"/>
          <w:szCs w:val="24"/>
        </w:rPr>
        <w:t>omeprazol</w:t>
      </w:r>
      <w:proofErr w:type="spellEnd"/>
      <w:r w:rsidRPr="006D0823">
        <w:rPr>
          <w:sz w:val="24"/>
          <w:szCs w:val="24"/>
        </w:rPr>
        <w:t xml:space="preserve"> på graviditeten eller på fostrets/det nyfødte barns sundhedstilstand. </w:t>
      </w:r>
      <w:proofErr w:type="spellStart"/>
      <w:r w:rsidRPr="006D0823">
        <w:rPr>
          <w:sz w:val="24"/>
          <w:szCs w:val="24"/>
        </w:rPr>
        <w:t>Omeprazol</w:t>
      </w:r>
      <w:proofErr w:type="spellEnd"/>
      <w:r w:rsidRPr="006D0823">
        <w:rPr>
          <w:sz w:val="24"/>
          <w:szCs w:val="24"/>
        </w:rPr>
        <w:t xml:space="preserve"> kan anvendes under graviditet.</w:t>
      </w:r>
    </w:p>
    <w:p w:rsidR="006D0823" w:rsidRPr="006D0823" w:rsidRDefault="006D0823" w:rsidP="006D0823">
      <w:pPr>
        <w:tabs>
          <w:tab w:val="left" w:pos="851"/>
        </w:tabs>
        <w:ind w:left="851"/>
        <w:rPr>
          <w:sz w:val="24"/>
          <w:szCs w:val="24"/>
        </w:rPr>
      </w:pPr>
    </w:p>
    <w:p w:rsidR="006D0823" w:rsidRPr="006D0823" w:rsidRDefault="006D0823" w:rsidP="006D0823">
      <w:pPr>
        <w:tabs>
          <w:tab w:val="left" w:pos="851"/>
        </w:tabs>
        <w:ind w:left="851"/>
        <w:rPr>
          <w:sz w:val="24"/>
          <w:szCs w:val="24"/>
          <w:u w:val="single"/>
        </w:rPr>
      </w:pPr>
      <w:r w:rsidRPr="006D0823">
        <w:rPr>
          <w:sz w:val="24"/>
          <w:szCs w:val="24"/>
          <w:u w:val="single"/>
        </w:rPr>
        <w:t>Amning</w:t>
      </w:r>
    </w:p>
    <w:p w:rsidR="006D0823" w:rsidRPr="006D0823" w:rsidRDefault="006D0823" w:rsidP="006D0823">
      <w:pPr>
        <w:tabs>
          <w:tab w:val="left" w:pos="851"/>
        </w:tabs>
        <w:ind w:left="851"/>
        <w:rPr>
          <w:sz w:val="24"/>
          <w:szCs w:val="24"/>
        </w:rPr>
      </w:pPr>
      <w:proofErr w:type="spellStart"/>
      <w:r w:rsidRPr="006D0823">
        <w:rPr>
          <w:sz w:val="24"/>
          <w:szCs w:val="24"/>
        </w:rPr>
        <w:t>Omeprazol</w:t>
      </w:r>
      <w:proofErr w:type="spellEnd"/>
      <w:r w:rsidRPr="006D0823">
        <w:rPr>
          <w:sz w:val="24"/>
          <w:szCs w:val="24"/>
        </w:rPr>
        <w:t xml:space="preserve"> udskilles i modermælk, men det er ikke sandsynligt, at barnet påvirkes, når der anvendes terapeutiske doser.</w:t>
      </w:r>
    </w:p>
    <w:p w:rsidR="006D0823" w:rsidRPr="006D0823" w:rsidRDefault="006D0823" w:rsidP="006D0823">
      <w:pPr>
        <w:tabs>
          <w:tab w:val="left" w:pos="851"/>
        </w:tabs>
        <w:ind w:left="851"/>
        <w:rPr>
          <w:sz w:val="24"/>
          <w:szCs w:val="24"/>
        </w:rPr>
      </w:pPr>
    </w:p>
    <w:p w:rsidR="006D0823" w:rsidRPr="006D0823" w:rsidRDefault="006D0823" w:rsidP="006D0823">
      <w:pPr>
        <w:tabs>
          <w:tab w:val="left" w:pos="851"/>
        </w:tabs>
        <w:ind w:left="851"/>
        <w:rPr>
          <w:sz w:val="24"/>
          <w:szCs w:val="24"/>
          <w:u w:val="single"/>
        </w:rPr>
      </w:pPr>
      <w:r w:rsidRPr="006D0823">
        <w:rPr>
          <w:sz w:val="24"/>
          <w:szCs w:val="24"/>
          <w:u w:val="single"/>
        </w:rPr>
        <w:t>Fertilitet</w:t>
      </w:r>
    </w:p>
    <w:p w:rsidR="006D0823" w:rsidRPr="006D0823" w:rsidRDefault="006D0823" w:rsidP="006D0823">
      <w:pPr>
        <w:tabs>
          <w:tab w:val="left" w:pos="851"/>
        </w:tabs>
        <w:ind w:left="851"/>
        <w:rPr>
          <w:sz w:val="24"/>
          <w:szCs w:val="24"/>
        </w:rPr>
      </w:pPr>
      <w:r w:rsidRPr="006D0823">
        <w:rPr>
          <w:sz w:val="24"/>
          <w:szCs w:val="24"/>
        </w:rPr>
        <w:t xml:space="preserve">I dyreforsøg med oral administration af den </w:t>
      </w:r>
      <w:proofErr w:type="spellStart"/>
      <w:r w:rsidRPr="006D0823">
        <w:rPr>
          <w:sz w:val="24"/>
          <w:szCs w:val="24"/>
        </w:rPr>
        <w:t>racemiske</w:t>
      </w:r>
      <w:proofErr w:type="spellEnd"/>
      <w:r w:rsidRPr="006D0823">
        <w:rPr>
          <w:sz w:val="24"/>
          <w:szCs w:val="24"/>
        </w:rPr>
        <w:t xml:space="preserve"> blanding af </w:t>
      </w:r>
      <w:proofErr w:type="spellStart"/>
      <w:r w:rsidRPr="006D0823">
        <w:rPr>
          <w:sz w:val="24"/>
          <w:szCs w:val="24"/>
        </w:rPr>
        <w:t>omeprazol</w:t>
      </w:r>
      <w:proofErr w:type="spellEnd"/>
      <w:r w:rsidRPr="006D0823">
        <w:rPr>
          <w:sz w:val="24"/>
          <w:szCs w:val="24"/>
        </w:rPr>
        <w:t xml:space="preserve"> blev der ikke set tegn på virkninger, hvad angår fertiliteten.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F7A08">
        <w:rPr>
          <w:b/>
          <w:sz w:val="24"/>
          <w:szCs w:val="24"/>
        </w:rPr>
        <w:t xml:space="preserve">og </w:t>
      </w:r>
      <w:r w:rsidRPr="00C84483">
        <w:rPr>
          <w:b/>
          <w:sz w:val="24"/>
          <w:szCs w:val="24"/>
        </w:rPr>
        <w:t>betjene maskiner</w:t>
      </w:r>
    </w:p>
    <w:p w:rsidR="006D0823" w:rsidRPr="006D0823" w:rsidRDefault="006D0823" w:rsidP="006D0823">
      <w:pPr>
        <w:tabs>
          <w:tab w:val="left" w:pos="851"/>
        </w:tabs>
        <w:ind w:left="851"/>
        <w:rPr>
          <w:sz w:val="24"/>
          <w:szCs w:val="24"/>
        </w:rPr>
      </w:pPr>
      <w:r w:rsidRPr="006D0823">
        <w:rPr>
          <w:sz w:val="24"/>
          <w:szCs w:val="24"/>
        </w:rPr>
        <w:t>Ikke mærkning.</w:t>
      </w:r>
    </w:p>
    <w:p w:rsidR="006D0823" w:rsidRPr="006D0823" w:rsidRDefault="006D0823" w:rsidP="006D0823">
      <w:pPr>
        <w:tabs>
          <w:tab w:val="left" w:pos="851"/>
        </w:tabs>
        <w:ind w:left="851"/>
        <w:rPr>
          <w:sz w:val="24"/>
          <w:szCs w:val="24"/>
        </w:rPr>
      </w:pPr>
      <w:proofErr w:type="spellStart"/>
      <w:r w:rsidRPr="006D0823">
        <w:rPr>
          <w:sz w:val="24"/>
          <w:szCs w:val="24"/>
        </w:rPr>
        <w:lastRenderedPageBreak/>
        <w:t>Pedippi</w:t>
      </w:r>
      <w:proofErr w:type="spellEnd"/>
      <w:r w:rsidRPr="006D0823">
        <w:rPr>
          <w:sz w:val="24"/>
          <w:szCs w:val="24"/>
        </w:rPr>
        <w:t xml:space="preserve"> påvirker ikke evnen til at føre motorkøretøj og betjene maskiner. Der kan forekomme bivirkninger som f.eks. svimmelhed og synsforstyrrelser (se pkt. 4.8). Patienter, der påvirkes af disse, må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D0823" w:rsidRDefault="006D0823" w:rsidP="006D0823">
      <w:pPr>
        <w:tabs>
          <w:tab w:val="left" w:pos="851"/>
        </w:tabs>
        <w:ind w:left="851"/>
        <w:rPr>
          <w:sz w:val="24"/>
          <w:szCs w:val="24"/>
          <w:u w:val="single"/>
        </w:rPr>
      </w:pPr>
    </w:p>
    <w:p w:rsidR="006D0823" w:rsidRPr="006D0823" w:rsidRDefault="006D0823" w:rsidP="006D0823">
      <w:pPr>
        <w:tabs>
          <w:tab w:val="left" w:pos="851"/>
        </w:tabs>
        <w:ind w:left="851"/>
        <w:rPr>
          <w:sz w:val="24"/>
          <w:szCs w:val="24"/>
          <w:u w:val="single"/>
        </w:rPr>
      </w:pPr>
      <w:r w:rsidRPr="006D0823">
        <w:rPr>
          <w:sz w:val="24"/>
          <w:szCs w:val="24"/>
          <w:u w:val="single"/>
        </w:rPr>
        <w:t>Resumé af sikkerhedsprofilen</w:t>
      </w:r>
    </w:p>
    <w:p w:rsidR="006D0823" w:rsidRDefault="006D0823" w:rsidP="006D0823">
      <w:pPr>
        <w:tabs>
          <w:tab w:val="left" w:pos="851"/>
        </w:tabs>
        <w:ind w:left="851"/>
        <w:rPr>
          <w:sz w:val="24"/>
          <w:szCs w:val="24"/>
        </w:rPr>
      </w:pPr>
      <w:r w:rsidRPr="006D0823">
        <w:rPr>
          <w:sz w:val="24"/>
          <w:szCs w:val="24"/>
        </w:rPr>
        <w:t>De almindeligst forekommende bivirkninger (ses hos 1-10</w:t>
      </w:r>
      <w:r w:rsidR="003A35D1">
        <w:rPr>
          <w:sz w:val="24"/>
          <w:szCs w:val="24"/>
        </w:rPr>
        <w:t xml:space="preserve"> %</w:t>
      </w:r>
      <w:r w:rsidRPr="006D0823">
        <w:rPr>
          <w:sz w:val="24"/>
          <w:szCs w:val="24"/>
        </w:rPr>
        <w:t xml:space="preserve"> af patienterne) er hovedpine, </w:t>
      </w:r>
      <w:proofErr w:type="spellStart"/>
      <w:r w:rsidRPr="006D0823">
        <w:rPr>
          <w:sz w:val="24"/>
          <w:szCs w:val="24"/>
        </w:rPr>
        <w:t>abdominalsmerte</w:t>
      </w:r>
      <w:proofErr w:type="spellEnd"/>
      <w:r w:rsidRPr="006D0823">
        <w:rPr>
          <w:sz w:val="24"/>
          <w:szCs w:val="24"/>
        </w:rPr>
        <w:t xml:space="preserve">, obstipation, diarré, </w:t>
      </w:r>
      <w:proofErr w:type="spellStart"/>
      <w:r w:rsidRPr="006D0823">
        <w:rPr>
          <w:sz w:val="24"/>
          <w:szCs w:val="24"/>
        </w:rPr>
        <w:t>flatulens</w:t>
      </w:r>
      <w:proofErr w:type="spellEnd"/>
      <w:r w:rsidRPr="006D0823">
        <w:rPr>
          <w:sz w:val="24"/>
          <w:szCs w:val="24"/>
        </w:rPr>
        <w:t xml:space="preserve"> og kvalme/opkastning.</w:t>
      </w:r>
    </w:p>
    <w:p w:rsidR="00D3018F" w:rsidRDefault="00D3018F" w:rsidP="006D0823">
      <w:pPr>
        <w:tabs>
          <w:tab w:val="left" w:pos="851"/>
        </w:tabs>
        <w:ind w:left="851"/>
        <w:rPr>
          <w:sz w:val="24"/>
          <w:szCs w:val="24"/>
        </w:rPr>
      </w:pPr>
    </w:p>
    <w:p w:rsidR="00D3018F" w:rsidRPr="006D0823" w:rsidRDefault="00D3018F" w:rsidP="00D3018F">
      <w:pPr>
        <w:tabs>
          <w:tab w:val="left" w:pos="851"/>
        </w:tabs>
        <w:ind w:left="851"/>
        <w:rPr>
          <w:sz w:val="24"/>
          <w:szCs w:val="24"/>
        </w:rPr>
      </w:pPr>
      <w:r w:rsidRPr="008A300B">
        <w:rPr>
          <w:sz w:val="24"/>
          <w:szCs w:val="24"/>
        </w:rPr>
        <w:t xml:space="preserve">Der er rapporteret om svære </w:t>
      </w:r>
      <w:proofErr w:type="spellStart"/>
      <w:r w:rsidRPr="008A300B">
        <w:rPr>
          <w:sz w:val="24"/>
          <w:szCs w:val="24"/>
        </w:rPr>
        <w:t>kutane</w:t>
      </w:r>
      <w:proofErr w:type="spellEnd"/>
      <w:r w:rsidRPr="008A300B">
        <w:rPr>
          <w:sz w:val="24"/>
          <w:szCs w:val="24"/>
        </w:rPr>
        <w:t xml:space="preserve"> bivirkninger (</w:t>
      </w:r>
      <w:proofErr w:type="spellStart"/>
      <w:r w:rsidRPr="008A300B">
        <w:rPr>
          <w:sz w:val="24"/>
          <w:szCs w:val="24"/>
        </w:rPr>
        <w:t>SCARs</w:t>
      </w:r>
      <w:proofErr w:type="spellEnd"/>
      <w:r w:rsidRPr="008A300B">
        <w:rPr>
          <w:sz w:val="24"/>
          <w:szCs w:val="24"/>
        </w:rPr>
        <w:t xml:space="preserve">), herunder Stevens-Johnsons syndrom (SJS), toksisk </w:t>
      </w:r>
      <w:proofErr w:type="spellStart"/>
      <w:r w:rsidRPr="008A300B">
        <w:rPr>
          <w:sz w:val="24"/>
          <w:szCs w:val="24"/>
        </w:rPr>
        <w:t>epidermal</w:t>
      </w:r>
      <w:proofErr w:type="spellEnd"/>
      <w:r w:rsidRPr="008A300B">
        <w:rPr>
          <w:sz w:val="24"/>
          <w:szCs w:val="24"/>
        </w:rPr>
        <w:t xml:space="preserve"> </w:t>
      </w:r>
      <w:proofErr w:type="spellStart"/>
      <w:r w:rsidRPr="008A300B">
        <w:rPr>
          <w:sz w:val="24"/>
          <w:szCs w:val="24"/>
        </w:rPr>
        <w:t>nekrolyse</w:t>
      </w:r>
      <w:proofErr w:type="spellEnd"/>
      <w:r w:rsidRPr="008A300B">
        <w:rPr>
          <w:sz w:val="24"/>
          <w:szCs w:val="24"/>
        </w:rPr>
        <w:t xml:space="preserve"> (TEN), lægemiddelreaktion med </w:t>
      </w:r>
      <w:proofErr w:type="spellStart"/>
      <w:r w:rsidRPr="008A300B">
        <w:rPr>
          <w:sz w:val="24"/>
          <w:szCs w:val="24"/>
        </w:rPr>
        <w:t>eosinofili</w:t>
      </w:r>
      <w:proofErr w:type="spellEnd"/>
      <w:r w:rsidRPr="008A300B">
        <w:rPr>
          <w:sz w:val="24"/>
          <w:szCs w:val="24"/>
        </w:rPr>
        <w:t xml:space="preserve"> og systemiske symptomer (DRESS) og akut generaliseret </w:t>
      </w:r>
      <w:proofErr w:type="spellStart"/>
      <w:r w:rsidRPr="008A300B">
        <w:rPr>
          <w:sz w:val="24"/>
          <w:szCs w:val="24"/>
        </w:rPr>
        <w:t>eksantematøs</w:t>
      </w:r>
      <w:proofErr w:type="spellEnd"/>
      <w:r w:rsidRPr="008A300B">
        <w:rPr>
          <w:sz w:val="24"/>
          <w:szCs w:val="24"/>
        </w:rPr>
        <w:t xml:space="preserve"> </w:t>
      </w:r>
      <w:proofErr w:type="spellStart"/>
      <w:r w:rsidRPr="008A300B">
        <w:rPr>
          <w:sz w:val="24"/>
          <w:szCs w:val="24"/>
        </w:rPr>
        <w:t>pustulose</w:t>
      </w:r>
      <w:proofErr w:type="spellEnd"/>
      <w:r w:rsidRPr="008A300B">
        <w:rPr>
          <w:sz w:val="24"/>
          <w:szCs w:val="24"/>
        </w:rPr>
        <w:t xml:space="preserve"> (AGEP), i forbindelse med </w:t>
      </w:r>
      <w:proofErr w:type="spellStart"/>
      <w:r w:rsidRPr="008A300B">
        <w:rPr>
          <w:sz w:val="24"/>
          <w:szCs w:val="24"/>
        </w:rPr>
        <w:t>omeprazolbehandling</w:t>
      </w:r>
      <w:proofErr w:type="spellEnd"/>
      <w:r w:rsidRPr="008A300B">
        <w:rPr>
          <w:sz w:val="24"/>
          <w:szCs w:val="24"/>
        </w:rPr>
        <w:t xml:space="preserve"> (se pkt. 4.4).</w:t>
      </w:r>
    </w:p>
    <w:p w:rsidR="00D3018F" w:rsidRPr="006D0823" w:rsidRDefault="00D3018F" w:rsidP="00D3018F">
      <w:pPr>
        <w:tabs>
          <w:tab w:val="left" w:pos="851"/>
        </w:tabs>
        <w:ind w:left="851"/>
        <w:rPr>
          <w:sz w:val="24"/>
          <w:szCs w:val="24"/>
        </w:rPr>
      </w:pPr>
    </w:p>
    <w:p w:rsidR="00D3018F" w:rsidRPr="006D0823" w:rsidRDefault="00D3018F" w:rsidP="00D3018F">
      <w:pPr>
        <w:tabs>
          <w:tab w:val="left" w:pos="851"/>
        </w:tabs>
        <w:ind w:left="851"/>
        <w:rPr>
          <w:sz w:val="24"/>
          <w:szCs w:val="24"/>
          <w:u w:val="single"/>
        </w:rPr>
      </w:pPr>
      <w:r w:rsidRPr="006D0823">
        <w:rPr>
          <w:sz w:val="24"/>
          <w:szCs w:val="24"/>
          <w:u w:val="single"/>
        </w:rPr>
        <w:t>Liste over bivirkninger i tabelform</w:t>
      </w:r>
    </w:p>
    <w:p w:rsidR="00D3018F" w:rsidRDefault="00D3018F" w:rsidP="00D3018F">
      <w:pPr>
        <w:tabs>
          <w:tab w:val="left" w:pos="851"/>
        </w:tabs>
        <w:ind w:left="851"/>
        <w:rPr>
          <w:sz w:val="24"/>
          <w:szCs w:val="24"/>
        </w:rPr>
      </w:pPr>
      <w:r w:rsidRPr="006D0823">
        <w:rPr>
          <w:sz w:val="24"/>
          <w:szCs w:val="24"/>
        </w:rPr>
        <w:t xml:space="preserve">Følgende bivirkninger er påvist eller anset som mulige i </w:t>
      </w:r>
      <w:proofErr w:type="spellStart"/>
      <w:r w:rsidRPr="006D0823">
        <w:rPr>
          <w:sz w:val="24"/>
          <w:szCs w:val="24"/>
        </w:rPr>
        <w:t>omeprazols</w:t>
      </w:r>
      <w:proofErr w:type="spellEnd"/>
      <w:r w:rsidRPr="006D0823">
        <w:rPr>
          <w:sz w:val="24"/>
          <w:szCs w:val="24"/>
        </w:rPr>
        <w:t xml:space="preserve"> kliniske forsøgsprogram og post-marketing. Ingen var dosisafhængige.</w:t>
      </w:r>
    </w:p>
    <w:p w:rsidR="00D3018F" w:rsidRDefault="00D3018F" w:rsidP="00D3018F">
      <w:pPr>
        <w:tabs>
          <w:tab w:val="left" w:pos="851"/>
        </w:tabs>
        <w:ind w:left="851"/>
        <w:rPr>
          <w:sz w:val="24"/>
          <w:szCs w:val="24"/>
        </w:rPr>
      </w:pPr>
      <w:r w:rsidRPr="006D0823">
        <w:rPr>
          <w:sz w:val="24"/>
          <w:szCs w:val="24"/>
        </w:rPr>
        <w:t>Bivirkningerne er nedenfor anført efter frekvens og organklasse.</w:t>
      </w:r>
    </w:p>
    <w:p w:rsidR="00D3018F" w:rsidRDefault="00D3018F" w:rsidP="00D3018F">
      <w:pPr>
        <w:tabs>
          <w:tab w:val="left" w:pos="851"/>
        </w:tabs>
        <w:ind w:left="851"/>
        <w:rPr>
          <w:sz w:val="24"/>
          <w:szCs w:val="24"/>
        </w:rPr>
      </w:pPr>
      <w:r w:rsidRPr="006D0823">
        <w:rPr>
          <w:sz w:val="24"/>
          <w:szCs w:val="24"/>
        </w:rPr>
        <w:t>Frekvenskategorierne er defineret som følger: Meget almindelig (≥1/10), Almindelig (≥1/100 til &lt;1/10), Ikke almindelig (≥1/1.000 til &lt;1/100), Sjælden (≥1/10.000 til &lt;1/1.000), Meget sjælden (&lt;1/10.000), Ikke kendt (kan ikke estimeres ud fra forhåndenværende data).</w:t>
      </w:r>
    </w:p>
    <w:tbl>
      <w:tblPr>
        <w:tblpPr w:leftFromText="141" w:rightFromText="141" w:vertAnchor="text" w:tblpY="33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338"/>
      </w:tblGrid>
      <w:tr w:rsidR="00D3018F" w:rsidRPr="006D0823" w:rsidTr="00D3018F">
        <w:trPr>
          <w:tblHeader/>
        </w:trPr>
        <w:tc>
          <w:tcPr>
            <w:tcW w:w="2585" w:type="dxa"/>
            <w:tcBorders>
              <w:top w:val="single" w:sz="4" w:space="0" w:color="auto"/>
              <w:left w:val="single" w:sz="4" w:space="0" w:color="auto"/>
              <w:bottom w:val="single" w:sz="4" w:space="0" w:color="auto"/>
              <w:right w:val="single" w:sz="4" w:space="0" w:color="auto"/>
            </w:tcBorders>
          </w:tcPr>
          <w:p w:rsidR="00D3018F" w:rsidRPr="006D0823" w:rsidRDefault="00D3018F" w:rsidP="00D3018F">
            <w:pPr>
              <w:ind w:left="63"/>
              <w:rPr>
                <w:b/>
                <w:bCs/>
                <w:sz w:val="24"/>
                <w:szCs w:val="24"/>
              </w:rPr>
            </w:pPr>
            <w:r w:rsidRPr="006D0823">
              <w:rPr>
                <w:b/>
                <w:bCs/>
                <w:sz w:val="24"/>
                <w:szCs w:val="24"/>
              </w:rPr>
              <w:t>Organklasse/frekvens</w:t>
            </w:r>
          </w:p>
          <w:p w:rsidR="00D3018F" w:rsidRPr="006D0823" w:rsidRDefault="00D3018F" w:rsidP="00D3018F">
            <w:pPr>
              <w:ind w:left="63"/>
              <w:rPr>
                <w:b/>
                <w:bCs/>
                <w:sz w:val="24"/>
                <w:szCs w:val="24"/>
              </w:rPr>
            </w:pP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Bivirkning</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Blod og lymfesystem</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 xml:space="preserve">Sjælden: </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Leukopeni</w:t>
            </w:r>
            <w:proofErr w:type="spellEnd"/>
            <w:r w:rsidRPr="006D0823">
              <w:rPr>
                <w:sz w:val="24"/>
                <w:szCs w:val="24"/>
              </w:rPr>
              <w:t xml:space="preserve">, </w:t>
            </w:r>
            <w:proofErr w:type="spellStart"/>
            <w:r w:rsidRPr="006D0823">
              <w:rPr>
                <w:sz w:val="24"/>
                <w:szCs w:val="24"/>
              </w:rPr>
              <w:t>trombocytopeni</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 xml:space="preserve">Meget sjælden: </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Agranulocytose</w:t>
            </w:r>
            <w:proofErr w:type="spellEnd"/>
            <w:r w:rsidRPr="006D0823">
              <w:rPr>
                <w:sz w:val="24"/>
                <w:szCs w:val="24"/>
              </w:rPr>
              <w:t xml:space="preserve">, </w:t>
            </w:r>
            <w:proofErr w:type="spellStart"/>
            <w:r w:rsidRPr="006D0823">
              <w:rPr>
                <w:sz w:val="24"/>
                <w:szCs w:val="24"/>
              </w:rPr>
              <w:t>pancytopeni</w:t>
            </w:r>
            <w:proofErr w:type="spellEnd"/>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Immunsystemet</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 xml:space="preserve">Overfølsomhedsreaktioner f.eks. feber, </w:t>
            </w:r>
            <w:proofErr w:type="spellStart"/>
            <w:r w:rsidRPr="006D0823">
              <w:rPr>
                <w:sz w:val="24"/>
                <w:szCs w:val="24"/>
              </w:rPr>
              <w:t>angioødem</w:t>
            </w:r>
            <w:proofErr w:type="spellEnd"/>
            <w:r w:rsidRPr="006D0823">
              <w:rPr>
                <w:sz w:val="24"/>
                <w:szCs w:val="24"/>
              </w:rPr>
              <w:t xml:space="preserve"> og </w:t>
            </w:r>
            <w:proofErr w:type="spellStart"/>
            <w:r w:rsidRPr="006D0823">
              <w:rPr>
                <w:sz w:val="24"/>
                <w:szCs w:val="24"/>
              </w:rPr>
              <w:t>anafylaktisk</w:t>
            </w:r>
            <w:proofErr w:type="spellEnd"/>
            <w:r w:rsidRPr="006D0823">
              <w:rPr>
                <w:sz w:val="24"/>
                <w:szCs w:val="24"/>
              </w:rPr>
              <w:t xml:space="preserve"> reaktion/</w:t>
            </w:r>
            <w:proofErr w:type="spellStart"/>
            <w:r w:rsidRPr="006D0823">
              <w:rPr>
                <w:sz w:val="24"/>
                <w:szCs w:val="24"/>
              </w:rPr>
              <w:t>shock</w:t>
            </w:r>
            <w:proofErr w:type="spellEnd"/>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Metabolisme og ernæring</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Hyponatriæmi</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Frekvens ikke kendt</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Hypomagnesiæmi</w:t>
            </w:r>
            <w:proofErr w:type="spellEnd"/>
            <w:r w:rsidRPr="006D0823">
              <w:rPr>
                <w:sz w:val="24"/>
                <w:szCs w:val="24"/>
              </w:rPr>
              <w:t xml:space="preserve">; svær </w:t>
            </w:r>
            <w:proofErr w:type="spellStart"/>
            <w:r w:rsidRPr="006D0823">
              <w:rPr>
                <w:sz w:val="24"/>
                <w:szCs w:val="24"/>
              </w:rPr>
              <w:t>hypomagnesiæmi</w:t>
            </w:r>
            <w:proofErr w:type="spellEnd"/>
            <w:r w:rsidRPr="006D0823">
              <w:rPr>
                <w:sz w:val="24"/>
                <w:szCs w:val="24"/>
              </w:rPr>
              <w:t xml:space="preserve"> kan forårsage </w:t>
            </w:r>
            <w:proofErr w:type="spellStart"/>
            <w:r w:rsidRPr="006D0823">
              <w:rPr>
                <w:sz w:val="24"/>
                <w:szCs w:val="24"/>
              </w:rPr>
              <w:t>hypokalcæmi</w:t>
            </w:r>
            <w:proofErr w:type="spellEnd"/>
            <w:r w:rsidRPr="006D0823">
              <w:rPr>
                <w:sz w:val="24"/>
                <w:szCs w:val="24"/>
              </w:rPr>
              <w:t>.</w:t>
            </w:r>
          </w:p>
          <w:p w:rsidR="00D3018F" w:rsidRPr="006D0823" w:rsidRDefault="00D3018F" w:rsidP="00D3018F">
            <w:pPr>
              <w:ind w:left="29"/>
              <w:rPr>
                <w:sz w:val="24"/>
                <w:szCs w:val="24"/>
              </w:rPr>
            </w:pPr>
            <w:proofErr w:type="spellStart"/>
            <w:r w:rsidRPr="006D0823">
              <w:rPr>
                <w:sz w:val="24"/>
                <w:szCs w:val="24"/>
              </w:rPr>
              <w:t>Hypomagnesiæmi</w:t>
            </w:r>
            <w:proofErr w:type="spellEnd"/>
            <w:r w:rsidRPr="006D0823">
              <w:rPr>
                <w:sz w:val="24"/>
                <w:szCs w:val="24"/>
              </w:rPr>
              <w:t xml:space="preserve"> kan også være forbundet med </w:t>
            </w:r>
            <w:proofErr w:type="spellStart"/>
            <w:r w:rsidRPr="006D0823">
              <w:rPr>
                <w:sz w:val="24"/>
                <w:szCs w:val="24"/>
              </w:rPr>
              <w:t>hypokaliæmi</w:t>
            </w:r>
            <w:proofErr w:type="spellEnd"/>
            <w:r w:rsidRPr="006D0823">
              <w:rPr>
                <w:sz w:val="24"/>
                <w:szCs w:val="24"/>
              </w:rPr>
              <w:t>.</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Psykiske forstyrrelser</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Insomni</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Agitation, konfusion, depression</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Meget 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Aggression, hallucinationer</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Nervesystemet</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Hovedpine</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 xml:space="preserve">Svimmelhed, </w:t>
            </w:r>
            <w:proofErr w:type="spellStart"/>
            <w:r w:rsidRPr="006D0823">
              <w:rPr>
                <w:sz w:val="24"/>
                <w:szCs w:val="24"/>
              </w:rPr>
              <w:t>paræstesi</w:t>
            </w:r>
            <w:proofErr w:type="spellEnd"/>
            <w:r w:rsidRPr="006D0823">
              <w:rPr>
                <w:sz w:val="24"/>
                <w:szCs w:val="24"/>
              </w:rPr>
              <w:t>, døsighed</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Smagsforstyrrelser</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Øjne</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Uklart syn</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Øre og labyrint</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Vertigo</w:t>
            </w:r>
            <w:proofErr w:type="spellEnd"/>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 xml:space="preserve">Luftveje, thorax og </w:t>
            </w:r>
            <w:proofErr w:type="spellStart"/>
            <w:r w:rsidRPr="006D0823">
              <w:rPr>
                <w:b/>
                <w:bCs/>
                <w:sz w:val="24"/>
                <w:szCs w:val="24"/>
              </w:rPr>
              <w:t>mediastinum</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Bronkospasme</w:t>
            </w:r>
            <w:proofErr w:type="spellEnd"/>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Mave-tarm-kanalen</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lastRenderedPageBreak/>
              <w:t>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Abdominalsmerte</w:t>
            </w:r>
            <w:proofErr w:type="spellEnd"/>
            <w:r w:rsidRPr="006D0823">
              <w:rPr>
                <w:sz w:val="24"/>
                <w:szCs w:val="24"/>
              </w:rPr>
              <w:t xml:space="preserve">, obstipation, diarré, </w:t>
            </w:r>
            <w:proofErr w:type="spellStart"/>
            <w:r w:rsidRPr="006D0823">
              <w:rPr>
                <w:sz w:val="24"/>
                <w:szCs w:val="24"/>
              </w:rPr>
              <w:t>flatulens</w:t>
            </w:r>
            <w:proofErr w:type="spellEnd"/>
            <w:r w:rsidRPr="006D0823">
              <w:rPr>
                <w:sz w:val="24"/>
                <w:szCs w:val="24"/>
              </w:rPr>
              <w:t>, kvalme/opkastning, benigne gastriske polypper.</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 xml:space="preserve">Mundtørhed, </w:t>
            </w:r>
            <w:proofErr w:type="spellStart"/>
            <w:r w:rsidRPr="006D0823">
              <w:rPr>
                <w:sz w:val="24"/>
                <w:szCs w:val="24"/>
              </w:rPr>
              <w:t>stomatitis</w:t>
            </w:r>
            <w:proofErr w:type="spellEnd"/>
            <w:r w:rsidRPr="006D0823">
              <w:rPr>
                <w:sz w:val="24"/>
                <w:szCs w:val="24"/>
              </w:rPr>
              <w:t xml:space="preserve">, </w:t>
            </w:r>
            <w:proofErr w:type="spellStart"/>
            <w:r w:rsidRPr="006D0823">
              <w:rPr>
                <w:sz w:val="24"/>
                <w:szCs w:val="24"/>
              </w:rPr>
              <w:t>gastrointestinal</w:t>
            </w:r>
            <w:proofErr w:type="spellEnd"/>
            <w:r w:rsidRPr="006D0823">
              <w:rPr>
                <w:sz w:val="24"/>
                <w:szCs w:val="24"/>
              </w:rPr>
              <w:t xml:space="preserve"> </w:t>
            </w:r>
            <w:proofErr w:type="spellStart"/>
            <w:r w:rsidRPr="006D0823">
              <w:rPr>
                <w:sz w:val="24"/>
                <w:szCs w:val="24"/>
              </w:rPr>
              <w:t>candidiasis</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Frekvens ikke kendt</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Mikroskopisk colitis</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Lever og galdeveje</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Forhøjede leverenzymer</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Hepatitis med eller uden gulsot</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Meget 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Leversvigt, encefalopati hos patienter med præeksisterende leversygdom</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Hud og subkutane væv</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Dermatitis</w:t>
            </w:r>
            <w:proofErr w:type="spellEnd"/>
            <w:r w:rsidRPr="006D0823">
              <w:rPr>
                <w:sz w:val="24"/>
                <w:szCs w:val="24"/>
              </w:rPr>
              <w:t xml:space="preserve">, </w:t>
            </w:r>
            <w:proofErr w:type="spellStart"/>
            <w:r w:rsidRPr="006D0823">
              <w:rPr>
                <w:sz w:val="24"/>
                <w:szCs w:val="24"/>
              </w:rPr>
              <w:t>pruritus</w:t>
            </w:r>
            <w:proofErr w:type="spellEnd"/>
            <w:r w:rsidRPr="006D0823">
              <w:rPr>
                <w:sz w:val="24"/>
                <w:szCs w:val="24"/>
              </w:rPr>
              <w:t xml:space="preserve">, hududslæt, </w:t>
            </w:r>
            <w:proofErr w:type="spellStart"/>
            <w:r w:rsidRPr="006D0823">
              <w:rPr>
                <w:sz w:val="24"/>
                <w:szCs w:val="24"/>
              </w:rPr>
              <w:t>urticaria</w:t>
            </w:r>
            <w:proofErr w:type="spellEnd"/>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Alopeci</w:t>
            </w:r>
            <w:proofErr w:type="spellEnd"/>
            <w:r w:rsidRPr="006D0823">
              <w:rPr>
                <w:sz w:val="24"/>
                <w:szCs w:val="24"/>
              </w:rPr>
              <w:t>, fotosensibilitet</w:t>
            </w:r>
            <w:r w:rsidRPr="008A300B">
              <w:rPr>
                <w:sz w:val="24"/>
                <w:szCs w:val="24"/>
              </w:rPr>
              <w:t xml:space="preserve">, akut generaliseret </w:t>
            </w:r>
            <w:proofErr w:type="spellStart"/>
            <w:r w:rsidRPr="008A300B">
              <w:rPr>
                <w:sz w:val="24"/>
                <w:szCs w:val="24"/>
              </w:rPr>
              <w:t>eksantematøs</w:t>
            </w:r>
            <w:proofErr w:type="spellEnd"/>
            <w:r w:rsidRPr="008A300B">
              <w:rPr>
                <w:sz w:val="24"/>
                <w:szCs w:val="24"/>
              </w:rPr>
              <w:t xml:space="preserve"> </w:t>
            </w:r>
            <w:proofErr w:type="spellStart"/>
            <w:r w:rsidRPr="008A300B">
              <w:rPr>
                <w:sz w:val="24"/>
                <w:szCs w:val="24"/>
              </w:rPr>
              <w:t>pustulose</w:t>
            </w:r>
            <w:proofErr w:type="spellEnd"/>
            <w:r w:rsidRPr="008A300B">
              <w:rPr>
                <w:sz w:val="24"/>
                <w:szCs w:val="24"/>
              </w:rPr>
              <w:t xml:space="preserve"> (AGEP), lægemiddelreaktion med </w:t>
            </w:r>
            <w:proofErr w:type="spellStart"/>
            <w:r w:rsidRPr="008A300B">
              <w:rPr>
                <w:sz w:val="24"/>
                <w:szCs w:val="24"/>
              </w:rPr>
              <w:t>eosinofili</w:t>
            </w:r>
            <w:proofErr w:type="spellEnd"/>
            <w:r w:rsidRPr="008A300B">
              <w:rPr>
                <w:sz w:val="24"/>
                <w:szCs w:val="24"/>
              </w:rPr>
              <w:t xml:space="preserve"> og systemiske symptomer (DRESS)</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Meget 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lang w:val="nb-NO"/>
              </w:rPr>
            </w:pPr>
            <w:r w:rsidRPr="006D0823">
              <w:rPr>
                <w:sz w:val="24"/>
                <w:szCs w:val="24"/>
                <w:lang w:val="nb-NO"/>
              </w:rPr>
              <w:t xml:space="preserve">Erythema multiforme, Stevens-Johnsons syndrom, toksisk epidermal nekrolyse (TEN) </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kendt:</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lang w:val="fi-FI"/>
              </w:rPr>
            </w:pPr>
            <w:r w:rsidRPr="006D0823">
              <w:rPr>
                <w:sz w:val="24"/>
                <w:szCs w:val="24"/>
                <w:lang w:val="fi-FI"/>
              </w:rPr>
              <w:t>Subakut kutan lupus erythematosus (se pkt. 4.4)</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Knogler, led, muskler og bindevæv</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Fraktur på hofte, håndled eller rygrad.</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Artralgi</w:t>
            </w:r>
            <w:proofErr w:type="spellEnd"/>
            <w:r w:rsidRPr="006D0823">
              <w:rPr>
                <w:sz w:val="24"/>
                <w:szCs w:val="24"/>
              </w:rPr>
              <w:t>, myalgi</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Meget 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Muskelsvaghed</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Nyrer og urinveje</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CF7A08" w:rsidRDefault="00D3018F" w:rsidP="00D3018F">
            <w:pPr>
              <w:ind w:left="29"/>
              <w:rPr>
                <w:sz w:val="24"/>
                <w:szCs w:val="24"/>
                <w:highlight w:val="yellow"/>
              </w:rPr>
            </w:pP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(med mulig forværring til nyresvigt)</w:t>
            </w:r>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Det reproduktive system og mammae</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Meget 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proofErr w:type="spellStart"/>
            <w:r w:rsidRPr="006D0823">
              <w:rPr>
                <w:sz w:val="24"/>
                <w:szCs w:val="24"/>
              </w:rPr>
              <w:t>Gynækomasti</w:t>
            </w:r>
            <w:proofErr w:type="spellEnd"/>
          </w:p>
        </w:tc>
      </w:tr>
      <w:tr w:rsidR="00D3018F" w:rsidRPr="006D0823" w:rsidTr="00D3018F">
        <w:trPr>
          <w:cantSplit/>
        </w:trPr>
        <w:tc>
          <w:tcPr>
            <w:tcW w:w="9923" w:type="dxa"/>
            <w:gridSpan w:val="2"/>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b/>
                <w:bCs/>
                <w:sz w:val="24"/>
                <w:szCs w:val="24"/>
              </w:rPr>
            </w:pPr>
            <w:r w:rsidRPr="006D0823">
              <w:rPr>
                <w:b/>
                <w:bCs/>
                <w:sz w:val="24"/>
                <w:szCs w:val="24"/>
              </w:rPr>
              <w:t>Almene symptomer og reaktioner på administrationsstedet</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Ikke almindelig:</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Utilpashed, perifere ødemer</w:t>
            </w:r>
          </w:p>
        </w:tc>
      </w:tr>
      <w:tr w:rsidR="00D3018F" w:rsidRPr="006D0823" w:rsidTr="00D3018F">
        <w:tc>
          <w:tcPr>
            <w:tcW w:w="2585"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63"/>
              <w:rPr>
                <w:sz w:val="24"/>
                <w:szCs w:val="24"/>
              </w:rPr>
            </w:pPr>
            <w:r w:rsidRPr="006D0823">
              <w:rPr>
                <w:sz w:val="24"/>
                <w:szCs w:val="24"/>
              </w:rPr>
              <w:t>Sjælden:</w:t>
            </w:r>
          </w:p>
        </w:tc>
        <w:tc>
          <w:tcPr>
            <w:tcW w:w="7338" w:type="dxa"/>
            <w:tcBorders>
              <w:top w:val="single" w:sz="4" w:space="0" w:color="auto"/>
              <w:left w:val="single" w:sz="4" w:space="0" w:color="auto"/>
              <w:bottom w:val="single" w:sz="4" w:space="0" w:color="auto"/>
              <w:right w:val="single" w:sz="4" w:space="0" w:color="auto"/>
            </w:tcBorders>
            <w:hideMark/>
          </w:tcPr>
          <w:p w:rsidR="00D3018F" w:rsidRPr="006D0823" w:rsidRDefault="00D3018F" w:rsidP="00D3018F">
            <w:pPr>
              <w:ind w:left="29"/>
              <w:rPr>
                <w:sz w:val="24"/>
                <w:szCs w:val="24"/>
              </w:rPr>
            </w:pPr>
            <w:r w:rsidRPr="006D0823">
              <w:rPr>
                <w:sz w:val="24"/>
                <w:szCs w:val="24"/>
              </w:rPr>
              <w:t>Øget svedtendens</w:t>
            </w:r>
          </w:p>
        </w:tc>
      </w:tr>
    </w:tbl>
    <w:p w:rsidR="006D0823" w:rsidRPr="006D0823" w:rsidRDefault="006D0823" w:rsidP="006D0823">
      <w:pPr>
        <w:tabs>
          <w:tab w:val="left" w:pos="851"/>
        </w:tabs>
        <w:ind w:left="851"/>
        <w:rPr>
          <w:sz w:val="24"/>
          <w:szCs w:val="24"/>
        </w:rPr>
      </w:pPr>
    </w:p>
    <w:p w:rsidR="006D0823" w:rsidRPr="006D0823" w:rsidRDefault="006D0823" w:rsidP="006D0823">
      <w:pPr>
        <w:tabs>
          <w:tab w:val="left" w:pos="851"/>
        </w:tabs>
        <w:ind w:left="851"/>
        <w:rPr>
          <w:sz w:val="24"/>
          <w:szCs w:val="24"/>
          <w:u w:val="single"/>
        </w:rPr>
      </w:pPr>
      <w:r w:rsidRPr="006D0823">
        <w:rPr>
          <w:sz w:val="24"/>
          <w:szCs w:val="24"/>
          <w:u w:val="single"/>
        </w:rPr>
        <w:t>Pædiatrisk population</w:t>
      </w:r>
    </w:p>
    <w:p w:rsidR="006D0823" w:rsidRPr="006D0823" w:rsidRDefault="006D0823" w:rsidP="006D0823">
      <w:pPr>
        <w:tabs>
          <w:tab w:val="left" w:pos="851"/>
        </w:tabs>
        <w:ind w:left="851"/>
        <w:rPr>
          <w:sz w:val="24"/>
          <w:szCs w:val="24"/>
        </w:rPr>
      </w:pPr>
      <w:proofErr w:type="spellStart"/>
      <w:r w:rsidRPr="006D0823">
        <w:rPr>
          <w:sz w:val="24"/>
          <w:szCs w:val="24"/>
        </w:rPr>
        <w:t>Omeprazols</w:t>
      </w:r>
      <w:proofErr w:type="spellEnd"/>
      <w:r w:rsidRPr="006D0823">
        <w:rPr>
          <w:sz w:val="24"/>
          <w:szCs w:val="24"/>
        </w:rPr>
        <w:t xml:space="preserve"> sikkerhed er undersøgt hos i alt 310 børn mellem 0 og 16 år med syrerelateret sygdom. Der er begrænset </w:t>
      </w:r>
      <w:proofErr w:type="spellStart"/>
      <w:r w:rsidRPr="006D0823">
        <w:rPr>
          <w:sz w:val="24"/>
          <w:szCs w:val="24"/>
        </w:rPr>
        <w:t>langtids</w:t>
      </w:r>
      <w:proofErr w:type="spellEnd"/>
      <w:r w:rsidRPr="006D0823">
        <w:rPr>
          <w:sz w:val="24"/>
          <w:szCs w:val="24"/>
        </w:rPr>
        <w:t xml:space="preserve">-sikkerhedsdata fra 46 børn, som i op til 749 dage fik </w:t>
      </w:r>
      <w:proofErr w:type="spellStart"/>
      <w:r w:rsidRPr="006D0823">
        <w:rPr>
          <w:sz w:val="24"/>
          <w:szCs w:val="24"/>
        </w:rPr>
        <w:t>omeprazol</w:t>
      </w:r>
      <w:proofErr w:type="spellEnd"/>
      <w:r w:rsidRPr="006D0823">
        <w:rPr>
          <w:sz w:val="24"/>
          <w:szCs w:val="24"/>
        </w:rPr>
        <w:t xml:space="preserve"> som vedligeholdelsesbehandling i et klinisk forsøg for svær </w:t>
      </w:r>
      <w:proofErr w:type="spellStart"/>
      <w:r w:rsidRPr="006D0823">
        <w:rPr>
          <w:sz w:val="24"/>
          <w:szCs w:val="24"/>
        </w:rPr>
        <w:t>erosiv</w:t>
      </w:r>
      <w:proofErr w:type="spellEnd"/>
      <w:r w:rsidRPr="006D0823">
        <w:rPr>
          <w:sz w:val="24"/>
          <w:szCs w:val="24"/>
        </w:rPr>
        <w:t xml:space="preserve"> </w:t>
      </w:r>
      <w:proofErr w:type="spellStart"/>
      <w:r w:rsidRPr="006D0823">
        <w:rPr>
          <w:sz w:val="24"/>
          <w:szCs w:val="24"/>
        </w:rPr>
        <w:t>øsofagitis</w:t>
      </w:r>
      <w:proofErr w:type="spellEnd"/>
      <w:r w:rsidRPr="006D0823">
        <w:rPr>
          <w:sz w:val="24"/>
          <w:szCs w:val="24"/>
        </w:rPr>
        <w:t xml:space="preserve">. Bivirkningsprofilen var generelt den samme som hos voksne i både korttids- og langtidsbehandling. Der er ingen langtidsdata vedrørende effekten af </w:t>
      </w:r>
      <w:proofErr w:type="spellStart"/>
      <w:r w:rsidRPr="006D0823">
        <w:rPr>
          <w:sz w:val="24"/>
          <w:szCs w:val="24"/>
        </w:rPr>
        <w:t>omeprazolbehandling</w:t>
      </w:r>
      <w:proofErr w:type="spellEnd"/>
      <w:r w:rsidRPr="006D0823">
        <w:rPr>
          <w:sz w:val="24"/>
          <w:szCs w:val="24"/>
        </w:rPr>
        <w:t xml:space="preserve"> for pubertet og vækst.</w:t>
      </w:r>
    </w:p>
    <w:p w:rsidR="006D0823" w:rsidRPr="006D0823" w:rsidRDefault="006D0823" w:rsidP="006D0823">
      <w:pPr>
        <w:tabs>
          <w:tab w:val="left" w:pos="851"/>
        </w:tabs>
        <w:ind w:left="851"/>
        <w:rPr>
          <w:sz w:val="24"/>
          <w:szCs w:val="24"/>
        </w:rPr>
      </w:pPr>
    </w:p>
    <w:p w:rsidR="006D0823" w:rsidRPr="006D0823" w:rsidRDefault="006D0823" w:rsidP="006D0823">
      <w:pPr>
        <w:tabs>
          <w:tab w:val="left" w:pos="851"/>
        </w:tabs>
        <w:ind w:left="851"/>
        <w:rPr>
          <w:sz w:val="24"/>
          <w:szCs w:val="24"/>
          <w:u w:val="single"/>
        </w:rPr>
      </w:pPr>
      <w:r w:rsidRPr="006D0823">
        <w:rPr>
          <w:sz w:val="24"/>
          <w:szCs w:val="24"/>
          <w:u w:val="single"/>
        </w:rPr>
        <w:t>Indberetning af formodede bivirkninger</w:t>
      </w:r>
    </w:p>
    <w:p w:rsidR="006D0823" w:rsidRPr="006D0823" w:rsidRDefault="006D0823" w:rsidP="006D0823">
      <w:pPr>
        <w:tabs>
          <w:tab w:val="left" w:pos="851"/>
        </w:tabs>
        <w:ind w:left="851"/>
        <w:rPr>
          <w:sz w:val="24"/>
          <w:szCs w:val="24"/>
        </w:rPr>
      </w:pPr>
      <w:r w:rsidRPr="006D0823">
        <w:rPr>
          <w:sz w:val="24"/>
          <w:szCs w:val="24"/>
        </w:rPr>
        <w:t>Når lægemidlet er godkendt, er indberetning af formodede bivirkninger vigtig. Det muliggør løbende overvågning af benefit/</w:t>
      </w:r>
      <w:proofErr w:type="spellStart"/>
      <w:r w:rsidRPr="006D0823">
        <w:rPr>
          <w:sz w:val="24"/>
          <w:szCs w:val="24"/>
        </w:rPr>
        <w:t>risk</w:t>
      </w:r>
      <w:proofErr w:type="spellEnd"/>
      <w:r w:rsidRPr="006D0823">
        <w:rPr>
          <w:sz w:val="24"/>
          <w:szCs w:val="24"/>
        </w:rPr>
        <w:t>-forholdet for lægemidlet. Sundhedspersoner anmodes om at indberette alle formodede bivirkninger via:</w:t>
      </w:r>
    </w:p>
    <w:p w:rsidR="006D0823" w:rsidRPr="006D0823" w:rsidRDefault="006D0823" w:rsidP="006D0823">
      <w:pPr>
        <w:tabs>
          <w:tab w:val="left" w:pos="851"/>
        </w:tabs>
        <w:ind w:left="851"/>
        <w:rPr>
          <w:sz w:val="24"/>
          <w:szCs w:val="24"/>
        </w:rPr>
      </w:pPr>
    </w:p>
    <w:p w:rsidR="006D0823" w:rsidRPr="006D0823" w:rsidRDefault="006D0823" w:rsidP="006D0823">
      <w:pPr>
        <w:tabs>
          <w:tab w:val="left" w:pos="851"/>
        </w:tabs>
        <w:ind w:left="851"/>
        <w:rPr>
          <w:sz w:val="24"/>
          <w:szCs w:val="24"/>
        </w:rPr>
      </w:pPr>
      <w:r w:rsidRPr="006D0823">
        <w:rPr>
          <w:sz w:val="24"/>
          <w:szCs w:val="24"/>
        </w:rPr>
        <w:t>Lægemiddelstyrelsen</w:t>
      </w:r>
    </w:p>
    <w:p w:rsidR="006D0823" w:rsidRPr="006D0823" w:rsidRDefault="006D0823" w:rsidP="006D0823">
      <w:pPr>
        <w:tabs>
          <w:tab w:val="left" w:pos="851"/>
        </w:tabs>
        <w:ind w:left="851"/>
        <w:rPr>
          <w:sz w:val="24"/>
          <w:szCs w:val="24"/>
        </w:rPr>
      </w:pPr>
      <w:r w:rsidRPr="006D0823">
        <w:rPr>
          <w:sz w:val="24"/>
          <w:szCs w:val="24"/>
        </w:rPr>
        <w:t>Axel Heides Gade 1</w:t>
      </w:r>
    </w:p>
    <w:p w:rsidR="006D0823" w:rsidRPr="006D0823" w:rsidRDefault="006D0823" w:rsidP="006D0823">
      <w:pPr>
        <w:tabs>
          <w:tab w:val="left" w:pos="851"/>
        </w:tabs>
        <w:ind w:left="851"/>
        <w:rPr>
          <w:sz w:val="24"/>
          <w:szCs w:val="24"/>
        </w:rPr>
      </w:pPr>
      <w:r w:rsidRPr="006D0823">
        <w:rPr>
          <w:sz w:val="24"/>
          <w:szCs w:val="24"/>
        </w:rPr>
        <w:t>DK-2300 København S</w:t>
      </w:r>
    </w:p>
    <w:p w:rsidR="006D0823" w:rsidRPr="006D0823" w:rsidRDefault="006D0823" w:rsidP="006D0823">
      <w:pPr>
        <w:tabs>
          <w:tab w:val="left" w:pos="851"/>
        </w:tabs>
        <w:ind w:left="851"/>
        <w:rPr>
          <w:sz w:val="24"/>
          <w:szCs w:val="24"/>
        </w:rPr>
      </w:pPr>
      <w:r w:rsidRPr="006D0823">
        <w:rPr>
          <w:sz w:val="24"/>
          <w:szCs w:val="24"/>
        </w:rPr>
        <w:t xml:space="preserve">Websted: </w:t>
      </w:r>
      <w:r w:rsidRPr="00D87C25">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02DD3" w:rsidRPr="00402DD3" w:rsidRDefault="00402DD3" w:rsidP="00402DD3">
      <w:pPr>
        <w:tabs>
          <w:tab w:val="left" w:pos="851"/>
        </w:tabs>
        <w:ind w:left="851"/>
        <w:rPr>
          <w:sz w:val="24"/>
          <w:szCs w:val="24"/>
        </w:rPr>
      </w:pPr>
      <w:r w:rsidRPr="00402DD3">
        <w:rPr>
          <w:sz w:val="24"/>
          <w:szCs w:val="24"/>
        </w:rPr>
        <w:t xml:space="preserve">Der er begrænset information til rådighed om virkningerne af overdosering med </w:t>
      </w:r>
      <w:proofErr w:type="spellStart"/>
      <w:r w:rsidRPr="00402DD3">
        <w:rPr>
          <w:sz w:val="24"/>
          <w:szCs w:val="24"/>
        </w:rPr>
        <w:t>omeprazol</w:t>
      </w:r>
      <w:proofErr w:type="spellEnd"/>
      <w:r w:rsidRPr="00402DD3">
        <w:rPr>
          <w:sz w:val="24"/>
          <w:szCs w:val="24"/>
        </w:rPr>
        <w:t xml:space="preserve"> hos mennesker. I litteraturen er doser op til 560 mg beskrevet, og lejlighedsvis er der rapporteret om enkelte orale doser på op til 2.400 mg </w:t>
      </w:r>
      <w:proofErr w:type="spellStart"/>
      <w:r w:rsidRPr="00402DD3">
        <w:rPr>
          <w:sz w:val="24"/>
          <w:szCs w:val="24"/>
        </w:rPr>
        <w:t>omeprazol</w:t>
      </w:r>
      <w:proofErr w:type="spellEnd"/>
      <w:r w:rsidRPr="00402DD3">
        <w:rPr>
          <w:sz w:val="24"/>
          <w:szCs w:val="24"/>
        </w:rPr>
        <w:t xml:space="preserve"> (120 gange større end den </w:t>
      </w:r>
      <w:r w:rsidRPr="00402DD3">
        <w:rPr>
          <w:sz w:val="24"/>
          <w:szCs w:val="24"/>
        </w:rPr>
        <w:lastRenderedPageBreak/>
        <w:t xml:space="preserve">sædvanligt anbefalede kliniske dosis). Der er rapporteret om kvalme, opkastning, svimmelhed, </w:t>
      </w:r>
      <w:proofErr w:type="spellStart"/>
      <w:r w:rsidRPr="00402DD3">
        <w:rPr>
          <w:sz w:val="24"/>
          <w:szCs w:val="24"/>
        </w:rPr>
        <w:t>abdominale</w:t>
      </w:r>
      <w:proofErr w:type="spellEnd"/>
      <w:r w:rsidRPr="00402DD3">
        <w:rPr>
          <w:sz w:val="24"/>
          <w:szCs w:val="24"/>
        </w:rPr>
        <w:t xml:space="preserve"> smerter, diarré og hovedpine. I enkelte tilfælde er apati, depression og konfusion også blevet beskrevet.</w:t>
      </w:r>
    </w:p>
    <w:p w:rsidR="00402DD3" w:rsidRPr="00402DD3" w:rsidRDefault="00402DD3" w:rsidP="00402DD3">
      <w:pPr>
        <w:tabs>
          <w:tab w:val="left" w:pos="851"/>
        </w:tabs>
        <w:ind w:left="851"/>
        <w:rPr>
          <w:sz w:val="24"/>
          <w:szCs w:val="24"/>
        </w:rPr>
      </w:pPr>
    </w:p>
    <w:p w:rsidR="00402DD3" w:rsidRPr="00402DD3" w:rsidRDefault="00402DD3" w:rsidP="00402DD3">
      <w:pPr>
        <w:tabs>
          <w:tab w:val="left" w:pos="851"/>
        </w:tabs>
        <w:ind w:left="851"/>
        <w:rPr>
          <w:sz w:val="24"/>
          <w:szCs w:val="24"/>
        </w:rPr>
      </w:pPr>
      <w:r w:rsidRPr="00402DD3">
        <w:rPr>
          <w:sz w:val="24"/>
          <w:szCs w:val="24"/>
        </w:rPr>
        <w:t xml:space="preserve">De beskrevne symptomer har været forbigående, og der er ikke rapporteret om alvorlige følgevirkninger. </w:t>
      </w:r>
      <w:proofErr w:type="spellStart"/>
      <w:r w:rsidRPr="00402DD3">
        <w:rPr>
          <w:sz w:val="24"/>
          <w:szCs w:val="24"/>
        </w:rPr>
        <w:t>Elimininationshastigheden</w:t>
      </w:r>
      <w:proofErr w:type="spellEnd"/>
      <w:r w:rsidRPr="00402DD3">
        <w:rPr>
          <w:sz w:val="24"/>
          <w:szCs w:val="24"/>
        </w:rPr>
        <w:t xml:space="preserve"> var uændret ved øgede doser (1. ordens kinetik). Behandlingen er, hvis nødvendig, symptomatisk.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244A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0F7EA7">
      <w:pPr>
        <w:tabs>
          <w:tab w:val="left" w:pos="851"/>
        </w:tabs>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F7EA7" w:rsidRPr="000F7EA7" w:rsidRDefault="000F7EA7" w:rsidP="000F7EA7">
      <w:pPr>
        <w:tabs>
          <w:tab w:val="left" w:pos="851"/>
        </w:tabs>
        <w:ind w:left="851"/>
        <w:rPr>
          <w:b/>
          <w:sz w:val="24"/>
          <w:szCs w:val="24"/>
        </w:rPr>
      </w:pPr>
      <w:proofErr w:type="spellStart"/>
      <w:r w:rsidRPr="000F7EA7">
        <w:rPr>
          <w:sz w:val="24"/>
          <w:szCs w:val="24"/>
        </w:rPr>
        <w:t>Farmakoterapeutisk</w:t>
      </w:r>
      <w:proofErr w:type="spellEnd"/>
      <w:r w:rsidRPr="000F7EA7">
        <w:rPr>
          <w:sz w:val="24"/>
          <w:szCs w:val="24"/>
        </w:rPr>
        <w:t xml:space="preserve"> klassifikation: </w:t>
      </w:r>
      <w:r w:rsidRPr="00C507DC">
        <w:rPr>
          <w:sz w:val="24"/>
          <w:szCs w:val="24"/>
        </w:rPr>
        <w:t>Midler mod syrerelaterede forstyrrelser, protonpumpe-hæmmer</w:t>
      </w:r>
      <w:r>
        <w:rPr>
          <w:sz w:val="24"/>
          <w:szCs w:val="24"/>
        </w:rPr>
        <w:t xml:space="preserve">, </w:t>
      </w:r>
      <w:r w:rsidRPr="00C507DC">
        <w:rPr>
          <w:sz w:val="24"/>
          <w:szCs w:val="24"/>
        </w:rPr>
        <w:t xml:space="preserve">ATC-kode: A02BC01. </w:t>
      </w:r>
    </w:p>
    <w:p w:rsidR="000F7EA7" w:rsidRDefault="000F7EA7" w:rsidP="000F7EA7">
      <w:pPr>
        <w:tabs>
          <w:tab w:val="left" w:pos="851"/>
        </w:tabs>
        <w:rPr>
          <w:sz w:val="24"/>
          <w:szCs w:val="24"/>
          <w:u w:val="single"/>
        </w:rPr>
      </w:pPr>
    </w:p>
    <w:p w:rsidR="00EF5ACD" w:rsidRPr="00C507DC" w:rsidRDefault="00EF5ACD" w:rsidP="00EF5ACD">
      <w:pPr>
        <w:tabs>
          <w:tab w:val="left" w:pos="851"/>
        </w:tabs>
        <w:ind w:left="851"/>
        <w:rPr>
          <w:sz w:val="24"/>
          <w:szCs w:val="24"/>
          <w:u w:val="single"/>
        </w:rPr>
      </w:pPr>
      <w:r w:rsidRPr="00C507DC">
        <w:rPr>
          <w:sz w:val="24"/>
          <w:szCs w:val="24"/>
          <w:u w:val="single"/>
        </w:rPr>
        <w:t>Virkningsmekanisme</w:t>
      </w:r>
    </w:p>
    <w:p w:rsidR="00EF5ACD" w:rsidRPr="00C507DC" w:rsidRDefault="00EF5ACD" w:rsidP="00EF5ACD">
      <w:pPr>
        <w:tabs>
          <w:tab w:val="left" w:pos="851"/>
        </w:tabs>
        <w:ind w:left="851"/>
        <w:rPr>
          <w:sz w:val="24"/>
          <w:szCs w:val="24"/>
        </w:rPr>
      </w:pPr>
      <w:proofErr w:type="spellStart"/>
      <w:r w:rsidRPr="00C507DC">
        <w:rPr>
          <w:sz w:val="24"/>
          <w:szCs w:val="24"/>
        </w:rPr>
        <w:t>Omeprazol</w:t>
      </w:r>
      <w:proofErr w:type="spellEnd"/>
      <w:r w:rsidRPr="00C507DC">
        <w:rPr>
          <w:sz w:val="24"/>
          <w:szCs w:val="24"/>
        </w:rPr>
        <w:t xml:space="preserve">, en </w:t>
      </w:r>
      <w:proofErr w:type="spellStart"/>
      <w:r w:rsidRPr="00C507DC">
        <w:rPr>
          <w:sz w:val="24"/>
          <w:szCs w:val="24"/>
        </w:rPr>
        <w:t>racemisk</w:t>
      </w:r>
      <w:proofErr w:type="spellEnd"/>
      <w:r w:rsidRPr="00C507DC">
        <w:rPr>
          <w:sz w:val="24"/>
          <w:szCs w:val="24"/>
        </w:rPr>
        <w:t xml:space="preserve"> blanding af to </w:t>
      </w:r>
      <w:proofErr w:type="spellStart"/>
      <w:r w:rsidRPr="00C507DC">
        <w:rPr>
          <w:sz w:val="24"/>
          <w:szCs w:val="24"/>
        </w:rPr>
        <w:t>enantiomerer</w:t>
      </w:r>
      <w:proofErr w:type="spellEnd"/>
      <w:r w:rsidRPr="00C507DC">
        <w:rPr>
          <w:sz w:val="24"/>
          <w:szCs w:val="24"/>
        </w:rPr>
        <w:t xml:space="preserve">, nedsætter sekretionen af mavesyre ved en yderst målrettet virkningsmekanisme. Det er en specifik inhibitor af syrepumpen i </w:t>
      </w:r>
      <w:proofErr w:type="spellStart"/>
      <w:r w:rsidRPr="00C507DC">
        <w:rPr>
          <w:sz w:val="24"/>
          <w:szCs w:val="24"/>
        </w:rPr>
        <w:t>parietalcellerne</w:t>
      </w:r>
      <w:proofErr w:type="spellEnd"/>
      <w:r w:rsidRPr="00C507DC">
        <w:rPr>
          <w:sz w:val="24"/>
          <w:szCs w:val="24"/>
        </w:rPr>
        <w:t xml:space="preserve">. Der er en hurtig indtrædende effekt, og kontrol opnås gennem reversibel </w:t>
      </w:r>
      <w:proofErr w:type="spellStart"/>
      <w:r w:rsidRPr="00C507DC">
        <w:rPr>
          <w:sz w:val="24"/>
          <w:szCs w:val="24"/>
        </w:rPr>
        <w:t>inhibering</w:t>
      </w:r>
      <w:proofErr w:type="spellEnd"/>
      <w:r w:rsidRPr="00C507DC">
        <w:rPr>
          <w:sz w:val="24"/>
          <w:szCs w:val="24"/>
        </w:rPr>
        <w:t xml:space="preserve"> af mavesyresekretionen med en daglig dosering.</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proofErr w:type="spellStart"/>
      <w:r w:rsidRPr="00C507DC">
        <w:rPr>
          <w:sz w:val="24"/>
          <w:szCs w:val="24"/>
        </w:rPr>
        <w:t>Omeprazol</w:t>
      </w:r>
      <w:proofErr w:type="spellEnd"/>
      <w:r w:rsidRPr="00C507DC">
        <w:rPr>
          <w:sz w:val="24"/>
          <w:szCs w:val="24"/>
        </w:rPr>
        <w:t xml:space="preserve"> er en svag base, der koncentreres og omdannes til den aktive form i det meget sure miljø i </w:t>
      </w:r>
      <w:proofErr w:type="spellStart"/>
      <w:r w:rsidRPr="00C507DC">
        <w:rPr>
          <w:sz w:val="24"/>
          <w:szCs w:val="24"/>
        </w:rPr>
        <w:t>parietalcellernes</w:t>
      </w:r>
      <w:proofErr w:type="spellEnd"/>
      <w:r w:rsidRPr="00C507DC">
        <w:rPr>
          <w:sz w:val="24"/>
          <w:szCs w:val="24"/>
        </w:rPr>
        <w:t xml:space="preserve"> intracellulære </w:t>
      </w:r>
      <w:proofErr w:type="spellStart"/>
      <w:r w:rsidRPr="00C507DC">
        <w:rPr>
          <w:sz w:val="24"/>
          <w:szCs w:val="24"/>
        </w:rPr>
        <w:t>canaliculi</w:t>
      </w:r>
      <w:proofErr w:type="spellEnd"/>
      <w:r w:rsidRPr="00C507DC">
        <w:rPr>
          <w:sz w:val="24"/>
          <w:szCs w:val="24"/>
        </w:rPr>
        <w:t>, hvor det hæmmer enzymet H</w:t>
      </w:r>
      <w:r w:rsidRPr="00C507DC">
        <w:rPr>
          <w:sz w:val="24"/>
          <w:szCs w:val="24"/>
          <w:vertAlign w:val="superscript"/>
        </w:rPr>
        <w:t>+</w:t>
      </w:r>
      <w:r w:rsidRPr="00C507DC">
        <w:rPr>
          <w:sz w:val="24"/>
          <w:szCs w:val="24"/>
        </w:rPr>
        <w:t>, K</w:t>
      </w:r>
      <w:r w:rsidRPr="00C507DC">
        <w:rPr>
          <w:sz w:val="24"/>
          <w:szCs w:val="24"/>
          <w:vertAlign w:val="superscript"/>
        </w:rPr>
        <w:t>+</w:t>
      </w:r>
      <w:r w:rsidRPr="00C507DC">
        <w:rPr>
          <w:sz w:val="24"/>
          <w:szCs w:val="24"/>
        </w:rPr>
        <w:t>-</w:t>
      </w:r>
      <w:proofErr w:type="spellStart"/>
      <w:r w:rsidRPr="00C507DC">
        <w:rPr>
          <w:sz w:val="24"/>
          <w:szCs w:val="24"/>
        </w:rPr>
        <w:t>ATPase</w:t>
      </w:r>
      <w:proofErr w:type="spellEnd"/>
      <w:r w:rsidRPr="00C507DC">
        <w:rPr>
          <w:sz w:val="24"/>
          <w:szCs w:val="24"/>
        </w:rPr>
        <w:t>, syrepumpen. Denne virkning på det sidste trin i processen for dannelse af mavesyre er dosisafhængig og sikrer en meget effektiv hæmning af såvel basal som stimuleret syresekretion, uanset stimuli.</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u w:val="single"/>
        </w:rPr>
      </w:pPr>
      <w:proofErr w:type="spellStart"/>
      <w:r w:rsidRPr="00C507DC">
        <w:rPr>
          <w:sz w:val="24"/>
          <w:szCs w:val="24"/>
          <w:u w:val="single"/>
        </w:rPr>
        <w:t>Farmakodynamisk</w:t>
      </w:r>
      <w:proofErr w:type="spellEnd"/>
      <w:r w:rsidRPr="00C507DC">
        <w:rPr>
          <w:sz w:val="24"/>
          <w:szCs w:val="24"/>
          <w:u w:val="single"/>
        </w:rPr>
        <w:t xml:space="preserve"> virkning</w:t>
      </w:r>
    </w:p>
    <w:p w:rsidR="00EF5ACD" w:rsidRPr="00C507DC" w:rsidRDefault="00EF5ACD" w:rsidP="00EF5ACD">
      <w:pPr>
        <w:tabs>
          <w:tab w:val="left" w:pos="851"/>
        </w:tabs>
        <w:ind w:left="851"/>
        <w:rPr>
          <w:sz w:val="24"/>
          <w:szCs w:val="24"/>
        </w:rPr>
      </w:pPr>
      <w:r w:rsidRPr="00C507DC">
        <w:rPr>
          <w:sz w:val="24"/>
          <w:szCs w:val="24"/>
        </w:rPr>
        <w:t xml:space="preserve">Alle observerede </w:t>
      </w:r>
      <w:proofErr w:type="spellStart"/>
      <w:r w:rsidRPr="00C507DC">
        <w:rPr>
          <w:sz w:val="24"/>
          <w:szCs w:val="24"/>
        </w:rPr>
        <w:t>farmakodynamiske</w:t>
      </w:r>
      <w:proofErr w:type="spellEnd"/>
      <w:r w:rsidRPr="00C507DC">
        <w:rPr>
          <w:sz w:val="24"/>
          <w:szCs w:val="24"/>
        </w:rPr>
        <w:t xml:space="preserve"> virkninger kan forklares ved </w:t>
      </w:r>
      <w:proofErr w:type="spellStart"/>
      <w:r w:rsidRPr="00C507DC">
        <w:rPr>
          <w:sz w:val="24"/>
          <w:szCs w:val="24"/>
        </w:rPr>
        <w:t>omeprazols</w:t>
      </w:r>
      <w:proofErr w:type="spellEnd"/>
      <w:r w:rsidRPr="00C507DC">
        <w:rPr>
          <w:sz w:val="24"/>
          <w:szCs w:val="24"/>
        </w:rPr>
        <w:t xml:space="preserve"> virkning på syresekretionen.</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i/>
          <w:iCs/>
          <w:sz w:val="24"/>
          <w:szCs w:val="24"/>
        </w:rPr>
      </w:pPr>
      <w:r w:rsidRPr="00C507DC">
        <w:rPr>
          <w:i/>
          <w:iCs/>
          <w:sz w:val="24"/>
          <w:szCs w:val="24"/>
        </w:rPr>
        <w:t>Virkning på mavesyresekretionen</w:t>
      </w:r>
    </w:p>
    <w:p w:rsidR="00EF5ACD" w:rsidRPr="00C507DC" w:rsidRDefault="00EF5ACD" w:rsidP="00EF5ACD">
      <w:pPr>
        <w:tabs>
          <w:tab w:val="left" w:pos="851"/>
        </w:tabs>
        <w:ind w:left="851"/>
        <w:rPr>
          <w:sz w:val="24"/>
          <w:szCs w:val="24"/>
        </w:rPr>
      </w:pPr>
      <w:r w:rsidRPr="00C507DC">
        <w:rPr>
          <w:sz w:val="24"/>
          <w:szCs w:val="24"/>
        </w:rPr>
        <w:t xml:space="preserve">En oral dosis </w:t>
      </w:r>
      <w:proofErr w:type="spellStart"/>
      <w:r w:rsidRPr="00C507DC">
        <w:rPr>
          <w:sz w:val="24"/>
          <w:szCs w:val="24"/>
        </w:rPr>
        <w:t>omeprazol</w:t>
      </w:r>
      <w:proofErr w:type="spellEnd"/>
      <w:r w:rsidRPr="00C507DC">
        <w:rPr>
          <w:sz w:val="24"/>
          <w:szCs w:val="24"/>
        </w:rPr>
        <w:t xml:space="preserve"> en gang daglig giver en hurtig og effektiv hæmning af mavesyresekretionen i dag- og nattetimerne med maksimal virkning inden for 4 dages behandling. Med </w:t>
      </w:r>
      <w:proofErr w:type="spellStart"/>
      <w:r w:rsidRPr="00C507DC">
        <w:rPr>
          <w:sz w:val="24"/>
          <w:szCs w:val="24"/>
        </w:rPr>
        <w:t>omeprazol</w:t>
      </w:r>
      <w:proofErr w:type="spellEnd"/>
      <w:r w:rsidRPr="00C507DC">
        <w:rPr>
          <w:sz w:val="24"/>
          <w:szCs w:val="24"/>
        </w:rPr>
        <w:t xml:space="preserve"> 20 mg bibeholdes en gennemsnitlig reduktion af ventriklens surhedsgrad på mindst 80</w:t>
      </w:r>
      <w:r>
        <w:rPr>
          <w:sz w:val="24"/>
          <w:szCs w:val="24"/>
        </w:rPr>
        <w:t xml:space="preserve"> %</w:t>
      </w:r>
      <w:r w:rsidRPr="00C507DC">
        <w:rPr>
          <w:sz w:val="24"/>
          <w:szCs w:val="24"/>
        </w:rPr>
        <w:t xml:space="preserve"> over 24 timer hos patienter med </w:t>
      </w:r>
      <w:proofErr w:type="spellStart"/>
      <w:r w:rsidRPr="00C507DC">
        <w:rPr>
          <w:sz w:val="24"/>
          <w:szCs w:val="24"/>
        </w:rPr>
        <w:t>duodenalt</w:t>
      </w:r>
      <w:proofErr w:type="spellEnd"/>
      <w:r w:rsidRPr="00C507DC">
        <w:rPr>
          <w:sz w:val="24"/>
          <w:szCs w:val="24"/>
        </w:rPr>
        <w:t xml:space="preserve"> ulcus, mens den gennemsnitlige reduktion af den maksimale syreproduktion efter </w:t>
      </w:r>
      <w:proofErr w:type="spellStart"/>
      <w:r w:rsidRPr="00C507DC">
        <w:rPr>
          <w:sz w:val="24"/>
          <w:szCs w:val="24"/>
        </w:rPr>
        <w:t>pentagastrinstimulering</w:t>
      </w:r>
      <w:proofErr w:type="spellEnd"/>
      <w:r w:rsidRPr="00C507DC">
        <w:rPr>
          <w:sz w:val="24"/>
          <w:szCs w:val="24"/>
        </w:rPr>
        <w:t xml:space="preserve"> er ca. 70</w:t>
      </w:r>
      <w:r>
        <w:rPr>
          <w:sz w:val="24"/>
          <w:szCs w:val="24"/>
        </w:rPr>
        <w:t xml:space="preserve"> %</w:t>
      </w:r>
      <w:r w:rsidRPr="00C507DC">
        <w:rPr>
          <w:sz w:val="24"/>
          <w:szCs w:val="24"/>
        </w:rPr>
        <w:t xml:space="preserve"> 24 timer efter dosisindgift.</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r w:rsidRPr="00C507DC">
        <w:rPr>
          <w:sz w:val="24"/>
          <w:szCs w:val="24"/>
        </w:rPr>
        <w:t xml:space="preserve">En oral dosis </w:t>
      </w:r>
      <w:proofErr w:type="spellStart"/>
      <w:r w:rsidRPr="00C507DC">
        <w:rPr>
          <w:sz w:val="24"/>
          <w:szCs w:val="24"/>
        </w:rPr>
        <w:t>omeprazol</w:t>
      </w:r>
      <w:proofErr w:type="spellEnd"/>
      <w:r w:rsidRPr="00C507DC">
        <w:rPr>
          <w:sz w:val="24"/>
          <w:szCs w:val="24"/>
        </w:rPr>
        <w:t xml:space="preserve"> på 20 mg til patienter med </w:t>
      </w:r>
      <w:proofErr w:type="spellStart"/>
      <w:r w:rsidRPr="00C507DC">
        <w:rPr>
          <w:sz w:val="24"/>
          <w:szCs w:val="24"/>
        </w:rPr>
        <w:t>duodenalt</w:t>
      </w:r>
      <w:proofErr w:type="spellEnd"/>
      <w:r w:rsidRPr="00C507DC">
        <w:rPr>
          <w:sz w:val="24"/>
          <w:szCs w:val="24"/>
        </w:rPr>
        <w:t xml:space="preserve"> ulcus opretholder intragastrisk pH på </w:t>
      </w:r>
      <w:r w:rsidRPr="00C507DC">
        <w:rPr>
          <w:sz w:val="24"/>
          <w:szCs w:val="24"/>
        </w:rPr>
        <w:sym w:font="Symbol" w:char="F0B3"/>
      </w:r>
      <w:r w:rsidRPr="00C507DC">
        <w:rPr>
          <w:sz w:val="24"/>
          <w:szCs w:val="24"/>
        </w:rPr>
        <w:t xml:space="preserve"> 3 i gennemsnitligt 17 timer ud af en periode på 24 timer.</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r w:rsidRPr="00C507DC">
        <w:rPr>
          <w:sz w:val="24"/>
          <w:szCs w:val="24"/>
        </w:rPr>
        <w:t xml:space="preserve">Som en konsekvens af nedsat syreproduktion og nedsat surhedsgrad i ventriklen reducerer/normaliserer </w:t>
      </w:r>
      <w:proofErr w:type="spellStart"/>
      <w:r w:rsidRPr="00C507DC">
        <w:rPr>
          <w:sz w:val="24"/>
          <w:szCs w:val="24"/>
        </w:rPr>
        <w:t>omeprazol</w:t>
      </w:r>
      <w:proofErr w:type="spellEnd"/>
      <w:r w:rsidRPr="00C507DC">
        <w:rPr>
          <w:sz w:val="24"/>
          <w:szCs w:val="24"/>
        </w:rPr>
        <w:t xml:space="preserve"> dosisafhængigt </w:t>
      </w:r>
      <w:proofErr w:type="spellStart"/>
      <w:r w:rsidRPr="00C507DC">
        <w:rPr>
          <w:sz w:val="24"/>
          <w:szCs w:val="24"/>
        </w:rPr>
        <w:t>øsofagus</w:t>
      </w:r>
      <w:proofErr w:type="spellEnd"/>
      <w:r w:rsidRPr="00C507DC">
        <w:rPr>
          <w:sz w:val="24"/>
          <w:szCs w:val="24"/>
        </w:rPr>
        <w:t xml:space="preserve"> eksponering for syre hos patienter med </w:t>
      </w:r>
      <w:proofErr w:type="spellStart"/>
      <w:r w:rsidRPr="00C507DC">
        <w:rPr>
          <w:sz w:val="24"/>
          <w:szCs w:val="24"/>
        </w:rPr>
        <w:t>gastroøsofageal</w:t>
      </w:r>
      <w:proofErr w:type="spellEnd"/>
      <w:r w:rsidRPr="00C507DC">
        <w:rPr>
          <w:sz w:val="24"/>
          <w:szCs w:val="24"/>
        </w:rPr>
        <w:t xml:space="preserve"> </w:t>
      </w:r>
      <w:proofErr w:type="spellStart"/>
      <w:r w:rsidRPr="00C507DC">
        <w:rPr>
          <w:sz w:val="24"/>
          <w:szCs w:val="24"/>
        </w:rPr>
        <w:t>reflukssygdom</w:t>
      </w:r>
      <w:proofErr w:type="spellEnd"/>
      <w:r w:rsidRPr="00C507DC">
        <w:rPr>
          <w:sz w:val="24"/>
          <w:szCs w:val="24"/>
        </w:rPr>
        <w:t>.</w:t>
      </w:r>
    </w:p>
    <w:p w:rsidR="00EF5ACD" w:rsidRPr="00C507DC" w:rsidRDefault="00EF5ACD" w:rsidP="00EF5ACD">
      <w:pPr>
        <w:tabs>
          <w:tab w:val="left" w:pos="851"/>
        </w:tabs>
        <w:ind w:left="851"/>
        <w:rPr>
          <w:sz w:val="24"/>
          <w:szCs w:val="24"/>
        </w:rPr>
      </w:pPr>
      <w:r w:rsidRPr="00C507DC">
        <w:rPr>
          <w:sz w:val="24"/>
          <w:szCs w:val="24"/>
        </w:rPr>
        <w:t xml:space="preserve">Hæmningen af syresekretionen er relateret til AUC for </w:t>
      </w:r>
      <w:proofErr w:type="spellStart"/>
      <w:r w:rsidRPr="00C507DC">
        <w:rPr>
          <w:sz w:val="24"/>
          <w:szCs w:val="24"/>
        </w:rPr>
        <w:t>omeprazol</w:t>
      </w:r>
      <w:proofErr w:type="spellEnd"/>
      <w:r w:rsidRPr="00C507DC">
        <w:rPr>
          <w:sz w:val="24"/>
          <w:szCs w:val="24"/>
        </w:rPr>
        <w:t xml:space="preserve"> og ikke til den aktuelle plasmakoncentration på et givet tidspunkt.</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r w:rsidRPr="00C507DC">
        <w:rPr>
          <w:sz w:val="24"/>
          <w:szCs w:val="24"/>
        </w:rPr>
        <w:lastRenderedPageBreak/>
        <w:t xml:space="preserve">Der er ikke set </w:t>
      </w:r>
      <w:proofErr w:type="spellStart"/>
      <w:r w:rsidRPr="00C507DC">
        <w:rPr>
          <w:sz w:val="24"/>
          <w:szCs w:val="24"/>
        </w:rPr>
        <w:t>takyfylaksi</w:t>
      </w:r>
      <w:proofErr w:type="spellEnd"/>
      <w:r w:rsidRPr="00C507DC">
        <w:rPr>
          <w:sz w:val="24"/>
          <w:szCs w:val="24"/>
        </w:rPr>
        <w:t xml:space="preserve"> under behandling med </w:t>
      </w:r>
      <w:proofErr w:type="spellStart"/>
      <w:r w:rsidRPr="00C507DC">
        <w:rPr>
          <w:sz w:val="24"/>
          <w:szCs w:val="24"/>
        </w:rPr>
        <w:t>omeprazol</w:t>
      </w:r>
      <w:proofErr w:type="spellEnd"/>
      <w:r w:rsidRPr="00C507DC">
        <w:rPr>
          <w:sz w:val="24"/>
          <w:szCs w:val="24"/>
        </w:rPr>
        <w:t>.</w:t>
      </w:r>
    </w:p>
    <w:p w:rsidR="00EF5ACD" w:rsidRPr="00C507DC" w:rsidRDefault="00EF5ACD" w:rsidP="00EF5ACD">
      <w:pPr>
        <w:tabs>
          <w:tab w:val="left" w:pos="851"/>
        </w:tabs>
        <w:ind w:left="851"/>
        <w:rPr>
          <w:sz w:val="24"/>
          <w:szCs w:val="24"/>
        </w:rPr>
      </w:pPr>
    </w:p>
    <w:p w:rsidR="00EF5ACD" w:rsidRDefault="00EF5ACD" w:rsidP="00EF5ACD">
      <w:pPr>
        <w:tabs>
          <w:tab w:val="left" w:pos="851"/>
        </w:tabs>
        <w:ind w:left="851"/>
        <w:rPr>
          <w:i/>
          <w:iCs/>
          <w:sz w:val="24"/>
          <w:szCs w:val="24"/>
        </w:rPr>
      </w:pPr>
      <w:r w:rsidRPr="00C507DC">
        <w:rPr>
          <w:i/>
          <w:iCs/>
          <w:sz w:val="24"/>
          <w:szCs w:val="24"/>
        </w:rPr>
        <w:t>Anden effekt relateret til syrehæmning</w:t>
      </w:r>
    </w:p>
    <w:p w:rsidR="00EF5ACD" w:rsidRPr="00282115" w:rsidRDefault="00EF5ACD" w:rsidP="00EF5ACD">
      <w:pPr>
        <w:tabs>
          <w:tab w:val="left" w:pos="851"/>
        </w:tabs>
        <w:ind w:left="851"/>
        <w:rPr>
          <w:i/>
          <w:iCs/>
          <w:sz w:val="24"/>
          <w:szCs w:val="24"/>
        </w:rPr>
      </w:pPr>
      <w:r w:rsidRPr="00C507DC">
        <w:rPr>
          <w:sz w:val="24"/>
          <w:szCs w:val="24"/>
        </w:rPr>
        <w:t xml:space="preserve">Ved langtidsbehandling er der rapporteret en noget øget frekvens af gastriske, </w:t>
      </w:r>
      <w:proofErr w:type="spellStart"/>
      <w:r w:rsidRPr="00C507DC">
        <w:rPr>
          <w:sz w:val="24"/>
          <w:szCs w:val="24"/>
        </w:rPr>
        <w:t>glandulære</w:t>
      </w:r>
      <w:proofErr w:type="spellEnd"/>
      <w:r w:rsidRPr="00C507DC">
        <w:rPr>
          <w:sz w:val="24"/>
          <w:szCs w:val="24"/>
        </w:rPr>
        <w:t xml:space="preserve"> cyster. Disse ændringer, der er en fysiologisk konsekvens af udtalt hæmning af syresekretionen, er godartede og synes at være reversible.</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r w:rsidRPr="00C507DC">
        <w:rPr>
          <w:sz w:val="24"/>
          <w:szCs w:val="24"/>
        </w:rPr>
        <w:t xml:space="preserve">Nedsat gastrisk surhedsgrad, uanset årsag inklusive </w:t>
      </w:r>
      <w:proofErr w:type="spellStart"/>
      <w:r w:rsidRPr="00C507DC">
        <w:rPr>
          <w:sz w:val="24"/>
          <w:szCs w:val="24"/>
        </w:rPr>
        <w:t>protonpumpehæmmere</w:t>
      </w:r>
      <w:proofErr w:type="spellEnd"/>
      <w:r w:rsidRPr="00C507DC">
        <w:rPr>
          <w:sz w:val="24"/>
          <w:szCs w:val="24"/>
        </w:rPr>
        <w:t xml:space="preserve">, øger antallet af normalt forekommende bakterier i mave-tarm-kanalen. Behandling med syrehæmmende farmaka kan derfor medføre en let forøget risiko for </w:t>
      </w:r>
      <w:proofErr w:type="spellStart"/>
      <w:r w:rsidRPr="00C507DC">
        <w:rPr>
          <w:sz w:val="24"/>
          <w:szCs w:val="24"/>
        </w:rPr>
        <w:t>gastrointestinale</w:t>
      </w:r>
      <w:proofErr w:type="spellEnd"/>
      <w:r w:rsidRPr="00C507DC">
        <w:rPr>
          <w:sz w:val="24"/>
          <w:szCs w:val="24"/>
        </w:rPr>
        <w:t xml:space="preserve"> infektioner såsom </w:t>
      </w:r>
      <w:r w:rsidRPr="00C507DC">
        <w:rPr>
          <w:i/>
          <w:iCs/>
          <w:sz w:val="24"/>
          <w:szCs w:val="24"/>
        </w:rPr>
        <w:t>Salmonella</w:t>
      </w:r>
      <w:r w:rsidRPr="00C507DC">
        <w:rPr>
          <w:sz w:val="24"/>
          <w:szCs w:val="24"/>
        </w:rPr>
        <w:t xml:space="preserve"> og </w:t>
      </w:r>
      <w:r w:rsidRPr="00C507DC">
        <w:rPr>
          <w:i/>
          <w:iCs/>
          <w:sz w:val="24"/>
          <w:szCs w:val="24"/>
        </w:rPr>
        <w:t xml:space="preserve">Campylobacter </w:t>
      </w:r>
      <w:r w:rsidRPr="00C507DC">
        <w:rPr>
          <w:sz w:val="24"/>
          <w:szCs w:val="24"/>
        </w:rPr>
        <w:t xml:space="preserve">og, hos hospitalsindlagte patienter, muligvis også </w:t>
      </w:r>
      <w:proofErr w:type="spellStart"/>
      <w:r w:rsidRPr="00C507DC">
        <w:rPr>
          <w:i/>
          <w:iCs/>
          <w:sz w:val="24"/>
          <w:szCs w:val="24"/>
        </w:rPr>
        <w:t>Clostridium</w:t>
      </w:r>
      <w:proofErr w:type="spellEnd"/>
      <w:r w:rsidRPr="00C507DC">
        <w:rPr>
          <w:i/>
          <w:iCs/>
          <w:sz w:val="24"/>
          <w:szCs w:val="24"/>
        </w:rPr>
        <w:t xml:space="preserve"> difficile</w:t>
      </w:r>
      <w:r w:rsidRPr="00C507DC">
        <w:rPr>
          <w:sz w:val="24"/>
          <w:szCs w:val="24"/>
        </w:rPr>
        <w:t>.</w:t>
      </w:r>
    </w:p>
    <w:p w:rsidR="00EF5ACD" w:rsidRPr="00C507DC" w:rsidRDefault="00EF5ACD" w:rsidP="00EF5ACD">
      <w:pPr>
        <w:tabs>
          <w:tab w:val="left" w:pos="851"/>
        </w:tabs>
        <w:ind w:left="851"/>
        <w:rPr>
          <w:sz w:val="24"/>
          <w:szCs w:val="24"/>
        </w:rPr>
      </w:pPr>
      <w:r w:rsidRPr="00C507DC">
        <w:rPr>
          <w:sz w:val="24"/>
          <w:szCs w:val="24"/>
        </w:rPr>
        <w:tab/>
      </w:r>
    </w:p>
    <w:p w:rsidR="00EF5ACD" w:rsidRPr="00C507DC" w:rsidRDefault="00EF5ACD" w:rsidP="00EF5ACD">
      <w:pPr>
        <w:tabs>
          <w:tab w:val="left" w:pos="851"/>
        </w:tabs>
        <w:ind w:left="851"/>
        <w:rPr>
          <w:sz w:val="24"/>
          <w:szCs w:val="24"/>
        </w:rPr>
      </w:pPr>
      <w:r w:rsidRPr="00C507DC">
        <w:rPr>
          <w:sz w:val="24"/>
          <w:szCs w:val="24"/>
        </w:rPr>
        <w:t xml:space="preserve">Under behandling med sekretionshæmmende lægemidler stiger indholdet af gastrin i serum som reaktion på den nedsatte syresekretion. Også indholdet af </w:t>
      </w:r>
      <w:proofErr w:type="spellStart"/>
      <w:r w:rsidRPr="00C507DC">
        <w:rPr>
          <w:sz w:val="24"/>
          <w:szCs w:val="24"/>
        </w:rPr>
        <w:t>CgA</w:t>
      </w:r>
      <w:proofErr w:type="spellEnd"/>
      <w:r w:rsidRPr="00C507DC">
        <w:rPr>
          <w:sz w:val="24"/>
          <w:szCs w:val="24"/>
        </w:rPr>
        <w:t xml:space="preserve"> stiger på grund af den nedsatte gastriske </w:t>
      </w:r>
      <w:proofErr w:type="spellStart"/>
      <w:r w:rsidRPr="00C507DC">
        <w:rPr>
          <w:sz w:val="24"/>
          <w:szCs w:val="24"/>
        </w:rPr>
        <w:t>aciditet</w:t>
      </w:r>
      <w:proofErr w:type="spellEnd"/>
      <w:r w:rsidRPr="00C507DC">
        <w:rPr>
          <w:sz w:val="24"/>
          <w:szCs w:val="24"/>
        </w:rPr>
        <w:t xml:space="preserve">. Det forhøjede indhold af </w:t>
      </w:r>
      <w:proofErr w:type="spellStart"/>
      <w:r w:rsidRPr="00C507DC">
        <w:rPr>
          <w:sz w:val="24"/>
          <w:szCs w:val="24"/>
        </w:rPr>
        <w:t>CgA</w:t>
      </w:r>
      <w:proofErr w:type="spellEnd"/>
      <w:r w:rsidRPr="00C507DC">
        <w:rPr>
          <w:sz w:val="24"/>
          <w:szCs w:val="24"/>
        </w:rPr>
        <w:t xml:space="preserve"> kan interferere med undersøgelser for </w:t>
      </w:r>
      <w:proofErr w:type="spellStart"/>
      <w:r w:rsidRPr="00C507DC">
        <w:rPr>
          <w:sz w:val="24"/>
          <w:szCs w:val="24"/>
        </w:rPr>
        <w:t>neuroendokrine</w:t>
      </w:r>
      <w:proofErr w:type="spellEnd"/>
      <w:r w:rsidRPr="00C507DC">
        <w:rPr>
          <w:sz w:val="24"/>
          <w:szCs w:val="24"/>
        </w:rPr>
        <w:t xml:space="preserve"> tumorer. Den foreliggende publicerede dokumentation antyder, at </w:t>
      </w:r>
      <w:proofErr w:type="spellStart"/>
      <w:r w:rsidRPr="00C507DC">
        <w:rPr>
          <w:sz w:val="24"/>
          <w:szCs w:val="24"/>
        </w:rPr>
        <w:t>protonpumpehæmmere</w:t>
      </w:r>
      <w:proofErr w:type="spellEnd"/>
      <w:r w:rsidRPr="00C507DC">
        <w:rPr>
          <w:sz w:val="24"/>
          <w:szCs w:val="24"/>
        </w:rPr>
        <w:t xml:space="preserve"> bør seponeres mellem 5 dage og 2 uger før måling af </w:t>
      </w:r>
      <w:proofErr w:type="spellStart"/>
      <w:r w:rsidRPr="00C507DC">
        <w:rPr>
          <w:sz w:val="24"/>
          <w:szCs w:val="24"/>
        </w:rPr>
        <w:t>CgA</w:t>
      </w:r>
      <w:proofErr w:type="spellEnd"/>
      <w:r w:rsidRPr="00C507DC">
        <w:rPr>
          <w:sz w:val="24"/>
          <w:szCs w:val="24"/>
        </w:rPr>
        <w:t xml:space="preserve">. Dette er for at eventuelle falskt forhøjede værdier af </w:t>
      </w:r>
      <w:proofErr w:type="spellStart"/>
      <w:r w:rsidRPr="00C507DC">
        <w:rPr>
          <w:sz w:val="24"/>
          <w:szCs w:val="24"/>
        </w:rPr>
        <w:t>CgA</w:t>
      </w:r>
      <w:proofErr w:type="spellEnd"/>
      <w:r w:rsidRPr="00C507DC">
        <w:rPr>
          <w:sz w:val="24"/>
          <w:szCs w:val="24"/>
        </w:rPr>
        <w:t xml:space="preserve"> i forbindelse med behandling af </w:t>
      </w:r>
      <w:proofErr w:type="spellStart"/>
      <w:r w:rsidRPr="00C507DC">
        <w:rPr>
          <w:sz w:val="24"/>
          <w:szCs w:val="24"/>
        </w:rPr>
        <w:t>protonpumpehæmmere</w:t>
      </w:r>
      <w:proofErr w:type="spellEnd"/>
      <w:r w:rsidRPr="00C507DC">
        <w:rPr>
          <w:sz w:val="24"/>
          <w:szCs w:val="24"/>
        </w:rPr>
        <w:t xml:space="preserve"> kan vende tilbage til referenceområdet.</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rPr>
      </w:pPr>
      <w:r w:rsidRPr="00C507DC">
        <w:rPr>
          <w:sz w:val="24"/>
          <w:szCs w:val="24"/>
        </w:rPr>
        <w:t xml:space="preserve">Ved langtidsbehandling med </w:t>
      </w:r>
      <w:proofErr w:type="spellStart"/>
      <w:r w:rsidRPr="00C507DC">
        <w:rPr>
          <w:sz w:val="24"/>
          <w:szCs w:val="24"/>
        </w:rPr>
        <w:t>omeprazol</w:t>
      </w:r>
      <w:proofErr w:type="spellEnd"/>
      <w:r w:rsidRPr="00C507DC">
        <w:rPr>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EF5ACD" w:rsidRPr="00C507DC" w:rsidRDefault="00EF5ACD" w:rsidP="00EF5ACD">
      <w:pPr>
        <w:tabs>
          <w:tab w:val="left" w:pos="851"/>
        </w:tabs>
        <w:ind w:left="851"/>
        <w:rPr>
          <w:sz w:val="24"/>
          <w:szCs w:val="24"/>
        </w:rPr>
      </w:pPr>
    </w:p>
    <w:p w:rsidR="00EF5ACD" w:rsidRPr="00C507DC" w:rsidRDefault="00EF5ACD" w:rsidP="00EF5ACD">
      <w:pPr>
        <w:tabs>
          <w:tab w:val="left" w:pos="851"/>
        </w:tabs>
        <w:ind w:left="851"/>
        <w:rPr>
          <w:sz w:val="24"/>
          <w:szCs w:val="24"/>
          <w:u w:val="single"/>
        </w:rPr>
      </w:pPr>
      <w:r w:rsidRPr="00C507DC">
        <w:rPr>
          <w:sz w:val="24"/>
          <w:szCs w:val="24"/>
          <w:u w:val="single"/>
        </w:rPr>
        <w:t>Pædiatrisk population</w:t>
      </w:r>
    </w:p>
    <w:p w:rsidR="00EF5ACD" w:rsidRPr="00C507DC" w:rsidRDefault="00EF5ACD" w:rsidP="00EF5ACD">
      <w:pPr>
        <w:tabs>
          <w:tab w:val="left" w:pos="851"/>
        </w:tabs>
        <w:ind w:left="851"/>
        <w:rPr>
          <w:sz w:val="24"/>
          <w:szCs w:val="24"/>
        </w:rPr>
      </w:pPr>
      <w:r w:rsidRPr="00C507DC">
        <w:rPr>
          <w:sz w:val="24"/>
          <w:szCs w:val="24"/>
        </w:rPr>
        <w:t xml:space="preserve">I et ikke-kontrolleret forsøg med børn (mellem 1 og 16 år) med svær </w:t>
      </w:r>
      <w:proofErr w:type="spellStart"/>
      <w:r w:rsidRPr="00C507DC">
        <w:rPr>
          <w:sz w:val="24"/>
          <w:szCs w:val="24"/>
        </w:rPr>
        <w:t>refluksøsofagitis</w:t>
      </w:r>
      <w:proofErr w:type="spellEnd"/>
      <w:r w:rsidRPr="00C507DC">
        <w:rPr>
          <w:sz w:val="24"/>
          <w:szCs w:val="24"/>
        </w:rPr>
        <w:t xml:space="preserve"> forbedrede </w:t>
      </w:r>
      <w:proofErr w:type="spellStart"/>
      <w:r w:rsidRPr="00C507DC">
        <w:rPr>
          <w:sz w:val="24"/>
          <w:szCs w:val="24"/>
        </w:rPr>
        <w:t>omeprazol</w:t>
      </w:r>
      <w:proofErr w:type="spellEnd"/>
      <w:r w:rsidRPr="00C507DC">
        <w:rPr>
          <w:sz w:val="24"/>
          <w:szCs w:val="24"/>
        </w:rPr>
        <w:t xml:space="preserve"> i doser mellem 0,7-1,4 mg/kg graden af </w:t>
      </w:r>
      <w:proofErr w:type="spellStart"/>
      <w:r w:rsidRPr="00C507DC">
        <w:rPr>
          <w:sz w:val="24"/>
          <w:szCs w:val="24"/>
        </w:rPr>
        <w:t>øsofagitis</w:t>
      </w:r>
      <w:proofErr w:type="spellEnd"/>
      <w:r w:rsidRPr="00C507DC">
        <w:rPr>
          <w:sz w:val="24"/>
          <w:szCs w:val="24"/>
        </w:rPr>
        <w:t xml:space="preserve"> i 90</w:t>
      </w:r>
      <w:r>
        <w:rPr>
          <w:sz w:val="24"/>
          <w:szCs w:val="24"/>
        </w:rPr>
        <w:t xml:space="preserve"> %</w:t>
      </w:r>
      <w:r w:rsidRPr="00C507DC">
        <w:rPr>
          <w:sz w:val="24"/>
          <w:szCs w:val="24"/>
        </w:rPr>
        <w:t xml:space="preserve"> af tilfældene og reducerede </w:t>
      </w:r>
      <w:proofErr w:type="spellStart"/>
      <w:r w:rsidRPr="00C507DC">
        <w:rPr>
          <w:sz w:val="24"/>
          <w:szCs w:val="24"/>
        </w:rPr>
        <w:t>reflukssymptomerne</w:t>
      </w:r>
      <w:proofErr w:type="spellEnd"/>
      <w:r w:rsidRPr="00C507DC">
        <w:rPr>
          <w:sz w:val="24"/>
          <w:szCs w:val="24"/>
        </w:rPr>
        <w:t xml:space="preserve"> signifikant. I et enkeltblindet forsøg blev børn mellem 0 og 24 måneder med klinisk diagnosticeret </w:t>
      </w:r>
      <w:proofErr w:type="spellStart"/>
      <w:r w:rsidRPr="00C507DC">
        <w:rPr>
          <w:sz w:val="24"/>
          <w:szCs w:val="24"/>
        </w:rPr>
        <w:t>gastroøsofageal</w:t>
      </w:r>
      <w:proofErr w:type="spellEnd"/>
      <w:r w:rsidRPr="00C507DC">
        <w:rPr>
          <w:sz w:val="24"/>
          <w:szCs w:val="24"/>
        </w:rPr>
        <w:t xml:space="preserve"> </w:t>
      </w:r>
      <w:proofErr w:type="spellStart"/>
      <w:r w:rsidRPr="00C507DC">
        <w:rPr>
          <w:sz w:val="24"/>
          <w:szCs w:val="24"/>
        </w:rPr>
        <w:t>reflukssygdom</w:t>
      </w:r>
      <w:proofErr w:type="spellEnd"/>
      <w:r w:rsidRPr="00C507DC">
        <w:rPr>
          <w:sz w:val="24"/>
          <w:szCs w:val="24"/>
        </w:rPr>
        <w:t xml:space="preserve"> behandlet med 0,5, 1,0 eller 1,5 mg </w:t>
      </w:r>
      <w:proofErr w:type="spellStart"/>
      <w:r w:rsidRPr="00C507DC">
        <w:rPr>
          <w:sz w:val="24"/>
          <w:szCs w:val="24"/>
        </w:rPr>
        <w:t>omeprazol</w:t>
      </w:r>
      <w:proofErr w:type="spellEnd"/>
      <w:r w:rsidRPr="00C507DC">
        <w:rPr>
          <w:sz w:val="24"/>
          <w:szCs w:val="24"/>
        </w:rPr>
        <w:t>/kg. Hyppigheden af episoder med opkastning/</w:t>
      </w:r>
      <w:proofErr w:type="spellStart"/>
      <w:r w:rsidRPr="00C507DC">
        <w:rPr>
          <w:sz w:val="24"/>
          <w:szCs w:val="24"/>
        </w:rPr>
        <w:t>regurgitation</w:t>
      </w:r>
      <w:proofErr w:type="spellEnd"/>
      <w:r w:rsidRPr="00C507DC">
        <w:rPr>
          <w:sz w:val="24"/>
          <w:szCs w:val="24"/>
        </w:rPr>
        <w:t xml:space="preserve"> faldt med 50</w:t>
      </w:r>
      <w:r>
        <w:rPr>
          <w:sz w:val="24"/>
          <w:szCs w:val="24"/>
        </w:rPr>
        <w:t xml:space="preserve"> %</w:t>
      </w:r>
      <w:r w:rsidRPr="00C507DC">
        <w:rPr>
          <w:sz w:val="24"/>
          <w:szCs w:val="24"/>
        </w:rPr>
        <w:t xml:space="preserve"> efter 8 ugers behandling uanset dosis.</w:t>
      </w:r>
    </w:p>
    <w:p w:rsidR="00C507DC" w:rsidRPr="00C507DC" w:rsidRDefault="00C507DC" w:rsidP="00C507D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1736C" w:rsidRDefault="0031736C" w:rsidP="0031736C">
      <w:pPr>
        <w:tabs>
          <w:tab w:val="left" w:pos="851"/>
        </w:tabs>
        <w:ind w:left="851"/>
        <w:rPr>
          <w:sz w:val="24"/>
          <w:szCs w:val="24"/>
          <w:u w:val="single"/>
        </w:rPr>
      </w:pPr>
    </w:p>
    <w:p w:rsidR="0031736C" w:rsidRPr="0031736C" w:rsidRDefault="0031736C" w:rsidP="0031736C">
      <w:pPr>
        <w:tabs>
          <w:tab w:val="left" w:pos="851"/>
        </w:tabs>
        <w:ind w:left="851"/>
        <w:rPr>
          <w:sz w:val="24"/>
          <w:szCs w:val="24"/>
          <w:u w:val="single"/>
        </w:rPr>
      </w:pPr>
      <w:r w:rsidRPr="0031736C">
        <w:rPr>
          <w:sz w:val="24"/>
          <w:szCs w:val="24"/>
          <w:u w:val="single"/>
        </w:rPr>
        <w:t>Absorption</w:t>
      </w:r>
    </w:p>
    <w:p w:rsidR="0031736C" w:rsidRPr="0031736C" w:rsidRDefault="0031736C" w:rsidP="0031736C">
      <w:pPr>
        <w:tabs>
          <w:tab w:val="left" w:pos="851"/>
        </w:tabs>
        <w:ind w:left="851"/>
        <w:rPr>
          <w:sz w:val="24"/>
          <w:szCs w:val="24"/>
        </w:rPr>
      </w:pPr>
      <w:proofErr w:type="spellStart"/>
      <w:r w:rsidRPr="0031736C">
        <w:rPr>
          <w:sz w:val="24"/>
          <w:szCs w:val="24"/>
        </w:rPr>
        <w:t>Omeprazol</w:t>
      </w:r>
      <w:proofErr w:type="spellEnd"/>
      <w:r w:rsidRPr="0031736C">
        <w:rPr>
          <w:sz w:val="24"/>
          <w:szCs w:val="24"/>
        </w:rPr>
        <w:t xml:space="preserve"> er syrelabilt og indgives derfor i </w:t>
      </w:r>
      <w:proofErr w:type="spellStart"/>
      <w:r w:rsidRPr="0031736C">
        <w:rPr>
          <w:sz w:val="24"/>
          <w:szCs w:val="24"/>
        </w:rPr>
        <w:t>Pedippi</w:t>
      </w:r>
      <w:proofErr w:type="spellEnd"/>
      <w:r w:rsidRPr="0031736C">
        <w:rPr>
          <w:sz w:val="24"/>
          <w:szCs w:val="24"/>
        </w:rPr>
        <w:t xml:space="preserve"> oral suspension som en buffer-suspension. Bufferen beskytter </w:t>
      </w:r>
      <w:proofErr w:type="spellStart"/>
      <w:r w:rsidRPr="0031736C">
        <w:rPr>
          <w:sz w:val="24"/>
          <w:szCs w:val="24"/>
        </w:rPr>
        <w:t>omeprazol</w:t>
      </w:r>
      <w:proofErr w:type="spellEnd"/>
      <w:r w:rsidRPr="0031736C">
        <w:rPr>
          <w:sz w:val="24"/>
          <w:szCs w:val="24"/>
        </w:rPr>
        <w:t xml:space="preserve"> mod syrenedbrydning, hvilket letter absorptionen.</w:t>
      </w:r>
    </w:p>
    <w:p w:rsidR="0031736C" w:rsidRPr="0031736C" w:rsidRDefault="0031736C" w:rsidP="0031736C">
      <w:pPr>
        <w:tabs>
          <w:tab w:val="left" w:pos="851"/>
        </w:tabs>
        <w:ind w:left="851"/>
        <w:rPr>
          <w:sz w:val="24"/>
          <w:szCs w:val="24"/>
        </w:rPr>
      </w:pPr>
      <w:r w:rsidRPr="0031736C">
        <w:rPr>
          <w:sz w:val="24"/>
          <w:szCs w:val="24"/>
        </w:rPr>
        <w:t xml:space="preserve">Absorptionen af </w:t>
      </w:r>
      <w:proofErr w:type="spellStart"/>
      <w:r w:rsidRPr="0031736C">
        <w:rPr>
          <w:sz w:val="24"/>
          <w:szCs w:val="24"/>
        </w:rPr>
        <w:t>omeprazol</w:t>
      </w:r>
      <w:proofErr w:type="spellEnd"/>
      <w:r w:rsidRPr="0031736C">
        <w:rPr>
          <w:sz w:val="24"/>
          <w:szCs w:val="24"/>
        </w:rPr>
        <w:t xml:space="preserve"> er hurtig med maksimale plasmakoncentrationer cirka 30 minutter efter dosering. Absorption af </w:t>
      </w:r>
      <w:proofErr w:type="spellStart"/>
      <w:r w:rsidRPr="0031736C">
        <w:rPr>
          <w:sz w:val="24"/>
          <w:szCs w:val="24"/>
        </w:rPr>
        <w:t>omeprazol</w:t>
      </w:r>
      <w:proofErr w:type="spellEnd"/>
      <w:r w:rsidRPr="0031736C">
        <w:rPr>
          <w:sz w:val="24"/>
          <w:szCs w:val="24"/>
        </w:rPr>
        <w:t xml:space="preserve"> finder sted i tyndtarmen og er sædvanligvis fuldstændig i løbet af 3-6 timer. I en biotilgængelighedsundersøgelse reducerede samtidig indgivelse af mad (mælk) absorptionen med ca. 20</w:t>
      </w:r>
      <w:r w:rsidR="003A35D1">
        <w:rPr>
          <w:sz w:val="24"/>
          <w:szCs w:val="24"/>
        </w:rPr>
        <w:t xml:space="preserve"> %</w:t>
      </w:r>
      <w:r w:rsidRPr="0031736C">
        <w:rPr>
          <w:sz w:val="24"/>
          <w:szCs w:val="24"/>
        </w:rPr>
        <w:t xml:space="preserve">. Den systemiske tilgængelighed (biotilgængelighed) af </w:t>
      </w:r>
      <w:proofErr w:type="spellStart"/>
      <w:r w:rsidRPr="0031736C">
        <w:rPr>
          <w:sz w:val="24"/>
          <w:szCs w:val="24"/>
        </w:rPr>
        <w:t>omeprazol</w:t>
      </w:r>
      <w:proofErr w:type="spellEnd"/>
      <w:r w:rsidRPr="0031736C">
        <w:rPr>
          <w:sz w:val="24"/>
          <w:szCs w:val="24"/>
        </w:rPr>
        <w:t xml:space="preserve"> efter en enkel oral dosis er ca. 40</w:t>
      </w:r>
      <w:r w:rsidR="003A35D1">
        <w:rPr>
          <w:sz w:val="24"/>
          <w:szCs w:val="24"/>
        </w:rPr>
        <w:t xml:space="preserve"> %</w:t>
      </w:r>
      <w:r w:rsidRPr="0031736C">
        <w:rPr>
          <w:sz w:val="24"/>
          <w:szCs w:val="24"/>
        </w:rPr>
        <w:t xml:space="preserve">. Efter gentagen dosering en gang </w:t>
      </w:r>
      <w:r w:rsidR="003A35D1">
        <w:rPr>
          <w:sz w:val="24"/>
          <w:szCs w:val="24"/>
        </w:rPr>
        <w:t>daglig</w:t>
      </w:r>
      <w:r w:rsidRPr="0031736C">
        <w:rPr>
          <w:sz w:val="24"/>
          <w:szCs w:val="24"/>
        </w:rPr>
        <w:t xml:space="preserve"> øges biotilgængeligheden til ca. 60</w:t>
      </w:r>
      <w:r w:rsidR="003A35D1">
        <w:rPr>
          <w:sz w:val="24"/>
          <w:szCs w:val="24"/>
        </w:rPr>
        <w:t xml:space="preserve"> %</w:t>
      </w:r>
      <w:r w:rsidRPr="0031736C">
        <w:rPr>
          <w:sz w:val="24"/>
          <w:szCs w:val="24"/>
        </w:rPr>
        <w:t>.</w:t>
      </w:r>
    </w:p>
    <w:p w:rsidR="0031736C" w:rsidRPr="0031736C" w:rsidRDefault="0031736C" w:rsidP="0031736C">
      <w:pPr>
        <w:tabs>
          <w:tab w:val="left" w:pos="851"/>
        </w:tabs>
        <w:ind w:left="851"/>
        <w:rPr>
          <w:sz w:val="24"/>
          <w:szCs w:val="24"/>
        </w:rPr>
      </w:pPr>
    </w:p>
    <w:p w:rsidR="0031736C" w:rsidRPr="0031736C" w:rsidRDefault="0031736C" w:rsidP="0031736C">
      <w:pPr>
        <w:tabs>
          <w:tab w:val="left" w:pos="851"/>
        </w:tabs>
        <w:ind w:left="851"/>
        <w:rPr>
          <w:sz w:val="24"/>
          <w:szCs w:val="24"/>
          <w:u w:val="single"/>
        </w:rPr>
      </w:pPr>
      <w:r w:rsidRPr="0031736C">
        <w:rPr>
          <w:sz w:val="24"/>
          <w:szCs w:val="24"/>
          <w:u w:val="single"/>
        </w:rPr>
        <w:t>Fordeling</w:t>
      </w:r>
    </w:p>
    <w:p w:rsidR="0031736C" w:rsidRPr="0031736C" w:rsidRDefault="0031736C" w:rsidP="0031736C">
      <w:pPr>
        <w:tabs>
          <w:tab w:val="left" w:pos="851"/>
        </w:tabs>
        <w:ind w:left="851"/>
        <w:rPr>
          <w:sz w:val="24"/>
          <w:szCs w:val="24"/>
        </w:rPr>
      </w:pPr>
      <w:r w:rsidRPr="0031736C">
        <w:rPr>
          <w:sz w:val="24"/>
          <w:szCs w:val="24"/>
        </w:rPr>
        <w:t xml:space="preserve">Hos raske forsøgspersoner er det tilsyneladende fordelingsvolumen ca. 0,3 l/kg legemsvægt. Plasmaproteinbindingsgraden af </w:t>
      </w:r>
      <w:proofErr w:type="spellStart"/>
      <w:r w:rsidRPr="0031736C">
        <w:rPr>
          <w:sz w:val="24"/>
          <w:szCs w:val="24"/>
        </w:rPr>
        <w:t>omeprazol</w:t>
      </w:r>
      <w:proofErr w:type="spellEnd"/>
      <w:r w:rsidRPr="0031736C">
        <w:rPr>
          <w:sz w:val="24"/>
          <w:szCs w:val="24"/>
        </w:rPr>
        <w:t xml:space="preserve"> er ca. 97</w:t>
      </w:r>
      <w:r w:rsidR="003A35D1">
        <w:rPr>
          <w:sz w:val="24"/>
          <w:szCs w:val="24"/>
        </w:rPr>
        <w:t xml:space="preserve"> %</w:t>
      </w:r>
      <w:r w:rsidRPr="0031736C">
        <w:rPr>
          <w:sz w:val="24"/>
          <w:szCs w:val="24"/>
        </w:rPr>
        <w:t>.</w:t>
      </w:r>
    </w:p>
    <w:p w:rsidR="0031736C" w:rsidRPr="0031736C" w:rsidRDefault="0031736C" w:rsidP="0031736C">
      <w:pPr>
        <w:tabs>
          <w:tab w:val="left" w:pos="851"/>
        </w:tabs>
        <w:ind w:left="851"/>
        <w:rPr>
          <w:sz w:val="24"/>
          <w:szCs w:val="24"/>
        </w:rPr>
      </w:pPr>
    </w:p>
    <w:p w:rsidR="00EF5ACD" w:rsidRDefault="00EF5ACD" w:rsidP="0031736C">
      <w:pPr>
        <w:tabs>
          <w:tab w:val="left" w:pos="851"/>
        </w:tabs>
        <w:ind w:left="851"/>
        <w:rPr>
          <w:sz w:val="24"/>
          <w:szCs w:val="24"/>
          <w:u w:val="single"/>
        </w:rPr>
      </w:pPr>
    </w:p>
    <w:p w:rsidR="0031736C" w:rsidRPr="0031736C" w:rsidRDefault="0031736C" w:rsidP="0031736C">
      <w:pPr>
        <w:tabs>
          <w:tab w:val="left" w:pos="851"/>
        </w:tabs>
        <w:ind w:left="851"/>
        <w:rPr>
          <w:sz w:val="24"/>
          <w:szCs w:val="24"/>
          <w:u w:val="single"/>
        </w:rPr>
      </w:pPr>
      <w:r w:rsidRPr="0031736C">
        <w:rPr>
          <w:sz w:val="24"/>
          <w:szCs w:val="24"/>
          <w:u w:val="single"/>
        </w:rPr>
        <w:lastRenderedPageBreak/>
        <w:t>Biotransformation</w:t>
      </w:r>
    </w:p>
    <w:p w:rsidR="0031736C" w:rsidRPr="0031736C" w:rsidRDefault="0031736C" w:rsidP="0031736C">
      <w:pPr>
        <w:tabs>
          <w:tab w:val="left" w:pos="851"/>
        </w:tabs>
        <w:ind w:left="851"/>
        <w:rPr>
          <w:sz w:val="24"/>
          <w:szCs w:val="24"/>
        </w:rPr>
      </w:pPr>
      <w:proofErr w:type="spellStart"/>
      <w:r w:rsidRPr="0031736C">
        <w:rPr>
          <w:sz w:val="24"/>
          <w:szCs w:val="24"/>
        </w:rPr>
        <w:t>Omeprazol</w:t>
      </w:r>
      <w:proofErr w:type="spellEnd"/>
      <w:r w:rsidRPr="0031736C">
        <w:rPr>
          <w:sz w:val="24"/>
          <w:szCs w:val="24"/>
        </w:rPr>
        <w:t xml:space="preserve"> </w:t>
      </w:r>
      <w:proofErr w:type="spellStart"/>
      <w:r w:rsidRPr="0031736C">
        <w:rPr>
          <w:sz w:val="24"/>
          <w:szCs w:val="24"/>
        </w:rPr>
        <w:t>metaboliseres</w:t>
      </w:r>
      <w:proofErr w:type="spellEnd"/>
      <w:r w:rsidRPr="0031736C">
        <w:rPr>
          <w:sz w:val="24"/>
          <w:szCs w:val="24"/>
        </w:rPr>
        <w:t xml:space="preserve"> fuldstændigt af </w:t>
      </w:r>
      <w:proofErr w:type="spellStart"/>
      <w:r w:rsidRPr="0031736C">
        <w:rPr>
          <w:sz w:val="24"/>
          <w:szCs w:val="24"/>
        </w:rPr>
        <w:t>cytochrom</w:t>
      </w:r>
      <w:proofErr w:type="spellEnd"/>
      <w:r w:rsidRPr="0031736C">
        <w:rPr>
          <w:sz w:val="24"/>
          <w:szCs w:val="24"/>
        </w:rPr>
        <w:t xml:space="preserve"> P-450-systemet (CYP). Størstedelen af </w:t>
      </w:r>
      <w:proofErr w:type="spellStart"/>
      <w:r w:rsidRPr="0031736C">
        <w:rPr>
          <w:sz w:val="24"/>
          <w:szCs w:val="24"/>
        </w:rPr>
        <w:t>omeprazols</w:t>
      </w:r>
      <w:proofErr w:type="spellEnd"/>
      <w:r w:rsidRPr="0031736C">
        <w:rPr>
          <w:sz w:val="24"/>
          <w:szCs w:val="24"/>
        </w:rPr>
        <w:t xml:space="preserve"> </w:t>
      </w:r>
      <w:proofErr w:type="spellStart"/>
      <w:r w:rsidRPr="0031736C">
        <w:rPr>
          <w:sz w:val="24"/>
          <w:szCs w:val="24"/>
        </w:rPr>
        <w:t>metabolisering</w:t>
      </w:r>
      <w:proofErr w:type="spellEnd"/>
      <w:r w:rsidRPr="0031736C">
        <w:rPr>
          <w:sz w:val="24"/>
          <w:szCs w:val="24"/>
        </w:rPr>
        <w:t xml:space="preserve"> er afhængig af det polymorft formulerede CYP2C19, som er ansvarligt for dannelsen af </w:t>
      </w:r>
      <w:proofErr w:type="spellStart"/>
      <w:r w:rsidRPr="0031736C">
        <w:rPr>
          <w:sz w:val="24"/>
          <w:szCs w:val="24"/>
        </w:rPr>
        <w:t>hydroxyomeprazol</w:t>
      </w:r>
      <w:proofErr w:type="spellEnd"/>
      <w:r w:rsidRPr="0031736C">
        <w:rPr>
          <w:sz w:val="24"/>
          <w:szCs w:val="24"/>
        </w:rPr>
        <w:t xml:space="preserve">, der er den primære metabolit i plasma. Den resterende del er afhængig af en anden specifik </w:t>
      </w:r>
      <w:proofErr w:type="spellStart"/>
      <w:r w:rsidRPr="0031736C">
        <w:rPr>
          <w:sz w:val="24"/>
          <w:szCs w:val="24"/>
        </w:rPr>
        <w:t>isoform</w:t>
      </w:r>
      <w:proofErr w:type="spellEnd"/>
      <w:r w:rsidRPr="0031736C">
        <w:rPr>
          <w:sz w:val="24"/>
          <w:szCs w:val="24"/>
        </w:rPr>
        <w:t xml:space="preserve"> CYP3A4, som er ansvarlig for dannelsen af </w:t>
      </w:r>
      <w:proofErr w:type="spellStart"/>
      <w:r w:rsidRPr="0031736C">
        <w:rPr>
          <w:sz w:val="24"/>
          <w:szCs w:val="24"/>
        </w:rPr>
        <w:t>omeprazolsulfon</w:t>
      </w:r>
      <w:proofErr w:type="spellEnd"/>
      <w:r w:rsidRPr="0031736C">
        <w:rPr>
          <w:sz w:val="24"/>
          <w:szCs w:val="24"/>
        </w:rPr>
        <w:t xml:space="preserve">. Som en konsekvens af </w:t>
      </w:r>
      <w:proofErr w:type="spellStart"/>
      <w:r w:rsidRPr="0031736C">
        <w:rPr>
          <w:sz w:val="24"/>
          <w:szCs w:val="24"/>
        </w:rPr>
        <w:t>omeprazols</w:t>
      </w:r>
      <w:proofErr w:type="spellEnd"/>
      <w:r w:rsidRPr="0031736C">
        <w:rPr>
          <w:sz w:val="24"/>
          <w:szCs w:val="24"/>
        </w:rPr>
        <w:t xml:space="preserve"> høje affinitet til CYP2C19 er der potentiale for </w:t>
      </w:r>
      <w:proofErr w:type="spellStart"/>
      <w:r w:rsidRPr="0031736C">
        <w:rPr>
          <w:sz w:val="24"/>
          <w:szCs w:val="24"/>
        </w:rPr>
        <w:t>kompetitiv</w:t>
      </w:r>
      <w:proofErr w:type="spellEnd"/>
      <w:r w:rsidRPr="0031736C">
        <w:rPr>
          <w:sz w:val="24"/>
          <w:szCs w:val="24"/>
        </w:rPr>
        <w:t xml:space="preserve"> </w:t>
      </w:r>
      <w:proofErr w:type="spellStart"/>
      <w:r w:rsidRPr="0031736C">
        <w:rPr>
          <w:sz w:val="24"/>
          <w:szCs w:val="24"/>
        </w:rPr>
        <w:t>inhibering</w:t>
      </w:r>
      <w:proofErr w:type="spellEnd"/>
      <w:r w:rsidRPr="0031736C">
        <w:rPr>
          <w:sz w:val="24"/>
          <w:szCs w:val="24"/>
        </w:rPr>
        <w:t xml:space="preserve"> og metabolisk lægemiddel-lægemiddel interaktioner med andre substrater for CYP2C19. På grund af den lave affinitet til CYP3A4 har </w:t>
      </w:r>
      <w:proofErr w:type="spellStart"/>
      <w:r w:rsidRPr="0031736C">
        <w:rPr>
          <w:sz w:val="24"/>
          <w:szCs w:val="24"/>
        </w:rPr>
        <w:t>omeprazol</w:t>
      </w:r>
      <w:proofErr w:type="spellEnd"/>
      <w:r w:rsidRPr="0031736C">
        <w:rPr>
          <w:sz w:val="24"/>
          <w:szCs w:val="24"/>
        </w:rPr>
        <w:t xml:space="preserve"> dog ikke potentialet til at inhibere metabolismen af andre CYP3A4-substrater. Endvidere mangler </w:t>
      </w:r>
      <w:proofErr w:type="spellStart"/>
      <w:r w:rsidRPr="0031736C">
        <w:rPr>
          <w:sz w:val="24"/>
          <w:szCs w:val="24"/>
        </w:rPr>
        <w:t>omeprazol</w:t>
      </w:r>
      <w:proofErr w:type="spellEnd"/>
      <w:r w:rsidRPr="0031736C">
        <w:rPr>
          <w:sz w:val="24"/>
          <w:szCs w:val="24"/>
        </w:rPr>
        <w:t xml:space="preserve"> en hæmmende virkning på de vigtigste CYP-enzymer.</w:t>
      </w:r>
    </w:p>
    <w:p w:rsidR="0031736C" w:rsidRPr="0031736C" w:rsidRDefault="0031736C" w:rsidP="0031736C">
      <w:pPr>
        <w:tabs>
          <w:tab w:val="left" w:pos="851"/>
        </w:tabs>
        <w:ind w:left="851"/>
        <w:rPr>
          <w:sz w:val="24"/>
          <w:szCs w:val="24"/>
        </w:rPr>
      </w:pPr>
    </w:p>
    <w:p w:rsidR="0031736C" w:rsidRPr="0031736C" w:rsidRDefault="0031736C" w:rsidP="0031736C">
      <w:pPr>
        <w:tabs>
          <w:tab w:val="left" w:pos="851"/>
        </w:tabs>
        <w:ind w:left="851"/>
        <w:rPr>
          <w:sz w:val="24"/>
          <w:szCs w:val="24"/>
        </w:rPr>
      </w:pPr>
      <w:r w:rsidRPr="0031736C">
        <w:rPr>
          <w:sz w:val="24"/>
          <w:szCs w:val="24"/>
        </w:rPr>
        <w:t>Ca. 3</w:t>
      </w:r>
      <w:r w:rsidR="003A35D1">
        <w:rPr>
          <w:sz w:val="24"/>
          <w:szCs w:val="24"/>
        </w:rPr>
        <w:t xml:space="preserve"> %</w:t>
      </w:r>
      <w:r w:rsidRPr="0031736C">
        <w:rPr>
          <w:sz w:val="24"/>
          <w:szCs w:val="24"/>
        </w:rPr>
        <w:t xml:space="preserve"> af den kaukasiske befolkning og 15-20</w:t>
      </w:r>
      <w:r w:rsidR="003A35D1">
        <w:rPr>
          <w:sz w:val="24"/>
          <w:szCs w:val="24"/>
        </w:rPr>
        <w:t xml:space="preserve"> %</w:t>
      </w:r>
      <w:r w:rsidRPr="0031736C">
        <w:rPr>
          <w:sz w:val="24"/>
          <w:szCs w:val="24"/>
        </w:rPr>
        <w:t xml:space="preserve"> af den asiatiske befolkning mangler et funktionelt CYP2C19-enzym og kaldes ”</w:t>
      </w:r>
      <w:proofErr w:type="spellStart"/>
      <w:r w:rsidRPr="0031736C">
        <w:rPr>
          <w:sz w:val="24"/>
          <w:szCs w:val="24"/>
        </w:rPr>
        <w:t>poor</w:t>
      </w:r>
      <w:proofErr w:type="spellEnd"/>
      <w:r w:rsidRPr="0031736C">
        <w:rPr>
          <w:sz w:val="24"/>
          <w:szCs w:val="24"/>
        </w:rPr>
        <w:t xml:space="preserve"> </w:t>
      </w:r>
      <w:proofErr w:type="spellStart"/>
      <w:r w:rsidRPr="0031736C">
        <w:rPr>
          <w:sz w:val="24"/>
          <w:szCs w:val="24"/>
        </w:rPr>
        <w:t>metabolisers</w:t>
      </w:r>
      <w:proofErr w:type="spellEnd"/>
      <w:r w:rsidRPr="0031736C">
        <w:rPr>
          <w:sz w:val="24"/>
          <w:szCs w:val="24"/>
        </w:rPr>
        <w:t xml:space="preserve">”. Sandsynligvis er </w:t>
      </w:r>
      <w:proofErr w:type="spellStart"/>
      <w:r w:rsidRPr="0031736C">
        <w:rPr>
          <w:sz w:val="24"/>
          <w:szCs w:val="24"/>
        </w:rPr>
        <w:t>omeprazols</w:t>
      </w:r>
      <w:proofErr w:type="spellEnd"/>
      <w:r w:rsidRPr="0031736C">
        <w:rPr>
          <w:sz w:val="24"/>
          <w:szCs w:val="24"/>
        </w:rPr>
        <w:t xml:space="preserve"> </w:t>
      </w:r>
      <w:proofErr w:type="spellStart"/>
      <w:r w:rsidRPr="0031736C">
        <w:rPr>
          <w:sz w:val="24"/>
          <w:szCs w:val="24"/>
        </w:rPr>
        <w:t>metabolisering</w:t>
      </w:r>
      <w:proofErr w:type="spellEnd"/>
      <w:r w:rsidRPr="0031736C">
        <w:rPr>
          <w:sz w:val="24"/>
          <w:szCs w:val="24"/>
        </w:rPr>
        <w:t xml:space="preserve"> hos disse personer hovedsageligt katalyseret af CYP3A4. Efter gentagen administration af 20 mg </w:t>
      </w:r>
      <w:proofErr w:type="spellStart"/>
      <w:r w:rsidRPr="0031736C">
        <w:rPr>
          <w:sz w:val="24"/>
          <w:szCs w:val="24"/>
        </w:rPr>
        <w:t>omeprazol</w:t>
      </w:r>
      <w:proofErr w:type="spellEnd"/>
      <w:r w:rsidRPr="0031736C">
        <w:rPr>
          <w:sz w:val="24"/>
          <w:szCs w:val="24"/>
        </w:rPr>
        <w:t xml:space="preserve"> en gang </w:t>
      </w:r>
      <w:r w:rsidR="003A35D1">
        <w:rPr>
          <w:sz w:val="24"/>
          <w:szCs w:val="24"/>
        </w:rPr>
        <w:t>daglig</w:t>
      </w:r>
      <w:r w:rsidRPr="0031736C">
        <w:rPr>
          <w:sz w:val="24"/>
          <w:szCs w:val="24"/>
        </w:rPr>
        <w:t xml:space="preserve"> var middel-AUC 5-10 gange højere hos ”</w:t>
      </w:r>
      <w:proofErr w:type="spellStart"/>
      <w:r w:rsidRPr="0031736C">
        <w:rPr>
          <w:sz w:val="24"/>
          <w:szCs w:val="24"/>
        </w:rPr>
        <w:t>poor</w:t>
      </w:r>
      <w:proofErr w:type="spellEnd"/>
      <w:r w:rsidRPr="0031736C">
        <w:rPr>
          <w:sz w:val="24"/>
          <w:szCs w:val="24"/>
        </w:rPr>
        <w:t xml:space="preserve"> </w:t>
      </w:r>
      <w:proofErr w:type="spellStart"/>
      <w:r w:rsidRPr="0031736C">
        <w:rPr>
          <w:sz w:val="24"/>
          <w:szCs w:val="24"/>
        </w:rPr>
        <w:t>metabolisers</w:t>
      </w:r>
      <w:proofErr w:type="spellEnd"/>
      <w:r w:rsidRPr="0031736C">
        <w:rPr>
          <w:sz w:val="24"/>
          <w:szCs w:val="24"/>
        </w:rPr>
        <w:t>” end hos individer med et funktionelt CYP2C19-enzym (”</w:t>
      </w:r>
      <w:proofErr w:type="spellStart"/>
      <w:r w:rsidRPr="0031736C">
        <w:rPr>
          <w:sz w:val="24"/>
          <w:szCs w:val="24"/>
        </w:rPr>
        <w:t>extensive</w:t>
      </w:r>
      <w:proofErr w:type="spellEnd"/>
      <w:r w:rsidRPr="0031736C">
        <w:rPr>
          <w:sz w:val="24"/>
          <w:szCs w:val="24"/>
        </w:rPr>
        <w:t xml:space="preserve"> </w:t>
      </w:r>
      <w:proofErr w:type="spellStart"/>
      <w:r w:rsidRPr="0031736C">
        <w:rPr>
          <w:sz w:val="24"/>
          <w:szCs w:val="24"/>
        </w:rPr>
        <w:t>metabolisers</w:t>
      </w:r>
      <w:proofErr w:type="spellEnd"/>
      <w:r w:rsidRPr="0031736C">
        <w:rPr>
          <w:sz w:val="24"/>
          <w:szCs w:val="24"/>
        </w:rPr>
        <w:t xml:space="preserve">”). De gennemsnitlige peak-plasmakoncentrationer var også 3-5 gange højere. Dette har dog ingen konsekvenser for doseringen af </w:t>
      </w:r>
      <w:proofErr w:type="spellStart"/>
      <w:r w:rsidRPr="0031736C">
        <w:rPr>
          <w:sz w:val="24"/>
          <w:szCs w:val="24"/>
        </w:rPr>
        <w:t>omeprazol</w:t>
      </w:r>
      <w:proofErr w:type="spellEnd"/>
      <w:r w:rsidRPr="0031736C">
        <w:rPr>
          <w:sz w:val="24"/>
          <w:szCs w:val="24"/>
        </w:rPr>
        <w:t>.</w:t>
      </w:r>
    </w:p>
    <w:p w:rsidR="0031736C" w:rsidRPr="0031736C" w:rsidRDefault="0031736C" w:rsidP="0031736C">
      <w:pPr>
        <w:tabs>
          <w:tab w:val="left" w:pos="851"/>
        </w:tabs>
        <w:ind w:left="851"/>
        <w:rPr>
          <w:sz w:val="24"/>
          <w:szCs w:val="24"/>
        </w:rPr>
      </w:pPr>
    </w:p>
    <w:p w:rsidR="0031736C" w:rsidRPr="0031736C" w:rsidRDefault="0031736C" w:rsidP="0031736C">
      <w:pPr>
        <w:tabs>
          <w:tab w:val="left" w:pos="851"/>
        </w:tabs>
        <w:ind w:left="851"/>
        <w:rPr>
          <w:sz w:val="24"/>
          <w:szCs w:val="24"/>
          <w:u w:val="single"/>
        </w:rPr>
      </w:pPr>
      <w:r w:rsidRPr="0031736C">
        <w:rPr>
          <w:sz w:val="24"/>
          <w:szCs w:val="24"/>
          <w:u w:val="single"/>
        </w:rPr>
        <w:t>Elimination</w:t>
      </w:r>
    </w:p>
    <w:p w:rsidR="0031736C" w:rsidRPr="0031736C" w:rsidRDefault="0031736C" w:rsidP="0031736C">
      <w:pPr>
        <w:tabs>
          <w:tab w:val="left" w:pos="851"/>
        </w:tabs>
        <w:ind w:left="851"/>
        <w:rPr>
          <w:sz w:val="24"/>
          <w:szCs w:val="24"/>
        </w:rPr>
      </w:pPr>
      <w:r w:rsidRPr="0031736C">
        <w:rPr>
          <w:sz w:val="24"/>
          <w:szCs w:val="24"/>
        </w:rPr>
        <w:t xml:space="preserve">Halveringstiden for </w:t>
      </w:r>
      <w:proofErr w:type="spellStart"/>
      <w:r w:rsidRPr="0031736C">
        <w:rPr>
          <w:sz w:val="24"/>
          <w:szCs w:val="24"/>
        </w:rPr>
        <w:t>omeprazols</w:t>
      </w:r>
      <w:proofErr w:type="spellEnd"/>
      <w:r w:rsidRPr="0031736C">
        <w:rPr>
          <w:sz w:val="24"/>
          <w:szCs w:val="24"/>
        </w:rPr>
        <w:t xml:space="preserve"> elimination fra plasma er som regel under 1 time både efter enkelt og gentagen oral dosering en gang </w:t>
      </w:r>
      <w:r w:rsidR="003A35D1">
        <w:rPr>
          <w:sz w:val="24"/>
          <w:szCs w:val="24"/>
        </w:rPr>
        <w:t>daglig</w:t>
      </w:r>
      <w:r w:rsidRPr="0031736C">
        <w:rPr>
          <w:sz w:val="24"/>
          <w:szCs w:val="24"/>
        </w:rPr>
        <w:t xml:space="preserve">. </w:t>
      </w:r>
      <w:proofErr w:type="spellStart"/>
      <w:r w:rsidRPr="0031736C">
        <w:rPr>
          <w:sz w:val="24"/>
          <w:szCs w:val="24"/>
        </w:rPr>
        <w:t>Omeprazol</w:t>
      </w:r>
      <w:proofErr w:type="spellEnd"/>
      <w:r w:rsidRPr="0031736C">
        <w:rPr>
          <w:sz w:val="24"/>
          <w:szCs w:val="24"/>
        </w:rPr>
        <w:t xml:space="preserve"> elimineres fuldstændigt fra plasma mellem doserne uden tendens til akkumulering ved administration en gang </w:t>
      </w:r>
      <w:r w:rsidR="003A35D1">
        <w:rPr>
          <w:sz w:val="24"/>
          <w:szCs w:val="24"/>
        </w:rPr>
        <w:t>daglig</w:t>
      </w:r>
      <w:r w:rsidRPr="0031736C">
        <w:rPr>
          <w:sz w:val="24"/>
          <w:szCs w:val="24"/>
        </w:rPr>
        <w:t>. Næsten 80</w:t>
      </w:r>
      <w:r w:rsidR="003A35D1">
        <w:rPr>
          <w:sz w:val="24"/>
          <w:szCs w:val="24"/>
        </w:rPr>
        <w:t xml:space="preserve"> %</w:t>
      </w:r>
      <w:r w:rsidRPr="0031736C">
        <w:rPr>
          <w:sz w:val="24"/>
          <w:szCs w:val="24"/>
        </w:rPr>
        <w:t xml:space="preserve"> af en oral </w:t>
      </w:r>
      <w:proofErr w:type="spellStart"/>
      <w:r w:rsidRPr="0031736C">
        <w:rPr>
          <w:sz w:val="24"/>
          <w:szCs w:val="24"/>
        </w:rPr>
        <w:t>omeprazoldosis</w:t>
      </w:r>
      <w:proofErr w:type="spellEnd"/>
      <w:r w:rsidRPr="0031736C">
        <w:rPr>
          <w:sz w:val="24"/>
          <w:szCs w:val="24"/>
        </w:rPr>
        <w:t xml:space="preserve"> udskilles som metabolitter i urinen, den resterende del, som primært stammer fra galdesekretion, i fæces.</w:t>
      </w:r>
    </w:p>
    <w:p w:rsidR="0031736C" w:rsidRPr="0031736C" w:rsidRDefault="0031736C" w:rsidP="0031736C">
      <w:pPr>
        <w:tabs>
          <w:tab w:val="left" w:pos="851"/>
        </w:tabs>
        <w:ind w:left="851"/>
        <w:rPr>
          <w:sz w:val="24"/>
          <w:szCs w:val="24"/>
        </w:rPr>
      </w:pPr>
    </w:p>
    <w:p w:rsidR="0031736C" w:rsidRPr="0031736C" w:rsidRDefault="0031736C" w:rsidP="0031736C">
      <w:pPr>
        <w:tabs>
          <w:tab w:val="left" w:pos="851"/>
        </w:tabs>
        <w:ind w:left="851"/>
        <w:rPr>
          <w:sz w:val="24"/>
          <w:szCs w:val="24"/>
          <w:u w:val="single"/>
        </w:rPr>
      </w:pPr>
      <w:r w:rsidRPr="0031736C">
        <w:rPr>
          <w:sz w:val="24"/>
          <w:szCs w:val="24"/>
          <w:u w:val="single"/>
        </w:rPr>
        <w:t>Linearitet/non-linearitet</w:t>
      </w:r>
    </w:p>
    <w:p w:rsidR="0031736C" w:rsidRPr="0031736C" w:rsidRDefault="0031736C" w:rsidP="0031736C">
      <w:pPr>
        <w:tabs>
          <w:tab w:val="left" w:pos="851"/>
        </w:tabs>
        <w:ind w:left="851"/>
        <w:rPr>
          <w:sz w:val="24"/>
          <w:szCs w:val="24"/>
        </w:rPr>
      </w:pPr>
      <w:r w:rsidRPr="0031736C">
        <w:rPr>
          <w:sz w:val="24"/>
          <w:szCs w:val="24"/>
        </w:rPr>
        <w:t xml:space="preserve">AUC øges ved gentagen administration af </w:t>
      </w:r>
      <w:proofErr w:type="spellStart"/>
      <w:r w:rsidRPr="0031736C">
        <w:rPr>
          <w:sz w:val="24"/>
          <w:szCs w:val="24"/>
        </w:rPr>
        <w:t>omeprazol</w:t>
      </w:r>
      <w:proofErr w:type="spellEnd"/>
      <w:r w:rsidRPr="0031736C">
        <w:rPr>
          <w:sz w:val="24"/>
          <w:szCs w:val="24"/>
        </w:rPr>
        <w:t xml:space="preserve">. Denne øgning er dosisafhængig og resulterer i et ikke-lineært dosis-AUC-forhold efter gentagen administration. Denne tids- og dosisafhængighed skyldes et fald i </w:t>
      </w:r>
      <w:proofErr w:type="spellStart"/>
      <w:r w:rsidRPr="0031736C">
        <w:rPr>
          <w:sz w:val="24"/>
          <w:szCs w:val="24"/>
        </w:rPr>
        <w:t>first</w:t>
      </w:r>
      <w:proofErr w:type="spellEnd"/>
      <w:r w:rsidRPr="0031736C">
        <w:rPr>
          <w:sz w:val="24"/>
          <w:szCs w:val="24"/>
        </w:rPr>
        <w:t xml:space="preserve"> </w:t>
      </w:r>
      <w:proofErr w:type="spellStart"/>
      <w:r w:rsidRPr="0031736C">
        <w:rPr>
          <w:sz w:val="24"/>
          <w:szCs w:val="24"/>
        </w:rPr>
        <w:t>pass</w:t>
      </w:r>
      <w:proofErr w:type="spellEnd"/>
      <w:r w:rsidRPr="0031736C">
        <w:rPr>
          <w:sz w:val="24"/>
          <w:szCs w:val="24"/>
        </w:rPr>
        <w:t xml:space="preserve"> metabolismen og systemisk </w:t>
      </w:r>
      <w:proofErr w:type="spellStart"/>
      <w:r w:rsidRPr="0031736C">
        <w:rPr>
          <w:sz w:val="24"/>
          <w:szCs w:val="24"/>
        </w:rPr>
        <w:t>clearance</w:t>
      </w:r>
      <w:proofErr w:type="spellEnd"/>
      <w:r w:rsidRPr="0031736C">
        <w:rPr>
          <w:sz w:val="24"/>
          <w:szCs w:val="24"/>
        </w:rPr>
        <w:t xml:space="preserve">, som sandsynligvis skyldes </w:t>
      </w:r>
      <w:proofErr w:type="spellStart"/>
      <w:r w:rsidRPr="0031736C">
        <w:rPr>
          <w:sz w:val="24"/>
          <w:szCs w:val="24"/>
        </w:rPr>
        <w:t>omeprazols</w:t>
      </w:r>
      <w:proofErr w:type="spellEnd"/>
      <w:r w:rsidRPr="0031736C">
        <w:rPr>
          <w:sz w:val="24"/>
          <w:szCs w:val="24"/>
        </w:rPr>
        <w:t xml:space="preserve"> og/eller dets metabolitters (f.eks. sulfonets) hæmning af CYP2C19-enzymet. </w:t>
      </w:r>
    </w:p>
    <w:p w:rsidR="0031736C" w:rsidRPr="0031736C" w:rsidRDefault="0031736C" w:rsidP="0031736C">
      <w:pPr>
        <w:tabs>
          <w:tab w:val="left" w:pos="851"/>
        </w:tabs>
        <w:ind w:left="851"/>
        <w:rPr>
          <w:sz w:val="24"/>
          <w:szCs w:val="24"/>
        </w:rPr>
      </w:pPr>
      <w:r w:rsidRPr="0031736C">
        <w:rPr>
          <w:sz w:val="24"/>
          <w:szCs w:val="24"/>
        </w:rPr>
        <w:t>Der er ikke fundet metabolitter med effekt på den gastriske syresekretion.</w:t>
      </w:r>
    </w:p>
    <w:p w:rsidR="0031736C" w:rsidRPr="0031736C" w:rsidRDefault="0031736C" w:rsidP="0031736C">
      <w:pPr>
        <w:tabs>
          <w:tab w:val="left" w:pos="851"/>
        </w:tabs>
        <w:ind w:left="851"/>
        <w:rPr>
          <w:sz w:val="24"/>
          <w:szCs w:val="24"/>
        </w:rPr>
      </w:pPr>
    </w:p>
    <w:p w:rsidR="0031736C" w:rsidRPr="0031736C" w:rsidRDefault="0031736C" w:rsidP="0031736C">
      <w:pPr>
        <w:tabs>
          <w:tab w:val="left" w:pos="851"/>
        </w:tabs>
        <w:ind w:left="851"/>
        <w:rPr>
          <w:sz w:val="24"/>
          <w:szCs w:val="24"/>
          <w:u w:val="single"/>
        </w:rPr>
      </w:pPr>
      <w:r w:rsidRPr="0031736C">
        <w:rPr>
          <w:sz w:val="24"/>
          <w:szCs w:val="24"/>
          <w:u w:val="single"/>
        </w:rPr>
        <w:t xml:space="preserve">Særlige patientgrupper </w:t>
      </w:r>
    </w:p>
    <w:p w:rsidR="0031736C" w:rsidRPr="0031736C" w:rsidRDefault="0031736C" w:rsidP="0031736C">
      <w:pPr>
        <w:tabs>
          <w:tab w:val="left" w:pos="851"/>
        </w:tabs>
        <w:ind w:left="851"/>
        <w:rPr>
          <w:sz w:val="24"/>
          <w:szCs w:val="24"/>
        </w:rPr>
      </w:pPr>
    </w:p>
    <w:p w:rsidR="0031736C" w:rsidRPr="000145D9" w:rsidRDefault="0031736C" w:rsidP="0031736C">
      <w:pPr>
        <w:tabs>
          <w:tab w:val="left" w:pos="851"/>
        </w:tabs>
        <w:ind w:left="851"/>
        <w:rPr>
          <w:i/>
          <w:iCs/>
          <w:sz w:val="24"/>
          <w:szCs w:val="24"/>
        </w:rPr>
      </w:pPr>
      <w:r w:rsidRPr="000145D9">
        <w:rPr>
          <w:i/>
          <w:iCs/>
          <w:sz w:val="24"/>
          <w:szCs w:val="24"/>
        </w:rPr>
        <w:t>Leverinsufficiens</w:t>
      </w:r>
    </w:p>
    <w:p w:rsidR="0031736C" w:rsidRPr="0031736C" w:rsidRDefault="0031736C" w:rsidP="0031736C">
      <w:pPr>
        <w:tabs>
          <w:tab w:val="left" w:pos="851"/>
        </w:tabs>
        <w:ind w:left="851"/>
        <w:rPr>
          <w:sz w:val="24"/>
          <w:szCs w:val="24"/>
        </w:rPr>
      </w:pPr>
      <w:proofErr w:type="spellStart"/>
      <w:r w:rsidRPr="0031736C">
        <w:rPr>
          <w:sz w:val="24"/>
          <w:szCs w:val="24"/>
        </w:rPr>
        <w:t>Omeprazols</w:t>
      </w:r>
      <w:proofErr w:type="spellEnd"/>
      <w:r w:rsidRPr="0031736C">
        <w:rPr>
          <w:sz w:val="24"/>
          <w:szCs w:val="24"/>
        </w:rPr>
        <w:t xml:space="preserve"> metabolisme er nedsat hos patienter med nedsat leverfunktion, hvilket resulterer i en øget AUC. </w:t>
      </w:r>
      <w:proofErr w:type="spellStart"/>
      <w:r w:rsidRPr="0031736C">
        <w:rPr>
          <w:sz w:val="24"/>
          <w:szCs w:val="24"/>
        </w:rPr>
        <w:t>Omeprazol</w:t>
      </w:r>
      <w:proofErr w:type="spellEnd"/>
      <w:r w:rsidRPr="0031736C">
        <w:rPr>
          <w:sz w:val="24"/>
          <w:szCs w:val="24"/>
        </w:rPr>
        <w:t xml:space="preserve"> viser ingen tendens til akkumulering ved dosering en gang </w:t>
      </w:r>
      <w:r w:rsidR="003A35D1">
        <w:rPr>
          <w:sz w:val="24"/>
          <w:szCs w:val="24"/>
        </w:rPr>
        <w:t>daglig</w:t>
      </w:r>
      <w:r w:rsidRPr="0031736C">
        <w:rPr>
          <w:sz w:val="24"/>
          <w:szCs w:val="24"/>
        </w:rPr>
        <w:t>.</w:t>
      </w:r>
    </w:p>
    <w:p w:rsidR="0031736C" w:rsidRPr="0031736C" w:rsidRDefault="0031736C" w:rsidP="0031736C">
      <w:pPr>
        <w:tabs>
          <w:tab w:val="left" w:pos="851"/>
        </w:tabs>
        <w:ind w:left="851"/>
        <w:rPr>
          <w:sz w:val="24"/>
          <w:szCs w:val="24"/>
        </w:rPr>
      </w:pPr>
    </w:p>
    <w:p w:rsidR="0031736C" w:rsidRPr="000145D9" w:rsidRDefault="0031736C" w:rsidP="0031736C">
      <w:pPr>
        <w:tabs>
          <w:tab w:val="left" w:pos="851"/>
        </w:tabs>
        <w:ind w:left="851"/>
        <w:rPr>
          <w:i/>
          <w:iCs/>
          <w:sz w:val="24"/>
          <w:szCs w:val="24"/>
        </w:rPr>
      </w:pPr>
      <w:r w:rsidRPr="000145D9">
        <w:rPr>
          <w:i/>
          <w:iCs/>
          <w:sz w:val="24"/>
          <w:szCs w:val="24"/>
        </w:rPr>
        <w:t>Nyreinsufficiens</w:t>
      </w:r>
    </w:p>
    <w:p w:rsidR="0031736C" w:rsidRPr="0031736C" w:rsidRDefault="0031736C" w:rsidP="0031736C">
      <w:pPr>
        <w:tabs>
          <w:tab w:val="left" w:pos="851"/>
        </w:tabs>
        <w:ind w:left="851"/>
        <w:rPr>
          <w:sz w:val="24"/>
          <w:szCs w:val="24"/>
        </w:rPr>
      </w:pPr>
      <w:proofErr w:type="spellStart"/>
      <w:r w:rsidRPr="0031736C">
        <w:rPr>
          <w:sz w:val="24"/>
          <w:szCs w:val="24"/>
        </w:rPr>
        <w:t>Omeprazols</w:t>
      </w:r>
      <w:proofErr w:type="spellEnd"/>
      <w:r w:rsidRPr="0031736C">
        <w:rPr>
          <w:sz w:val="24"/>
          <w:szCs w:val="24"/>
        </w:rPr>
        <w:t xml:space="preserve"> farmakokinetik inklusive systemiske biotilgængelighed og eliminationshastighed er uændret hos patienter med nedsat nyrefunktion.</w:t>
      </w:r>
    </w:p>
    <w:p w:rsidR="0031736C" w:rsidRPr="0031736C" w:rsidRDefault="0031736C" w:rsidP="0031736C">
      <w:pPr>
        <w:tabs>
          <w:tab w:val="left" w:pos="851"/>
        </w:tabs>
        <w:ind w:left="851"/>
        <w:rPr>
          <w:sz w:val="24"/>
          <w:szCs w:val="24"/>
        </w:rPr>
      </w:pPr>
    </w:p>
    <w:p w:rsidR="0031736C" w:rsidRPr="000145D9" w:rsidRDefault="0031736C" w:rsidP="0031736C">
      <w:pPr>
        <w:tabs>
          <w:tab w:val="left" w:pos="851"/>
        </w:tabs>
        <w:ind w:left="851"/>
        <w:rPr>
          <w:i/>
          <w:iCs/>
          <w:sz w:val="24"/>
          <w:szCs w:val="24"/>
        </w:rPr>
      </w:pPr>
      <w:r w:rsidRPr="000145D9">
        <w:rPr>
          <w:i/>
          <w:iCs/>
          <w:sz w:val="24"/>
          <w:szCs w:val="24"/>
        </w:rPr>
        <w:t>Ældre personer</w:t>
      </w:r>
    </w:p>
    <w:p w:rsidR="000145D9" w:rsidRDefault="0031736C" w:rsidP="000F7EA7">
      <w:pPr>
        <w:tabs>
          <w:tab w:val="left" w:pos="851"/>
        </w:tabs>
        <w:ind w:left="851"/>
        <w:rPr>
          <w:sz w:val="24"/>
          <w:szCs w:val="24"/>
        </w:rPr>
      </w:pPr>
      <w:proofErr w:type="spellStart"/>
      <w:r w:rsidRPr="0031736C">
        <w:rPr>
          <w:sz w:val="24"/>
          <w:szCs w:val="24"/>
        </w:rPr>
        <w:t>Omeprazols</w:t>
      </w:r>
      <w:proofErr w:type="spellEnd"/>
      <w:r w:rsidRPr="0031736C">
        <w:rPr>
          <w:sz w:val="24"/>
          <w:szCs w:val="24"/>
        </w:rPr>
        <w:t xml:space="preserve"> metabolisme er noget nedsat hos ældre personer (75-79 år).</w:t>
      </w:r>
    </w:p>
    <w:p w:rsidR="0031736C" w:rsidRPr="0031736C" w:rsidRDefault="0031736C" w:rsidP="0031736C">
      <w:pPr>
        <w:tabs>
          <w:tab w:val="left" w:pos="851"/>
        </w:tabs>
        <w:ind w:left="851"/>
        <w:rPr>
          <w:sz w:val="24"/>
          <w:szCs w:val="24"/>
        </w:rPr>
      </w:pPr>
    </w:p>
    <w:p w:rsidR="0031736C" w:rsidRPr="000145D9" w:rsidRDefault="0031736C" w:rsidP="0031736C">
      <w:pPr>
        <w:tabs>
          <w:tab w:val="left" w:pos="851"/>
        </w:tabs>
        <w:ind w:left="851"/>
        <w:rPr>
          <w:i/>
          <w:iCs/>
          <w:sz w:val="24"/>
          <w:szCs w:val="24"/>
        </w:rPr>
      </w:pPr>
      <w:r w:rsidRPr="000145D9">
        <w:rPr>
          <w:i/>
          <w:iCs/>
          <w:sz w:val="24"/>
          <w:szCs w:val="24"/>
        </w:rPr>
        <w:t>Pædiatrisk population</w:t>
      </w:r>
    </w:p>
    <w:p w:rsidR="0031736C" w:rsidRPr="0031736C" w:rsidRDefault="0031736C" w:rsidP="0031736C">
      <w:pPr>
        <w:tabs>
          <w:tab w:val="left" w:pos="851"/>
        </w:tabs>
        <w:ind w:left="851"/>
        <w:rPr>
          <w:sz w:val="24"/>
          <w:szCs w:val="24"/>
        </w:rPr>
      </w:pPr>
      <w:r w:rsidRPr="0031736C">
        <w:rPr>
          <w:sz w:val="24"/>
          <w:szCs w:val="24"/>
        </w:rPr>
        <w:lastRenderedPageBreak/>
        <w:t xml:space="preserve">Ved behandling med de anbefalede doser til børn fra 1 år, sås tilsvarende plasmakoncentrationer som hos voksne. Hos børn yngre end 6 måneder er </w:t>
      </w:r>
      <w:proofErr w:type="spellStart"/>
      <w:r w:rsidRPr="0031736C">
        <w:rPr>
          <w:sz w:val="24"/>
          <w:szCs w:val="24"/>
        </w:rPr>
        <w:t>omeprazols</w:t>
      </w:r>
      <w:proofErr w:type="spellEnd"/>
      <w:r w:rsidRPr="0031736C">
        <w:rPr>
          <w:sz w:val="24"/>
          <w:szCs w:val="24"/>
        </w:rPr>
        <w:t xml:space="preserve"> </w:t>
      </w:r>
      <w:proofErr w:type="spellStart"/>
      <w:r w:rsidRPr="0031736C">
        <w:rPr>
          <w:sz w:val="24"/>
          <w:szCs w:val="24"/>
        </w:rPr>
        <w:t>clearance</w:t>
      </w:r>
      <w:proofErr w:type="spellEnd"/>
      <w:r w:rsidRPr="0031736C">
        <w:rPr>
          <w:sz w:val="24"/>
          <w:szCs w:val="24"/>
        </w:rPr>
        <w:t xml:space="preserve"> lav på grund af lav </w:t>
      </w:r>
      <w:proofErr w:type="spellStart"/>
      <w:r w:rsidRPr="0031736C">
        <w:rPr>
          <w:sz w:val="24"/>
          <w:szCs w:val="24"/>
        </w:rPr>
        <w:t>metaboliseringskapacitet</w:t>
      </w:r>
      <w:proofErr w:type="spellEnd"/>
      <w:r w:rsidRPr="0031736C">
        <w:rPr>
          <w:sz w:val="24"/>
          <w:szCs w:val="24"/>
        </w:rPr>
        <w:t xml:space="preserve"> for </w:t>
      </w:r>
      <w:proofErr w:type="spellStart"/>
      <w:r w:rsidRPr="0031736C">
        <w:rPr>
          <w:sz w:val="24"/>
          <w:szCs w:val="24"/>
        </w:rPr>
        <w:t>omeprazol</w:t>
      </w:r>
      <w:proofErr w:type="spellEnd"/>
      <w:r w:rsidRPr="0031736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0F7EA7">
        <w:rPr>
          <w:b/>
          <w:sz w:val="24"/>
          <w:szCs w:val="24"/>
        </w:rPr>
        <w:t>Non-</w:t>
      </w:r>
      <w:r w:rsidRPr="00C84483">
        <w:rPr>
          <w:b/>
          <w:sz w:val="24"/>
          <w:szCs w:val="24"/>
        </w:rPr>
        <w:t>kliniske sikkerhedsdata</w:t>
      </w:r>
    </w:p>
    <w:p w:rsidR="008B0916" w:rsidRPr="008B0916" w:rsidRDefault="008B0916" w:rsidP="008B0916">
      <w:pPr>
        <w:tabs>
          <w:tab w:val="left" w:pos="851"/>
        </w:tabs>
        <w:ind w:left="851"/>
        <w:rPr>
          <w:sz w:val="24"/>
          <w:szCs w:val="24"/>
        </w:rPr>
      </w:pPr>
      <w:r w:rsidRPr="008B0916">
        <w:rPr>
          <w:sz w:val="24"/>
          <w:szCs w:val="24"/>
        </w:rPr>
        <w:t xml:space="preserve">Gastrisk ECL-celle </w:t>
      </w:r>
      <w:proofErr w:type="spellStart"/>
      <w:r w:rsidRPr="008B0916">
        <w:rPr>
          <w:sz w:val="24"/>
          <w:szCs w:val="24"/>
        </w:rPr>
        <w:t>hyperplasi</w:t>
      </w:r>
      <w:proofErr w:type="spellEnd"/>
      <w:r w:rsidRPr="008B0916">
        <w:rPr>
          <w:sz w:val="24"/>
          <w:szCs w:val="24"/>
        </w:rPr>
        <w:t xml:space="preserve"> og </w:t>
      </w:r>
      <w:proofErr w:type="spellStart"/>
      <w:r w:rsidRPr="008B0916">
        <w:rPr>
          <w:sz w:val="24"/>
          <w:szCs w:val="24"/>
        </w:rPr>
        <w:t>karcinoider</w:t>
      </w:r>
      <w:proofErr w:type="spellEnd"/>
      <w:r w:rsidRPr="008B0916">
        <w:rPr>
          <w:sz w:val="24"/>
          <w:szCs w:val="24"/>
        </w:rPr>
        <w:t xml:space="preserve"> er observeret i livslange studier hos rotter behandlet med </w:t>
      </w:r>
      <w:proofErr w:type="spellStart"/>
      <w:r w:rsidRPr="008B0916">
        <w:rPr>
          <w:sz w:val="24"/>
          <w:szCs w:val="24"/>
        </w:rPr>
        <w:t>omeprazol</w:t>
      </w:r>
      <w:proofErr w:type="spellEnd"/>
      <w:r w:rsidRPr="008B0916">
        <w:rPr>
          <w:sz w:val="24"/>
          <w:szCs w:val="24"/>
        </w:rPr>
        <w:t xml:space="preserve">. Disse forandringer er et resultat af langvarig </w:t>
      </w:r>
      <w:proofErr w:type="spellStart"/>
      <w:r w:rsidRPr="008B0916">
        <w:rPr>
          <w:sz w:val="24"/>
          <w:szCs w:val="24"/>
        </w:rPr>
        <w:t>hypergastrinæmi</w:t>
      </w:r>
      <w:proofErr w:type="spellEnd"/>
      <w:r w:rsidRPr="008B0916">
        <w:rPr>
          <w:sz w:val="24"/>
          <w:szCs w:val="24"/>
        </w:rPr>
        <w:t>, der er sekundær til syrehæmning. Tilsvarende forandringer er fundet efter behandling med H</w:t>
      </w:r>
      <w:r w:rsidRPr="008B0916">
        <w:rPr>
          <w:sz w:val="24"/>
          <w:szCs w:val="24"/>
          <w:vertAlign w:val="subscript"/>
        </w:rPr>
        <w:t>2</w:t>
      </w:r>
      <w:r w:rsidRPr="008B0916">
        <w:rPr>
          <w:sz w:val="24"/>
          <w:szCs w:val="24"/>
        </w:rPr>
        <w:t xml:space="preserve">-receptor antagonister, </w:t>
      </w:r>
      <w:proofErr w:type="spellStart"/>
      <w:r w:rsidRPr="008B0916">
        <w:rPr>
          <w:sz w:val="24"/>
          <w:szCs w:val="24"/>
        </w:rPr>
        <w:t>protonpumpehæmmere</w:t>
      </w:r>
      <w:proofErr w:type="spellEnd"/>
      <w:r w:rsidRPr="008B0916">
        <w:rPr>
          <w:sz w:val="24"/>
          <w:szCs w:val="24"/>
        </w:rPr>
        <w:t xml:space="preserve"> og efter gastrisk </w:t>
      </w:r>
      <w:proofErr w:type="spellStart"/>
      <w:r w:rsidRPr="008B0916">
        <w:rPr>
          <w:sz w:val="24"/>
          <w:szCs w:val="24"/>
        </w:rPr>
        <w:t>fundektomi</w:t>
      </w:r>
      <w:proofErr w:type="spellEnd"/>
      <w:r w:rsidRPr="008B0916">
        <w:rPr>
          <w:sz w:val="24"/>
          <w:szCs w:val="24"/>
        </w:rPr>
        <w:t>. Disse ændringer er derfor ikke en direkte effekt af et enkelt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B0916" w:rsidRPr="008B0916" w:rsidRDefault="008B0916" w:rsidP="008B0916">
      <w:pPr>
        <w:tabs>
          <w:tab w:val="left" w:pos="851"/>
        </w:tabs>
        <w:ind w:left="851"/>
        <w:rPr>
          <w:sz w:val="24"/>
          <w:szCs w:val="24"/>
        </w:rPr>
      </w:pPr>
      <w:proofErr w:type="spellStart"/>
      <w:r w:rsidRPr="008B0916">
        <w:rPr>
          <w:sz w:val="24"/>
          <w:szCs w:val="24"/>
        </w:rPr>
        <w:t>Natriumhydrogencarbonat</w:t>
      </w:r>
      <w:proofErr w:type="spellEnd"/>
      <w:r w:rsidRPr="008B0916">
        <w:rPr>
          <w:sz w:val="24"/>
          <w:szCs w:val="24"/>
        </w:rPr>
        <w:t xml:space="preserve"> (E500)</w:t>
      </w:r>
    </w:p>
    <w:p w:rsidR="008B0916" w:rsidRPr="008B0916" w:rsidRDefault="008B0916" w:rsidP="008B0916">
      <w:pPr>
        <w:tabs>
          <w:tab w:val="left" w:pos="851"/>
        </w:tabs>
        <w:ind w:left="851"/>
        <w:rPr>
          <w:sz w:val="24"/>
          <w:szCs w:val="24"/>
        </w:rPr>
      </w:pPr>
      <w:proofErr w:type="spellStart"/>
      <w:r w:rsidRPr="008B0916">
        <w:rPr>
          <w:sz w:val="24"/>
          <w:szCs w:val="24"/>
        </w:rPr>
        <w:t>Kaliumhydrogencarbonat</w:t>
      </w:r>
      <w:proofErr w:type="spellEnd"/>
      <w:r w:rsidRPr="008B0916">
        <w:rPr>
          <w:sz w:val="24"/>
          <w:szCs w:val="24"/>
        </w:rPr>
        <w:t xml:space="preserve"> (E501)</w:t>
      </w:r>
    </w:p>
    <w:p w:rsidR="008B0916" w:rsidRPr="008B0916" w:rsidRDefault="008B0916" w:rsidP="008B0916">
      <w:pPr>
        <w:tabs>
          <w:tab w:val="left" w:pos="851"/>
        </w:tabs>
        <w:ind w:left="851"/>
        <w:rPr>
          <w:sz w:val="24"/>
          <w:szCs w:val="24"/>
        </w:rPr>
      </w:pPr>
      <w:proofErr w:type="spellStart"/>
      <w:r w:rsidRPr="008B0916">
        <w:rPr>
          <w:sz w:val="24"/>
          <w:szCs w:val="24"/>
        </w:rPr>
        <w:t>Natriumalginat</w:t>
      </w:r>
      <w:proofErr w:type="spellEnd"/>
      <w:r w:rsidRPr="008B0916">
        <w:rPr>
          <w:sz w:val="24"/>
          <w:szCs w:val="24"/>
        </w:rPr>
        <w:t xml:space="preserve"> (E401)</w:t>
      </w:r>
    </w:p>
    <w:p w:rsidR="008B0916" w:rsidRPr="00A74851" w:rsidRDefault="008B0916" w:rsidP="008B0916">
      <w:pPr>
        <w:tabs>
          <w:tab w:val="left" w:pos="851"/>
        </w:tabs>
        <w:ind w:left="851"/>
        <w:rPr>
          <w:sz w:val="24"/>
          <w:szCs w:val="24"/>
        </w:rPr>
      </w:pPr>
      <w:proofErr w:type="spellStart"/>
      <w:r w:rsidRPr="00A74851">
        <w:rPr>
          <w:sz w:val="24"/>
          <w:szCs w:val="24"/>
        </w:rPr>
        <w:t>Maltitol</w:t>
      </w:r>
      <w:proofErr w:type="spellEnd"/>
      <w:r w:rsidRPr="00A74851">
        <w:rPr>
          <w:sz w:val="24"/>
          <w:szCs w:val="24"/>
        </w:rPr>
        <w:t xml:space="preserve"> (E965)</w:t>
      </w:r>
    </w:p>
    <w:p w:rsidR="008B0916" w:rsidRPr="008B0916" w:rsidRDefault="008B0916" w:rsidP="008B0916">
      <w:pPr>
        <w:tabs>
          <w:tab w:val="left" w:pos="851"/>
        </w:tabs>
        <w:ind w:left="851"/>
        <w:rPr>
          <w:sz w:val="24"/>
          <w:szCs w:val="24"/>
          <w:lang w:val="en-US"/>
        </w:rPr>
      </w:pPr>
      <w:r w:rsidRPr="008B0916">
        <w:rPr>
          <w:sz w:val="24"/>
          <w:szCs w:val="24"/>
          <w:lang w:val="en-US"/>
        </w:rPr>
        <w:t>Mannitol (E421)</w:t>
      </w:r>
    </w:p>
    <w:p w:rsidR="008B0916" w:rsidRPr="008B0916" w:rsidRDefault="008B0916" w:rsidP="008B0916">
      <w:pPr>
        <w:tabs>
          <w:tab w:val="left" w:pos="851"/>
        </w:tabs>
        <w:ind w:left="851"/>
        <w:rPr>
          <w:sz w:val="24"/>
          <w:szCs w:val="24"/>
          <w:lang w:val="en-US"/>
        </w:rPr>
      </w:pPr>
      <w:r w:rsidRPr="008B0916">
        <w:rPr>
          <w:sz w:val="24"/>
          <w:szCs w:val="24"/>
          <w:lang w:val="en-US"/>
        </w:rPr>
        <w:t>Sucralose (E955)</w:t>
      </w:r>
    </w:p>
    <w:p w:rsidR="008B0916" w:rsidRPr="00A74851" w:rsidRDefault="008B0916" w:rsidP="008B0916">
      <w:pPr>
        <w:tabs>
          <w:tab w:val="left" w:pos="851"/>
        </w:tabs>
        <w:ind w:left="851"/>
        <w:rPr>
          <w:sz w:val="24"/>
          <w:szCs w:val="24"/>
          <w:lang w:val="en-US"/>
        </w:rPr>
      </w:pPr>
      <w:proofErr w:type="spellStart"/>
      <w:r w:rsidRPr="00A74851">
        <w:rPr>
          <w:sz w:val="24"/>
          <w:szCs w:val="24"/>
          <w:lang w:val="en-US"/>
        </w:rPr>
        <w:t>Xanthangummi</w:t>
      </w:r>
      <w:proofErr w:type="spellEnd"/>
      <w:r w:rsidRPr="00A74851">
        <w:rPr>
          <w:sz w:val="24"/>
          <w:szCs w:val="24"/>
          <w:lang w:val="en-US"/>
        </w:rPr>
        <w:t xml:space="preserve"> (E415)</w:t>
      </w:r>
    </w:p>
    <w:p w:rsidR="008B0916" w:rsidRPr="008B0916" w:rsidRDefault="008B0916" w:rsidP="008B0916">
      <w:pPr>
        <w:tabs>
          <w:tab w:val="left" w:pos="851"/>
        </w:tabs>
        <w:ind w:left="851"/>
        <w:rPr>
          <w:sz w:val="24"/>
          <w:szCs w:val="24"/>
        </w:rPr>
      </w:pPr>
      <w:r w:rsidRPr="008B0916">
        <w:rPr>
          <w:sz w:val="24"/>
          <w:szCs w:val="24"/>
        </w:rPr>
        <w:t xml:space="preserve">Naturlig vaniljearoma som indeholder </w:t>
      </w:r>
      <w:proofErr w:type="spellStart"/>
      <w:r w:rsidRPr="008B0916">
        <w:rPr>
          <w:sz w:val="24"/>
          <w:szCs w:val="24"/>
        </w:rPr>
        <w:t>maltodextrin</w:t>
      </w:r>
      <w:proofErr w:type="spellEnd"/>
      <w:r w:rsidRPr="008B0916">
        <w:rPr>
          <w:sz w:val="24"/>
          <w:szCs w:val="24"/>
        </w:rPr>
        <w:t xml:space="preserve"> (majs), siliciumdioxid (E551) og vegetabilsk oliefedt</w:t>
      </w:r>
    </w:p>
    <w:p w:rsidR="008B0916" w:rsidRPr="008B0916" w:rsidRDefault="008B0916" w:rsidP="008B0916">
      <w:pPr>
        <w:tabs>
          <w:tab w:val="left" w:pos="851"/>
        </w:tabs>
        <w:ind w:left="851"/>
        <w:rPr>
          <w:sz w:val="24"/>
          <w:szCs w:val="24"/>
        </w:rPr>
      </w:pPr>
      <w:r w:rsidRPr="008B0916">
        <w:rPr>
          <w:sz w:val="24"/>
          <w:szCs w:val="24"/>
        </w:rPr>
        <w:t xml:space="preserve">Naturlig myntearoma som indeholder gummi </w:t>
      </w:r>
      <w:proofErr w:type="spellStart"/>
      <w:r w:rsidRPr="008B0916">
        <w:rPr>
          <w:sz w:val="24"/>
          <w:szCs w:val="24"/>
        </w:rPr>
        <w:t>arabikum</w:t>
      </w:r>
      <w:proofErr w:type="spellEnd"/>
      <w:r w:rsidRPr="008B0916">
        <w:rPr>
          <w:sz w:val="24"/>
          <w:szCs w:val="24"/>
        </w:rPr>
        <w:t xml:space="preserve">/akaciegummi (E414) og </w:t>
      </w:r>
      <w:proofErr w:type="spellStart"/>
      <w:r w:rsidRPr="008B0916">
        <w:rPr>
          <w:sz w:val="24"/>
          <w:szCs w:val="24"/>
        </w:rPr>
        <w:t>pulegon</w:t>
      </w:r>
      <w:proofErr w:type="spellEnd"/>
    </w:p>
    <w:p w:rsidR="008B0916" w:rsidRPr="008B0916" w:rsidRDefault="008B0916" w:rsidP="008B0916">
      <w:pPr>
        <w:tabs>
          <w:tab w:val="left" w:pos="851"/>
        </w:tabs>
        <w:ind w:left="851"/>
        <w:rPr>
          <w:sz w:val="24"/>
          <w:szCs w:val="24"/>
          <w:lang w:val="en-US"/>
        </w:rPr>
      </w:pPr>
      <w:proofErr w:type="spellStart"/>
      <w:r w:rsidRPr="008B0916">
        <w:rPr>
          <w:sz w:val="24"/>
          <w:szCs w:val="24"/>
          <w:lang w:val="en-US"/>
        </w:rPr>
        <w:t>Titandioxid</w:t>
      </w:r>
      <w:proofErr w:type="spellEnd"/>
      <w:r w:rsidRPr="008B0916">
        <w:rPr>
          <w:sz w:val="24"/>
          <w:szCs w:val="24"/>
          <w:lang w:val="en-US"/>
        </w:rPr>
        <w:t xml:space="preserve"> (E171)</w:t>
      </w:r>
    </w:p>
    <w:p w:rsidR="008B0916" w:rsidRPr="008B0916" w:rsidRDefault="008B0916" w:rsidP="008B0916">
      <w:pPr>
        <w:tabs>
          <w:tab w:val="left" w:pos="851"/>
        </w:tabs>
        <w:ind w:left="851"/>
        <w:rPr>
          <w:sz w:val="24"/>
          <w:szCs w:val="24"/>
          <w:lang w:val="en-US"/>
        </w:rPr>
      </w:pPr>
      <w:proofErr w:type="spellStart"/>
      <w:r w:rsidRPr="008B0916">
        <w:rPr>
          <w:sz w:val="24"/>
          <w:szCs w:val="24"/>
          <w:lang w:val="en-US"/>
        </w:rPr>
        <w:t>Natriumbenzoat</w:t>
      </w:r>
      <w:proofErr w:type="spellEnd"/>
      <w:r w:rsidRPr="008B0916">
        <w:rPr>
          <w:sz w:val="24"/>
          <w:szCs w:val="24"/>
          <w:lang w:val="en-US"/>
        </w:rPr>
        <w:t xml:space="preserve"> (E211)</w:t>
      </w:r>
    </w:p>
    <w:p w:rsidR="008B0916" w:rsidRPr="008B0916" w:rsidRDefault="008B0916" w:rsidP="008B0916">
      <w:pPr>
        <w:tabs>
          <w:tab w:val="left" w:pos="851"/>
        </w:tabs>
        <w:ind w:left="851"/>
        <w:rPr>
          <w:sz w:val="24"/>
          <w:szCs w:val="24"/>
          <w:lang w:val="en-US"/>
        </w:rPr>
      </w:pPr>
      <w:proofErr w:type="spellStart"/>
      <w:r w:rsidRPr="008B0916">
        <w:rPr>
          <w:sz w:val="24"/>
          <w:szCs w:val="24"/>
          <w:lang w:val="en-US"/>
        </w:rPr>
        <w:t>Natriummethylparahydroxy-benzoat</w:t>
      </w:r>
      <w:proofErr w:type="spellEnd"/>
      <w:r w:rsidRPr="008B0916">
        <w:rPr>
          <w:sz w:val="24"/>
          <w:szCs w:val="24"/>
          <w:lang w:val="en-US"/>
        </w:rPr>
        <w:t xml:space="preserve"> (E219)</w:t>
      </w:r>
    </w:p>
    <w:p w:rsidR="009260DE" w:rsidRPr="008B0916"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B0916" w:rsidRPr="008B0916" w:rsidRDefault="008B0916" w:rsidP="008B0916">
      <w:pPr>
        <w:tabs>
          <w:tab w:val="left" w:pos="851"/>
        </w:tabs>
        <w:ind w:left="851"/>
        <w:rPr>
          <w:sz w:val="24"/>
          <w:szCs w:val="24"/>
        </w:rPr>
      </w:pPr>
      <w:r w:rsidRPr="008B0916">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A22E3" w:rsidRDefault="00AA22E3" w:rsidP="008B0916">
      <w:pPr>
        <w:tabs>
          <w:tab w:val="left" w:pos="851"/>
        </w:tabs>
        <w:ind w:left="851"/>
        <w:rPr>
          <w:sz w:val="24"/>
          <w:szCs w:val="24"/>
        </w:rPr>
      </w:pPr>
    </w:p>
    <w:p w:rsidR="00AA22E3" w:rsidRPr="00AA22E3" w:rsidRDefault="008B0916" w:rsidP="008B0916">
      <w:pPr>
        <w:tabs>
          <w:tab w:val="left" w:pos="851"/>
        </w:tabs>
        <w:ind w:left="851"/>
        <w:rPr>
          <w:sz w:val="24"/>
          <w:szCs w:val="24"/>
          <w:u w:val="single"/>
        </w:rPr>
      </w:pPr>
      <w:r w:rsidRPr="00AA22E3">
        <w:rPr>
          <w:sz w:val="24"/>
          <w:szCs w:val="24"/>
          <w:u w:val="single"/>
        </w:rPr>
        <w:t>Pulver til oral suspension</w:t>
      </w:r>
    </w:p>
    <w:p w:rsidR="008B0916" w:rsidRDefault="008B0916" w:rsidP="008B0916">
      <w:pPr>
        <w:tabs>
          <w:tab w:val="left" w:pos="851"/>
        </w:tabs>
        <w:ind w:left="851"/>
        <w:rPr>
          <w:sz w:val="24"/>
          <w:szCs w:val="24"/>
        </w:rPr>
      </w:pPr>
      <w:r w:rsidRPr="008B0916">
        <w:rPr>
          <w:sz w:val="24"/>
          <w:szCs w:val="24"/>
        </w:rPr>
        <w:t>24 måneder</w:t>
      </w:r>
      <w:r>
        <w:rPr>
          <w:sz w:val="24"/>
          <w:szCs w:val="24"/>
        </w:rPr>
        <w:t>.</w:t>
      </w:r>
    </w:p>
    <w:p w:rsidR="008B0916" w:rsidRPr="008B0916" w:rsidRDefault="008B0916" w:rsidP="008B0916">
      <w:pPr>
        <w:tabs>
          <w:tab w:val="left" w:pos="851"/>
        </w:tabs>
        <w:ind w:left="851"/>
        <w:rPr>
          <w:sz w:val="24"/>
          <w:szCs w:val="24"/>
        </w:rPr>
      </w:pPr>
    </w:p>
    <w:p w:rsidR="00EF5ACD" w:rsidRPr="00AA22E3" w:rsidRDefault="00EF5ACD" w:rsidP="00EF5ACD">
      <w:pPr>
        <w:tabs>
          <w:tab w:val="left" w:pos="851"/>
        </w:tabs>
        <w:ind w:left="851"/>
        <w:rPr>
          <w:sz w:val="24"/>
          <w:szCs w:val="24"/>
          <w:u w:val="single"/>
        </w:rPr>
      </w:pPr>
      <w:r w:rsidRPr="00AA22E3">
        <w:rPr>
          <w:sz w:val="24"/>
          <w:szCs w:val="24"/>
          <w:u w:val="single"/>
        </w:rPr>
        <w:t>Færdigblandet suspension</w:t>
      </w:r>
    </w:p>
    <w:p w:rsidR="00EF5ACD" w:rsidRPr="008B0916" w:rsidRDefault="00EF5ACD" w:rsidP="00EF5ACD">
      <w:pPr>
        <w:tabs>
          <w:tab w:val="left" w:pos="851"/>
        </w:tabs>
        <w:ind w:left="851"/>
        <w:rPr>
          <w:sz w:val="24"/>
          <w:szCs w:val="24"/>
        </w:rPr>
      </w:pPr>
      <w:r w:rsidRPr="008B0916">
        <w:rPr>
          <w:sz w:val="24"/>
          <w:szCs w:val="24"/>
        </w:rPr>
        <w:t xml:space="preserve">28 dage. </w:t>
      </w:r>
    </w:p>
    <w:p w:rsidR="009260DE" w:rsidRDefault="00EF5ACD" w:rsidP="00EF5ACD">
      <w:pPr>
        <w:ind w:left="851"/>
        <w:rPr>
          <w:sz w:val="24"/>
          <w:szCs w:val="24"/>
        </w:rPr>
      </w:pPr>
      <w:r w:rsidRPr="008B0916">
        <w:rPr>
          <w:sz w:val="24"/>
          <w:szCs w:val="24"/>
        </w:rPr>
        <w:t>Den færdigblandede suspension skal opbevares i køleskabet (2</w:t>
      </w:r>
      <w:r>
        <w:rPr>
          <w:sz w:val="24"/>
          <w:szCs w:val="24"/>
        </w:rPr>
        <w:t xml:space="preserve"> </w:t>
      </w:r>
      <w:r w:rsidRPr="008B0916">
        <w:rPr>
          <w:sz w:val="24"/>
          <w:szCs w:val="24"/>
        </w:rPr>
        <w:t>°C - 8</w:t>
      </w:r>
      <w:r>
        <w:rPr>
          <w:sz w:val="24"/>
          <w:szCs w:val="24"/>
        </w:rPr>
        <w:t xml:space="preserve"> </w:t>
      </w:r>
      <w:r w:rsidRPr="008B0916">
        <w:rPr>
          <w:sz w:val="24"/>
          <w:szCs w:val="24"/>
        </w:rPr>
        <w:t>°C). Opbevares i den originale beholder for at beskytte mod lys. Hold flasken tæt tillukket. Kan opbevares ved temperaturer under 25</w:t>
      </w:r>
      <w:r>
        <w:rPr>
          <w:sz w:val="24"/>
          <w:szCs w:val="24"/>
        </w:rPr>
        <w:t xml:space="preserve"> </w:t>
      </w:r>
      <w:r w:rsidRPr="008B0916">
        <w:rPr>
          <w:sz w:val="24"/>
          <w:szCs w:val="24"/>
        </w:rPr>
        <w:t>°C i op til 2 dage.</w:t>
      </w:r>
    </w:p>
    <w:p w:rsidR="00EF5ACD" w:rsidRPr="00C84483" w:rsidRDefault="00EF5ACD" w:rsidP="00EF5ACD">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07104" w:rsidRDefault="00307104" w:rsidP="00307104">
      <w:pPr>
        <w:tabs>
          <w:tab w:val="left" w:pos="851"/>
        </w:tabs>
        <w:ind w:left="851"/>
        <w:rPr>
          <w:sz w:val="24"/>
          <w:szCs w:val="24"/>
        </w:rPr>
      </w:pPr>
    </w:p>
    <w:p w:rsidR="007373C5" w:rsidRPr="007373C5" w:rsidRDefault="00307104" w:rsidP="00307104">
      <w:pPr>
        <w:tabs>
          <w:tab w:val="left" w:pos="851"/>
        </w:tabs>
        <w:ind w:left="851"/>
        <w:rPr>
          <w:sz w:val="24"/>
          <w:szCs w:val="24"/>
          <w:u w:val="single"/>
        </w:rPr>
      </w:pPr>
      <w:r w:rsidRPr="007373C5">
        <w:rPr>
          <w:sz w:val="24"/>
          <w:szCs w:val="24"/>
          <w:u w:val="single"/>
        </w:rPr>
        <w:t>Pulver til oral suspension</w:t>
      </w:r>
    </w:p>
    <w:p w:rsidR="007373C5" w:rsidRDefault="00307104" w:rsidP="00307104">
      <w:pPr>
        <w:tabs>
          <w:tab w:val="left" w:pos="851"/>
        </w:tabs>
        <w:ind w:left="851"/>
        <w:rPr>
          <w:sz w:val="24"/>
          <w:szCs w:val="24"/>
        </w:rPr>
      </w:pPr>
      <w:r w:rsidRPr="00307104">
        <w:rPr>
          <w:sz w:val="24"/>
          <w:szCs w:val="24"/>
        </w:rPr>
        <w:t>Må ikke opbevares ved temperaturer over 25</w:t>
      </w:r>
      <w:r w:rsidR="007373C5">
        <w:rPr>
          <w:sz w:val="24"/>
          <w:szCs w:val="24"/>
        </w:rPr>
        <w:t xml:space="preserve"> </w:t>
      </w:r>
      <w:r w:rsidRPr="00307104">
        <w:rPr>
          <w:sz w:val="24"/>
          <w:szCs w:val="24"/>
        </w:rPr>
        <w:t>°C.</w:t>
      </w:r>
    </w:p>
    <w:p w:rsidR="00307104" w:rsidRPr="00307104" w:rsidRDefault="00307104" w:rsidP="00307104">
      <w:pPr>
        <w:tabs>
          <w:tab w:val="left" w:pos="851"/>
        </w:tabs>
        <w:ind w:left="851"/>
        <w:rPr>
          <w:sz w:val="24"/>
          <w:szCs w:val="24"/>
        </w:rPr>
      </w:pPr>
      <w:r w:rsidRPr="00307104">
        <w:rPr>
          <w:sz w:val="24"/>
          <w:szCs w:val="24"/>
        </w:rPr>
        <w:t xml:space="preserve">Opbevares i den originale foliepose for at beskytte mod lys og fugt. </w:t>
      </w:r>
    </w:p>
    <w:p w:rsidR="007373C5" w:rsidRDefault="007373C5" w:rsidP="00307104">
      <w:pPr>
        <w:tabs>
          <w:tab w:val="left" w:pos="851"/>
        </w:tabs>
        <w:ind w:left="851"/>
        <w:rPr>
          <w:sz w:val="24"/>
          <w:szCs w:val="24"/>
        </w:rPr>
      </w:pPr>
    </w:p>
    <w:p w:rsidR="00307104" w:rsidRPr="00307104" w:rsidRDefault="00307104" w:rsidP="00307104">
      <w:pPr>
        <w:tabs>
          <w:tab w:val="left" w:pos="851"/>
        </w:tabs>
        <w:ind w:left="851"/>
        <w:rPr>
          <w:sz w:val="24"/>
          <w:szCs w:val="24"/>
        </w:rPr>
      </w:pPr>
      <w:r w:rsidRPr="00307104">
        <w:rPr>
          <w:sz w:val="24"/>
          <w:szCs w:val="24"/>
        </w:rPr>
        <w:t>Opbevaringsforhold efter færdigblanding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EF5ACD" w:rsidRPr="007373C5" w:rsidRDefault="00EF5ACD" w:rsidP="00EF5ACD">
      <w:pPr>
        <w:tabs>
          <w:tab w:val="left" w:pos="851"/>
        </w:tabs>
        <w:ind w:left="851"/>
        <w:rPr>
          <w:sz w:val="24"/>
          <w:szCs w:val="24"/>
        </w:rPr>
      </w:pPr>
      <w:r w:rsidRPr="007373C5">
        <w:rPr>
          <w:sz w:val="24"/>
          <w:szCs w:val="24"/>
        </w:rPr>
        <w:t xml:space="preserve">Ravfarvet plastikflaske (PET) med pulver forsynet med </w:t>
      </w:r>
      <w:proofErr w:type="gramStart"/>
      <w:r w:rsidRPr="007373C5">
        <w:rPr>
          <w:sz w:val="24"/>
          <w:szCs w:val="24"/>
        </w:rPr>
        <w:t>et rødt polypropylen</w:t>
      </w:r>
      <w:proofErr w:type="gramEnd"/>
      <w:r w:rsidRPr="007373C5">
        <w:rPr>
          <w:sz w:val="24"/>
          <w:szCs w:val="24"/>
        </w:rPr>
        <w:t xml:space="preserve"> (PP) låg</w:t>
      </w:r>
      <w:r>
        <w:rPr>
          <w:sz w:val="24"/>
          <w:szCs w:val="24"/>
        </w:rPr>
        <w:t xml:space="preserve"> og en rød polypropylen (PP) blandeskive-enhed</w:t>
      </w:r>
      <w:r w:rsidRPr="007373C5">
        <w:rPr>
          <w:sz w:val="24"/>
          <w:szCs w:val="24"/>
        </w:rPr>
        <w:t xml:space="preserve"> indeholdende pulver, alt indpakket i en </w:t>
      </w:r>
      <w:bookmarkStart w:id="0" w:name="_Hlk180653222"/>
      <w:r w:rsidRPr="007373C5">
        <w:rPr>
          <w:sz w:val="24"/>
          <w:szCs w:val="24"/>
        </w:rPr>
        <w:t>aluminiumsfoliepose</w:t>
      </w:r>
      <w:bookmarkEnd w:id="0"/>
      <w:r w:rsidRPr="007373C5">
        <w:rPr>
          <w:sz w:val="24"/>
          <w:szCs w:val="24"/>
        </w:rPr>
        <w:t>.</w:t>
      </w:r>
    </w:p>
    <w:p w:rsidR="00EF5ACD" w:rsidRPr="007373C5" w:rsidRDefault="00EF5ACD" w:rsidP="00EF5ACD">
      <w:pPr>
        <w:tabs>
          <w:tab w:val="left" w:pos="851"/>
        </w:tabs>
        <w:ind w:left="851"/>
        <w:rPr>
          <w:sz w:val="24"/>
          <w:szCs w:val="24"/>
        </w:rPr>
      </w:pPr>
    </w:p>
    <w:p w:rsidR="00EF5ACD" w:rsidRDefault="00EF5ACD" w:rsidP="00EF5ACD">
      <w:pPr>
        <w:tabs>
          <w:tab w:val="left" w:pos="851"/>
        </w:tabs>
        <w:ind w:left="851"/>
        <w:rPr>
          <w:sz w:val="24"/>
          <w:szCs w:val="24"/>
        </w:rPr>
      </w:pPr>
      <w:r w:rsidRPr="007373C5">
        <w:rPr>
          <w:sz w:val="24"/>
          <w:szCs w:val="24"/>
        </w:rPr>
        <w:t>Hver flaske indeholder 47 g pulver til oral suspension.</w:t>
      </w:r>
    </w:p>
    <w:p w:rsidR="00EF5ACD" w:rsidRPr="007373C5" w:rsidRDefault="00EF5ACD" w:rsidP="00EF5ACD">
      <w:pPr>
        <w:tabs>
          <w:tab w:val="left" w:pos="851"/>
        </w:tabs>
        <w:ind w:left="851"/>
        <w:rPr>
          <w:sz w:val="24"/>
          <w:szCs w:val="24"/>
        </w:rPr>
      </w:pPr>
      <w:r w:rsidRPr="007373C5">
        <w:rPr>
          <w:sz w:val="24"/>
          <w:szCs w:val="24"/>
        </w:rPr>
        <w:t xml:space="preserve">Efter færdigblanding indeholder flasken 90 ml oral suspension, hvoraf </w:t>
      </w:r>
      <w:r>
        <w:rPr>
          <w:sz w:val="24"/>
          <w:szCs w:val="24"/>
        </w:rPr>
        <w:t xml:space="preserve">mindst </w:t>
      </w:r>
      <w:r w:rsidRPr="007373C5">
        <w:rPr>
          <w:sz w:val="24"/>
          <w:szCs w:val="24"/>
        </w:rPr>
        <w:t>75 ml er beregnet til dosering og administration.</w:t>
      </w:r>
    </w:p>
    <w:p w:rsidR="00EF5ACD" w:rsidRPr="007373C5" w:rsidRDefault="00EF5ACD" w:rsidP="00EF5ACD">
      <w:pPr>
        <w:tabs>
          <w:tab w:val="left" w:pos="851"/>
        </w:tabs>
        <w:ind w:left="851"/>
        <w:rPr>
          <w:sz w:val="24"/>
          <w:szCs w:val="24"/>
        </w:rPr>
      </w:pPr>
    </w:p>
    <w:p w:rsidR="00EF5ACD" w:rsidRPr="007373C5" w:rsidRDefault="00EF5ACD" w:rsidP="00EF5ACD">
      <w:pPr>
        <w:tabs>
          <w:tab w:val="left" w:pos="851"/>
        </w:tabs>
        <w:ind w:left="851"/>
        <w:rPr>
          <w:sz w:val="24"/>
          <w:szCs w:val="24"/>
        </w:rPr>
      </w:pPr>
      <w:r w:rsidRPr="007373C5">
        <w:rPr>
          <w:sz w:val="24"/>
          <w:szCs w:val="24"/>
        </w:rPr>
        <w:t>Hver pakning indeholder også en uigennemsigtig oral doseringssprøjte af PP (5 ml, gradueret ved hver 1 ml og mellemmærket ved hver 0,1 ml) med hvidt HDPE-stempel, farveløs, gennemsigtig LDPE-flaskeadapter og gråt PP-erstatningslåg.</w:t>
      </w:r>
    </w:p>
    <w:p w:rsidR="00EF5ACD" w:rsidRPr="007373C5" w:rsidRDefault="00EF5ACD" w:rsidP="00EF5ACD">
      <w:pPr>
        <w:tabs>
          <w:tab w:val="left" w:pos="851"/>
        </w:tabs>
        <w:ind w:left="851"/>
        <w:rPr>
          <w:sz w:val="24"/>
          <w:szCs w:val="24"/>
        </w:rPr>
      </w:pPr>
    </w:p>
    <w:p w:rsidR="00EF5ACD" w:rsidRPr="007373C5" w:rsidRDefault="00EF5ACD" w:rsidP="00EF5ACD">
      <w:pPr>
        <w:tabs>
          <w:tab w:val="left" w:pos="851"/>
        </w:tabs>
        <w:ind w:left="851"/>
        <w:rPr>
          <w:sz w:val="24"/>
          <w:szCs w:val="24"/>
        </w:rPr>
      </w:pPr>
      <w:r w:rsidRPr="007373C5">
        <w:rPr>
          <w:sz w:val="24"/>
          <w:szCs w:val="24"/>
        </w:rPr>
        <w:t xml:space="preserve">Pakningsstørrelser: 1 </w:t>
      </w:r>
      <w:r>
        <w:rPr>
          <w:sz w:val="24"/>
          <w:szCs w:val="24"/>
        </w:rPr>
        <w:t>og</w:t>
      </w:r>
      <w:r w:rsidRPr="007373C5">
        <w:rPr>
          <w:sz w:val="24"/>
          <w:szCs w:val="24"/>
        </w:rPr>
        <w:t xml:space="preserve"> 2 flasker.</w:t>
      </w:r>
    </w:p>
    <w:p w:rsidR="00EF5ACD" w:rsidRPr="007373C5" w:rsidRDefault="00EF5ACD" w:rsidP="00EF5ACD">
      <w:pPr>
        <w:tabs>
          <w:tab w:val="left" w:pos="851"/>
        </w:tabs>
        <w:ind w:left="851"/>
        <w:rPr>
          <w:sz w:val="24"/>
          <w:szCs w:val="24"/>
        </w:rPr>
      </w:pPr>
    </w:p>
    <w:p w:rsidR="00EF5ACD" w:rsidRPr="007373C5" w:rsidRDefault="00EF5ACD" w:rsidP="00EF5ACD">
      <w:pPr>
        <w:tabs>
          <w:tab w:val="left" w:pos="851"/>
        </w:tabs>
        <w:ind w:left="851"/>
        <w:rPr>
          <w:sz w:val="24"/>
          <w:szCs w:val="24"/>
        </w:rPr>
      </w:pPr>
      <w:r w:rsidRPr="007373C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F7EA7">
        <w:rPr>
          <w:b/>
          <w:sz w:val="24"/>
          <w:szCs w:val="24"/>
        </w:rPr>
        <w:t>bortskaffelse</w:t>
      </w:r>
      <w:r w:rsidRPr="00C84483">
        <w:rPr>
          <w:b/>
          <w:sz w:val="24"/>
          <w:szCs w:val="24"/>
        </w:rPr>
        <w:t xml:space="preserve"> og anden håndtering</w:t>
      </w:r>
    </w:p>
    <w:p w:rsidR="00EF5ACD" w:rsidRPr="00967C4F" w:rsidRDefault="00EF5ACD" w:rsidP="00EF5ACD">
      <w:pPr>
        <w:tabs>
          <w:tab w:val="left" w:pos="851"/>
        </w:tabs>
        <w:ind w:left="851"/>
        <w:rPr>
          <w:sz w:val="24"/>
          <w:szCs w:val="24"/>
        </w:rPr>
      </w:pPr>
      <w:r w:rsidRPr="00967C4F">
        <w:rPr>
          <w:sz w:val="24"/>
          <w:szCs w:val="24"/>
        </w:rPr>
        <w:t xml:space="preserve">Det anbefales, at en farmaceut </w:t>
      </w:r>
      <w:r>
        <w:rPr>
          <w:sz w:val="24"/>
          <w:szCs w:val="24"/>
        </w:rPr>
        <w:t xml:space="preserve">eller andre sundhedspersoner </w:t>
      </w:r>
      <w:r w:rsidRPr="00967C4F">
        <w:rPr>
          <w:sz w:val="24"/>
          <w:szCs w:val="24"/>
        </w:rPr>
        <w:t xml:space="preserve">blander </w:t>
      </w:r>
      <w:proofErr w:type="spellStart"/>
      <w:r w:rsidRPr="00967C4F">
        <w:rPr>
          <w:sz w:val="24"/>
          <w:szCs w:val="24"/>
        </w:rPr>
        <w:t>Pedippi</w:t>
      </w:r>
      <w:proofErr w:type="spellEnd"/>
      <w:r w:rsidRPr="00967C4F">
        <w:rPr>
          <w:sz w:val="24"/>
          <w:szCs w:val="24"/>
        </w:rPr>
        <w:t xml:space="preserve"> før udlevering til patienten.</w:t>
      </w:r>
    </w:p>
    <w:p w:rsidR="00967C4F" w:rsidRPr="00967C4F" w:rsidRDefault="00967C4F" w:rsidP="00967C4F">
      <w:pPr>
        <w:tabs>
          <w:tab w:val="left" w:pos="851"/>
        </w:tabs>
        <w:ind w:left="851"/>
        <w:rPr>
          <w:sz w:val="24"/>
          <w:szCs w:val="24"/>
        </w:rPr>
      </w:pPr>
    </w:p>
    <w:p w:rsidR="00967C4F" w:rsidRPr="00967C4F" w:rsidRDefault="00967C4F" w:rsidP="00967C4F">
      <w:pPr>
        <w:tabs>
          <w:tab w:val="left" w:pos="851"/>
        </w:tabs>
        <w:ind w:left="851"/>
        <w:rPr>
          <w:b/>
          <w:bCs/>
          <w:sz w:val="24"/>
          <w:szCs w:val="24"/>
        </w:rPr>
      </w:pPr>
      <w:r w:rsidRPr="00967C4F">
        <w:rPr>
          <w:b/>
          <w:bCs/>
          <w:sz w:val="24"/>
          <w:szCs w:val="24"/>
        </w:rPr>
        <w:t>Forberedelse og indtagelse af suspensionen</w:t>
      </w:r>
    </w:p>
    <w:p w:rsidR="00967C4F" w:rsidRPr="00967C4F" w:rsidRDefault="00967C4F" w:rsidP="00967C4F">
      <w:pPr>
        <w:tabs>
          <w:tab w:val="left" w:pos="851"/>
        </w:tabs>
        <w:ind w:left="851"/>
        <w:rPr>
          <w:sz w:val="24"/>
          <w:szCs w:val="24"/>
        </w:rPr>
      </w:pPr>
      <w:r w:rsidRPr="00967C4F">
        <w:rPr>
          <w:sz w:val="24"/>
          <w:szCs w:val="24"/>
        </w:rPr>
        <w:t>Beholderen er et torumssystem, der indeholder pulver både i låg og flaske. De to pulvere skal først blandes for derefter at opløses i vand. En rød blandeskive vil falde ned i lægemidlet for at hjælpe med at blande pulverne og også blande suspension efter tilsætning af vand. Den skal forblive i flasken. Det røde låg erstattes af et gråt låg efter færdigblanding.</w:t>
      </w:r>
    </w:p>
    <w:p w:rsidR="00967C4F" w:rsidRPr="00967C4F" w:rsidRDefault="00967C4F" w:rsidP="00967C4F">
      <w:pPr>
        <w:tabs>
          <w:tab w:val="left" w:pos="851"/>
        </w:tabs>
        <w:ind w:left="851"/>
        <w:rPr>
          <w:sz w:val="24"/>
          <w:szCs w:val="24"/>
        </w:rPr>
      </w:pPr>
    </w:p>
    <w:p w:rsidR="00967C4F" w:rsidRPr="00A82C43" w:rsidRDefault="00967C4F" w:rsidP="00967C4F">
      <w:pPr>
        <w:tabs>
          <w:tab w:val="left" w:pos="851"/>
        </w:tabs>
        <w:ind w:left="851"/>
        <w:rPr>
          <w:bCs/>
          <w:sz w:val="24"/>
          <w:szCs w:val="24"/>
          <w:u w:val="single"/>
        </w:rPr>
      </w:pPr>
      <w:r w:rsidRPr="00A82C43">
        <w:rPr>
          <w:bCs/>
          <w:sz w:val="24"/>
          <w:szCs w:val="24"/>
          <w:u w:val="single"/>
        </w:rPr>
        <w:t>Blanding af pulver i låg og flaske</w:t>
      </w:r>
    </w:p>
    <w:p w:rsidR="00967C4F" w:rsidRPr="00967C4F" w:rsidRDefault="00967C4F" w:rsidP="00A82C43">
      <w:pPr>
        <w:numPr>
          <w:ilvl w:val="0"/>
          <w:numId w:val="9"/>
        </w:numPr>
        <w:tabs>
          <w:tab w:val="left" w:pos="851"/>
        </w:tabs>
        <w:ind w:left="1134" w:hanging="283"/>
        <w:rPr>
          <w:sz w:val="24"/>
          <w:szCs w:val="24"/>
        </w:rPr>
      </w:pPr>
      <w:r w:rsidRPr="00967C4F">
        <w:rPr>
          <w:sz w:val="24"/>
          <w:szCs w:val="24"/>
        </w:rPr>
        <w:t>Ryst flasken i 10 sekunder for at løsne pulveret.</w:t>
      </w:r>
    </w:p>
    <w:p w:rsidR="00967C4F" w:rsidRPr="00967C4F" w:rsidRDefault="00967C4F" w:rsidP="00A82C43">
      <w:pPr>
        <w:numPr>
          <w:ilvl w:val="0"/>
          <w:numId w:val="9"/>
        </w:numPr>
        <w:tabs>
          <w:tab w:val="left" w:pos="851"/>
        </w:tabs>
        <w:ind w:left="1134" w:hanging="283"/>
        <w:rPr>
          <w:sz w:val="24"/>
          <w:szCs w:val="24"/>
        </w:rPr>
      </w:pPr>
      <w:r w:rsidRPr="00967C4F">
        <w:rPr>
          <w:sz w:val="24"/>
          <w:szCs w:val="24"/>
        </w:rPr>
        <w:t>Drej det røde låg mod uret (se pilen på låget), indtil forseglingen er brudt for at frigøre pulveret i det røde låg i flasken.</w:t>
      </w:r>
    </w:p>
    <w:p w:rsidR="00967C4F" w:rsidRPr="00967C4F" w:rsidRDefault="00967C4F" w:rsidP="00A82C43">
      <w:pPr>
        <w:numPr>
          <w:ilvl w:val="0"/>
          <w:numId w:val="9"/>
        </w:numPr>
        <w:tabs>
          <w:tab w:val="left" w:pos="851"/>
        </w:tabs>
        <w:ind w:left="1134" w:hanging="283"/>
        <w:rPr>
          <w:sz w:val="24"/>
          <w:szCs w:val="24"/>
        </w:rPr>
      </w:pPr>
      <w:r w:rsidRPr="00967C4F">
        <w:rPr>
          <w:sz w:val="24"/>
          <w:szCs w:val="24"/>
        </w:rPr>
        <w:t>Drej det røde låg tilbage til den oprindelige position. Fastgør omhyggeligt låget på flasken.</w:t>
      </w:r>
    </w:p>
    <w:p w:rsidR="00967C4F" w:rsidRPr="00967C4F" w:rsidRDefault="00967C4F" w:rsidP="00967C4F">
      <w:pPr>
        <w:tabs>
          <w:tab w:val="left" w:pos="851"/>
        </w:tabs>
        <w:ind w:left="851"/>
        <w:rPr>
          <w:sz w:val="24"/>
          <w:szCs w:val="24"/>
        </w:rPr>
      </w:pPr>
    </w:p>
    <w:p w:rsidR="00967C4F" w:rsidRPr="00A82C43" w:rsidRDefault="00967C4F" w:rsidP="00967C4F">
      <w:pPr>
        <w:tabs>
          <w:tab w:val="left" w:pos="851"/>
        </w:tabs>
        <w:ind w:left="851"/>
        <w:rPr>
          <w:bCs/>
          <w:sz w:val="24"/>
          <w:szCs w:val="24"/>
          <w:u w:val="single"/>
        </w:rPr>
      </w:pPr>
      <w:r w:rsidRPr="00A82C43">
        <w:rPr>
          <w:bCs/>
          <w:sz w:val="24"/>
          <w:szCs w:val="24"/>
          <w:u w:val="single"/>
        </w:rPr>
        <w:t>Blanding af suspension</w:t>
      </w:r>
    </w:p>
    <w:p w:rsidR="00967C4F" w:rsidRPr="00967C4F" w:rsidRDefault="00967C4F" w:rsidP="00A82C43">
      <w:pPr>
        <w:numPr>
          <w:ilvl w:val="0"/>
          <w:numId w:val="10"/>
        </w:numPr>
        <w:tabs>
          <w:tab w:val="left" w:pos="851"/>
        </w:tabs>
        <w:ind w:left="1134" w:hanging="283"/>
        <w:rPr>
          <w:sz w:val="24"/>
          <w:szCs w:val="24"/>
        </w:rPr>
      </w:pPr>
      <w:r w:rsidRPr="00967C4F">
        <w:rPr>
          <w:sz w:val="24"/>
          <w:szCs w:val="24"/>
        </w:rPr>
        <w:t>Ryst flasken kraftigt i 10 sekunder for at blande pulverne.</w:t>
      </w:r>
    </w:p>
    <w:p w:rsidR="00967C4F" w:rsidRPr="00967C4F" w:rsidRDefault="00967C4F" w:rsidP="00A82C43">
      <w:pPr>
        <w:numPr>
          <w:ilvl w:val="0"/>
          <w:numId w:val="10"/>
        </w:numPr>
        <w:tabs>
          <w:tab w:val="left" w:pos="851"/>
        </w:tabs>
        <w:ind w:left="1134" w:hanging="283"/>
        <w:rPr>
          <w:sz w:val="24"/>
          <w:szCs w:val="24"/>
        </w:rPr>
      </w:pPr>
      <w:r w:rsidRPr="00967C4F">
        <w:rPr>
          <w:sz w:val="24"/>
          <w:szCs w:val="24"/>
        </w:rPr>
        <w:t>Bank bunden af flasken tre gange ned på en hård vandret overflade for at sikre, at alt pulver er i flasken og der ikke er noget tilbage i låget.</w:t>
      </w:r>
    </w:p>
    <w:p w:rsidR="00967C4F" w:rsidRPr="00967C4F" w:rsidRDefault="00967C4F" w:rsidP="00A82C43">
      <w:pPr>
        <w:numPr>
          <w:ilvl w:val="0"/>
          <w:numId w:val="10"/>
        </w:numPr>
        <w:tabs>
          <w:tab w:val="left" w:pos="851"/>
        </w:tabs>
        <w:ind w:left="1134" w:hanging="283"/>
        <w:rPr>
          <w:sz w:val="24"/>
          <w:szCs w:val="24"/>
        </w:rPr>
      </w:pPr>
      <w:r w:rsidRPr="00967C4F">
        <w:rPr>
          <w:sz w:val="24"/>
          <w:szCs w:val="24"/>
        </w:rPr>
        <w:t>Fjern det røde låg fra flasken.</w:t>
      </w:r>
    </w:p>
    <w:p w:rsidR="00967C4F" w:rsidRPr="00967C4F" w:rsidRDefault="00967C4F" w:rsidP="00A82C43">
      <w:pPr>
        <w:numPr>
          <w:ilvl w:val="0"/>
          <w:numId w:val="10"/>
        </w:numPr>
        <w:tabs>
          <w:tab w:val="left" w:pos="851"/>
        </w:tabs>
        <w:ind w:left="1134" w:hanging="283"/>
        <w:rPr>
          <w:sz w:val="24"/>
          <w:szCs w:val="24"/>
        </w:rPr>
      </w:pPr>
      <w:r w:rsidRPr="00967C4F">
        <w:rPr>
          <w:sz w:val="24"/>
          <w:szCs w:val="24"/>
        </w:rPr>
        <w:t>Tilsæt 64 ml vand, ved at bruge en passende måleanordning, op til stregen på etiketten.</w:t>
      </w:r>
    </w:p>
    <w:p w:rsidR="00A82C43" w:rsidRPr="00EF5ACD" w:rsidRDefault="00967C4F" w:rsidP="00EF5ACD">
      <w:pPr>
        <w:numPr>
          <w:ilvl w:val="0"/>
          <w:numId w:val="10"/>
        </w:numPr>
        <w:tabs>
          <w:tab w:val="left" w:pos="851"/>
        </w:tabs>
        <w:ind w:left="1134" w:hanging="283"/>
        <w:rPr>
          <w:sz w:val="24"/>
          <w:szCs w:val="24"/>
        </w:rPr>
      </w:pPr>
      <w:r w:rsidRPr="00967C4F">
        <w:rPr>
          <w:sz w:val="24"/>
          <w:szCs w:val="24"/>
        </w:rPr>
        <w:t>Sæt omhyggeligt det røde låg på flasken og ryst kraftigt i 30 sekunder.</w:t>
      </w:r>
    </w:p>
    <w:p w:rsidR="00967C4F" w:rsidRPr="00967C4F" w:rsidRDefault="00967C4F" w:rsidP="00967C4F">
      <w:pPr>
        <w:tabs>
          <w:tab w:val="left" w:pos="851"/>
        </w:tabs>
        <w:ind w:left="851"/>
        <w:rPr>
          <w:sz w:val="24"/>
          <w:szCs w:val="24"/>
        </w:rPr>
      </w:pPr>
    </w:p>
    <w:p w:rsidR="00967C4F" w:rsidRPr="00A82C43" w:rsidRDefault="00967C4F" w:rsidP="00967C4F">
      <w:pPr>
        <w:tabs>
          <w:tab w:val="left" w:pos="851"/>
        </w:tabs>
        <w:ind w:left="851"/>
        <w:rPr>
          <w:bCs/>
          <w:sz w:val="24"/>
          <w:szCs w:val="24"/>
          <w:u w:val="single"/>
        </w:rPr>
      </w:pPr>
      <w:r w:rsidRPr="00A82C43">
        <w:rPr>
          <w:bCs/>
          <w:sz w:val="24"/>
          <w:szCs w:val="24"/>
          <w:u w:val="single"/>
        </w:rPr>
        <w:t>Placering af sprøjteadapter</w:t>
      </w:r>
    </w:p>
    <w:p w:rsidR="00967C4F" w:rsidRPr="00967C4F" w:rsidRDefault="00967C4F" w:rsidP="00A82C43">
      <w:pPr>
        <w:numPr>
          <w:ilvl w:val="0"/>
          <w:numId w:val="11"/>
        </w:numPr>
        <w:tabs>
          <w:tab w:val="left" w:pos="851"/>
        </w:tabs>
        <w:ind w:left="1134" w:hanging="283"/>
        <w:rPr>
          <w:sz w:val="24"/>
          <w:szCs w:val="24"/>
        </w:rPr>
      </w:pPr>
      <w:r w:rsidRPr="00967C4F">
        <w:rPr>
          <w:sz w:val="24"/>
          <w:szCs w:val="24"/>
        </w:rPr>
        <w:t>Fjern det røde låg og den røde ring og smid dem væk.</w:t>
      </w:r>
    </w:p>
    <w:p w:rsidR="00967C4F" w:rsidRPr="00967C4F" w:rsidRDefault="00967C4F" w:rsidP="00A82C43">
      <w:pPr>
        <w:numPr>
          <w:ilvl w:val="0"/>
          <w:numId w:val="11"/>
        </w:numPr>
        <w:tabs>
          <w:tab w:val="left" w:pos="851"/>
        </w:tabs>
        <w:ind w:left="1134" w:hanging="283"/>
        <w:rPr>
          <w:sz w:val="24"/>
          <w:szCs w:val="24"/>
        </w:rPr>
      </w:pPr>
      <w:r w:rsidRPr="00967C4F">
        <w:rPr>
          <w:sz w:val="24"/>
          <w:szCs w:val="24"/>
        </w:rPr>
        <w:t>Indsæt den farveløse, gennemsigtige flaskeadapter, og erstat det røde låg med det grå plastikskruelåg.</w:t>
      </w:r>
    </w:p>
    <w:p w:rsidR="00967C4F" w:rsidRPr="00967C4F" w:rsidRDefault="00967C4F" w:rsidP="00A82C43">
      <w:pPr>
        <w:numPr>
          <w:ilvl w:val="0"/>
          <w:numId w:val="11"/>
        </w:numPr>
        <w:tabs>
          <w:tab w:val="left" w:pos="851"/>
        </w:tabs>
        <w:ind w:left="1134" w:hanging="283"/>
        <w:rPr>
          <w:sz w:val="24"/>
          <w:szCs w:val="24"/>
        </w:rPr>
      </w:pPr>
      <w:r w:rsidRPr="00967C4F">
        <w:rPr>
          <w:sz w:val="24"/>
          <w:szCs w:val="24"/>
        </w:rPr>
        <w:t>Lad flasken stå i 15 minutter for at opnå den endelige konsistens.</w:t>
      </w:r>
    </w:p>
    <w:p w:rsidR="00967C4F" w:rsidRPr="00967C4F" w:rsidRDefault="00967C4F" w:rsidP="00967C4F">
      <w:pPr>
        <w:tabs>
          <w:tab w:val="left" w:pos="851"/>
        </w:tabs>
        <w:ind w:left="851"/>
        <w:rPr>
          <w:sz w:val="24"/>
          <w:szCs w:val="24"/>
        </w:rPr>
      </w:pPr>
    </w:p>
    <w:p w:rsidR="00967C4F" w:rsidRPr="00967C4F" w:rsidRDefault="00967C4F" w:rsidP="00967C4F">
      <w:pPr>
        <w:tabs>
          <w:tab w:val="left" w:pos="851"/>
        </w:tabs>
        <w:ind w:left="851"/>
        <w:rPr>
          <w:sz w:val="24"/>
          <w:szCs w:val="24"/>
        </w:rPr>
      </w:pPr>
      <w:r w:rsidRPr="00967C4F">
        <w:rPr>
          <w:sz w:val="24"/>
          <w:szCs w:val="24"/>
        </w:rPr>
        <w:t>Den færdigblandede suspension vil være en hvid/råhvid/brunlig suspension. Den kan indeholde mørke pletter på grund af sødemidlet.</w:t>
      </w:r>
    </w:p>
    <w:p w:rsidR="00967C4F" w:rsidRPr="00967C4F" w:rsidRDefault="00967C4F" w:rsidP="00967C4F">
      <w:pPr>
        <w:tabs>
          <w:tab w:val="left" w:pos="851"/>
        </w:tabs>
        <w:ind w:left="851"/>
        <w:rPr>
          <w:sz w:val="24"/>
          <w:szCs w:val="24"/>
        </w:rPr>
      </w:pPr>
    </w:p>
    <w:p w:rsidR="00967C4F" w:rsidRPr="00A82C43" w:rsidRDefault="00967C4F" w:rsidP="00967C4F">
      <w:pPr>
        <w:tabs>
          <w:tab w:val="left" w:pos="851"/>
        </w:tabs>
        <w:ind w:left="851"/>
        <w:rPr>
          <w:bCs/>
          <w:sz w:val="24"/>
          <w:szCs w:val="24"/>
          <w:u w:val="single"/>
        </w:rPr>
      </w:pPr>
      <w:r w:rsidRPr="00A82C43">
        <w:rPr>
          <w:bCs/>
          <w:sz w:val="24"/>
          <w:szCs w:val="24"/>
          <w:u w:val="single"/>
        </w:rPr>
        <w:t>Udmåling af dosis</w:t>
      </w:r>
    </w:p>
    <w:p w:rsidR="00967C4F" w:rsidRPr="00967C4F" w:rsidRDefault="00967C4F" w:rsidP="00967C4F">
      <w:pPr>
        <w:tabs>
          <w:tab w:val="left" w:pos="851"/>
        </w:tabs>
        <w:ind w:left="851"/>
        <w:rPr>
          <w:sz w:val="24"/>
          <w:szCs w:val="24"/>
        </w:rPr>
      </w:pPr>
      <w:r w:rsidRPr="00967C4F">
        <w:rPr>
          <w:sz w:val="24"/>
          <w:szCs w:val="24"/>
        </w:rPr>
        <w:t>Brugsanvisning for brug af sprøjte</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Ryst</w:t>
      </w:r>
      <w:r w:rsidR="00EF5ACD">
        <w:rPr>
          <w:sz w:val="24"/>
          <w:szCs w:val="24"/>
        </w:rPr>
        <w:t xml:space="preserve"> flasken</w:t>
      </w:r>
      <w:r w:rsidRPr="00967C4F">
        <w:rPr>
          <w:sz w:val="24"/>
          <w:szCs w:val="24"/>
        </w:rPr>
        <w:t xml:space="preserve"> i 20 sekunder umiddelbart før hver brug</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For at åbne flasken skal du trykke det grå låg ned og dreje den mod uret (Figur 1). Fjern ikke den hvide hættedel.</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Tag sprøjten og sæt den ind i adapteråbningen (Figur 2).</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Vend flasken på hovedet (Figur 3).</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Fyld sprøjten med en lille mængde suspension ved at trække stemplet ned (Figur 4A). Skub derefter stemplet opad for at fjerne eventuelle bobler (Figur 4B). Træk til sidst stemplet ned til gradueringsmærket svarende til den mængde i milliliter (ml) som din læge har ordineret. Den øverste flade kant af stemplet skal være på linje med det gradueringsmærke, du måler til (Figur 4C).</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Vend flasken den rigtige vej (Figur 5A).</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Fjern sprøjten fra adapteren (Figur 5B).</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Placer enden af sprøjten i munden på patienten, og skub stemplet langsomt tilbage for at indgive medicinen. Suspensionen frigives langsomt. Den sidste portion frigives dog hurtigere på grund af den reducerede modstand i spidsen af sprøjten.</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Vask sprøjten med vand og lad den tørre, før du bruger den igen (Figur 6).</w:t>
      </w:r>
    </w:p>
    <w:p w:rsidR="00967C4F" w:rsidRPr="00967C4F" w:rsidRDefault="00967C4F" w:rsidP="008663F8">
      <w:pPr>
        <w:numPr>
          <w:ilvl w:val="0"/>
          <w:numId w:val="12"/>
        </w:numPr>
        <w:tabs>
          <w:tab w:val="left" w:pos="851"/>
        </w:tabs>
        <w:ind w:left="1276" w:hanging="425"/>
        <w:rPr>
          <w:sz w:val="24"/>
          <w:szCs w:val="24"/>
        </w:rPr>
      </w:pPr>
      <w:r w:rsidRPr="00967C4F">
        <w:rPr>
          <w:sz w:val="24"/>
          <w:szCs w:val="24"/>
        </w:rPr>
        <w:t xml:space="preserve">Luk flasken med det grå plastikskruelåg - lad flaskeadapteren </w:t>
      </w:r>
      <w:proofErr w:type="gramStart"/>
      <w:r w:rsidRPr="00967C4F">
        <w:rPr>
          <w:sz w:val="24"/>
          <w:szCs w:val="24"/>
        </w:rPr>
        <w:t>blive</w:t>
      </w:r>
      <w:proofErr w:type="gramEnd"/>
      <w:r w:rsidRPr="00967C4F">
        <w:rPr>
          <w:sz w:val="24"/>
          <w:szCs w:val="24"/>
        </w:rPr>
        <w:t xml:space="preserve"> i flasken.</w:t>
      </w:r>
    </w:p>
    <w:p w:rsidR="00967C4F" w:rsidRPr="00967C4F" w:rsidRDefault="00967C4F" w:rsidP="008663F8">
      <w:pPr>
        <w:tabs>
          <w:tab w:val="left" w:pos="851"/>
        </w:tabs>
        <w:ind w:left="851"/>
        <w:rPr>
          <w:sz w:val="24"/>
          <w:szCs w:val="24"/>
        </w:rPr>
      </w:pPr>
      <w:r w:rsidRPr="00967C4F">
        <w:rPr>
          <w:sz w:val="24"/>
          <w:szCs w:val="24"/>
        </w:rPr>
        <w:t>Bemærk: Det er normalt at have den røde plastikskive i suspensionen under brug; forsøg ikke at fjerne det.</w:t>
      </w:r>
    </w:p>
    <w:p w:rsidR="00967C4F" w:rsidRPr="00967C4F" w:rsidRDefault="00967C4F" w:rsidP="00967C4F">
      <w:pPr>
        <w:tabs>
          <w:tab w:val="left" w:pos="851"/>
        </w:tabs>
        <w:ind w:left="851"/>
        <w:rPr>
          <w:sz w:val="24"/>
          <w:szCs w:val="24"/>
        </w:rPr>
      </w:pPr>
      <w:r w:rsidRPr="00967C4F">
        <w:rPr>
          <w:noProof/>
          <w:sz w:val="24"/>
          <w:szCs w:val="24"/>
          <w:lang w:val="en-IE"/>
        </w:rPr>
        <w:drawing>
          <wp:inline distT="0" distB="0" distL="0" distR="0">
            <wp:extent cx="3041650" cy="1720850"/>
            <wp:effectExtent l="0" t="0" r="6350" b="0"/>
            <wp:docPr id="7" name="Billede 7" descr="Instru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 Gu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650" cy="1720850"/>
                    </a:xfrm>
                    <a:prstGeom prst="rect">
                      <a:avLst/>
                    </a:prstGeom>
                    <a:noFill/>
                    <a:ln>
                      <a:noFill/>
                    </a:ln>
                  </pic:spPr>
                </pic:pic>
              </a:graphicData>
            </a:graphic>
          </wp:inline>
        </w:drawing>
      </w:r>
    </w:p>
    <w:p w:rsidR="00967C4F" w:rsidRPr="00967C4F" w:rsidRDefault="00967C4F" w:rsidP="00967C4F">
      <w:pPr>
        <w:tabs>
          <w:tab w:val="left" w:pos="851"/>
        </w:tabs>
        <w:ind w:left="851"/>
        <w:rPr>
          <w:sz w:val="24"/>
          <w:szCs w:val="24"/>
        </w:rPr>
      </w:pPr>
    </w:p>
    <w:p w:rsidR="00967C4F" w:rsidRPr="00967C4F" w:rsidRDefault="00967C4F" w:rsidP="00967C4F">
      <w:pPr>
        <w:tabs>
          <w:tab w:val="left" w:pos="851"/>
        </w:tabs>
        <w:ind w:left="851"/>
        <w:rPr>
          <w:sz w:val="24"/>
          <w:szCs w:val="24"/>
          <w:lang w:val="en-US"/>
        </w:rPr>
      </w:pPr>
      <w:r w:rsidRPr="00967C4F">
        <w:rPr>
          <w:noProof/>
          <w:sz w:val="24"/>
          <w:szCs w:val="24"/>
          <w:lang w:val="en-IE"/>
        </w:rPr>
        <w:drawing>
          <wp:inline distT="0" distB="0" distL="0" distR="0">
            <wp:extent cx="3879850" cy="1492250"/>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6083"/>
                    <a:stretch>
                      <a:fillRect/>
                    </a:stretch>
                  </pic:blipFill>
                  <pic:spPr bwMode="auto">
                    <a:xfrm>
                      <a:off x="0" y="0"/>
                      <a:ext cx="3879850" cy="1492250"/>
                    </a:xfrm>
                    <a:prstGeom prst="rect">
                      <a:avLst/>
                    </a:prstGeom>
                    <a:noFill/>
                    <a:ln>
                      <a:noFill/>
                    </a:ln>
                  </pic:spPr>
                </pic:pic>
              </a:graphicData>
            </a:graphic>
          </wp:inline>
        </w:drawing>
      </w:r>
    </w:p>
    <w:p w:rsidR="00967C4F" w:rsidRPr="00967C4F" w:rsidRDefault="00967C4F" w:rsidP="00967C4F">
      <w:pPr>
        <w:tabs>
          <w:tab w:val="left" w:pos="851"/>
        </w:tabs>
        <w:ind w:left="851"/>
        <w:rPr>
          <w:bCs/>
          <w:sz w:val="24"/>
          <w:szCs w:val="24"/>
          <w:lang w:val="en-US"/>
        </w:rPr>
      </w:pPr>
    </w:p>
    <w:p w:rsidR="00967C4F" w:rsidRPr="00967C4F" w:rsidRDefault="00967C4F" w:rsidP="00967C4F">
      <w:pPr>
        <w:tabs>
          <w:tab w:val="left" w:pos="851"/>
        </w:tabs>
        <w:ind w:left="851"/>
        <w:rPr>
          <w:bCs/>
          <w:sz w:val="24"/>
          <w:szCs w:val="24"/>
          <w:lang w:val="en-US"/>
        </w:rPr>
      </w:pPr>
    </w:p>
    <w:p w:rsidR="00967C4F" w:rsidRPr="00967C4F" w:rsidRDefault="00967C4F" w:rsidP="00967C4F">
      <w:pPr>
        <w:tabs>
          <w:tab w:val="left" w:pos="851"/>
        </w:tabs>
        <w:ind w:left="851"/>
        <w:rPr>
          <w:sz w:val="24"/>
          <w:szCs w:val="24"/>
          <w:lang w:val="en-GB"/>
        </w:rPr>
      </w:pPr>
      <w:r w:rsidRPr="00967C4F">
        <w:rPr>
          <w:noProof/>
          <w:sz w:val="24"/>
          <w:szCs w:val="24"/>
          <w:lang w:val="en-GB"/>
        </w:rPr>
        <w:lastRenderedPageBreak/>
        <w:drawing>
          <wp:inline distT="0" distB="0" distL="0" distR="0">
            <wp:extent cx="2965450" cy="1619250"/>
            <wp:effectExtent l="0" t="0" r="6350" b="0"/>
            <wp:docPr id="5" name="Billede 5" descr="cid:image002.png@01D40265.74D89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id:image002.png@01D40265.74D89350"/>
                    <pic:cNvPicPr>
                      <a:picLocks noChangeArrowheads="1"/>
                    </pic:cNvPicPr>
                  </pic:nvPicPr>
                  <pic:blipFill>
                    <a:blip r:embed="rId10" r:link="rId11">
                      <a:extLst>
                        <a:ext uri="{28A0092B-C50C-407E-A947-70E740481C1C}">
                          <a14:useLocalDpi xmlns:a14="http://schemas.microsoft.com/office/drawing/2010/main" val="0"/>
                        </a:ext>
                      </a:extLst>
                    </a:blip>
                    <a:srcRect t="-2" r="1755" b="3130"/>
                    <a:stretch>
                      <a:fillRect/>
                    </a:stretch>
                  </pic:blipFill>
                  <pic:spPr bwMode="auto">
                    <a:xfrm>
                      <a:off x="0" y="0"/>
                      <a:ext cx="2965450" cy="1619250"/>
                    </a:xfrm>
                    <a:prstGeom prst="rect">
                      <a:avLst/>
                    </a:prstGeom>
                    <a:noFill/>
                    <a:ln>
                      <a:noFill/>
                    </a:ln>
                  </pic:spPr>
                </pic:pic>
              </a:graphicData>
            </a:graphic>
          </wp:inline>
        </w:drawing>
      </w:r>
    </w:p>
    <w:p w:rsidR="00967C4F" w:rsidRPr="00967C4F" w:rsidRDefault="00967C4F" w:rsidP="00967C4F">
      <w:pPr>
        <w:tabs>
          <w:tab w:val="left" w:pos="851"/>
        </w:tabs>
        <w:ind w:left="851"/>
        <w:rPr>
          <w:sz w:val="24"/>
          <w:szCs w:val="24"/>
          <w:lang w:val="en-GB"/>
        </w:rPr>
      </w:pPr>
    </w:p>
    <w:p w:rsidR="00967C4F" w:rsidRPr="00967C4F" w:rsidRDefault="00967C4F" w:rsidP="00967C4F">
      <w:pPr>
        <w:tabs>
          <w:tab w:val="left" w:pos="851"/>
        </w:tabs>
        <w:ind w:left="851"/>
        <w:rPr>
          <w:b/>
          <w:bCs/>
          <w:sz w:val="24"/>
          <w:szCs w:val="24"/>
        </w:rPr>
      </w:pPr>
      <w:r w:rsidRPr="00967C4F">
        <w:rPr>
          <w:b/>
          <w:bCs/>
          <w:sz w:val="24"/>
          <w:szCs w:val="24"/>
        </w:rPr>
        <w:t xml:space="preserve">Instruktion til administration via </w:t>
      </w:r>
      <w:proofErr w:type="spellStart"/>
      <w:r w:rsidRPr="00967C4F">
        <w:rPr>
          <w:b/>
          <w:bCs/>
          <w:sz w:val="24"/>
          <w:szCs w:val="24"/>
        </w:rPr>
        <w:t>nasogastriske</w:t>
      </w:r>
      <w:proofErr w:type="spellEnd"/>
      <w:r w:rsidRPr="00967C4F">
        <w:rPr>
          <w:b/>
          <w:bCs/>
          <w:sz w:val="24"/>
          <w:szCs w:val="24"/>
        </w:rPr>
        <w:t xml:space="preserve"> (NG) eller </w:t>
      </w:r>
      <w:proofErr w:type="spellStart"/>
      <w:r w:rsidRPr="00967C4F">
        <w:rPr>
          <w:b/>
          <w:bCs/>
          <w:sz w:val="24"/>
          <w:szCs w:val="24"/>
        </w:rPr>
        <w:t>perkutan</w:t>
      </w:r>
      <w:proofErr w:type="spellEnd"/>
      <w:r w:rsidRPr="00967C4F">
        <w:rPr>
          <w:b/>
          <w:bCs/>
          <w:sz w:val="24"/>
          <w:szCs w:val="24"/>
        </w:rPr>
        <w:t xml:space="preserve"> </w:t>
      </w:r>
      <w:proofErr w:type="spellStart"/>
      <w:r w:rsidRPr="00967C4F">
        <w:rPr>
          <w:b/>
          <w:bCs/>
          <w:sz w:val="24"/>
          <w:szCs w:val="24"/>
        </w:rPr>
        <w:t>endoskopisk</w:t>
      </w:r>
      <w:proofErr w:type="spellEnd"/>
      <w:r w:rsidRPr="00967C4F">
        <w:rPr>
          <w:b/>
          <w:bCs/>
          <w:sz w:val="24"/>
          <w:szCs w:val="24"/>
        </w:rPr>
        <w:t xml:space="preserve"> </w:t>
      </w:r>
      <w:proofErr w:type="spellStart"/>
      <w:r w:rsidRPr="00967C4F">
        <w:rPr>
          <w:b/>
          <w:bCs/>
          <w:sz w:val="24"/>
          <w:szCs w:val="24"/>
        </w:rPr>
        <w:t>gastrostomi</w:t>
      </w:r>
      <w:proofErr w:type="spellEnd"/>
      <w:r w:rsidRPr="00967C4F">
        <w:rPr>
          <w:b/>
          <w:bCs/>
          <w:sz w:val="24"/>
          <w:szCs w:val="24"/>
        </w:rPr>
        <w:t xml:space="preserve"> (PEG) sonde:</w:t>
      </w:r>
    </w:p>
    <w:p w:rsidR="00967C4F" w:rsidRPr="00967C4F" w:rsidRDefault="00967C4F" w:rsidP="00967C4F">
      <w:pPr>
        <w:tabs>
          <w:tab w:val="left" w:pos="851"/>
        </w:tabs>
        <w:ind w:left="851"/>
        <w:rPr>
          <w:sz w:val="24"/>
          <w:szCs w:val="24"/>
        </w:rPr>
      </w:pPr>
      <w:r w:rsidRPr="00967C4F">
        <w:rPr>
          <w:sz w:val="24"/>
          <w:szCs w:val="24"/>
        </w:rPr>
        <w:t>Sørg for, at der er fri passage i den enterale ernæringssonde før administration.</w:t>
      </w:r>
    </w:p>
    <w:p w:rsidR="00967C4F" w:rsidRPr="00967C4F" w:rsidRDefault="00967C4F" w:rsidP="00A82C43">
      <w:pPr>
        <w:numPr>
          <w:ilvl w:val="0"/>
          <w:numId w:val="13"/>
        </w:numPr>
        <w:tabs>
          <w:tab w:val="left" w:pos="851"/>
        </w:tabs>
        <w:ind w:left="1134" w:hanging="283"/>
        <w:rPr>
          <w:sz w:val="24"/>
          <w:szCs w:val="24"/>
        </w:rPr>
      </w:pPr>
      <w:r w:rsidRPr="00967C4F">
        <w:rPr>
          <w:sz w:val="24"/>
          <w:szCs w:val="24"/>
        </w:rPr>
        <w:t xml:space="preserve">Skyl </w:t>
      </w:r>
      <w:proofErr w:type="spellStart"/>
      <w:r w:rsidRPr="00967C4F">
        <w:rPr>
          <w:sz w:val="24"/>
          <w:szCs w:val="24"/>
        </w:rPr>
        <w:t>enteralrøret</w:t>
      </w:r>
      <w:proofErr w:type="spellEnd"/>
      <w:r w:rsidRPr="00967C4F">
        <w:rPr>
          <w:sz w:val="24"/>
          <w:szCs w:val="24"/>
        </w:rPr>
        <w:t xml:space="preserve"> med 5 ml vand.</w:t>
      </w:r>
    </w:p>
    <w:p w:rsidR="00967C4F" w:rsidRPr="00967C4F" w:rsidRDefault="00967C4F" w:rsidP="00A82C43">
      <w:pPr>
        <w:numPr>
          <w:ilvl w:val="0"/>
          <w:numId w:val="13"/>
        </w:numPr>
        <w:tabs>
          <w:tab w:val="left" w:pos="851"/>
        </w:tabs>
        <w:ind w:left="1134" w:hanging="283"/>
        <w:rPr>
          <w:sz w:val="24"/>
          <w:szCs w:val="24"/>
        </w:rPr>
      </w:pPr>
      <w:r w:rsidRPr="00967C4F">
        <w:rPr>
          <w:sz w:val="24"/>
          <w:szCs w:val="24"/>
        </w:rPr>
        <w:t xml:space="preserve">Administrer den ønskede dosis af </w:t>
      </w:r>
      <w:proofErr w:type="spellStart"/>
      <w:r w:rsidRPr="00967C4F">
        <w:rPr>
          <w:sz w:val="24"/>
          <w:szCs w:val="24"/>
        </w:rPr>
        <w:t>Pedippi</w:t>
      </w:r>
      <w:proofErr w:type="spellEnd"/>
      <w:r w:rsidRPr="00967C4F">
        <w:rPr>
          <w:sz w:val="24"/>
          <w:szCs w:val="24"/>
        </w:rPr>
        <w:t xml:space="preserve"> oral suspension med et passende måleapparat.</w:t>
      </w:r>
    </w:p>
    <w:p w:rsidR="00967C4F" w:rsidRPr="00967C4F" w:rsidRDefault="00967C4F" w:rsidP="00A82C43">
      <w:pPr>
        <w:numPr>
          <w:ilvl w:val="0"/>
          <w:numId w:val="13"/>
        </w:numPr>
        <w:tabs>
          <w:tab w:val="left" w:pos="851"/>
        </w:tabs>
        <w:ind w:left="1134" w:hanging="283"/>
        <w:rPr>
          <w:sz w:val="24"/>
          <w:szCs w:val="24"/>
        </w:rPr>
      </w:pPr>
      <w:r w:rsidRPr="00967C4F">
        <w:rPr>
          <w:sz w:val="24"/>
          <w:szCs w:val="24"/>
        </w:rPr>
        <w:t xml:space="preserve">Skyl </w:t>
      </w:r>
      <w:proofErr w:type="spellStart"/>
      <w:r w:rsidRPr="00967C4F">
        <w:rPr>
          <w:sz w:val="24"/>
          <w:szCs w:val="24"/>
        </w:rPr>
        <w:t>enteralrøret</w:t>
      </w:r>
      <w:proofErr w:type="spellEnd"/>
      <w:r w:rsidRPr="00967C4F">
        <w:rPr>
          <w:sz w:val="24"/>
          <w:szCs w:val="24"/>
        </w:rPr>
        <w:t xml:space="preserve"> med 5 ml vand.</w:t>
      </w:r>
    </w:p>
    <w:p w:rsidR="00967C4F" w:rsidRPr="00967C4F" w:rsidRDefault="00967C4F" w:rsidP="00967C4F">
      <w:pPr>
        <w:tabs>
          <w:tab w:val="left" w:pos="851"/>
        </w:tabs>
        <w:ind w:left="851"/>
        <w:rPr>
          <w:sz w:val="24"/>
          <w:szCs w:val="24"/>
        </w:rPr>
      </w:pPr>
      <w:r w:rsidRPr="00967C4F">
        <w:rPr>
          <w:sz w:val="24"/>
          <w:szCs w:val="24"/>
        </w:rPr>
        <w:t xml:space="preserve">Dette lægemiddel er kompatibelt til brug med </w:t>
      </w:r>
      <w:proofErr w:type="spellStart"/>
      <w:r w:rsidRPr="00967C4F">
        <w:rPr>
          <w:sz w:val="24"/>
          <w:szCs w:val="24"/>
        </w:rPr>
        <w:t>polyurethan</w:t>
      </w:r>
      <w:proofErr w:type="spellEnd"/>
      <w:r w:rsidRPr="00967C4F">
        <w:rPr>
          <w:sz w:val="24"/>
          <w:szCs w:val="24"/>
        </w:rPr>
        <w:t>- og PVC-</w:t>
      </w:r>
      <w:proofErr w:type="spellStart"/>
      <w:r w:rsidRPr="00967C4F">
        <w:rPr>
          <w:sz w:val="24"/>
          <w:szCs w:val="24"/>
        </w:rPr>
        <w:t>nasogastriske</w:t>
      </w:r>
      <w:proofErr w:type="spellEnd"/>
      <w:r w:rsidRPr="00967C4F">
        <w:rPr>
          <w:sz w:val="24"/>
          <w:szCs w:val="24"/>
        </w:rPr>
        <w:t xml:space="preserve"> (NG) og </w:t>
      </w:r>
      <w:proofErr w:type="spellStart"/>
      <w:r w:rsidRPr="00967C4F">
        <w:rPr>
          <w:sz w:val="24"/>
          <w:szCs w:val="24"/>
        </w:rPr>
        <w:t>perkutane</w:t>
      </w:r>
      <w:proofErr w:type="spellEnd"/>
      <w:r w:rsidRPr="00967C4F">
        <w:rPr>
          <w:sz w:val="24"/>
          <w:szCs w:val="24"/>
        </w:rPr>
        <w:t xml:space="preserve"> endoskopiske </w:t>
      </w:r>
      <w:proofErr w:type="spellStart"/>
      <w:r w:rsidRPr="00967C4F">
        <w:rPr>
          <w:sz w:val="24"/>
          <w:szCs w:val="24"/>
        </w:rPr>
        <w:t>gastrostomi</w:t>
      </w:r>
      <w:proofErr w:type="spellEnd"/>
      <w:r w:rsidRPr="00967C4F">
        <w:rPr>
          <w:sz w:val="24"/>
          <w:szCs w:val="24"/>
        </w:rPr>
        <w:t xml:space="preserve"> (PEG) sonde i størrelse 6 Fr til 16 </w:t>
      </w:r>
      <w:proofErr w:type="gramStart"/>
      <w:r w:rsidRPr="00967C4F">
        <w:rPr>
          <w:sz w:val="24"/>
          <w:szCs w:val="24"/>
        </w:rPr>
        <w:t>Fr.</w:t>
      </w:r>
      <w:proofErr w:type="gramEnd"/>
      <w:r w:rsidRPr="00967C4F">
        <w:rPr>
          <w:sz w:val="24"/>
          <w:szCs w:val="24"/>
        </w:rPr>
        <w:t xml:space="preserve"> Til sonder med den mindste diameter (6 Fr) kan et mindre skyllevolumen på 2 ml bruges til at understøtte brugen til meget små børn, hvor det kan være relevant at begrænse væskeindtaget.</w:t>
      </w:r>
    </w:p>
    <w:p w:rsidR="00967C4F" w:rsidRPr="00967C4F" w:rsidRDefault="00967C4F" w:rsidP="00967C4F">
      <w:pPr>
        <w:tabs>
          <w:tab w:val="left" w:pos="851"/>
        </w:tabs>
        <w:ind w:left="851"/>
        <w:rPr>
          <w:sz w:val="24"/>
          <w:szCs w:val="24"/>
        </w:rPr>
      </w:pPr>
    </w:p>
    <w:p w:rsidR="00967C4F" w:rsidRPr="00967C4F" w:rsidRDefault="00967C4F" w:rsidP="00967C4F">
      <w:pPr>
        <w:tabs>
          <w:tab w:val="left" w:pos="851"/>
        </w:tabs>
        <w:ind w:left="851"/>
        <w:rPr>
          <w:sz w:val="24"/>
          <w:szCs w:val="24"/>
        </w:rPr>
      </w:pPr>
      <w:r w:rsidRPr="00967C4F">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B71ED" w:rsidRPr="00C901E2" w:rsidRDefault="00EB71ED" w:rsidP="00EB71ED">
      <w:pPr>
        <w:tabs>
          <w:tab w:val="left" w:pos="851"/>
        </w:tabs>
        <w:ind w:left="851"/>
        <w:rPr>
          <w:sz w:val="24"/>
          <w:szCs w:val="24"/>
          <w:lang w:eastAsia="da-DK"/>
        </w:rPr>
      </w:pPr>
      <w:r w:rsidRPr="00C901E2">
        <w:rPr>
          <w:sz w:val="24"/>
          <w:szCs w:val="24"/>
        </w:rPr>
        <w:t>Øresund Pharma ApS</w:t>
      </w:r>
    </w:p>
    <w:p w:rsidR="00754F68" w:rsidRPr="00754F68" w:rsidRDefault="00754F68" w:rsidP="00754F68">
      <w:pPr>
        <w:tabs>
          <w:tab w:val="left" w:pos="851"/>
        </w:tabs>
        <w:ind w:left="851"/>
        <w:rPr>
          <w:sz w:val="24"/>
          <w:szCs w:val="24"/>
        </w:rPr>
      </w:pPr>
      <w:r w:rsidRPr="00754F68">
        <w:rPr>
          <w:sz w:val="24"/>
          <w:szCs w:val="24"/>
        </w:rPr>
        <w:t xml:space="preserve">Orient Plads 1 </w:t>
      </w:r>
    </w:p>
    <w:p w:rsidR="009260DE" w:rsidRPr="00754F68" w:rsidRDefault="00754F68" w:rsidP="00754F68">
      <w:pPr>
        <w:tabs>
          <w:tab w:val="left" w:pos="851"/>
        </w:tabs>
        <w:ind w:left="851"/>
        <w:rPr>
          <w:sz w:val="24"/>
          <w:szCs w:val="24"/>
        </w:rPr>
      </w:pPr>
      <w:r w:rsidRPr="00754F68">
        <w:rPr>
          <w:sz w:val="24"/>
          <w:szCs w:val="24"/>
        </w:rPr>
        <w:t>2150 Nordhavn</w:t>
      </w:r>
    </w:p>
    <w:p w:rsidR="00754F68" w:rsidRPr="00C84483" w:rsidRDefault="00754F68" w:rsidP="00754F6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867A3">
        <w:rPr>
          <w:b/>
          <w:sz w:val="24"/>
          <w:szCs w:val="24"/>
        </w:rPr>
        <w:t>-</w:t>
      </w:r>
      <w:r w:rsidRPr="00C84483">
        <w:rPr>
          <w:b/>
          <w:sz w:val="24"/>
          <w:szCs w:val="24"/>
        </w:rPr>
        <w:t>NUMRE)</w:t>
      </w:r>
    </w:p>
    <w:p w:rsidR="009260DE" w:rsidRPr="00C84483" w:rsidRDefault="00BD4846" w:rsidP="009260DE">
      <w:pPr>
        <w:tabs>
          <w:tab w:val="left" w:pos="851"/>
        </w:tabs>
        <w:ind w:left="851"/>
        <w:rPr>
          <w:sz w:val="24"/>
          <w:szCs w:val="24"/>
        </w:rPr>
      </w:pPr>
      <w:r>
        <w:rPr>
          <w:sz w:val="24"/>
          <w:szCs w:val="24"/>
        </w:rPr>
        <w:t>67322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74851" w:rsidP="009260DE">
      <w:pPr>
        <w:tabs>
          <w:tab w:val="left" w:pos="851"/>
        </w:tabs>
        <w:ind w:left="851"/>
        <w:rPr>
          <w:sz w:val="24"/>
          <w:szCs w:val="24"/>
        </w:rPr>
      </w:pPr>
      <w:r>
        <w:rPr>
          <w:sz w:val="24"/>
          <w:szCs w:val="24"/>
        </w:rPr>
        <w:t>2. november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F5ACD" w:rsidP="00D3018F">
      <w:pPr>
        <w:tabs>
          <w:tab w:val="left" w:pos="851"/>
        </w:tabs>
        <w:ind w:left="851"/>
        <w:rPr>
          <w:sz w:val="24"/>
          <w:szCs w:val="24"/>
        </w:rPr>
      </w:pPr>
      <w:r>
        <w:rPr>
          <w:sz w:val="24"/>
          <w:szCs w:val="24"/>
        </w:rPr>
        <w:t>1</w:t>
      </w:r>
      <w:r w:rsidR="00F603BA">
        <w:rPr>
          <w:sz w:val="24"/>
          <w:szCs w:val="24"/>
        </w:rPr>
        <w:t>2</w:t>
      </w:r>
      <w:bookmarkStart w:id="1" w:name="_GoBack"/>
      <w:bookmarkEnd w:id="1"/>
      <w:r>
        <w:rPr>
          <w:sz w:val="24"/>
          <w:szCs w:val="24"/>
        </w:rPr>
        <w:t>. februar 2025</w:t>
      </w:r>
    </w:p>
    <w:sectPr w:rsidR="009260DE" w:rsidRPr="00C8448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8F" w:rsidRDefault="00D3018F">
      <w:r>
        <w:separator/>
      </w:r>
    </w:p>
  </w:endnote>
  <w:endnote w:type="continuationSeparator" w:id="0">
    <w:p w:rsidR="00D3018F" w:rsidRDefault="00D3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18F" w:rsidRDefault="00D3018F">
    <w:pPr>
      <w:pStyle w:val="Sidefod"/>
      <w:pBdr>
        <w:bottom w:val="single" w:sz="6" w:space="1" w:color="auto"/>
      </w:pBdr>
    </w:pPr>
  </w:p>
  <w:p w:rsidR="00D3018F" w:rsidRDefault="00D3018F" w:rsidP="00C42586">
    <w:pPr>
      <w:pStyle w:val="Sidefod"/>
      <w:tabs>
        <w:tab w:val="clear" w:pos="4819"/>
        <w:tab w:val="left" w:pos="8505"/>
      </w:tabs>
      <w:rPr>
        <w:i/>
        <w:sz w:val="18"/>
        <w:szCs w:val="18"/>
      </w:rPr>
    </w:pPr>
  </w:p>
  <w:p w:rsidR="00D3018F" w:rsidRPr="00B373D7" w:rsidRDefault="00D3018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Pedippi, pulver til oral suspension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8F" w:rsidRDefault="00D3018F">
      <w:r>
        <w:separator/>
      </w:r>
    </w:p>
  </w:footnote>
  <w:footnote w:type="continuationSeparator" w:id="0">
    <w:p w:rsidR="00D3018F" w:rsidRDefault="00D3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45FD"/>
    <w:multiLevelType w:val="hybridMultilevel"/>
    <w:tmpl w:val="4C56D4FC"/>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 w15:restartNumberingAfterBreak="0">
    <w:nsid w:val="0D8C61A3"/>
    <w:multiLevelType w:val="hybridMultilevel"/>
    <w:tmpl w:val="E2240938"/>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BE4F56"/>
    <w:multiLevelType w:val="hybridMultilevel"/>
    <w:tmpl w:val="F2CAD64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4" w15:restartNumberingAfterBreak="0">
    <w:nsid w:val="2B773BFF"/>
    <w:multiLevelType w:val="hybridMultilevel"/>
    <w:tmpl w:val="8878F44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5C39B5"/>
    <w:multiLevelType w:val="hybridMultilevel"/>
    <w:tmpl w:val="4BAEA062"/>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9" w15:restartNumberingAfterBreak="0">
    <w:nsid w:val="54D1209C"/>
    <w:multiLevelType w:val="hybridMultilevel"/>
    <w:tmpl w:val="70FAB10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971410F"/>
    <w:multiLevelType w:val="hybridMultilevel"/>
    <w:tmpl w:val="A2F6369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2" w15:restartNumberingAfterBreak="0">
    <w:nsid w:val="7ABE2EAD"/>
    <w:multiLevelType w:val="hybridMultilevel"/>
    <w:tmpl w:val="659C9620"/>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1"/>
  </w:num>
  <w:num w:numId="9">
    <w:abstractNumId w:val="0"/>
  </w:num>
  <w:num w:numId="10">
    <w:abstractNumId w:val="9"/>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8B"/>
    <w:rsid w:val="000145D9"/>
    <w:rsid w:val="000259B9"/>
    <w:rsid w:val="00041491"/>
    <w:rsid w:val="00050D16"/>
    <w:rsid w:val="000730CA"/>
    <w:rsid w:val="00074F2A"/>
    <w:rsid w:val="000867A3"/>
    <w:rsid w:val="000A1CA8"/>
    <w:rsid w:val="000A466B"/>
    <w:rsid w:val="000B058C"/>
    <w:rsid w:val="000D5E30"/>
    <w:rsid w:val="000E4EE6"/>
    <w:rsid w:val="000F7EA7"/>
    <w:rsid w:val="0014350D"/>
    <w:rsid w:val="001454E2"/>
    <w:rsid w:val="001C6E97"/>
    <w:rsid w:val="00206CE8"/>
    <w:rsid w:val="0021526C"/>
    <w:rsid w:val="00282115"/>
    <w:rsid w:val="00283A2B"/>
    <w:rsid w:val="002B30AD"/>
    <w:rsid w:val="002C2C01"/>
    <w:rsid w:val="00307104"/>
    <w:rsid w:val="0031736C"/>
    <w:rsid w:val="003A29AE"/>
    <w:rsid w:val="003A32D7"/>
    <w:rsid w:val="003A35D1"/>
    <w:rsid w:val="003B4074"/>
    <w:rsid w:val="003C769A"/>
    <w:rsid w:val="003F1838"/>
    <w:rsid w:val="00402DD3"/>
    <w:rsid w:val="004244A8"/>
    <w:rsid w:val="00436703"/>
    <w:rsid w:val="0045746C"/>
    <w:rsid w:val="0049104B"/>
    <w:rsid w:val="004938E6"/>
    <w:rsid w:val="004A580E"/>
    <w:rsid w:val="004E3B12"/>
    <w:rsid w:val="004F111C"/>
    <w:rsid w:val="00532310"/>
    <w:rsid w:val="00543E8B"/>
    <w:rsid w:val="005607F1"/>
    <w:rsid w:val="00565241"/>
    <w:rsid w:val="00565F0F"/>
    <w:rsid w:val="00594A86"/>
    <w:rsid w:val="00596D86"/>
    <w:rsid w:val="00605934"/>
    <w:rsid w:val="00637F5A"/>
    <w:rsid w:val="006560B1"/>
    <w:rsid w:val="006756DD"/>
    <w:rsid w:val="006D0823"/>
    <w:rsid w:val="00737275"/>
    <w:rsid w:val="007373C5"/>
    <w:rsid w:val="00740EEC"/>
    <w:rsid w:val="00754F68"/>
    <w:rsid w:val="00762935"/>
    <w:rsid w:val="0078011A"/>
    <w:rsid w:val="00780AA4"/>
    <w:rsid w:val="00782AF4"/>
    <w:rsid w:val="00790EE7"/>
    <w:rsid w:val="007B6649"/>
    <w:rsid w:val="0082576E"/>
    <w:rsid w:val="008663F8"/>
    <w:rsid w:val="008B0916"/>
    <w:rsid w:val="0090547E"/>
    <w:rsid w:val="00907F75"/>
    <w:rsid w:val="00917842"/>
    <w:rsid w:val="009260DE"/>
    <w:rsid w:val="0093258A"/>
    <w:rsid w:val="00967C4F"/>
    <w:rsid w:val="00993CF1"/>
    <w:rsid w:val="009A1331"/>
    <w:rsid w:val="009C7BA3"/>
    <w:rsid w:val="009D1F5A"/>
    <w:rsid w:val="00A10294"/>
    <w:rsid w:val="00A74851"/>
    <w:rsid w:val="00A82C43"/>
    <w:rsid w:val="00AA22E3"/>
    <w:rsid w:val="00B003BF"/>
    <w:rsid w:val="00B373D7"/>
    <w:rsid w:val="00B376AC"/>
    <w:rsid w:val="00BD4846"/>
    <w:rsid w:val="00C36276"/>
    <w:rsid w:val="00C42586"/>
    <w:rsid w:val="00C507DC"/>
    <w:rsid w:val="00C60CCD"/>
    <w:rsid w:val="00C84483"/>
    <w:rsid w:val="00C901E2"/>
    <w:rsid w:val="00C95551"/>
    <w:rsid w:val="00CB20D7"/>
    <w:rsid w:val="00CF7A08"/>
    <w:rsid w:val="00D020B0"/>
    <w:rsid w:val="00D11748"/>
    <w:rsid w:val="00D3018F"/>
    <w:rsid w:val="00D366CF"/>
    <w:rsid w:val="00D70F05"/>
    <w:rsid w:val="00D87C25"/>
    <w:rsid w:val="00E108AA"/>
    <w:rsid w:val="00E326E2"/>
    <w:rsid w:val="00E32B88"/>
    <w:rsid w:val="00E3749A"/>
    <w:rsid w:val="00E7437F"/>
    <w:rsid w:val="00E865B8"/>
    <w:rsid w:val="00EB71ED"/>
    <w:rsid w:val="00EC0B9B"/>
    <w:rsid w:val="00ED5E9F"/>
    <w:rsid w:val="00EF5ACD"/>
    <w:rsid w:val="00F01AE9"/>
    <w:rsid w:val="00F40E63"/>
    <w:rsid w:val="00F603BA"/>
    <w:rsid w:val="00F66D4F"/>
    <w:rsid w:val="00FB6D01"/>
    <w:rsid w:val="00FE6C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A5AE8"/>
  <w15:chartTrackingRefBased/>
  <w15:docId w15:val="{C5BB1ECB-CB10-4B06-AF45-CD8E8F1A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18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D0823"/>
    <w:rPr>
      <w:color w:val="0563C1" w:themeColor="hyperlink"/>
      <w:u w:val="single"/>
    </w:rPr>
  </w:style>
  <w:style w:type="character" w:styleId="Ulstomtale">
    <w:name w:val="Unresolved Mention"/>
    <w:basedOn w:val="Standardskrifttypeiafsnit"/>
    <w:uiPriority w:val="99"/>
    <w:semiHidden/>
    <w:unhideWhenUsed/>
    <w:rsid w:val="006D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56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723536">
      <w:bodyDiv w:val="1"/>
      <w:marLeft w:val="0"/>
      <w:marRight w:val="0"/>
      <w:marTop w:val="0"/>
      <w:marBottom w:val="0"/>
      <w:divBdr>
        <w:top w:val="none" w:sz="0" w:space="0" w:color="auto"/>
        <w:left w:val="none" w:sz="0" w:space="0" w:color="auto"/>
        <w:bottom w:val="none" w:sz="0" w:space="0" w:color="auto"/>
        <w:right w:val="none" w:sz="0" w:space="0" w:color="auto"/>
      </w:divBdr>
    </w:div>
    <w:div w:id="206181650">
      <w:bodyDiv w:val="1"/>
      <w:marLeft w:val="0"/>
      <w:marRight w:val="0"/>
      <w:marTop w:val="0"/>
      <w:marBottom w:val="0"/>
      <w:divBdr>
        <w:top w:val="none" w:sz="0" w:space="0" w:color="auto"/>
        <w:left w:val="none" w:sz="0" w:space="0" w:color="auto"/>
        <w:bottom w:val="none" w:sz="0" w:space="0" w:color="auto"/>
        <w:right w:val="none" w:sz="0" w:space="0" w:color="auto"/>
      </w:divBdr>
    </w:div>
    <w:div w:id="222062630">
      <w:bodyDiv w:val="1"/>
      <w:marLeft w:val="0"/>
      <w:marRight w:val="0"/>
      <w:marTop w:val="0"/>
      <w:marBottom w:val="0"/>
      <w:divBdr>
        <w:top w:val="none" w:sz="0" w:space="0" w:color="auto"/>
        <w:left w:val="none" w:sz="0" w:space="0" w:color="auto"/>
        <w:bottom w:val="none" w:sz="0" w:space="0" w:color="auto"/>
        <w:right w:val="none" w:sz="0" w:space="0" w:color="auto"/>
      </w:divBdr>
    </w:div>
    <w:div w:id="336612241">
      <w:bodyDiv w:val="1"/>
      <w:marLeft w:val="0"/>
      <w:marRight w:val="0"/>
      <w:marTop w:val="0"/>
      <w:marBottom w:val="0"/>
      <w:divBdr>
        <w:top w:val="none" w:sz="0" w:space="0" w:color="auto"/>
        <w:left w:val="none" w:sz="0" w:space="0" w:color="auto"/>
        <w:bottom w:val="none" w:sz="0" w:space="0" w:color="auto"/>
        <w:right w:val="none" w:sz="0" w:space="0" w:color="auto"/>
      </w:divBdr>
    </w:div>
    <w:div w:id="345442515">
      <w:bodyDiv w:val="1"/>
      <w:marLeft w:val="0"/>
      <w:marRight w:val="0"/>
      <w:marTop w:val="0"/>
      <w:marBottom w:val="0"/>
      <w:divBdr>
        <w:top w:val="none" w:sz="0" w:space="0" w:color="auto"/>
        <w:left w:val="none" w:sz="0" w:space="0" w:color="auto"/>
        <w:bottom w:val="none" w:sz="0" w:space="0" w:color="auto"/>
        <w:right w:val="none" w:sz="0" w:space="0" w:color="auto"/>
      </w:divBdr>
    </w:div>
    <w:div w:id="446463348">
      <w:bodyDiv w:val="1"/>
      <w:marLeft w:val="0"/>
      <w:marRight w:val="0"/>
      <w:marTop w:val="0"/>
      <w:marBottom w:val="0"/>
      <w:divBdr>
        <w:top w:val="none" w:sz="0" w:space="0" w:color="auto"/>
        <w:left w:val="none" w:sz="0" w:space="0" w:color="auto"/>
        <w:bottom w:val="none" w:sz="0" w:space="0" w:color="auto"/>
        <w:right w:val="none" w:sz="0" w:space="0" w:color="auto"/>
      </w:divBdr>
    </w:div>
    <w:div w:id="546449092">
      <w:bodyDiv w:val="1"/>
      <w:marLeft w:val="0"/>
      <w:marRight w:val="0"/>
      <w:marTop w:val="0"/>
      <w:marBottom w:val="0"/>
      <w:divBdr>
        <w:top w:val="none" w:sz="0" w:space="0" w:color="auto"/>
        <w:left w:val="none" w:sz="0" w:space="0" w:color="auto"/>
        <w:bottom w:val="none" w:sz="0" w:space="0" w:color="auto"/>
        <w:right w:val="none" w:sz="0" w:space="0" w:color="auto"/>
      </w:divBdr>
    </w:div>
    <w:div w:id="557862851">
      <w:bodyDiv w:val="1"/>
      <w:marLeft w:val="0"/>
      <w:marRight w:val="0"/>
      <w:marTop w:val="0"/>
      <w:marBottom w:val="0"/>
      <w:divBdr>
        <w:top w:val="none" w:sz="0" w:space="0" w:color="auto"/>
        <w:left w:val="none" w:sz="0" w:space="0" w:color="auto"/>
        <w:bottom w:val="none" w:sz="0" w:space="0" w:color="auto"/>
        <w:right w:val="none" w:sz="0" w:space="0" w:color="auto"/>
      </w:divBdr>
    </w:div>
    <w:div w:id="584456254">
      <w:bodyDiv w:val="1"/>
      <w:marLeft w:val="0"/>
      <w:marRight w:val="0"/>
      <w:marTop w:val="0"/>
      <w:marBottom w:val="0"/>
      <w:divBdr>
        <w:top w:val="none" w:sz="0" w:space="0" w:color="auto"/>
        <w:left w:val="none" w:sz="0" w:space="0" w:color="auto"/>
        <w:bottom w:val="none" w:sz="0" w:space="0" w:color="auto"/>
        <w:right w:val="none" w:sz="0" w:space="0" w:color="auto"/>
      </w:divBdr>
    </w:div>
    <w:div w:id="598370725">
      <w:bodyDiv w:val="1"/>
      <w:marLeft w:val="0"/>
      <w:marRight w:val="0"/>
      <w:marTop w:val="0"/>
      <w:marBottom w:val="0"/>
      <w:divBdr>
        <w:top w:val="none" w:sz="0" w:space="0" w:color="auto"/>
        <w:left w:val="none" w:sz="0" w:space="0" w:color="auto"/>
        <w:bottom w:val="none" w:sz="0" w:space="0" w:color="auto"/>
        <w:right w:val="none" w:sz="0" w:space="0" w:color="auto"/>
      </w:divBdr>
    </w:div>
    <w:div w:id="621805649">
      <w:bodyDiv w:val="1"/>
      <w:marLeft w:val="0"/>
      <w:marRight w:val="0"/>
      <w:marTop w:val="0"/>
      <w:marBottom w:val="0"/>
      <w:divBdr>
        <w:top w:val="none" w:sz="0" w:space="0" w:color="auto"/>
        <w:left w:val="none" w:sz="0" w:space="0" w:color="auto"/>
        <w:bottom w:val="none" w:sz="0" w:space="0" w:color="auto"/>
        <w:right w:val="none" w:sz="0" w:space="0" w:color="auto"/>
      </w:divBdr>
    </w:div>
    <w:div w:id="625241292">
      <w:bodyDiv w:val="1"/>
      <w:marLeft w:val="0"/>
      <w:marRight w:val="0"/>
      <w:marTop w:val="0"/>
      <w:marBottom w:val="0"/>
      <w:divBdr>
        <w:top w:val="none" w:sz="0" w:space="0" w:color="auto"/>
        <w:left w:val="none" w:sz="0" w:space="0" w:color="auto"/>
        <w:bottom w:val="none" w:sz="0" w:space="0" w:color="auto"/>
        <w:right w:val="none" w:sz="0" w:space="0" w:color="auto"/>
      </w:divBdr>
    </w:div>
    <w:div w:id="728651041">
      <w:bodyDiv w:val="1"/>
      <w:marLeft w:val="0"/>
      <w:marRight w:val="0"/>
      <w:marTop w:val="0"/>
      <w:marBottom w:val="0"/>
      <w:divBdr>
        <w:top w:val="none" w:sz="0" w:space="0" w:color="auto"/>
        <w:left w:val="none" w:sz="0" w:space="0" w:color="auto"/>
        <w:bottom w:val="none" w:sz="0" w:space="0" w:color="auto"/>
        <w:right w:val="none" w:sz="0" w:space="0" w:color="auto"/>
      </w:divBdr>
    </w:div>
    <w:div w:id="851408183">
      <w:bodyDiv w:val="1"/>
      <w:marLeft w:val="0"/>
      <w:marRight w:val="0"/>
      <w:marTop w:val="0"/>
      <w:marBottom w:val="0"/>
      <w:divBdr>
        <w:top w:val="none" w:sz="0" w:space="0" w:color="auto"/>
        <w:left w:val="none" w:sz="0" w:space="0" w:color="auto"/>
        <w:bottom w:val="none" w:sz="0" w:space="0" w:color="auto"/>
        <w:right w:val="none" w:sz="0" w:space="0" w:color="auto"/>
      </w:divBdr>
    </w:div>
    <w:div w:id="868614596">
      <w:bodyDiv w:val="1"/>
      <w:marLeft w:val="0"/>
      <w:marRight w:val="0"/>
      <w:marTop w:val="0"/>
      <w:marBottom w:val="0"/>
      <w:divBdr>
        <w:top w:val="none" w:sz="0" w:space="0" w:color="auto"/>
        <w:left w:val="none" w:sz="0" w:space="0" w:color="auto"/>
        <w:bottom w:val="none" w:sz="0" w:space="0" w:color="auto"/>
        <w:right w:val="none" w:sz="0" w:space="0" w:color="auto"/>
      </w:divBdr>
    </w:div>
    <w:div w:id="976103591">
      <w:bodyDiv w:val="1"/>
      <w:marLeft w:val="0"/>
      <w:marRight w:val="0"/>
      <w:marTop w:val="0"/>
      <w:marBottom w:val="0"/>
      <w:divBdr>
        <w:top w:val="none" w:sz="0" w:space="0" w:color="auto"/>
        <w:left w:val="none" w:sz="0" w:space="0" w:color="auto"/>
        <w:bottom w:val="none" w:sz="0" w:space="0" w:color="auto"/>
        <w:right w:val="none" w:sz="0" w:space="0" w:color="auto"/>
      </w:divBdr>
    </w:div>
    <w:div w:id="1021932981">
      <w:bodyDiv w:val="1"/>
      <w:marLeft w:val="0"/>
      <w:marRight w:val="0"/>
      <w:marTop w:val="0"/>
      <w:marBottom w:val="0"/>
      <w:divBdr>
        <w:top w:val="none" w:sz="0" w:space="0" w:color="auto"/>
        <w:left w:val="none" w:sz="0" w:space="0" w:color="auto"/>
        <w:bottom w:val="none" w:sz="0" w:space="0" w:color="auto"/>
        <w:right w:val="none" w:sz="0" w:space="0" w:color="auto"/>
      </w:divBdr>
      <w:divsChild>
        <w:div w:id="1778987580">
          <w:marLeft w:val="0"/>
          <w:marRight w:val="0"/>
          <w:marTop w:val="0"/>
          <w:marBottom w:val="0"/>
          <w:divBdr>
            <w:top w:val="none" w:sz="0" w:space="0" w:color="auto"/>
            <w:left w:val="none" w:sz="0" w:space="0" w:color="auto"/>
            <w:bottom w:val="none" w:sz="0" w:space="0" w:color="auto"/>
            <w:right w:val="none" w:sz="0" w:space="0" w:color="auto"/>
          </w:divBdr>
          <w:divsChild>
            <w:div w:id="12554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4172">
      <w:bodyDiv w:val="1"/>
      <w:marLeft w:val="0"/>
      <w:marRight w:val="0"/>
      <w:marTop w:val="0"/>
      <w:marBottom w:val="0"/>
      <w:divBdr>
        <w:top w:val="none" w:sz="0" w:space="0" w:color="auto"/>
        <w:left w:val="none" w:sz="0" w:space="0" w:color="auto"/>
        <w:bottom w:val="none" w:sz="0" w:space="0" w:color="auto"/>
        <w:right w:val="none" w:sz="0" w:space="0" w:color="auto"/>
      </w:divBdr>
    </w:div>
    <w:div w:id="1061825352">
      <w:bodyDiv w:val="1"/>
      <w:marLeft w:val="0"/>
      <w:marRight w:val="0"/>
      <w:marTop w:val="0"/>
      <w:marBottom w:val="0"/>
      <w:divBdr>
        <w:top w:val="none" w:sz="0" w:space="0" w:color="auto"/>
        <w:left w:val="none" w:sz="0" w:space="0" w:color="auto"/>
        <w:bottom w:val="none" w:sz="0" w:space="0" w:color="auto"/>
        <w:right w:val="none" w:sz="0" w:space="0" w:color="auto"/>
      </w:divBdr>
    </w:div>
    <w:div w:id="1111314645">
      <w:bodyDiv w:val="1"/>
      <w:marLeft w:val="0"/>
      <w:marRight w:val="0"/>
      <w:marTop w:val="0"/>
      <w:marBottom w:val="0"/>
      <w:divBdr>
        <w:top w:val="none" w:sz="0" w:space="0" w:color="auto"/>
        <w:left w:val="none" w:sz="0" w:space="0" w:color="auto"/>
        <w:bottom w:val="none" w:sz="0" w:space="0" w:color="auto"/>
        <w:right w:val="none" w:sz="0" w:space="0" w:color="auto"/>
      </w:divBdr>
    </w:div>
    <w:div w:id="1200555758">
      <w:bodyDiv w:val="1"/>
      <w:marLeft w:val="0"/>
      <w:marRight w:val="0"/>
      <w:marTop w:val="0"/>
      <w:marBottom w:val="0"/>
      <w:divBdr>
        <w:top w:val="none" w:sz="0" w:space="0" w:color="auto"/>
        <w:left w:val="none" w:sz="0" w:space="0" w:color="auto"/>
        <w:bottom w:val="none" w:sz="0" w:space="0" w:color="auto"/>
        <w:right w:val="none" w:sz="0" w:space="0" w:color="auto"/>
      </w:divBdr>
    </w:div>
    <w:div w:id="1316563731">
      <w:bodyDiv w:val="1"/>
      <w:marLeft w:val="0"/>
      <w:marRight w:val="0"/>
      <w:marTop w:val="0"/>
      <w:marBottom w:val="0"/>
      <w:divBdr>
        <w:top w:val="none" w:sz="0" w:space="0" w:color="auto"/>
        <w:left w:val="none" w:sz="0" w:space="0" w:color="auto"/>
        <w:bottom w:val="none" w:sz="0" w:space="0" w:color="auto"/>
        <w:right w:val="none" w:sz="0" w:space="0" w:color="auto"/>
      </w:divBdr>
    </w:div>
    <w:div w:id="1331131987">
      <w:bodyDiv w:val="1"/>
      <w:marLeft w:val="0"/>
      <w:marRight w:val="0"/>
      <w:marTop w:val="0"/>
      <w:marBottom w:val="0"/>
      <w:divBdr>
        <w:top w:val="none" w:sz="0" w:space="0" w:color="auto"/>
        <w:left w:val="none" w:sz="0" w:space="0" w:color="auto"/>
        <w:bottom w:val="none" w:sz="0" w:space="0" w:color="auto"/>
        <w:right w:val="none" w:sz="0" w:space="0" w:color="auto"/>
      </w:divBdr>
    </w:div>
    <w:div w:id="1441100267">
      <w:bodyDiv w:val="1"/>
      <w:marLeft w:val="0"/>
      <w:marRight w:val="0"/>
      <w:marTop w:val="0"/>
      <w:marBottom w:val="0"/>
      <w:divBdr>
        <w:top w:val="none" w:sz="0" w:space="0" w:color="auto"/>
        <w:left w:val="none" w:sz="0" w:space="0" w:color="auto"/>
        <w:bottom w:val="none" w:sz="0" w:space="0" w:color="auto"/>
        <w:right w:val="none" w:sz="0" w:space="0" w:color="auto"/>
      </w:divBdr>
    </w:div>
    <w:div w:id="1472746601">
      <w:bodyDiv w:val="1"/>
      <w:marLeft w:val="0"/>
      <w:marRight w:val="0"/>
      <w:marTop w:val="0"/>
      <w:marBottom w:val="0"/>
      <w:divBdr>
        <w:top w:val="none" w:sz="0" w:space="0" w:color="auto"/>
        <w:left w:val="none" w:sz="0" w:space="0" w:color="auto"/>
        <w:bottom w:val="none" w:sz="0" w:space="0" w:color="auto"/>
        <w:right w:val="none" w:sz="0" w:space="0" w:color="auto"/>
      </w:divBdr>
    </w:div>
    <w:div w:id="1506358387">
      <w:bodyDiv w:val="1"/>
      <w:marLeft w:val="0"/>
      <w:marRight w:val="0"/>
      <w:marTop w:val="0"/>
      <w:marBottom w:val="0"/>
      <w:divBdr>
        <w:top w:val="none" w:sz="0" w:space="0" w:color="auto"/>
        <w:left w:val="none" w:sz="0" w:space="0" w:color="auto"/>
        <w:bottom w:val="none" w:sz="0" w:space="0" w:color="auto"/>
        <w:right w:val="none" w:sz="0" w:space="0" w:color="auto"/>
      </w:divBdr>
    </w:div>
    <w:div w:id="1579556057">
      <w:bodyDiv w:val="1"/>
      <w:marLeft w:val="0"/>
      <w:marRight w:val="0"/>
      <w:marTop w:val="0"/>
      <w:marBottom w:val="0"/>
      <w:divBdr>
        <w:top w:val="none" w:sz="0" w:space="0" w:color="auto"/>
        <w:left w:val="none" w:sz="0" w:space="0" w:color="auto"/>
        <w:bottom w:val="none" w:sz="0" w:space="0" w:color="auto"/>
        <w:right w:val="none" w:sz="0" w:space="0" w:color="auto"/>
      </w:divBdr>
    </w:div>
    <w:div w:id="1585264292">
      <w:bodyDiv w:val="1"/>
      <w:marLeft w:val="0"/>
      <w:marRight w:val="0"/>
      <w:marTop w:val="0"/>
      <w:marBottom w:val="0"/>
      <w:divBdr>
        <w:top w:val="none" w:sz="0" w:space="0" w:color="auto"/>
        <w:left w:val="none" w:sz="0" w:space="0" w:color="auto"/>
        <w:bottom w:val="none" w:sz="0" w:space="0" w:color="auto"/>
        <w:right w:val="none" w:sz="0" w:space="0" w:color="auto"/>
      </w:divBdr>
    </w:div>
    <w:div w:id="1595749742">
      <w:bodyDiv w:val="1"/>
      <w:marLeft w:val="0"/>
      <w:marRight w:val="0"/>
      <w:marTop w:val="0"/>
      <w:marBottom w:val="0"/>
      <w:divBdr>
        <w:top w:val="none" w:sz="0" w:space="0" w:color="auto"/>
        <w:left w:val="none" w:sz="0" w:space="0" w:color="auto"/>
        <w:bottom w:val="none" w:sz="0" w:space="0" w:color="auto"/>
        <w:right w:val="none" w:sz="0" w:space="0" w:color="auto"/>
      </w:divBdr>
    </w:div>
    <w:div w:id="1617828112">
      <w:bodyDiv w:val="1"/>
      <w:marLeft w:val="0"/>
      <w:marRight w:val="0"/>
      <w:marTop w:val="0"/>
      <w:marBottom w:val="0"/>
      <w:divBdr>
        <w:top w:val="none" w:sz="0" w:space="0" w:color="auto"/>
        <w:left w:val="none" w:sz="0" w:space="0" w:color="auto"/>
        <w:bottom w:val="none" w:sz="0" w:space="0" w:color="auto"/>
        <w:right w:val="none" w:sz="0" w:space="0" w:color="auto"/>
      </w:divBdr>
    </w:div>
    <w:div w:id="1633246946">
      <w:bodyDiv w:val="1"/>
      <w:marLeft w:val="0"/>
      <w:marRight w:val="0"/>
      <w:marTop w:val="0"/>
      <w:marBottom w:val="0"/>
      <w:divBdr>
        <w:top w:val="none" w:sz="0" w:space="0" w:color="auto"/>
        <w:left w:val="none" w:sz="0" w:space="0" w:color="auto"/>
        <w:bottom w:val="none" w:sz="0" w:space="0" w:color="auto"/>
        <w:right w:val="none" w:sz="0" w:space="0" w:color="auto"/>
      </w:divBdr>
    </w:div>
    <w:div w:id="1665621663">
      <w:bodyDiv w:val="1"/>
      <w:marLeft w:val="0"/>
      <w:marRight w:val="0"/>
      <w:marTop w:val="0"/>
      <w:marBottom w:val="0"/>
      <w:divBdr>
        <w:top w:val="none" w:sz="0" w:space="0" w:color="auto"/>
        <w:left w:val="none" w:sz="0" w:space="0" w:color="auto"/>
        <w:bottom w:val="none" w:sz="0" w:space="0" w:color="auto"/>
        <w:right w:val="none" w:sz="0" w:space="0" w:color="auto"/>
      </w:divBdr>
    </w:div>
    <w:div w:id="1678117102">
      <w:bodyDiv w:val="1"/>
      <w:marLeft w:val="0"/>
      <w:marRight w:val="0"/>
      <w:marTop w:val="0"/>
      <w:marBottom w:val="0"/>
      <w:divBdr>
        <w:top w:val="none" w:sz="0" w:space="0" w:color="auto"/>
        <w:left w:val="none" w:sz="0" w:space="0" w:color="auto"/>
        <w:bottom w:val="none" w:sz="0" w:space="0" w:color="auto"/>
        <w:right w:val="none" w:sz="0" w:space="0" w:color="auto"/>
      </w:divBdr>
    </w:div>
    <w:div w:id="1681422998">
      <w:bodyDiv w:val="1"/>
      <w:marLeft w:val="0"/>
      <w:marRight w:val="0"/>
      <w:marTop w:val="0"/>
      <w:marBottom w:val="0"/>
      <w:divBdr>
        <w:top w:val="none" w:sz="0" w:space="0" w:color="auto"/>
        <w:left w:val="none" w:sz="0" w:space="0" w:color="auto"/>
        <w:bottom w:val="none" w:sz="0" w:space="0" w:color="auto"/>
        <w:right w:val="none" w:sz="0" w:space="0" w:color="auto"/>
      </w:divBdr>
    </w:div>
    <w:div w:id="1742098277">
      <w:bodyDiv w:val="1"/>
      <w:marLeft w:val="0"/>
      <w:marRight w:val="0"/>
      <w:marTop w:val="0"/>
      <w:marBottom w:val="0"/>
      <w:divBdr>
        <w:top w:val="none" w:sz="0" w:space="0" w:color="auto"/>
        <w:left w:val="none" w:sz="0" w:space="0" w:color="auto"/>
        <w:bottom w:val="none" w:sz="0" w:space="0" w:color="auto"/>
        <w:right w:val="none" w:sz="0" w:space="0" w:color="auto"/>
      </w:divBdr>
    </w:div>
    <w:div w:id="1838812861">
      <w:bodyDiv w:val="1"/>
      <w:marLeft w:val="0"/>
      <w:marRight w:val="0"/>
      <w:marTop w:val="0"/>
      <w:marBottom w:val="0"/>
      <w:divBdr>
        <w:top w:val="none" w:sz="0" w:space="0" w:color="auto"/>
        <w:left w:val="none" w:sz="0" w:space="0" w:color="auto"/>
        <w:bottom w:val="none" w:sz="0" w:space="0" w:color="auto"/>
        <w:right w:val="none" w:sz="0" w:space="0" w:color="auto"/>
      </w:divBdr>
    </w:div>
    <w:div w:id="1873108512">
      <w:bodyDiv w:val="1"/>
      <w:marLeft w:val="0"/>
      <w:marRight w:val="0"/>
      <w:marTop w:val="0"/>
      <w:marBottom w:val="0"/>
      <w:divBdr>
        <w:top w:val="none" w:sz="0" w:space="0" w:color="auto"/>
        <w:left w:val="none" w:sz="0" w:space="0" w:color="auto"/>
        <w:bottom w:val="none" w:sz="0" w:space="0" w:color="auto"/>
        <w:right w:val="none" w:sz="0" w:space="0" w:color="auto"/>
      </w:divBdr>
    </w:div>
    <w:div w:id="1877887740">
      <w:bodyDiv w:val="1"/>
      <w:marLeft w:val="0"/>
      <w:marRight w:val="0"/>
      <w:marTop w:val="0"/>
      <w:marBottom w:val="0"/>
      <w:divBdr>
        <w:top w:val="none" w:sz="0" w:space="0" w:color="auto"/>
        <w:left w:val="none" w:sz="0" w:space="0" w:color="auto"/>
        <w:bottom w:val="none" w:sz="0" w:space="0" w:color="auto"/>
        <w:right w:val="none" w:sz="0" w:space="0" w:color="auto"/>
      </w:divBdr>
    </w:div>
    <w:div w:id="1892039617">
      <w:bodyDiv w:val="1"/>
      <w:marLeft w:val="0"/>
      <w:marRight w:val="0"/>
      <w:marTop w:val="0"/>
      <w:marBottom w:val="0"/>
      <w:divBdr>
        <w:top w:val="none" w:sz="0" w:space="0" w:color="auto"/>
        <w:left w:val="none" w:sz="0" w:space="0" w:color="auto"/>
        <w:bottom w:val="none" w:sz="0" w:space="0" w:color="auto"/>
        <w:right w:val="none" w:sz="0" w:space="0" w:color="auto"/>
      </w:divBdr>
    </w:div>
    <w:div w:id="1948997492">
      <w:bodyDiv w:val="1"/>
      <w:marLeft w:val="0"/>
      <w:marRight w:val="0"/>
      <w:marTop w:val="0"/>
      <w:marBottom w:val="0"/>
      <w:divBdr>
        <w:top w:val="none" w:sz="0" w:space="0" w:color="auto"/>
        <w:left w:val="none" w:sz="0" w:space="0" w:color="auto"/>
        <w:bottom w:val="none" w:sz="0" w:space="0" w:color="auto"/>
        <w:right w:val="none" w:sz="0" w:space="0" w:color="auto"/>
      </w:divBdr>
    </w:div>
    <w:div w:id="1954289012">
      <w:bodyDiv w:val="1"/>
      <w:marLeft w:val="0"/>
      <w:marRight w:val="0"/>
      <w:marTop w:val="0"/>
      <w:marBottom w:val="0"/>
      <w:divBdr>
        <w:top w:val="none" w:sz="0" w:space="0" w:color="auto"/>
        <w:left w:val="none" w:sz="0" w:space="0" w:color="auto"/>
        <w:bottom w:val="none" w:sz="0" w:space="0" w:color="auto"/>
        <w:right w:val="none" w:sz="0" w:space="0" w:color="auto"/>
      </w:divBdr>
      <w:divsChild>
        <w:div w:id="2048216449">
          <w:marLeft w:val="0"/>
          <w:marRight w:val="0"/>
          <w:marTop w:val="0"/>
          <w:marBottom w:val="0"/>
          <w:divBdr>
            <w:top w:val="none" w:sz="0" w:space="0" w:color="auto"/>
            <w:left w:val="none" w:sz="0" w:space="0" w:color="auto"/>
            <w:bottom w:val="none" w:sz="0" w:space="0" w:color="auto"/>
            <w:right w:val="none" w:sz="0" w:space="0" w:color="auto"/>
          </w:divBdr>
          <w:divsChild>
            <w:div w:id="2161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2023">
      <w:bodyDiv w:val="1"/>
      <w:marLeft w:val="0"/>
      <w:marRight w:val="0"/>
      <w:marTop w:val="0"/>
      <w:marBottom w:val="0"/>
      <w:divBdr>
        <w:top w:val="none" w:sz="0" w:space="0" w:color="auto"/>
        <w:left w:val="none" w:sz="0" w:space="0" w:color="auto"/>
        <w:bottom w:val="none" w:sz="0" w:space="0" w:color="auto"/>
        <w:right w:val="none" w:sz="0" w:space="0" w:color="auto"/>
      </w:divBdr>
    </w:div>
    <w:div w:id="2005934319">
      <w:bodyDiv w:val="1"/>
      <w:marLeft w:val="0"/>
      <w:marRight w:val="0"/>
      <w:marTop w:val="0"/>
      <w:marBottom w:val="0"/>
      <w:divBdr>
        <w:top w:val="none" w:sz="0" w:space="0" w:color="auto"/>
        <w:left w:val="none" w:sz="0" w:space="0" w:color="auto"/>
        <w:bottom w:val="none" w:sz="0" w:space="0" w:color="auto"/>
        <w:right w:val="none" w:sz="0" w:space="0" w:color="auto"/>
      </w:divBdr>
    </w:div>
    <w:div w:id="20903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40265.74D89350"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4746</Words>
  <Characters>30412</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2024111313 _x000d_
SPC pkt. 3, 4.1, 4.2, 5,1, 6.5, 6.6</dc:description>
  <cp:lastModifiedBy>Iman El Kadiri</cp:lastModifiedBy>
  <cp:revision>4</cp:revision>
  <cp:lastPrinted>2012-08-22T08:53:00Z</cp:lastPrinted>
  <dcterms:created xsi:type="dcterms:W3CDTF">2025-02-06T11:05:00Z</dcterms:created>
  <dcterms:modified xsi:type="dcterms:W3CDTF">2025-02-12T13:49:00Z</dcterms:modified>
</cp:coreProperties>
</file>