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89D83"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7745ECDC" wp14:editId="509CADA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2EF7D76" w14:textId="77777777" w:rsidR="009260DE" w:rsidRPr="00C84483" w:rsidRDefault="009260DE" w:rsidP="009260DE">
      <w:pPr>
        <w:pStyle w:val="Titel"/>
        <w:tabs>
          <w:tab w:val="right" w:pos="9356"/>
        </w:tabs>
        <w:jc w:val="left"/>
        <w:rPr>
          <w:b w:val="0"/>
          <w:szCs w:val="24"/>
          <w:lang w:eastAsia="en-US"/>
        </w:rPr>
      </w:pPr>
    </w:p>
    <w:p w14:paraId="78ACEDA8" w14:textId="3E9CCC16" w:rsidR="009260DE" w:rsidRPr="0049365B" w:rsidRDefault="009260DE" w:rsidP="009260DE">
      <w:pPr>
        <w:pStyle w:val="Titel"/>
        <w:tabs>
          <w:tab w:val="right" w:pos="9356"/>
        </w:tabs>
        <w:jc w:val="left"/>
        <w:rPr>
          <w:b w:val="0"/>
          <w:szCs w:val="24"/>
          <w:lang w:eastAsia="en-US"/>
        </w:rPr>
      </w:pPr>
      <w:r w:rsidRPr="00C84483">
        <w:rPr>
          <w:b w:val="0"/>
          <w:szCs w:val="24"/>
          <w:lang w:eastAsia="en-US"/>
        </w:rPr>
        <w:tab/>
      </w:r>
      <w:r w:rsidR="004656E0">
        <w:rPr>
          <w:szCs w:val="24"/>
        </w:rPr>
        <w:t>4. oktober 2023</w:t>
      </w:r>
    </w:p>
    <w:p w14:paraId="60419EE4" w14:textId="77777777" w:rsidR="009260DE" w:rsidRPr="0049365B" w:rsidRDefault="009260DE" w:rsidP="009260DE">
      <w:pPr>
        <w:pStyle w:val="Titel"/>
        <w:jc w:val="left"/>
        <w:rPr>
          <w:b w:val="0"/>
          <w:szCs w:val="24"/>
        </w:rPr>
      </w:pPr>
    </w:p>
    <w:p w14:paraId="5079712F" w14:textId="77777777" w:rsidR="009260DE" w:rsidRPr="0049365B" w:rsidRDefault="009260DE" w:rsidP="009260DE">
      <w:pPr>
        <w:pStyle w:val="Titel"/>
        <w:jc w:val="left"/>
        <w:rPr>
          <w:b w:val="0"/>
          <w:szCs w:val="24"/>
        </w:rPr>
      </w:pPr>
    </w:p>
    <w:p w14:paraId="5DF8088A" w14:textId="77777777" w:rsidR="009260DE" w:rsidRPr="00D42782" w:rsidRDefault="009260DE" w:rsidP="009260DE">
      <w:pPr>
        <w:jc w:val="center"/>
        <w:rPr>
          <w:b/>
          <w:sz w:val="24"/>
          <w:szCs w:val="24"/>
        </w:rPr>
      </w:pPr>
      <w:r w:rsidRPr="00D42782">
        <w:rPr>
          <w:b/>
          <w:sz w:val="24"/>
          <w:szCs w:val="24"/>
        </w:rPr>
        <w:t>PRODUKTRESUMÉ</w:t>
      </w:r>
    </w:p>
    <w:p w14:paraId="0F6C88A0" w14:textId="77777777" w:rsidR="009260DE" w:rsidRPr="00D42782" w:rsidRDefault="009260DE" w:rsidP="009260DE">
      <w:pPr>
        <w:jc w:val="center"/>
        <w:rPr>
          <w:b/>
          <w:sz w:val="24"/>
          <w:szCs w:val="24"/>
        </w:rPr>
      </w:pPr>
    </w:p>
    <w:p w14:paraId="51C22A94" w14:textId="77777777" w:rsidR="009260DE" w:rsidRPr="00D42782" w:rsidRDefault="009260DE" w:rsidP="009260DE">
      <w:pPr>
        <w:jc w:val="center"/>
        <w:rPr>
          <w:b/>
          <w:sz w:val="24"/>
          <w:szCs w:val="24"/>
        </w:rPr>
      </w:pPr>
      <w:r w:rsidRPr="00D42782">
        <w:rPr>
          <w:b/>
          <w:sz w:val="24"/>
          <w:szCs w:val="24"/>
        </w:rPr>
        <w:t>for</w:t>
      </w:r>
    </w:p>
    <w:p w14:paraId="20E86268" w14:textId="77777777" w:rsidR="000B058C" w:rsidRPr="00D42782" w:rsidRDefault="000B058C" w:rsidP="009260DE">
      <w:pPr>
        <w:jc w:val="center"/>
        <w:rPr>
          <w:b/>
          <w:sz w:val="24"/>
          <w:szCs w:val="24"/>
        </w:rPr>
      </w:pPr>
    </w:p>
    <w:p w14:paraId="0E14062D" w14:textId="77777777" w:rsidR="009260DE" w:rsidRPr="003D22D2" w:rsidRDefault="003D22D2" w:rsidP="009260DE">
      <w:pPr>
        <w:jc w:val="center"/>
        <w:rPr>
          <w:b/>
          <w:sz w:val="24"/>
          <w:szCs w:val="24"/>
        </w:rPr>
      </w:pPr>
      <w:proofErr w:type="spellStart"/>
      <w:r w:rsidRPr="003D22D2">
        <w:rPr>
          <w:b/>
          <w:sz w:val="24"/>
          <w:szCs w:val="24"/>
        </w:rPr>
        <w:t>Peditrace</w:t>
      </w:r>
      <w:proofErr w:type="spellEnd"/>
      <w:r w:rsidRPr="003D22D2">
        <w:rPr>
          <w:b/>
          <w:sz w:val="24"/>
          <w:szCs w:val="24"/>
        </w:rPr>
        <w:t xml:space="preserve"> </w:t>
      </w:r>
      <w:proofErr w:type="spellStart"/>
      <w:r w:rsidRPr="003D22D2">
        <w:rPr>
          <w:b/>
          <w:sz w:val="24"/>
          <w:szCs w:val="24"/>
        </w:rPr>
        <w:t>Novum</w:t>
      </w:r>
      <w:proofErr w:type="spellEnd"/>
      <w:r w:rsidRPr="003D22D2">
        <w:rPr>
          <w:b/>
          <w:sz w:val="24"/>
          <w:szCs w:val="24"/>
        </w:rPr>
        <w:t>, koncentrat til infusionsvæske,</w:t>
      </w:r>
      <w:r>
        <w:rPr>
          <w:b/>
          <w:sz w:val="24"/>
          <w:szCs w:val="24"/>
        </w:rPr>
        <w:t xml:space="preserve"> opløsning</w:t>
      </w:r>
    </w:p>
    <w:p w14:paraId="313DB062" w14:textId="77777777" w:rsidR="009260DE" w:rsidRPr="003D22D2" w:rsidRDefault="009260DE" w:rsidP="009260DE">
      <w:pPr>
        <w:jc w:val="both"/>
        <w:rPr>
          <w:sz w:val="24"/>
          <w:szCs w:val="24"/>
        </w:rPr>
      </w:pPr>
    </w:p>
    <w:p w14:paraId="26A476BF" w14:textId="77777777" w:rsidR="009260DE" w:rsidRPr="003D22D2" w:rsidRDefault="009260DE" w:rsidP="009260DE">
      <w:pPr>
        <w:jc w:val="both"/>
        <w:rPr>
          <w:sz w:val="24"/>
          <w:szCs w:val="24"/>
        </w:rPr>
      </w:pPr>
    </w:p>
    <w:p w14:paraId="0E6C3A62" w14:textId="77777777" w:rsidR="009260DE" w:rsidRPr="00D42782" w:rsidRDefault="009260DE" w:rsidP="009260DE">
      <w:pPr>
        <w:tabs>
          <w:tab w:val="left" w:pos="851"/>
        </w:tabs>
        <w:ind w:left="851" w:hanging="851"/>
        <w:rPr>
          <w:b/>
          <w:sz w:val="24"/>
          <w:szCs w:val="24"/>
        </w:rPr>
      </w:pPr>
      <w:r w:rsidRPr="00D42782">
        <w:rPr>
          <w:b/>
          <w:sz w:val="24"/>
          <w:szCs w:val="24"/>
        </w:rPr>
        <w:t>0.</w:t>
      </w:r>
      <w:r w:rsidRPr="00D42782">
        <w:rPr>
          <w:b/>
          <w:sz w:val="24"/>
          <w:szCs w:val="24"/>
        </w:rPr>
        <w:tab/>
        <w:t>D.SP.NR.</w:t>
      </w:r>
    </w:p>
    <w:p w14:paraId="69086F88" w14:textId="18F6D06E" w:rsidR="009260DE" w:rsidRPr="00C84483" w:rsidRDefault="00CE014C" w:rsidP="009260DE">
      <w:pPr>
        <w:tabs>
          <w:tab w:val="left" w:pos="851"/>
        </w:tabs>
        <w:ind w:left="851"/>
        <w:rPr>
          <w:sz w:val="24"/>
          <w:szCs w:val="24"/>
        </w:rPr>
      </w:pPr>
      <w:r>
        <w:rPr>
          <w:sz w:val="24"/>
          <w:szCs w:val="24"/>
        </w:rPr>
        <w:t>32807</w:t>
      </w:r>
    </w:p>
    <w:p w14:paraId="03AB9B83" w14:textId="77777777" w:rsidR="009260DE" w:rsidRPr="00C84483" w:rsidRDefault="009260DE" w:rsidP="009260DE">
      <w:pPr>
        <w:tabs>
          <w:tab w:val="left" w:pos="851"/>
        </w:tabs>
        <w:ind w:left="851"/>
        <w:rPr>
          <w:sz w:val="24"/>
          <w:szCs w:val="24"/>
        </w:rPr>
      </w:pPr>
    </w:p>
    <w:p w14:paraId="6979A1AA"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7A3BF5FC" w14:textId="60070A7C" w:rsidR="009260DE" w:rsidRPr="00C84483" w:rsidRDefault="00CE014C" w:rsidP="009260DE">
      <w:pPr>
        <w:tabs>
          <w:tab w:val="left" w:pos="851"/>
        </w:tabs>
        <w:ind w:left="851"/>
        <w:rPr>
          <w:sz w:val="24"/>
          <w:szCs w:val="24"/>
        </w:rPr>
      </w:pPr>
      <w:proofErr w:type="spellStart"/>
      <w:r>
        <w:rPr>
          <w:sz w:val="24"/>
          <w:szCs w:val="24"/>
        </w:rPr>
        <w:t>Peditrace</w:t>
      </w:r>
      <w:proofErr w:type="spellEnd"/>
      <w:r>
        <w:rPr>
          <w:sz w:val="24"/>
          <w:szCs w:val="24"/>
        </w:rPr>
        <w:t xml:space="preserve"> </w:t>
      </w:r>
      <w:proofErr w:type="spellStart"/>
      <w:r>
        <w:rPr>
          <w:sz w:val="24"/>
          <w:szCs w:val="24"/>
        </w:rPr>
        <w:t>Novum</w:t>
      </w:r>
      <w:proofErr w:type="spellEnd"/>
    </w:p>
    <w:p w14:paraId="6958AEB8" w14:textId="77777777" w:rsidR="009260DE" w:rsidRPr="00C84483" w:rsidRDefault="009260DE" w:rsidP="009260DE">
      <w:pPr>
        <w:tabs>
          <w:tab w:val="left" w:pos="851"/>
        </w:tabs>
        <w:ind w:left="851"/>
        <w:rPr>
          <w:sz w:val="24"/>
          <w:szCs w:val="24"/>
        </w:rPr>
      </w:pPr>
    </w:p>
    <w:p w14:paraId="0A33B186"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524239CC" w14:textId="77777777" w:rsidR="00753B44" w:rsidRPr="00753B44" w:rsidRDefault="00753B44" w:rsidP="00753B44">
      <w:pPr>
        <w:tabs>
          <w:tab w:val="left" w:pos="851"/>
        </w:tabs>
        <w:ind w:left="851"/>
        <w:rPr>
          <w:sz w:val="24"/>
          <w:szCs w:val="24"/>
        </w:rPr>
      </w:pPr>
      <w:proofErr w:type="spellStart"/>
      <w:r w:rsidRPr="00753B44">
        <w:rPr>
          <w:sz w:val="24"/>
          <w:szCs w:val="24"/>
        </w:rPr>
        <w:t>Peditrace</w:t>
      </w:r>
      <w:proofErr w:type="spellEnd"/>
      <w:r w:rsidRPr="00753B44">
        <w:rPr>
          <w:sz w:val="24"/>
          <w:szCs w:val="24"/>
        </w:rPr>
        <w:t xml:space="preserve"> </w:t>
      </w:r>
      <w:proofErr w:type="spellStart"/>
      <w:r w:rsidRPr="00753B44">
        <w:rPr>
          <w:sz w:val="24"/>
          <w:szCs w:val="24"/>
        </w:rPr>
        <w:t>Novums</w:t>
      </w:r>
      <w:proofErr w:type="spellEnd"/>
      <w:r w:rsidRPr="00753B44">
        <w:rPr>
          <w:sz w:val="24"/>
          <w:szCs w:val="24"/>
        </w:rPr>
        <w:t xml:space="preserve"> kvantitative sammensætning af sporstoffer salte pr. ml og pr. 10 ml ampul:  </w:t>
      </w:r>
    </w:p>
    <w:p w14:paraId="51B01FC0" w14:textId="77777777" w:rsidR="00753B44" w:rsidRPr="00753B44" w:rsidRDefault="00753B44" w:rsidP="00753B44">
      <w:pPr>
        <w:tabs>
          <w:tab w:val="left" w:pos="851"/>
        </w:tabs>
        <w:ind w:left="851"/>
        <w:rPr>
          <w:sz w:val="24"/>
          <w:szCs w:val="24"/>
        </w:rPr>
      </w:pPr>
    </w:p>
    <w:tbl>
      <w:tblPr>
        <w:tblpPr w:leftFromText="180" w:rightFromText="180" w:bottomFromText="200" w:vertAnchor="text" w:tblpX="846" w:tblpY="131"/>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3"/>
        <w:gridCol w:w="1979"/>
        <w:gridCol w:w="2268"/>
      </w:tblGrid>
      <w:tr w:rsidR="00753B44" w:rsidRPr="00753B44" w14:paraId="24366421" w14:textId="77777777" w:rsidTr="00753B44">
        <w:trPr>
          <w:trHeight w:val="416"/>
        </w:trPr>
        <w:tc>
          <w:tcPr>
            <w:tcW w:w="3403" w:type="dxa"/>
            <w:tcBorders>
              <w:top w:val="single" w:sz="4" w:space="0" w:color="auto"/>
              <w:left w:val="single" w:sz="4" w:space="0" w:color="auto"/>
              <w:bottom w:val="single" w:sz="4" w:space="0" w:color="auto"/>
              <w:right w:val="single" w:sz="4" w:space="0" w:color="auto"/>
            </w:tcBorders>
            <w:hideMark/>
          </w:tcPr>
          <w:p w14:paraId="6CBEDE04" w14:textId="77777777" w:rsidR="00753B44" w:rsidRPr="00753B44" w:rsidRDefault="00753B44" w:rsidP="00753B44">
            <w:pPr>
              <w:ind w:left="204"/>
              <w:rPr>
                <w:b/>
                <w:bCs/>
                <w:sz w:val="24"/>
                <w:szCs w:val="24"/>
                <w:lang w:val="en-GB"/>
              </w:rPr>
            </w:pPr>
            <w:proofErr w:type="spellStart"/>
            <w:r w:rsidRPr="00753B44">
              <w:rPr>
                <w:b/>
                <w:bCs/>
                <w:sz w:val="24"/>
                <w:szCs w:val="24"/>
                <w:lang w:val="en-GB"/>
              </w:rPr>
              <w:t>Peditrace</w:t>
            </w:r>
            <w:proofErr w:type="spellEnd"/>
            <w:r w:rsidRPr="00753B44">
              <w:rPr>
                <w:b/>
                <w:bCs/>
                <w:sz w:val="24"/>
                <w:szCs w:val="24"/>
                <w:lang w:val="en-GB"/>
              </w:rPr>
              <w:t xml:space="preserve"> Novum</w:t>
            </w:r>
          </w:p>
        </w:tc>
        <w:tc>
          <w:tcPr>
            <w:tcW w:w="1979" w:type="dxa"/>
            <w:tcBorders>
              <w:top w:val="single" w:sz="4" w:space="0" w:color="auto"/>
              <w:left w:val="single" w:sz="4" w:space="0" w:color="auto"/>
              <w:bottom w:val="single" w:sz="4" w:space="0" w:color="auto"/>
              <w:right w:val="single" w:sz="4" w:space="0" w:color="auto"/>
            </w:tcBorders>
            <w:hideMark/>
          </w:tcPr>
          <w:p w14:paraId="7158346A" w14:textId="77777777" w:rsidR="00753B44" w:rsidRPr="00753B44" w:rsidRDefault="00753B44" w:rsidP="00FE5849">
            <w:pPr>
              <w:ind w:left="64"/>
              <w:rPr>
                <w:sz w:val="24"/>
                <w:szCs w:val="24"/>
                <w:lang w:val="en-GB"/>
              </w:rPr>
            </w:pPr>
            <w:r w:rsidRPr="00753B44">
              <w:rPr>
                <w:sz w:val="24"/>
                <w:szCs w:val="24"/>
                <w:lang w:val="en-GB"/>
              </w:rPr>
              <w:t>1 ml</w:t>
            </w:r>
          </w:p>
        </w:tc>
        <w:tc>
          <w:tcPr>
            <w:tcW w:w="2268" w:type="dxa"/>
            <w:tcBorders>
              <w:top w:val="single" w:sz="4" w:space="0" w:color="auto"/>
              <w:left w:val="single" w:sz="4" w:space="0" w:color="auto"/>
              <w:bottom w:val="single" w:sz="4" w:space="0" w:color="auto"/>
              <w:right w:val="single" w:sz="4" w:space="0" w:color="auto"/>
            </w:tcBorders>
            <w:hideMark/>
          </w:tcPr>
          <w:p w14:paraId="5FDFB52D" w14:textId="77777777" w:rsidR="00753B44" w:rsidRPr="00753B44" w:rsidRDefault="00753B44" w:rsidP="00FE5849">
            <w:pPr>
              <w:ind w:left="69"/>
              <w:rPr>
                <w:sz w:val="24"/>
                <w:szCs w:val="24"/>
                <w:lang w:val="en-GB"/>
              </w:rPr>
            </w:pPr>
            <w:r w:rsidRPr="00753B44">
              <w:rPr>
                <w:sz w:val="24"/>
                <w:szCs w:val="24"/>
                <w:lang w:val="en-GB"/>
              </w:rPr>
              <w:t xml:space="preserve">1 </w:t>
            </w:r>
            <w:proofErr w:type="spellStart"/>
            <w:r w:rsidRPr="00753B44">
              <w:rPr>
                <w:sz w:val="24"/>
                <w:szCs w:val="24"/>
                <w:lang w:val="en-GB"/>
              </w:rPr>
              <w:t>ampul</w:t>
            </w:r>
            <w:proofErr w:type="spellEnd"/>
            <w:r w:rsidRPr="00753B44">
              <w:rPr>
                <w:sz w:val="24"/>
                <w:szCs w:val="24"/>
                <w:lang w:val="en-GB"/>
              </w:rPr>
              <w:t xml:space="preserve"> (10 ml)</w:t>
            </w:r>
          </w:p>
        </w:tc>
      </w:tr>
      <w:tr w:rsidR="00753B44" w:rsidRPr="00753B44" w14:paraId="145042C3" w14:textId="77777777" w:rsidTr="00753B44">
        <w:tc>
          <w:tcPr>
            <w:tcW w:w="3403" w:type="dxa"/>
            <w:tcBorders>
              <w:top w:val="single" w:sz="4" w:space="0" w:color="auto"/>
              <w:left w:val="single" w:sz="4" w:space="0" w:color="auto"/>
              <w:bottom w:val="single" w:sz="4" w:space="0" w:color="auto"/>
              <w:right w:val="single" w:sz="4" w:space="0" w:color="auto"/>
            </w:tcBorders>
            <w:hideMark/>
          </w:tcPr>
          <w:p w14:paraId="55AC053A" w14:textId="77777777" w:rsidR="00753B44" w:rsidRPr="00753B44" w:rsidRDefault="00753B44" w:rsidP="00753B44">
            <w:pPr>
              <w:ind w:left="204"/>
              <w:rPr>
                <w:sz w:val="24"/>
                <w:szCs w:val="24"/>
                <w:lang w:val="en-GB"/>
              </w:rPr>
            </w:pPr>
            <w:proofErr w:type="spellStart"/>
            <w:r w:rsidRPr="00753B44">
              <w:rPr>
                <w:sz w:val="24"/>
                <w:szCs w:val="24"/>
                <w:lang w:val="en-GB"/>
              </w:rPr>
              <w:t>Zinkchlorid</w:t>
            </w:r>
            <w:proofErr w:type="spellEnd"/>
          </w:p>
        </w:tc>
        <w:tc>
          <w:tcPr>
            <w:tcW w:w="1979" w:type="dxa"/>
            <w:tcBorders>
              <w:top w:val="single" w:sz="4" w:space="0" w:color="auto"/>
              <w:left w:val="single" w:sz="4" w:space="0" w:color="auto"/>
              <w:bottom w:val="single" w:sz="4" w:space="0" w:color="auto"/>
              <w:right w:val="single" w:sz="4" w:space="0" w:color="auto"/>
            </w:tcBorders>
            <w:vAlign w:val="bottom"/>
            <w:hideMark/>
          </w:tcPr>
          <w:p w14:paraId="43516799" w14:textId="77777777" w:rsidR="00753B44" w:rsidRPr="00753B44" w:rsidRDefault="00753B44" w:rsidP="00FE5849">
            <w:pPr>
              <w:ind w:left="64"/>
              <w:rPr>
                <w:sz w:val="24"/>
                <w:szCs w:val="24"/>
                <w:lang w:val="en-GB"/>
              </w:rPr>
            </w:pPr>
            <w:r w:rsidRPr="00753B44">
              <w:rPr>
                <w:sz w:val="24"/>
                <w:szCs w:val="24"/>
                <w:lang w:val="en-GB"/>
              </w:rPr>
              <w:t xml:space="preserve">1042 </w:t>
            </w:r>
            <w:proofErr w:type="spellStart"/>
            <w:r w:rsidRPr="00753B44">
              <w:rPr>
                <w:sz w:val="24"/>
                <w:szCs w:val="24"/>
                <w:lang w:val="en-GB"/>
              </w:rPr>
              <w:t>mikrogram</w:t>
            </w:r>
            <w:proofErr w:type="spellEnd"/>
          </w:p>
        </w:tc>
        <w:tc>
          <w:tcPr>
            <w:tcW w:w="2268" w:type="dxa"/>
            <w:tcBorders>
              <w:top w:val="single" w:sz="4" w:space="0" w:color="auto"/>
              <w:left w:val="single" w:sz="4" w:space="0" w:color="auto"/>
              <w:bottom w:val="single" w:sz="4" w:space="0" w:color="auto"/>
              <w:right w:val="single" w:sz="4" w:space="0" w:color="auto"/>
            </w:tcBorders>
            <w:vAlign w:val="bottom"/>
            <w:hideMark/>
          </w:tcPr>
          <w:p w14:paraId="25003725" w14:textId="77777777" w:rsidR="00753B44" w:rsidRPr="00753B44" w:rsidRDefault="00753B44" w:rsidP="00FE5849">
            <w:pPr>
              <w:ind w:left="69"/>
              <w:rPr>
                <w:sz w:val="24"/>
                <w:szCs w:val="24"/>
                <w:lang w:val="en-GB"/>
              </w:rPr>
            </w:pPr>
            <w:r w:rsidRPr="00753B44">
              <w:rPr>
                <w:sz w:val="24"/>
                <w:szCs w:val="24"/>
                <w:lang w:val="en-GB"/>
              </w:rPr>
              <w:t xml:space="preserve">10420 </w:t>
            </w:r>
            <w:proofErr w:type="spellStart"/>
            <w:r w:rsidRPr="00753B44">
              <w:rPr>
                <w:sz w:val="24"/>
                <w:szCs w:val="24"/>
                <w:lang w:val="en-GB"/>
              </w:rPr>
              <w:t>mikrogram</w:t>
            </w:r>
            <w:proofErr w:type="spellEnd"/>
          </w:p>
        </w:tc>
      </w:tr>
      <w:tr w:rsidR="00753B44" w:rsidRPr="00753B44" w14:paraId="46246A18" w14:textId="77777777" w:rsidTr="00753B44">
        <w:tc>
          <w:tcPr>
            <w:tcW w:w="3403" w:type="dxa"/>
            <w:tcBorders>
              <w:top w:val="single" w:sz="4" w:space="0" w:color="auto"/>
              <w:left w:val="single" w:sz="4" w:space="0" w:color="auto"/>
              <w:bottom w:val="single" w:sz="4" w:space="0" w:color="auto"/>
              <w:right w:val="single" w:sz="4" w:space="0" w:color="auto"/>
            </w:tcBorders>
            <w:hideMark/>
          </w:tcPr>
          <w:p w14:paraId="661DEEC8" w14:textId="77777777" w:rsidR="00753B44" w:rsidRPr="00753B44" w:rsidRDefault="00753B44" w:rsidP="00753B44">
            <w:pPr>
              <w:ind w:left="204"/>
              <w:rPr>
                <w:sz w:val="24"/>
                <w:szCs w:val="24"/>
                <w:lang w:val="en-GB"/>
              </w:rPr>
            </w:pPr>
            <w:proofErr w:type="spellStart"/>
            <w:r w:rsidRPr="00753B44">
              <w:rPr>
                <w:sz w:val="24"/>
                <w:szCs w:val="24"/>
                <w:lang w:val="en-GB"/>
              </w:rPr>
              <w:t>Kobberchloriddihydrat</w:t>
            </w:r>
            <w:proofErr w:type="spellEnd"/>
          </w:p>
        </w:tc>
        <w:tc>
          <w:tcPr>
            <w:tcW w:w="1979" w:type="dxa"/>
            <w:tcBorders>
              <w:top w:val="single" w:sz="4" w:space="0" w:color="auto"/>
              <w:left w:val="single" w:sz="4" w:space="0" w:color="auto"/>
              <w:bottom w:val="single" w:sz="4" w:space="0" w:color="auto"/>
              <w:right w:val="single" w:sz="4" w:space="0" w:color="auto"/>
            </w:tcBorders>
            <w:vAlign w:val="bottom"/>
            <w:hideMark/>
          </w:tcPr>
          <w:p w14:paraId="255E547C" w14:textId="77777777" w:rsidR="00753B44" w:rsidRPr="00753B44" w:rsidRDefault="00753B44" w:rsidP="00FE5849">
            <w:pPr>
              <w:ind w:left="64"/>
              <w:rPr>
                <w:sz w:val="24"/>
                <w:szCs w:val="24"/>
                <w:lang w:val="en-GB"/>
              </w:rPr>
            </w:pPr>
            <w:r w:rsidRPr="00753B44">
              <w:rPr>
                <w:sz w:val="24"/>
                <w:szCs w:val="24"/>
                <w:lang w:val="en-GB"/>
              </w:rPr>
              <w:t xml:space="preserve">107,4 </w:t>
            </w:r>
            <w:proofErr w:type="spellStart"/>
            <w:r w:rsidRPr="00753B44">
              <w:rPr>
                <w:sz w:val="24"/>
                <w:szCs w:val="24"/>
                <w:lang w:val="en-GB"/>
              </w:rPr>
              <w:t>mikrogram</w:t>
            </w:r>
            <w:proofErr w:type="spellEnd"/>
          </w:p>
        </w:tc>
        <w:tc>
          <w:tcPr>
            <w:tcW w:w="2268" w:type="dxa"/>
            <w:tcBorders>
              <w:top w:val="single" w:sz="4" w:space="0" w:color="auto"/>
              <w:left w:val="single" w:sz="4" w:space="0" w:color="auto"/>
              <w:bottom w:val="single" w:sz="4" w:space="0" w:color="auto"/>
              <w:right w:val="single" w:sz="4" w:space="0" w:color="auto"/>
            </w:tcBorders>
            <w:vAlign w:val="bottom"/>
            <w:hideMark/>
          </w:tcPr>
          <w:p w14:paraId="2EDBED1E" w14:textId="77777777" w:rsidR="00753B44" w:rsidRPr="00753B44" w:rsidRDefault="00753B44" w:rsidP="00FE5849">
            <w:pPr>
              <w:ind w:left="69"/>
              <w:rPr>
                <w:sz w:val="24"/>
                <w:szCs w:val="24"/>
                <w:lang w:val="en-GB"/>
              </w:rPr>
            </w:pPr>
            <w:r w:rsidRPr="00753B44">
              <w:rPr>
                <w:sz w:val="24"/>
                <w:szCs w:val="24"/>
                <w:lang w:val="en-GB"/>
              </w:rPr>
              <w:t xml:space="preserve">1074 </w:t>
            </w:r>
            <w:proofErr w:type="spellStart"/>
            <w:r w:rsidRPr="00753B44">
              <w:rPr>
                <w:sz w:val="24"/>
                <w:szCs w:val="24"/>
                <w:lang w:val="en-GB"/>
              </w:rPr>
              <w:t>mikrogram</w:t>
            </w:r>
            <w:proofErr w:type="spellEnd"/>
          </w:p>
        </w:tc>
      </w:tr>
      <w:tr w:rsidR="00753B44" w:rsidRPr="00753B44" w14:paraId="37E5454F" w14:textId="77777777" w:rsidTr="00753B44">
        <w:tc>
          <w:tcPr>
            <w:tcW w:w="3403" w:type="dxa"/>
            <w:tcBorders>
              <w:top w:val="single" w:sz="4" w:space="0" w:color="auto"/>
              <w:left w:val="single" w:sz="4" w:space="0" w:color="auto"/>
              <w:bottom w:val="single" w:sz="4" w:space="0" w:color="auto"/>
              <w:right w:val="single" w:sz="4" w:space="0" w:color="auto"/>
            </w:tcBorders>
            <w:hideMark/>
          </w:tcPr>
          <w:p w14:paraId="7E06FE85" w14:textId="77777777" w:rsidR="00753B44" w:rsidRPr="00753B44" w:rsidRDefault="00753B44" w:rsidP="00753B44">
            <w:pPr>
              <w:ind w:left="204"/>
              <w:rPr>
                <w:sz w:val="24"/>
                <w:szCs w:val="24"/>
                <w:lang w:val="en-GB"/>
              </w:rPr>
            </w:pPr>
            <w:proofErr w:type="spellStart"/>
            <w:r w:rsidRPr="00753B44">
              <w:rPr>
                <w:sz w:val="24"/>
                <w:szCs w:val="24"/>
                <w:lang w:val="en-GB"/>
              </w:rPr>
              <w:t>Manganchloridtetrahydrat</w:t>
            </w:r>
            <w:proofErr w:type="spellEnd"/>
          </w:p>
        </w:tc>
        <w:tc>
          <w:tcPr>
            <w:tcW w:w="1979" w:type="dxa"/>
            <w:tcBorders>
              <w:top w:val="single" w:sz="4" w:space="0" w:color="auto"/>
              <w:left w:val="single" w:sz="4" w:space="0" w:color="auto"/>
              <w:bottom w:val="single" w:sz="4" w:space="0" w:color="auto"/>
              <w:right w:val="single" w:sz="4" w:space="0" w:color="auto"/>
            </w:tcBorders>
            <w:vAlign w:val="bottom"/>
            <w:hideMark/>
          </w:tcPr>
          <w:p w14:paraId="6D5F326B" w14:textId="77777777" w:rsidR="00753B44" w:rsidRPr="00753B44" w:rsidRDefault="00753B44" w:rsidP="00FE5849">
            <w:pPr>
              <w:ind w:left="64"/>
              <w:rPr>
                <w:sz w:val="24"/>
                <w:szCs w:val="24"/>
                <w:lang w:val="en-GB"/>
              </w:rPr>
            </w:pPr>
            <w:r w:rsidRPr="00753B44">
              <w:rPr>
                <w:sz w:val="24"/>
                <w:szCs w:val="24"/>
                <w:lang w:val="en-GB"/>
              </w:rPr>
              <w:t xml:space="preserve">3,600 </w:t>
            </w:r>
            <w:proofErr w:type="spellStart"/>
            <w:r w:rsidRPr="00753B44">
              <w:rPr>
                <w:sz w:val="24"/>
                <w:szCs w:val="24"/>
                <w:lang w:val="en-GB"/>
              </w:rPr>
              <w:t>mikrogram</w:t>
            </w:r>
            <w:proofErr w:type="spellEnd"/>
          </w:p>
        </w:tc>
        <w:tc>
          <w:tcPr>
            <w:tcW w:w="2268" w:type="dxa"/>
            <w:tcBorders>
              <w:top w:val="single" w:sz="4" w:space="0" w:color="auto"/>
              <w:left w:val="single" w:sz="4" w:space="0" w:color="auto"/>
              <w:bottom w:val="single" w:sz="4" w:space="0" w:color="auto"/>
              <w:right w:val="single" w:sz="4" w:space="0" w:color="auto"/>
            </w:tcBorders>
            <w:vAlign w:val="bottom"/>
            <w:hideMark/>
          </w:tcPr>
          <w:p w14:paraId="781E27AE" w14:textId="77777777" w:rsidR="00753B44" w:rsidRPr="00753B44" w:rsidRDefault="00753B44" w:rsidP="00FE5849">
            <w:pPr>
              <w:ind w:left="69"/>
              <w:rPr>
                <w:sz w:val="24"/>
                <w:szCs w:val="24"/>
                <w:lang w:val="en-GB"/>
              </w:rPr>
            </w:pPr>
            <w:r w:rsidRPr="00753B44">
              <w:rPr>
                <w:sz w:val="24"/>
                <w:szCs w:val="24"/>
                <w:lang w:val="en-GB"/>
              </w:rPr>
              <w:t xml:space="preserve">36,00 </w:t>
            </w:r>
            <w:proofErr w:type="spellStart"/>
            <w:r w:rsidRPr="00753B44">
              <w:rPr>
                <w:sz w:val="24"/>
                <w:szCs w:val="24"/>
                <w:lang w:val="en-GB"/>
              </w:rPr>
              <w:t>mikrogram</w:t>
            </w:r>
            <w:proofErr w:type="spellEnd"/>
          </w:p>
        </w:tc>
      </w:tr>
      <w:tr w:rsidR="00753B44" w:rsidRPr="00753B44" w14:paraId="55F85F21" w14:textId="77777777" w:rsidTr="00753B44">
        <w:tc>
          <w:tcPr>
            <w:tcW w:w="3403" w:type="dxa"/>
            <w:tcBorders>
              <w:top w:val="single" w:sz="4" w:space="0" w:color="auto"/>
              <w:left w:val="single" w:sz="4" w:space="0" w:color="auto"/>
              <w:bottom w:val="single" w:sz="4" w:space="0" w:color="auto"/>
              <w:right w:val="single" w:sz="4" w:space="0" w:color="auto"/>
            </w:tcBorders>
            <w:hideMark/>
          </w:tcPr>
          <w:p w14:paraId="71A0AE5B" w14:textId="77777777" w:rsidR="00753B44" w:rsidRPr="00753B44" w:rsidRDefault="00753B44" w:rsidP="00753B44">
            <w:pPr>
              <w:ind w:left="204"/>
              <w:rPr>
                <w:sz w:val="24"/>
                <w:szCs w:val="24"/>
                <w:lang w:val="en-GB"/>
              </w:rPr>
            </w:pPr>
            <w:proofErr w:type="spellStart"/>
            <w:r w:rsidRPr="00753B44">
              <w:rPr>
                <w:sz w:val="24"/>
                <w:szCs w:val="24"/>
                <w:lang w:val="en-US"/>
              </w:rPr>
              <w:t>Natriumselenit</w:t>
            </w:r>
            <w:proofErr w:type="spellEnd"/>
            <w:r w:rsidRPr="00753B44">
              <w:rPr>
                <w:sz w:val="24"/>
                <w:szCs w:val="24"/>
                <w:lang w:val="en-US"/>
              </w:rPr>
              <w:t xml:space="preserve"> </w:t>
            </w:r>
          </w:p>
        </w:tc>
        <w:tc>
          <w:tcPr>
            <w:tcW w:w="1979" w:type="dxa"/>
            <w:tcBorders>
              <w:top w:val="single" w:sz="4" w:space="0" w:color="auto"/>
              <w:left w:val="single" w:sz="4" w:space="0" w:color="auto"/>
              <w:bottom w:val="single" w:sz="4" w:space="0" w:color="auto"/>
              <w:right w:val="single" w:sz="4" w:space="0" w:color="auto"/>
            </w:tcBorders>
            <w:vAlign w:val="bottom"/>
            <w:hideMark/>
          </w:tcPr>
          <w:p w14:paraId="3C4DBDEA" w14:textId="77777777" w:rsidR="00753B44" w:rsidRPr="00753B44" w:rsidRDefault="00753B44" w:rsidP="00FE5849">
            <w:pPr>
              <w:ind w:left="64"/>
              <w:rPr>
                <w:sz w:val="24"/>
                <w:szCs w:val="24"/>
                <w:lang w:val="en-GB"/>
              </w:rPr>
            </w:pPr>
            <w:r w:rsidRPr="00753B44">
              <w:rPr>
                <w:sz w:val="24"/>
                <w:szCs w:val="24"/>
                <w:lang w:val="en-GB"/>
              </w:rPr>
              <w:t xml:space="preserve">15,33 </w:t>
            </w:r>
            <w:proofErr w:type="spellStart"/>
            <w:r w:rsidRPr="00753B44">
              <w:rPr>
                <w:sz w:val="24"/>
                <w:szCs w:val="24"/>
                <w:lang w:val="en-GB"/>
              </w:rPr>
              <w:t>mikrogram</w:t>
            </w:r>
            <w:proofErr w:type="spellEnd"/>
          </w:p>
        </w:tc>
        <w:tc>
          <w:tcPr>
            <w:tcW w:w="2268" w:type="dxa"/>
            <w:tcBorders>
              <w:top w:val="single" w:sz="4" w:space="0" w:color="auto"/>
              <w:left w:val="single" w:sz="4" w:space="0" w:color="auto"/>
              <w:bottom w:val="single" w:sz="4" w:space="0" w:color="auto"/>
              <w:right w:val="single" w:sz="4" w:space="0" w:color="auto"/>
            </w:tcBorders>
            <w:vAlign w:val="bottom"/>
            <w:hideMark/>
          </w:tcPr>
          <w:p w14:paraId="0D7B805E" w14:textId="77777777" w:rsidR="00753B44" w:rsidRPr="00753B44" w:rsidRDefault="00753B44" w:rsidP="00FE5849">
            <w:pPr>
              <w:ind w:left="69"/>
              <w:rPr>
                <w:sz w:val="24"/>
                <w:szCs w:val="24"/>
                <w:lang w:val="en-GB"/>
              </w:rPr>
            </w:pPr>
            <w:r w:rsidRPr="00753B44">
              <w:rPr>
                <w:sz w:val="24"/>
                <w:szCs w:val="24"/>
                <w:lang w:val="en-GB"/>
              </w:rPr>
              <w:t xml:space="preserve">153,3 </w:t>
            </w:r>
            <w:proofErr w:type="spellStart"/>
            <w:r w:rsidRPr="00753B44">
              <w:rPr>
                <w:sz w:val="24"/>
                <w:szCs w:val="24"/>
                <w:lang w:val="en-GB"/>
              </w:rPr>
              <w:t>mikrogram</w:t>
            </w:r>
            <w:proofErr w:type="spellEnd"/>
          </w:p>
        </w:tc>
      </w:tr>
      <w:tr w:rsidR="00753B44" w:rsidRPr="00753B44" w14:paraId="27F93D3A" w14:textId="77777777" w:rsidTr="00753B44">
        <w:tc>
          <w:tcPr>
            <w:tcW w:w="3403" w:type="dxa"/>
            <w:tcBorders>
              <w:top w:val="single" w:sz="4" w:space="0" w:color="auto"/>
              <w:left w:val="single" w:sz="4" w:space="0" w:color="auto"/>
              <w:bottom w:val="single" w:sz="4" w:space="0" w:color="auto"/>
              <w:right w:val="single" w:sz="4" w:space="0" w:color="auto"/>
            </w:tcBorders>
            <w:hideMark/>
          </w:tcPr>
          <w:p w14:paraId="34664BAE" w14:textId="77777777" w:rsidR="00753B44" w:rsidRPr="00753B44" w:rsidRDefault="00753B44" w:rsidP="00753B44">
            <w:pPr>
              <w:ind w:left="204"/>
              <w:rPr>
                <w:sz w:val="24"/>
                <w:szCs w:val="24"/>
                <w:lang w:val="en-GB"/>
              </w:rPr>
            </w:pPr>
            <w:proofErr w:type="spellStart"/>
            <w:r w:rsidRPr="00753B44">
              <w:rPr>
                <w:sz w:val="24"/>
                <w:szCs w:val="24"/>
                <w:lang w:val="sv-SE"/>
              </w:rPr>
              <w:t>Kaliumiodid</w:t>
            </w:r>
            <w:proofErr w:type="spellEnd"/>
          </w:p>
        </w:tc>
        <w:tc>
          <w:tcPr>
            <w:tcW w:w="1979" w:type="dxa"/>
            <w:tcBorders>
              <w:top w:val="single" w:sz="4" w:space="0" w:color="auto"/>
              <w:left w:val="single" w:sz="4" w:space="0" w:color="auto"/>
              <w:bottom w:val="single" w:sz="4" w:space="0" w:color="auto"/>
              <w:right w:val="single" w:sz="4" w:space="0" w:color="auto"/>
            </w:tcBorders>
            <w:vAlign w:val="bottom"/>
            <w:hideMark/>
          </w:tcPr>
          <w:p w14:paraId="5372321E" w14:textId="77777777" w:rsidR="00753B44" w:rsidRPr="00753B44" w:rsidRDefault="00753B44" w:rsidP="00FE5849">
            <w:pPr>
              <w:ind w:left="64"/>
              <w:rPr>
                <w:sz w:val="24"/>
                <w:szCs w:val="24"/>
                <w:lang w:val="en-GB"/>
              </w:rPr>
            </w:pPr>
            <w:r w:rsidRPr="00753B44">
              <w:rPr>
                <w:sz w:val="24"/>
                <w:szCs w:val="24"/>
                <w:lang w:val="en-GB"/>
              </w:rPr>
              <w:t xml:space="preserve">2,567 </w:t>
            </w:r>
            <w:proofErr w:type="spellStart"/>
            <w:r w:rsidRPr="00753B44">
              <w:rPr>
                <w:sz w:val="24"/>
                <w:szCs w:val="24"/>
                <w:lang w:val="en-GB"/>
              </w:rPr>
              <w:t>mikrogram</w:t>
            </w:r>
            <w:proofErr w:type="spellEnd"/>
          </w:p>
        </w:tc>
        <w:tc>
          <w:tcPr>
            <w:tcW w:w="2268" w:type="dxa"/>
            <w:tcBorders>
              <w:top w:val="single" w:sz="4" w:space="0" w:color="auto"/>
              <w:left w:val="single" w:sz="4" w:space="0" w:color="auto"/>
              <w:bottom w:val="single" w:sz="4" w:space="0" w:color="auto"/>
              <w:right w:val="single" w:sz="4" w:space="0" w:color="auto"/>
            </w:tcBorders>
            <w:vAlign w:val="bottom"/>
            <w:hideMark/>
          </w:tcPr>
          <w:p w14:paraId="5EF995EB" w14:textId="77777777" w:rsidR="00753B44" w:rsidRPr="00753B44" w:rsidRDefault="00753B44" w:rsidP="00FE5849">
            <w:pPr>
              <w:ind w:left="69"/>
              <w:rPr>
                <w:sz w:val="24"/>
                <w:szCs w:val="24"/>
                <w:lang w:val="en-GB"/>
              </w:rPr>
            </w:pPr>
            <w:r w:rsidRPr="00753B44">
              <w:rPr>
                <w:sz w:val="24"/>
                <w:szCs w:val="24"/>
                <w:lang w:val="en-GB"/>
              </w:rPr>
              <w:t xml:space="preserve">25,67 </w:t>
            </w:r>
            <w:bookmarkStart w:id="0" w:name="_Hlk85017914"/>
            <w:proofErr w:type="spellStart"/>
            <w:r w:rsidRPr="00753B44">
              <w:rPr>
                <w:sz w:val="24"/>
                <w:szCs w:val="24"/>
                <w:lang w:val="en-GB"/>
              </w:rPr>
              <w:t>mikrogram</w:t>
            </w:r>
            <w:bookmarkEnd w:id="0"/>
            <w:proofErr w:type="spellEnd"/>
          </w:p>
        </w:tc>
      </w:tr>
    </w:tbl>
    <w:p w14:paraId="1FAEA048" w14:textId="77777777" w:rsidR="00753B44" w:rsidRPr="00753B44" w:rsidRDefault="00753B44" w:rsidP="00753B44">
      <w:pPr>
        <w:tabs>
          <w:tab w:val="left" w:pos="851"/>
        </w:tabs>
        <w:ind w:left="851"/>
        <w:rPr>
          <w:sz w:val="24"/>
          <w:szCs w:val="24"/>
          <w:lang w:val="en-GB"/>
        </w:rPr>
      </w:pPr>
    </w:p>
    <w:p w14:paraId="0947A534" w14:textId="77777777" w:rsidR="00753B44" w:rsidRPr="00753B44" w:rsidRDefault="00753B44" w:rsidP="00753B44">
      <w:pPr>
        <w:tabs>
          <w:tab w:val="left" w:pos="851"/>
        </w:tabs>
        <w:ind w:left="851"/>
        <w:rPr>
          <w:sz w:val="24"/>
          <w:szCs w:val="24"/>
          <w:lang w:val="en-GB"/>
        </w:rPr>
      </w:pPr>
    </w:p>
    <w:p w14:paraId="1C997477" w14:textId="77777777" w:rsidR="00753B44" w:rsidRPr="00753B44" w:rsidRDefault="00753B44" w:rsidP="00753B44">
      <w:pPr>
        <w:tabs>
          <w:tab w:val="left" w:pos="851"/>
        </w:tabs>
        <w:ind w:left="851"/>
        <w:rPr>
          <w:sz w:val="24"/>
          <w:szCs w:val="24"/>
          <w:lang w:val="en-GB"/>
        </w:rPr>
      </w:pPr>
    </w:p>
    <w:p w14:paraId="4615B207" w14:textId="77777777" w:rsidR="00753B44" w:rsidRPr="00753B44" w:rsidRDefault="00753B44" w:rsidP="00753B44">
      <w:pPr>
        <w:tabs>
          <w:tab w:val="left" w:pos="851"/>
        </w:tabs>
        <w:ind w:left="851"/>
        <w:rPr>
          <w:sz w:val="24"/>
          <w:szCs w:val="24"/>
          <w:lang w:val="en-GB"/>
        </w:rPr>
      </w:pPr>
    </w:p>
    <w:p w14:paraId="495B843E" w14:textId="77777777" w:rsidR="00753B44" w:rsidRPr="00753B44" w:rsidRDefault="00753B44" w:rsidP="00753B44">
      <w:pPr>
        <w:tabs>
          <w:tab w:val="left" w:pos="851"/>
        </w:tabs>
        <w:ind w:left="851"/>
        <w:rPr>
          <w:sz w:val="24"/>
          <w:szCs w:val="24"/>
          <w:lang w:val="en-GB"/>
        </w:rPr>
      </w:pPr>
    </w:p>
    <w:p w14:paraId="56ED2639" w14:textId="77777777" w:rsidR="00753B44" w:rsidRPr="00753B44" w:rsidRDefault="00753B44" w:rsidP="00753B44">
      <w:pPr>
        <w:tabs>
          <w:tab w:val="left" w:pos="851"/>
        </w:tabs>
        <w:ind w:left="851"/>
        <w:rPr>
          <w:sz w:val="24"/>
          <w:szCs w:val="24"/>
          <w:lang w:val="en-GB"/>
        </w:rPr>
      </w:pPr>
    </w:p>
    <w:p w14:paraId="62E04188" w14:textId="77777777" w:rsidR="00753B44" w:rsidRPr="00753B44" w:rsidRDefault="00753B44" w:rsidP="00753B44">
      <w:pPr>
        <w:tabs>
          <w:tab w:val="left" w:pos="851"/>
        </w:tabs>
        <w:ind w:left="851"/>
        <w:rPr>
          <w:sz w:val="24"/>
          <w:szCs w:val="24"/>
          <w:lang w:val="en-GB"/>
        </w:rPr>
      </w:pPr>
    </w:p>
    <w:p w14:paraId="503EDCAA" w14:textId="77777777" w:rsidR="00753B44" w:rsidRPr="00753B44" w:rsidRDefault="00753B44" w:rsidP="00753B44">
      <w:pPr>
        <w:tabs>
          <w:tab w:val="left" w:pos="851"/>
        </w:tabs>
        <w:ind w:left="851"/>
        <w:rPr>
          <w:sz w:val="24"/>
          <w:szCs w:val="24"/>
          <w:lang w:val="en-GB"/>
        </w:rPr>
      </w:pPr>
    </w:p>
    <w:p w14:paraId="16A452EE" w14:textId="77777777" w:rsidR="00753B44" w:rsidRPr="00753B44" w:rsidRDefault="00753B44" w:rsidP="00753B44">
      <w:pPr>
        <w:tabs>
          <w:tab w:val="left" w:pos="851"/>
        </w:tabs>
        <w:ind w:left="851"/>
        <w:rPr>
          <w:sz w:val="24"/>
          <w:szCs w:val="24"/>
          <w:lang w:val="en-GB"/>
        </w:rPr>
      </w:pPr>
    </w:p>
    <w:p w14:paraId="390E40E3" w14:textId="4BC1B851" w:rsidR="00753B44" w:rsidRPr="00FE5849" w:rsidRDefault="00753B44" w:rsidP="00753B44">
      <w:pPr>
        <w:tabs>
          <w:tab w:val="left" w:pos="851"/>
        </w:tabs>
        <w:ind w:left="851"/>
        <w:rPr>
          <w:sz w:val="24"/>
          <w:szCs w:val="24"/>
          <w:u w:val="single"/>
        </w:rPr>
      </w:pPr>
      <w:r w:rsidRPr="00FE5849">
        <w:rPr>
          <w:sz w:val="24"/>
          <w:szCs w:val="24"/>
          <w:u w:val="single"/>
        </w:rPr>
        <w:t xml:space="preserve">De aktive ingredienser i 1 ml </w:t>
      </w:r>
      <w:proofErr w:type="spellStart"/>
      <w:r w:rsidRPr="00FE5849">
        <w:rPr>
          <w:sz w:val="24"/>
          <w:szCs w:val="24"/>
          <w:u w:val="single"/>
        </w:rPr>
        <w:t>Peditrace</w:t>
      </w:r>
      <w:proofErr w:type="spellEnd"/>
      <w:r w:rsidRPr="00FE5849">
        <w:rPr>
          <w:sz w:val="24"/>
          <w:szCs w:val="24"/>
          <w:u w:val="single"/>
        </w:rPr>
        <w:t xml:space="preserve"> </w:t>
      </w:r>
      <w:proofErr w:type="spellStart"/>
      <w:r w:rsidRPr="00FE5849">
        <w:rPr>
          <w:sz w:val="24"/>
          <w:szCs w:val="24"/>
          <w:u w:val="single"/>
        </w:rPr>
        <w:t>Novum</w:t>
      </w:r>
      <w:proofErr w:type="spellEnd"/>
      <w:r w:rsidRPr="00FE5849">
        <w:rPr>
          <w:sz w:val="24"/>
          <w:szCs w:val="24"/>
          <w:u w:val="single"/>
        </w:rPr>
        <w:t xml:space="preserve"> svarer til</w:t>
      </w:r>
    </w:p>
    <w:p w14:paraId="0315D5E8" w14:textId="77777777" w:rsidR="00753B44" w:rsidRPr="00753B44" w:rsidRDefault="00753B44" w:rsidP="008A35A1">
      <w:pPr>
        <w:tabs>
          <w:tab w:val="left" w:pos="851"/>
          <w:tab w:val="left" w:pos="2552"/>
          <w:tab w:val="left" w:pos="4536"/>
        </w:tabs>
        <w:ind w:left="851"/>
        <w:rPr>
          <w:sz w:val="24"/>
          <w:szCs w:val="24"/>
        </w:rPr>
      </w:pPr>
      <w:r w:rsidRPr="00753B44">
        <w:rPr>
          <w:sz w:val="24"/>
          <w:szCs w:val="24"/>
        </w:rPr>
        <w:t>Zink (</w:t>
      </w:r>
      <w:proofErr w:type="spellStart"/>
      <w:r w:rsidRPr="00753B44">
        <w:rPr>
          <w:sz w:val="24"/>
          <w:szCs w:val="24"/>
        </w:rPr>
        <w:t>Zn</w:t>
      </w:r>
      <w:proofErr w:type="spellEnd"/>
      <w:r w:rsidRPr="00753B44">
        <w:rPr>
          <w:sz w:val="24"/>
          <w:szCs w:val="24"/>
        </w:rPr>
        <w:t>)</w:t>
      </w:r>
      <w:r w:rsidRPr="00753B44">
        <w:rPr>
          <w:sz w:val="24"/>
          <w:szCs w:val="24"/>
        </w:rPr>
        <w:tab/>
        <w:t>7,64 mikromol</w:t>
      </w:r>
      <w:r w:rsidRPr="00753B44">
        <w:rPr>
          <w:sz w:val="24"/>
          <w:szCs w:val="24"/>
        </w:rPr>
        <w:tab/>
        <w:t>500 mikrogram</w:t>
      </w:r>
    </w:p>
    <w:p w14:paraId="77BBD6F5" w14:textId="77777777" w:rsidR="00753B44" w:rsidRPr="00753B44" w:rsidRDefault="00753B44" w:rsidP="008A35A1">
      <w:pPr>
        <w:tabs>
          <w:tab w:val="left" w:pos="851"/>
          <w:tab w:val="left" w:pos="2552"/>
          <w:tab w:val="left" w:pos="4536"/>
        </w:tabs>
        <w:ind w:left="851"/>
        <w:rPr>
          <w:sz w:val="24"/>
          <w:szCs w:val="24"/>
        </w:rPr>
      </w:pPr>
      <w:r w:rsidRPr="00753B44">
        <w:rPr>
          <w:sz w:val="24"/>
          <w:szCs w:val="24"/>
        </w:rPr>
        <w:t>Kobber (Cu)</w:t>
      </w:r>
      <w:r w:rsidRPr="00753B44">
        <w:rPr>
          <w:sz w:val="24"/>
          <w:szCs w:val="24"/>
        </w:rPr>
        <w:tab/>
        <w:t>0,630 mikromol</w:t>
      </w:r>
      <w:r w:rsidRPr="00753B44">
        <w:rPr>
          <w:sz w:val="24"/>
          <w:szCs w:val="24"/>
        </w:rPr>
        <w:tab/>
        <w:t>40,0 mikrogram</w:t>
      </w:r>
    </w:p>
    <w:p w14:paraId="7C325F40" w14:textId="77777777" w:rsidR="00753B44" w:rsidRPr="00753B44" w:rsidRDefault="00753B44" w:rsidP="008A35A1">
      <w:pPr>
        <w:tabs>
          <w:tab w:val="left" w:pos="851"/>
          <w:tab w:val="left" w:pos="2552"/>
          <w:tab w:val="left" w:pos="4536"/>
        </w:tabs>
        <w:ind w:left="851"/>
        <w:rPr>
          <w:sz w:val="24"/>
          <w:szCs w:val="24"/>
        </w:rPr>
      </w:pPr>
      <w:r w:rsidRPr="00753B44">
        <w:rPr>
          <w:sz w:val="24"/>
          <w:szCs w:val="24"/>
        </w:rPr>
        <w:t>Mangan (Mn)</w:t>
      </w:r>
      <w:r w:rsidRPr="00753B44">
        <w:rPr>
          <w:sz w:val="24"/>
          <w:szCs w:val="24"/>
        </w:rPr>
        <w:tab/>
        <w:t>0,0182 mikromol</w:t>
      </w:r>
      <w:r w:rsidRPr="00753B44">
        <w:rPr>
          <w:sz w:val="24"/>
          <w:szCs w:val="24"/>
        </w:rPr>
        <w:tab/>
        <w:t>1,00 mikrogram</w:t>
      </w:r>
    </w:p>
    <w:p w14:paraId="337D20E6" w14:textId="77777777" w:rsidR="00753B44" w:rsidRPr="00753B44" w:rsidRDefault="00753B44" w:rsidP="008A35A1">
      <w:pPr>
        <w:tabs>
          <w:tab w:val="left" w:pos="851"/>
          <w:tab w:val="left" w:pos="2552"/>
          <w:tab w:val="left" w:pos="4536"/>
        </w:tabs>
        <w:ind w:left="851"/>
        <w:rPr>
          <w:sz w:val="24"/>
          <w:szCs w:val="24"/>
        </w:rPr>
      </w:pPr>
      <w:r w:rsidRPr="00753B44">
        <w:rPr>
          <w:sz w:val="24"/>
          <w:szCs w:val="24"/>
        </w:rPr>
        <w:t>Selen (Se)</w:t>
      </w:r>
      <w:r w:rsidRPr="00753B44">
        <w:rPr>
          <w:sz w:val="24"/>
          <w:szCs w:val="24"/>
        </w:rPr>
        <w:tab/>
        <w:t>0,0887 mikromol</w:t>
      </w:r>
      <w:r w:rsidRPr="00753B44">
        <w:rPr>
          <w:sz w:val="24"/>
          <w:szCs w:val="24"/>
        </w:rPr>
        <w:tab/>
        <w:t>7,00 mikrogram</w:t>
      </w:r>
    </w:p>
    <w:p w14:paraId="6263DAC3" w14:textId="77777777" w:rsidR="00753B44" w:rsidRPr="00753B44" w:rsidRDefault="00753B44" w:rsidP="008A35A1">
      <w:pPr>
        <w:tabs>
          <w:tab w:val="left" w:pos="851"/>
          <w:tab w:val="left" w:pos="2552"/>
          <w:tab w:val="left" w:pos="4536"/>
        </w:tabs>
        <w:ind w:left="851"/>
        <w:rPr>
          <w:sz w:val="24"/>
          <w:szCs w:val="24"/>
        </w:rPr>
      </w:pPr>
      <w:r w:rsidRPr="00753B44">
        <w:rPr>
          <w:sz w:val="24"/>
          <w:szCs w:val="24"/>
        </w:rPr>
        <w:t>Jod (I)</w:t>
      </w:r>
      <w:r w:rsidRPr="00753B44">
        <w:rPr>
          <w:sz w:val="24"/>
          <w:szCs w:val="24"/>
        </w:rPr>
        <w:tab/>
        <w:t>0,0155 mikromol</w:t>
      </w:r>
      <w:r w:rsidRPr="00753B44">
        <w:rPr>
          <w:sz w:val="24"/>
          <w:szCs w:val="24"/>
        </w:rPr>
        <w:tab/>
        <w:t>1,96 mikrogram</w:t>
      </w:r>
    </w:p>
    <w:p w14:paraId="2BCC686C" w14:textId="77777777" w:rsidR="00753B44" w:rsidRPr="00753B44" w:rsidRDefault="00753B44" w:rsidP="00753B44">
      <w:pPr>
        <w:tabs>
          <w:tab w:val="left" w:pos="851"/>
        </w:tabs>
        <w:ind w:left="851"/>
        <w:rPr>
          <w:sz w:val="24"/>
          <w:szCs w:val="24"/>
        </w:rPr>
      </w:pPr>
    </w:p>
    <w:p w14:paraId="5BCEBB31" w14:textId="77777777" w:rsidR="00753B44" w:rsidRPr="00753B44" w:rsidRDefault="00753B44" w:rsidP="00753B44">
      <w:pPr>
        <w:tabs>
          <w:tab w:val="left" w:pos="851"/>
        </w:tabs>
        <w:ind w:left="851"/>
        <w:rPr>
          <w:sz w:val="24"/>
          <w:szCs w:val="24"/>
        </w:rPr>
      </w:pPr>
      <w:r w:rsidRPr="00753B44">
        <w:rPr>
          <w:sz w:val="24"/>
          <w:szCs w:val="24"/>
        </w:rPr>
        <w:t>Alle hjælpestoffer er anført under pkt. 6.1.</w:t>
      </w:r>
    </w:p>
    <w:p w14:paraId="0D8161A2" w14:textId="77777777" w:rsidR="009260DE" w:rsidRPr="00C84483" w:rsidRDefault="009260DE" w:rsidP="009260DE">
      <w:pPr>
        <w:tabs>
          <w:tab w:val="left" w:pos="851"/>
        </w:tabs>
        <w:ind w:left="851"/>
        <w:rPr>
          <w:sz w:val="24"/>
          <w:szCs w:val="24"/>
        </w:rPr>
      </w:pPr>
    </w:p>
    <w:p w14:paraId="378B293E"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D7A3352" w14:textId="7446AD06" w:rsidR="0063704A" w:rsidRDefault="0063704A" w:rsidP="0063704A">
      <w:pPr>
        <w:tabs>
          <w:tab w:val="left" w:pos="851"/>
        </w:tabs>
        <w:ind w:left="851"/>
        <w:rPr>
          <w:sz w:val="24"/>
          <w:szCs w:val="24"/>
        </w:rPr>
      </w:pPr>
      <w:r w:rsidRPr="0063704A">
        <w:rPr>
          <w:sz w:val="24"/>
          <w:szCs w:val="24"/>
        </w:rPr>
        <w:t>Koncentrat til infusionsvæske, opløsning</w:t>
      </w:r>
    </w:p>
    <w:p w14:paraId="5668ACA6" w14:textId="77777777" w:rsidR="0063704A" w:rsidRPr="0063704A" w:rsidRDefault="0063704A" w:rsidP="0063704A">
      <w:pPr>
        <w:tabs>
          <w:tab w:val="left" w:pos="851"/>
        </w:tabs>
        <w:ind w:left="851"/>
        <w:rPr>
          <w:sz w:val="24"/>
          <w:szCs w:val="24"/>
        </w:rPr>
      </w:pPr>
    </w:p>
    <w:p w14:paraId="140F95BA" w14:textId="08B444AF" w:rsidR="0063704A" w:rsidRPr="0063704A" w:rsidRDefault="0063704A" w:rsidP="0063704A">
      <w:pPr>
        <w:tabs>
          <w:tab w:val="left" w:pos="851"/>
        </w:tabs>
        <w:ind w:left="851"/>
        <w:rPr>
          <w:sz w:val="24"/>
          <w:szCs w:val="24"/>
        </w:rPr>
      </w:pPr>
      <w:r w:rsidRPr="0063704A">
        <w:rPr>
          <w:sz w:val="24"/>
          <w:szCs w:val="24"/>
        </w:rPr>
        <w:t>Klar opløsning, næsten farveløs.</w:t>
      </w:r>
    </w:p>
    <w:p w14:paraId="6B7BFAC9" w14:textId="03368A5B" w:rsidR="0063704A" w:rsidRPr="008A35A1" w:rsidRDefault="0063704A" w:rsidP="008A35A1">
      <w:pPr>
        <w:tabs>
          <w:tab w:val="left" w:pos="851"/>
        </w:tabs>
        <w:ind w:left="851"/>
        <w:rPr>
          <w:sz w:val="24"/>
          <w:szCs w:val="24"/>
        </w:rPr>
      </w:pPr>
      <w:proofErr w:type="spellStart"/>
      <w:r w:rsidRPr="008A35A1">
        <w:rPr>
          <w:sz w:val="24"/>
          <w:szCs w:val="24"/>
        </w:rPr>
        <w:t>Osmolalitet</w:t>
      </w:r>
      <w:proofErr w:type="spellEnd"/>
      <w:r w:rsidRPr="008A35A1">
        <w:rPr>
          <w:sz w:val="24"/>
          <w:szCs w:val="24"/>
        </w:rPr>
        <w:t xml:space="preserve">: </w:t>
      </w:r>
      <w:r w:rsidR="008A35A1">
        <w:rPr>
          <w:sz w:val="24"/>
          <w:szCs w:val="24"/>
        </w:rPr>
        <w:t>C</w:t>
      </w:r>
      <w:r w:rsidRPr="008A35A1">
        <w:rPr>
          <w:sz w:val="24"/>
          <w:szCs w:val="24"/>
        </w:rPr>
        <w:t xml:space="preserve">a. 40 </w:t>
      </w:r>
      <w:proofErr w:type="spellStart"/>
      <w:r w:rsidRPr="008A35A1">
        <w:rPr>
          <w:sz w:val="24"/>
          <w:szCs w:val="24"/>
        </w:rPr>
        <w:t>mosm</w:t>
      </w:r>
      <w:proofErr w:type="spellEnd"/>
      <w:r w:rsidRPr="008A35A1">
        <w:rPr>
          <w:sz w:val="24"/>
          <w:szCs w:val="24"/>
        </w:rPr>
        <w:t>/kg vand</w:t>
      </w:r>
      <w:r w:rsidR="008A35A1">
        <w:rPr>
          <w:sz w:val="24"/>
          <w:szCs w:val="24"/>
        </w:rPr>
        <w:t>.</w:t>
      </w:r>
    </w:p>
    <w:p w14:paraId="0E50F02D" w14:textId="5E667DDB" w:rsidR="0063704A" w:rsidRPr="008A35A1" w:rsidRDefault="0063704A" w:rsidP="008A35A1">
      <w:pPr>
        <w:tabs>
          <w:tab w:val="left" w:pos="851"/>
        </w:tabs>
        <w:ind w:left="851"/>
        <w:rPr>
          <w:sz w:val="24"/>
          <w:szCs w:val="24"/>
        </w:rPr>
      </w:pPr>
      <w:r w:rsidRPr="008A35A1">
        <w:rPr>
          <w:sz w:val="24"/>
          <w:szCs w:val="24"/>
        </w:rPr>
        <w:t>pH: 2,0</w:t>
      </w:r>
      <w:r w:rsidR="008A35A1">
        <w:rPr>
          <w:sz w:val="24"/>
          <w:szCs w:val="24"/>
        </w:rPr>
        <w:t>.</w:t>
      </w:r>
    </w:p>
    <w:p w14:paraId="29F23E62" w14:textId="77777777" w:rsidR="009260DE" w:rsidRPr="00C84483" w:rsidRDefault="009260DE" w:rsidP="009260DE">
      <w:pPr>
        <w:tabs>
          <w:tab w:val="left" w:pos="851"/>
        </w:tabs>
        <w:ind w:left="851"/>
        <w:rPr>
          <w:sz w:val="24"/>
          <w:szCs w:val="24"/>
        </w:rPr>
      </w:pPr>
    </w:p>
    <w:p w14:paraId="4D500A32" w14:textId="77777777" w:rsidR="009260DE" w:rsidRPr="00C84483" w:rsidRDefault="009260DE" w:rsidP="009260DE">
      <w:pPr>
        <w:tabs>
          <w:tab w:val="left" w:pos="851"/>
        </w:tabs>
        <w:ind w:left="851"/>
        <w:rPr>
          <w:sz w:val="24"/>
          <w:szCs w:val="24"/>
        </w:rPr>
      </w:pPr>
    </w:p>
    <w:p w14:paraId="12A3FCC7"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38252540" w14:textId="77777777" w:rsidR="009260DE" w:rsidRPr="00C84483" w:rsidRDefault="009260DE" w:rsidP="009260DE">
      <w:pPr>
        <w:tabs>
          <w:tab w:val="left" w:pos="851"/>
        </w:tabs>
        <w:ind w:left="851"/>
        <w:rPr>
          <w:b/>
          <w:sz w:val="24"/>
          <w:szCs w:val="24"/>
        </w:rPr>
      </w:pPr>
    </w:p>
    <w:p w14:paraId="0412E29E"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2DA9590A" w14:textId="77777777" w:rsidR="008A35A1" w:rsidRPr="008A35A1" w:rsidRDefault="008A35A1" w:rsidP="008A35A1">
      <w:pPr>
        <w:tabs>
          <w:tab w:val="left" w:pos="851"/>
        </w:tabs>
        <w:ind w:left="851"/>
        <w:rPr>
          <w:sz w:val="24"/>
          <w:szCs w:val="24"/>
        </w:rPr>
      </w:pPr>
      <w:proofErr w:type="spellStart"/>
      <w:r w:rsidRPr="008A35A1">
        <w:rPr>
          <w:sz w:val="24"/>
          <w:szCs w:val="24"/>
        </w:rPr>
        <w:t>Peditrace</w:t>
      </w:r>
      <w:proofErr w:type="spellEnd"/>
      <w:r w:rsidRPr="008A35A1">
        <w:rPr>
          <w:sz w:val="24"/>
          <w:szCs w:val="24"/>
        </w:rPr>
        <w:t xml:space="preserve"> </w:t>
      </w:r>
      <w:proofErr w:type="spellStart"/>
      <w:r w:rsidRPr="008A35A1">
        <w:rPr>
          <w:sz w:val="24"/>
          <w:szCs w:val="24"/>
        </w:rPr>
        <w:t>Novum</w:t>
      </w:r>
      <w:proofErr w:type="spellEnd"/>
      <w:r w:rsidRPr="008A35A1">
        <w:rPr>
          <w:sz w:val="24"/>
          <w:szCs w:val="24"/>
        </w:rPr>
        <w:t xml:space="preserve"> er indiceret til præmature og fuldbårne nyfødte, spædbørn, børn og unge, som har behov for intravenøs ernæring for at dække de basale behov for sporstoffer. </w:t>
      </w:r>
    </w:p>
    <w:p w14:paraId="1FA8F12B" w14:textId="77777777" w:rsidR="009260DE" w:rsidRPr="00C84483" w:rsidRDefault="009260DE" w:rsidP="009260DE">
      <w:pPr>
        <w:tabs>
          <w:tab w:val="left" w:pos="851"/>
        </w:tabs>
        <w:ind w:left="851"/>
        <w:rPr>
          <w:sz w:val="24"/>
          <w:szCs w:val="24"/>
        </w:rPr>
      </w:pPr>
    </w:p>
    <w:p w14:paraId="2F38CF78"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727157FC" w14:textId="77777777" w:rsidR="004E4918" w:rsidRPr="004E4918" w:rsidRDefault="004E4918" w:rsidP="004E4918">
      <w:pPr>
        <w:tabs>
          <w:tab w:val="left" w:pos="851"/>
        </w:tabs>
        <w:ind w:left="851"/>
        <w:rPr>
          <w:sz w:val="24"/>
          <w:szCs w:val="24"/>
        </w:rPr>
      </w:pPr>
    </w:p>
    <w:p w14:paraId="01494AAC" w14:textId="77777777" w:rsidR="004E4918" w:rsidRPr="004E4918" w:rsidRDefault="004E4918" w:rsidP="004E4918">
      <w:pPr>
        <w:tabs>
          <w:tab w:val="left" w:pos="851"/>
        </w:tabs>
        <w:ind w:left="851"/>
        <w:rPr>
          <w:sz w:val="24"/>
          <w:szCs w:val="24"/>
          <w:u w:val="single"/>
        </w:rPr>
      </w:pPr>
      <w:r w:rsidRPr="004E4918">
        <w:rPr>
          <w:sz w:val="24"/>
          <w:szCs w:val="24"/>
          <w:u w:val="single"/>
        </w:rPr>
        <w:t>Dosering</w:t>
      </w:r>
    </w:p>
    <w:p w14:paraId="73C26027" w14:textId="77777777" w:rsidR="004E4918" w:rsidRPr="004E4918" w:rsidRDefault="004E4918" w:rsidP="004E4918">
      <w:pPr>
        <w:tabs>
          <w:tab w:val="left" w:pos="851"/>
        </w:tabs>
        <w:ind w:left="851"/>
        <w:rPr>
          <w:sz w:val="24"/>
          <w:szCs w:val="24"/>
        </w:rPr>
      </w:pPr>
    </w:p>
    <w:p w14:paraId="02EFB6CD" w14:textId="77777777" w:rsidR="004E4918" w:rsidRPr="004E4918" w:rsidRDefault="004E4918" w:rsidP="004E4918">
      <w:pPr>
        <w:tabs>
          <w:tab w:val="left" w:pos="851"/>
        </w:tabs>
        <w:ind w:left="851"/>
        <w:rPr>
          <w:i/>
          <w:iCs/>
          <w:sz w:val="24"/>
          <w:szCs w:val="24"/>
        </w:rPr>
      </w:pPr>
      <w:bookmarkStart w:id="1" w:name="_Hlk132977645"/>
      <w:r w:rsidRPr="004E4918">
        <w:rPr>
          <w:i/>
          <w:iCs/>
          <w:sz w:val="24"/>
          <w:szCs w:val="24"/>
        </w:rPr>
        <w:t>Præmature nyfødte</w:t>
      </w:r>
    </w:p>
    <w:p w14:paraId="41449470" w14:textId="77777777" w:rsidR="004E4918" w:rsidRPr="004E4918" w:rsidRDefault="004E4918" w:rsidP="004E4918">
      <w:pPr>
        <w:tabs>
          <w:tab w:val="left" w:pos="851"/>
        </w:tabs>
        <w:ind w:left="851"/>
        <w:rPr>
          <w:iCs/>
          <w:sz w:val="24"/>
          <w:szCs w:val="24"/>
        </w:rPr>
      </w:pPr>
      <w:r w:rsidRPr="004E4918">
        <w:rPr>
          <w:iCs/>
          <w:sz w:val="24"/>
          <w:szCs w:val="24"/>
        </w:rPr>
        <w:t xml:space="preserve">En anbefalet maksimal daglig dosis på 1,0 ml </w:t>
      </w:r>
      <w:proofErr w:type="spellStart"/>
      <w:r w:rsidRPr="004E4918">
        <w:rPr>
          <w:iCs/>
          <w:sz w:val="24"/>
          <w:szCs w:val="24"/>
        </w:rPr>
        <w:t>Peditrace</w:t>
      </w:r>
      <w:proofErr w:type="spellEnd"/>
      <w:r w:rsidRPr="004E4918">
        <w:rPr>
          <w:iCs/>
          <w:sz w:val="24"/>
          <w:szCs w:val="24"/>
        </w:rPr>
        <w:t xml:space="preserve"> </w:t>
      </w:r>
      <w:proofErr w:type="spellStart"/>
      <w:r w:rsidRPr="004E4918">
        <w:rPr>
          <w:iCs/>
          <w:sz w:val="24"/>
          <w:szCs w:val="24"/>
        </w:rPr>
        <w:t>Novum</w:t>
      </w:r>
      <w:proofErr w:type="spellEnd"/>
      <w:r w:rsidRPr="004E4918">
        <w:rPr>
          <w:iCs/>
          <w:sz w:val="24"/>
          <w:szCs w:val="24"/>
        </w:rPr>
        <w:t xml:space="preserve"> pr. kg legemsvægt dækker de basale behov for de inkluderede sporstoffer. </w:t>
      </w:r>
    </w:p>
    <w:p w14:paraId="7EFF6ED8" w14:textId="77777777" w:rsidR="004E4918" w:rsidRPr="004E4918" w:rsidRDefault="004E4918" w:rsidP="004E4918">
      <w:pPr>
        <w:tabs>
          <w:tab w:val="left" w:pos="851"/>
        </w:tabs>
        <w:ind w:left="851"/>
        <w:rPr>
          <w:i/>
          <w:sz w:val="24"/>
          <w:szCs w:val="24"/>
        </w:rPr>
      </w:pPr>
    </w:p>
    <w:p w14:paraId="284C435D" w14:textId="77777777" w:rsidR="004E4918" w:rsidRPr="004E4918" w:rsidRDefault="004E4918" w:rsidP="004E4918">
      <w:pPr>
        <w:tabs>
          <w:tab w:val="left" w:pos="851"/>
        </w:tabs>
        <w:ind w:left="851"/>
        <w:rPr>
          <w:i/>
          <w:sz w:val="24"/>
          <w:szCs w:val="24"/>
        </w:rPr>
      </w:pPr>
      <w:r w:rsidRPr="004E4918">
        <w:rPr>
          <w:i/>
          <w:sz w:val="24"/>
          <w:szCs w:val="24"/>
        </w:rPr>
        <w:t>Fuldbårne nyfødte, spædbørn og børn, der vejer mindre end 20 kg</w:t>
      </w:r>
    </w:p>
    <w:p w14:paraId="10C11A09" w14:textId="77777777" w:rsidR="004E4918" w:rsidRPr="004E4918" w:rsidRDefault="004E4918" w:rsidP="004E4918">
      <w:pPr>
        <w:tabs>
          <w:tab w:val="left" w:pos="851"/>
        </w:tabs>
        <w:ind w:left="851"/>
        <w:rPr>
          <w:iCs/>
          <w:sz w:val="24"/>
          <w:szCs w:val="24"/>
        </w:rPr>
      </w:pPr>
      <w:r w:rsidRPr="004E4918">
        <w:rPr>
          <w:iCs/>
          <w:sz w:val="24"/>
          <w:szCs w:val="24"/>
        </w:rPr>
        <w:t xml:space="preserve">En anbefalet maksimal daglig dosis på 0,5 ml </w:t>
      </w:r>
      <w:proofErr w:type="spellStart"/>
      <w:r w:rsidRPr="004E4918">
        <w:rPr>
          <w:iCs/>
          <w:sz w:val="24"/>
          <w:szCs w:val="24"/>
        </w:rPr>
        <w:t>Peditrace</w:t>
      </w:r>
      <w:proofErr w:type="spellEnd"/>
      <w:r w:rsidRPr="004E4918">
        <w:rPr>
          <w:iCs/>
          <w:sz w:val="24"/>
          <w:szCs w:val="24"/>
        </w:rPr>
        <w:t xml:space="preserve"> </w:t>
      </w:r>
      <w:proofErr w:type="spellStart"/>
      <w:r w:rsidRPr="004E4918">
        <w:rPr>
          <w:iCs/>
          <w:sz w:val="24"/>
          <w:szCs w:val="24"/>
        </w:rPr>
        <w:t>Novum</w:t>
      </w:r>
      <w:proofErr w:type="spellEnd"/>
      <w:r w:rsidRPr="004E4918">
        <w:rPr>
          <w:iCs/>
          <w:sz w:val="24"/>
          <w:szCs w:val="24"/>
        </w:rPr>
        <w:t xml:space="preserve"> pr. kg legemsvægt dækker de basale behov for de inkluderede sporstoffer. </w:t>
      </w:r>
    </w:p>
    <w:p w14:paraId="5B10772D" w14:textId="77777777" w:rsidR="004E4918" w:rsidRPr="004E4918" w:rsidRDefault="004E4918" w:rsidP="004E4918">
      <w:pPr>
        <w:tabs>
          <w:tab w:val="left" w:pos="851"/>
        </w:tabs>
        <w:ind w:left="851"/>
        <w:rPr>
          <w:i/>
          <w:sz w:val="24"/>
          <w:szCs w:val="24"/>
        </w:rPr>
      </w:pPr>
    </w:p>
    <w:p w14:paraId="21B8E41F" w14:textId="77777777" w:rsidR="004E4918" w:rsidRPr="004E4918" w:rsidRDefault="004E4918" w:rsidP="004E4918">
      <w:pPr>
        <w:tabs>
          <w:tab w:val="left" w:pos="851"/>
        </w:tabs>
        <w:ind w:left="851"/>
        <w:rPr>
          <w:i/>
          <w:sz w:val="24"/>
          <w:szCs w:val="24"/>
        </w:rPr>
      </w:pPr>
      <w:r w:rsidRPr="004E4918">
        <w:rPr>
          <w:i/>
          <w:sz w:val="24"/>
          <w:szCs w:val="24"/>
        </w:rPr>
        <w:t>Børn, der vejer mere end 20 kg og unge</w:t>
      </w:r>
    </w:p>
    <w:p w14:paraId="4D144CE2" w14:textId="77777777" w:rsidR="004E4918" w:rsidRPr="004E4918" w:rsidRDefault="004E4918" w:rsidP="004E4918">
      <w:pPr>
        <w:tabs>
          <w:tab w:val="left" w:pos="851"/>
        </w:tabs>
        <w:ind w:left="851"/>
        <w:rPr>
          <w:iCs/>
          <w:sz w:val="24"/>
          <w:szCs w:val="24"/>
        </w:rPr>
      </w:pPr>
      <w:r w:rsidRPr="004E4918">
        <w:rPr>
          <w:iCs/>
          <w:sz w:val="24"/>
          <w:szCs w:val="24"/>
        </w:rPr>
        <w:t xml:space="preserve">En anbefalet maksimal daglig dosis på 10 ml </w:t>
      </w:r>
      <w:proofErr w:type="spellStart"/>
      <w:r w:rsidRPr="004E4918">
        <w:rPr>
          <w:iCs/>
          <w:sz w:val="24"/>
          <w:szCs w:val="24"/>
        </w:rPr>
        <w:t>Peditrace</w:t>
      </w:r>
      <w:proofErr w:type="spellEnd"/>
      <w:r w:rsidRPr="004E4918">
        <w:rPr>
          <w:iCs/>
          <w:sz w:val="24"/>
          <w:szCs w:val="24"/>
        </w:rPr>
        <w:t xml:space="preserve"> </w:t>
      </w:r>
      <w:proofErr w:type="spellStart"/>
      <w:r w:rsidRPr="004E4918">
        <w:rPr>
          <w:iCs/>
          <w:sz w:val="24"/>
          <w:szCs w:val="24"/>
        </w:rPr>
        <w:t>Novum</w:t>
      </w:r>
      <w:proofErr w:type="spellEnd"/>
      <w:r w:rsidRPr="004E4918">
        <w:rPr>
          <w:iCs/>
          <w:sz w:val="24"/>
          <w:szCs w:val="24"/>
        </w:rPr>
        <w:t xml:space="preserve"> dækker de basale behov for de inkluderede sporstoffer. </w:t>
      </w:r>
    </w:p>
    <w:p w14:paraId="1ED648DB" w14:textId="77777777" w:rsidR="004E4918" w:rsidRPr="004E4918" w:rsidRDefault="004E4918" w:rsidP="004E4918">
      <w:pPr>
        <w:tabs>
          <w:tab w:val="left" w:pos="851"/>
        </w:tabs>
        <w:ind w:left="851"/>
        <w:rPr>
          <w:i/>
          <w:sz w:val="24"/>
          <w:szCs w:val="24"/>
        </w:rPr>
      </w:pPr>
    </w:p>
    <w:p w14:paraId="1DB5A95E" w14:textId="77777777" w:rsidR="004E4918" w:rsidRPr="004E4918" w:rsidRDefault="004E4918" w:rsidP="004E4918">
      <w:pPr>
        <w:tabs>
          <w:tab w:val="left" w:pos="851"/>
        </w:tabs>
        <w:ind w:left="851"/>
        <w:rPr>
          <w:sz w:val="24"/>
          <w:szCs w:val="24"/>
        </w:rPr>
      </w:pPr>
      <w:r w:rsidRPr="004E4918">
        <w:rPr>
          <w:sz w:val="24"/>
          <w:szCs w:val="24"/>
        </w:rPr>
        <w:t xml:space="preserve">Følgende mængder sporstoffer er indeholdt i 0,5 ml, 1,0 ml og 10 ml </w:t>
      </w:r>
      <w:proofErr w:type="spellStart"/>
      <w:r w:rsidRPr="004E4918">
        <w:rPr>
          <w:sz w:val="24"/>
          <w:szCs w:val="24"/>
        </w:rPr>
        <w:t>Peditrace</w:t>
      </w:r>
      <w:proofErr w:type="spellEnd"/>
      <w:r w:rsidRPr="004E4918">
        <w:rPr>
          <w:sz w:val="24"/>
          <w:szCs w:val="24"/>
        </w:rPr>
        <w:t xml:space="preserve"> </w:t>
      </w:r>
      <w:proofErr w:type="spellStart"/>
      <w:r w:rsidRPr="004E4918">
        <w:rPr>
          <w:sz w:val="24"/>
          <w:szCs w:val="24"/>
        </w:rPr>
        <w:t>Novum</w:t>
      </w:r>
      <w:proofErr w:type="spellEnd"/>
      <w:r w:rsidRPr="004E4918">
        <w:rPr>
          <w:sz w:val="24"/>
          <w:szCs w:val="24"/>
        </w:rPr>
        <w:t xml:space="preserve">: </w:t>
      </w:r>
    </w:p>
    <w:p w14:paraId="5D2F2A47" w14:textId="77777777" w:rsidR="004E4918" w:rsidRPr="004E4918" w:rsidRDefault="004E4918" w:rsidP="004E4918">
      <w:pPr>
        <w:tabs>
          <w:tab w:val="left" w:pos="851"/>
        </w:tabs>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126"/>
        <w:gridCol w:w="1985"/>
        <w:gridCol w:w="1984"/>
      </w:tblGrid>
      <w:tr w:rsidR="004E4918" w:rsidRPr="004E4918" w14:paraId="2022E073" w14:textId="77777777" w:rsidTr="004E4918">
        <w:tc>
          <w:tcPr>
            <w:tcW w:w="850" w:type="dxa"/>
            <w:tcBorders>
              <w:top w:val="single" w:sz="4" w:space="0" w:color="auto"/>
              <w:left w:val="single" w:sz="4" w:space="0" w:color="auto"/>
              <w:bottom w:val="single" w:sz="4" w:space="0" w:color="auto"/>
              <w:right w:val="single" w:sz="4" w:space="0" w:color="auto"/>
            </w:tcBorders>
          </w:tcPr>
          <w:p w14:paraId="7575C94B" w14:textId="77777777" w:rsidR="004E4918" w:rsidRPr="004E4918" w:rsidRDefault="004E4918" w:rsidP="004E4918">
            <w:pPr>
              <w:ind w:left="33"/>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42B84AD7" w14:textId="77777777" w:rsidR="004E4918" w:rsidRPr="004E4918" w:rsidRDefault="004E4918" w:rsidP="004E4918">
            <w:pPr>
              <w:rPr>
                <w:sz w:val="24"/>
                <w:szCs w:val="24"/>
                <w:lang w:val="en-GB"/>
              </w:rPr>
            </w:pPr>
            <w:r w:rsidRPr="004E4918">
              <w:rPr>
                <w:sz w:val="24"/>
                <w:szCs w:val="24"/>
                <w:lang w:val="en-GB"/>
              </w:rPr>
              <w:t>0,5 ml</w:t>
            </w:r>
          </w:p>
        </w:tc>
        <w:tc>
          <w:tcPr>
            <w:tcW w:w="1985" w:type="dxa"/>
            <w:tcBorders>
              <w:top w:val="single" w:sz="4" w:space="0" w:color="auto"/>
              <w:left w:val="single" w:sz="4" w:space="0" w:color="auto"/>
              <w:bottom w:val="single" w:sz="4" w:space="0" w:color="auto"/>
              <w:right w:val="single" w:sz="4" w:space="0" w:color="auto"/>
            </w:tcBorders>
            <w:hideMark/>
          </w:tcPr>
          <w:p w14:paraId="331BF90A" w14:textId="77777777" w:rsidR="004E4918" w:rsidRPr="004E4918" w:rsidRDefault="004E4918" w:rsidP="004E4918">
            <w:pPr>
              <w:ind w:left="29"/>
              <w:rPr>
                <w:sz w:val="24"/>
                <w:szCs w:val="24"/>
                <w:lang w:val="en-GB"/>
              </w:rPr>
            </w:pPr>
            <w:r w:rsidRPr="004E4918">
              <w:rPr>
                <w:sz w:val="24"/>
                <w:szCs w:val="24"/>
                <w:lang w:val="en-GB"/>
              </w:rPr>
              <w:t>1,0 ml</w:t>
            </w:r>
          </w:p>
        </w:tc>
        <w:tc>
          <w:tcPr>
            <w:tcW w:w="1984" w:type="dxa"/>
            <w:tcBorders>
              <w:top w:val="single" w:sz="4" w:space="0" w:color="auto"/>
              <w:left w:val="single" w:sz="4" w:space="0" w:color="auto"/>
              <w:bottom w:val="single" w:sz="4" w:space="0" w:color="auto"/>
              <w:right w:val="single" w:sz="4" w:space="0" w:color="auto"/>
            </w:tcBorders>
            <w:hideMark/>
          </w:tcPr>
          <w:p w14:paraId="532DD3CA" w14:textId="77777777" w:rsidR="004E4918" w:rsidRPr="004E4918" w:rsidRDefault="004E4918" w:rsidP="004E4918">
            <w:pPr>
              <w:ind w:left="34"/>
              <w:rPr>
                <w:sz w:val="24"/>
                <w:szCs w:val="24"/>
                <w:lang w:val="en-GB"/>
              </w:rPr>
            </w:pPr>
            <w:r w:rsidRPr="004E4918">
              <w:rPr>
                <w:sz w:val="24"/>
                <w:szCs w:val="24"/>
                <w:lang w:val="en-GB"/>
              </w:rPr>
              <w:t>10 ml</w:t>
            </w:r>
          </w:p>
        </w:tc>
      </w:tr>
      <w:tr w:rsidR="004E4918" w:rsidRPr="004E4918" w14:paraId="44F34DEC" w14:textId="77777777" w:rsidTr="004E4918">
        <w:tc>
          <w:tcPr>
            <w:tcW w:w="850" w:type="dxa"/>
            <w:tcBorders>
              <w:top w:val="single" w:sz="4" w:space="0" w:color="auto"/>
              <w:left w:val="single" w:sz="4" w:space="0" w:color="auto"/>
              <w:bottom w:val="single" w:sz="4" w:space="0" w:color="auto"/>
              <w:right w:val="single" w:sz="4" w:space="0" w:color="auto"/>
            </w:tcBorders>
            <w:hideMark/>
          </w:tcPr>
          <w:p w14:paraId="75095D1D" w14:textId="77777777" w:rsidR="004E4918" w:rsidRPr="004E4918" w:rsidRDefault="004E4918" w:rsidP="004E4918">
            <w:pPr>
              <w:ind w:left="33"/>
              <w:rPr>
                <w:sz w:val="24"/>
                <w:szCs w:val="24"/>
                <w:lang w:val="en-GB"/>
              </w:rPr>
            </w:pPr>
            <w:r w:rsidRPr="004E4918">
              <w:rPr>
                <w:sz w:val="24"/>
                <w:szCs w:val="24"/>
                <w:lang w:val="en-GB"/>
              </w:rPr>
              <w:t>Zn</w:t>
            </w:r>
          </w:p>
        </w:tc>
        <w:tc>
          <w:tcPr>
            <w:tcW w:w="2126" w:type="dxa"/>
            <w:tcBorders>
              <w:top w:val="single" w:sz="4" w:space="0" w:color="auto"/>
              <w:left w:val="single" w:sz="4" w:space="0" w:color="auto"/>
              <w:bottom w:val="single" w:sz="4" w:space="0" w:color="auto"/>
              <w:right w:val="single" w:sz="4" w:space="0" w:color="auto"/>
            </w:tcBorders>
            <w:hideMark/>
          </w:tcPr>
          <w:p w14:paraId="03460A5D" w14:textId="77777777" w:rsidR="004E4918" w:rsidRPr="004E4918" w:rsidRDefault="004E4918" w:rsidP="004E4918">
            <w:pPr>
              <w:rPr>
                <w:sz w:val="24"/>
                <w:szCs w:val="24"/>
                <w:lang w:val="en-GB"/>
              </w:rPr>
            </w:pPr>
            <w:r w:rsidRPr="004E4918">
              <w:rPr>
                <w:sz w:val="24"/>
                <w:szCs w:val="24"/>
                <w:lang w:val="en-GB"/>
              </w:rPr>
              <w:t xml:space="preserve">250 </w:t>
            </w:r>
            <w:proofErr w:type="spellStart"/>
            <w:r w:rsidRPr="004E4918">
              <w:rPr>
                <w:sz w:val="24"/>
                <w:szCs w:val="24"/>
                <w:lang w:val="en-GB"/>
              </w:rPr>
              <w:t>mikrograms</w:t>
            </w:r>
            <w:proofErr w:type="spellEnd"/>
            <w:r w:rsidRPr="004E4918">
              <w:rPr>
                <w:sz w:val="24"/>
                <w:szCs w:val="24"/>
                <w:lang w:val="en-GB"/>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310849C2" w14:textId="77777777" w:rsidR="004E4918" w:rsidRPr="004E4918" w:rsidRDefault="004E4918" w:rsidP="004E4918">
            <w:pPr>
              <w:ind w:left="29"/>
              <w:rPr>
                <w:sz w:val="24"/>
                <w:szCs w:val="24"/>
                <w:lang w:val="en-GB"/>
              </w:rPr>
            </w:pPr>
            <w:r w:rsidRPr="004E4918">
              <w:rPr>
                <w:sz w:val="24"/>
                <w:szCs w:val="24"/>
                <w:lang w:val="en-US"/>
              </w:rPr>
              <w:t xml:space="preserve">500 </w:t>
            </w:r>
            <w:proofErr w:type="spellStart"/>
            <w:r w:rsidRPr="004E4918">
              <w:rPr>
                <w:sz w:val="24"/>
                <w:szCs w:val="24"/>
                <w:lang w:val="en-GB"/>
              </w:rPr>
              <w:t>mikrograms</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26026542" w14:textId="77777777" w:rsidR="004E4918" w:rsidRPr="004E4918" w:rsidRDefault="004E4918" w:rsidP="004E4918">
            <w:pPr>
              <w:ind w:left="34"/>
              <w:rPr>
                <w:sz w:val="24"/>
                <w:szCs w:val="24"/>
                <w:lang w:val="en-US"/>
              </w:rPr>
            </w:pPr>
            <w:r w:rsidRPr="004E4918">
              <w:rPr>
                <w:sz w:val="24"/>
                <w:szCs w:val="24"/>
                <w:lang w:val="en-US"/>
              </w:rPr>
              <w:t xml:space="preserve">5000 </w:t>
            </w:r>
            <w:proofErr w:type="spellStart"/>
            <w:r w:rsidRPr="004E4918">
              <w:rPr>
                <w:sz w:val="24"/>
                <w:szCs w:val="24"/>
                <w:lang w:val="en-US"/>
              </w:rPr>
              <w:t>mikrograms</w:t>
            </w:r>
            <w:proofErr w:type="spellEnd"/>
          </w:p>
        </w:tc>
      </w:tr>
      <w:tr w:rsidR="004E4918" w:rsidRPr="004E4918" w14:paraId="33CC4C91" w14:textId="77777777" w:rsidTr="004E4918">
        <w:tc>
          <w:tcPr>
            <w:tcW w:w="850" w:type="dxa"/>
            <w:tcBorders>
              <w:top w:val="single" w:sz="4" w:space="0" w:color="auto"/>
              <w:left w:val="single" w:sz="4" w:space="0" w:color="auto"/>
              <w:bottom w:val="single" w:sz="4" w:space="0" w:color="auto"/>
              <w:right w:val="single" w:sz="4" w:space="0" w:color="auto"/>
            </w:tcBorders>
            <w:hideMark/>
          </w:tcPr>
          <w:p w14:paraId="4501325F" w14:textId="77777777" w:rsidR="004E4918" w:rsidRPr="004E4918" w:rsidRDefault="004E4918" w:rsidP="004E4918">
            <w:pPr>
              <w:ind w:left="33"/>
              <w:rPr>
                <w:sz w:val="24"/>
                <w:szCs w:val="24"/>
                <w:lang w:val="en-GB"/>
              </w:rPr>
            </w:pPr>
            <w:r w:rsidRPr="004E4918">
              <w:rPr>
                <w:sz w:val="24"/>
                <w:szCs w:val="24"/>
                <w:lang w:val="en-GB"/>
              </w:rPr>
              <w:t>Cu</w:t>
            </w:r>
          </w:p>
        </w:tc>
        <w:tc>
          <w:tcPr>
            <w:tcW w:w="2126" w:type="dxa"/>
            <w:tcBorders>
              <w:top w:val="single" w:sz="4" w:space="0" w:color="auto"/>
              <w:left w:val="single" w:sz="4" w:space="0" w:color="auto"/>
              <w:bottom w:val="single" w:sz="4" w:space="0" w:color="auto"/>
              <w:right w:val="single" w:sz="4" w:space="0" w:color="auto"/>
            </w:tcBorders>
            <w:hideMark/>
          </w:tcPr>
          <w:p w14:paraId="59F645F8" w14:textId="77777777" w:rsidR="004E4918" w:rsidRPr="004E4918" w:rsidRDefault="004E4918" w:rsidP="004E4918">
            <w:pPr>
              <w:rPr>
                <w:sz w:val="24"/>
                <w:szCs w:val="24"/>
                <w:lang w:val="en-GB"/>
              </w:rPr>
            </w:pPr>
            <w:r w:rsidRPr="004E4918">
              <w:rPr>
                <w:sz w:val="24"/>
                <w:szCs w:val="24"/>
                <w:lang w:val="en-GB"/>
              </w:rPr>
              <w:t xml:space="preserve">20,0 </w:t>
            </w:r>
            <w:proofErr w:type="spellStart"/>
            <w:r w:rsidRPr="004E4918">
              <w:rPr>
                <w:sz w:val="24"/>
                <w:szCs w:val="24"/>
                <w:lang w:val="en-GB"/>
              </w:rPr>
              <w:t>mikrograms</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57E724AB" w14:textId="77777777" w:rsidR="004E4918" w:rsidRPr="004E4918" w:rsidRDefault="004E4918" w:rsidP="004E4918">
            <w:pPr>
              <w:ind w:left="29"/>
              <w:rPr>
                <w:sz w:val="24"/>
                <w:szCs w:val="24"/>
                <w:lang w:val="en-GB"/>
              </w:rPr>
            </w:pPr>
            <w:r w:rsidRPr="004E4918">
              <w:rPr>
                <w:sz w:val="24"/>
                <w:szCs w:val="24"/>
                <w:lang w:val="en-US"/>
              </w:rPr>
              <w:t xml:space="preserve">40,0 </w:t>
            </w:r>
            <w:proofErr w:type="spellStart"/>
            <w:r w:rsidRPr="004E4918">
              <w:rPr>
                <w:sz w:val="24"/>
                <w:szCs w:val="24"/>
                <w:lang w:val="en-GB"/>
              </w:rPr>
              <w:t>mikrograms</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59768B56" w14:textId="77777777" w:rsidR="004E4918" w:rsidRPr="004E4918" w:rsidRDefault="004E4918" w:rsidP="004E4918">
            <w:pPr>
              <w:ind w:left="34"/>
              <w:rPr>
                <w:sz w:val="24"/>
                <w:szCs w:val="24"/>
                <w:lang w:val="en-GB"/>
              </w:rPr>
            </w:pPr>
            <w:r w:rsidRPr="004E4918">
              <w:rPr>
                <w:sz w:val="24"/>
                <w:szCs w:val="24"/>
                <w:lang w:val="en-GB"/>
              </w:rPr>
              <w:t xml:space="preserve">400 </w:t>
            </w:r>
            <w:proofErr w:type="spellStart"/>
            <w:r w:rsidRPr="004E4918">
              <w:rPr>
                <w:sz w:val="24"/>
                <w:szCs w:val="24"/>
                <w:lang w:val="en-GB"/>
              </w:rPr>
              <w:t>mikrograms</w:t>
            </w:r>
            <w:proofErr w:type="spellEnd"/>
          </w:p>
        </w:tc>
      </w:tr>
      <w:tr w:rsidR="004E4918" w:rsidRPr="004E4918" w14:paraId="30B67FDD" w14:textId="77777777" w:rsidTr="004E4918">
        <w:tc>
          <w:tcPr>
            <w:tcW w:w="850" w:type="dxa"/>
            <w:tcBorders>
              <w:top w:val="single" w:sz="4" w:space="0" w:color="auto"/>
              <w:left w:val="single" w:sz="4" w:space="0" w:color="auto"/>
              <w:bottom w:val="single" w:sz="4" w:space="0" w:color="auto"/>
              <w:right w:val="single" w:sz="4" w:space="0" w:color="auto"/>
            </w:tcBorders>
            <w:hideMark/>
          </w:tcPr>
          <w:p w14:paraId="3FA226D9" w14:textId="77777777" w:rsidR="004E4918" w:rsidRPr="004E4918" w:rsidRDefault="004E4918" w:rsidP="004E4918">
            <w:pPr>
              <w:ind w:left="33"/>
              <w:rPr>
                <w:sz w:val="24"/>
                <w:szCs w:val="24"/>
                <w:lang w:val="en-GB"/>
              </w:rPr>
            </w:pPr>
            <w:r w:rsidRPr="004E4918">
              <w:rPr>
                <w:sz w:val="24"/>
                <w:szCs w:val="24"/>
                <w:lang w:val="en-GB"/>
              </w:rPr>
              <w:t>Mn</w:t>
            </w:r>
          </w:p>
        </w:tc>
        <w:tc>
          <w:tcPr>
            <w:tcW w:w="2126" w:type="dxa"/>
            <w:tcBorders>
              <w:top w:val="single" w:sz="4" w:space="0" w:color="auto"/>
              <w:left w:val="single" w:sz="4" w:space="0" w:color="auto"/>
              <w:bottom w:val="single" w:sz="4" w:space="0" w:color="auto"/>
              <w:right w:val="single" w:sz="4" w:space="0" w:color="auto"/>
            </w:tcBorders>
            <w:hideMark/>
          </w:tcPr>
          <w:p w14:paraId="4AB93A4F" w14:textId="77777777" w:rsidR="004E4918" w:rsidRPr="004E4918" w:rsidRDefault="004E4918" w:rsidP="004E4918">
            <w:pPr>
              <w:rPr>
                <w:sz w:val="24"/>
                <w:szCs w:val="24"/>
                <w:lang w:val="en-GB"/>
              </w:rPr>
            </w:pPr>
            <w:r w:rsidRPr="004E4918">
              <w:rPr>
                <w:sz w:val="24"/>
                <w:szCs w:val="24"/>
                <w:lang w:val="en-GB"/>
              </w:rPr>
              <w:t xml:space="preserve">0,50 </w:t>
            </w:r>
            <w:proofErr w:type="spellStart"/>
            <w:r w:rsidRPr="004E4918">
              <w:rPr>
                <w:sz w:val="24"/>
                <w:szCs w:val="24"/>
                <w:lang w:val="en-GB"/>
              </w:rPr>
              <w:t>mikrograms</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3EFEBC9F" w14:textId="77777777" w:rsidR="004E4918" w:rsidRPr="004E4918" w:rsidRDefault="004E4918" w:rsidP="004E4918">
            <w:pPr>
              <w:ind w:left="29"/>
              <w:rPr>
                <w:sz w:val="24"/>
                <w:szCs w:val="24"/>
                <w:lang w:val="en-GB"/>
              </w:rPr>
            </w:pPr>
            <w:r w:rsidRPr="004E4918">
              <w:rPr>
                <w:sz w:val="24"/>
                <w:szCs w:val="24"/>
                <w:lang w:val="en-US"/>
              </w:rPr>
              <w:t xml:space="preserve">1,00 </w:t>
            </w:r>
            <w:proofErr w:type="spellStart"/>
            <w:r w:rsidRPr="004E4918">
              <w:rPr>
                <w:sz w:val="24"/>
                <w:szCs w:val="24"/>
                <w:lang w:val="en-GB"/>
              </w:rPr>
              <w:t>mikrograms</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4D96E405" w14:textId="77777777" w:rsidR="004E4918" w:rsidRPr="004E4918" w:rsidRDefault="004E4918" w:rsidP="004E4918">
            <w:pPr>
              <w:ind w:left="34"/>
              <w:rPr>
                <w:sz w:val="24"/>
                <w:szCs w:val="24"/>
                <w:lang w:val="en-GB"/>
              </w:rPr>
            </w:pPr>
            <w:r w:rsidRPr="004E4918">
              <w:rPr>
                <w:sz w:val="24"/>
                <w:szCs w:val="24"/>
                <w:lang w:val="en-GB"/>
              </w:rPr>
              <w:t xml:space="preserve">10,0 </w:t>
            </w:r>
            <w:proofErr w:type="spellStart"/>
            <w:r w:rsidRPr="004E4918">
              <w:rPr>
                <w:sz w:val="24"/>
                <w:szCs w:val="24"/>
                <w:lang w:val="en-GB"/>
              </w:rPr>
              <w:t>mikrograms</w:t>
            </w:r>
            <w:proofErr w:type="spellEnd"/>
          </w:p>
        </w:tc>
      </w:tr>
      <w:tr w:rsidR="004E4918" w:rsidRPr="004E4918" w14:paraId="58085BCD" w14:textId="77777777" w:rsidTr="004E4918">
        <w:tc>
          <w:tcPr>
            <w:tcW w:w="850" w:type="dxa"/>
            <w:tcBorders>
              <w:top w:val="single" w:sz="4" w:space="0" w:color="auto"/>
              <w:left w:val="single" w:sz="4" w:space="0" w:color="auto"/>
              <w:bottom w:val="single" w:sz="4" w:space="0" w:color="auto"/>
              <w:right w:val="single" w:sz="4" w:space="0" w:color="auto"/>
            </w:tcBorders>
            <w:hideMark/>
          </w:tcPr>
          <w:p w14:paraId="64541846" w14:textId="77777777" w:rsidR="004E4918" w:rsidRPr="004E4918" w:rsidRDefault="004E4918" w:rsidP="004E4918">
            <w:pPr>
              <w:ind w:left="33"/>
              <w:rPr>
                <w:sz w:val="24"/>
                <w:szCs w:val="24"/>
                <w:lang w:val="en-GB"/>
              </w:rPr>
            </w:pPr>
            <w:r w:rsidRPr="004E4918">
              <w:rPr>
                <w:sz w:val="24"/>
                <w:szCs w:val="24"/>
                <w:lang w:val="en-GB"/>
              </w:rPr>
              <w:t>Se</w:t>
            </w:r>
          </w:p>
        </w:tc>
        <w:tc>
          <w:tcPr>
            <w:tcW w:w="2126" w:type="dxa"/>
            <w:tcBorders>
              <w:top w:val="single" w:sz="4" w:space="0" w:color="auto"/>
              <w:left w:val="single" w:sz="4" w:space="0" w:color="auto"/>
              <w:bottom w:val="single" w:sz="4" w:space="0" w:color="auto"/>
              <w:right w:val="single" w:sz="4" w:space="0" w:color="auto"/>
            </w:tcBorders>
            <w:hideMark/>
          </w:tcPr>
          <w:p w14:paraId="09343137" w14:textId="77777777" w:rsidR="004E4918" w:rsidRPr="004E4918" w:rsidRDefault="004E4918" w:rsidP="004E4918">
            <w:pPr>
              <w:rPr>
                <w:sz w:val="24"/>
                <w:szCs w:val="24"/>
                <w:lang w:val="en-GB"/>
              </w:rPr>
            </w:pPr>
            <w:r w:rsidRPr="004E4918">
              <w:rPr>
                <w:sz w:val="24"/>
                <w:szCs w:val="24"/>
                <w:lang w:val="en-GB"/>
              </w:rPr>
              <w:t xml:space="preserve">3,50 </w:t>
            </w:r>
            <w:proofErr w:type="spellStart"/>
            <w:r w:rsidRPr="004E4918">
              <w:rPr>
                <w:sz w:val="24"/>
                <w:szCs w:val="24"/>
                <w:lang w:val="en-GB"/>
              </w:rPr>
              <w:t>mikrograms</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3250C128" w14:textId="77777777" w:rsidR="004E4918" w:rsidRPr="004E4918" w:rsidRDefault="004E4918" w:rsidP="004E4918">
            <w:pPr>
              <w:ind w:left="29"/>
              <w:rPr>
                <w:sz w:val="24"/>
                <w:szCs w:val="24"/>
                <w:lang w:val="en-GB"/>
              </w:rPr>
            </w:pPr>
            <w:r w:rsidRPr="004E4918">
              <w:rPr>
                <w:sz w:val="24"/>
                <w:szCs w:val="24"/>
                <w:lang w:val="en-US"/>
              </w:rPr>
              <w:t xml:space="preserve">7,00 </w:t>
            </w:r>
            <w:proofErr w:type="spellStart"/>
            <w:r w:rsidRPr="004E4918">
              <w:rPr>
                <w:sz w:val="24"/>
                <w:szCs w:val="24"/>
                <w:lang w:val="en-GB"/>
              </w:rPr>
              <w:t>mikrograms</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5F0EDB85" w14:textId="77777777" w:rsidR="004E4918" w:rsidRPr="004E4918" w:rsidRDefault="004E4918" w:rsidP="004E4918">
            <w:pPr>
              <w:ind w:left="34"/>
              <w:rPr>
                <w:sz w:val="24"/>
                <w:szCs w:val="24"/>
                <w:lang w:val="en-GB"/>
              </w:rPr>
            </w:pPr>
            <w:r w:rsidRPr="004E4918">
              <w:rPr>
                <w:sz w:val="24"/>
                <w:szCs w:val="24"/>
                <w:lang w:val="en-GB"/>
              </w:rPr>
              <w:t xml:space="preserve">70,0 </w:t>
            </w:r>
            <w:proofErr w:type="spellStart"/>
            <w:r w:rsidRPr="004E4918">
              <w:rPr>
                <w:sz w:val="24"/>
                <w:szCs w:val="24"/>
                <w:lang w:val="en-GB"/>
              </w:rPr>
              <w:t>mikrograms</w:t>
            </w:r>
            <w:proofErr w:type="spellEnd"/>
          </w:p>
        </w:tc>
      </w:tr>
      <w:tr w:rsidR="004E4918" w:rsidRPr="004E4918" w14:paraId="6B0A393C" w14:textId="77777777" w:rsidTr="004E4918">
        <w:tc>
          <w:tcPr>
            <w:tcW w:w="850" w:type="dxa"/>
            <w:tcBorders>
              <w:top w:val="single" w:sz="4" w:space="0" w:color="auto"/>
              <w:left w:val="single" w:sz="4" w:space="0" w:color="auto"/>
              <w:bottom w:val="single" w:sz="4" w:space="0" w:color="auto"/>
              <w:right w:val="single" w:sz="4" w:space="0" w:color="auto"/>
            </w:tcBorders>
            <w:hideMark/>
          </w:tcPr>
          <w:p w14:paraId="53B6A32F" w14:textId="77777777" w:rsidR="004E4918" w:rsidRPr="004E4918" w:rsidRDefault="004E4918" w:rsidP="004E4918">
            <w:pPr>
              <w:ind w:left="33"/>
              <w:rPr>
                <w:sz w:val="24"/>
                <w:szCs w:val="24"/>
                <w:lang w:val="en-GB"/>
              </w:rPr>
            </w:pPr>
            <w:r w:rsidRPr="004E4918">
              <w:rPr>
                <w:sz w:val="24"/>
                <w:szCs w:val="24"/>
                <w:lang w:val="en-GB"/>
              </w:rPr>
              <w:t>I</w:t>
            </w:r>
          </w:p>
        </w:tc>
        <w:tc>
          <w:tcPr>
            <w:tcW w:w="2126" w:type="dxa"/>
            <w:tcBorders>
              <w:top w:val="single" w:sz="4" w:space="0" w:color="auto"/>
              <w:left w:val="single" w:sz="4" w:space="0" w:color="auto"/>
              <w:bottom w:val="single" w:sz="4" w:space="0" w:color="auto"/>
              <w:right w:val="single" w:sz="4" w:space="0" w:color="auto"/>
            </w:tcBorders>
            <w:hideMark/>
          </w:tcPr>
          <w:p w14:paraId="209F2881" w14:textId="77777777" w:rsidR="004E4918" w:rsidRPr="004E4918" w:rsidRDefault="004E4918" w:rsidP="004E4918">
            <w:pPr>
              <w:rPr>
                <w:sz w:val="24"/>
                <w:szCs w:val="24"/>
                <w:lang w:val="en-GB"/>
              </w:rPr>
            </w:pPr>
            <w:r w:rsidRPr="004E4918">
              <w:rPr>
                <w:sz w:val="24"/>
                <w:szCs w:val="24"/>
                <w:lang w:val="en-GB"/>
              </w:rPr>
              <w:t xml:space="preserve">0,98 </w:t>
            </w:r>
            <w:proofErr w:type="spellStart"/>
            <w:r w:rsidRPr="004E4918">
              <w:rPr>
                <w:sz w:val="24"/>
                <w:szCs w:val="24"/>
                <w:lang w:val="en-GB"/>
              </w:rPr>
              <w:t>mikrograms</w:t>
            </w:r>
            <w:proofErr w:type="spellEnd"/>
          </w:p>
        </w:tc>
        <w:tc>
          <w:tcPr>
            <w:tcW w:w="1985" w:type="dxa"/>
            <w:tcBorders>
              <w:top w:val="single" w:sz="4" w:space="0" w:color="auto"/>
              <w:left w:val="single" w:sz="4" w:space="0" w:color="auto"/>
              <w:bottom w:val="single" w:sz="4" w:space="0" w:color="auto"/>
              <w:right w:val="single" w:sz="4" w:space="0" w:color="auto"/>
            </w:tcBorders>
            <w:hideMark/>
          </w:tcPr>
          <w:p w14:paraId="14E19BF5" w14:textId="77777777" w:rsidR="004E4918" w:rsidRPr="004E4918" w:rsidRDefault="004E4918" w:rsidP="004E4918">
            <w:pPr>
              <w:ind w:left="29"/>
              <w:rPr>
                <w:sz w:val="24"/>
                <w:szCs w:val="24"/>
                <w:lang w:val="en-GB"/>
              </w:rPr>
            </w:pPr>
            <w:r w:rsidRPr="004E4918">
              <w:rPr>
                <w:sz w:val="24"/>
                <w:szCs w:val="24"/>
                <w:lang w:val="en-US"/>
              </w:rPr>
              <w:t xml:space="preserve">1,96 </w:t>
            </w:r>
            <w:proofErr w:type="spellStart"/>
            <w:r w:rsidRPr="004E4918">
              <w:rPr>
                <w:sz w:val="24"/>
                <w:szCs w:val="24"/>
                <w:lang w:val="en-GB"/>
              </w:rPr>
              <w:t>mikrograms</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2E28B73C" w14:textId="77777777" w:rsidR="004E4918" w:rsidRPr="004E4918" w:rsidRDefault="004E4918" w:rsidP="004E4918">
            <w:pPr>
              <w:ind w:left="34"/>
              <w:rPr>
                <w:sz w:val="24"/>
                <w:szCs w:val="24"/>
                <w:lang w:val="en-GB"/>
              </w:rPr>
            </w:pPr>
            <w:r w:rsidRPr="004E4918">
              <w:rPr>
                <w:sz w:val="24"/>
                <w:szCs w:val="24"/>
                <w:lang w:val="en-GB"/>
              </w:rPr>
              <w:t xml:space="preserve">19,6 </w:t>
            </w:r>
            <w:proofErr w:type="spellStart"/>
            <w:r w:rsidRPr="004E4918">
              <w:rPr>
                <w:sz w:val="24"/>
                <w:szCs w:val="24"/>
                <w:lang w:val="en-GB"/>
              </w:rPr>
              <w:t>mikrograms</w:t>
            </w:r>
            <w:proofErr w:type="spellEnd"/>
          </w:p>
        </w:tc>
      </w:tr>
    </w:tbl>
    <w:p w14:paraId="024294BB" w14:textId="77777777" w:rsidR="004E4918" w:rsidRPr="004E4918" w:rsidRDefault="004E4918" w:rsidP="004E4918">
      <w:pPr>
        <w:tabs>
          <w:tab w:val="left" w:pos="851"/>
        </w:tabs>
        <w:ind w:left="851"/>
        <w:rPr>
          <w:sz w:val="24"/>
          <w:szCs w:val="24"/>
          <w:lang w:val="en-GB"/>
        </w:rPr>
      </w:pPr>
    </w:p>
    <w:p w14:paraId="4F508CFE" w14:textId="77777777" w:rsidR="004E4918" w:rsidRPr="004E4918" w:rsidRDefault="004E4918" w:rsidP="004E4918">
      <w:pPr>
        <w:tabs>
          <w:tab w:val="left" w:pos="851"/>
        </w:tabs>
        <w:ind w:left="851"/>
        <w:rPr>
          <w:sz w:val="24"/>
          <w:szCs w:val="24"/>
        </w:rPr>
      </w:pPr>
      <w:r w:rsidRPr="004E4918">
        <w:rPr>
          <w:sz w:val="24"/>
          <w:szCs w:val="24"/>
        </w:rPr>
        <w:t xml:space="preserve">Udover sporstofferne indeholdt i </w:t>
      </w:r>
      <w:proofErr w:type="spellStart"/>
      <w:r w:rsidRPr="004E4918">
        <w:rPr>
          <w:sz w:val="24"/>
          <w:szCs w:val="24"/>
        </w:rPr>
        <w:t>Peditrace</w:t>
      </w:r>
      <w:proofErr w:type="spellEnd"/>
      <w:r w:rsidRPr="004E4918">
        <w:rPr>
          <w:sz w:val="24"/>
          <w:szCs w:val="24"/>
        </w:rPr>
        <w:t xml:space="preserve"> </w:t>
      </w:r>
      <w:proofErr w:type="spellStart"/>
      <w:r w:rsidRPr="004E4918">
        <w:rPr>
          <w:sz w:val="24"/>
          <w:szCs w:val="24"/>
        </w:rPr>
        <w:t>Novum</w:t>
      </w:r>
      <w:proofErr w:type="spellEnd"/>
      <w:r w:rsidRPr="004E4918">
        <w:rPr>
          <w:sz w:val="24"/>
          <w:szCs w:val="24"/>
        </w:rPr>
        <w:t xml:space="preserve"> anbefales daglige jerninfusioner, når patienterne får parenteral ernæring i mere end 3 uger. Tilsætning af molybdæn til parenteral ernæring er anbefalet, hvis patienterne får parenteral ernæring i mere end 4 uger. </w:t>
      </w:r>
    </w:p>
    <w:p w14:paraId="603DDBEB" w14:textId="77777777" w:rsidR="004E4918" w:rsidRPr="004E4918" w:rsidRDefault="004E4918" w:rsidP="004E4918">
      <w:pPr>
        <w:tabs>
          <w:tab w:val="left" w:pos="851"/>
        </w:tabs>
        <w:ind w:left="851"/>
        <w:rPr>
          <w:sz w:val="24"/>
          <w:szCs w:val="24"/>
        </w:rPr>
      </w:pPr>
    </w:p>
    <w:bookmarkEnd w:id="1"/>
    <w:p w14:paraId="402AA994" w14:textId="77777777" w:rsidR="004E4918" w:rsidRPr="004E4918" w:rsidRDefault="004E4918" w:rsidP="004E4918">
      <w:pPr>
        <w:tabs>
          <w:tab w:val="left" w:pos="851"/>
        </w:tabs>
        <w:ind w:left="851"/>
        <w:rPr>
          <w:sz w:val="24"/>
          <w:szCs w:val="24"/>
        </w:rPr>
      </w:pPr>
      <w:r w:rsidRPr="004E4918">
        <w:rPr>
          <w:sz w:val="24"/>
          <w:szCs w:val="24"/>
        </w:rPr>
        <w:t xml:space="preserve">For instruktioner vedrørende dosisjusteringer i specifikke patientgrupper, se pkt. 4.4. </w:t>
      </w:r>
    </w:p>
    <w:p w14:paraId="3FB85920" w14:textId="77777777" w:rsidR="004E4918" w:rsidRPr="004E4918" w:rsidRDefault="004E4918" w:rsidP="004E4918">
      <w:pPr>
        <w:tabs>
          <w:tab w:val="left" w:pos="851"/>
        </w:tabs>
        <w:ind w:left="851"/>
        <w:rPr>
          <w:sz w:val="24"/>
          <w:szCs w:val="24"/>
          <w:u w:val="single"/>
        </w:rPr>
      </w:pPr>
    </w:p>
    <w:p w14:paraId="1E3FE99C" w14:textId="77777777" w:rsidR="004E4918" w:rsidRPr="004E4918" w:rsidRDefault="004E4918" w:rsidP="004E4918">
      <w:pPr>
        <w:tabs>
          <w:tab w:val="left" w:pos="851"/>
        </w:tabs>
        <w:ind w:left="851"/>
        <w:rPr>
          <w:sz w:val="24"/>
          <w:szCs w:val="24"/>
          <w:u w:val="single"/>
        </w:rPr>
      </w:pPr>
      <w:bookmarkStart w:id="2" w:name="_Hlk132977706"/>
      <w:r w:rsidRPr="004E4918">
        <w:rPr>
          <w:sz w:val="24"/>
          <w:szCs w:val="24"/>
          <w:u w:val="single"/>
        </w:rPr>
        <w:t>Administration</w:t>
      </w:r>
    </w:p>
    <w:p w14:paraId="14F1B601" w14:textId="77777777" w:rsidR="004E4918" w:rsidRPr="004E4918" w:rsidRDefault="004E4918" w:rsidP="004E4918">
      <w:pPr>
        <w:tabs>
          <w:tab w:val="left" w:pos="851"/>
        </w:tabs>
        <w:ind w:left="851"/>
        <w:rPr>
          <w:sz w:val="24"/>
          <w:szCs w:val="24"/>
        </w:rPr>
      </w:pPr>
      <w:proofErr w:type="spellStart"/>
      <w:r w:rsidRPr="004E4918">
        <w:rPr>
          <w:sz w:val="24"/>
          <w:szCs w:val="24"/>
        </w:rPr>
        <w:t>Peditrace</w:t>
      </w:r>
      <w:proofErr w:type="spellEnd"/>
      <w:r w:rsidRPr="004E4918">
        <w:rPr>
          <w:sz w:val="24"/>
          <w:szCs w:val="24"/>
        </w:rPr>
        <w:t xml:space="preserve"> </w:t>
      </w:r>
      <w:proofErr w:type="spellStart"/>
      <w:r w:rsidRPr="004E4918">
        <w:rPr>
          <w:sz w:val="24"/>
          <w:szCs w:val="24"/>
        </w:rPr>
        <w:t>Novum</w:t>
      </w:r>
      <w:proofErr w:type="spellEnd"/>
      <w:r w:rsidRPr="004E4918">
        <w:rPr>
          <w:sz w:val="24"/>
          <w:szCs w:val="24"/>
        </w:rPr>
        <w:t xml:space="preserve"> må ikke gives ufortyndet. </w:t>
      </w:r>
      <w:proofErr w:type="spellStart"/>
      <w:r w:rsidRPr="004E4918">
        <w:rPr>
          <w:sz w:val="24"/>
          <w:szCs w:val="24"/>
        </w:rPr>
        <w:t>Peditrace</w:t>
      </w:r>
      <w:proofErr w:type="spellEnd"/>
      <w:r w:rsidRPr="004E4918">
        <w:rPr>
          <w:sz w:val="24"/>
          <w:szCs w:val="24"/>
        </w:rPr>
        <w:t xml:space="preserve"> </w:t>
      </w:r>
      <w:proofErr w:type="spellStart"/>
      <w:r w:rsidRPr="004E4918">
        <w:rPr>
          <w:sz w:val="24"/>
          <w:szCs w:val="24"/>
        </w:rPr>
        <w:t>Novum</w:t>
      </w:r>
      <w:proofErr w:type="spellEnd"/>
      <w:r w:rsidRPr="004E4918">
        <w:rPr>
          <w:sz w:val="24"/>
          <w:szCs w:val="24"/>
        </w:rPr>
        <w:t xml:space="preserve"> skal gives som en intravenøs infusion, fortyndet i en parenteral ernæringsopløsning/emulsion. Hastigheden og varigheden af infusionen bestemmes af hastigheden og varigheden af infusionen af den parenterale ernæringsopløsning. </w:t>
      </w:r>
    </w:p>
    <w:bookmarkEnd w:id="2"/>
    <w:p w14:paraId="17DFFDE9" w14:textId="77777777" w:rsidR="004E4918" w:rsidRPr="004E4918" w:rsidRDefault="004E4918" w:rsidP="004E4918">
      <w:pPr>
        <w:tabs>
          <w:tab w:val="left" w:pos="851"/>
        </w:tabs>
        <w:ind w:left="851"/>
        <w:rPr>
          <w:i/>
          <w:sz w:val="24"/>
          <w:szCs w:val="24"/>
        </w:rPr>
      </w:pPr>
    </w:p>
    <w:p w14:paraId="071C9A4E" w14:textId="77777777" w:rsidR="004E4918" w:rsidRPr="004E4918" w:rsidRDefault="004E4918" w:rsidP="004E4918">
      <w:pPr>
        <w:tabs>
          <w:tab w:val="left" w:pos="851"/>
        </w:tabs>
        <w:ind w:left="851"/>
        <w:rPr>
          <w:sz w:val="24"/>
          <w:szCs w:val="24"/>
        </w:rPr>
      </w:pPr>
      <w:r w:rsidRPr="004E4918">
        <w:rPr>
          <w:sz w:val="24"/>
          <w:szCs w:val="24"/>
        </w:rPr>
        <w:t>For instruktioner om tilberedning af lægemidlet før administration, se pkt. 6.6.</w:t>
      </w:r>
    </w:p>
    <w:p w14:paraId="7E4DFCA4" w14:textId="77777777" w:rsidR="009260DE" w:rsidRPr="00C84483" w:rsidRDefault="009260DE" w:rsidP="009260DE">
      <w:pPr>
        <w:tabs>
          <w:tab w:val="left" w:pos="851"/>
        </w:tabs>
        <w:ind w:left="851"/>
        <w:rPr>
          <w:sz w:val="24"/>
          <w:szCs w:val="24"/>
        </w:rPr>
      </w:pPr>
    </w:p>
    <w:p w14:paraId="10E20D93"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3D28E2C5" w14:textId="77777777" w:rsidR="005C310C" w:rsidRPr="005C310C" w:rsidRDefault="005C310C" w:rsidP="005C310C">
      <w:pPr>
        <w:numPr>
          <w:ilvl w:val="0"/>
          <w:numId w:val="8"/>
        </w:numPr>
        <w:tabs>
          <w:tab w:val="left" w:pos="851"/>
        </w:tabs>
        <w:ind w:left="1134" w:hanging="283"/>
        <w:rPr>
          <w:sz w:val="24"/>
          <w:szCs w:val="24"/>
        </w:rPr>
      </w:pPr>
      <w:r w:rsidRPr="005C310C">
        <w:rPr>
          <w:sz w:val="24"/>
          <w:szCs w:val="24"/>
        </w:rPr>
        <w:t>Overfølsomhed over for de aktive stoffer eller over for et eller flere af hjælpestofferne anført i pkt. 6.1.</w:t>
      </w:r>
    </w:p>
    <w:p w14:paraId="64906F97" w14:textId="38270C81" w:rsidR="005C310C" w:rsidRPr="005C310C" w:rsidRDefault="005C310C" w:rsidP="005C310C">
      <w:pPr>
        <w:numPr>
          <w:ilvl w:val="0"/>
          <w:numId w:val="8"/>
        </w:numPr>
        <w:tabs>
          <w:tab w:val="left" w:pos="851"/>
        </w:tabs>
        <w:ind w:left="1134" w:hanging="283"/>
        <w:rPr>
          <w:sz w:val="24"/>
          <w:szCs w:val="24"/>
        </w:rPr>
      </w:pPr>
      <w:r w:rsidRPr="005C310C">
        <w:rPr>
          <w:sz w:val="24"/>
          <w:szCs w:val="24"/>
        </w:rPr>
        <w:t>Wilsons sygdom</w:t>
      </w:r>
      <w:r>
        <w:rPr>
          <w:sz w:val="24"/>
          <w:szCs w:val="24"/>
        </w:rPr>
        <w:t>.</w:t>
      </w:r>
    </w:p>
    <w:p w14:paraId="7A37A579" w14:textId="77777777" w:rsidR="009260DE" w:rsidRPr="00C84483" w:rsidRDefault="009260DE" w:rsidP="009260DE">
      <w:pPr>
        <w:tabs>
          <w:tab w:val="left" w:pos="851"/>
        </w:tabs>
        <w:ind w:left="851"/>
        <w:rPr>
          <w:sz w:val="24"/>
          <w:szCs w:val="24"/>
        </w:rPr>
      </w:pPr>
    </w:p>
    <w:p w14:paraId="43D3F93C" w14:textId="77777777" w:rsidR="009260DE" w:rsidRPr="00C84483" w:rsidRDefault="009260DE" w:rsidP="009260DE">
      <w:pPr>
        <w:tabs>
          <w:tab w:val="left" w:pos="851"/>
        </w:tabs>
        <w:ind w:left="851" w:hanging="851"/>
        <w:rPr>
          <w:b/>
          <w:sz w:val="24"/>
          <w:szCs w:val="24"/>
        </w:rPr>
      </w:pPr>
      <w:r w:rsidRPr="00C84483">
        <w:rPr>
          <w:b/>
          <w:sz w:val="24"/>
          <w:szCs w:val="24"/>
        </w:rPr>
        <w:lastRenderedPageBreak/>
        <w:t>4.4</w:t>
      </w:r>
      <w:r w:rsidRPr="00C84483">
        <w:rPr>
          <w:b/>
          <w:sz w:val="24"/>
          <w:szCs w:val="24"/>
        </w:rPr>
        <w:tab/>
        <w:t>Særlige advarsler og forsigtighedsregler vedrørende brugen</w:t>
      </w:r>
    </w:p>
    <w:p w14:paraId="0A747C35" w14:textId="77777777" w:rsidR="002F7475" w:rsidRPr="002F7475" w:rsidRDefault="002F7475" w:rsidP="002F7475">
      <w:pPr>
        <w:tabs>
          <w:tab w:val="left" w:pos="851"/>
        </w:tabs>
        <w:ind w:left="851"/>
        <w:rPr>
          <w:sz w:val="24"/>
          <w:szCs w:val="24"/>
        </w:rPr>
      </w:pPr>
      <w:bookmarkStart w:id="3" w:name="_Hlk132977540"/>
      <w:proofErr w:type="spellStart"/>
      <w:r w:rsidRPr="002F7475">
        <w:rPr>
          <w:sz w:val="24"/>
          <w:szCs w:val="24"/>
        </w:rPr>
        <w:t>Peditrace</w:t>
      </w:r>
      <w:proofErr w:type="spellEnd"/>
      <w:r w:rsidRPr="002F7475">
        <w:rPr>
          <w:sz w:val="24"/>
          <w:szCs w:val="24"/>
        </w:rPr>
        <w:t xml:space="preserve"> </w:t>
      </w:r>
      <w:proofErr w:type="spellStart"/>
      <w:r w:rsidRPr="002F7475">
        <w:rPr>
          <w:sz w:val="24"/>
          <w:szCs w:val="24"/>
        </w:rPr>
        <w:t>Novum</w:t>
      </w:r>
      <w:proofErr w:type="spellEnd"/>
      <w:r w:rsidRPr="002F7475">
        <w:rPr>
          <w:sz w:val="24"/>
          <w:szCs w:val="24"/>
        </w:rPr>
        <w:t xml:space="preserve"> bør anvendes med forsigtighed til patienter med nedsat nyrefunktion, hvor udskillelsen af selen, zink og jod kan være signifikant nedsat. Der er en øget risiko for akkumulering af sporstoffer hos disse patienter. </w:t>
      </w:r>
    </w:p>
    <w:p w14:paraId="31CDB48D" w14:textId="77777777" w:rsidR="002F7475" w:rsidRPr="002F7475" w:rsidRDefault="002F7475" w:rsidP="002F7475">
      <w:pPr>
        <w:tabs>
          <w:tab w:val="left" w:pos="851"/>
        </w:tabs>
        <w:ind w:left="851"/>
        <w:rPr>
          <w:sz w:val="24"/>
          <w:szCs w:val="24"/>
        </w:rPr>
      </w:pPr>
    </w:p>
    <w:p w14:paraId="3B946103" w14:textId="77777777" w:rsidR="002F7475" w:rsidRPr="002F7475" w:rsidRDefault="002F7475" w:rsidP="002F7475">
      <w:pPr>
        <w:tabs>
          <w:tab w:val="left" w:pos="851"/>
        </w:tabs>
        <w:ind w:left="851"/>
        <w:rPr>
          <w:sz w:val="24"/>
          <w:szCs w:val="24"/>
        </w:rPr>
      </w:pPr>
      <w:proofErr w:type="spellStart"/>
      <w:r w:rsidRPr="002F7475">
        <w:rPr>
          <w:sz w:val="24"/>
          <w:szCs w:val="24"/>
        </w:rPr>
        <w:t>Peditrace</w:t>
      </w:r>
      <w:proofErr w:type="spellEnd"/>
      <w:r w:rsidRPr="002F7475">
        <w:rPr>
          <w:sz w:val="24"/>
          <w:szCs w:val="24"/>
        </w:rPr>
        <w:t xml:space="preserve"> </w:t>
      </w:r>
      <w:proofErr w:type="spellStart"/>
      <w:r w:rsidRPr="002F7475">
        <w:rPr>
          <w:sz w:val="24"/>
          <w:szCs w:val="24"/>
        </w:rPr>
        <w:t>Novum</w:t>
      </w:r>
      <w:proofErr w:type="spellEnd"/>
      <w:r w:rsidRPr="002F7475">
        <w:rPr>
          <w:sz w:val="24"/>
          <w:szCs w:val="24"/>
        </w:rPr>
        <w:t xml:space="preserve"> bør anvendes med forsigtighed til patienter med leverdysfunktion (særligt </w:t>
      </w:r>
      <w:proofErr w:type="spellStart"/>
      <w:r w:rsidRPr="002F7475">
        <w:rPr>
          <w:sz w:val="24"/>
          <w:szCs w:val="24"/>
        </w:rPr>
        <w:t>kolestase</w:t>
      </w:r>
      <w:proofErr w:type="spellEnd"/>
      <w:r w:rsidRPr="002F7475">
        <w:rPr>
          <w:sz w:val="24"/>
          <w:szCs w:val="24"/>
        </w:rPr>
        <w:t xml:space="preserve">), hvor udskillelsen af kobber og mangan kan være nedsat. </w:t>
      </w:r>
    </w:p>
    <w:p w14:paraId="465A771F" w14:textId="77777777" w:rsidR="002F7475" w:rsidRPr="002F7475" w:rsidRDefault="002F7475" w:rsidP="002F7475">
      <w:pPr>
        <w:tabs>
          <w:tab w:val="left" w:pos="851"/>
        </w:tabs>
        <w:ind w:left="851"/>
        <w:rPr>
          <w:sz w:val="24"/>
          <w:szCs w:val="24"/>
        </w:rPr>
      </w:pPr>
    </w:p>
    <w:p w14:paraId="1798C199" w14:textId="77777777" w:rsidR="002F7475" w:rsidRPr="002F7475" w:rsidRDefault="002F7475" w:rsidP="002F7475">
      <w:pPr>
        <w:tabs>
          <w:tab w:val="left" w:pos="851"/>
        </w:tabs>
        <w:ind w:left="851"/>
        <w:rPr>
          <w:sz w:val="24"/>
          <w:szCs w:val="24"/>
        </w:rPr>
      </w:pPr>
      <w:bookmarkStart w:id="4" w:name="_Hlk132977561"/>
      <w:bookmarkEnd w:id="3"/>
      <w:r w:rsidRPr="002F7475">
        <w:rPr>
          <w:sz w:val="24"/>
          <w:szCs w:val="24"/>
        </w:rPr>
        <w:t xml:space="preserve">Hos patienter med nedsat galdeudskillelse kan elimineringen af mangan, kobber og zink være reduceret. Kliniske tegn på akkumulering af sporstoffer kan kræve dosisreduktion eller afbrydelse i brugen af </w:t>
      </w:r>
      <w:proofErr w:type="spellStart"/>
      <w:r w:rsidRPr="002F7475">
        <w:rPr>
          <w:sz w:val="24"/>
          <w:szCs w:val="24"/>
        </w:rPr>
        <w:t>Peditrace</w:t>
      </w:r>
      <w:proofErr w:type="spellEnd"/>
      <w:r w:rsidRPr="002F7475">
        <w:rPr>
          <w:sz w:val="24"/>
          <w:szCs w:val="24"/>
        </w:rPr>
        <w:t xml:space="preserve"> </w:t>
      </w:r>
      <w:proofErr w:type="spellStart"/>
      <w:r w:rsidRPr="002F7475">
        <w:rPr>
          <w:sz w:val="24"/>
          <w:szCs w:val="24"/>
        </w:rPr>
        <w:t>Novum</w:t>
      </w:r>
      <w:proofErr w:type="spellEnd"/>
      <w:r w:rsidRPr="002F7475">
        <w:rPr>
          <w:sz w:val="24"/>
          <w:szCs w:val="24"/>
        </w:rPr>
        <w:t xml:space="preserve"> hos disse patienter. </w:t>
      </w:r>
    </w:p>
    <w:p w14:paraId="5A47BC2F" w14:textId="77777777" w:rsidR="002F7475" w:rsidRPr="002F7475" w:rsidRDefault="002F7475" w:rsidP="002F7475">
      <w:pPr>
        <w:tabs>
          <w:tab w:val="left" w:pos="851"/>
        </w:tabs>
        <w:ind w:left="851"/>
        <w:rPr>
          <w:sz w:val="24"/>
          <w:szCs w:val="24"/>
        </w:rPr>
      </w:pPr>
    </w:p>
    <w:p w14:paraId="0D0B3A5C" w14:textId="77777777" w:rsidR="002F7475" w:rsidRPr="002F7475" w:rsidRDefault="002F7475" w:rsidP="002F7475">
      <w:pPr>
        <w:tabs>
          <w:tab w:val="left" w:pos="851"/>
        </w:tabs>
        <w:ind w:left="851"/>
        <w:rPr>
          <w:sz w:val="24"/>
          <w:szCs w:val="24"/>
        </w:rPr>
      </w:pPr>
      <w:r w:rsidRPr="002F7475">
        <w:rPr>
          <w:sz w:val="24"/>
          <w:szCs w:val="24"/>
        </w:rPr>
        <w:t xml:space="preserve">Dosisjusteringer kan være nødvendige hos patienter med nedsat nyrefunktion og nedsat leverfunktion eller mild </w:t>
      </w:r>
      <w:proofErr w:type="spellStart"/>
      <w:r w:rsidRPr="002F7475">
        <w:rPr>
          <w:sz w:val="24"/>
          <w:szCs w:val="24"/>
        </w:rPr>
        <w:t>kolestase</w:t>
      </w:r>
      <w:proofErr w:type="spellEnd"/>
      <w:r w:rsidRPr="002F7475">
        <w:rPr>
          <w:sz w:val="24"/>
          <w:szCs w:val="24"/>
        </w:rPr>
        <w:t xml:space="preserve">. </w:t>
      </w:r>
    </w:p>
    <w:p w14:paraId="02CA8263" w14:textId="77777777" w:rsidR="002F7475" w:rsidRPr="002F7475" w:rsidRDefault="002F7475" w:rsidP="002F7475">
      <w:pPr>
        <w:tabs>
          <w:tab w:val="left" w:pos="851"/>
        </w:tabs>
        <w:ind w:left="851"/>
        <w:rPr>
          <w:sz w:val="24"/>
          <w:szCs w:val="24"/>
        </w:rPr>
      </w:pPr>
    </w:p>
    <w:p w14:paraId="2DF8D4D3" w14:textId="77777777" w:rsidR="002F7475" w:rsidRPr="002F7475" w:rsidRDefault="002F7475" w:rsidP="002F7475">
      <w:pPr>
        <w:tabs>
          <w:tab w:val="left" w:pos="851"/>
        </w:tabs>
        <w:ind w:left="851"/>
        <w:rPr>
          <w:sz w:val="24"/>
          <w:szCs w:val="24"/>
        </w:rPr>
      </w:pPr>
      <w:proofErr w:type="spellStart"/>
      <w:r w:rsidRPr="002F7475">
        <w:rPr>
          <w:sz w:val="24"/>
          <w:szCs w:val="24"/>
        </w:rPr>
        <w:t>Peditrace</w:t>
      </w:r>
      <w:proofErr w:type="spellEnd"/>
      <w:r w:rsidRPr="002F7475">
        <w:rPr>
          <w:sz w:val="24"/>
          <w:szCs w:val="24"/>
        </w:rPr>
        <w:t xml:space="preserve"> </w:t>
      </w:r>
      <w:proofErr w:type="spellStart"/>
      <w:r w:rsidRPr="002F7475">
        <w:rPr>
          <w:sz w:val="24"/>
          <w:szCs w:val="24"/>
        </w:rPr>
        <w:t>Novum</w:t>
      </w:r>
      <w:proofErr w:type="spellEnd"/>
      <w:r w:rsidRPr="002F7475">
        <w:rPr>
          <w:sz w:val="24"/>
          <w:szCs w:val="24"/>
        </w:rPr>
        <w:t xml:space="preserve"> bør anvendes med forsigtighed til patienter med </w:t>
      </w:r>
      <w:proofErr w:type="spellStart"/>
      <w:r w:rsidRPr="002F7475">
        <w:rPr>
          <w:sz w:val="24"/>
          <w:szCs w:val="24"/>
        </w:rPr>
        <w:t>hyperthyroidisme</w:t>
      </w:r>
      <w:proofErr w:type="spellEnd"/>
      <w:r w:rsidRPr="002F7475">
        <w:rPr>
          <w:sz w:val="24"/>
          <w:szCs w:val="24"/>
        </w:rPr>
        <w:t xml:space="preserve">. Hos disse patienter kan jod øge symptomerne på </w:t>
      </w:r>
      <w:proofErr w:type="spellStart"/>
      <w:r w:rsidRPr="002F7475">
        <w:rPr>
          <w:sz w:val="24"/>
          <w:szCs w:val="24"/>
        </w:rPr>
        <w:t>hyperthyroidisme</w:t>
      </w:r>
      <w:proofErr w:type="spellEnd"/>
      <w:r w:rsidRPr="002F7475">
        <w:rPr>
          <w:sz w:val="24"/>
          <w:szCs w:val="24"/>
        </w:rPr>
        <w:t xml:space="preserve"> (f.eks. struma). </w:t>
      </w:r>
    </w:p>
    <w:p w14:paraId="3E0979B9" w14:textId="77777777" w:rsidR="002F7475" w:rsidRPr="002F7475" w:rsidRDefault="002F7475" w:rsidP="002F7475">
      <w:pPr>
        <w:tabs>
          <w:tab w:val="left" w:pos="851"/>
        </w:tabs>
        <w:ind w:left="851"/>
        <w:rPr>
          <w:sz w:val="24"/>
          <w:szCs w:val="24"/>
        </w:rPr>
      </w:pPr>
    </w:p>
    <w:p w14:paraId="0C8F7B3D" w14:textId="77777777" w:rsidR="002F7475" w:rsidRPr="002F7475" w:rsidRDefault="002F7475" w:rsidP="002F7475">
      <w:pPr>
        <w:tabs>
          <w:tab w:val="left" w:pos="851"/>
        </w:tabs>
        <w:ind w:left="851"/>
        <w:rPr>
          <w:sz w:val="24"/>
          <w:szCs w:val="24"/>
        </w:rPr>
      </w:pPr>
      <w:r w:rsidRPr="002F7475">
        <w:rPr>
          <w:sz w:val="24"/>
          <w:szCs w:val="24"/>
        </w:rPr>
        <w:t xml:space="preserve">Ingen justering af </w:t>
      </w:r>
      <w:proofErr w:type="spellStart"/>
      <w:r w:rsidRPr="002F7475">
        <w:rPr>
          <w:sz w:val="24"/>
          <w:szCs w:val="24"/>
        </w:rPr>
        <w:t>Peditrace</w:t>
      </w:r>
      <w:proofErr w:type="spellEnd"/>
      <w:r w:rsidRPr="002F7475">
        <w:rPr>
          <w:sz w:val="24"/>
          <w:szCs w:val="24"/>
        </w:rPr>
        <w:t xml:space="preserve"> </w:t>
      </w:r>
      <w:proofErr w:type="spellStart"/>
      <w:r w:rsidRPr="002F7475">
        <w:rPr>
          <w:sz w:val="24"/>
          <w:szCs w:val="24"/>
        </w:rPr>
        <w:t>Novum</w:t>
      </w:r>
      <w:proofErr w:type="spellEnd"/>
      <w:r w:rsidRPr="002F7475">
        <w:rPr>
          <w:sz w:val="24"/>
          <w:szCs w:val="24"/>
        </w:rPr>
        <w:t xml:space="preserve"> er påkrævet i tilfælde af yderligere indtag af jod gennem </w:t>
      </w:r>
      <w:proofErr w:type="spellStart"/>
      <w:r w:rsidRPr="002F7475">
        <w:rPr>
          <w:sz w:val="24"/>
          <w:szCs w:val="24"/>
        </w:rPr>
        <w:t>jodbaseret</w:t>
      </w:r>
      <w:proofErr w:type="spellEnd"/>
      <w:r w:rsidRPr="002F7475">
        <w:rPr>
          <w:sz w:val="24"/>
          <w:szCs w:val="24"/>
        </w:rPr>
        <w:t xml:space="preserve"> antiseptisk middel. </w:t>
      </w:r>
    </w:p>
    <w:p w14:paraId="77777C25" w14:textId="77777777" w:rsidR="002F7475" w:rsidRPr="002F7475" w:rsidRDefault="002F7475" w:rsidP="002F7475">
      <w:pPr>
        <w:tabs>
          <w:tab w:val="left" w:pos="851"/>
        </w:tabs>
        <w:ind w:left="851"/>
        <w:rPr>
          <w:sz w:val="24"/>
          <w:szCs w:val="24"/>
        </w:rPr>
      </w:pPr>
    </w:p>
    <w:p w14:paraId="3DE27EFE" w14:textId="77777777" w:rsidR="002F7475" w:rsidRPr="002F7475" w:rsidRDefault="002F7475" w:rsidP="002F7475">
      <w:pPr>
        <w:tabs>
          <w:tab w:val="left" w:pos="851"/>
        </w:tabs>
        <w:ind w:left="851"/>
        <w:rPr>
          <w:sz w:val="24"/>
          <w:szCs w:val="24"/>
        </w:rPr>
      </w:pPr>
      <w:r w:rsidRPr="002F7475">
        <w:rPr>
          <w:sz w:val="24"/>
          <w:szCs w:val="24"/>
        </w:rPr>
        <w:t>Dette lægemiddel indeholder mindre end 1 mmol (23 mg) natrium pr. 10 ml ampul, dvs. det er i det væsentlige natriumfrit.</w:t>
      </w:r>
    </w:p>
    <w:p w14:paraId="352EB150" w14:textId="77777777" w:rsidR="002F7475" w:rsidRPr="002F7475" w:rsidRDefault="002F7475" w:rsidP="002F7475">
      <w:pPr>
        <w:tabs>
          <w:tab w:val="left" w:pos="851"/>
        </w:tabs>
        <w:ind w:left="851"/>
        <w:rPr>
          <w:sz w:val="24"/>
          <w:szCs w:val="24"/>
        </w:rPr>
      </w:pPr>
    </w:p>
    <w:p w14:paraId="5B551823" w14:textId="77777777" w:rsidR="002F7475" w:rsidRPr="002F7475" w:rsidRDefault="002F7475" w:rsidP="002F7475">
      <w:pPr>
        <w:tabs>
          <w:tab w:val="left" w:pos="851"/>
        </w:tabs>
        <w:ind w:left="851"/>
        <w:rPr>
          <w:sz w:val="24"/>
          <w:szCs w:val="24"/>
        </w:rPr>
      </w:pPr>
      <w:r w:rsidRPr="002F7475">
        <w:rPr>
          <w:sz w:val="24"/>
          <w:szCs w:val="24"/>
        </w:rPr>
        <w:t>Dette lægemiddel indeholder mindre end 1 mmol (39 mg) kalium pr. 10 ml ampul, dvs. det er i det væsentlige kaliumfrit.</w:t>
      </w:r>
    </w:p>
    <w:bookmarkEnd w:id="4"/>
    <w:p w14:paraId="6A8BDAE4" w14:textId="77777777" w:rsidR="002F7475" w:rsidRPr="002F7475" w:rsidRDefault="002F7475" w:rsidP="002F7475">
      <w:pPr>
        <w:tabs>
          <w:tab w:val="left" w:pos="851"/>
        </w:tabs>
        <w:ind w:left="851"/>
        <w:rPr>
          <w:sz w:val="24"/>
          <w:szCs w:val="24"/>
        </w:rPr>
      </w:pPr>
    </w:p>
    <w:p w14:paraId="1259576A" w14:textId="77777777" w:rsidR="002F7475" w:rsidRPr="005D59D4" w:rsidRDefault="002F7475" w:rsidP="002F7475">
      <w:pPr>
        <w:tabs>
          <w:tab w:val="left" w:pos="851"/>
        </w:tabs>
        <w:ind w:left="851"/>
        <w:rPr>
          <w:iCs/>
          <w:sz w:val="24"/>
          <w:szCs w:val="24"/>
          <w:u w:val="single"/>
        </w:rPr>
      </w:pPr>
      <w:bookmarkStart w:id="5" w:name="_Hlk132977599"/>
      <w:r w:rsidRPr="005D59D4">
        <w:rPr>
          <w:iCs/>
          <w:sz w:val="24"/>
          <w:szCs w:val="24"/>
          <w:u w:val="single"/>
        </w:rPr>
        <w:t>Længerevarende parenteral ernæring</w:t>
      </w:r>
    </w:p>
    <w:p w14:paraId="087B3748" w14:textId="77777777" w:rsidR="002F7475" w:rsidRPr="002F7475" w:rsidRDefault="002F7475" w:rsidP="002F7475">
      <w:pPr>
        <w:tabs>
          <w:tab w:val="left" w:pos="851"/>
        </w:tabs>
        <w:ind w:left="851"/>
        <w:rPr>
          <w:sz w:val="24"/>
          <w:szCs w:val="24"/>
        </w:rPr>
      </w:pPr>
      <w:r w:rsidRPr="002F7475">
        <w:rPr>
          <w:sz w:val="24"/>
          <w:szCs w:val="24"/>
        </w:rPr>
        <w:t xml:space="preserve">Akkumulering af sporstoffer, især af mangan, kan forekomme hos patienter som får længerevarende parenteral ernæring. Hvis behandlingen fortsætter i mere end 4 uger, bør manganniveauet monitoreres. Forekomsten af neurologiske tegn (f.eks. angst, hurtige øjenbevægelser) kan indikere mulig manganoverbelastning, som også kan opstå ved visse medicinske tilstande og fra parenteral ernæring. Akkumulering af mangan kan kræve dosisreduktion eller afbrydelse i brugen af </w:t>
      </w:r>
      <w:proofErr w:type="spellStart"/>
      <w:r w:rsidRPr="002F7475">
        <w:rPr>
          <w:sz w:val="24"/>
          <w:szCs w:val="24"/>
        </w:rPr>
        <w:t>Peditrace</w:t>
      </w:r>
      <w:proofErr w:type="spellEnd"/>
      <w:r w:rsidRPr="002F7475">
        <w:rPr>
          <w:sz w:val="24"/>
          <w:szCs w:val="24"/>
        </w:rPr>
        <w:t xml:space="preserve"> </w:t>
      </w:r>
      <w:proofErr w:type="spellStart"/>
      <w:r w:rsidRPr="002F7475">
        <w:rPr>
          <w:sz w:val="24"/>
          <w:szCs w:val="24"/>
        </w:rPr>
        <w:t>Novum</w:t>
      </w:r>
      <w:proofErr w:type="spellEnd"/>
      <w:r w:rsidRPr="002F7475">
        <w:rPr>
          <w:sz w:val="24"/>
          <w:szCs w:val="24"/>
        </w:rPr>
        <w:t>.</w:t>
      </w:r>
    </w:p>
    <w:p w14:paraId="7A047A5A" w14:textId="77777777" w:rsidR="002F7475" w:rsidRPr="002F7475" w:rsidRDefault="002F7475" w:rsidP="002F7475">
      <w:pPr>
        <w:tabs>
          <w:tab w:val="left" w:pos="851"/>
        </w:tabs>
        <w:ind w:left="851"/>
        <w:rPr>
          <w:sz w:val="24"/>
          <w:szCs w:val="24"/>
        </w:rPr>
      </w:pPr>
      <w:r w:rsidRPr="002F7475">
        <w:rPr>
          <w:sz w:val="24"/>
          <w:szCs w:val="24"/>
        </w:rPr>
        <w:t xml:space="preserve">Mangel på sporstoffer kan forekomme, især kobber, zink og selen, hos patienter, der får længerevarende parenteral ernæring. I tilfælde af mangel, bør disse individuelle sporstoffer gives separat. </w:t>
      </w:r>
    </w:p>
    <w:bookmarkEnd w:id="5"/>
    <w:p w14:paraId="18D6CD8D" w14:textId="77777777" w:rsidR="002F7475" w:rsidRPr="002F7475" w:rsidRDefault="002F7475" w:rsidP="002F7475">
      <w:pPr>
        <w:tabs>
          <w:tab w:val="left" w:pos="851"/>
        </w:tabs>
        <w:ind w:left="851"/>
        <w:rPr>
          <w:sz w:val="24"/>
          <w:szCs w:val="24"/>
        </w:rPr>
      </w:pPr>
    </w:p>
    <w:p w14:paraId="36EB9EC4" w14:textId="77777777" w:rsidR="009260DE" w:rsidRPr="00C84483" w:rsidRDefault="009260DE" w:rsidP="009260DE">
      <w:pPr>
        <w:tabs>
          <w:tab w:val="left" w:pos="851"/>
        </w:tabs>
        <w:ind w:left="851"/>
        <w:rPr>
          <w:sz w:val="24"/>
          <w:szCs w:val="24"/>
        </w:rPr>
      </w:pPr>
    </w:p>
    <w:p w14:paraId="0836A723"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6E91A2AE" w14:textId="77777777" w:rsidR="005D59D4" w:rsidRPr="005D59D4" w:rsidRDefault="005D59D4" w:rsidP="005D59D4">
      <w:pPr>
        <w:tabs>
          <w:tab w:val="left" w:pos="851"/>
        </w:tabs>
        <w:ind w:left="851"/>
        <w:rPr>
          <w:sz w:val="24"/>
          <w:szCs w:val="24"/>
        </w:rPr>
      </w:pPr>
      <w:r w:rsidRPr="005D59D4">
        <w:rPr>
          <w:sz w:val="24"/>
          <w:szCs w:val="24"/>
        </w:rPr>
        <w:t>Der er ikke udført interaktionsstudier.</w:t>
      </w:r>
    </w:p>
    <w:p w14:paraId="020C37B5" w14:textId="77777777" w:rsidR="009260DE" w:rsidRPr="00C84483" w:rsidRDefault="009260DE" w:rsidP="009260DE">
      <w:pPr>
        <w:tabs>
          <w:tab w:val="left" w:pos="851"/>
        </w:tabs>
        <w:ind w:left="851"/>
        <w:rPr>
          <w:sz w:val="24"/>
          <w:szCs w:val="24"/>
        </w:rPr>
      </w:pPr>
    </w:p>
    <w:p w14:paraId="29C1C4B7"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4E6597A4" w14:textId="77777777" w:rsidR="005D59D4" w:rsidRDefault="005D59D4" w:rsidP="005D59D4">
      <w:pPr>
        <w:tabs>
          <w:tab w:val="left" w:pos="851"/>
        </w:tabs>
        <w:ind w:left="851"/>
        <w:rPr>
          <w:i/>
          <w:iCs/>
          <w:sz w:val="24"/>
          <w:szCs w:val="24"/>
        </w:rPr>
      </w:pPr>
    </w:p>
    <w:p w14:paraId="337822F2" w14:textId="49C2B9FA" w:rsidR="005D59D4" w:rsidRPr="005D59D4" w:rsidRDefault="005D59D4" w:rsidP="005D59D4">
      <w:pPr>
        <w:tabs>
          <w:tab w:val="left" w:pos="851"/>
        </w:tabs>
        <w:ind w:left="851"/>
        <w:rPr>
          <w:iCs/>
          <w:sz w:val="24"/>
          <w:szCs w:val="24"/>
          <w:u w:val="single"/>
        </w:rPr>
      </w:pPr>
      <w:r w:rsidRPr="005D59D4">
        <w:rPr>
          <w:iCs/>
          <w:sz w:val="24"/>
          <w:szCs w:val="24"/>
          <w:u w:val="single"/>
        </w:rPr>
        <w:t>Graviditet</w:t>
      </w:r>
    </w:p>
    <w:p w14:paraId="22E17941" w14:textId="77777777" w:rsidR="005D59D4" w:rsidRPr="005D59D4" w:rsidRDefault="005D59D4" w:rsidP="005D59D4">
      <w:pPr>
        <w:tabs>
          <w:tab w:val="left" w:pos="851"/>
        </w:tabs>
        <w:ind w:left="851"/>
        <w:rPr>
          <w:sz w:val="24"/>
          <w:szCs w:val="24"/>
        </w:rPr>
      </w:pPr>
      <w:r w:rsidRPr="005D59D4">
        <w:rPr>
          <w:sz w:val="24"/>
          <w:szCs w:val="24"/>
        </w:rPr>
        <w:t xml:space="preserve">Der er ingen data om eksponering af </w:t>
      </w:r>
      <w:proofErr w:type="spellStart"/>
      <w:r w:rsidRPr="005D59D4">
        <w:rPr>
          <w:sz w:val="24"/>
          <w:szCs w:val="24"/>
        </w:rPr>
        <w:t>Peditrace</w:t>
      </w:r>
      <w:proofErr w:type="spellEnd"/>
      <w:r w:rsidRPr="005D59D4">
        <w:rPr>
          <w:sz w:val="24"/>
          <w:szCs w:val="24"/>
        </w:rPr>
        <w:t xml:space="preserve"> </w:t>
      </w:r>
      <w:proofErr w:type="spellStart"/>
      <w:r w:rsidRPr="005D59D4">
        <w:rPr>
          <w:sz w:val="24"/>
          <w:szCs w:val="24"/>
        </w:rPr>
        <w:t>Novum</w:t>
      </w:r>
      <w:proofErr w:type="spellEnd"/>
      <w:r w:rsidRPr="005D59D4">
        <w:rPr>
          <w:sz w:val="24"/>
          <w:szCs w:val="24"/>
        </w:rPr>
        <w:t xml:space="preserve"> til gravide kvinder. Gravide kvinders behov for sporstoffer er let forhøjet sammenlignet med ikke-gravide kvinders. </w:t>
      </w:r>
    </w:p>
    <w:p w14:paraId="3EF57633" w14:textId="2A775708" w:rsidR="005D59D4" w:rsidRDefault="005D59D4">
      <w:pPr>
        <w:rPr>
          <w:sz w:val="24"/>
          <w:szCs w:val="24"/>
        </w:rPr>
      </w:pPr>
      <w:r>
        <w:rPr>
          <w:sz w:val="24"/>
          <w:szCs w:val="24"/>
        </w:rPr>
        <w:br w:type="page"/>
      </w:r>
    </w:p>
    <w:p w14:paraId="3F528953" w14:textId="77777777" w:rsidR="005D59D4" w:rsidRPr="005D59D4" w:rsidRDefault="005D59D4" w:rsidP="005D59D4">
      <w:pPr>
        <w:tabs>
          <w:tab w:val="left" w:pos="851"/>
        </w:tabs>
        <w:ind w:left="851"/>
        <w:rPr>
          <w:sz w:val="24"/>
          <w:szCs w:val="24"/>
        </w:rPr>
      </w:pPr>
    </w:p>
    <w:p w14:paraId="69C45638" w14:textId="77777777" w:rsidR="005D59D4" w:rsidRPr="005D59D4" w:rsidRDefault="005D59D4" w:rsidP="005D59D4">
      <w:pPr>
        <w:tabs>
          <w:tab w:val="left" w:pos="851"/>
        </w:tabs>
        <w:ind w:left="851"/>
        <w:rPr>
          <w:iCs/>
          <w:sz w:val="24"/>
          <w:szCs w:val="24"/>
          <w:u w:val="single"/>
        </w:rPr>
      </w:pPr>
      <w:r w:rsidRPr="005D59D4">
        <w:rPr>
          <w:iCs/>
          <w:sz w:val="24"/>
          <w:szCs w:val="24"/>
          <w:u w:val="single"/>
        </w:rPr>
        <w:t>Amning</w:t>
      </w:r>
    </w:p>
    <w:p w14:paraId="2C2C9E6D" w14:textId="77777777" w:rsidR="005D59D4" w:rsidRPr="005D59D4" w:rsidRDefault="005D59D4" w:rsidP="005D59D4">
      <w:pPr>
        <w:tabs>
          <w:tab w:val="left" w:pos="851"/>
        </w:tabs>
        <w:ind w:left="851"/>
        <w:rPr>
          <w:sz w:val="24"/>
          <w:szCs w:val="24"/>
        </w:rPr>
      </w:pPr>
      <w:r w:rsidRPr="005D59D4">
        <w:rPr>
          <w:sz w:val="24"/>
          <w:szCs w:val="24"/>
        </w:rPr>
        <w:t xml:space="preserve">Der er ingen data om eksponering af </w:t>
      </w:r>
      <w:proofErr w:type="spellStart"/>
      <w:r w:rsidRPr="005D59D4">
        <w:rPr>
          <w:sz w:val="24"/>
          <w:szCs w:val="24"/>
        </w:rPr>
        <w:t>Peditrace</w:t>
      </w:r>
      <w:proofErr w:type="spellEnd"/>
      <w:r w:rsidRPr="005D59D4">
        <w:rPr>
          <w:sz w:val="24"/>
          <w:szCs w:val="24"/>
        </w:rPr>
        <w:t xml:space="preserve"> </w:t>
      </w:r>
      <w:proofErr w:type="spellStart"/>
      <w:r w:rsidRPr="005D59D4">
        <w:rPr>
          <w:sz w:val="24"/>
          <w:szCs w:val="24"/>
        </w:rPr>
        <w:t>Novum</w:t>
      </w:r>
      <w:proofErr w:type="spellEnd"/>
      <w:r w:rsidRPr="005D59D4">
        <w:rPr>
          <w:sz w:val="24"/>
          <w:szCs w:val="24"/>
        </w:rPr>
        <w:t xml:space="preserve"> til ammende kvinder. De aktive stoffer i </w:t>
      </w:r>
      <w:proofErr w:type="spellStart"/>
      <w:r w:rsidRPr="005D59D4">
        <w:rPr>
          <w:sz w:val="24"/>
          <w:szCs w:val="24"/>
        </w:rPr>
        <w:t>Peditrace</w:t>
      </w:r>
      <w:proofErr w:type="spellEnd"/>
      <w:r w:rsidRPr="005D59D4">
        <w:rPr>
          <w:sz w:val="24"/>
          <w:szCs w:val="24"/>
        </w:rPr>
        <w:t xml:space="preserve"> </w:t>
      </w:r>
      <w:proofErr w:type="spellStart"/>
      <w:r w:rsidRPr="005D59D4">
        <w:rPr>
          <w:sz w:val="24"/>
          <w:szCs w:val="24"/>
        </w:rPr>
        <w:t>Novum</w:t>
      </w:r>
      <w:proofErr w:type="spellEnd"/>
      <w:r w:rsidRPr="005D59D4">
        <w:rPr>
          <w:sz w:val="24"/>
          <w:szCs w:val="24"/>
        </w:rPr>
        <w:t xml:space="preserve"> bliver udskilt i modermælken. </w:t>
      </w:r>
    </w:p>
    <w:p w14:paraId="46C68DA5" w14:textId="77777777" w:rsidR="005D59D4" w:rsidRPr="005D59D4" w:rsidRDefault="005D59D4" w:rsidP="005D59D4">
      <w:pPr>
        <w:tabs>
          <w:tab w:val="left" w:pos="851"/>
        </w:tabs>
        <w:ind w:left="851"/>
        <w:rPr>
          <w:i/>
          <w:iCs/>
          <w:sz w:val="24"/>
          <w:szCs w:val="24"/>
        </w:rPr>
      </w:pPr>
    </w:p>
    <w:p w14:paraId="4A34C8CF" w14:textId="77777777" w:rsidR="005D59D4" w:rsidRPr="005D59D4" w:rsidRDefault="005D59D4" w:rsidP="005D59D4">
      <w:pPr>
        <w:tabs>
          <w:tab w:val="left" w:pos="851"/>
        </w:tabs>
        <w:ind w:left="851"/>
        <w:rPr>
          <w:iCs/>
          <w:sz w:val="24"/>
          <w:szCs w:val="24"/>
          <w:u w:val="single"/>
        </w:rPr>
      </w:pPr>
      <w:r w:rsidRPr="005D59D4">
        <w:rPr>
          <w:iCs/>
          <w:sz w:val="24"/>
          <w:szCs w:val="24"/>
          <w:u w:val="single"/>
        </w:rPr>
        <w:t>Fertilitet</w:t>
      </w:r>
    </w:p>
    <w:p w14:paraId="66088D2E" w14:textId="77777777" w:rsidR="005D59D4" w:rsidRPr="005D59D4" w:rsidRDefault="005D59D4" w:rsidP="005D59D4">
      <w:pPr>
        <w:tabs>
          <w:tab w:val="left" w:pos="851"/>
        </w:tabs>
        <w:ind w:left="851"/>
        <w:rPr>
          <w:sz w:val="24"/>
          <w:szCs w:val="24"/>
        </w:rPr>
      </w:pPr>
      <w:r w:rsidRPr="005D59D4">
        <w:rPr>
          <w:sz w:val="24"/>
          <w:szCs w:val="24"/>
        </w:rPr>
        <w:t xml:space="preserve">Der er ingen tilgængelige data om fertilitet. </w:t>
      </w:r>
    </w:p>
    <w:p w14:paraId="04579717" w14:textId="77777777" w:rsidR="009260DE" w:rsidRPr="00C84483" w:rsidRDefault="009260DE" w:rsidP="009260DE">
      <w:pPr>
        <w:tabs>
          <w:tab w:val="left" w:pos="851"/>
        </w:tabs>
        <w:ind w:left="851"/>
        <w:rPr>
          <w:sz w:val="24"/>
          <w:szCs w:val="24"/>
        </w:rPr>
      </w:pPr>
    </w:p>
    <w:p w14:paraId="2F4C094D"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3BF70A40" w14:textId="0276656C" w:rsidR="003D5096" w:rsidRPr="003D5096" w:rsidRDefault="003D5096" w:rsidP="003D5096">
      <w:pPr>
        <w:tabs>
          <w:tab w:val="left" w:pos="851"/>
        </w:tabs>
        <w:ind w:left="851"/>
        <w:rPr>
          <w:sz w:val="24"/>
          <w:szCs w:val="24"/>
        </w:rPr>
      </w:pPr>
      <w:r w:rsidRPr="003D5096">
        <w:rPr>
          <w:sz w:val="24"/>
          <w:szCs w:val="24"/>
        </w:rPr>
        <w:t>Ikke mærkning</w:t>
      </w:r>
      <w:r>
        <w:rPr>
          <w:sz w:val="24"/>
          <w:szCs w:val="24"/>
        </w:rPr>
        <w:t>.</w:t>
      </w:r>
    </w:p>
    <w:p w14:paraId="0F5113EB" w14:textId="77777777" w:rsidR="003D5096" w:rsidRPr="003D5096" w:rsidRDefault="003D5096" w:rsidP="003D5096">
      <w:pPr>
        <w:tabs>
          <w:tab w:val="left" w:pos="851"/>
        </w:tabs>
        <w:ind w:left="851"/>
        <w:rPr>
          <w:sz w:val="24"/>
          <w:szCs w:val="24"/>
        </w:rPr>
      </w:pPr>
      <w:r w:rsidRPr="003D5096">
        <w:rPr>
          <w:sz w:val="24"/>
          <w:szCs w:val="24"/>
        </w:rPr>
        <w:t>Ikke relevant.</w:t>
      </w:r>
    </w:p>
    <w:p w14:paraId="0A1E32C3" w14:textId="77777777" w:rsidR="009260DE" w:rsidRPr="00C84483" w:rsidRDefault="009260DE" w:rsidP="009260DE">
      <w:pPr>
        <w:tabs>
          <w:tab w:val="left" w:pos="851"/>
        </w:tabs>
        <w:ind w:left="851"/>
        <w:rPr>
          <w:sz w:val="24"/>
          <w:szCs w:val="24"/>
        </w:rPr>
      </w:pPr>
    </w:p>
    <w:p w14:paraId="438E0EAC"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11FF360C" w14:textId="77777777" w:rsidR="00B7296C" w:rsidRPr="00B7296C" w:rsidRDefault="00B7296C" w:rsidP="00B7296C">
      <w:pPr>
        <w:tabs>
          <w:tab w:val="left" w:pos="851"/>
        </w:tabs>
        <w:ind w:left="851"/>
        <w:rPr>
          <w:sz w:val="24"/>
          <w:szCs w:val="24"/>
        </w:rPr>
      </w:pPr>
      <w:r w:rsidRPr="00B7296C">
        <w:rPr>
          <w:sz w:val="24"/>
          <w:szCs w:val="24"/>
        </w:rPr>
        <w:t xml:space="preserve">Der er ingen bivirkninger rapporteret relateret til infusion af tilsvarende sporstofprodukt fra </w:t>
      </w:r>
      <w:proofErr w:type="spellStart"/>
      <w:r w:rsidRPr="00B7296C">
        <w:rPr>
          <w:sz w:val="24"/>
          <w:szCs w:val="24"/>
        </w:rPr>
        <w:t>Fresenius</w:t>
      </w:r>
      <w:proofErr w:type="spellEnd"/>
      <w:r w:rsidRPr="00B7296C">
        <w:rPr>
          <w:sz w:val="24"/>
          <w:szCs w:val="24"/>
        </w:rPr>
        <w:t xml:space="preserve"> </w:t>
      </w:r>
      <w:proofErr w:type="spellStart"/>
      <w:r w:rsidRPr="00B7296C">
        <w:rPr>
          <w:sz w:val="24"/>
          <w:szCs w:val="24"/>
        </w:rPr>
        <w:t>Kabi</w:t>
      </w:r>
      <w:proofErr w:type="spellEnd"/>
      <w:r w:rsidRPr="00B7296C">
        <w:rPr>
          <w:sz w:val="24"/>
          <w:szCs w:val="24"/>
        </w:rPr>
        <w:t xml:space="preserve">. </w:t>
      </w:r>
    </w:p>
    <w:p w14:paraId="06C91D3D" w14:textId="77777777" w:rsidR="00B7296C" w:rsidRPr="00B7296C" w:rsidRDefault="00B7296C" w:rsidP="00B7296C">
      <w:pPr>
        <w:tabs>
          <w:tab w:val="left" w:pos="851"/>
        </w:tabs>
        <w:ind w:left="851"/>
        <w:rPr>
          <w:sz w:val="24"/>
          <w:szCs w:val="24"/>
        </w:rPr>
      </w:pPr>
    </w:p>
    <w:p w14:paraId="6C736D72" w14:textId="77777777" w:rsidR="00B7296C" w:rsidRPr="00B7296C" w:rsidRDefault="00B7296C" w:rsidP="00B7296C">
      <w:pPr>
        <w:tabs>
          <w:tab w:val="left" w:pos="851"/>
        </w:tabs>
        <w:ind w:left="851"/>
        <w:rPr>
          <w:sz w:val="24"/>
          <w:szCs w:val="24"/>
          <w:u w:val="single"/>
        </w:rPr>
      </w:pPr>
      <w:r w:rsidRPr="00B7296C">
        <w:rPr>
          <w:sz w:val="24"/>
          <w:szCs w:val="24"/>
          <w:u w:val="single"/>
        </w:rPr>
        <w:t>Indberetning af formodede bivirkninger</w:t>
      </w:r>
    </w:p>
    <w:p w14:paraId="233AA8C6" w14:textId="77777777" w:rsidR="00B7296C" w:rsidRPr="00B7296C" w:rsidRDefault="00B7296C" w:rsidP="00B7296C">
      <w:pPr>
        <w:tabs>
          <w:tab w:val="left" w:pos="851"/>
        </w:tabs>
        <w:ind w:left="851"/>
        <w:rPr>
          <w:sz w:val="24"/>
          <w:szCs w:val="24"/>
        </w:rPr>
      </w:pPr>
      <w:r w:rsidRPr="00B7296C">
        <w:rPr>
          <w:sz w:val="24"/>
          <w:szCs w:val="24"/>
        </w:rPr>
        <w:t>Når lægemidlet er godkendt, er indberetning af formodede bivirkninger vigtig. Det muliggør løbende overvågning af benefit/</w:t>
      </w:r>
      <w:proofErr w:type="spellStart"/>
      <w:r w:rsidRPr="00B7296C">
        <w:rPr>
          <w:sz w:val="24"/>
          <w:szCs w:val="24"/>
        </w:rPr>
        <w:t>risk</w:t>
      </w:r>
      <w:proofErr w:type="spellEnd"/>
      <w:r w:rsidRPr="00B7296C">
        <w:rPr>
          <w:sz w:val="24"/>
          <w:szCs w:val="24"/>
        </w:rPr>
        <w:t>-forholdet for lægemidlet. Sundhedspersoner anmodes om at indberette alle formodede bivirkninger via:</w:t>
      </w:r>
    </w:p>
    <w:p w14:paraId="1C697F3C" w14:textId="77777777" w:rsidR="00B7296C" w:rsidRPr="00B7296C" w:rsidRDefault="00B7296C" w:rsidP="00B7296C">
      <w:pPr>
        <w:tabs>
          <w:tab w:val="left" w:pos="851"/>
        </w:tabs>
        <w:ind w:left="851"/>
        <w:rPr>
          <w:sz w:val="24"/>
          <w:szCs w:val="24"/>
        </w:rPr>
      </w:pPr>
    </w:p>
    <w:p w14:paraId="1642E955" w14:textId="77777777" w:rsidR="00B7296C" w:rsidRPr="00B7296C" w:rsidRDefault="00B7296C" w:rsidP="00B7296C">
      <w:pPr>
        <w:tabs>
          <w:tab w:val="left" w:pos="851"/>
        </w:tabs>
        <w:ind w:left="851"/>
        <w:rPr>
          <w:sz w:val="24"/>
          <w:szCs w:val="24"/>
        </w:rPr>
      </w:pPr>
      <w:r w:rsidRPr="00B7296C">
        <w:rPr>
          <w:sz w:val="24"/>
          <w:szCs w:val="24"/>
        </w:rPr>
        <w:t>Lægemiddelstyrelsen</w:t>
      </w:r>
    </w:p>
    <w:p w14:paraId="1FFE0EC3" w14:textId="77777777" w:rsidR="00B7296C" w:rsidRPr="00B7296C" w:rsidRDefault="00B7296C" w:rsidP="00B7296C">
      <w:pPr>
        <w:tabs>
          <w:tab w:val="left" w:pos="851"/>
        </w:tabs>
        <w:ind w:left="851"/>
        <w:rPr>
          <w:sz w:val="24"/>
          <w:szCs w:val="24"/>
        </w:rPr>
      </w:pPr>
      <w:r w:rsidRPr="00B7296C">
        <w:rPr>
          <w:sz w:val="24"/>
          <w:szCs w:val="24"/>
        </w:rPr>
        <w:t>Axel Heides Gade 1</w:t>
      </w:r>
    </w:p>
    <w:p w14:paraId="7089211C" w14:textId="77777777" w:rsidR="00B7296C" w:rsidRPr="00B7296C" w:rsidRDefault="00B7296C" w:rsidP="00B7296C">
      <w:pPr>
        <w:tabs>
          <w:tab w:val="left" w:pos="851"/>
        </w:tabs>
        <w:ind w:left="851"/>
        <w:rPr>
          <w:sz w:val="24"/>
          <w:szCs w:val="24"/>
        </w:rPr>
      </w:pPr>
      <w:r w:rsidRPr="00B7296C">
        <w:rPr>
          <w:sz w:val="24"/>
          <w:szCs w:val="24"/>
        </w:rPr>
        <w:t>DK-2300 København S</w:t>
      </w:r>
    </w:p>
    <w:p w14:paraId="57C819F2" w14:textId="3EE8E4B5" w:rsidR="00B7296C" w:rsidRPr="00B7296C" w:rsidRDefault="00B7296C" w:rsidP="00B7296C">
      <w:pPr>
        <w:tabs>
          <w:tab w:val="left" w:pos="851"/>
        </w:tabs>
        <w:ind w:left="851"/>
        <w:rPr>
          <w:sz w:val="24"/>
          <w:szCs w:val="24"/>
          <w:u w:val="single"/>
        </w:rPr>
      </w:pPr>
      <w:r w:rsidRPr="00B7296C">
        <w:rPr>
          <w:sz w:val="24"/>
          <w:szCs w:val="24"/>
        </w:rPr>
        <w:t>Websted: www.meldenbivirkning.dk</w:t>
      </w:r>
    </w:p>
    <w:p w14:paraId="123EAEA1" w14:textId="77777777" w:rsidR="009260DE" w:rsidRPr="00A10294" w:rsidRDefault="009260DE" w:rsidP="00A10294">
      <w:pPr>
        <w:tabs>
          <w:tab w:val="left" w:pos="851"/>
        </w:tabs>
        <w:ind w:left="851"/>
        <w:rPr>
          <w:sz w:val="24"/>
          <w:szCs w:val="24"/>
        </w:rPr>
      </w:pPr>
    </w:p>
    <w:p w14:paraId="09BDFE81"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351C271A" w14:textId="77777777" w:rsidR="000062F5" w:rsidRPr="000062F5" w:rsidRDefault="000062F5" w:rsidP="000062F5">
      <w:pPr>
        <w:tabs>
          <w:tab w:val="left" w:pos="851"/>
        </w:tabs>
        <w:ind w:left="851"/>
        <w:rPr>
          <w:sz w:val="24"/>
          <w:szCs w:val="24"/>
        </w:rPr>
      </w:pPr>
      <w:r w:rsidRPr="000062F5">
        <w:rPr>
          <w:sz w:val="24"/>
          <w:szCs w:val="24"/>
        </w:rPr>
        <w:t xml:space="preserve">Hvis der er mistanke om overdosering, bør behandlingen med </w:t>
      </w:r>
      <w:proofErr w:type="spellStart"/>
      <w:r w:rsidRPr="000062F5">
        <w:rPr>
          <w:sz w:val="24"/>
          <w:szCs w:val="24"/>
        </w:rPr>
        <w:t>Peditrace</w:t>
      </w:r>
      <w:proofErr w:type="spellEnd"/>
      <w:r w:rsidRPr="000062F5">
        <w:rPr>
          <w:sz w:val="24"/>
          <w:szCs w:val="24"/>
        </w:rPr>
        <w:t xml:space="preserve"> </w:t>
      </w:r>
      <w:proofErr w:type="spellStart"/>
      <w:r w:rsidRPr="000062F5">
        <w:rPr>
          <w:sz w:val="24"/>
          <w:szCs w:val="24"/>
        </w:rPr>
        <w:t>Novum</w:t>
      </w:r>
      <w:proofErr w:type="spellEnd"/>
      <w:r w:rsidRPr="000062F5">
        <w:rPr>
          <w:sz w:val="24"/>
          <w:szCs w:val="24"/>
        </w:rPr>
        <w:t xml:space="preserve"> afbrydes, og overdoseringen bekræftes ved hjælp af relevante laboratorieprøver.  </w:t>
      </w:r>
    </w:p>
    <w:p w14:paraId="1414D322" w14:textId="77777777" w:rsidR="000062F5" w:rsidRPr="000062F5" w:rsidRDefault="000062F5" w:rsidP="000062F5">
      <w:pPr>
        <w:tabs>
          <w:tab w:val="left" w:pos="851"/>
        </w:tabs>
        <w:ind w:left="851"/>
        <w:rPr>
          <w:sz w:val="24"/>
          <w:szCs w:val="24"/>
        </w:rPr>
      </w:pPr>
    </w:p>
    <w:p w14:paraId="50A57667"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76BC1AE4" w14:textId="160440AB" w:rsidR="009260DE" w:rsidRPr="00C84483" w:rsidRDefault="00764430" w:rsidP="009260DE">
      <w:pPr>
        <w:tabs>
          <w:tab w:val="left" w:pos="851"/>
        </w:tabs>
        <w:ind w:left="851"/>
        <w:rPr>
          <w:sz w:val="24"/>
          <w:szCs w:val="24"/>
        </w:rPr>
      </w:pPr>
      <w:r>
        <w:rPr>
          <w:sz w:val="24"/>
          <w:szCs w:val="24"/>
        </w:rPr>
        <w:t>B</w:t>
      </w:r>
    </w:p>
    <w:p w14:paraId="296095FD" w14:textId="77777777" w:rsidR="009260DE" w:rsidRPr="00C84483" w:rsidRDefault="009260DE" w:rsidP="009260DE">
      <w:pPr>
        <w:tabs>
          <w:tab w:val="left" w:pos="851"/>
        </w:tabs>
        <w:ind w:left="851"/>
        <w:rPr>
          <w:sz w:val="24"/>
          <w:szCs w:val="24"/>
        </w:rPr>
      </w:pPr>
    </w:p>
    <w:p w14:paraId="7966D9CE" w14:textId="77777777" w:rsidR="009260DE" w:rsidRPr="00C84483" w:rsidRDefault="009260DE" w:rsidP="009260DE">
      <w:pPr>
        <w:tabs>
          <w:tab w:val="left" w:pos="851"/>
        </w:tabs>
        <w:ind w:left="851"/>
        <w:rPr>
          <w:sz w:val="24"/>
          <w:szCs w:val="24"/>
        </w:rPr>
      </w:pPr>
    </w:p>
    <w:p w14:paraId="79BEBE4D"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5978397" w14:textId="77777777" w:rsidR="009260DE" w:rsidRPr="00C84483" w:rsidRDefault="009260DE" w:rsidP="009260DE">
      <w:pPr>
        <w:tabs>
          <w:tab w:val="left" w:pos="851"/>
        </w:tabs>
        <w:ind w:left="851"/>
        <w:rPr>
          <w:sz w:val="24"/>
          <w:szCs w:val="24"/>
        </w:rPr>
      </w:pPr>
    </w:p>
    <w:p w14:paraId="409FF5D2"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54200061" w14:textId="2347263C" w:rsidR="00453E7B" w:rsidRPr="00453E7B" w:rsidRDefault="00453E7B" w:rsidP="00453E7B">
      <w:pPr>
        <w:tabs>
          <w:tab w:val="left" w:pos="851"/>
        </w:tabs>
        <w:ind w:left="851"/>
        <w:rPr>
          <w:sz w:val="24"/>
          <w:szCs w:val="24"/>
        </w:rPr>
      </w:pPr>
      <w:proofErr w:type="spellStart"/>
      <w:r w:rsidRPr="00453E7B">
        <w:rPr>
          <w:sz w:val="24"/>
          <w:szCs w:val="24"/>
        </w:rPr>
        <w:t>Farmakoterapeutisk</w:t>
      </w:r>
      <w:proofErr w:type="spellEnd"/>
      <w:r w:rsidRPr="00453E7B">
        <w:rPr>
          <w:sz w:val="24"/>
          <w:szCs w:val="24"/>
        </w:rPr>
        <w:t xml:space="preserve"> klassifikation: Elektrolytter i kombination med andre stoffer, ATC-kode: B05XA31.</w:t>
      </w:r>
    </w:p>
    <w:p w14:paraId="6ABB671F" w14:textId="77777777" w:rsidR="00453E7B" w:rsidRPr="00453E7B" w:rsidRDefault="00453E7B" w:rsidP="00453E7B">
      <w:pPr>
        <w:tabs>
          <w:tab w:val="left" w:pos="851"/>
        </w:tabs>
        <w:ind w:left="851"/>
        <w:rPr>
          <w:bCs/>
          <w:sz w:val="24"/>
          <w:szCs w:val="24"/>
          <w:u w:val="single"/>
        </w:rPr>
      </w:pPr>
    </w:p>
    <w:p w14:paraId="327000F4" w14:textId="77777777" w:rsidR="00453E7B" w:rsidRPr="00453E7B" w:rsidRDefault="00453E7B" w:rsidP="00453E7B">
      <w:pPr>
        <w:tabs>
          <w:tab w:val="left" w:pos="851"/>
        </w:tabs>
        <w:ind w:left="851"/>
        <w:rPr>
          <w:bCs/>
          <w:sz w:val="24"/>
          <w:szCs w:val="24"/>
        </w:rPr>
      </w:pPr>
      <w:proofErr w:type="spellStart"/>
      <w:r w:rsidRPr="00453E7B">
        <w:rPr>
          <w:bCs/>
          <w:sz w:val="24"/>
          <w:szCs w:val="24"/>
        </w:rPr>
        <w:t>Peditrace</w:t>
      </w:r>
      <w:proofErr w:type="spellEnd"/>
      <w:r w:rsidRPr="00453E7B">
        <w:rPr>
          <w:bCs/>
          <w:sz w:val="24"/>
          <w:szCs w:val="24"/>
        </w:rPr>
        <w:t xml:space="preserve"> </w:t>
      </w:r>
      <w:proofErr w:type="spellStart"/>
      <w:r w:rsidRPr="00453E7B">
        <w:rPr>
          <w:bCs/>
          <w:sz w:val="24"/>
          <w:szCs w:val="24"/>
        </w:rPr>
        <w:t>Novum</w:t>
      </w:r>
      <w:proofErr w:type="spellEnd"/>
      <w:r w:rsidRPr="00453E7B">
        <w:rPr>
          <w:bCs/>
          <w:sz w:val="24"/>
          <w:szCs w:val="24"/>
        </w:rPr>
        <w:t xml:space="preserve"> er en blanding af sporstoffer i mængder, der normalt absorberes fra den orale føde. Det bør ikke have nogen </w:t>
      </w:r>
      <w:proofErr w:type="spellStart"/>
      <w:r w:rsidRPr="00453E7B">
        <w:rPr>
          <w:bCs/>
          <w:sz w:val="24"/>
          <w:szCs w:val="24"/>
        </w:rPr>
        <w:t>farkodynamisk</w:t>
      </w:r>
      <w:proofErr w:type="spellEnd"/>
      <w:r w:rsidRPr="00453E7B">
        <w:rPr>
          <w:bCs/>
          <w:sz w:val="24"/>
          <w:szCs w:val="24"/>
        </w:rPr>
        <w:t xml:space="preserve"> virkning udover at vedligeholde eller genoprette ernæringsstatus. </w:t>
      </w:r>
    </w:p>
    <w:p w14:paraId="300EFC4E" w14:textId="77777777" w:rsidR="009260DE" w:rsidRPr="00C84483" w:rsidRDefault="009260DE" w:rsidP="009260DE">
      <w:pPr>
        <w:tabs>
          <w:tab w:val="left" w:pos="851"/>
        </w:tabs>
        <w:ind w:left="851"/>
        <w:rPr>
          <w:sz w:val="24"/>
          <w:szCs w:val="24"/>
        </w:rPr>
      </w:pPr>
    </w:p>
    <w:p w14:paraId="49F218A6"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2DE1940B" w14:textId="77777777" w:rsidR="00D403E5" w:rsidRPr="00D403E5" w:rsidRDefault="00D403E5" w:rsidP="00D403E5">
      <w:pPr>
        <w:tabs>
          <w:tab w:val="left" w:pos="851"/>
        </w:tabs>
        <w:ind w:left="851"/>
        <w:rPr>
          <w:sz w:val="24"/>
          <w:szCs w:val="24"/>
        </w:rPr>
      </w:pPr>
      <w:r w:rsidRPr="00D403E5">
        <w:rPr>
          <w:sz w:val="24"/>
          <w:szCs w:val="24"/>
        </w:rPr>
        <w:t xml:space="preserve">Sporstofferne i </w:t>
      </w:r>
      <w:proofErr w:type="spellStart"/>
      <w:r w:rsidRPr="00D403E5">
        <w:rPr>
          <w:sz w:val="24"/>
          <w:szCs w:val="24"/>
        </w:rPr>
        <w:t>Peditrace</w:t>
      </w:r>
      <w:proofErr w:type="spellEnd"/>
      <w:r w:rsidRPr="00D403E5">
        <w:rPr>
          <w:sz w:val="24"/>
          <w:szCs w:val="24"/>
        </w:rPr>
        <w:t xml:space="preserve"> </w:t>
      </w:r>
      <w:proofErr w:type="spellStart"/>
      <w:r w:rsidRPr="00D403E5">
        <w:rPr>
          <w:sz w:val="24"/>
          <w:szCs w:val="24"/>
        </w:rPr>
        <w:t>Novum</w:t>
      </w:r>
      <w:proofErr w:type="spellEnd"/>
      <w:r w:rsidRPr="00D403E5">
        <w:rPr>
          <w:sz w:val="24"/>
          <w:szCs w:val="24"/>
        </w:rPr>
        <w:t xml:space="preserve"> </w:t>
      </w:r>
      <w:proofErr w:type="spellStart"/>
      <w:r w:rsidRPr="00D403E5">
        <w:rPr>
          <w:sz w:val="24"/>
          <w:szCs w:val="24"/>
        </w:rPr>
        <w:t>metaboliseres</w:t>
      </w:r>
      <w:proofErr w:type="spellEnd"/>
      <w:r w:rsidRPr="00D403E5">
        <w:rPr>
          <w:sz w:val="24"/>
          <w:szCs w:val="24"/>
        </w:rPr>
        <w:t xml:space="preserve"> på samme måde som sporstoffer fra den orale føde, når de </w:t>
      </w:r>
      <w:proofErr w:type="spellStart"/>
      <w:r w:rsidRPr="00D403E5">
        <w:rPr>
          <w:sz w:val="24"/>
          <w:szCs w:val="24"/>
        </w:rPr>
        <w:t>infunderes</w:t>
      </w:r>
      <w:proofErr w:type="spellEnd"/>
      <w:r w:rsidRPr="00D403E5">
        <w:rPr>
          <w:sz w:val="24"/>
          <w:szCs w:val="24"/>
        </w:rPr>
        <w:t xml:space="preserve"> intravenøst. Individuelle sporstoffer vil blive optaget i vævet i forskelligt omfang afhængig af behovet i hvert væv for at opretholde eller genoprette koncentrationen af hvert stof i henhold til vævets metaboliske behov. </w:t>
      </w:r>
    </w:p>
    <w:p w14:paraId="41F938AC" w14:textId="77777777" w:rsidR="00D403E5" w:rsidRPr="00D403E5" w:rsidRDefault="00D403E5" w:rsidP="00D403E5">
      <w:pPr>
        <w:tabs>
          <w:tab w:val="left" w:pos="851"/>
        </w:tabs>
        <w:ind w:left="851"/>
        <w:rPr>
          <w:sz w:val="24"/>
          <w:szCs w:val="24"/>
        </w:rPr>
      </w:pPr>
    </w:p>
    <w:p w14:paraId="10FFEDB0" w14:textId="77777777" w:rsidR="00D403E5" w:rsidRPr="00D403E5" w:rsidRDefault="00D403E5" w:rsidP="00D403E5">
      <w:pPr>
        <w:tabs>
          <w:tab w:val="left" w:pos="851"/>
        </w:tabs>
        <w:ind w:left="851"/>
        <w:rPr>
          <w:sz w:val="24"/>
          <w:szCs w:val="24"/>
        </w:rPr>
      </w:pPr>
      <w:r w:rsidRPr="00D403E5">
        <w:rPr>
          <w:sz w:val="24"/>
          <w:szCs w:val="24"/>
        </w:rPr>
        <w:lastRenderedPageBreak/>
        <w:t xml:space="preserve">I blodet binder sporstofferne sig primært til albumin (mangan, kobber, zink, jod, selen), </w:t>
      </w:r>
      <w:proofErr w:type="spellStart"/>
      <w:r w:rsidRPr="00D403E5">
        <w:rPr>
          <w:sz w:val="24"/>
          <w:szCs w:val="24"/>
        </w:rPr>
        <w:t>ceruloplasmin</w:t>
      </w:r>
      <w:proofErr w:type="spellEnd"/>
      <w:r w:rsidRPr="00D403E5">
        <w:rPr>
          <w:sz w:val="24"/>
          <w:szCs w:val="24"/>
        </w:rPr>
        <w:t xml:space="preserve"> (kobber) og </w:t>
      </w:r>
      <w:proofErr w:type="spellStart"/>
      <w:r w:rsidRPr="00D403E5">
        <w:rPr>
          <w:sz w:val="24"/>
          <w:szCs w:val="24"/>
        </w:rPr>
        <w:t>selenomethionin</w:t>
      </w:r>
      <w:proofErr w:type="spellEnd"/>
      <w:r w:rsidRPr="00D403E5">
        <w:rPr>
          <w:sz w:val="24"/>
          <w:szCs w:val="24"/>
        </w:rPr>
        <w:t xml:space="preserve"> (selen). Lagring af sporstoffer involverer binding til skjoldbruskkirtelhormoner (jod), </w:t>
      </w:r>
      <w:proofErr w:type="spellStart"/>
      <w:r w:rsidRPr="00D403E5">
        <w:rPr>
          <w:sz w:val="24"/>
          <w:szCs w:val="24"/>
        </w:rPr>
        <w:t>selenoproteiner</w:t>
      </w:r>
      <w:proofErr w:type="spellEnd"/>
      <w:r w:rsidRPr="00D403E5">
        <w:rPr>
          <w:sz w:val="24"/>
          <w:szCs w:val="24"/>
        </w:rPr>
        <w:t xml:space="preserve"> (selen) eller ikke-specifikke proteiner som </w:t>
      </w:r>
      <w:proofErr w:type="spellStart"/>
      <w:r w:rsidRPr="00D403E5">
        <w:rPr>
          <w:sz w:val="24"/>
          <w:szCs w:val="24"/>
        </w:rPr>
        <w:t>metallothioneiner</w:t>
      </w:r>
      <w:proofErr w:type="spellEnd"/>
      <w:r w:rsidRPr="00D403E5">
        <w:rPr>
          <w:sz w:val="24"/>
          <w:szCs w:val="24"/>
        </w:rPr>
        <w:t xml:space="preserve"> (kobber, zink, mangan). </w:t>
      </w:r>
    </w:p>
    <w:p w14:paraId="454E2C30" w14:textId="77777777" w:rsidR="00D403E5" w:rsidRPr="00D403E5" w:rsidRDefault="00D403E5" w:rsidP="00D403E5">
      <w:pPr>
        <w:tabs>
          <w:tab w:val="left" w:pos="851"/>
        </w:tabs>
        <w:ind w:left="851"/>
        <w:rPr>
          <w:sz w:val="24"/>
          <w:szCs w:val="24"/>
          <w:u w:val="single"/>
        </w:rPr>
      </w:pPr>
    </w:p>
    <w:p w14:paraId="63021091" w14:textId="77777777" w:rsidR="00D403E5" w:rsidRPr="00D403E5" w:rsidRDefault="00D403E5" w:rsidP="00D403E5">
      <w:pPr>
        <w:tabs>
          <w:tab w:val="left" w:pos="851"/>
        </w:tabs>
        <w:ind w:left="851"/>
        <w:rPr>
          <w:sz w:val="24"/>
          <w:szCs w:val="24"/>
        </w:rPr>
      </w:pPr>
      <w:r w:rsidRPr="00D403E5">
        <w:rPr>
          <w:sz w:val="24"/>
          <w:szCs w:val="24"/>
        </w:rPr>
        <w:t xml:space="preserve">Kobber, mangan og zink udskilles normalt via galde eller fæces, hvor jod og selen hovedsageligt udskilles via urin, særligt hos patienter, som får intravenøs ernæring. En fraktion af zink udskilles også via urin. </w:t>
      </w:r>
    </w:p>
    <w:p w14:paraId="42EDD599" w14:textId="77777777" w:rsidR="009260DE" w:rsidRPr="00C84483" w:rsidRDefault="009260DE" w:rsidP="009260DE">
      <w:pPr>
        <w:tabs>
          <w:tab w:val="left" w:pos="851"/>
        </w:tabs>
        <w:ind w:left="851"/>
        <w:rPr>
          <w:sz w:val="24"/>
          <w:szCs w:val="24"/>
        </w:rPr>
      </w:pPr>
    </w:p>
    <w:p w14:paraId="3928292C"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33918167" w14:textId="77777777" w:rsidR="00D403E5" w:rsidRPr="00D403E5" w:rsidRDefault="00D403E5" w:rsidP="00D403E5">
      <w:pPr>
        <w:tabs>
          <w:tab w:val="left" w:pos="851"/>
        </w:tabs>
        <w:ind w:left="851"/>
        <w:rPr>
          <w:sz w:val="24"/>
          <w:szCs w:val="24"/>
        </w:rPr>
      </w:pPr>
      <w:r w:rsidRPr="00D403E5">
        <w:rPr>
          <w:sz w:val="24"/>
          <w:szCs w:val="24"/>
        </w:rPr>
        <w:t xml:space="preserve">Der er ingen non-kliniske sikkerhedsdata af relevans for sikkerhedsevalueringen ud over dem, som allerede er inkluderet i produktresuméet. </w:t>
      </w:r>
    </w:p>
    <w:p w14:paraId="6F882893" w14:textId="77777777" w:rsidR="009260DE" w:rsidRPr="00C84483" w:rsidRDefault="009260DE" w:rsidP="009260DE">
      <w:pPr>
        <w:tabs>
          <w:tab w:val="left" w:pos="851"/>
        </w:tabs>
        <w:ind w:left="851"/>
        <w:rPr>
          <w:sz w:val="24"/>
          <w:szCs w:val="24"/>
        </w:rPr>
      </w:pPr>
    </w:p>
    <w:p w14:paraId="558987BC" w14:textId="77777777" w:rsidR="009260DE" w:rsidRPr="00C84483" w:rsidRDefault="009260DE" w:rsidP="009260DE">
      <w:pPr>
        <w:tabs>
          <w:tab w:val="left" w:pos="851"/>
        </w:tabs>
        <w:ind w:left="851"/>
        <w:rPr>
          <w:sz w:val="24"/>
          <w:szCs w:val="24"/>
        </w:rPr>
      </w:pPr>
    </w:p>
    <w:p w14:paraId="18292CB6"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EA50DCB" w14:textId="77777777" w:rsidR="009260DE" w:rsidRPr="00BA09F1" w:rsidRDefault="009260DE" w:rsidP="009260DE">
      <w:pPr>
        <w:tabs>
          <w:tab w:val="left" w:pos="851"/>
        </w:tabs>
        <w:ind w:left="851"/>
        <w:rPr>
          <w:sz w:val="24"/>
          <w:szCs w:val="24"/>
        </w:rPr>
      </w:pPr>
    </w:p>
    <w:p w14:paraId="1D0F101F"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4FF30D1D" w14:textId="77777777" w:rsidR="00D403E5" w:rsidRPr="00D403E5" w:rsidRDefault="00D403E5" w:rsidP="00D403E5">
      <w:pPr>
        <w:tabs>
          <w:tab w:val="left" w:pos="851"/>
        </w:tabs>
        <w:ind w:left="851"/>
        <w:rPr>
          <w:sz w:val="24"/>
          <w:szCs w:val="24"/>
        </w:rPr>
      </w:pPr>
      <w:r w:rsidRPr="00D403E5">
        <w:rPr>
          <w:sz w:val="24"/>
          <w:szCs w:val="24"/>
        </w:rPr>
        <w:t>Saltsyre (til pH-justering)</w:t>
      </w:r>
    </w:p>
    <w:p w14:paraId="3A4AEE5F" w14:textId="77777777" w:rsidR="00D403E5" w:rsidRPr="00D403E5" w:rsidRDefault="00D403E5" w:rsidP="00D403E5">
      <w:pPr>
        <w:tabs>
          <w:tab w:val="left" w:pos="851"/>
        </w:tabs>
        <w:ind w:left="851"/>
        <w:rPr>
          <w:sz w:val="24"/>
          <w:szCs w:val="24"/>
        </w:rPr>
      </w:pPr>
      <w:r w:rsidRPr="00D403E5">
        <w:rPr>
          <w:sz w:val="24"/>
          <w:szCs w:val="24"/>
        </w:rPr>
        <w:t>Vand til injektionsvæsker</w:t>
      </w:r>
    </w:p>
    <w:p w14:paraId="64D8D8EE" w14:textId="77777777" w:rsidR="009260DE" w:rsidRPr="00C84483" w:rsidRDefault="009260DE" w:rsidP="009260DE">
      <w:pPr>
        <w:tabs>
          <w:tab w:val="left" w:pos="851"/>
        </w:tabs>
        <w:ind w:left="851"/>
        <w:rPr>
          <w:sz w:val="24"/>
          <w:szCs w:val="24"/>
        </w:rPr>
      </w:pPr>
    </w:p>
    <w:p w14:paraId="6E071DDE"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79068818" w14:textId="77777777" w:rsidR="00D403E5" w:rsidRPr="00D403E5" w:rsidRDefault="00D403E5" w:rsidP="00D403E5">
      <w:pPr>
        <w:tabs>
          <w:tab w:val="left" w:pos="851"/>
        </w:tabs>
        <w:ind w:left="851"/>
        <w:rPr>
          <w:sz w:val="24"/>
          <w:szCs w:val="24"/>
        </w:rPr>
      </w:pPr>
      <w:bookmarkStart w:id="6" w:name="_Hlk132977795"/>
      <w:proofErr w:type="spellStart"/>
      <w:r w:rsidRPr="00D403E5">
        <w:rPr>
          <w:sz w:val="24"/>
          <w:szCs w:val="24"/>
        </w:rPr>
        <w:t>Peditrace</w:t>
      </w:r>
      <w:proofErr w:type="spellEnd"/>
      <w:r w:rsidRPr="00D403E5">
        <w:rPr>
          <w:sz w:val="24"/>
          <w:szCs w:val="24"/>
        </w:rPr>
        <w:t xml:space="preserve"> </w:t>
      </w:r>
      <w:proofErr w:type="spellStart"/>
      <w:r w:rsidRPr="00D403E5">
        <w:rPr>
          <w:sz w:val="24"/>
          <w:szCs w:val="24"/>
        </w:rPr>
        <w:t>Novum</w:t>
      </w:r>
      <w:proofErr w:type="spellEnd"/>
      <w:r w:rsidRPr="00D403E5">
        <w:rPr>
          <w:sz w:val="24"/>
          <w:szCs w:val="24"/>
        </w:rPr>
        <w:t xml:space="preserve"> må kun blandes med andre ernæringsprodukter for hvilke, der er dokumenteret forligelighed</w:t>
      </w:r>
      <w:bookmarkEnd w:id="6"/>
      <w:r w:rsidRPr="00D403E5">
        <w:rPr>
          <w:sz w:val="24"/>
          <w:szCs w:val="24"/>
        </w:rPr>
        <w:t xml:space="preserve">, se afsnit 6.6. </w:t>
      </w:r>
    </w:p>
    <w:p w14:paraId="1B41CD80" w14:textId="77777777" w:rsidR="009260DE" w:rsidRPr="00C84483" w:rsidRDefault="009260DE" w:rsidP="009260DE">
      <w:pPr>
        <w:tabs>
          <w:tab w:val="left" w:pos="851"/>
        </w:tabs>
        <w:ind w:left="851"/>
        <w:rPr>
          <w:sz w:val="24"/>
          <w:szCs w:val="24"/>
        </w:rPr>
      </w:pPr>
    </w:p>
    <w:p w14:paraId="46756BAF"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4812F5FD" w14:textId="77777777" w:rsidR="00D403E5" w:rsidRDefault="00D403E5" w:rsidP="00D403E5">
      <w:pPr>
        <w:tabs>
          <w:tab w:val="left" w:pos="851"/>
        </w:tabs>
        <w:ind w:left="851"/>
        <w:rPr>
          <w:i/>
          <w:iCs/>
          <w:sz w:val="24"/>
          <w:szCs w:val="24"/>
        </w:rPr>
      </w:pPr>
    </w:p>
    <w:p w14:paraId="6C534473" w14:textId="409C526D" w:rsidR="00D403E5" w:rsidRPr="00EF40F8" w:rsidRDefault="00D403E5" w:rsidP="00D403E5">
      <w:pPr>
        <w:tabs>
          <w:tab w:val="left" w:pos="851"/>
        </w:tabs>
        <w:ind w:left="851"/>
        <w:rPr>
          <w:iCs/>
          <w:sz w:val="24"/>
          <w:szCs w:val="24"/>
          <w:u w:val="single"/>
        </w:rPr>
      </w:pPr>
      <w:r w:rsidRPr="00EF40F8">
        <w:rPr>
          <w:iCs/>
          <w:sz w:val="24"/>
          <w:szCs w:val="24"/>
          <w:u w:val="single"/>
        </w:rPr>
        <w:t>Holdbarhed af lægemidlet som pakket til salg</w:t>
      </w:r>
    </w:p>
    <w:p w14:paraId="5175D35B" w14:textId="77777777" w:rsidR="00D403E5" w:rsidRPr="00D403E5" w:rsidRDefault="00D403E5" w:rsidP="00D403E5">
      <w:pPr>
        <w:tabs>
          <w:tab w:val="left" w:pos="851"/>
        </w:tabs>
        <w:ind w:left="851"/>
        <w:rPr>
          <w:sz w:val="24"/>
          <w:szCs w:val="24"/>
        </w:rPr>
      </w:pPr>
      <w:r w:rsidRPr="00D403E5">
        <w:rPr>
          <w:sz w:val="24"/>
          <w:szCs w:val="24"/>
        </w:rPr>
        <w:t>3 år.</w:t>
      </w:r>
    </w:p>
    <w:p w14:paraId="303A3356" w14:textId="77777777" w:rsidR="00D403E5" w:rsidRPr="00D403E5" w:rsidRDefault="00D403E5" w:rsidP="00D403E5">
      <w:pPr>
        <w:tabs>
          <w:tab w:val="left" w:pos="851"/>
        </w:tabs>
        <w:ind w:left="851"/>
        <w:rPr>
          <w:i/>
          <w:iCs/>
          <w:sz w:val="24"/>
          <w:szCs w:val="24"/>
        </w:rPr>
      </w:pPr>
    </w:p>
    <w:p w14:paraId="43D02596" w14:textId="77777777" w:rsidR="00D403E5" w:rsidRPr="00EF40F8" w:rsidRDefault="00D403E5" w:rsidP="00D403E5">
      <w:pPr>
        <w:tabs>
          <w:tab w:val="left" w:pos="851"/>
        </w:tabs>
        <w:ind w:left="851"/>
        <w:rPr>
          <w:iCs/>
          <w:sz w:val="24"/>
          <w:szCs w:val="24"/>
          <w:u w:val="single"/>
        </w:rPr>
      </w:pPr>
      <w:bookmarkStart w:id="7" w:name="_Hlk132977995"/>
      <w:r w:rsidRPr="00EF40F8">
        <w:rPr>
          <w:iCs/>
          <w:sz w:val="24"/>
          <w:szCs w:val="24"/>
          <w:u w:val="single"/>
        </w:rPr>
        <w:t>Holdbarhed efter blanding</w:t>
      </w:r>
    </w:p>
    <w:p w14:paraId="385A8B37" w14:textId="77777777" w:rsidR="00C1110D" w:rsidRDefault="00C1110D" w:rsidP="00C1110D">
      <w:pPr>
        <w:tabs>
          <w:tab w:val="left" w:pos="851"/>
        </w:tabs>
        <w:ind w:left="851"/>
        <w:rPr>
          <w:sz w:val="24"/>
          <w:szCs w:val="24"/>
        </w:rPr>
      </w:pPr>
      <w:bookmarkStart w:id="8" w:name="_Hlk132977321"/>
      <w:bookmarkEnd w:id="7"/>
      <w:r>
        <w:rPr>
          <w:sz w:val="24"/>
          <w:szCs w:val="24"/>
        </w:rPr>
        <w:t>I-brug stabilitet efter blanding (se pkt. 6.6) er påvist i op til 7 dage ved 2 ℃-8 ℃ efterfulgt af 48 timer ved 20 ℃-25 ℃ inklusive varigheden af administrationen. Ud fra et mikrobiologisk synspunkt skal præparatet bruges med det samme. Hvis det ikke anvendes med det samme, er opbevaringstid og -betingelser på brugerens eget ansvar og bør almindeligvis ikke overstige 24 timer ved 2 ℃-8 ℃.</w:t>
      </w:r>
      <w:bookmarkEnd w:id="8"/>
    </w:p>
    <w:p w14:paraId="1DFFCAC8" w14:textId="77777777" w:rsidR="009260DE" w:rsidRPr="00C84483" w:rsidRDefault="009260DE" w:rsidP="009260DE">
      <w:pPr>
        <w:tabs>
          <w:tab w:val="left" w:pos="851"/>
        </w:tabs>
        <w:ind w:left="851"/>
        <w:rPr>
          <w:sz w:val="24"/>
          <w:szCs w:val="24"/>
        </w:rPr>
      </w:pPr>
    </w:p>
    <w:p w14:paraId="79132FB2"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27256ED" w14:textId="77777777" w:rsidR="00DD13D9" w:rsidRDefault="00BC3A80" w:rsidP="00BC3A80">
      <w:pPr>
        <w:tabs>
          <w:tab w:val="left" w:pos="851"/>
        </w:tabs>
        <w:ind w:left="851"/>
        <w:rPr>
          <w:sz w:val="24"/>
          <w:szCs w:val="24"/>
        </w:rPr>
      </w:pPr>
      <w:r w:rsidRPr="00BC3A80">
        <w:rPr>
          <w:sz w:val="24"/>
          <w:szCs w:val="24"/>
        </w:rPr>
        <w:t>Må ikke opbevares ved temperaturer over 25</w:t>
      </w:r>
      <w:r>
        <w:rPr>
          <w:sz w:val="24"/>
          <w:szCs w:val="24"/>
        </w:rPr>
        <w:t xml:space="preserve"> </w:t>
      </w:r>
      <w:r w:rsidRPr="00BC3A80">
        <w:rPr>
          <w:sz w:val="24"/>
          <w:szCs w:val="24"/>
        </w:rPr>
        <w:t>℃.</w:t>
      </w:r>
    </w:p>
    <w:p w14:paraId="25D78AA9" w14:textId="3F90008F" w:rsidR="00BC3A80" w:rsidRPr="00BC3A80" w:rsidRDefault="00BC3A80" w:rsidP="00BC3A80">
      <w:pPr>
        <w:tabs>
          <w:tab w:val="left" w:pos="851"/>
        </w:tabs>
        <w:ind w:left="851"/>
        <w:rPr>
          <w:sz w:val="24"/>
          <w:szCs w:val="24"/>
        </w:rPr>
      </w:pPr>
      <w:r w:rsidRPr="00BC3A80">
        <w:rPr>
          <w:sz w:val="24"/>
          <w:szCs w:val="24"/>
        </w:rPr>
        <w:t xml:space="preserve">Må ikke nedfryses. </w:t>
      </w:r>
    </w:p>
    <w:p w14:paraId="58EF4EA2" w14:textId="77777777" w:rsidR="00BC3A80" w:rsidRPr="00BC3A80" w:rsidRDefault="00BC3A80" w:rsidP="00BC3A80">
      <w:pPr>
        <w:tabs>
          <w:tab w:val="left" w:pos="851"/>
        </w:tabs>
        <w:ind w:left="851"/>
        <w:rPr>
          <w:sz w:val="24"/>
          <w:szCs w:val="24"/>
        </w:rPr>
      </w:pPr>
    </w:p>
    <w:p w14:paraId="6FA88380" w14:textId="77777777" w:rsidR="00BC3A80" w:rsidRPr="00BC3A80" w:rsidRDefault="00BC3A80" w:rsidP="00BC3A80">
      <w:pPr>
        <w:tabs>
          <w:tab w:val="left" w:pos="851"/>
        </w:tabs>
        <w:ind w:left="851"/>
        <w:rPr>
          <w:sz w:val="24"/>
          <w:szCs w:val="24"/>
        </w:rPr>
      </w:pPr>
      <w:r w:rsidRPr="00BC3A80">
        <w:rPr>
          <w:sz w:val="24"/>
          <w:szCs w:val="24"/>
        </w:rPr>
        <w:t>Opbevaringsforhold efter blanding af lægemidlet, se pkt. 6.3.</w:t>
      </w:r>
    </w:p>
    <w:p w14:paraId="27D10EBD" w14:textId="77777777" w:rsidR="009260DE" w:rsidRPr="00C84483" w:rsidRDefault="009260DE" w:rsidP="009260DE">
      <w:pPr>
        <w:tabs>
          <w:tab w:val="left" w:pos="851"/>
        </w:tabs>
        <w:ind w:left="851"/>
        <w:rPr>
          <w:sz w:val="24"/>
          <w:szCs w:val="24"/>
        </w:rPr>
      </w:pPr>
    </w:p>
    <w:p w14:paraId="1A2F2CEC"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DB6AEA4" w14:textId="77777777" w:rsidR="00DD13D9" w:rsidRDefault="00DD13D9" w:rsidP="00DD13D9">
      <w:pPr>
        <w:tabs>
          <w:tab w:val="left" w:pos="851"/>
        </w:tabs>
        <w:ind w:left="851"/>
        <w:rPr>
          <w:sz w:val="24"/>
          <w:szCs w:val="24"/>
        </w:rPr>
      </w:pPr>
      <w:r w:rsidRPr="00DD13D9">
        <w:rPr>
          <w:sz w:val="24"/>
          <w:szCs w:val="24"/>
        </w:rPr>
        <w:t>Ampul (polypropylen)</w:t>
      </w:r>
    </w:p>
    <w:p w14:paraId="3C3800FD" w14:textId="77777777" w:rsidR="00DD13D9" w:rsidRDefault="00DD13D9" w:rsidP="00DD13D9">
      <w:pPr>
        <w:tabs>
          <w:tab w:val="left" w:pos="851"/>
        </w:tabs>
        <w:ind w:left="851"/>
        <w:rPr>
          <w:sz w:val="24"/>
          <w:szCs w:val="24"/>
        </w:rPr>
      </w:pPr>
    </w:p>
    <w:p w14:paraId="349F5E79" w14:textId="1BF61275" w:rsidR="00DD13D9" w:rsidRPr="00DD13D9" w:rsidRDefault="001D3384" w:rsidP="00DD13D9">
      <w:pPr>
        <w:tabs>
          <w:tab w:val="left" w:pos="851"/>
        </w:tabs>
        <w:ind w:left="851"/>
        <w:rPr>
          <w:sz w:val="24"/>
          <w:szCs w:val="24"/>
        </w:rPr>
      </w:pPr>
      <w:r>
        <w:rPr>
          <w:sz w:val="24"/>
          <w:szCs w:val="24"/>
        </w:rPr>
        <w:t>P</w:t>
      </w:r>
      <w:r w:rsidR="00DD13D9">
        <w:rPr>
          <w:sz w:val="24"/>
          <w:szCs w:val="24"/>
        </w:rPr>
        <w:t xml:space="preserve">akningsstørrelser: </w:t>
      </w:r>
      <w:r w:rsidR="00DD13D9" w:rsidRPr="00DD13D9">
        <w:rPr>
          <w:sz w:val="24"/>
          <w:szCs w:val="24"/>
        </w:rPr>
        <w:t>20</w:t>
      </w:r>
      <w:r>
        <w:rPr>
          <w:sz w:val="24"/>
          <w:szCs w:val="24"/>
        </w:rPr>
        <w:t>×</w:t>
      </w:r>
      <w:r w:rsidR="00DD13D9" w:rsidRPr="00DD13D9">
        <w:rPr>
          <w:sz w:val="24"/>
          <w:szCs w:val="24"/>
        </w:rPr>
        <w:t>10 ml</w:t>
      </w:r>
      <w:r>
        <w:rPr>
          <w:sz w:val="24"/>
          <w:szCs w:val="24"/>
        </w:rPr>
        <w:t>,</w:t>
      </w:r>
      <w:r w:rsidR="00DD13D9" w:rsidRPr="00DD13D9">
        <w:rPr>
          <w:sz w:val="24"/>
          <w:szCs w:val="24"/>
        </w:rPr>
        <w:t xml:space="preserve"> i en æske. </w:t>
      </w:r>
    </w:p>
    <w:p w14:paraId="575122DD" w14:textId="7E658458" w:rsidR="009260DE" w:rsidRDefault="001D3384" w:rsidP="009260DE">
      <w:pPr>
        <w:tabs>
          <w:tab w:val="left" w:pos="851"/>
        </w:tabs>
        <w:ind w:left="851"/>
        <w:rPr>
          <w:sz w:val="24"/>
          <w:szCs w:val="24"/>
        </w:rPr>
      </w:pPr>
      <w:r>
        <w:rPr>
          <w:sz w:val="24"/>
          <w:szCs w:val="24"/>
        </w:rPr>
        <w:t>Ikke alle pakningsstørrelser er nødvendigvis markedsført.</w:t>
      </w:r>
    </w:p>
    <w:p w14:paraId="17932466" w14:textId="77777777" w:rsidR="001D3384" w:rsidRPr="00C84483" w:rsidRDefault="001D3384" w:rsidP="009260DE">
      <w:pPr>
        <w:tabs>
          <w:tab w:val="left" w:pos="851"/>
        </w:tabs>
        <w:ind w:left="851"/>
        <w:rPr>
          <w:sz w:val="24"/>
          <w:szCs w:val="24"/>
        </w:rPr>
      </w:pPr>
    </w:p>
    <w:p w14:paraId="5EB34DB4"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3F95ACFE" w14:textId="68B3ECB1" w:rsidR="001D3384" w:rsidRPr="001D3384" w:rsidRDefault="001D3384" w:rsidP="001D3384">
      <w:pPr>
        <w:tabs>
          <w:tab w:val="left" w:pos="851"/>
        </w:tabs>
        <w:ind w:left="851"/>
        <w:rPr>
          <w:sz w:val="24"/>
          <w:szCs w:val="24"/>
        </w:rPr>
      </w:pPr>
      <w:r w:rsidRPr="001D3384">
        <w:rPr>
          <w:sz w:val="24"/>
          <w:szCs w:val="24"/>
        </w:rPr>
        <w:t>Polypropylen</w:t>
      </w:r>
      <w:r w:rsidR="00D4450B">
        <w:rPr>
          <w:sz w:val="24"/>
          <w:szCs w:val="24"/>
        </w:rPr>
        <w:t>,</w:t>
      </w:r>
      <w:r w:rsidRPr="001D3384">
        <w:rPr>
          <w:sz w:val="24"/>
          <w:szCs w:val="24"/>
        </w:rPr>
        <w:t xml:space="preserve"> farveløs</w:t>
      </w:r>
      <w:r w:rsidR="00D4450B">
        <w:rPr>
          <w:sz w:val="24"/>
          <w:szCs w:val="24"/>
        </w:rPr>
        <w:t>,</w:t>
      </w:r>
      <w:r w:rsidRPr="001D3384">
        <w:rPr>
          <w:sz w:val="24"/>
          <w:szCs w:val="24"/>
        </w:rPr>
        <w:t xml:space="preserve"> transparent ampul fra hvilken indholdet udtrækkes ved hjælp af en sprøjte med en kanyle</w:t>
      </w:r>
      <w:r w:rsidR="00D4450B">
        <w:rPr>
          <w:sz w:val="24"/>
          <w:szCs w:val="24"/>
        </w:rPr>
        <w:t xml:space="preserve"> -</w:t>
      </w:r>
      <w:r w:rsidRPr="001D3384">
        <w:rPr>
          <w:sz w:val="24"/>
          <w:szCs w:val="24"/>
        </w:rPr>
        <w:t xml:space="preserve"> eller nålefri ved brug af en sprøjte med Luer-Lock </w:t>
      </w:r>
      <w:proofErr w:type="spellStart"/>
      <w:r w:rsidRPr="001D3384">
        <w:rPr>
          <w:sz w:val="24"/>
          <w:szCs w:val="24"/>
        </w:rPr>
        <w:t>connector</w:t>
      </w:r>
      <w:proofErr w:type="spellEnd"/>
      <w:r w:rsidRPr="001D3384">
        <w:rPr>
          <w:sz w:val="24"/>
          <w:szCs w:val="24"/>
        </w:rPr>
        <w:t xml:space="preserve">. </w:t>
      </w:r>
    </w:p>
    <w:p w14:paraId="6C1A72A0" w14:textId="77777777" w:rsidR="001D3384" w:rsidRPr="001D3384" w:rsidRDefault="001D3384" w:rsidP="001D3384">
      <w:pPr>
        <w:tabs>
          <w:tab w:val="left" w:pos="851"/>
        </w:tabs>
        <w:ind w:left="851"/>
        <w:rPr>
          <w:sz w:val="24"/>
          <w:szCs w:val="24"/>
        </w:rPr>
      </w:pPr>
    </w:p>
    <w:p w14:paraId="4DAC429C" w14:textId="77777777" w:rsidR="001D3384" w:rsidRPr="001D3384" w:rsidRDefault="001D3384" w:rsidP="001D3384">
      <w:pPr>
        <w:tabs>
          <w:tab w:val="left" w:pos="851"/>
        </w:tabs>
        <w:ind w:left="851"/>
        <w:rPr>
          <w:sz w:val="24"/>
          <w:szCs w:val="24"/>
        </w:rPr>
      </w:pPr>
      <w:bookmarkStart w:id="9" w:name="_Hlk132977917"/>
      <w:r w:rsidRPr="001D3384">
        <w:rPr>
          <w:sz w:val="24"/>
          <w:szCs w:val="24"/>
        </w:rPr>
        <w:t xml:space="preserve">Før brug kontrolleres visuelt, at koncentratet til infusionsvæske, opløsning er klart og fri for partikler. </w:t>
      </w:r>
    </w:p>
    <w:p w14:paraId="64843675" w14:textId="77777777" w:rsidR="001D3384" w:rsidRPr="001D3384" w:rsidRDefault="001D3384" w:rsidP="001D3384">
      <w:pPr>
        <w:tabs>
          <w:tab w:val="left" w:pos="851"/>
        </w:tabs>
        <w:ind w:left="851"/>
        <w:rPr>
          <w:i/>
          <w:iCs/>
          <w:sz w:val="24"/>
          <w:szCs w:val="24"/>
        </w:rPr>
      </w:pPr>
    </w:p>
    <w:p w14:paraId="3F2A13E6" w14:textId="77777777" w:rsidR="001D3384" w:rsidRPr="007D1DC4" w:rsidRDefault="001D3384" w:rsidP="001D3384">
      <w:pPr>
        <w:tabs>
          <w:tab w:val="left" w:pos="851"/>
        </w:tabs>
        <w:ind w:left="851"/>
        <w:rPr>
          <w:iCs/>
          <w:sz w:val="24"/>
          <w:szCs w:val="24"/>
          <w:u w:val="single"/>
        </w:rPr>
      </w:pPr>
      <w:r w:rsidRPr="007D1DC4">
        <w:rPr>
          <w:iCs/>
          <w:sz w:val="24"/>
          <w:szCs w:val="24"/>
          <w:u w:val="single"/>
        </w:rPr>
        <w:t>Forligelighed</w:t>
      </w:r>
    </w:p>
    <w:p w14:paraId="4C4A3FE3" w14:textId="77777777" w:rsidR="001D3384" w:rsidRPr="001D3384" w:rsidRDefault="001D3384" w:rsidP="001D3384">
      <w:pPr>
        <w:tabs>
          <w:tab w:val="left" w:pos="851"/>
        </w:tabs>
        <w:ind w:left="851"/>
        <w:rPr>
          <w:sz w:val="24"/>
          <w:szCs w:val="24"/>
        </w:rPr>
      </w:pPr>
      <w:r w:rsidRPr="001D3384">
        <w:rPr>
          <w:sz w:val="24"/>
          <w:szCs w:val="24"/>
        </w:rPr>
        <w:t xml:space="preserve">Skal fortyndes før brug. </w:t>
      </w:r>
    </w:p>
    <w:p w14:paraId="5781BF6E" w14:textId="77777777" w:rsidR="001D3384" w:rsidRPr="001D3384" w:rsidRDefault="001D3384" w:rsidP="001D3384">
      <w:pPr>
        <w:tabs>
          <w:tab w:val="left" w:pos="851"/>
        </w:tabs>
        <w:ind w:left="851"/>
        <w:rPr>
          <w:sz w:val="24"/>
          <w:szCs w:val="24"/>
        </w:rPr>
      </w:pPr>
      <w:proofErr w:type="spellStart"/>
      <w:r w:rsidRPr="001D3384">
        <w:rPr>
          <w:sz w:val="24"/>
          <w:szCs w:val="24"/>
        </w:rPr>
        <w:t>Peditrace</w:t>
      </w:r>
      <w:proofErr w:type="spellEnd"/>
      <w:r w:rsidRPr="001D3384">
        <w:rPr>
          <w:sz w:val="24"/>
          <w:szCs w:val="24"/>
        </w:rPr>
        <w:t xml:space="preserve"> </w:t>
      </w:r>
      <w:proofErr w:type="spellStart"/>
      <w:r w:rsidRPr="001D3384">
        <w:rPr>
          <w:sz w:val="24"/>
          <w:szCs w:val="24"/>
        </w:rPr>
        <w:t>Novum</w:t>
      </w:r>
      <w:proofErr w:type="spellEnd"/>
      <w:r w:rsidRPr="001D3384">
        <w:rPr>
          <w:sz w:val="24"/>
          <w:szCs w:val="24"/>
        </w:rPr>
        <w:t xml:space="preserve"> anvendes som et additiv til parenterale ernæringsblandinger, hvor forligelighedsdata er tilgængelige. </w:t>
      </w:r>
    </w:p>
    <w:p w14:paraId="2799C23E" w14:textId="77777777" w:rsidR="001D3384" w:rsidRPr="001D3384" w:rsidRDefault="001D3384" w:rsidP="001D3384">
      <w:pPr>
        <w:tabs>
          <w:tab w:val="left" w:pos="851"/>
        </w:tabs>
        <w:ind w:left="851"/>
        <w:rPr>
          <w:sz w:val="24"/>
          <w:szCs w:val="24"/>
        </w:rPr>
      </w:pPr>
    </w:p>
    <w:bookmarkEnd w:id="9"/>
    <w:p w14:paraId="6AD991A7" w14:textId="77777777" w:rsidR="00C1110D" w:rsidRDefault="00C1110D" w:rsidP="00C1110D">
      <w:pPr>
        <w:tabs>
          <w:tab w:val="left" w:pos="851"/>
        </w:tabs>
        <w:ind w:left="851"/>
        <w:rPr>
          <w:sz w:val="24"/>
          <w:szCs w:val="24"/>
        </w:rPr>
      </w:pPr>
      <w:r>
        <w:rPr>
          <w:sz w:val="24"/>
          <w:szCs w:val="24"/>
        </w:rPr>
        <w:t xml:space="preserve">Forligelighedsdata er tilgængelige med de navngivne produkter </w:t>
      </w:r>
      <w:proofErr w:type="spellStart"/>
      <w:r>
        <w:rPr>
          <w:sz w:val="24"/>
          <w:szCs w:val="24"/>
        </w:rPr>
        <w:t>Vaminolac</w:t>
      </w:r>
      <w:proofErr w:type="spellEnd"/>
      <w:r>
        <w:rPr>
          <w:sz w:val="24"/>
          <w:szCs w:val="24"/>
        </w:rPr>
        <w:t>,</w:t>
      </w:r>
      <w:r>
        <w:t xml:space="preserve"> </w:t>
      </w:r>
      <w:proofErr w:type="spellStart"/>
      <w:r>
        <w:t>Vamin</w:t>
      </w:r>
      <w:proofErr w:type="spellEnd"/>
      <w:r>
        <w:t xml:space="preserve"> 14 g N/l elektrolytfri, </w:t>
      </w:r>
      <w:proofErr w:type="spellStart"/>
      <w:r>
        <w:t>Vamin</w:t>
      </w:r>
      <w:proofErr w:type="spellEnd"/>
      <w:r>
        <w:t xml:space="preserve"> 18 g N/l elektrolytfri, </w:t>
      </w:r>
      <w:proofErr w:type="spellStart"/>
      <w:r>
        <w:t>SMOFlipid</w:t>
      </w:r>
      <w:proofErr w:type="spellEnd"/>
      <w:r>
        <w:t xml:space="preserve">, Intralipid, Vitalipid </w:t>
      </w:r>
      <w:proofErr w:type="spellStart"/>
      <w:r>
        <w:t>Adult</w:t>
      </w:r>
      <w:proofErr w:type="spellEnd"/>
      <w:r>
        <w:t xml:space="preserve">, Vitalipid Infant, </w:t>
      </w:r>
      <w:proofErr w:type="spellStart"/>
      <w:r>
        <w:t>Soluvit</w:t>
      </w:r>
      <w:proofErr w:type="spellEnd"/>
      <w:r>
        <w:t xml:space="preserve"> og </w:t>
      </w:r>
      <w:proofErr w:type="spellStart"/>
      <w:r>
        <w:t>Glycophos</w:t>
      </w:r>
      <w:proofErr w:type="spellEnd"/>
      <w:r>
        <w:rPr>
          <w:sz w:val="24"/>
          <w:szCs w:val="24"/>
        </w:rPr>
        <w:t xml:space="preserve"> i bestemte mængder kombineret med </w:t>
      </w:r>
      <w:proofErr w:type="spellStart"/>
      <w:r>
        <w:rPr>
          <w:sz w:val="24"/>
          <w:szCs w:val="24"/>
        </w:rPr>
        <w:t>glucose</w:t>
      </w:r>
      <w:proofErr w:type="spellEnd"/>
      <w:r>
        <w:rPr>
          <w:sz w:val="24"/>
          <w:szCs w:val="24"/>
        </w:rPr>
        <w:t xml:space="preserve"> og elektrolytter i bestemte koncentrationer. </w:t>
      </w:r>
      <w:proofErr w:type="spellStart"/>
      <w:r>
        <w:rPr>
          <w:sz w:val="24"/>
          <w:szCs w:val="24"/>
        </w:rPr>
        <w:t>Peditrace</w:t>
      </w:r>
      <w:proofErr w:type="spellEnd"/>
      <w:r>
        <w:rPr>
          <w:sz w:val="24"/>
          <w:szCs w:val="24"/>
        </w:rPr>
        <w:t xml:space="preserve"> </w:t>
      </w:r>
      <w:proofErr w:type="spellStart"/>
      <w:r>
        <w:rPr>
          <w:sz w:val="24"/>
          <w:szCs w:val="24"/>
        </w:rPr>
        <w:t>Novum</w:t>
      </w:r>
      <w:proofErr w:type="spellEnd"/>
      <w:r>
        <w:rPr>
          <w:sz w:val="24"/>
          <w:szCs w:val="24"/>
        </w:rPr>
        <w:t xml:space="preserve"> kan også tilsættes til </w:t>
      </w:r>
      <w:proofErr w:type="spellStart"/>
      <w:r>
        <w:rPr>
          <w:sz w:val="24"/>
          <w:szCs w:val="24"/>
        </w:rPr>
        <w:t>SmofKabiven</w:t>
      </w:r>
      <w:proofErr w:type="spellEnd"/>
      <w:r>
        <w:rPr>
          <w:sz w:val="24"/>
          <w:szCs w:val="24"/>
        </w:rPr>
        <w:t xml:space="preserve"> og </w:t>
      </w:r>
      <w:proofErr w:type="spellStart"/>
      <w:r>
        <w:rPr>
          <w:sz w:val="24"/>
          <w:szCs w:val="24"/>
        </w:rPr>
        <w:t>SmofKabiven</w:t>
      </w:r>
      <w:proofErr w:type="spellEnd"/>
      <w:r>
        <w:rPr>
          <w:sz w:val="24"/>
          <w:szCs w:val="24"/>
        </w:rPr>
        <w:t xml:space="preserve"> elektrolytfri med eller uden Vitalipid Infant/</w:t>
      </w:r>
      <w:proofErr w:type="spellStart"/>
      <w:r>
        <w:rPr>
          <w:sz w:val="24"/>
          <w:szCs w:val="24"/>
        </w:rPr>
        <w:t>Adult</w:t>
      </w:r>
      <w:proofErr w:type="spellEnd"/>
      <w:r>
        <w:rPr>
          <w:sz w:val="24"/>
          <w:szCs w:val="24"/>
        </w:rPr>
        <w:t xml:space="preserve">, </w:t>
      </w:r>
      <w:proofErr w:type="spellStart"/>
      <w:r>
        <w:rPr>
          <w:sz w:val="24"/>
          <w:szCs w:val="24"/>
        </w:rPr>
        <w:t>Soluvit</w:t>
      </w:r>
      <w:proofErr w:type="spellEnd"/>
      <w:r>
        <w:rPr>
          <w:sz w:val="24"/>
          <w:szCs w:val="24"/>
        </w:rPr>
        <w:t xml:space="preserve"> og elektrolytter.  </w:t>
      </w:r>
    </w:p>
    <w:p w14:paraId="37B5A915" w14:textId="77777777" w:rsidR="00C1110D" w:rsidRDefault="00C1110D" w:rsidP="00C1110D">
      <w:pPr>
        <w:tabs>
          <w:tab w:val="left" w:pos="851"/>
        </w:tabs>
        <w:ind w:left="851"/>
        <w:rPr>
          <w:i/>
          <w:iCs/>
          <w:sz w:val="24"/>
          <w:szCs w:val="24"/>
        </w:rPr>
      </w:pPr>
    </w:p>
    <w:p w14:paraId="4F245661" w14:textId="77777777" w:rsidR="00C1110D" w:rsidRDefault="00C1110D" w:rsidP="00C1110D">
      <w:pPr>
        <w:tabs>
          <w:tab w:val="left" w:pos="851"/>
        </w:tabs>
        <w:ind w:left="851"/>
        <w:rPr>
          <w:sz w:val="24"/>
          <w:szCs w:val="24"/>
        </w:rPr>
      </w:pPr>
      <w:r>
        <w:rPr>
          <w:sz w:val="24"/>
          <w:szCs w:val="24"/>
        </w:rPr>
        <w:t xml:space="preserve">Genererede data understøtter tilsætninger i henhold til nedenstående tabel:  </w:t>
      </w:r>
    </w:p>
    <w:p w14:paraId="4012B994" w14:textId="77777777" w:rsidR="00C1110D" w:rsidRDefault="00C1110D" w:rsidP="00C1110D">
      <w:pPr>
        <w:tabs>
          <w:tab w:val="left" w:pos="851"/>
        </w:tabs>
        <w:ind w:left="851"/>
        <w:rPr>
          <w:sz w:val="24"/>
          <w:szCs w:val="24"/>
        </w:rPr>
      </w:pPr>
    </w:p>
    <w:tbl>
      <w:tblPr>
        <w:tblStyle w:val="Tabel-Gitter"/>
        <w:tblW w:w="9072" w:type="dxa"/>
        <w:tblInd w:w="846" w:type="dxa"/>
        <w:tblLook w:val="04A0" w:firstRow="1" w:lastRow="0" w:firstColumn="1" w:lastColumn="0" w:noHBand="0" w:noVBand="1"/>
      </w:tblPr>
      <w:tblGrid>
        <w:gridCol w:w="2126"/>
        <w:gridCol w:w="6946"/>
      </w:tblGrid>
      <w:tr w:rsidR="00C1110D" w14:paraId="0E58734C" w14:textId="77777777" w:rsidTr="00C1110D">
        <w:tc>
          <w:tcPr>
            <w:tcW w:w="2126" w:type="dxa"/>
            <w:tcBorders>
              <w:top w:val="single" w:sz="4" w:space="0" w:color="auto"/>
              <w:left w:val="single" w:sz="4" w:space="0" w:color="auto"/>
              <w:bottom w:val="single" w:sz="4" w:space="0" w:color="auto"/>
              <w:right w:val="single" w:sz="4" w:space="0" w:color="auto"/>
            </w:tcBorders>
            <w:hideMark/>
          </w:tcPr>
          <w:p w14:paraId="296643A6" w14:textId="77777777" w:rsidR="00C1110D" w:rsidRDefault="00C1110D">
            <w:pPr>
              <w:ind w:left="33"/>
              <w:rPr>
                <w:b/>
                <w:bCs/>
                <w:sz w:val="24"/>
                <w:szCs w:val="24"/>
                <w:lang w:val="en-GB"/>
              </w:rPr>
            </w:pPr>
            <w:proofErr w:type="spellStart"/>
            <w:r>
              <w:rPr>
                <w:b/>
                <w:bCs/>
                <w:sz w:val="24"/>
                <w:szCs w:val="24"/>
                <w:lang w:val="en-GB"/>
              </w:rPr>
              <w:t>Peditrace</w:t>
            </w:r>
            <w:proofErr w:type="spellEnd"/>
            <w:r>
              <w:rPr>
                <w:b/>
                <w:bCs/>
                <w:sz w:val="24"/>
                <w:szCs w:val="24"/>
                <w:lang w:val="en-GB"/>
              </w:rPr>
              <w:t xml:space="preserve"> Novum</w:t>
            </w:r>
          </w:p>
        </w:tc>
        <w:tc>
          <w:tcPr>
            <w:tcW w:w="6946" w:type="dxa"/>
            <w:tcBorders>
              <w:top w:val="single" w:sz="4" w:space="0" w:color="auto"/>
              <w:left w:val="single" w:sz="4" w:space="0" w:color="auto"/>
              <w:bottom w:val="single" w:sz="4" w:space="0" w:color="auto"/>
              <w:right w:val="single" w:sz="4" w:space="0" w:color="auto"/>
            </w:tcBorders>
            <w:hideMark/>
          </w:tcPr>
          <w:p w14:paraId="533E0BD3" w14:textId="77777777" w:rsidR="00C1110D" w:rsidRDefault="00C1110D">
            <w:pPr>
              <w:ind w:left="71"/>
              <w:rPr>
                <w:b/>
                <w:bCs/>
                <w:sz w:val="24"/>
                <w:szCs w:val="24"/>
                <w:lang w:val="en-GB"/>
              </w:rPr>
            </w:pPr>
            <w:r>
              <w:rPr>
                <w:b/>
                <w:bCs/>
                <w:sz w:val="24"/>
                <w:szCs w:val="24"/>
                <w:lang w:val="en-GB"/>
              </w:rPr>
              <w:t>Blanding</w:t>
            </w:r>
          </w:p>
        </w:tc>
      </w:tr>
      <w:tr w:rsidR="00C1110D" w14:paraId="676A75C7" w14:textId="77777777" w:rsidTr="00C1110D">
        <w:tc>
          <w:tcPr>
            <w:tcW w:w="2126" w:type="dxa"/>
            <w:tcBorders>
              <w:top w:val="single" w:sz="4" w:space="0" w:color="auto"/>
              <w:left w:val="single" w:sz="4" w:space="0" w:color="auto"/>
              <w:bottom w:val="single" w:sz="4" w:space="0" w:color="auto"/>
              <w:right w:val="single" w:sz="4" w:space="0" w:color="auto"/>
            </w:tcBorders>
            <w:hideMark/>
          </w:tcPr>
          <w:p w14:paraId="724BF5AF" w14:textId="77777777" w:rsidR="00C1110D" w:rsidRDefault="00C1110D">
            <w:pPr>
              <w:ind w:left="33"/>
              <w:rPr>
                <w:sz w:val="24"/>
                <w:szCs w:val="24"/>
                <w:lang w:val="en-GB"/>
              </w:rPr>
            </w:pPr>
            <w:r>
              <w:rPr>
                <w:sz w:val="24"/>
                <w:szCs w:val="24"/>
                <w:lang w:val="en-GB"/>
              </w:rPr>
              <w:t>0-10 ml/l</w:t>
            </w:r>
          </w:p>
        </w:tc>
        <w:tc>
          <w:tcPr>
            <w:tcW w:w="6946" w:type="dxa"/>
            <w:tcBorders>
              <w:top w:val="single" w:sz="4" w:space="0" w:color="auto"/>
              <w:left w:val="single" w:sz="4" w:space="0" w:color="auto"/>
              <w:bottom w:val="single" w:sz="4" w:space="0" w:color="auto"/>
              <w:right w:val="single" w:sz="4" w:space="0" w:color="auto"/>
            </w:tcBorders>
            <w:hideMark/>
          </w:tcPr>
          <w:p w14:paraId="671D3AED" w14:textId="77777777" w:rsidR="00C1110D" w:rsidRDefault="00C1110D">
            <w:pPr>
              <w:ind w:left="71"/>
              <w:rPr>
                <w:sz w:val="24"/>
                <w:szCs w:val="24"/>
              </w:rPr>
            </w:pPr>
            <w:r>
              <w:rPr>
                <w:sz w:val="24"/>
                <w:szCs w:val="24"/>
              </w:rPr>
              <w:t xml:space="preserve">Vandige PN-blandinger med komponenterne anført ovenfor </w:t>
            </w:r>
          </w:p>
        </w:tc>
      </w:tr>
      <w:tr w:rsidR="00C1110D" w14:paraId="06C55B2F" w14:textId="77777777" w:rsidTr="00C1110D">
        <w:tc>
          <w:tcPr>
            <w:tcW w:w="2126" w:type="dxa"/>
            <w:tcBorders>
              <w:top w:val="single" w:sz="4" w:space="0" w:color="auto"/>
              <w:left w:val="single" w:sz="4" w:space="0" w:color="auto"/>
              <w:bottom w:val="single" w:sz="4" w:space="0" w:color="auto"/>
              <w:right w:val="single" w:sz="4" w:space="0" w:color="auto"/>
            </w:tcBorders>
            <w:hideMark/>
          </w:tcPr>
          <w:p w14:paraId="7A3551C5" w14:textId="77777777" w:rsidR="00C1110D" w:rsidRDefault="00C1110D">
            <w:pPr>
              <w:ind w:left="33"/>
              <w:rPr>
                <w:sz w:val="24"/>
                <w:szCs w:val="24"/>
                <w:lang w:val="en-GB"/>
              </w:rPr>
            </w:pPr>
            <w:r>
              <w:rPr>
                <w:sz w:val="24"/>
                <w:szCs w:val="24"/>
                <w:lang w:val="en-GB"/>
              </w:rPr>
              <w:t>0-10 ml/l</w:t>
            </w:r>
          </w:p>
        </w:tc>
        <w:tc>
          <w:tcPr>
            <w:tcW w:w="6946" w:type="dxa"/>
            <w:tcBorders>
              <w:top w:val="single" w:sz="4" w:space="0" w:color="auto"/>
              <w:left w:val="single" w:sz="4" w:space="0" w:color="auto"/>
              <w:bottom w:val="single" w:sz="4" w:space="0" w:color="auto"/>
              <w:right w:val="single" w:sz="4" w:space="0" w:color="auto"/>
            </w:tcBorders>
            <w:hideMark/>
          </w:tcPr>
          <w:p w14:paraId="6A8EE3C8" w14:textId="77777777" w:rsidR="00C1110D" w:rsidRDefault="00C1110D">
            <w:pPr>
              <w:ind w:left="71"/>
              <w:rPr>
                <w:sz w:val="24"/>
                <w:szCs w:val="24"/>
              </w:rPr>
            </w:pPr>
            <w:r>
              <w:rPr>
                <w:sz w:val="24"/>
                <w:szCs w:val="24"/>
              </w:rPr>
              <w:t>Fedtholdige PN-blandinger med komponenterne anført ovenfor</w:t>
            </w:r>
          </w:p>
        </w:tc>
      </w:tr>
      <w:tr w:rsidR="00C1110D" w14:paraId="2B79D2EF" w14:textId="77777777" w:rsidTr="00C1110D">
        <w:tc>
          <w:tcPr>
            <w:tcW w:w="2126" w:type="dxa"/>
            <w:tcBorders>
              <w:top w:val="single" w:sz="4" w:space="0" w:color="auto"/>
              <w:left w:val="single" w:sz="4" w:space="0" w:color="auto"/>
              <w:bottom w:val="single" w:sz="4" w:space="0" w:color="auto"/>
              <w:right w:val="single" w:sz="4" w:space="0" w:color="auto"/>
            </w:tcBorders>
            <w:hideMark/>
          </w:tcPr>
          <w:p w14:paraId="5C47C049" w14:textId="77777777" w:rsidR="00C1110D" w:rsidRDefault="00C1110D">
            <w:pPr>
              <w:ind w:left="33"/>
              <w:rPr>
                <w:sz w:val="24"/>
                <w:szCs w:val="24"/>
                <w:lang w:val="en-GB"/>
              </w:rPr>
            </w:pPr>
            <w:r>
              <w:rPr>
                <w:sz w:val="24"/>
                <w:szCs w:val="24"/>
                <w:lang w:val="en-GB"/>
              </w:rPr>
              <w:t>0-10 ml</w:t>
            </w:r>
          </w:p>
        </w:tc>
        <w:tc>
          <w:tcPr>
            <w:tcW w:w="6946" w:type="dxa"/>
            <w:tcBorders>
              <w:top w:val="single" w:sz="4" w:space="0" w:color="auto"/>
              <w:left w:val="single" w:sz="4" w:space="0" w:color="auto"/>
              <w:bottom w:val="single" w:sz="4" w:space="0" w:color="auto"/>
              <w:right w:val="single" w:sz="4" w:space="0" w:color="auto"/>
            </w:tcBorders>
            <w:hideMark/>
          </w:tcPr>
          <w:p w14:paraId="47A8A2C9" w14:textId="77777777" w:rsidR="00C1110D" w:rsidRDefault="00C1110D">
            <w:pPr>
              <w:ind w:left="71"/>
              <w:rPr>
                <w:sz w:val="24"/>
                <w:szCs w:val="24"/>
              </w:rPr>
            </w:pPr>
            <w:proofErr w:type="spellStart"/>
            <w:r>
              <w:rPr>
                <w:sz w:val="24"/>
                <w:szCs w:val="24"/>
              </w:rPr>
              <w:t>SmofKabiven</w:t>
            </w:r>
            <w:proofErr w:type="spellEnd"/>
            <w:r>
              <w:rPr>
                <w:sz w:val="24"/>
                <w:szCs w:val="24"/>
              </w:rPr>
              <w:t xml:space="preserve"> and </w:t>
            </w:r>
            <w:proofErr w:type="spellStart"/>
            <w:r>
              <w:rPr>
                <w:sz w:val="24"/>
                <w:szCs w:val="24"/>
              </w:rPr>
              <w:t>SmofKabiven</w:t>
            </w:r>
            <w:proofErr w:type="spellEnd"/>
            <w:r>
              <w:rPr>
                <w:sz w:val="24"/>
                <w:szCs w:val="24"/>
              </w:rPr>
              <w:t xml:space="preserve"> elektrolytfri (aktiveret 986 ml, 1477 ml, 1970 ml eller 2463 ml pose) med elektrolytter og vitaminer som anført ovenfor. </w:t>
            </w:r>
          </w:p>
        </w:tc>
      </w:tr>
      <w:tr w:rsidR="00C1110D" w14:paraId="7AEA8A3F" w14:textId="77777777" w:rsidTr="00C1110D">
        <w:tc>
          <w:tcPr>
            <w:tcW w:w="2126" w:type="dxa"/>
            <w:tcBorders>
              <w:top w:val="single" w:sz="4" w:space="0" w:color="auto"/>
              <w:left w:val="single" w:sz="4" w:space="0" w:color="auto"/>
              <w:bottom w:val="single" w:sz="4" w:space="0" w:color="auto"/>
              <w:right w:val="single" w:sz="4" w:space="0" w:color="auto"/>
            </w:tcBorders>
            <w:hideMark/>
          </w:tcPr>
          <w:p w14:paraId="7B9DF376" w14:textId="77777777" w:rsidR="00C1110D" w:rsidRDefault="00C1110D">
            <w:pPr>
              <w:ind w:left="33"/>
              <w:rPr>
                <w:sz w:val="24"/>
                <w:szCs w:val="24"/>
                <w:lang w:val="en-GB"/>
              </w:rPr>
            </w:pPr>
            <w:r>
              <w:rPr>
                <w:sz w:val="24"/>
                <w:szCs w:val="24"/>
                <w:lang w:val="en-GB"/>
              </w:rPr>
              <w:t>0-5 ml</w:t>
            </w:r>
          </w:p>
        </w:tc>
        <w:tc>
          <w:tcPr>
            <w:tcW w:w="6946" w:type="dxa"/>
            <w:tcBorders>
              <w:top w:val="single" w:sz="4" w:space="0" w:color="auto"/>
              <w:left w:val="single" w:sz="4" w:space="0" w:color="auto"/>
              <w:bottom w:val="single" w:sz="4" w:space="0" w:color="auto"/>
              <w:right w:val="single" w:sz="4" w:space="0" w:color="auto"/>
            </w:tcBorders>
            <w:hideMark/>
          </w:tcPr>
          <w:p w14:paraId="7591F17F" w14:textId="77777777" w:rsidR="00C1110D" w:rsidRDefault="00C1110D">
            <w:pPr>
              <w:ind w:left="71"/>
              <w:rPr>
                <w:sz w:val="24"/>
                <w:szCs w:val="24"/>
              </w:rPr>
            </w:pPr>
            <w:proofErr w:type="spellStart"/>
            <w:r>
              <w:rPr>
                <w:sz w:val="24"/>
                <w:szCs w:val="24"/>
              </w:rPr>
              <w:t>SmofKabiven</w:t>
            </w:r>
            <w:proofErr w:type="spellEnd"/>
            <w:r>
              <w:rPr>
                <w:sz w:val="24"/>
                <w:szCs w:val="24"/>
              </w:rPr>
              <w:t xml:space="preserve"> og </w:t>
            </w:r>
            <w:proofErr w:type="spellStart"/>
            <w:r>
              <w:rPr>
                <w:sz w:val="24"/>
                <w:szCs w:val="24"/>
              </w:rPr>
              <w:t>SmofKabiven</w:t>
            </w:r>
            <w:proofErr w:type="spellEnd"/>
            <w:r>
              <w:rPr>
                <w:sz w:val="24"/>
                <w:szCs w:val="24"/>
              </w:rPr>
              <w:t xml:space="preserve"> elektrolytfri (aktiveret 493 ml pose) med elektrolytter og vitaminer som anført ovenfor. </w:t>
            </w:r>
          </w:p>
        </w:tc>
      </w:tr>
    </w:tbl>
    <w:p w14:paraId="12C68F7F" w14:textId="77777777" w:rsidR="00C1110D" w:rsidRDefault="00C1110D" w:rsidP="00C1110D">
      <w:pPr>
        <w:tabs>
          <w:tab w:val="left" w:pos="851"/>
        </w:tabs>
        <w:ind w:left="851"/>
        <w:rPr>
          <w:sz w:val="24"/>
          <w:szCs w:val="24"/>
        </w:rPr>
      </w:pPr>
    </w:p>
    <w:p w14:paraId="667BB14F" w14:textId="77777777" w:rsidR="00C1110D" w:rsidRDefault="00C1110D" w:rsidP="00C1110D">
      <w:pPr>
        <w:tabs>
          <w:tab w:val="left" w:pos="851"/>
        </w:tabs>
        <w:ind w:left="851"/>
        <w:rPr>
          <w:sz w:val="24"/>
          <w:szCs w:val="24"/>
        </w:rPr>
      </w:pPr>
      <w:proofErr w:type="spellStart"/>
      <w:r>
        <w:rPr>
          <w:sz w:val="24"/>
          <w:szCs w:val="24"/>
        </w:rPr>
        <w:t>Peditrace</w:t>
      </w:r>
      <w:proofErr w:type="spellEnd"/>
      <w:r>
        <w:rPr>
          <w:sz w:val="24"/>
          <w:szCs w:val="24"/>
        </w:rPr>
        <w:t xml:space="preserve"> </w:t>
      </w:r>
      <w:proofErr w:type="spellStart"/>
      <w:r>
        <w:rPr>
          <w:sz w:val="24"/>
          <w:szCs w:val="24"/>
        </w:rPr>
        <w:t>Novum</w:t>
      </w:r>
      <w:proofErr w:type="spellEnd"/>
      <w:r>
        <w:rPr>
          <w:sz w:val="24"/>
          <w:szCs w:val="24"/>
        </w:rPr>
        <w:t xml:space="preserve"> bør aldrig tilsættes direkte til en fedtemulsion på grund af dets destabiliserende virkninger. Det er anbefalet, at makronæringsstofferne (aminosyreopløsning og </w:t>
      </w:r>
      <w:proofErr w:type="spellStart"/>
      <w:r>
        <w:rPr>
          <w:sz w:val="24"/>
          <w:szCs w:val="24"/>
        </w:rPr>
        <w:t>glucose</w:t>
      </w:r>
      <w:proofErr w:type="spellEnd"/>
      <w:r>
        <w:rPr>
          <w:sz w:val="24"/>
          <w:szCs w:val="24"/>
        </w:rPr>
        <w:t xml:space="preserve"> med eller uden fedtemulsion) blandes først før tilsætning af mikronæringsstofferne. Tilsætningerne bør foretages aseptisk. </w:t>
      </w:r>
    </w:p>
    <w:p w14:paraId="324E0A0D" w14:textId="77777777" w:rsidR="00C1110D" w:rsidRDefault="00C1110D" w:rsidP="00C1110D">
      <w:pPr>
        <w:tabs>
          <w:tab w:val="left" w:pos="851"/>
        </w:tabs>
        <w:ind w:left="851"/>
        <w:rPr>
          <w:sz w:val="24"/>
          <w:szCs w:val="24"/>
        </w:rPr>
      </w:pPr>
    </w:p>
    <w:p w14:paraId="76E47334" w14:textId="77777777" w:rsidR="00C1110D" w:rsidRDefault="00C1110D" w:rsidP="00C1110D">
      <w:pPr>
        <w:tabs>
          <w:tab w:val="left" w:pos="851"/>
        </w:tabs>
        <w:ind w:left="851"/>
        <w:rPr>
          <w:sz w:val="24"/>
          <w:szCs w:val="24"/>
        </w:rPr>
      </w:pPr>
      <w:r>
        <w:rPr>
          <w:sz w:val="24"/>
          <w:szCs w:val="24"/>
        </w:rPr>
        <w:t>Ikke anvendt lægemiddel samt affald heraf skal bortskaffes i henhold til lokale retningslinjer.</w:t>
      </w:r>
    </w:p>
    <w:p w14:paraId="0FE74074" w14:textId="77777777" w:rsidR="009260DE" w:rsidRPr="00C84483" w:rsidRDefault="009260DE" w:rsidP="000730CA">
      <w:pPr>
        <w:tabs>
          <w:tab w:val="left" w:pos="851"/>
        </w:tabs>
        <w:ind w:left="851"/>
        <w:rPr>
          <w:sz w:val="24"/>
          <w:szCs w:val="24"/>
        </w:rPr>
      </w:pPr>
    </w:p>
    <w:p w14:paraId="35A05A43"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1965AA88" w14:textId="0B9D49BC" w:rsidR="007C0D55" w:rsidRDefault="007C0D55" w:rsidP="007C0D55">
      <w:pPr>
        <w:ind w:left="851"/>
        <w:rPr>
          <w:szCs w:val="22"/>
        </w:rPr>
      </w:pPr>
      <w:proofErr w:type="spellStart"/>
      <w:r>
        <w:rPr>
          <w:szCs w:val="22"/>
        </w:rPr>
        <w:t>Fresenius</w:t>
      </w:r>
      <w:proofErr w:type="spellEnd"/>
      <w:r>
        <w:rPr>
          <w:szCs w:val="22"/>
        </w:rPr>
        <w:t xml:space="preserve"> </w:t>
      </w:r>
      <w:proofErr w:type="spellStart"/>
      <w:r>
        <w:rPr>
          <w:szCs w:val="22"/>
        </w:rPr>
        <w:t>Kabi</w:t>
      </w:r>
      <w:proofErr w:type="spellEnd"/>
      <w:r>
        <w:rPr>
          <w:szCs w:val="22"/>
        </w:rPr>
        <w:t xml:space="preserve"> AB</w:t>
      </w:r>
    </w:p>
    <w:p w14:paraId="2C226779" w14:textId="63E38E12" w:rsidR="00EC3A5B" w:rsidRDefault="00EC3A5B" w:rsidP="007C0D55">
      <w:pPr>
        <w:ind w:left="851"/>
        <w:rPr>
          <w:sz w:val="24"/>
          <w:szCs w:val="22"/>
        </w:rPr>
      </w:pPr>
      <w:proofErr w:type="spellStart"/>
      <w:r>
        <w:rPr>
          <w:sz w:val="24"/>
          <w:szCs w:val="22"/>
        </w:rPr>
        <w:t>Rapsgatan</w:t>
      </w:r>
      <w:proofErr w:type="spellEnd"/>
      <w:r>
        <w:rPr>
          <w:sz w:val="24"/>
          <w:szCs w:val="22"/>
        </w:rPr>
        <w:t xml:space="preserve"> 7</w:t>
      </w:r>
    </w:p>
    <w:p w14:paraId="6C4BF0E1" w14:textId="77777777" w:rsidR="007C0D55" w:rsidRDefault="007C0D55" w:rsidP="007C0D55">
      <w:pPr>
        <w:ind w:left="851"/>
        <w:rPr>
          <w:szCs w:val="22"/>
        </w:rPr>
      </w:pPr>
      <w:r>
        <w:rPr>
          <w:szCs w:val="22"/>
        </w:rPr>
        <w:t>751 74 Uppsala</w:t>
      </w:r>
    </w:p>
    <w:p w14:paraId="3864E0E6" w14:textId="77777777" w:rsidR="007C0D55" w:rsidRDefault="007C0D55" w:rsidP="007C0D55">
      <w:pPr>
        <w:ind w:left="851"/>
        <w:rPr>
          <w:szCs w:val="22"/>
        </w:rPr>
      </w:pPr>
      <w:r>
        <w:rPr>
          <w:szCs w:val="22"/>
        </w:rPr>
        <w:t>Sverige</w:t>
      </w:r>
    </w:p>
    <w:p w14:paraId="1114A675" w14:textId="77777777" w:rsidR="007C0D55" w:rsidRDefault="007C0D55" w:rsidP="007C0D55">
      <w:pPr>
        <w:ind w:left="851"/>
        <w:rPr>
          <w:szCs w:val="22"/>
        </w:rPr>
      </w:pPr>
    </w:p>
    <w:p w14:paraId="6042943E" w14:textId="77777777" w:rsidR="007C0D55" w:rsidRPr="00EC3A5B" w:rsidRDefault="007C0D55" w:rsidP="007C0D55">
      <w:pPr>
        <w:spacing w:line="240" w:lineRule="atLeast"/>
        <w:ind w:left="851"/>
        <w:rPr>
          <w:b/>
          <w:szCs w:val="22"/>
        </w:rPr>
      </w:pPr>
      <w:r w:rsidRPr="00EC3A5B">
        <w:rPr>
          <w:b/>
          <w:szCs w:val="22"/>
        </w:rPr>
        <w:t>Repræsentant</w:t>
      </w:r>
    </w:p>
    <w:p w14:paraId="753E0223" w14:textId="5919A61E" w:rsidR="007C0D55" w:rsidRDefault="007C0D55" w:rsidP="007C0D55">
      <w:pPr>
        <w:spacing w:line="240" w:lineRule="atLeast"/>
        <w:ind w:left="851"/>
        <w:rPr>
          <w:szCs w:val="22"/>
        </w:rPr>
      </w:pPr>
      <w:proofErr w:type="spellStart"/>
      <w:r>
        <w:rPr>
          <w:szCs w:val="22"/>
        </w:rPr>
        <w:t>Fresenius</w:t>
      </w:r>
      <w:proofErr w:type="spellEnd"/>
      <w:r>
        <w:rPr>
          <w:szCs w:val="22"/>
        </w:rPr>
        <w:t xml:space="preserve"> </w:t>
      </w:r>
      <w:proofErr w:type="spellStart"/>
      <w:r>
        <w:rPr>
          <w:szCs w:val="22"/>
        </w:rPr>
        <w:t>Kabi</w:t>
      </w:r>
      <w:proofErr w:type="spellEnd"/>
      <w:r>
        <w:rPr>
          <w:szCs w:val="22"/>
        </w:rPr>
        <w:t xml:space="preserve"> AB</w:t>
      </w:r>
    </w:p>
    <w:p w14:paraId="4806B8CC" w14:textId="75CE6FA0" w:rsidR="006E3B38" w:rsidRDefault="00EC3A5B" w:rsidP="007C0D55">
      <w:pPr>
        <w:spacing w:line="240" w:lineRule="atLeast"/>
        <w:ind w:left="851"/>
        <w:rPr>
          <w:szCs w:val="22"/>
        </w:rPr>
      </w:pPr>
      <w:r>
        <w:rPr>
          <w:szCs w:val="22"/>
        </w:rPr>
        <w:t>(</w:t>
      </w:r>
      <w:r w:rsidR="006E3B38">
        <w:rPr>
          <w:szCs w:val="22"/>
        </w:rPr>
        <w:t xml:space="preserve">Filial af </w:t>
      </w:r>
      <w:proofErr w:type="spellStart"/>
      <w:r w:rsidR="006E3B38">
        <w:rPr>
          <w:szCs w:val="22"/>
        </w:rPr>
        <w:t>Fresenius</w:t>
      </w:r>
      <w:proofErr w:type="spellEnd"/>
      <w:r w:rsidR="006E3B38">
        <w:rPr>
          <w:szCs w:val="22"/>
        </w:rPr>
        <w:t xml:space="preserve"> </w:t>
      </w:r>
      <w:proofErr w:type="spellStart"/>
      <w:r w:rsidR="006E3B38">
        <w:rPr>
          <w:szCs w:val="22"/>
        </w:rPr>
        <w:t>Kabi</w:t>
      </w:r>
      <w:proofErr w:type="spellEnd"/>
      <w:r w:rsidR="006E3B38">
        <w:rPr>
          <w:szCs w:val="22"/>
        </w:rPr>
        <w:t xml:space="preserve"> AB Sverige</w:t>
      </w:r>
      <w:r>
        <w:rPr>
          <w:szCs w:val="22"/>
        </w:rPr>
        <w:t>)</w:t>
      </w:r>
    </w:p>
    <w:p w14:paraId="66E4DCF8" w14:textId="77777777" w:rsidR="007C0D55" w:rsidRDefault="007C0D55" w:rsidP="007C0D55">
      <w:pPr>
        <w:spacing w:line="240" w:lineRule="atLeast"/>
        <w:ind w:left="851"/>
        <w:rPr>
          <w:szCs w:val="22"/>
        </w:rPr>
      </w:pPr>
      <w:r>
        <w:rPr>
          <w:szCs w:val="22"/>
        </w:rPr>
        <w:t>Islands Brygge 57</w:t>
      </w:r>
    </w:p>
    <w:p w14:paraId="74FDF16E" w14:textId="77777777" w:rsidR="007C0D55" w:rsidRDefault="007C0D55" w:rsidP="007C0D55">
      <w:pPr>
        <w:spacing w:line="240" w:lineRule="atLeast"/>
        <w:ind w:left="851"/>
        <w:rPr>
          <w:szCs w:val="22"/>
        </w:rPr>
      </w:pPr>
      <w:r>
        <w:rPr>
          <w:szCs w:val="22"/>
        </w:rPr>
        <w:t>2300 København S</w:t>
      </w:r>
    </w:p>
    <w:p w14:paraId="19D9344C" w14:textId="2BCE3BBE" w:rsidR="00641C65" w:rsidRDefault="00641C65" w:rsidP="009260DE">
      <w:pPr>
        <w:tabs>
          <w:tab w:val="left" w:pos="851"/>
        </w:tabs>
        <w:ind w:left="851"/>
        <w:rPr>
          <w:b/>
          <w:sz w:val="24"/>
          <w:szCs w:val="24"/>
        </w:rPr>
      </w:pPr>
    </w:p>
    <w:p w14:paraId="3CB801E7"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7A2DE0E4" w14:textId="0AA4524B" w:rsidR="009260DE" w:rsidRPr="00C84483" w:rsidRDefault="00190346" w:rsidP="009260DE">
      <w:pPr>
        <w:tabs>
          <w:tab w:val="left" w:pos="851"/>
        </w:tabs>
        <w:ind w:left="851"/>
        <w:rPr>
          <w:sz w:val="24"/>
          <w:szCs w:val="24"/>
        </w:rPr>
      </w:pPr>
      <w:r>
        <w:rPr>
          <w:sz w:val="24"/>
          <w:szCs w:val="24"/>
        </w:rPr>
        <w:t>67160</w:t>
      </w:r>
    </w:p>
    <w:p w14:paraId="4D199332" w14:textId="77777777" w:rsidR="009260DE" w:rsidRPr="00C84483" w:rsidRDefault="009260DE" w:rsidP="009260DE">
      <w:pPr>
        <w:tabs>
          <w:tab w:val="left" w:pos="851"/>
        </w:tabs>
        <w:ind w:left="851"/>
        <w:jc w:val="both"/>
        <w:rPr>
          <w:sz w:val="24"/>
          <w:szCs w:val="24"/>
        </w:rPr>
      </w:pPr>
    </w:p>
    <w:p w14:paraId="6930D57B"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17AB43E" w14:textId="643AC5AD" w:rsidR="009260DE" w:rsidRPr="00C84483" w:rsidRDefault="00D42782" w:rsidP="009260DE">
      <w:pPr>
        <w:tabs>
          <w:tab w:val="left" w:pos="851"/>
        </w:tabs>
        <w:ind w:left="851"/>
        <w:rPr>
          <w:sz w:val="24"/>
          <w:szCs w:val="24"/>
        </w:rPr>
      </w:pPr>
      <w:r>
        <w:rPr>
          <w:sz w:val="24"/>
          <w:szCs w:val="24"/>
        </w:rPr>
        <w:t>13. juli 2023</w:t>
      </w:r>
    </w:p>
    <w:p w14:paraId="2B6158DC" w14:textId="77777777" w:rsidR="009260DE" w:rsidRPr="00C84483" w:rsidRDefault="009260DE" w:rsidP="009260DE">
      <w:pPr>
        <w:tabs>
          <w:tab w:val="left" w:pos="851"/>
        </w:tabs>
        <w:ind w:left="851"/>
        <w:rPr>
          <w:sz w:val="24"/>
          <w:szCs w:val="24"/>
        </w:rPr>
      </w:pPr>
    </w:p>
    <w:p w14:paraId="509ABB73"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B160836" w14:textId="1A20F2D3" w:rsidR="009260DE" w:rsidRPr="00C84483" w:rsidRDefault="004656E0" w:rsidP="009260DE">
      <w:pPr>
        <w:tabs>
          <w:tab w:val="left" w:pos="851"/>
        </w:tabs>
        <w:ind w:left="851"/>
        <w:rPr>
          <w:sz w:val="24"/>
          <w:szCs w:val="24"/>
        </w:rPr>
      </w:pPr>
      <w:r>
        <w:rPr>
          <w:sz w:val="24"/>
          <w:szCs w:val="24"/>
        </w:rPr>
        <w:t>4. oktober 2023</w:t>
      </w:r>
      <w:bookmarkStart w:id="10" w:name="_GoBack"/>
      <w:bookmarkEnd w:id="10"/>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3D568" w14:textId="77777777" w:rsidR="003D22D2" w:rsidRDefault="003D22D2">
      <w:r>
        <w:separator/>
      </w:r>
    </w:p>
  </w:endnote>
  <w:endnote w:type="continuationSeparator" w:id="0">
    <w:p w14:paraId="0F1D44F5" w14:textId="77777777" w:rsidR="003D22D2" w:rsidRDefault="003D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AEE61" w14:textId="77777777" w:rsidR="000259B9" w:rsidRDefault="000259B9">
    <w:pPr>
      <w:pStyle w:val="Sidefod"/>
      <w:pBdr>
        <w:bottom w:val="single" w:sz="6" w:space="1" w:color="auto"/>
      </w:pBdr>
    </w:pPr>
  </w:p>
  <w:p w14:paraId="03A7A53B" w14:textId="77777777" w:rsidR="000259B9" w:rsidRDefault="000259B9" w:rsidP="00C42586">
    <w:pPr>
      <w:pStyle w:val="Sidefod"/>
      <w:tabs>
        <w:tab w:val="clear" w:pos="4819"/>
        <w:tab w:val="left" w:pos="8505"/>
      </w:tabs>
      <w:rPr>
        <w:i/>
        <w:sz w:val="18"/>
        <w:szCs w:val="18"/>
      </w:rPr>
    </w:pPr>
  </w:p>
  <w:p w14:paraId="517A7F6E" w14:textId="25DD5BEE"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A35A1">
      <w:rPr>
        <w:i/>
        <w:noProof/>
        <w:sz w:val="18"/>
        <w:szCs w:val="18"/>
      </w:rPr>
      <w:t>Peditrace Novum, koncentrat til infusionsvæske, opløsning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D86DB" w14:textId="77777777" w:rsidR="003D22D2" w:rsidRDefault="003D22D2">
      <w:r>
        <w:separator/>
      </w:r>
    </w:p>
  </w:footnote>
  <w:footnote w:type="continuationSeparator" w:id="0">
    <w:p w14:paraId="777F71FB" w14:textId="77777777" w:rsidR="003D22D2" w:rsidRDefault="003D2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F35A2"/>
    <w:multiLevelType w:val="hybridMultilevel"/>
    <w:tmpl w:val="DC2620D0"/>
    <w:lvl w:ilvl="0" w:tplc="B99C4148">
      <w:numFmt w:val="bullet"/>
      <w:lvlText w:val="•"/>
      <w:lvlJc w:val="left"/>
      <w:pPr>
        <w:ind w:left="1301" w:hanging="45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81C365A"/>
    <w:multiLevelType w:val="hybridMultilevel"/>
    <w:tmpl w:val="B6E0363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49D6EC8"/>
    <w:multiLevelType w:val="hybridMultilevel"/>
    <w:tmpl w:val="943AE8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2D2"/>
    <w:rsid w:val="000062F5"/>
    <w:rsid w:val="000259B9"/>
    <w:rsid w:val="00041491"/>
    <w:rsid w:val="00050D16"/>
    <w:rsid w:val="000730CA"/>
    <w:rsid w:val="00074F2A"/>
    <w:rsid w:val="000A1CA8"/>
    <w:rsid w:val="000A466B"/>
    <w:rsid w:val="000B058C"/>
    <w:rsid w:val="000D68B0"/>
    <w:rsid w:val="000E4EE6"/>
    <w:rsid w:val="001454E2"/>
    <w:rsid w:val="00190346"/>
    <w:rsid w:val="001D3384"/>
    <w:rsid w:val="00206CE8"/>
    <w:rsid w:val="0021526C"/>
    <w:rsid w:val="00283A2B"/>
    <w:rsid w:val="002B30AD"/>
    <w:rsid w:val="002C1EC0"/>
    <w:rsid w:val="002C2C01"/>
    <w:rsid w:val="002F7475"/>
    <w:rsid w:val="0037405C"/>
    <w:rsid w:val="003A29AE"/>
    <w:rsid w:val="003A32D7"/>
    <w:rsid w:val="003B4074"/>
    <w:rsid w:val="003C769A"/>
    <w:rsid w:val="003D22D2"/>
    <w:rsid w:val="003D3A90"/>
    <w:rsid w:val="003D5096"/>
    <w:rsid w:val="003F1838"/>
    <w:rsid w:val="00453E7B"/>
    <w:rsid w:val="0045746C"/>
    <w:rsid w:val="004656E0"/>
    <w:rsid w:val="0049104B"/>
    <w:rsid w:val="0049365B"/>
    <w:rsid w:val="004E3B12"/>
    <w:rsid w:val="004E4918"/>
    <w:rsid w:val="00532310"/>
    <w:rsid w:val="0053289B"/>
    <w:rsid w:val="00565F0F"/>
    <w:rsid w:val="00594A86"/>
    <w:rsid w:val="00596D86"/>
    <w:rsid w:val="005C310C"/>
    <w:rsid w:val="005D59D4"/>
    <w:rsid w:val="0063704A"/>
    <w:rsid w:val="00637F5A"/>
    <w:rsid w:val="00641C65"/>
    <w:rsid w:val="00655AF3"/>
    <w:rsid w:val="006560B1"/>
    <w:rsid w:val="006756DD"/>
    <w:rsid w:val="006E3B38"/>
    <w:rsid w:val="0071241E"/>
    <w:rsid w:val="00737275"/>
    <w:rsid w:val="00740EEC"/>
    <w:rsid w:val="00753B44"/>
    <w:rsid w:val="00764430"/>
    <w:rsid w:val="0078011A"/>
    <w:rsid w:val="00782AF4"/>
    <w:rsid w:val="00790EE7"/>
    <w:rsid w:val="007B6649"/>
    <w:rsid w:val="007C0D55"/>
    <w:rsid w:val="007D1DC4"/>
    <w:rsid w:val="0082576E"/>
    <w:rsid w:val="008A35A1"/>
    <w:rsid w:val="00907F75"/>
    <w:rsid w:val="009260DE"/>
    <w:rsid w:val="0093258A"/>
    <w:rsid w:val="009C7BA3"/>
    <w:rsid w:val="009D1F5A"/>
    <w:rsid w:val="00A10294"/>
    <w:rsid w:val="00B003BF"/>
    <w:rsid w:val="00B373D7"/>
    <w:rsid w:val="00B55271"/>
    <w:rsid w:val="00B7296C"/>
    <w:rsid w:val="00BC3A80"/>
    <w:rsid w:val="00BD7931"/>
    <w:rsid w:val="00BF6243"/>
    <w:rsid w:val="00C1110D"/>
    <w:rsid w:val="00C36276"/>
    <w:rsid w:val="00C42586"/>
    <w:rsid w:val="00C45F6B"/>
    <w:rsid w:val="00C60CCD"/>
    <w:rsid w:val="00C84483"/>
    <w:rsid w:val="00C95551"/>
    <w:rsid w:val="00CB20D7"/>
    <w:rsid w:val="00CE014C"/>
    <w:rsid w:val="00D020B0"/>
    <w:rsid w:val="00D11748"/>
    <w:rsid w:val="00D237F6"/>
    <w:rsid w:val="00D34D98"/>
    <w:rsid w:val="00D366CF"/>
    <w:rsid w:val="00D403E5"/>
    <w:rsid w:val="00D42782"/>
    <w:rsid w:val="00D4450B"/>
    <w:rsid w:val="00D93992"/>
    <w:rsid w:val="00DD13D9"/>
    <w:rsid w:val="00E108AA"/>
    <w:rsid w:val="00E3749A"/>
    <w:rsid w:val="00E7437F"/>
    <w:rsid w:val="00E865B8"/>
    <w:rsid w:val="00EC0B9B"/>
    <w:rsid w:val="00EC3A5B"/>
    <w:rsid w:val="00ED5E9F"/>
    <w:rsid w:val="00EF40F8"/>
    <w:rsid w:val="00F66D4F"/>
    <w:rsid w:val="00FB6D01"/>
    <w:rsid w:val="00FE58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F057B"/>
  <w15:chartTrackingRefBased/>
  <w15:docId w15:val="{25351C75-B696-4B32-8110-41E6D358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8A35A1"/>
    <w:pPr>
      <w:ind w:left="720"/>
      <w:contextualSpacing/>
    </w:pPr>
  </w:style>
  <w:style w:type="character" w:styleId="Hyperlink">
    <w:name w:val="Hyperlink"/>
    <w:basedOn w:val="Standardskrifttypeiafsnit"/>
    <w:uiPriority w:val="99"/>
    <w:unhideWhenUsed/>
    <w:rsid w:val="00B7296C"/>
    <w:rPr>
      <w:color w:val="0563C1" w:themeColor="hyperlink"/>
      <w:u w:val="single"/>
    </w:rPr>
  </w:style>
  <w:style w:type="character" w:styleId="Ulstomtale">
    <w:name w:val="Unresolved Mention"/>
    <w:basedOn w:val="Standardskrifttypeiafsnit"/>
    <w:uiPriority w:val="99"/>
    <w:semiHidden/>
    <w:unhideWhenUsed/>
    <w:rsid w:val="00B7296C"/>
    <w:rPr>
      <w:color w:val="605E5C"/>
      <w:shd w:val="clear" w:color="auto" w:fill="E1DFDD"/>
    </w:rPr>
  </w:style>
  <w:style w:type="table" w:styleId="Tabel-Gitter">
    <w:name w:val="Table Grid"/>
    <w:basedOn w:val="Tabel-Normal"/>
    <w:uiPriority w:val="59"/>
    <w:rsid w:val="001D3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096">
      <w:bodyDiv w:val="1"/>
      <w:marLeft w:val="0"/>
      <w:marRight w:val="0"/>
      <w:marTop w:val="0"/>
      <w:marBottom w:val="0"/>
      <w:divBdr>
        <w:top w:val="none" w:sz="0" w:space="0" w:color="auto"/>
        <w:left w:val="none" w:sz="0" w:space="0" w:color="auto"/>
        <w:bottom w:val="none" w:sz="0" w:space="0" w:color="auto"/>
        <w:right w:val="none" w:sz="0" w:space="0" w:color="auto"/>
      </w:divBdr>
    </w:div>
    <w:div w:id="8049472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7735647">
      <w:bodyDiv w:val="1"/>
      <w:marLeft w:val="0"/>
      <w:marRight w:val="0"/>
      <w:marTop w:val="0"/>
      <w:marBottom w:val="0"/>
      <w:divBdr>
        <w:top w:val="none" w:sz="0" w:space="0" w:color="auto"/>
        <w:left w:val="none" w:sz="0" w:space="0" w:color="auto"/>
        <w:bottom w:val="none" w:sz="0" w:space="0" w:color="auto"/>
        <w:right w:val="none" w:sz="0" w:space="0" w:color="auto"/>
      </w:divBdr>
    </w:div>
    <w:div w:id="185213760">
      <w:bodyDiv w:val="1"/>
      <w:marLeft w:val="0"/>
      <w:marRight w:val="0"/>
      <w:marTop w:val="0"/>
      <w:marBottom w:val="0"/>
      <w:divBdr>
        <w:top w:val="none" w:sz="0" w:space="0" w:color="auto"/>
        <w:left w:val="none" w:sz="0" w:space="0" w:color="auto"/>
        <w:bottom w:val="none" w:sz="0" w:space="0" w:color="auto"/>
        <w:right w:val="none" w:sz="0" w:space="0" w:color="auto"/>
      </w:divBdr>
    </w:div>
    <w:div w:id="189883877">
      <w:bodyDiv w:val="1"/>
      <w:marLeft w:val="0"/>
      <w:marRight w:val="0"/>
      <w:marTop w:val="0"/>
      <w:marBottom w:val="0"/>
      <w:divBdr>
        <w:top w:val="none" w:sz="0" w:space="0" w:color="auto"/>
        <w:left w:val="none" w:sz="0" w:space="0" w:color="auto"/>
        <w:bottom w:val="none" w:sz="0" w:space="0" w:color="auto"/>
        <w:right w:val="none" w:sz="0" w:space="0" w:color="auto"/>
      </w:divBdr>
    </w:div>
    <w:div w:id="271474616">
      <w:bodyDiv w:val="1"/>
      <w:marLeft w:val="0"/>
      <w:marRight w:val="0"/>
      <w:marTop w:val="0"/>
      <w:marBottom w:val="0"/>
      <w:divBdr>
        <w:top w:val="none" w:sz="0" w:space="0" w:color="auto"/>
        <w:left w:val="none" w:sz="0" w:space="0" w:color="auto"/>
        <w:bottom w:val="none" w:sz="0" w:space="0" w:color="auto"/>
        <w:right w:val="none" w:sz="0" w:space="0" w:color="auto"/>
      </w:divBdr>
    </w:div>
    <w:div w:id="331376726">
      <w:bodyDiv w:val="1"/>
      <w:marLeft w:val="0"/>
      <w:marRight w:val="0"/>
      <w:marTop w:val="0"/>
      <w:marBottom w:val="0"/>
      <w:divBdr>
        <w:top w:val="none" w:sz="0" w:space="0" w:color="auto"/>
        <w:left w:val="none" w:sz="0" w:space="0" w:color="auto"/>
        <w:bottom w:val="none" w:sz="0" w:space="0" w:color="auto"/>
        <w:right w:val="none" w:sz="0" w:space="0" w:color="auto"/>
      </w:divBdr>
    </w:div>
    <w:div w:id="390929124">
      <w:bodyDiv w:val="1"/>
      <w:marLeft w:val="0"/>
      <w:marRight w:val="0"/>
      <w:marTop w:val="0"/>
      <w:marBottom w:val="0"/>
      <w:divBdr>
        <w:top w:val="none" w:sz="0" w:space="0" w:color="auto"/>
        <w:left w:val="none" w:sz="0" w:space="0" w:color="auto"/>
        <w:bottom w:val="none" w:sz="0" w:space="0" w:color="auto"/>
        <w:right w:val="none" w:sz="0" w:space="0" w:color="auto"/>
      </w:divBdr>
    </w:div>
    <w:div w:id="442696547">
      <w:bodyDiv w:val="1"/>
      <w:marLeft w:val="0"/>
      <w:marRight w:val="0"/>
      <w:marTop w:val="0"/>
      <w:marBottom w:val="0"/>
      <w:divBdr>
        <w:top w:val="none" w:sz="0" w:space="0" w:color="auto"/>
        <w:left w:val="none" w:sz="0" w:space="0" w:color="auto"/>
        <w:bottom w:val="none" w:sz="0" w:space="0" w:color="auto"/>
        <w:right w:val="none" w:sz="0" w:space="0" w:color="auto"/>
      </w:divBdr>
    </w:div>
    <w:div w:id="530731072">
      <w:bodyDiv w:val="1"/>
      <w:marLeft w:val="0"/>
      <w:marRight w:val="0"/>
      <w:marTop w:val="0"/>
      <w:marBottom w:val="0"/>
      <w:divBdr>
        <w:top w:val="none" w:sz="0" w:space="0" w:color="auto"/>
        <w:left w:val="none" w:sz="0" w:space="0" w:color="auto"/>
        <w:bottom w:val="none" w:sz="0" w:space="0" w:color="auto"/>
        <w:right w:val="none" w:sz="0" w:space="0" w:color="auto"/>
      </w:divBdr>
    </w:div>
    <w:div w:id="604121420">
      <w:bodyDiv w:val="1"/>
      <w:marLeft w:val="0"/>
      <w:marRight w:val="0"/>
      <w:marTop w:val="0"/>
      <w:marBottom w:val="0"/>
      <w:divBdr>
        <w:top w:val="none" w:sz="0" w:space="0" w:color="auto"/>
        <w:left w:val="none" w:sz="0" w:space="0" w:color="auto"/>
        <w:bottom w:val="none" w:sz="0" w:space="0" w:color="auto"/>
        <w:right w:val="none" w:sz="0" w:space="0" w:color="auto"/>
      </w:divBdr>
    </w:div>
    <w:div w:id="702750755">
      <w:bodyDiv w:val="1"/>
      <w:marLeft w:val="0"/>
      <w:marRight w:val="0"/>
      <w:marTop w:val="0"/>
      <w:marBottom w:val="0"/>
      <w:divBdr>
        <w:top w:val="none" w:sz="0" w:space="0" w:color="auto"/>
        <w:left w:val="none" w:sz="0" w:space="0" w:color="auto"/>
        <w:bottom w:val="none" w:sz="0" w:space="0" w:color="auto"/>
        <w:right w:val="none" w:sz="0" w:space="0" w:color="auto"/>
      </w:divBdr>
    </w:div>
    <w:div w:id="725683882">
      <w:bodyDiv w:val="1"/>
      <w:marLeft w:val="0"/>
      <w:marRight w:val="0"/>
      <w:marTop w:val="0"/>
      <w:marBottom w:val="0"/>
      <w:divBdr>
        <w:top w:val="none" w:sz="0" w:space="0" w:color="auto"/>
        <w:left w:val="none" w:sz="0" w:space="0" w:color="auto"/>
        <w:bottom w:val="none" w:sz="0" w:space="0" w:color="auto"/>
        <w:right w:val="none" w:sz="0" w:space="0" w:color="auto"/>
      </w:divBdr>
    </w:div>
    <w:div w:id="726950187">
      <w:bodyDiv w:val="1"/>
      <w:marLeft w:val="0"/>
      <w:marRight w:val="0"/>
      <w:marTop w:val="0"/>
      <w:marBottom w:val="0"/>
      <w:divBdr>
        <w:top w:val="none" w:sz="0" w:space="0" w:color="auto"/>
        <w:left w:val="none" w:sz="0" w:space="0" w:color="auto"/>
        <w:bottom w:val="none" w:sz="0" w:space="0" w:color="auto"/>
        <w:right w:val="none" w:sz="0" w:space="0" w:color="auto"/>
      </w:divBdr>
    </w:div>
    <w:div w:id="744955428">
      <w:bodyDiv w:val="1"/>
      <w:marLeft w:val="0"/>
      <w:marRight w:val="0"/>
      <w:marTop w:val="0"/>
      <w:marBottom w:val="0"/>
      <w:divBdr>
        <w:top w:val="none" w:sz="0" w:space="0" w:color="auto"/>
        <w:left w:val="none" w:sz="0" w:space="0" w:color="auto"/>
        <w:bottom w:val="none" w:sz="0" w:space="0" w:color="auto"/>
        <w:right w:val="none" w:sz="0" w:space="0" w:color="auto"/>
      </w:divBdr>
    </w:div>
    <w:div w:id="767583192">
      <w:bodyDiv w:val="1"/>
      <w:marLeft w:val="0"/>
      <w:marRight w:val="0"/>
      <w:marTop w:val="0"/>
      <w:marBottom w:val="0"/>
      <w:divBdr>
        <w:top w:val="none" w:sz="0" w:space="0" w:color="auto"/>
        <w:left w:val="none" w:sz="0" w:space="0" w:color="auto"/>
        <w:bottom w:val="none" w:sz="0" w:space="0" w:color="auto"/>
        <w:right w:val="none" w:sz="0" w:space="0" w:color="auto"/>
      </w:divBdr>
    </w:div>
    <w:div w:id="818962570">
      <w:bodyDiv w:val="1"/>
      <w:marLeft w:val="0"/>
      <w:marRight w:val="0"/>
      <w:marTop w:val="0"/>
      <w:marBottom w:val="0"/>
      <w:divBdr>
        <w:top w:val="none" w:sz="0" w:space="0" w:color="auto"/>
        <w:left w:val="none" w:sz="0" w:space="0" w:color="auto"/>
        <w:bottom w:val="none" w:sz="0" w:space="0" w:color="auto"/>
        <w:right w:val="none" w:sz="0" w:space="0" w:color="auto"/>
      </w:divBdr>
    </w:div>
    <w:div w:id="862937160">
      <w:bodyDiv w:val="1"/>
      <w:marLeft w:val="0"/>
      <w:marRight w:val="0"/>
      <w:marTop w:val="0"/>
      <w:marBottom w:val="0"/>
      <w:divBdr>
        <w:top w:val="none" w:sz="0" w:space="0" w:color="auto"/>
        <w:left w:val="none" w:sz="0" w:space="0" w:color="auto"/>
        <w:bottom w:val="none" w:sz="0" w:space="0" w:color="auto"/>
        <w:right w:val="none" w:sz="0" w:space="0" w:color="auto"/>
      </w:divBdr>
    </w:div>
    <w:div w:id="867982904">
      <w:bodyDiv w:val="1"/>
      <w:marLeft w:val="0"/>
      <w:marRight w:val="0"/>
      <w:marTop w:val="0"/>
      <w:marBottom w:val="0"/>
      <w:divBdr>
        <w:top w:val="none" w:sz="0" w:space="0" w:color="auto"/>
        <w:left w:val="none" w:sz="0" w:space="0" w:color="auto"/>
        <w:bottom w:val="none" w:sz="0" w:space="0" w:color="auto"/>
        <w:right w:val="none" w:sz="0" w:space="0" w:color="auto"/>
      </w:divBdr>
    </w:div>
    <w:div w:id="942879661">
      <w:bodyDiv w:val="1"/>
      <w:marLeft w:val="0"/>
      <w:marRight w:val="0"/>
      <w:marTop w:val="0"/>
      <w:marBottom w:val="0"/>
      <w:divBdr>
        <w:top w:val="none" w:sz="0" w:space="0" w:color="auto"/>
        <w:left w:val="none" w:sz="0" w:space="0" w:color="auto"/>
        <w:bottom w:val="none" w:sz="0" w:space="0" w:color="auto"/>
        <w:right w:val="none" w:sz="0" w:space="0" w:color="auto"/>
      </w:divBdr>
    </w:div>
    <w:div w:id="966541945">
      <w:bodyDiv w:val="1"/>
      <w:marLeft w:val="0"/>
      <w:marRight w:val="0"/>
      <w:marTop w:val="0"/>
      <w:marBottom w:val="0"/>
      <w:divBdr>
        <w:top w:val="none" w:sz="0" w:space="0" w:color="auto"/>
        <w:left w:val="none" w:sz="0" w:space="0" w:color="auto"/>
        <w:bottom w:val="none" w:sz="0" w:space="0" w:color="auto"/>
        <w:right w:val="none" w:sz="0" w:space="0" w:color="auto"/>
      </w:divBdr>
    </w:div>
    <w:div w:id="979767854">
      <w:bodyDiv w:val="1"/>
      <w:marLeft w:val="0"/>
      <w:marRight w:val="0"/>
      <w:marTop w:val="0"/>
      <w:marBottom w:val="0"/>
      <w:divBdr>
        <w:top w:val="none" w:sz="0" w:space="0" w:color="auto"/>
        <w:left w:val="none" w:sz="0" w:space="0" w:color="auto"/>
        <w:bottom w:val="none" w:sz="0" w:space="0" w:color="auto"/>
        <w:right w:val="none" w:sz="0" w:space="0" w:color="auto"/>
      </w:divBdr>
    </w:div>
    <w:div w:id="1009255826">
      <w:bodyDiv w:val="1"/>
      <w:marLeft w:val="0"/>
      <w:marRight w:val="0"/>
      <w:marTop w:val="0"/>
      <w:marBottom w:val="0"/>
      <w:divBdr>
        <w:top w:val="none" w:sz="0" w:space="0" w:color="auto"/>
        <w:left w:val="none" w:sz="0" w:space="0" w:color="auto"/>
        <w:bottom w:val="none" w:sz="0" w:space="0" w:color="auto"/>
        <w:right w:val="none" w:sz="0" w:space="0" w:color="auto"/>
      </w:divBdr>
    </w:div>
    <w:div w:id="1148741660">
      <w:bodyDiv w:val="1"/>
      <w:marLeft w:val="0"/>
      <w:marRight w:val="0"/>
      <w:marTop w:val="0"/>
      <w:marBottom w:val="0"/>
      <w:divBdr>
        <w:top w:val="none" w:sz="0" w:space="0" w:color="auto"/>
        <w:left w:val="none" w:sz="0" w:space="0" w:color="auto"/>
        <w:bottom w:val="none" w:sz="0" w:space="0" w:color="auto"/>
        <w:right w:val="none" w:sz="0" w:space="0" w:color="auto"/>
      </w:divBdr>
    </w:div>
    <w:div w:id="1152718169">
      <w:bodyDiv w:val="1"/>
      <w:marLeft w:val="0"/>
      <w:marRight w:val="0"/>
      <w:marTop w:val="0"/>
      <w:marBottom w:val="0"/>
      <w:divBdr>
        <w:top w:val="none" w:sz="0" w:space="0" w:color="auto"/>
        <w:left w:val="none" w:sz="0" w:space="0" w:color="auto"/>
        <w:bottom w:val="none" w:sz="0" w:space="0" w:color="auto"/>
        <w:right w:val="none" w:sz="0" w:space="0" w:color="auto"/>
      </w:divBdr>
    </w:div>
    <w:div w:id="1196846659">
      <w:bodyDiv w:val="1"/>
      <w:marLeft w:val="0"/>
      <w:marRight w:val="0"/>
      <w:marTop w:val="0"/>
      <w:marBottom w:val="0"/>
      <w:divBdr>
        <w:top w:val="none" w:sz="0" w:space="0" w:color="auto"/>
        <w:left w:val="none" w:sz="0" w:space="0" w:color="auto"/>
        <w:bottom w:val="none" w:sz="0" w:space="0" w:color="auto"/>
        <w:right w:val="none" w:sz="0" w:space="0" w:color="auto"/>
      </w:divBdr>
    </w:div>
    <w:div w:id="1295871520">
      <w:bodyDiv w:val="1"/>
      <w:marLeft w:val="0"/>
      <w:marRight w:val="0"/>
      <w:marTop w:val="0"/>
      <w:marBottom w:val="0"/>
      <w:divBdr>
        <w:top w:val="none" w:sz="0" w:space="0" w:color="auto"/>
        <w:left w:val="none" w:sz="0" w:space="0" w:color="auto"/>
        <w:bottom w:val="none" w:sz="0" w:space="0" w:color="auto"/>
        <w:right w:val="none" w:sz="0" w:space="0" w:color="auto"/>
      </w:divBdr>
    </w:div>
    <w:div w:id="1334799479">
      <w:bodyDiv w:val="1"/>
      <w:marLeft w:val="0"/>
      <w:marRight w:val="0"/>
      <w:marTop w:val="0"/>
      <w:marBottom w:val="0"/>
      <w:divBdr>
        <w:top w:val="none" w:sz="0" w:space="0" w:color="auto"/>
        <w:left w:val="none" w:sz="0" w:space="0" w:color="auto"/>
        <w:bottom w:val="none" w:sz="0" w:space="0" w:color="auto"/>
        <w:right w:val="none" w:sz="0" w:space="0" w:color="auto"/>
      </w:divBdr>
    </w:div>
    <w:div w:id="1336111686">
      <w:bodyDiv w:val="1"/>
      <w:marLeft w:val="0"/>
      <w:marRight w:val="0"/>
      <w:marTop w:val="0"/>
      <w:marBottom w:val="0"/>
      <w:divBdr>
        <w:top w:val="none" w:sz="0" w:space="0" w:color="auto"/>
        <w:left w:val="none" w:sz="0" w:space="0" w:color="auto"/>
        <w:bottom w:val="none" w:sz="0" w:space="0" w:color="auto"/>
        <w:right w:val="none" w:sz="0" w:space="0" w:color="auto"/>
      </w:divBdr>
    </w:div>
    <w:div w:id="1348480784">
      <w:bodyDiv w:val="1"/>
      <w:marLeft w:val="0"/>
      <w:marRight w:val="0"/>
      <w:marTop w:val="0"/>
      <w:marBottom w:val="0"/>
      <w:divBdr>
        <w:top w:val="none" w:sz="0" w:space="0" w:color="auto"/>
        <w:left w:val="none" w:sz="0" w:space="0" w:color="auto"/>
        <w:bottom w:val="none" w:sz="0" w:space="0" w:color="auto"/>
        <w:right w:val="none" w:sz="0" w:space="0" w:color="auto"/>
      </w:divBdr>
    </w:div>
    <w:div w:id="1366756608">
      <w:bodyDiv w:val="1"/>
      <w:marLeft w:val="0"/>
      <w:marRight w:val="0"/>
      <w:marTop w:val="0"/>
      <w:marBottom w:val="0"/>
      <w:divBdr>
        <w:top w:val="none" w:sz="0" w:space="0" w:color="auto"/>
        <w:left w:val="none" w:sz="0" w:space="0" w:color="auto"/>
        <w:bottom w:val="none" w:sz="0" w:space="0" w:color="auto"/>
        <w:right w:val="none" w:sz="0" w:space="0" w:color="auto"/>
      </w:divBdr>
    </w:div>
    <w:div w:id="1446997918">
      <w:bodyDiv w:val="1"/>
      <w:marLeft w:val="0"/>
      <w:marRight w:val="0"/>
      <w:marTop w:val="0"/>
      <w:marBottom w:val="0"/>
      <w:divBdr>
        <w:top w:val="none" w:sz="0" w:space="0" w:color="auto"/>
        <w:left w:val="none" w:sz="0" w:space="0" w:color="auto"/>
        <w:bottom w:val="none" w:sz="0" w:space="0" w:color="auto"/>
        <w:right w:val="none" w:sz="0" w:space="0" w:color="auto"/>
      </w:divBdr>
    </w:div>
    <w:div w:id="1506895401">
      <w:bodyDiv w:val="1"/>
      <w:marLeft w:val="0"/>
      <w:marRight w:val="0"/>
      <w:marTop w:val="0"/>
      <w:marBottom w:val="0"/>
      <w:divBdr>
        <w:top w:val="none" w:sz="0" w:space="0" w:color="auto"/>
        <w:left w:val="none" w:sz="0" w:space="0" w:color="auto"/>
        <w:bottom w:val="none" w:sz="0" w:space="0" w:color="auto"/>
        <w:right w:val="none" w:sz="0" w:space="0" w:color="auto"/>
      </w:divBdr>
    </w:div>
    <w:div w:id="1572421227">
      <w:bodyDiv w:val="1"/>
      <w:marLeft w:val="0"/>
      <w:marRight w:val="0"/>
      <w:marTop w:val="0"/>
      <w:marBottom w:val="0"/>
      <w:divBdr>
        <w:top w:val="none" w:sz="0" w:space="0" w:color="auto"/>
        <w:left w:val="none" w:sz="0" w:space="0" w:color="auto"/>
        <w:bottom w:val="none" w:sz="0" w:space="0" w:color="auto"/>
        <w:right w:val="none" w:sz="0" w:space="0" w:color="auto"/>
      </w:divBdr>
    </w:div>
    <w:div w:id="1666668604">
      <w:bodyDiv w:val="1"/>
      <w:marLeft w:val="0"/>
      <w:marRight w:val="0"/>
      <w:marTop w:val="0"/>
      <w:marBottom w:val="0"/>
      <w:divBdr>
        <w:top w:val="none" w:sz="0" w:space="0" w:color="auto"/>
        <w:left w:val="none" w:sz="0" w:space="0" w:color="auto"/>
        <w:bottom w:val="none" w:sz="0" w:space="0" w:color="auto"/>
        <w:right w:val="none" w:sz="0" w:space="0" w:color="auto"/>
      </w:divBdr>
    </w:div>
    <w:div w:id="1748501796">
      <w:bodyDiv w:val="1"/>
      <w:marLeft w:val="0"/>
      <w:marRight w:val="0"/>
      <w:marTop w:val="0"/>
      <w:marBottom w:val="0"/>
      <w:divBdr>
        <w:top w:val="none" w:sz="0" w:space="0" w:color="auto"/>
        <w:left w:val="none" w:sz="0" w:space="0" w:color="auto"/>
        <w:bottom w:val="none" w:sz="0" w:space="0" w:color="auto"/>
        <w:right w:val="none" w:sz="0" w:space="0" w:color="auto"/>
      </w:divBdr>
    </w:div>
    <w:div w:id="1757745813">
      <w:bodyDiv w:val="1"/>
      <w:marLeft w:val="0"/>
      <w:marRight w:val="0"/>
      <w:marTop w:val="0"/>
      <w:marBottom w:val="0"/>
      <w:divBdr>
        <w:top w:val="none" w:sz="0" w:space="0" w:color="auto"/>
        <w:left w:val="none" w:sz="0" w:space="0" w:color="auto"/>
        <w:bottom w:val="none" w:sz="0" w:space="0" w:color="auto"/>
        <w:right w:val="none" w:sz="0" w:space="0" w:color="auto"/>
      </w:divBdr>
    </w:div>
    <w:div w:id="1820613369">
      <w:bodyDiv w:val="1"/>
      <w:marLeft w:val="0"/>
      <w:marRight w:val="0"/>
      <w:marTop w:val="0"/>
      <w:marBottom w:val="0"/>
      <w:divBdr>
        <w:top w:val="none" w:sz="0" w:space="0" w:color="auto"/>
        <w:left w:val="none" w:sz="0" w:space="0" w:color="auto"/>
        <w:bottom w:val="none" w:sz="0" w:space="0" w:color="auto"/>
        <w:right w:val="none" w:sz="0" w:space="0" w:color="auto"/>
      </w:divBdr>
    </w:div>
    <w:div w:id="1954822035">
      <w:bodyDiv w:val="1"/>
      <w:marLeft w:val="0"/>
      <w:marRight w:val="0"/>
      <w:marTop w:val="0"/>
      <w:marBottom w:val="0"/>
      <w:divBdr>
        <w:top w:val="none" w:sz="0" w:space="0" w:color="auto"/>
        <w:left w:val="none" w:sz="0" w:space="0" w:color="auto"/>
        <w:bottom w:val="none" w:sz="0" w:space="0" w:color="auto"/>
        <w:right w:val="none" w:sz="0" w:space="0" w:color="auto"/>
      </w:divBdr>
    </w:div>
    <w:div w:id="1969821651">
      <w:bodyDiv w:val="1"/>
      <w:marLeft w:val="0"/>
      <w:marRight w:val="0"/>
      <w:marTop w:val="0"/>
      <w:marBottom w:val="0"/>
      <w:divBdr>
        <w:top w:val="none" w:sz="0" w:space="0" w:color="auto"/>
        <w:left w:val="none" w:sz="0" w:space="0" w:color="auto"/>
        <w:bottom w:val="none" w:sz="0" w:space="0" w:color="auto"/>
        <w:right w:val="none" w:sz="0" w:space="0" w:color="auto"/>
      </w:divBdr>
    </w:div>
    <w:div w:id="2027557746">
      <w:bodyDiv w:val="1"/>
      <w:marLeft w:val="0"/>
      <w:marRight w:val="0"/>
      <w:marTop w:val="0"/>
      <w:marBottom w:val="0"/>
      <w:divBdr>
        <w:top w:val="none" w:sz="0" w:space="0" w:color="auto"/>
        <w:left w:val="none" w:sz="0" w:space="0" w:color="auto"/>
        <w:bottom w:val="none" w:sz="0" w:space="0" w:color="auto"/>
        <w:right w:val="none" w:sz="0" w:space="0" w:color="auto"/>
      </w:divBdr>
    </w:div>
    <w:div w:id="2032029090">
      <w:bodyDiv w:val="1"/>
      <w:marLeft w:val="0"/>
      <w:marRight w:val="0"/>
      <w:marTop w:val="0"/>
      <w:marBottom w:val="0"/>
      <w:divBdr>
        <w:top w:val="none" w:sz="0" w:space="0" w:color="auto"/>
        <w:left w:val="none" w:sz="0" w:space="0" w:color="auto"/>
        <w:bottom w:val="none" w:sz="0" w:space="0" w:color="auto"/>
        <w:right w:val="none" w:sz="0" w:space="0" w:color="auto"/>
      </w:divBdr>
    </w:div>
    <w:div w:id="20712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TotalTime>
  <Pages>7</Pages>
  <Words>1514</Words>
  <Characters>9703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Skov</dc:creator>
  <cp:keywords/>
  <dc:description>2023081328_x000d_
SPC pkt. 6.3 samt 6.6 specifikationer</dc:description>
  <cp:lastModifiedBy>Kristine Skov Hansen</cp:lastModifiedBy>
  <cp:revision>3</cp:revision>
  <cp:lastPrinted>2012-08-22T08:53:00Z</cp:lastPrinted>
  <dcterms:created xsi:type="dcterms:W3CDTF">2023-10-02T13:50:00Z</dcterms:created>
  <dcterms:modified xsi:type="dcterms:W3CDTF">2023-10-04T05:26:00Z</dcterms:modified>
</cp:coreProperties>
</file>