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E1471" w14:textId="10ED5844" w:rsidR="009260DE" w:rsidRPr="009636AC" w:rsidRDefault="0021526C" w:rsidP="00C67A57">
      <w:pPr>
        <w:rPr>
          <w:b/>
          <w:sz w:val="24"/>
          <w:szCs w:val="24"/>
        </w:rPr>
      </w:pPr>
      <w:r w:rsidRPr="009636AC">
        <w:rPr>
          <w:noProof/>
          <w:sz w:val="24"/>
          <w:szCs w:val="24"/>
          <w:lang w:eastAsia="da-DK"/>
        </w:rPr>
        <w:drawing>
          <wp:anchor distT="0" distB="0" distL="114300" distR="114300" simplePos="0" relativeHeight="251658240" behindDoc="0" locked="0" layoutInCell="1" allowOverlap="1" wp14:anchorId="7199FC2E" wp14:editId="3B6C6B9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636AC">
        <w:rPr>
          <w:sz w:val="24"/>
          <w:szCs w:val="24"/>
        </w:rPr>
        <w:br w:type="textWrapping" w:clear="all"/>
      </w:r>
    </w:p>
    <w:p w14:paraId="67A2F9B5" w14:textId="57C91389" w:rsidR="009260DE" w:rsidRPr="009636AC" w:rsidRDefault="009260DE" w:rsidP="009260DE">
      <w:pPr>
        <w:pStyle w:val="Titel"/>
        <w:tabs>
          <w:tab w:val="right" w:pos="9356"/>
        </w:tabs>
        <w:jc w:val="left"/>
        <w:rPr>
          <w:b w:val="0"/>
          <w:szCs w:val="24"/>
          <w:lang w:eastAsia="en-US"/>
        </w:rPr>
      </w:pPr>
      <w:r w:rsidRPr="009636AC">
        <w:rPr>
          <w:b w:val="0"/>
          <w:szCs w:val="24"/>
          <w:lang w:eastAsia="en-US"/>
        </w:rPr>
        <w:tab/>
      </w:r>
      <w:r w:rsidR="00C903CD">
        <w:rPr>
          <w:szCs w:val="24"/>
        </w:rPr>
        <w:t>13</w:t>
      </w:r>
      <w:r w:rsidR="00B30F40">
        <w:rPr>
          <w:szCs w:val="24"/>
        </w:rPr>
        <w:t>. februar 2024</w:t>
      </w:r>
    </w:p>
    <w:p w14:paraId="7252799B" w14:textId="77777777" w:rsidR="009260DE" w:rsidRPr="009636AC" w:rsidRDefault="009260DE" w:rsidP="009260DE">
      <w:pPr>
        <w:pStyle w:val="Titel"/>
        <w:tabs>
          <w:tab w:val="left" w:pos="8222"/>
        </w:tabs>
        <w:jc w:val="left"/>
        <w:rPr>
          <w:b w:val="0"/>
          <w:szCs w:val="24"/>
        </w:rPr>
      </w:pPr>
    </w:p>
    <w:p w14:paraId="61101BE1" w14:textId="77777777" w:rsidR="009260DE" w:rsidRPr="009636AC" w:rsidRDefault="009260DE" w:rsidP="009260DE">
      <w:pPr>
        <w:pStyle w:val="Titel"/>
        <w:jc w:val="left"/>
        <w:rPr>
          <w:b w:val="0"/>
          <w:szCs w:val="24"/>
        </w:rPr>
      </w:pPr>
    </w:p>
    <w:p w14:paraId="420A6838" w14:textId="32E4F488" w:rsidR="009260DE" w:rsidRPr="009636AC" w:rsidRDefault="009260DE" w:rsidP="009260DE">
      <w:pPr>
        <w:pStyle w:val="Titel"/>
        <w:jc w:val="left"/>
        <w:rPr>
          <w:b w:val="0"/>
          <w:szCs w:val="24"/>
        </w:rPr>
      </w:pPr>
    </w:p>
    <w:p w14:paraId="244D1240" w14:textId="77777777" w:rsidR="009260DE" w:rsidRPr="009636AC" w:rsidRDefault="009260DE" w:rsidP="009260DE">
      <w:pPr>
        <w:jc w:val="center"/>
        <w:rPr>
          <w:b/>
          <w:sz w:val="24"/>
          <w:szCs w:val="24"/>
        </w:rPr>
      </w:pPr>
      <w:r w:rsidRPr="009636AC">
        <w:rPr>
          <w:b/>
          <w:sz w:val="24"/>
          <w:szCs w:val="24"/>
        </w:rPr>
        <w:t>PRODUKTRESUMÉ</w:t>
      </w:r>
    </w:p>
    <w:p w14:paraId="3BC1D5ED" w14:textId="77777777" w:rsidR="009260DE" w:rsidRPr="009636AC" w:rsidRDefault="009260DE" w:rsidP="009260DE">
      <w:pPr>
        <w:jc w:val="center"/>
        <w:rPr>
          <w:b/>
          <w:sz w:val="24"/>
          <w:szCs w:val="24"/>
        </w:rPr>
      </w:pPr>
    </w:p>
    <w:p w14:paraId="1638B32D" w14:textId="77777777" w:rsidR="009260DE" w:rsidRPr="009636AC" w:rsidRDefault="009260DE" w:rsidP="009260DE">
      <w:pPr>
        <w:jc w:val="center"/>
        <w:rPr>
          <w:b/>
          <w:sz w:val="24"/>
          <w:szCs w:val="24"/>
        </w:rPr>
      </w:pPr>
      <w:r w:rsidRPr="009636AC">
        <w:rPr>
          <w:b/>
          <w:sz w:val="24"/>
          <w:szCs w:val="24"/>
        </w:rPr>
        <w:t>for</w:t>
      </w:r>
    </w:p>
    <w:p w14:paraId="183E832B" w14:textId="77777777" w:rsidR="000B058C" w:rsidRPr="009636AC" w:rsidRDefault="000B058C" w:rsidP="009260DE">
      <w:pPr>
        <w:jc w:val="center"/>
        <w:rPr>
          <w:b/>
          <w:sz w:val="24"/>
          <w:szCs w:val="24"/>
        </w:rPr>
      </w:pPr>
    </w:p>
    <w:p w14:paraId="313AB67A" w14:textId="65ABD67B" w:rsidR="009260DE" w:rsidRPr="009636AC" w:rsidRDefault="009E308A" w:rsidP="009260DE">
      <w:pPr>
        <w:jc w:val="center"/>
        <w:rPr>
          <w:b/>
          <w:sz w:val="24"/>
          <w:szCs w:val="24"/>
        </w:rPr>
      </w:pPr>
      <w:r w:rsidRPr="009636AC">
        <w:rPr>
          <w:b/>
          <w:sz w:val="24"/>
          <w:szCs w:val="24"/>
        </w:rPr>
        <w:t>Pemetrexed "Zentiva", infusions</w:t>
      </w:r>
      <w:r w:rsidR="00810D65" w:rsidRPr="009636AC">
        <w:rPr>
          <w:b/>
          <w:sz w:val="24"/>
          <w:szCs w:val="24"/>
        </w:rPr>
        <w:t>væske, opløsning</w:t>
      </w:r>
    </w:p>
    <w:p w14:paraId="34774674" w14:textId="77777777" w:rsidR="009260DE" w:rsidRPr="009636AC" w:rsidRDefault="009260DE" w:rsidP="009260DE">
      <w:pPr>
        <w:jc w:val="both"/>
        <w:rPr>
          <w:sz w:val="24"/>
          <w:szCs w:val="24"/>
        </w:rPr>
      </w:pPr>
    </w:p>
    <w:p w14:paraId="5ED6ABB4" w14:textId="77777777" w:rsidR="009260DE" w:rsidRPr="009636AC" w:rsidRDefault="009260DE" w:rsidP="009260DE">
      <w:pPr>
        <w:jc w:val="both"/>
        <w:rPr>
          <w:sz w:val="24"/>
          <w:szCs w:val="24"/>
        </w:rPr>
      </w:pPr>
    </w:p>
    <w:p w14:paraId="6C85F0E1" w14:textId="77777777" w:rsidR="009260DE" w:rsidRPr="009636AC" w:rsidRDefault="009260DE" w:rsidP="009260DE">
      <w:pPr>
        <w:tabs>
          <w:tab w:val="left" w:pos="851"/>
        </w:tabs>
        <w:ind w:left="851" w:hanging="851"/>
        <w:rPr>
          <w:b/>
          <w:sz w:val="24"/>
          <w:szCs w:val="24"/>
        </w:rPr>
      </w:pPr>
      <w:r w:rsidRPr="009636AC">
        <w:rPr>
          <w:b/>
          <w:sz w:val="24"/>
          <w:szCs w:val="24"/>
        </w:rPr>
        <w:t>0.</w:t>
      </w:r>
      <w:r w:rsidRPr="009636AC">
        <w:rPr>
          <w:b/>
          <w:sz w:val="24"/>
          <w:szCs w:val="24"/>
        </w:rPr>
        <w:tab/>
        <w:t>D.SP.NR.</w:t>
      </w:r>
    </w:p>
    <w:p w14:paraId="6976D56E" w14:textId="0B8BB978" w:rsidR="009260DE" w:rsidRPr="009636AC" w:rsidRDefault="00810D65" w:rsidP="009260DE">
      <w:pPr>
        <w:tabs>
          <w:tab w:val="left" w:pos="851"/>
        </w:tabs>
        <w:ind w:left="851"/>
        <w:rPr>
          <w:sz w:val="24"/>
          <w:szCs w:val="24"/>
        </w:rPr>
      </w:pPr>
      <w:r w:rsidRPr="009636AC">
        <w:rPr>
          <w:sz w:val="24"/>
          <w:szCs w:val="24"/>
        </w:rPr>
        <w:t>32033</w:t>
      </w:r>
    </w:p>
    <w:p w14:paraId="0EE6DA2B" w14:textId="77777777" w:rsidR="009260DE" w:rsidRPr="009636AC" w:rsidRDefault="009260DE" w:rsidP="009260DE">
      <w:pPr>
        <w:tabs>
          <w:tab w:val="left" w:pos="851"/>
        </w:tabs>
        <w:ind w:left="851"/>
        <w:rPr>
          <w:sz w:val="24"/>
          <w:szCs w:val="24"/>
        </w:rPr>
      </w:pPr>
    </w:p>
    <w:p w14:paraId="494C6B1A" w14:textId="77777777" w:rsidR="009260DE" w:rsidRPr="009636AC" w:rsidRDefault="009260DE" w:rsidP="009260DE">
      <w:pPr>
        <w:tabs>
          <w:tab w:val="left" w:pos="851"/>
        </w:tabs>
        <w:ind w:left="851" w:hanging="851"/>
        <w:rPr>
          <w:b/>
          <w:sz w:val="24"/>
          <w:szCs w:val="24"/>
        </w:rPr>
      </w:pPr>
      <w:r w:rsidRPr="009636AC">
        <w:rPr>
          <w:b/>
          <w:sz w:val="24"/>
          <w:szCs w:val="24"/>
        </w:rPr>
        <w:t>1.</w:t>
      </w:r>
      <w:r w:rsidRPr="009636AC">
        <w:rPr>
          <w:b/>
          <w:sz w:val="24"/>
          <w:szCs w:val="24"/>
        </w:rPr>
        <w:tab/>
        <w:t>LÆGEMIDLETS NAVN</w:t>
      </w:r>
    </w:p>
    <w:p w14:paraId="13B5A93A" w14:textId="0CF06295" w:rsidR="009260DE" w:rsidRPr="009636AC" w:rsidRDefault="00810D65" w:rsidP="009260DE">
      <w:pPr>
        <w:tabs>
          <w:tab w:val="left" w:pos="851"/>
        </w:tabs>
        <w:ind w:left="851"/>
        <w:rPr>
          <w:sz w:val="24"/>
          <w:szCs w:val="24"/>
        </w:rPr>
      </w:pPr>
      <w:r w:rsidRPr="009636AC">
        <w:rPr>
          <w:sz w:val="24"/>
          <w:szCs w:val="24"/>
        </w:rPr>
        <w:t>Pemetrexed "Zentiva"</w:t>
      </w:r>
    </w:p>
    <w:p w14:paraId="3B29D54F" w14:textId="77777777" w:rsidR="009260DE" w:rsidRPr="009636AC" w:rsidRDefault="009260DE" w:rsidP="009260DE">
      <w:pPr>
        <w:tabs>
          <w:tab w:val="left" w:pos="851"/>
        </w:tabs>
        <w:ind w:left="851"/>
        <w:rPr>
          <w:sz w:val="24"/>
          <w:szCs w:val="24"/>
        </w:rPr>
      </w:pPr>
    </w:p>
    <w:p w14:paraId="4EE91D3A" w14:textId="77777777" w:rsidR="009260DE" w:rsidRPr="009636AC" w:rsidRDefault="009260DE" w:rsidP="009260DE">
      <w:pPr>
        <w:tabs>
          <w:tab w:val="left" w:pos="851"/>
        </w:tabs>
        <w:ind w:left="851" w:hanging="851"/>
        <w:rPr>
          <w:b/>
          <w:sz w:val="24"/>
          <w:szCs w:val="24"/>
        </w:rPr>
      </w:pPr>
      <w:r w:rsidRPr="009636AC">
        <w:rPr>
          <w:b/>
          <w:sz w:val="24"/>
          <w:szCs w:val="24"/>
        </w:rPr>
        <w:t>2.</w:t>
      </w:r>
      <w:r w:rsidRPr="009636AC">
        <w:rPr>
          <w:b/>
          <w:sz w:val="24"/>
          <w:szCs w:val="24"/>
        </w:rPr>
        <w:tab/>
        <w:t>KVALITATIV OG KVANTITATIV SAMMENSÆTNING</w:t>
      </w:r>
    </w:p>
    <w:p w14:paraId="42171AB2" w14:textId="77777777" w:rsidR="00441599" w:rsidRPr="009636AC" w:rsidRDefault="00441599" w:rsidP="00222CED">
      <w:pPr>
        <w:ind w:left="851"/>
        <w:rPr>
          <w:sz w:val="24"/>
          <w:szCs w:val="24"/>
        </w:rPr>
      </w:pPr>
      <w:r w:rsidRPr="009636AC">
        <w:rPr>
          <w:sz w:val="24"/>
          <w:szCs w:val="24"/>
        </w:rPr>
        <w:t>Hver ml indeholder 10 mg pemetrexed (som pemetrexeddinatriumhemipentahydrat).</w:t>
      </w:r>
    </w:p>
    <w:p w14:paraId="0B680817" w14:textId="77777777" w:rsidR="00441599" w:rsidRPr="009636AC" w:rsidRDefault="00441599" w:rsidP="00222CED">
      <w:pPr>
        <w:ind w:left="851"/>
        <w:rPr>
          <w:sz w:val="24"/>
          <w:szCs w:val="24"/>
        </w:rPr>
      </w:pPr>
    </w:p>
    <w:p w14:paraId="310B23A3" w14:textId="77777777" w:rsidR="00441599" w:rsidRPr="009636AC" w:rsidRDefault="00441599" w:rsidP="00222CED">
      <w:pPr>
        <w:ind w:left="851"/>
        <w:rPr>
          <w:sz w:val="24"/>
          <w:szCs w:val="24"/>
        </w:rPr>
      </w:pPr>
      <w:r w:rsidRPr="009636AC">
        <w:rPr>
          <w:sz w:val="24"/>
          <w:szCs w:val="24"/>
        </w:rPr>
        <w:t>Hvert hætteglas med 10 ml indeholder 100 mg pemetrexed (som pemetrexeddinatrium</w:t>
      </w:r>
      <w:r w:rsidRPr="009636AC">
        <w:rPr>
          <w:sz w:val="24"/>
          <w:szCs w:val="24"/>
        </w:rPr>
        <w:softHyphen/>
        <w:t>hemipentahydrat).</w:t>
      </w:r>
    </w:p>
    <w:p w14:paraId="1362F06C" w14:textId="7BB5AADA" w:rsidR="00441599" w:rsidRDefault="00441599" w:rsidP="00222CED">
      <w:pPr>
        <w:ind w:left="851"/>
        <w:rPr>
          <w:sz w:val="24"/>
          <w:szCs w:val="24"/>
        </w:rPr>
      </w:pPr>
      <w:r w:rsidRPr="009636AC">
        <w:rPr>
          <w:sz w:val="24"/>
          <w:szCs w:val="24"/>
        </w:rPr>
        <w:t>Hvert hætteglas med 50 ml indeholder 500 mg pemetrexed (som pemetrexeddinatrium</w:t>
      </w:r>
      <w:r w:rsidRPr="009636AC">
        <w:rPr>
          <w:sz w:val="24"/>
          <w:szCs w:val="24"/>
        </w:rPr>
        <w:softHyphen/>
        <w:t>hemipentahydrat).</w:t>
      </w:r>
    </w:p>
    <w:p w14:paraId="4C4670B1" w14:textId="77777777" w:rsidR="001E5B61" w:rsidRDefault="001E5B61" w:rsidP="001E5B61">
      <w:pPr>
        <w:ind w:left="851"/>
        <w:rPr>
          <w:sz w:val="24"/>
          <w:szCs w:val="24"/>
        </w:rPr>
      </w:pPr>
      <w:r>
        <w:rPr>
          <w:sz w:val="24"/>
          <w:szCs w:val="24"/>
        </w:rPr>
        <w:t>Hvert hætteglas med 85 ml indeholder 850 mg pemetrexed (som pemetrexeddinatrium</w:t>
      </w:r>
      <w:r>
        <w:rPr>
          <w:sz w:val="24"/>
          <w:szCs w:val="24"/>
        </w:rPr>
        <w:softHyphen/>
        <w:t>hemipentahydrat).</w:t>
      </w:r>
    </w:p>
    <w:p w14:paraId="55AE084B" w14:textId="77777777" w:rsidR="00441599" w:rsidRPr="009636AC" w:rsidRDefault="00441599" w:rsidP="001E5B61">
      <w:pPr>
        <w:ind w:left="851"/>
        <w:rPr>
          <w:sz w:val="24"/>
          <w:szCs w:val="24"/>
        </w:rPr>
      </w:pPr>
      <w:r w:rsidRPr="009636AC">
        <w:rPr>
          <w:sz w:val="24"/>
          <w:szCs w:val="24"/>
        </w:rPr>
        <w:t>Hvert hætteglas med 100 ml indeholder 1000 mg pemetrexed (som pemetrexeddinatrium</w:t>
      </w:r>
      <w:r w:rsidRPr="009636AC">
        <w:rPr>
          <w:sz w:val="24"/>
          <w:szCs w:val="24"/>
        </w:rPr>
        <w:softHyphen/>
        <w:t>hemipentahydrat).</w:t>
      </w:r>
    </w:p>
    <w:p w14:paraId="108113C5" w14:textId="77777777" w:rsidR="00441599" w:rsidRPr="009636AC" w:rsidRDefault="00441599" w:rsidP="00222CED">
      <w:pPr>
        <w:ind w:left="851"/>
        <w:rPr>
          <w:sz w:val="24"/>
          <w:szCs w:val="24"/>
        </w:rPr>
      </w:pPr>
    </w:p>
    <w:p w14:paraId="42E01CF8" w14:textId="77777777" w:rsidR="00441599" w:rsidRPr="009636AC" w:rsidRDefault="00441599" w:rsidP="00222CED">
      <w:pPr>
        <w:ind w:left="851"/>
        <w:rPr>
          <w:sz w:val="24"/>
          <w:szCs w:val="24"/>
          <w:u w:val="single"/>
        </w:rPr>
      </w:pPr>
      <w:r w:rsidRPr="009636AC">
        <w:rPr>
          <w:sz w:val="24"/>
          <w:szCs w:val="24"/>
          <w:u w:val="single"/>
        </w:rPr>
        <w:t>Hjælpestoffer, som behandleren skal være opmærksom på</w:t>
      </w:r>
    </w:p>
    <w:p w14:paraId="2AC43CF9" w14:textId="77777777" w:rsidR="00441599" w:rsidRPr="009636AC" w:rsidRDefault="00441599" w:rsidP="00222CED">
      <w:pPr>
        <w:ind w:left="851"/>
        <w:rPr>
          <w:iCs/>
          <w:sz w:val="24"/>
          <w:szCs w:val="24"/>
        </w:rPr>
      </w:pPr>
      <w:r w:rsidRPr="009636AC">
        <w:rPr>
          <w:iCs/>
          <w:sz w:val="24"/>
          <w:szCs w:val="24"/>
        </w:rPr>
        <w:t>Hver ml indeholder ca. 9 mg natrium</w:t>
      </w:r>
    </w:p>
    <w:p w14:paraId="4563DEFE" w14:textId="77777777" w:rsidR="00441599" w:rsidRPr="009636AC" w:rsidRDefault="00441599" w:rsidP="00222CED">
      <w:pPr>
        <w:ind w:left="851"/>
        <w:rPr>
          <w:sz w:val="24"/>
          <w:szCs w:val="24"/>
        </w:rPr>
      </w:pPr>
    </w:p>
    <w:p w14:paraId="236E9B81" w14:textId="77777777" w:rsidR="00441599" w:rsidRPr="009636AC" w:rsidRDefault="00441599" w:rsidP="00222CED">
      <w:pPr>
        <w:ind w:left="851"/>
        <w:rPr>
          <w:sz w:val="24"/>
          <w:szCs w:val="24"/>
        </w:rPr>
      </w:pPr>
      <w:r w:rsidRPr="009636AC">
        <w:rPr>
          <w:sz w:val="24"/>
          <w:szCs w:val="24"/>
        </w:rPr>
        <w:t>Alle hjælpestoffer er anført under pkt. 6.1.</w:t>
      </w:r>
    </w:p>
    <w:p w14:paraId="57A4BB2B" w14:textId="77777777" w:rsidR="009260DE" w:rsidRPr="009636AC" w:rsidRDefault="009260DE" w:rsidP="009260DE">
      <w:pPr>
        <w:tabs>
          <w:tab w:val="left" w:pos="851"/>
        </w:tabs>
        <w:ind w:left="851"/>
        <w:rPr>
          <w:sz w:val="24"/>
          <w:szCs w:val="24"/>
        </w:rPr>
      </w:pPr>
    </w:p>
    <w:p w14:paraId="65AD42ED" w14:textId="77777777" w:rsidR="009260DE" w:rsidRPr="009636AC" w:rsidRDefault="009260DE" w:rsidP="009260DE">
      <w:pPr>
        <w:tabs>
          <w:tab w:val="left" w:pos="851"/>
        </w:tabs>
        <w:ind w:left="851" w:hanging="851"/>
        <w:rPr>
          <w:b/>
          <w:sz w:val="24"/>
          <w:szCs w:val="24"/>
        </w:rPr>
      </w:pPr>
      <w:r w:rsidRPr="009636AC">
        <w:rPr>
          <w:b/>
          <w:sz w:val="24"/>
          <w:szCs w:val="24"/>
        </w:rPr>
        <w:t>3.</w:t>
      </w:r>
      <w:r w:rsidRPr="009636AC">
        <w:rPr>
          <w:b/>
          <w:sz w:val="24"/>
          <w:szCs w:val="24"/>
        </w:rPr>
        <w:tab/>
        <w:t>LÆGEMIDDELFORM</w:t>
      </w:r>
    </w:p>
    <w:p w14:paraId="1AFAF4DB" w14:textId="7900689A" w:rsidR="00441599" w:rsidRPr="009636AC" w:rsidRDefault="00441599" w:rsidP="00222CED">
      <w:pPr>
        <w:ind w:left="851"/>
        <w:rPr>
          <w:sz w:val="24"/>
          <w:szCs w:val="24"/>
        </w:rPr>
      </w:pPr>
      <w:r w:rsidRPr="009636AC">
        <w:rPr>
          <w:sz w:val="24"/>
          <w:szCs w:val="24"/>
        </w:rPr>
        <w:t>Infusionsvæske, opløsning</w:t>
      </w:r>
    </w:p>
    <w:p w14:paraId="289036E6" w14:textId="77777777" w:rsidR="00441599" w:rsidRPr="009636AC" w:rsidRDefault="00441599" w:rsidP="00222CED">
      <w:pPr>
        <w:ind w:left="851"/>
        <w:rPr>
          <w:sz w:val="24"/>
          <w:szCs w:val="24"/>
        </w:rPr>
      </w:pPr>
    </w:p>
    <w:p w14:paraId="3F96D804" w14:textId="77777777" w:rsidR="00441599" w:rsidRPr="009636AC" w:rsidRDefault="00441599" w:rsidP="00222CED">
      <w:pPr>
        <w:ind w:left="851"/>
        <w:rPr>
          <w:sz w:val="24"/>
          <w:szCs w:val="24"/>
        </w:rPr>
      </w:pPr>
      <w:r w:rsidRPr="009636AC">
        <w:rPr>
          <w:spacing w:val="-3"/>
          <w:sz w:val="24"/>
          <w:szCs w:val="24"/>
        </w:rPr>
        <w:t>Klar, farveløs til lysegul eller lys grøn-gul opløsning.</w:t>
      </w:r>
    </w:p>
    <w:p w14:paraId="18E9EFB7" w14:textId="77777777" w:rsidR="00441599" w:rsidRPr="009636AC" w:rsidRDefault="00441599" w:rsidP="00222CED">
      <w:pPr>
        <w:ind w:left="851"/>
        <w:rPr>
          <w:sz w:val="24"/>
          <w:szCs w:val="24"/>
        </w:rPr>
      </w:pPr>
      <w:r w:rsidRPr="009636AC">
        <w:rPr>
          <w:sz w:val="24"/>
          <w:szCs w:val="24"/>
        </w:rPr>
        <w:t>Opløsningen er fri for partikler.</w:t>
      </w:r>
    </w:p>
    <w:p w14:paraId="619E0649" w14:textId="77777777" w:rsidR="00441599" w:rsidRPr="009636AC" w:rsidRDefault="00441599" w:rsidP="00222CED">
      <w:pPr>
        <w:ind w:left="851"/>
        <w:rPr>
          <w:sz w:val="24"/>
          <w:szCs w:val="24"/>
        </w:rPr>
      </w:pPr>
      <w:r w:rsidRPr="009636AC">
        <w:rPr>
          <w:sz w:val="24"/>
          <w:szCs w:val="24"/>
        </w:rPr>
        <w:t>pH-værdien er mellem 6,5 og 8,0.</w:t>
      </w:r>
    </w:p>
    <w:p w14:paraId="281F4F2B" w14:textId="77777777" w:rsidR="009260DE" w:rsidRPr="009636AC" w:rsidRDefault="009260DE" w:rsidP="009260DE">
      <w:pPr>
        <w:tabs>
          <w:tab w:val="left" w:pos="851"/>
        </w:tabs>
        <w:ind w:left="851"/>
        <w:rPr>
          <w:sz w:val="24"/>
          <w:szCs w:val="24"/>
        </w:rPr>
      </w:pPr>
    </w:p>
    <w:p w14:paraId="542CF6D1" w14:textId="2A3D040D" w:rsidR="004F1CE1" w:rsidRPr="009636AC" w:rsidRDefault="004F1CE1">
      <w:pPr>
        <w:rPr>
          <w:sz w:val="24"/>
          <w:szCs w:val="24"/>
        </w:rPr>
      </w:pPr>
      <w:r w:rsidRPr="009636AC">
        <w:rPr>
          <w:sz w:val="24"/>
          <w:szCs w:val="24"/>
        </w:rPr>
        <w:br w:type="page"/>
      </w:r>
    </w:p>
    <w:p w14:paraId="01D136FA" w14:textId="77777777" w:rsidR="009260DE" w:rsidRPr="009636AC" w:rsidRDefault="009260DE" w:rsidP="009260DE">
      <w:pPr>
        <w:tabs>
          <w:tab w:val="left" w:pos="851"/>
        </w:tabs>
        <w:ind w:left="851"/>
        <w:rPr>
          <w:sz w:val="24"/>
          <w:szCs w:val="24"/>
        </w:rPr>
      </w:pPr>
    </w:p>
    <w:p w14:paraId="5C0593BB" w14:textId="77777777" w:rsidR="009260DE" w:rsidRPr="009636AC" w:rsidRDefault="009260DE" w:rsidP="009260DE">
      <w:pPr>
        <w:tabs>
          <w:tab w:val="left" w:pos="851"/>
        </w:tabs>
        <w:ind w:left="851" w:hanging="851"/>
        <w:rPr>
          <w:b/>
          <w:sz w:val="24"/>
          <w:szCs w:val="24"/>
        </w:rPr>
      </w:pPr>
      <w:r w:rsidRPr="009636AC">
        <w:rPr>
          <w:b/>
          <w:sz w:val="24"/>
          <w:szCs w:val="24"/>
        </w:rPr>
        <w:t>4.</w:t>
      </w:r>
      <w:r w:rsidRPr="009636AC">
        <w:rPr>
          <w:b/>
          <w:sz w:val="24"/>
          <w:szCs w:val="24"/>
        </w:rPr>
        <w:tab/>
        <w:t>KLINISKE OPLYSNINGER</w:t>
      </w:r>
    </w:p>
    <w:p w14:paraId="5D0144AC" w14:textId="77777777" w:rsidR="009260DE" w:rsidRPr="009636AC" w:rsidRDefault="009260DE" w:rsidP="009260DE">
      <w:pPr>
        <w:tabs>
          <w:tab w:val="left" w:pos="851"/>
        </w:tabs>
        <w:ind w:left="851"/>
        <w:rPr>
          <w:b/>
          <w:sz w:val="24"/>
          <w:szCs w:val="24"/>
        </w:rPr>
      </w:pPr>
    </w:p>
    <w:p w14:paraId="14B46F3A" w14:textId="77777777" w:rsidR="009260DE" w:rsidRPr="009636AC" w:rsidRDefault="009260DE" w:rsidP="009260DE">
      <w:pPr>
        <w:tabs>
          <w:tab w:val="left" w:pos="851"/>
        </w:tabs>
        <w:ind w:left="851" w:hanging="851"/>
        <w:rPr>
          <w:b/>
          <w:sz w:val="24"/>
          <w:szCs w:val="24"/>
          <w:u w:val="single"/>
        </w:rPr>
      </w:pPr>
      <w:r w:rsidRPr="009636AC">
        <w:rPr>
          <w:b/>
          <w:sz w:val="24"/>
          <w:szCs w:val="24"/>
        </w:rPr>
        <w:t>4.1</w:t>
      </w:r>
      <w:r w:rsidRPr="009636AC">
        <w:rPr>
          <w:b/>
          <w:sz w:val="24"/>
          <w:szCs w:val="24"/>
        </w:rPr>
        <w:tab/>
        <w:t>Terapeutiske indikationer</w:t>
      </w:r>
    </w:p>
    <w:p w14:paraId="3614A896" w14:textId="77777777" w:rsidR="00C67A57" w:rsidRPr="009636AC" w:rsidRDefault="00C67A57" w:rsidP="00222CED">
      <w:pPr>
        <w:ind w:left="851"/>
        <w:rPr>
          <w:sz w:val="24"/>
          <w:szCs w:val="24"/>
        </w:rPr>
      </w:pPr>
    </w:p>
    <w:p w14:paraId="6EDECBE3" w14:textId="1FB9CDB0" w:rsidR="00441599" w:rsidRPr="009636AC" w:rsidRDefault="00441599" w:rsidP="00222CED">
      <w:pPr>
        <w:ind w:left="851"/>
        <w:rPr>
          <w:sz w:val="24"/>
          <w:szCs w:val="24"/>
          <w:u w:val="single"/>
        </w:rPr>
      </w:pPr>
      <w:r w:rsidRPr="009636AC">
        <w:rPr>
          <w:sz w:val="24"/>
          <w:szCs w:val="24"/>
          <w:u w:val="single"/>
        </w:rPr>
        <w:t>Malignt pleuramesoteliom</w:t>
      </w:r>
    </w:p>
    <w:p w14:paraId="7440AFBC" w14:textId="77777777" w:rsidR="00441599" w:rsidRPr="009636AC" w:rsidRDefault="00441599" w:rsidP="00222CED">
      <w:pPr>
        <w:ind w:left="851"/>
        <w:rPr>
          <w:sz w:val="24"/>
          <w:szCs w:val="24"/>
        </w:rPr>
      </w:pPr>
      <w:r w:rsidRPr="009636AC">
        <w:rPr>
          <w:sz w:val="24"/>
          <w:szCs w:val="24"/>
        </w:rPr>
        <w:t>Pemetrexed "Zentiva" er indiceret til behandling af kemoterapinaive patienter med inoperabelt malignt pleuramesoteliom i kombination med cisplatin.</w:t>
      </w:r>
    </w:p>
    <w:p w14:paraId="70A2AB44" w14:textId="77777777" w:rsidR="00441599" w:rsidRPr="009636AC" w:rsidRDefault="00441599" w:rsidP="00222CED">
      <w:pPr>
        <w:ind w:left="851"/>
        <w:rPr>
          <w:sz w:val="24"/>
          <w:szCs w:val="24"/>
        </w:rPr>
      </w:pPr>
    </w:p>
    <w:p w14:paraId="2B91462B" w14:textId="77777777" w:rsidR="00441599" w:rsidRPr="009636AC" w:rsidRDefault="00441599" w:rsidP="00222CED">
      <w:pPr>
        <w:ind w:left="851"/>
        <w:rPr>
          <w:sz w:val="24"/>
          <w:szCs w:val="24"/>
          <w:u w:val="single"/>
        </w:rPr>
      </w:pPr>
      <w:r w:rsidRPr="009636AC">
        <w:rPr>
          <w:sz w:val="24"/>
          <w:szCs w:val="24"/>
          <w:u w:val="single"/>
        </w:rPr>
        <w:t>Ikke-småcellet lungecancer</w:t>
      </w:r>
    </w:p>
    <w:p w14:paraId="7F3D99D6" w14:textId="77777777" w:rsidR="00441599" w:rsidRPr="009636AC" w:rsidRDefault="00441599" w:rsidP="00222CED">
      <w:pPr>
        <w:ind w:left="851"/>
        <w:rPr>
          <w:sz w:val="24"/>
          <w:szCs w:val="24"/>
        </w:rPr>
      </w:pPr>
      <w:r w:rsidRPr="009636AC">
        <w:rPr>
          <w:sz w:val="24"/>
          <w:szCs w:val="24"/>
        </w:rPr>
        <w:t>Pemetrexed "Zentiva" er indiceret til behandling sammen med cisplatin, som 1. linje-behandling til patienter med lokalt fremskreden eller metastatisk ikke-småcellet lungecancer, bortset fra cancer hovedsageligt bestående af pladeepitelceller (se pkt. 5.1).</w:t>
      </w:r>
    </w:p>
    <w:p w14:paraId="7943AC1D" w14:textId="77777777" w:rsidR="00441599" w:rsidRPr="009636AC" w:rsidRDefault="00441599" w:rsidP="00222CED">
      <w:pPr>
        <w:ind w:left="851"/>
        <w:rPr>
          <w:sz w:val="24"/>
          <w:szCs w:val="24"/>
        </w:rPr>
      </w:pPr>
    </w:p>
    <w:p w14:paraId="342EBAAA" w14:textId="77777777" w:rsidR="00441599" w:rsidRPr="009636AC" w:rsidRDefault="00441599" w:rsidP="00222CED">
      <w:pPr>
        <w:ind w:left="851"/>
        <w:rPr>
          <w:sz w:val="24"/>
          <w:szCs w:val="24"/>
        </w:rPr>
      </w:pPr>
      <w:r w:rsidRPr="009636AC">
        <w:rPr>
          <w:sz w:val="24"/>
          <w:szCs w:val="24"/>
        </w:rPr>
        <w:t>Pemetrexed "Zentiva" er indiceret som monoterapi til vedligeholdelsesbehandling af lokalt fremskreden eller metastatisk ikke-småcellet lungecancer, bortset fra cancer hovedsageligt bestående af pladeepitelceller, hos patienter, hvis sygdom ikke har vist progression umiddelbart efter platinbaseret kemoterapi (se pkt. 5.1).</w:t>
      </w:r>
    </w:p>
    <w:p w14:paraId="7FBBD569" w14:textId="77777777" w:rsidR="00441599" w:rsidRPr="009636AC" w:rsidRDefault="00441599" w:rsidP="00222CED">
      <w:pPr>
        <w:ind w:left="851"/>
        <w:rPr>
          <w:sz w:val="24"/>
          <w:szCs w:val="24"/>
        </w:rPr>
      </w:pPr>
    </w:p>
    <w:p w14:paraId="63F70C30" w14:textId="77777777" w:rsidR="00441599" w:rsidRPr="009636AC" w:rsidRDefault="00441599" w:rsidP="00222CED">
      <w:pPr>
        <w:ind w:left="851"/>
        <w:rPr>
          <w:sz w:val="24"/>
          <w:szCs w:val="24"/>
        </w:rPr>
      </w:pPr>
      <w:r w:rsidRPr="009636AC">
        <w:rPr>
          <w:sz w:val="24"/>
          <w:szCs w:val="24"/>
        </w:rPr>
        <w:t>Pemetrexed "Zentiva" er indiceret som 2. linjes monoterapi til behandling af patienter med lokalt fremskreden eller metastatisk ikke-småcellet lungecancer, bortset fra cancer hovedsageligt bestående af pladeepitelceller (se pkt. 5.1).</w:t>
      </w:r>
    </w:p>
    <w:p w14:paraId="675787CA" w14:textId="77777777" w:rsidR="009260DE" w:rsidRPr="009636AC" w:rsidRDefault="009260DE" w:rsidP="009260DE">
      <w:pPr>
        <w:tabs>
          <w:tab w:val="left" w:pos="851"/>
        </w:tabs>
        <w:ind w:left="851"/>
        <w:rPr>
          <w:sz w:val="24"/>
          <w:szCs w:val="24"/>
        </w:rPr>
      </w:pPr>
    </w:p>
    <w:p w14:paraId="24013204" w14:textId="2D4B5594" w:rsidR="009260DE" w:rsidRPr="009636AC" w:rsidRDefault="009260DE" w:rsidP="009260DE">
      <w:pPr>
        <w:tabs>
          <w:tab w:val="left" w:pos="851"/>
        </w:tabs>
        <w:ind w:left="851" w:hanging="851"/>
        <w:rPr>
          <w:b/>
          <w:sz w:val="24"/>
          <w:szCs w:val="24"/>
        </w:rPr>
      </w:pPr>
      <w:r w:rsidRPr="009636AC">
        <w:rPr>
          <w:b/>
          <w:sz w:val="24"/>
          <w:szCs w:val="24"/>
        </w:rPr>
        <w:t>4.2</w:t>
      </w:r>
      <w:r w:rsidRPr="009636AC">
        <w:rPr>
          <w:b/>
          <w:sz w:val="24"/>
          <w:szCs w:val="24"/>
        </w:rPr>
        <w:tab/>
      </w:r>
      <w:r w:rsidR="00F771BF" w:rsidRPr="004B39DF">
        <w:rPr>
          <w:b/>
          <w:sz w:val="24"/>
          <w:szCs w:val="24"/>
        </w:rPr>
        <w:t>Dosering og administration</w:t>
      </w:r>
    </w:p>
    <w:p w14:paraId="442294FD" w14:textId="77777777" w:rsidR="00C67A57" w:rsidRPr="009636AC" w:rsidRDefault="00C67A57" w:rsidP="00222CED">
      <w:pPr>
        <w:ind w:left="851"/>
        <w:rPr>
          <w:sz w:val="24"/>
          <w:szCs w:val="24"/>
        </w:rPr>
      </w:pPr>
    </w:p>
    <w:p w14:paraId="6F555300" w14:textId="77777777" w:rsidR="00B30F40" w:rsidRPr="009636AC" w:rsidRDefault="00B30F40" w:rsidP="00B30F40">
      <w:pPr>
        <w:ind w:left="851"/>
        <w:rPr>
          <w:b/>
          <w:sz w:val="24"/>
          <w:szCs w:val="24"/>
        </w:rPr>
      </w:pPr>
      <w:r w:rsidRPr="009636AC">
        <w:rPr>
          <w:b/>
          <w:sz w:val="24"/>
          <w:szCs w:val="24"/>
        </w:rPr>
        <w:t>Denne medicin er "Klar til brug opløsning" til infusion og bør ikke fortyndes yderligere, da dette kan føre til betydelig underdosering hos patienten.</w:t>
      </w:r>
    </w:p>
    <w:p w14:paraId="375E17C5" w14:textId="77777777" w:rsidR="00B30F40" w:rsidRPr="009636AC" w:rsidRDefault="00B30F40" w:rsidP="00B30F40">
      <w:pPr>
        <w:ind w:left="851"/>
        <w:rPr>
          <w:sz w:val="24"/>
          <w:szCs w:val="24"/>
        </w:rPr>
      </w:pPr>
    </w:p>
    <w:p w14:paraId="2FC2B935" w14:textId="77777777" w:rsidR="00B30F40" w:rsidRPr="009636AC" w:rsidRDefault="00B30F40" w:rsidP="00B30F40">
      <w:pPr>
        <w:ind w:left="851"/>
        <w:rPr>
          <w:bCs/>
          <w:sz w:val="24"/>
          <w:szCs w:val="24"/>
          <w:u w:val="single"/>
        </w:rPr>
      </w:pPr>
      <w:r w:rsidRPr="009636AC">
        <w:rPr>
          <w:bCs/>
          <w:sz w:val="24"/>
          <w:szCs w:val="24"/>
          <w:u w:val="single"/>
        </w:rPr>
        <w:t>Dosering</w:t>
      </w:r>
    </w:p>
    <w:p w14:paraId="5C47FB85" w14:textId="77777777" w:rsidR="00B30F40" w:rsidRPr="009636AC" w:rsidRDefault="00B30F40" w:rsidP="00B30F40">
      <w:pPr>
        <w:ind w:left="851"/>
        <w:rPr>
          <w:sz w:val="24"/>
          <w:szCs w:val="24"/>
        </w:rPr>
      </w:pPr>
      <w:r w:rsidRPr="009636AC">
        <w:rPr>
          <w:sz w:val="24"/>
          <w:szCs w:val="24"/>
        </w:rPr>
        <w:t>Pemetrexed "Zentiva" må kun administreres under tilsyn af en læge, som er kvalificeret i brugen af kemoterapi mod cancer.</w:t>
      </w:r>
    </w:p>
    <w:p w14:paraId="50891247" w14:textId="77777777" w:rsidR="00B30F40" w:rsidRPr="009636AC" w:rsidRDefault="00B30F40" w:rsidP="00B30F40">
      <w:pPr>
        <w:ind w:left="851"/>
        <w:rPr>
          <w:sz w:val="24"/>
          <w:szCs w:val="24"/>
        </w:rPr>
      </w:pPr>
    </w:p>
    <w:p w14:paraId="358F1C63" w14:textId="77777777" w:rsidR="00B30F40" w:rsidRPr="00863ED2" w:rsidRDefault="00B30F40" w:rsidP="00B30F40">
      <w:pPr>
        <w:ind w:left="851"/>
        <w:rPr>
          <w:i/>
          <w:sz w:val="24"/>
          <w:szCs w:val="24"/>
          <w:lang w:val="sv-SE"/>
        </w:rPr>
      </w:pPr>
      <w:r w:rsidRPr="00863ED2">
        <w:rPr>
          <w:i/>
          <w:sz w:val="24"/>
          <w:szCs w:val="24"/>
          <w:lang w:val="sv-SE"/>
        </w:rPr>
        <w:t>Pemetrexed "Zentiva" i kombination med cisplatin</w:t>
      </w:r>
    </w:p>
    <w:p w14:paraId="4E40DFB3" w14:textId="77777777" w:rsidR="00B30F40" w:rsidRPr="009636AC" w:rsidRDefault="00B30F40" w:rsidP="00B30F40">
      <w:pPr>
        <w:ind w:left="851"/>
        <w:rPr>
          <w:sz w:val="24"/>
          <w:szCs w:val="24"/>
        </w:rPr>
      </w:pPr>
      <w:r w:rsidRPr="00863ED2">
        <w:rPr>
          <w:sz w:val="24"/>
          <w:szCs w:val="24"/>
          <w:lang w:val="sv-SE"/>
        </w:rPr>
        <w:t>Den anbefalede dosis af Pemetrexed "Zentiva" er 500 mg/m</w:t>
      </w:r>
      <w:r w:rsidRPr="00863ED2">
        <w:rPr>
          <w:sz w:val="24"/>
          <w:szCs w:val="24"/>
          <w:vertAlign w:val="superscript"/>
          <w:lang w:val="sv-SE"/>
        </w:rPr>
        <w:t>2</w:t>
      </w:r>
      <w:r w:rsidRPr="00863ED2">
        <w:rPr>
          <w:sz w:val="24"/>
          <w:szCs w:val="24"/>
          <w:lang w:val="sv-SE"/>
        </w:rPr>
        <w:t xml:space="preserve"> legemsoverflade indgivet som intravenøs infusion over 10 minutter på den første dag i hver 21-dages-serie. </w:t>
      </w:r>
      <w:r w:rsidRPr="009636AC">
        <w:rPr>
          <w:sz w:val="24"/>
          <w:szCs w:val="24"/>
        </w:rPr>
        <w:t>Den anbefalede dosis cisplatin er 75 mg/m</w:t>
      </w:r>
      <w:r w:rsidRPr="009636AC">
        <w:rPr>
          <w:sz w:val="24"/>
          <w:szCs w:val="24"/>
          <w:vertAlign w:val="superscript"/>
        </w:rPr>
        <w:t>2</w:t>
      </w:r>
      <w:r w:rsidRPr="009636AC">
        <w:rPr>
          <w:sz w:val="24"/>
          <w:szCs w:val="24"/>
        </w:rPr>
        <w:t xml:space="preserve"> legemsoverflade infunderet over 2 timer cirka 30 minutter efter afsluttet infusion af pemetrexed på den første dag i hver 21-dages-serie. Patienten skal have modtaget passende antiemetisk behandling og relevant hydrering inden og/eller efter indgift af cisplatin. (Se også produktresuméet for cisplatin for at få specifikke oplysninger om dosering).</w:t>
      </w:r>
    </w:p>
    <w:p w14:paraId="29D2B8C9" w14:textId="77777777" w:rsidR="00B30F40" w:rsidRPr="009636AC" w:rsidRDefault="00B30F40" w:rsidP="00B30F40">
      <w:pPr>
        <w:ind w:left="851"/>
        <w:rPr>
          <w:sz w:val="24"/>
          <w:szCs w:val="24"/>
        </w:rPr>
      </w:pPr>
    </w:p>
    <w:p w14:paraId="1407B9EF" w14:textId="77777777" w:rsidR="00B30F40" w:rsidRPr="009636AC" w:rsidRDefault="00B30F40" w:rsidP="00B30F40">
      <w:pPr>
        <w:ind w:left="851"/>
        <w:rPr>
          <w:i/>
          <w:sz w:val="24"/>
          <w:szCs w:val="24"/>
        </w:rPr>
      </w:pPr>
      <w:r w:rsidRPr="009636AC">
        <w:rPr>
          <w:i/>
          <w:sz w:val="24"/>
          <w:szCs w:val="24"/>
        </w:rPr>
        <w:t>Pemetrexed "Zentiva" givet alene</w:t>
      </w:r>
    </w:p>
    <w:p w14:paraId="0774C12C" w14:textId="77777777" w:rsidR="00B30F40" w:rsidRPr="009636AC" w:rsidRDefault="00B30F40" w:rsidP="00B30F40">
      <w:pPr>
        <w:ind w:left="851"/>
        <w:rPr>
          <w:sz w:val="24"/>
          <w:szCs w:val="24"/>
        </w:rPr>
      </w:pPr>
      <w:r w:rsidRPr="009636AC">
        <w:rPr>
          <w:sz w:val="24"/>
          <w:szCs w:val="24"/>
        </w:rPr>
        <w:t>Til patienter, der behandles for ikke-småcellet lungecancer efter tidligere behandling med kemoterapi, er den anbefalede dosis af Pemetrexed "Zentiva" 500 mg/m</w:t>
      </w:r>
      <w:r w:rsidRPr="009636AC">
        <w:rPr>
          <w:sz w:val="24"/>
          <w:szCs w:val="24"/>
          <w:vertAlign w:val="superscript"/>
        </w:rPr>
        <w:t>2</w:t>
      </w:r>
      <w:r w:rsidRPr="009636AC">
        <w:rPr>
          <w:sz w:val="24"/>
          <w:szCs w:val="24"/>
        </w:rPr>
        <w:t xml:space="preserve"> legemsoverflade indgivet som intravenøs infusion over 10 minutter på den første dag i hver 21-dages-serie.</w:t>
      </w:r>
    </w:p>
    <w:p w14:paraId="25236311" w14:textId="77777777" w:rsidR="00B30F40" w:rsidRPr="009636AC" w:rsidRDefault="00B30F40" w:rsidP="00B30F40">
      <w:pPr>
        <w:ind w:left="851"/>
        <w:rPr>
          <w:sz w:val="24"/>
          <w:szCs w:val="24"/>
        </w:rPr>
      </w:pPr>
    </w:p>
    <w:p w14:paraId="599C51D9" w14:textId="77777777" w:rsidR="00B30F40" w:rsidRPr="009636AC" w:rsidRDefault="00B30F40" w:rsidP="00B30F40">
      <w:pPr>
        <w:ind w:left="851"/>
        <w:rPr>
          <w:sz w:val="24"/>
          <w:szCs w:val="24"/>
        </w:rPr>
      </w:pPr>
      <w:r w:rsidRPr="009636AC">
        <w:rPr>
          <w:sz w:val="24"/>
          <w:szCs w:val="24"/>
        </w:rPr>
        <w:t>Præmedicineringsregime</w:t>
      </w:r>
    </w:p>
    <w:p w14:paraId="5CFCE765" w14:textId="77777777" w:rsidR="00B30F40" w:rsidRPr="009636AC" w:rsidRDefault="00B30F40" w:rsidP="00B30F40">
      <w:pPr>
        <w:ind w:left="851"/>
        <w:rPr>
          <w:sz w:val="24"/>
          <w:szCs w:val="24"/>
        </w:rPr>
      </w:pPr>
      <w:r w:rsidRPr="009636AC">
        <w:rPr>
          <w:sz w:val="24"/>
          <w:szCs w:val="24"/>
        </w:rPr>
        <w:t>For at reducere incidensen og sværhedsgraden af hudreaktioner bør der indgives et kortikosteroid-præparat dagen før, på dagen for og dagen efter indgift af pemetrexed. Dette kortikosteroidpræparat skal svare til 4 mg dexamethason indgivet oralt 2 gange dagligt (se pkt. 4.4).</w:t>
      </w:r>
    </w:p>
    <w:p w14:paraId="6D45E74E" w14:textId="77777777" w:rsidR="00B30F40" w:rsidRPr="009636AC" w:rsidRDefault="00B30F40" w:rsidP="00B30F40">
      <w:pPr>
        <w:ind w:left="851"/>
        <w:rPr>
          <w:sz w:val="24"/>
          <w:szCs w:val="24"/>
        </w:rPr>
      </w:pPr>
    </w:p>
    <w:p w14:paraId="2DC77E78" w14:textId="77777777" w:rsidR="00B30F40" w:rsidRPr="009636AC" w:rsidRDefault="00B30F40" w:rsidP="00B30F40">
      <w:pPr>
        <w:ind w:left="851"/>
        <w:rPr>
          <w:sz w:val="24"/>
          <w:szCs w:val="24"/>
        </w:rPr>
      </w:pPr>
      <w:r w:rsidRPr="009636AC">
        <w:rPr>
          <w:sz w:val="24"/>
          <w:szCs w:val="24"/>
        </w:rPr>
        <w:t>For at mindske risikoen for toksicitet skal patienter, der er i behandling med pemetrexed, også have vitamintilskud (se pkt. 4.4). Patienter skal dagligt tage et oralt folsyretilskud eller en multivitamin indeholdende folsyre (350-1.000 mikrogram). Patienter skal indtage mindst fem doser folsyre i løbet af de sidste syv dage inden indgift af den første dosis pemetrexed, og doseringen skal fortsætte under hele behandlingsforløbet og i 21 dage efter indgift af den sidste dosis pemetrexed. Patienter skal også have en intramuskulær injektion af B</w:t>
      </w:r>
      <w:r w:rsidRPr="009636AC">
        <w:rPr>
          <w:sz w:val="24"/>
          <w:szCs w:val="24"/>
          <w:vertAlign w:val="subscript"/>
        </w:rPr>
        <w:t>12</w:t>
      </w:r>
      <w:r w:rsidRPr="009636AC">
        <w:rPr>
          <w:sz w:val="24"/>
          <w:szCs w:val="24"/>
        </w:rPr>
        <w:t>-vitamin (1.000 mikrogram) i ugen op til indgift af den første dosis pemetrexed og herefter én gang hver tredje cyklus. De efterfølgende injektioner af B</w:t>
      </w:r>
      <w:r w:rsidRPr="009636AC">
        <w:rPr>
          <w:sz w:val="24"/>
          <w:szCs w:val="24"/>
          <w:vertAlign w:val="subscript"/>
        </w:rPr>
        <w:t>12</w:t>
      </w:r>
      <w:r w:rsidRPr="009636AC">
        <w:rPr>
          <w:sz w:val="24"/>
          <w:szCs w:val="24"/>
        </w:rPr>
        <w:t>-vitamin kan indgives samme dag som pemetrexed.</w:t>
      </w:r>
    </w:p>
    <w:p w14:paraId="594B810F" w14:textId="77777777" w:rsidR="00B30F40" w:rsidRPr="009636AC" w:rsidRDefault="00B30F40" w:rsidP="00B30F40">
      <w:pPr>
        <w:ind w:left="851"/>
        <w:rPr>
          <w:sz w:val="24"/>
          <w:szCs w:val="24"/>
        </w:rPr>
      </w:pPr>
    </w:p>
    <w:p w14:paraId="40A2F085" w14:textId="77777777" w:rsidR="00B30F40" w:rsidRPr="009636AC" w:rsidRDefault="00B30F40" w:rsidP="00B30F40">
      <w:pPr>
        <w:ind w:left="851"/>
        <w:rPr>
          <w:i/>
          <w:iCs/>
          <w:sz w:val="24"/>
          <w:szCs w:val="24"/>
        </w:rPr>
      </w:pPr>
      <w:r w:rsidRPr="009636AC">
        <w:rPr>
          <w:i/>
          <w:iCs/>
          <w:sz w:val="24"/>
          <w:szCs w:val="24"/>
        </w:rPr>
        <w:t>Monitorering</w:t>
      </w:r>
    </w:p>
    <w:p w14:paraId="45F1F083" w14:textId="77777777" w:rsidR="00B30F40" w:rsidRPr="009636AC" w:rsidRDefault="00B30F40" w:rsidP="00B30F40">
      <w:pPr>
        <w:ind w:left="851"/>
        <w:rPr>
          <w:sz w:val="24"/>
          <w:szCs w:val="24"/>
        </w:rPr>
      </w:pPr>
      <w:r w:rsidRPr="009636AC">
        <w:rPr>
          <w:sz w:val="24"/>
          <w:szCs w:val="24"/>
        </w:rPr>
        <w:t>Patienter i behandling med pemetrexed, skal før hver dosis monitoreres med en komplet blodtælling, herunder differentialtælling af hvide blodlegemer (WCC) og bestemmelse af trombocyttal. Inden hver administration af kemoterapi skal der indsamles laboratorie</w:t>
      </w:r>
      <w:r w:rsidRPr="009636AC">
        <w:rPr>
          <w:sz w:val="24"/>
          <w:szCs w:val="24"/>
        </w:rPr>
        <w:softHyphen/>
        <w:t>analyser af blodet til evaluering af nyre- og leverfunktion. Før påbegyndelse af en kemoterapiserie skal patienter opfylde følgende parametre: Det absolutte neutrofiltal (ANC) skal være ≥ 1.500 celler/mm</w:t>
      </w:r>
      <w:r w:rsidRPr="009636AC">
        <w:rPr>
          <w:sz w:val="24"/>
          <w:szCs w:val="24"/>
          <w:vertAlign w:val="superscript"/>
        </w:rPr>
        <w:t>3</w:t>
      </w:r>
      <w:r w:rsidRPr="009636AC">
        <w:rPr>
          <w:sz w:val="24"/>
          <w:szCs w:val="24"/>
        </w:rPr>
        <w:t>, og trombocyttallet skal være ≥ 100.000 celler/mm</w:t>
      </w:r>
      <w:r w:rsidRPr="009636AC">
        <w:rPr>
          <w:sz w:val="24"/>
          <w:szCs w:val="24"/>
          <w:vertAlign w:val="superscript"/>
        </w:rPr>
        <w:t>3</w:t>
      </w:r>
      <w:r w:rsidRPr="009636AC">
        <w:rPr>
          <w:sz w:val="24"/>
          <w:szCs w:val="24"/>
        </w:rPr>
        <w:t>.</w:t>
      </w:r>
    </w:p>
    <w:p w14:paraId="6DA4B564" w14:textId="77777777" w:rsidR="00B30F40" w:rsidRPr="009636AC" w:rsidRDefault="00B30F40" w:rsidP="00B30F40">
      <w:pPr>
        <w:ind w:left="851"/>
        <w:rPr>
          <w:sz w:val="24"/>
          <w:szCs w:val="24"/>
        </w:rPr>
      </w:pPr>
      <w:r w:rsidRPr="009636AC">
        <w:rPr>
          <w:sz w:val="24"/>
          <w:szCs w:val="24"/>
        </w:rPr>
        <w:t>Kreatinin-clearance skal være ≥ 45 ml/min.</w:t>
      </w:r>
    </w:p>
    <w:p w14:paraId="62CFBB6E" w14:textId="77777777" w:rsidR="00B30F40" w:rsidRPr="009636AC" w:rsidRDefault="00B30F40" w:rsidP="00B30F40">
      <w:pPr>
        <w:ind w:left="851"/>
        <w:rPr>
          <w:sz w:val="24"/>
          <w:szCs w:val="24"/>
        </w:rPr>
      </w:pPr>
      <w:r w:rsidRPr="009636AC">
        <w:rPr>
          <w:sz w:val="24"/>
          <w:szCs w:val="24"/>
        </w:rPr>
        <w:t>Total-bilirubin skal være ≤ 1,5 gange den normale øvre grænseværdi. Alkalisk fosfatase (AP), aspartataminotransferase (ASAT) og alaninaminotransferase (ALAT) skal være ≤ 3 gange den normale øvre grænseværdi. Alkalisk fosfatase, ASAT og ALAT ≤ 5 gange den normale øvre grænseværdi er acceptabelt, hvis patientens lever er beskadiget af tumor.</w:t>
      </w:r>
    </w:p>
    <w:p w14:paraId="56565FC6" w14:textId="77777777" w:rsidR="00B30F40" w:rsidRPr="009636AC" w:rsidRDefault="00B30F40" w:rsidP="00B30F40">
      <w:pPr>
        <w:ind w:left="851"/>
        <w:rPr>
          <w:sz w:val="24"/>
          <w:szCs w:val="24"/>
        </w:rPr>
      </w:pPr>
    </w:p>
    <w:p w14:paraId="4AA50F96" w14:textId="77777777" w:rsidR="00B30F40" w:rsidRPr="009636AC" w:rsidRDefault="00B30F40" w:rsidP="00B30F40">
      <w:pPr>
        <w:ind w:left="851"/>
        <w:rPr>
          <w:sz w:val="24"/>
          <w:szCs w:val="24"/>
        </w:rPr>
      </w:pPr>
      <w:r w:rsidRPr="009636AC">
        <w:rPr>
          <w:sz w:val="24"/>
          <w:szCs w:val="24"/>
        </w:rPr>
        <w:t>Dosisjusteringer</w:t>
      </w:r>
    </w:p>
    <w:p w14:paraId="3953D378" w14:textId="77777777" w:rsidR="00B30F40" w:rsidRPr="009636AC" w:rsidRDefault="00B30F40" w:rsidP="00B30F40">
      <w:pPr>
        <w:ind w:left="851"/>
        <w:rPr>
          <w:sz w:val="24"/>
          <w:szCs w:val="24"/>
        </w:rPr>
      </w:pPr>
      <w:r w:rsidRPr="009636AC">
        <w:rPr>
          <w:sz w:val="24"/>
          <w:szCs w:val="24"/>
        </w:rPr>
        <w:t>Dosisjusteringer i begyndelsen af en efterfølgende serie skal baseres på hæmatologisk nadir eller den maksimale ikke-hæmatologiske toksicitet fra den foregående behandlingsserie. Behandlingen kan eventuelt udsættes, så der er tilstrækkelig tid til rekonvalescens. Efter rekonvalescens skal patienter efterbehandles ud fra retningslinjerne i tabel 1, 2 og 3, der gælder for brug af Pemetrexed "Zentiva" som enkeltstof eller i kombination med cisplatin.</w:t>
      </w:r>
    </w:p>
    <w:p w14:paraId="5FE48499" w14:textId="77777777" w:rsidR="00B30F40" w:rsidRPr="009636AC" w:rsidRDefault="00B30F40" w:rsidP="00B30F40">
      <w:pPr>
        <w:ind w:left="851"/>
        <w:rPr>
          <w:sz w:val="24"/>
          <w:szCs w:val="24"/>
        </w:rPr>
      </w:pPr>
    </w:p>
    <w:tbl>
      <w:tblPr>
        <w:tblW w:w="904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2"/>
        <w:gridCol w:w="4523"/>
      </w:tblGrid>
      <w:tr w:rsidR="00B30F40" w:rsidRPr="009636AC" w14:paraId="45E4491C" w14:textId="77777777" w:rsidTr="00885E4C">
        <w:trPr>
          <w:trHeight w:val="579"/>
        </w:trPr>
        <w:tc>
          <w:tcPr>
            <w:tcW w:w="9044" w:type="dxa"/>
            <w:gridSpan w:val="2"/>
            <w:tcBorders>
              <w:top w:val="single" w:sz="4" w:space="0" w:color="000000"/>
              <w:left w:val="single" w:sz="4" w:space="0" w:color="000000"/>
              <w:bottom w:val="single" w:sz="4" w:space="0" w:color="000000"/>
              <w:right w:val="single" w:sz="4" w:space="0" w:color="000000"/>
            </w:tcBorders>
            <w:hideMark/>
          </w:tcPr>
          <w:p w14:paraId="5CBFD1E6" w14:textId="77777777" w:rsidR="00B30F40" w:rsidRPr="009636AC" w:rsidRDefault="00B30F40" w:rsidP="00885E4C">
            <w:pPr>
              <w:ind w:left="1135" w:hanging="851"/>
              <w:rPr>
                <w:b/>
                <w:sz w:val="22"/>
                <w:szCs w:val="22"/>
              </w:rPr>
            </w:pPr>
            <w:r w:rsidRPr="009636AC">
              <w:rPr>
                <w:b/>
                <w:sz w:val="22"/>
                <w:szCs w:val="22"/>
              </w:rPr>
              <w:t>Tabel 1</w:t>
            </w:r>
            <w:r w:rsidRPr="009636AC">
              <w:rPr>
                <w:b/>
                <w:sz w:val="22"/>
                <w:szCs w:val="22"/>
              </w:rPr>
              <w:tab/>
              <w:t xml:space="preserve">Dosisjustering for </w:t>
            </w:r>
            <w:r>
              <w:rPr>
                <w:b/>
                <w:sz w:val="22"/>
                <w:szCs w:val="22"/>
              </w:rPr>
              <w:t>p</w:t>
            </w:r>
            <w:r w:rsidRPr="009636AC">
              <w:rPr>
                <w:b/>
                <w:sz w:val="22"/>
                <w:szCs w:val="22"/>
              </w:rPr>
              <w:t>emetrexed (som enkeltstof eller i kombination) og cisplatin – hæmatologisk toksicitet</w:t>
            </w:r>
          </w:p>
        </w:tc>
      </w:tr>
      <w:tr w:rsidR="00B30F40" w:rsidRPr="009636AC" w14:paraId="05412893" w14:textId="77777777" w:rsidTr="00885E4C">
        <w:trPr>
          <w:trHeight w:hRule="exact" w:val="542"/>
        </w:trPr>
        <w:tc>
          <w:tcPr>
            <w:tcW w:w="4522" w:type="dxa"/>
            <w:tcBorders>
              <w:top w:val="single" w:sz="4" w:space="0" w:color="000000"/>
              <w:left w:val="single" w:sz="4" w:space="0" w:color="000000"/>
              <w:bottom w:val="single" w:sz="4" w:space="0" w:color="000000"/>
              <w:right w:val="single" w:sz="4" w:space="0" w:color="000000"/>
            </w:tcBorders>
            <w:hideMark/>
          </w:tcPr>
          <w:p w14:paraId="61D587DE" w14:textId="77777777" w:rsidR="00B30F40" w:rsidRPr="007E18D2" w:rsidRDefault="00B30F40" w:rsidP="00885E4C">
            <w:pPr>
              <w:ind w:left="284"/>
              <w:rPr>
                <w:sz w:val="22"/>
                <w:szCs w:val="22"/>
                <w:lang w:val="nb-NO"/>
              </w:rPr>
            </w:pPr>
            <w:r w:rsidRPr="007E18D2">
              <w:rPr>
                <w:sz w:val="22"/>
                <w:szCs w:val="22"/>
                <w:lang w:val="nb-NO"/>
              </w:rPr>
              <w:t>ANC-nadir &lt; 500/mm</w:t>
            </w:r>
            <w:r w:rsidRPr="007E18D2">
              <w:rPr>
                <w:sz w:val="22"/>
                <w:szCs w:val="22"/>
                <w:vertAlign w:val="superscript"/>
                <w:lang w:val="nb-NO"/>
              </w:rPr>
              <w:t>3</w:t>
            </w:r>
            <w:r w:rsidRPr="007E18D2">
              <w:rPr>
                <w:sz w:val="22"/>
                <w:szCs w:val="22"/>
                <w:lang w:val="nb-NO"/>
              </w:rPr>
              <w:t xml:space="preserve"> og nadir for trombocytter ≥ 50.000/mm</w:t>
            </w:r>
            <w:r w:rsidRPr="007E18D2">
              <w:rPr>
                <w:sz w:val="22"/>
                <w:szCs w:val="22"/>
                <w:vertAlign w:val="superscript"/>
                <w:lang w:val="nb-NO"/>
              </w:rPr>
              <w:t>3</w:t>
            </w:r>
          </w:p>
        </w:tc>
        <w:tc>
          <w:tcPr>
            <w:tcW w:w="4522" w:type="dxa"/>
            <w:tcBorders>
              <w:top w:val="single" w:sz="4" w:space="0" w:color="000000"/>
              <w:left w:val="single" w:sz="4" w:space="0" w:color="000000"/>
              <w:bottom w:val="single" w:sz="4" w:space="0" w:color="000000"/>
              <w:right w:val="single" w:sz="4" w:space="0" w:color="000000"/>
            </w:tcBorders>
            <w:hideMark/>
          </w:tcPr>
          <w:p w14:paraId="57CA418A" w14:textId="77777777" w:rsidR="00B30F40" w:rsidRPr="009636AC" w:rsidRDefault="00B30F40" w:rsidP="00885E4C">
            <w:pPr>
              <w:ind w:left="284"/>
              <w:rPr>
                <w:sz w:val="22"/>
                <w:szCs w:val="22"/>
              </w:rPr>
            </w:pPr>
            <w:r w:rsidRPr="009636AC">
              <w:rPr>
                <w:sz w:val="22"/>
                <w:szCs w:val="22"/>
              </w:rPr>
              <w:t>75 % af tidligere dosis (både pemetrexed og cisplatin)</w:t>
            </w:r>
          </w:p>
        </w:tc>
      </w:tr>
      <w:tr w:rsidR="00B30F40" w:rsidRPr="009636AC" w14:paraId="18DF8633" w14:textId="77777777" w:rsidTr="00885E4C">
        <w:trPr>
          <w:trHeight w:hRule="exact" w:val="528"/>
        </w:trPr>
        <w:tc>
          <w:tcPr>
            <w:tcW w:w="4522" w:type="dxa"/>
            <w:tcBorders>
              <w:top w:val="single" w:sz="4" w:space="0" w:color="000000"/>
              <w:left w:val="single" w:sz="4" w:space="0" w:color="000000"/>
              <w:bottom w:val="single" w:sz="4" w:space="0" w:color="000000"/>
              <w:right w:val="single" w:sz="4" w:space="0" w:color="000000"/>
            </w:tcBorders>
            <w:hideMark/>
          </w:tcPr>
          <w:p w14:paraId="2FBE2FEC" w14:textId="77777777" w:rsidR="00B30F40" w:rsidRPr="007E18D2" w:rsidRDefault="00B30F40" w:rsidP="00885E4C">
            <w:pPr>
              <w:ind w:left="284"/>
              <w:rPr>
                <w:sz w:val="22"/>
                <w:szCs w:val="22"/>
                <w:lang w:val="nb-NO"/>
              </w:rPr>
            </w:pPr>
            <w:r w:rsidRPr="007E18D2">
              <w:rPr>
                <w:sz w:val="22"/>
                <w:szCs w:val="22"/>
                <w:lang w:val="nb-NO"/>
              </w:rPr>
              <w:t>Nadir for trombocytter &lt; 50.000/mm</w:t>
            </w:r>
            <w:r w:rsidRPr="007E18D2">
              <w:rPr>
                <w:sz w:val="22"/>
                <w:szCs w:val="22"/>
                <w:vertAlign w:val="superscript"/>
                <w:lang w:val="nb-NO"/>
              </w:rPr>
              <w:t>3</w:t>
            </w:r>
            <w:r w:rsidRPr="007E18D2">
              <w:rPr>
                <w:sz w:val="22"/>
                <w:szCs w:val="22"/>
                <w:lang w:val="nb-NO"/>
              </w:rPr>
              <w:t xml:space="preserve"> uanset ANC-nadir</w:t>
            </w:r>
          </w:p>
        </w:tc>
        <w:tc>
          <w:tcPr>
            <w:tcW w:w="4522" w:type="dxa"/>
            <w:tcBorders>
              <w:top w:val="single" w:sz="4" w:space="0" w:color="000000"/>
              <w:left w:val="single" w:sz="4" w:space="0" w:color="000000"/>
              <w:bottom w:val="single" w:sz="4" w:space="0" w:color="000000"/>
              <w:right w:val="single" w:sz="4" w:space="0" w:color="000000"/>
            </w:tcBorders>
            <w:hideMark/>
          </w:tcPr>
          <w:p w14:paraId="2E414422" w14:textId="77777777" w:rsidR="00B30F40" w:rsidRPr="009636AC" w:rsidRDefault="00B30F40" w:rsidP="00885E4C">
            <w:pPr>
              <w:ind w:left="284"/>
              <w:rPr>
                <w:sz w:val="22"/>
                <w:szCs w:val="22"/>
              </w:rPr>
            </w:pPr>
            <w:r w:rsidRPr="009636AC">
              <w:rPr>
                <w:sz w:val="22"/>
                <w:szCs w:val="22"/>
              </w:rPr>
              <w:t>75 % af tidligere dosis (både pemetrexed og cisplatin)</w:t>
            </w:r>
          </w:p>
        </w:tc>
      </w:tr>
      <w:tr w:rsidR="00B30F40" w:rsidRPr="009636AC" w14:paraId="527AFBFA" w14:textId="77777777" w:rsidTr="00885E4C">
        <w:trPr>
          <w:trHeight w:hRule="exact" w:val="528"/>
        </w:trPr>
        <w:tc>
          <w:tcPr>
            <w:tcW w:w="4522" w:type="dxa"/>
            <w:tcBorders>
              <w:top w:val="single" w:sz="4" w:space="0" w:color="000000"/>
              <w:left w:val="single" w:sz="4" w:space="0" w:color="000000"/>
              <w:bottom w:val="single" w:sz="4" w:space="0" w:color="000000"/>
              <w:right w:val="single" w:sz="4" w:space="0" w:color="000000"/>
            </w:tcBorders>
            <w:hideMark/>
          </w:tcPr>
          <w:p w14:paraId="522C0EB2" w14:textId="77777777" w:rsidR="00B30F40" w:rsidRPr="007E18D2" w:rsidRDefault="00B30F40" w:rsidP="00885E4C">
            <w:pPr>
              <w:ind w:left="284"/>
              <w:rPr>
                <w:sz w:val="22"/>
                <w:szCs w:val="22"/>
                <w:lang w:val="nb-NO"/>
              </w:rPr>
            </w:pPr>
            <w:r w:rsidRPr="007E18D2">
              <w:rPr>
                <w:sz w:val="22"/>
                <w:szCs w:val="22"/>
                <w:lang w:val="nb-NO"/>
              </w:rPr>
              <w:t>Nadir for trombocytter &lt; 50.000/mm</w:t>
            </w:r>
            <w:r w:rsidRPr="007E18D2">
              <w:rPr>
                <w:sz w:val="22"/>
                <w:szCs w:val="22"/>
                <w:vertAlign w:val="superscript"/>
                <w:lang w:val="nb-NO"/>
              </w:rPr>
              <w:t>3</w:t>
            </w:r>
            <w:r w:rsidRPr="007E18D2">
              <w:rPr>
                <w:sz w:val="22"/>
                <w:szCs w:val="22"/>
                <w:lang w:val="nb-NO"/>
              </w:rPr>
              <w:t xml:space="preserve"> med blødning</w:t>
            </w:r>
            <w:r w:rsidRPr="007E18D2">
              <w:rPr>
                <w:sz w:val="22"/>
                <w:szCs w:val="22"/>
                <w:vertAlign w:val="superscript"/>
                <w:lang w:val="nb-NO"/>
              </w:rPr>
              <w:t>a</w:t>
            </w:r>
            <w:r w:rsidRPr="007E18D2">
              <w:rPr>
                <w:sz w:val="22"/>
                <w:szCs w:val="22"/>
                <w:lang w:val="nb-NO"/>
              </w:rPr>
              <w:t xml:space="preserve"> uanset ANC-nadir</w:t>
            </w:r>
          </w:p>
        </w:tc>
        <w:tc>
          <w:tcPr>
            <w:tcW w:w="4522" w:type="dxa"/>
            <w:tcBorders>
              <w:top w:val="single" w:sz="4" w:space="0" w:color="000000"/>
              <w:left w:val="single" w:sz="4" w:space="0" w:color="000000"/>
              <w:bottom w:val="single" w:sz="4" w:space="0" w:color="000000"/>
              <w:right w:val="single" w:sz="4" w:space="0" w:color="000000"/>
            </w:tcBorders>
            <w:hideMark/>
          </w:tcPr>
          <w:p w14:paraId="7F3C9708" w14:textId="77777777" w:rsidR="00B30F40" w:rsidRPr="009636AC" w:rsidRDefault="00B30F40" w:rsidP="00885E4C">
            <w:pPr>
              <w:ind w:left="284"/>
              <w:rPr>
                <w:sz w:val="22"/>
                <w:szCs w:val="22"/>
              </w:rPr>
            </w:pPr>
            <w:r w:rsidRPr="009636AC">
              <w:rPr>
                <w:sz w:val="22"/>
                <w:szCs w:val="22"/>
              </w:rPr>
              <w:t>50 % af tidligere dosis (både pemetrexed og cisplatin)</w:t>
            </w:r>
          </w:p>
        </w:tc>
      </w:tr>
    </w:tbl>
    <w:p w14:paraId="53217937" w14:textId="77777777" w:rsidR="00B30F40" w:rsidRPr="009636AC" w:rsidRDefault="00B30F40" w:rsidP="00B30F40">
      <w:pPr>
        <w:tabs>
          <w:tab w:val="left" w:pos="1134"/>
        </w:tabs>
        <w:ind w:left="1134" w:hanging="283"/>
        <w:rPr>
          <w:sz w:val="24"/>
          <w:szCs w:val="24"/>
        </w:rPr>
      </w:pPr>
      <w:r w:rsidRPr="009636AC">
        <w:rPr>
          <w:sz w:val="24"/>
          <w:szCs w:val="24"/>
          <w:vertAlign w:val="superscript"/>
        </w:rPr>
        <w:t>a</w:t>
      </w:r>
      <w:r w:rsidRPr="009636AC">
        <w:rPr>
          <w:sz w:val="24"/>
          <w:szCs w:val="24"/>
        </w:rPr>
        <w:tab/>
      </w:r>
      <w:r w:rsidRPr="009636AC">
        <w:rPr>
          <w:sz w:val="20"/>
        </w:rPr>
        <w:t>Disse kriterier opfylder National Cancer Institute Common Toxicity Criteria (CTC v2.0; NCI 1998) definition på ≥ CTC-grad 2 blødning.</w:t>
      </w:r>
    </w:p>
    <w:p w14:paraId="46341330" w14:textId="77777777" w:rsidR="00B30F40" w:rsidRPr="009636AC" w:rsidRDefault="00B30F40" w:rsidP="00B30F40">
      <w:pPr>
        <w:tabs>
          <w:tab w:val="left" w:pos="851"/>
        </w:tabs>
        <w:ind w:left="851"/>
        <w:rPr>
          <w:sz w:val="24"/>
          <w:szCs w:val="24"/>
        </w:rPr>
      </w:pPr>
    </w:p>
    <w:p w14:paraId="56D0FAF8" w14:textId="77777777" w:rsidR="00B30F40" w:rsidRPr="009636AC" w:rsidRDefault="00B30F40" w:rsidP="00B30F40">
      <w:pPr>
        <w:ind w:left="851"/>
        <w:rPr>
          <w:sz w:val="24"/>
          <w:szCs w:val="24"/>
        </w:rPr>
      </w:pPr>
      <w:r w:rsidRPr="009636AC">
        <w:rPr>
          <w:sz w:val="24"/>
          <w:szCs w:val="24"/>
        </w:rPr>
        <w:t>Hvis patienter udvikler ikke-hæmatologisk toksicitet ≥ grad 3 (undtagen neurotoksicitet), skal behandlingen med Pemetrexed "Zentiva" seponeres, indtil patientens værdier er nået ned på eller under niveauet fra før behandlingen. Behandlingen bør genoptages i henhold til retningslinjerne i tabel 2.</w:t>
      </w:r>
    </w:p>
    <w:p w14:paraId="2A38D077" w14:textId="77777777" w:rsidR="00B30F40" w:rsidRDefault="00B30F40" w:rsidP="00B30F40">
      <w:pPr>
        <w:rPr>
          <w:sz w:val="24"/>
          <w:szCs w:val="24"/>
        </w:rPr>
      </w:pPr>
      <w:r>
        <w:rPr>
          <w:sz w:val="24"/>
          <w:szCs w:val="24"/>
        </w:rPr>
        <w:br w:type="page"/>
      </w:r>
    </w:p>
    <w:p w14:paraId="60A22CEF" w14:textId="77777777" w:rsidR="00B30F40" w:rsidRPr="009636AC" w:rsidRDefault="00B30F40" w:rsidP="00B30F40">
      <w:pPr>
        <w:tabs>
          <w:tab w:val="left" w:pos="851"/>
        </w:tabs>
        <w:ind w:left="851"/>
        <w:rPr>
          <w:sz w:val="24"/>
          <w:szCs w:val="24"/>
        </w:rPr>
      </w:pPr>
    </w:p>
    <w:tbl>
      <w:tblPr>
        <w:tblW w:w="904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5"/>
        <w:gridCol w:w="2789"/>
        <w:gridCol w:w="2801"/>
      </w:tblGrid>
      <w:tr w:rsidR="00B30F40" w:rsidRPr="009636AC" w14:paraId="27A64278" w14:textId="77777777" w:rsidTr="00885E4C">
        <w:trPr>
          <w:trHeight w:val="660"/>
        </w:trPr>
        <w:tc>
          <w:tcPr>
            <w:tcW w:w="9044" w:type="dxa"/>
            <w:gridSpan w:val="3"/>
            <w:tcBorders>
              <w:top w:val="single" w:sz="4" w:space="0" w:color="000000"/>
              <w:left w:val="single" w:sz="4" w:space="0" w:color="000000"/>
              <w:bottom w:val="single" w:sz="4" w:space="0" w:color="000000"/>
              <w:right w:val="single" w:sz="4" w:space="0" w:color="000000"/>
            </w:tcBorders>
            <w:hideMark/>
          </w:tcPr>
          <w:p w14:paraId="48A2C682" w14:textId="77777777" w:rsidR="00B30F40" w:rsidRPr="009636AC" w:rsidRDefault="00B30F40" w:rsidP="00885E4C">
            <w:pPr>
              <w:tabs>
                <w:tab w:val="left" w:pos="1130"/>
              </w:tabs>
              <w:ind w:left="1135" w:hanging="992"/>
              <w:rPr>
                <w:b/>
                <w:sz w:val="22"/>
                <w:szCs w:val="22"/>
              </w:rPr>
            </w:pPr>
            <w:r w:rsidRPr="009636AC">
              <w:rPr>
                <w:b/>
                <w:sz w:val="22"/>
                <w:szCs w:val="22"/>
              </w:rPr>
              <w:t>Tabel 2</w:t>
            </w:r>
            <w:r w:rsidRPr="009636AC">
              <w:rPr>
                <w:b/>
                <w:sz w:val="22"/>
                <w:szCs w:val="22"/>
              </w:rPr>
              <w:tab/>
              <w:t xml:space="preserve">Dosisjustering for </w:t>
            </w:r>
            <w:r>
              <w:rPr>
                <w:b/>
                <w:sz w:val="22"/>
                <w:szCs w:val="22"/>
              </w:rPr>
              <w:t>p</w:t>
            </w:r>
            <w:r w:rsidRPr="009636AC">
              <w:rPr>
                <w:b/>
                <w:sz w:val="22"/>
                <w:szCs w:val="22"/>
              </w:rPr>
              <w:t xml:space="preserve">emetrexed (som enkeltstof eller i kombination) og cisplatin – ikke-hæmatologisk toksicitet </w:t>
            </w:r>
            <w:r w:rsidRPr="009636AC">
              <w:rPr>
                <w:b/>
                <w:sz w:val="22"/>
                <w:szCs w:val="22"/>
                <w:vertAlign w:val="superscript"/>
              </w:rPr>
              <w:t>a, b</w:t>
            </w:r>
          </w:p>
        </w:tc>
      </w:tr>
      <w:tr w:rsidR="00B30F40" w:rsidRPr="009636AC" w14:paraId="31A62BA0" w14:textId="77777777" w:rsidTr="00885E4C">
        <w:trPr>
          <w:trHeight w:hRule="exact" w:val="528"/>
        </w:trPr>
        <w:tc>
          <w:tcPr>
            <w:tcW w:w="3454" w:type="dxa"/>
            <w:tcBorders>
              <w:top w:val="single" w:sz="4" w:space="0" w:color="000000"/>
              <w:left w:val="single" w:sz="4" w:space="0" w:color="000000"/>
              <w:bottom w:val="single" w:sz="4" w:space="0" w:color="000000"/>
              <w:right w:val="single" w:sz="4" w:space="0" w:color="000000"/>
            </w:tcBorders>
          </w:tcPr>
          <w:p w14:paraId="3050B5E2" w14:textId="77777777" w:rsidR="00B30F40" w:rsidRPr="009636AC" w:rsidRDefault="00B30F40" w:rsidP="00885E4C">
            <w:pPr>
              <w:ind w:left="143"/>
              <w:rPr>
                <w:sz w:val="22"/>
                <w:szCs w:val="22"/>
              </w:rPr>
            </w:pPr>
          </w:p>
        </w:tc>
        <w:tc>
          <w:tcPr>
            <w:tcW w:w="2789" w:type="dxa"/>
            <w:tcBorders>
              <w:top w:val="single" w:sz="4" w:space="0" w:color="000000"/>
              <w:left w:val="single" w:sz="4" w:space="0" w:color="000000"/>
              <w:bottom w:val="single" w:sz="4" w:space="0" w:color="000000"/>
              <w:right w:val="single" w:sz="4" w:space="0" w:color="000000"/>
            </w:tcBorders>
            <w:hideMark/>
          </w:tcPr>
          <w:p w14:paraId="235E7319" w14:textId="77777777" w:rsidR="00B30F40" w:rsidRPr="009636AC" w:rsidRDefault="00B30F40" w:rsidP="00885E4C">
            <w:pPr>
              <w:ind w:left="143"/>
              <w:rPr>
                <w:b/>
                <w:sz w:val="22"/>
                <w:szCs w:val="22"/>
              </w:rPr>
            </w:pPr>
            <w:r w:rsidRPr="009636AC">
              <w:rPr>
                <w:b/>
                <w:sz w:val="22"/>
                <w:szCs w:val="22"/>
              </w:rPr>
              <w:t>Dosis af pemetrexed (mg/m</w:t>
            </w:r>
            <w:r w:rsidRPr="009636AC">
              <w:rPr>
                <w:b/>
                <w:sz w:val="22"/>
                <w:szCs w:val="22"/>
                <w:vertAlign w:val="superscript"/>
              </w:rPr>
              <w:t>2</w:t>
            </w:r>
            <w:r w:rsidRPr="009636AC">
              <w:rPr>
                <w:b/>
                <w:sz w:val="22"/>
                <w:szCs w:val="22"/>
              </w:rPr>
              <w:t>)</w:t>
            </w:r>
          </w:p>
        </w:tc>
        <w:tc>
          <w:tcPr>
            <w:tcW w:w="2801" w:type="dxa"/>
            <w:tcBorders>
              <w:top w:val="single" w:sz="4" w:space="0" w:color="000000"/>
              <w:left w:val="single" w:sz="4" w:space="0" w:color="000000"/>
              <w:bottom w:val="single" w:sz="4" w:space="0" w:color="000000"/>
              <w:right w:val="single" w:sz="4" w:space="0" w:color="000000"/>
            </w:tcBorders>
            <w:hideMark/>
          </w:tcPr>
          <w:p w14:paraId="7972514F" w14:textId="77777777" w:rsidR="00B30F40" w:rsidRPr="009636AC" w:rsidRDefault="00B30F40" w:rsidP="00885E4C">
            <w:pPr>
              <w:ind w:left="143"/>
              <w:rPr>
                <w:b/>
                <w:sz w:val="22"/>
                <w:szCs w:val="22"/>
              </w:rPr>
            </w:pPr>
            <w:r w:rsidRPr="009636AC">
              <w:rPr>
                <w:b/>
                <w:sz w:val="22"/>
                <w:szCs w:val="22"/>
              </w:rPr>
              <w:t>Dosis af cisplatin (mg/m</w:t>
            </w:r>
            <w:r w:rsidRPr="009636AC">
              <w:rPr>
                <w:b/>
                <w:sz w:val="22"/>
                <w:szCs w:val="22"/>
                <w:vertAlign w:val="superscript"/>
              </w:rPr>
              <w:t>2</w:t>
            </w:r>
            <w:r w:rsidRPr="009636AC">
              <w:rPr>
                <w:b/>
                <w:sz w:val="22"/>
                <w:szCs w:val="22"/>
              </w:rPr>
              <w:t>)</w:t>
            </w:r>
          </w:p>
        </w:tc>
      </w:tr>
      <w:tr w:rsidR="00B30F40" w:rsidRPr="009636AC" w14:paraId="467F6BF0" w14:textId="77777777" w:rsidTr="00885E4C">
        <w:trPr>
          <w:trHeight w:hRule="exact" w:val="528"/>
        </w:trPr>
        <w:tc>
          <w:tcPr>
            <w:tcW w:w="3454" w:type="dxa"/>
            <w:tcBorders>
              <w:top w:val="single" w:sz="4" w:space="0" w:color="000000"/>
              <w:left w:val="single" w:sz="4" w:space="0" w:color="000000"/>
              <w:bottom w:val="single" w:sz="4" w:space="0" w:color="000000"/>
              <w:right w:val="single" w:sz="4" w:space="0" w:color="000000"/>
            </w:tcBorders>
            <w:hideMark/>
          </w:tcPr>
          <w:p w14:paraId="4EE47091" w14:textId="77777777" w:rsidR="00B30F40" w:rsidRPr="009636AC" w:rsidRDefault="00B30F40" w:rsidP="00885E4C">
            <w:pPr>
              <w:ind w:left="143"/>
              <w:rPr>
                <w:sz w:val="22"/>
                <w:szCs w:val="22"/>
              </w:rPr>
            </w:pPr>
            <w:r w:rsidRPr="009636AC">
              <w:rPr>
                <w:sz w:val="22"/>
                <w:szCs w:val="22"/>
              </w:rPr>
              <w:t>Al toksicitet af grad 3 eller 4 undtagen mucositis</w:t>
            </w:r>
          </w:p>
        </w:tc>
        <w:tc>
          <w:tcPr>
            <w:tcW w:w="2789" w:type="dxa"/>
            <w:tcBorders>
              <w:top w:val="single" w:sz="4" w:space="0" w:color="000000"/>
              <w:left w:val="single" w:sz="4" w:space="0" w:color="000000"/>
              <w:bottom w:val="single" w:sz="4" w:space="0" w:color="000000"/>
              <w:right w:val="single" w:sz="4" w:space="0" w:color="000000"/>
            </w:tcBorders>
            <w:hideMark/>
          </w:tcPr>
          <w:p w14:paraId="2CBF438B" w14:textId="77777777" w:rsidR="00B30F40" w:rsidRPr="009636AC" w:rsidRDefault="00B30F40" w:rsidP="00885E4C">
            <w:pPr>
              <w:ind w:left="143"/>
              <w:rPr>
                <w:sz w:val="22"/>
                <w:szCs w:val="22"/>
              </w:rPr>
            </w:pPr>
            <w:r w:rsidRPr="009636AC">
              <w:rPr>
                <w:sz w:val="22"/>
                <w:szCs w:val="22"/>
              </w:rPr>
              <w:t>75 % af tidligere dosis</w:t>
            </w:r>
          </w:p>
        </w:tc>
        <w:tc>
          <w:tcPr>
            <w:tcW w:w="2801" w:type="dxa"/>
            <w:tcBorders>
              <w:top w:val="single" w:sz="4" w:space="0" w:color="000000"/>
              <w:left w:val="single" w:sz="4" w:space="0" w:color="000000"/>
              <w:bottom w:val="single" w:sz="4" w:space="0" w:color="000000"/>
              <w:right w:val="single" w:sz="4" w:space="0" w:color="000000"/>
            </w:tcBorders>
            <w:hideMark/>
          </w:tcPr>
          <w:p w14:paraId="408EEF4E" w14:textId="77777777" w:rsidR="00B30F40" w:rsidRPr="009636AC" w:rsidRDefault="00B30F40" w:rsidP="00885E4C">
            <w:pPr>
              <w:ind w:left="143"/>
              <w:rPr>
                <w:sz w:val="22"/>
                <w:szCs w:val="22"/>
              </w:rPr>
            </w:pPr>
            <w:r w:rsidRPr="009636AC">
              <w:rPr>
                <w:sz w:val="22"/>
                <w:szCs w:val="22"/>
              </w:rPr>
              <w:t>75 % af tidligere dosis</w:t>
            </w:r>
          </w:p>
        </w:tc>
      </w:tr>
      <w:tr w:rsidR="00B30F40" w:rsidRPr="009636AC" w14:paraId="7AB23733" w14:textId="77777777" w:rsidTr="00885E4C">
        <w:trPr>
          <w:trHeight w:hRule="exact" w:val="787"/>
        </w:trPr>
        <w:tc>
          <w:tcPr>
            <w:tcW w:w="3454" w:type="dxa"/>
            <w:tcBorders>
              <w:top w:val="single" w:sz="4" w:space="0" w:color="000000"/>
              <w:left w:val="single" w:sz="4" w:space="0" w:color="000000"/>
              <w:bottom w:val="single" w:sz="4" w:space="0" w:color="000000"/>
              <w:right w:val="single" w:sz="4" w:space="0" w:color="000000"/>
            </w:tcBorders>
            <w:hideMark/>
          </w:tcPr>
          <w:p w14:paraId="215C9F8B" w14:textId="77777777" w:rsidR="00B30F40" w:rsidRPr="009636AC" w:rsidRDefault="00B30F40" w:rsidP="00885E4C">
            <w:pPr>
              <w:ind w:left="143"/>
              <w:rPr>
                <w:sz w:val="22"/>
                <w:szCs w:val="22"/>
              </w:rPr>
            </w:pPr>
            <w:r w:rsidRPr="009636AC">
              <w:rPr>
                <w:sz w:val="22"/>
                <w:szCs w:val="22"/>
              </w:rPr>
              <w:t>Alle tilfælde af diarré, der kræver indlæggelse (uanset grad) eller diarré af grad 3 eller 4.</w:t>
            </w:r>
          </w:p>
        </w:tc>
        <w:tc>
          <w:tcPr>
            <w:tcW w:w="2789" w:type="dxa"/>
            <w:tcBorders>
              <w:top w:val="single" w:sz="4" w:space="0" w:color="000000"/>
              <w:left w:val="single" w:sz="4" w:space="0" w:color="000000"/>
              <w:bottom w:val="single" w:sz="4" w:space="0" w:color="000000"/>
              <w:right w:val="single" w:sz="4" w:space="0" w:color="000000"/>
            </w:tcBorders>
            <w:hideMark/>
          </w:tcPr>
          <w:p w14:paraId="79616AAA" w14:textId="77777777" w:rsidR="00B30F40" w:rsidRPr="009636AC" w:rsidRDefault="00B30F40" w:rsidP="00885E4C">
            <w:pPr>
              <w:ind w:left="143"/>
              <w:rPr>
                <w:sz w:val="22"/>
                <w:szCs w:val="22"/>
              </w:rPr>
            </w:pPr>
            <w:r w:rsidRPr="009636AC">
              <w:rPr>
                <w:sz w:val="22"/>
                <w:szCs w:val="22"/>
              </w:rPr>
              <w:t>75 % af tidligere dosis</w:t>
            </w:r>
          </w:p>
        </w:tc>
        <w:tc>
          <w:tcPr>
            <w:tcW w:w="2801" w:type="dxa"/>
            <w:tcBorders>
              <w:top w:val="single" w:sz="4" w:space="0" w:color="000000"/>
              <w:left w:val="single" w:sz="4" w:space="0" w:color="000000"/>
              <w:bottom w:val="single" w:sz="4" w:space="0" w:color="000000"/>
              <w:right w:val="single" w:sz="4" w:space="0" w:color="000000"/>
            </w:tcBorders>
            <w:hideMark/>
          </w:tcPr>
          <w:p w14:paraId="2945ED6D" w14:textId="77777777" w:rsidR="00B30F40" w:rsidRPr="009636AC" w:rsidRDefault="00B30F40" w:rsidP="00885E4C">
            <w:pPr>
              <w:ind w:left="143"/>
              <w:rPr>
                <w:sz w:val="22"/>
                <w:szCs w:val="22"/>
              </w:rPr>
            </w:pPr>
            <w:r w:rsidRPr="009636AC">
              <w:rPr>
                <w:sz w:val="22"/>
                <w:szCs w:val="22"/>
              </w:rPr>
              <w:t>75 % af tidligere dosis</w:t>
            </w:r>
          </w:p>
        </w:tc>
      </w:tr>
      <w:tr w:rsidR="00B30F40" w:rsidRPr="009636AC" w14:paraId="5885036A" w14:textId="77777777" w:rsidTr="00885E4C">
        <w:trPr>
          <w:trHeight w:hRule="exact" w:val="504"/>
        </w:trPr>
        <w:tc>
          <w:tcPr>
            <w:tcW w:w="3454" w:type="dxa"/>
            <w:tcBorders>
              <w:top w:val="single" w:sz="4" w:space="0" w:color="000000"/>
              <w:left w:val="single" w:sz="4" w:space="0" w:color="000000"/>
              <w:bottom w:val="single" w:sz="4" w:space="0" w:color="000000"/>
              <w:right w:val="single" w:sz="4" w:space="0" w:color="000000"/>
            </w:tcBorders>
            <w:hideMark/>
          </w:tcPr>
          <w:p w14:paraId="21FCA01B" w14:textId="77777777" w:rsidR="00B30F40" w:rsidRPr="009636AC" w:rsidRDefault="00B30F40" w:rsidP="00885E4C">
            <w:pPr>
              <w:ind w:left="143"/>
              <w:rPr>
                <w:sz w:val="22"/>
                <w:szCs w:val="22"/>
              </w:rPr>
            </w:pPr>
            <w:r w:rsidRPr="009636AC">
              <w:rPr>
                <w:sz w:val="22"/>
                <w:szCs w:val="22"/>
              </w:rPr>
              <w:t>Mucositis af grad 3 eller 4</w:t>
            </w:r>
          </w:p>
        </w:tc>
        <w:tc>
          <w:tcPr>
            <w:tcW w:w="2789" w:type="dxa"/>
            <w:tcBorders>
              <w:top w:val="single" w:sz="4" w:space="0" w:color="000000"/>
              <w:left w:val="single" w:sz="4" w:space="0" w:color="000000"/>
              <w:bottom w:val="single" w:sz="4" w:space="0" w:color="000000"/>
              <w:right w:val="single" w:sz="4" w:space="0" w:color="000000"/>
            </w:tcBorders>
            <w:hideMark/>
          </w:tcPr>
          <w:p w14:paraId="7396F9F5" w14:textId="77777777" w:rsidR="00B30F40" w:rsidRPr="009636AC" w:rsidRDefault="00B30F40" w:rsidP="00885E4C">
            <w:pPr>
              <w:ind w:left="143"/>
              <w:rPr>
                <w:sz w:val="22"/>
                <w:szCs w:val="22"/>
              </w:rPr>
            </w:pPr>
            <w:r w:rsidRPr="009636AC">
              <w:rPr>
                <w:sz w:val="22"/>
                <w:szCs w:val="22"/>
              </w:rPr>
              <w:t>50 % af tidligere dosis</w:t>
            </w:r>
          </w:p>
        </w:tc>
        <w:tc>
          <w:tcPr>
            <w:tcW w:w="2801" w:type="dxa"/>
            <w:tcBorders>
              <w:top w:val="single" w:sz="4" w:space="0" w:color="000000"/>
              <w:left w:val="single" w:sz="4" w:space="0" w:color="000000"/>
              <w:bottom w:val="single" w:sz="4" w:space="0" w:color="000000"/>
              <w:right w:val="single" w:sz="4" w:space="0" w:color="000000"/>
            </w:tcBorders>
            <w:hideMark/>
          </w:tcPr>
          <w:p w14:paraId="02001728" w14:textId="77777777" w:rsidR="00B30F40" w:rsidRPr="009636AC" w:rsidRDefault="00B30F40" w:rsidP="00885E4C">
            <w:pPr>
              <w:ind w:left="143"/>
              <w:rPr>
                <w:sz w:val="22"/>
                <w:szCs w:val="22"/>
              </w:rPr>
            </w:pPr>
            <w:r w:rsidRPr="009636AC">
              <w:rPr>
                <w:sz w:val="22"/>
                <w:szCs w:val="22"/>
              </w:rPr>
              <w:t>100 % af tidligere dosis</w:t>
            </w:r>
          </w:p>
        </w:tc>
      </w:tr>
    </w:tbl>
    <w:p w14:paraId="01E0E7F5" w14:textId="77777777" w:rsidR="00B30F40" w:rsidRPr="00A861DD" w:rsidRDefault="00B30F40" w:rsidP="00B30F40">
      <w:pPr>
        <w:tabs>
          <w:tab w:val="left" w:pos="851"/>
        </w:tabs>
        <w:ind w:left="851"/>
        <w:rPr>
          <w:sz w:val="20"/>
          <w:lang w:val="en-US"/>
        </w:rPr>
      </w:pPr>
      <w:r w:rsidRPr="00A861DD">
        <w:rPr>
          <w:sz w:val="24"/>
          <w:szCs w:val="24"/>
          <w:vertAlign w:val="superscript"/>
          <w:lang w:val="en-US"/>
        </w:rPr>
        <w:t>a</w:t>
      </w:r>
      <w:r w:rsidRPr="00A861DD">
        <w:rPr>
          <w:sz w:val="24"/>
          <w:szCs w:val="24"/>
          <w:lang w:val="en-US"/>
        </w:rPr>
        <w:t xml:space="preserve"> </w:t>
      </w:r>
      <w:r w:rsidRPr="00A861DD">
        <w:rPr>
          <w:sz w:val="20"/>
          <w:lang w:val="en-US"/>
        </w:rPr>
        <w:t>National Cancer Institute Common Toxicity Criteria (CTC v 2.0; NCI 1998)</w:t>
      </w:r>
    </w:p>
    <w:p w14:paraId="2C2F6272" w14:textId="77777777" w:rsidR="00B30F40" w:rsidRPr="009636AC" w:rsidRDefault="00B30F40" w:rsidP="00B30F40">
      <w:pPr>
        <w:tabs>
          <w:tab w:val="left" w:pos="851"/>
        </w:tabs>
        <w:ind w:left="851"/>
        <w:rPr>
          <w:sz w:val="24"/>
          <w:szCs w:val="24"/>
        </w:rPr>
      </w:pPr>
      <w:r w:rsidRPr="009636AC">
        <w:rPr>
          <w:sz w:val="24"/>
          <w:szCs w:val="24"/>
          <w:vertAlign w:val="superscript"/>
        </w:rPr>
        <w:t>b</w:t>
      </w:r>
      <w:r w:rsidRPr="009636AC">
        <w:rPr>
          <w:sz w:val="24"/>
          <w:szCs w:val="24"/>
        </w:rPr>
        <w:t xml:space="preserve"> </w:t>
      </w:r>
      <w:r w:rsidRPr="009636AC">
        <w:rPr>
          <w:sz w:val="20"/>
        </w:rPr>
        <w:t>Undtagen neurotoksicitet</w:t>
      </w:r>
    </w:p>
    <w:p w14:paraId="30E06AFC" w14:textId="77777777" w:rsidR="00B30F40" w:rsidRPr="009636AC" w:rsidRDefault="00B30F40" w:rsidP="00B30F40">
      <w:pPr>
        <w:tabs>
          <w:tab w:val="left" w:pos="851"/>
        </w:tabs>
        <w:ind w:left="851"/>
        <w:rPr>
          <w:sz w:val="24"/>
          <w:szCs w:val="24"/>
        </w:rPr>
      </w:pPr>
    </w:p>
    <w:p w14:paraId="2C751F8A" w14:textId="77777777" w:rsidR="00B30F40" w:rsidRPr="009636AC" w:rsidRDefault="00B30F40" w:rsidP="00B30F40">
      <w:pPr>
        <w:ind w:left="851"/>
        <w:rPr>
          <w:sz w:val="24"/>
          <w:szCs w:val="24"/>
        </w:rPr>
      </w:pPr>
      <w:r w:rsidRPr="009636AC">
        <w:rPr>
          <w:sz w:val="24"/>
          <w:szCs w:val="24"/>
        </w:rPr>
        <w:t xml:space="preserve">I tilfælde af neurotoksicitet er den anbefalede dosisjustering for </w:t>
      </w:r>
      <w:r>
        <w:rPr>
          <w:sz w:val="24"/>
          <w:szCs w:val="24"/>
        </w:rPr>
        <w:t>p</w:t>
      </w:r>
      <w:r w:rsidRPr="009636AC">
        <w:rPr>
          <w:sz w:val="24"/>
          <w:szCs w:val="24"/>
        </w:rPr>
        <w:t>emetrexed og cisplatin angivet i tabel 3. Patienten bør afbryde behandlingen, hvis der observeres neurotoksicitet af grad 3 eller 4.</w:t>
      </w:r>
    </w:p>
    <w:p w14:paraId="2447AA61" w14:textId="77777777" w:rsidR="00B30F40" w:rsidRPr="009636AC" w:rsidRDefault="00B30F40" w:rsidP="00B30F40">
      <w:pPr>
        <w:ind w:left="851"/>
        <w:rPr>
          <w:sz w:val="24"/>
          <w:szCs w:val="24"/>
        </w:rPr>
      </w:pPr>
    </w:p>
    <w:tbl>
      <w:tblPr>
        <w:tblW w:w="904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3219"/>
        <w:gridCol w:w="3222"/>
      </w:tblGrid>
      <w:tr w:rsidR="00B30F40" w:rsidRPr="009636AC" w14:paraId="3E2DD0F1" w14:textId="77777777" w:rsidTr="00885E4C">
        <w:trPr>
          <w:trHeight w:val="528"/>
        </w:trPr>
        <w:tc>
          <w:tcPr>
            <w:tcW w:w="9043" w:type="dxa"/>
            <w:gridSpan w:val="3"/>
            <w:tcBorders>
              <w:top w:val="single" w:sz="4" w:space="0" w:color="000000"/>
              <w:left w:val="single" w:sz="4" w:space="0" w:color="000000"/>
              <w:bottom w:val="single" w:sz="4" w:space="0" w:color="000000"/>
              <w:right w:val="single" w:sz="4" w:space="0" w:color="000000"/>
            </w:tcBorders>
            <w:hideMark/>
          </w:tcPr>
          <w:p w14:paraId="6C601C62" w14:textId="77777777" w:rsidR="00B30F40" w:rsidRPr="009636AC" w:rsidRDefault="00B30F40" w:rsidP="00885E4C">
            <w:pPr>
              <w:tabs>
                <w:tab w:val="left" w:pos="1150"/>
              </w:tabs>
              <w:ind w:left="1135" w:hanging="992"/>
              <w:rPr>
                <w:b/>
                <w:sz w:val="22"/>
                <w:szCs w:val="22"/>
              </w:rPr>
            </w:pPr>
            <w:r w:rsidRPr="009636AC">
              <w:rPr>
                <w:b/>
                <w:sz w:val="22"/>
                <w:szCs w:val="22"/>
              </w:rPr>
              <w:t>Tabel 3</w:t>
            </w:r>
            <w:r w:rsidRPr="009636AC">
              <w:rPr>
                <w:b/>
                <w:sz w:val="22"/>
                <w:szCs w:val="22"/>
              </w:rPr>
              <w:tab/>
              <w:t xml:space="preserve">Dosisjustering for </w:t>
            </w:r>
            <w:r>
              <w:rPr>
                <w:b/>
                <w:sz w:val="22"/>
                <w:szCs w:val="22"/>
              </w:rPr>
              <w:t>p</w:t>
            </w:r>
            <w:r w:rsidRPr="009636AC">
              <w:rPr>
                <w:b/>
                <w:sz w:val="22"/>
                <w:szCs w:val="22"/>
              </w:rPr>
              <w:t>emetrexed (som enkeltstof eller i kombination) og cisplatin – neurotoksicitet</w:t>
            </w:r>
          </w:p>
        </w:tc>
      </w:tr>
      <w:tr w:rsidR="00B30F40" w:rsidRPr="009636AC" w14:paraId="4D790785" w14:textId="77777777" w:rsidTr="00885E4C">
        <w:trPr>
          <w:trHeight w:hRule="exact" w:val="504"/>
        </w:trPr>
        <w:tc>
          <w:tcPr>
            <w:tcW w:w="2604" w:type="dxa"/>
            <w:tcBorders>
              <w:top w:val="single" w:sz="4" w:space="0" w:color="000000"/>
              <w:left w:val="single" w:sz="4" w:space="0" w:color="000000"/>
              <w:bottom w:val="single" w:sz="4" w:space="0" w:color="000000"/>
              <w:right w:val="single" w:sz="4" w:space="0" w:color="000000"/>
            </w:tcBorders>
            <w:hideMark/>
          </w:tcPr>
          <w:p w14:paraId="7EB57268" w14:textId="77777777" w:rsidR="00B30F40" w:rsidRPr="009636AC" w:rsidRDefault="00B30F40" w:rsidP="00885E4C">
            <w:pPr>
              <w:tabs>
                <w:tab w:val="left" w:pos="1150"/>
              </w:tabs>
              <w:ind w:left="143"/>
              <w:rPr>
                <w:b/>
                <w:sz w:val="22"/>
                <w:szCs w:val="22"/>
              </w:rPr>
            </w:pPr>
            <w:r w:rsidRPr="009636AC">
              <w:rPr>
                <w:b/>
                <w:sz w:val="22"/>
                <w:szCs w:val="22"/>
              </w:rPr>
              <w:t>CTCa-grad</w:t>
            </w:r>
          </w:p>
        </w:tc>
        <w:tc>
          <w:tcPr>
            <w:tcW w:w="3218" w:type="dxa"/>
            <w:tcBorders>
              <w:top w:val="single" w:sz="4" w:space="0" w:color="000000"/>
              <w:left w:val="single" w:sz="4" w:space="0" w:color="000000"/>
              <w:bottom w:val="single" w:sz="4" w:space="0" w:color="000000"/>
              <w:right w:val="single" w:sz="4" w:space="0" w:color="000000"/>
            </w:tcBorders>
            <w:hideMark/>
          </w:tcPr>
          <w:p w14:paraId="11F2FD37" w14:textId="77777777" w:rsidR="00B30F40" w:rsidRPr="009636AC" w:rsidRDefault="00B30F40" w:rsidP="00885E4C">
            <w:pPr>
              <w:ind w:left="143"/>
              <w:rPr>
                <w:b/>
                <w:sz w:val="22"/>
                <w:szCs w:val="22"/>
              </w:rPr>
            </w:pPr>
            <w:r w:rsidRPr="009636AC">
              <w:rPr>
                <w:b/>
                <w:sz w:val="22"/>
                <w:szCs w:val="22"/>
              </w:rPr>
              <w:t>Dosis af pemetrexed (mg/m</w:t>
            </w:r>
            <w:r w:rsidRPr="009636AC">
              <w:rPr>
                <w:b/>
                <w:sz w:val="22"/>
                <w:szCs w:val="22"/>
                <w:vertAlign w:val="superscript"/>
              </w:rPr>
              <w:t>2</w:t>
            </w:r>
            <w:r w:rsidRPr="009636AC">
              <w:rPr>
                <w:b/>
                <w:sz w:val="22"/>
                <w:szCs w:val="22"/>
              </w:rPr>
              <w:t>)</w:t>
            </w:r>
          </w:p>
        </w:tc>
        <w:tc>
          <w:tcPr>
            <w:tcW w:w="3221" w:type="dxa"/>
            <w:tcBorders>
              <w:top w:val="single" w:sz="4" w:space="0" w:color="000000"/>
              <w:left w:val="single" w:sz="4" w:space="0" w:color="000000"/>
              <w:bottom w:val="single" w:sz="4" w:space="0" w:color="000000"/>
              <w:right w:val="single" w:sz="4" w:space="0" w:color="000000"/>
            </w:tcBorders>
            <w:hideMark/>
          </w:tcPr>
          <w:p w14:paraId="31E8DD28" w14:textId="77777777" w:rsidR="00B30F40" w:rsidRPr="009636AC" w:rsidRDefault="00B30F40" w:rsidP="00885E4C">
            <w:pPr>
              <w:ind w:left="143"/>
              <w:rPr>
                <w:b/>
                <w:sz w:val="22"/>
                <w:szCs w:val="22"/>
              </w:rPr>
            </w:pPr>
            <w:r w:rsidRPr="009636AC">
              <w:rPr>
                <w:b/>
                <w:sz w:val="22"/>
                <w:szCs w:val="22"/>
              </w:rPr>
              <w:t>Dosis af cisplatin (mg/m</w:t>
            </w:r>
            <w:r w:rsidRPr="009636AC">
              <w:rPr>
                <w:b/>
                <w:sz w:val="22"/>
                <w:szCs w:val="22"/>
                <w:vertAlign w:val="superscript"/>
              </w:rPr>
              <w:t>2</w:t>
            </w:r>
            <w:r w:rsidRPr="009636AC">
              <w:rPr>
                <w:b/>
                <w:sz w:val="22"/>
                <w:szCs w:val="22"/>
              </w:rPr>
              <w:t>)</w:t>
            </w:r>
          </w:p>
        </w:tc>
      </w:tr>
      <w:tr w:rsidR="00B30F40" w:rsidRPr="009636AC" w14:paraId="714387F3" w14:textId="77777777" w:rsidTr="00885E4C">
        <w:trPr>
          <w:trHeight w:hRule="exact" w:val="504"/>
        </w:trPr>
        <w:tc>
          <w:tcPr>
            <w:tcW w:w="2604" w:type="dxa"/>
            <w:tcBorders>
              <w:top w:val="single" w:sz="4" w:space="0" w:color="000000"/>
              <w:left w:val="single" w:sz="4" w:space="0" w:color="000000"/>
              <w:bottom w:val="single" w:sz="4" w:space="0" w:color="000000"/>
              <w:right w:val="single" w:sz="4" w:space="0" w:color="000000"/>
            </w:tcBorders>
            <w:hideMark/>
          </w:tcPr>
          <w:p w14:paraId="372257CD" w14:textId="77777777" w:rsidR="00B30F40" w:rsidRPr="009636AC" w:rsidRDefault="00B30F40" w:rsidP="00885E4C">
            <w:pPr>
              <w:ind w:left="143"/>
              <w:rPr>
                <w:sz w:val="22"/>
                <w:szCs w:val="22"/>
              </w:rPr>
            </w:pPr>
            <w:r w:rsidRPr="009636AC">
              <w:rPr>
                <w:sz w:val="22"/>
                <w:szCs w:val="22"/>
              </w:rPr>
              <w:t>0-1</w:t>
            </w:r>
          </w:p>
        </w:tc>
        <w:tc>
          <w:tcPr>
            <w:tcW w:w="3218" w:type="dxa"/>
            <w:tcBorders>
              <w:top w:val="single" w:sz="4" w:space="0" w:color="000000"/>
              <w:left w:val="single" w:sz="4" w:space="0" w:color="000000"/>
              <w:bottom w:val="single" w:sz="4" w:space="0" w:color="000000"/>
              <w:right w:val="single" w:sz="4" w:space="0" w:color="000000"/>
            </w:tcBorders>
            <w:hideMark/>
          </w:tcPr>
          <w:p w14:paraId="3B8F2F2F" w14:textId="77777777" w:rsidR="00B30F40" w:rsidRPr="009636AC" w:rsidRDefault="00B30F40" w:rsidP="00885E4C">
            <w:pPr>
              <w:ind w:left="143"/>
              <w:rPr>
                <w:sz w:val="22"/>
                <w:szCs w:val="22"/>
              </w:rPr>
            </w:pPr>
            <w:r w:rsidRPr="009636AC">
              <w:rPr>
                <w:sz w:val="22"/>
                <w:szCs w:val="22"/>
              </w:rPr>
              <w:t>100 % af tidligere dosis</w:t>
            </w:r>
          </w:p>
        </w:tc>
        <w:tc>
          <w:tcPr>
            <w:tcW w:w="3221" w:type="dxa"/>
            <w:tcBorders>
              <w:top w:val="single" w:sz="4" w:space="0" w:color="000000"/>
              <w:left w:val="single" w:sz="4" w:space="0" w:color="000000"/>
              <w:bottom w:val="single" w:sz="4" w:space="0" w:color="000000"/>
              <w:right w:val="single" w:sz="4" w:space="0" w:color="000000"/>
            </w:tcBorders>
            <w:hideMark/>
          </w:tcPr>
          <w:p w14:paraId="7F12047F" w14:textId="77777777" w:rsidR="00B30F40" w:rsidRPr="009636AC" w:rsidRDefault="00B30F40" w:rsidP="00885E4C">
            <w:pPr>
              <w:ind w:left="143"/>
              <w:rPr>
                <w:sz w:val="22"/>
                <w:szCs w:val="22"/>
              </w:rPr>
            </w:pPr>
            <w:r w:rsidRPr="009636AC">
              <w:rPr>
                <w:sz w:val="22"/>
                <w:szCs w:val="22"/>
              </w:rPr>
              <w:t>100 % af tidligere dosis</w:t>
            </w:r>
          </w:p>
        </w:tc>
      </w:tr>
      <w:tr w:rsidR="00B30F40" w:rsidRPr="009636AC" w14:paraId="16154338" w14:textId="77777777" w:rsidTr="00885E4C">
        <w:trPr>
          <w:trHeight w:hRule="exact" w:val="504"/>
        </w:trPr>
        <w:tc>
          <w:tcPr>
            <w:tcW w:w="2604" w:type="dxa"/>
            <w:tcBorders>
              <w:top w:val="single" w:sz="4" w:space="0" w:color="000000"/>
              <w:left w:val="single" w:sz="4" w:space="0" w:color="000000"/>
              <w:bottom w:val="single" w:sz="4" w:space="0" w:color="000000"/>
              <w:right w:val="single" w:sz="4" w:space="0" w:color="000000"/>
            </w:tcBorders>
            <w:hideMark/>
          </w:tcPr>
          <w:p w14:paraId="46C37362" w14:textId="77777777" w:rsidR="00B30F40" w:rsidRPr="009636AC" w:rsidRDefault="00B30F40" w:rsidP="00885E4C">
            <w:pPr>
              <w:ind w:left="143"/>
              <w:rPr>
                <w:sz w:val="22"/>
                <w:szCs w:val="22"/>
              </w:rPr>
            </w:pPr>
            <w:r w:rsidRPr="009636AC">
              <w:rPr>
                <w:sz w:val="22"/>
                <w:szCs w:val="22"/>
              </w:rPr>
              <w:t>2</w:t>
            </w:r>
          </w:p>
        </w:tc>
        <w:tc>
          <w:tcPr>
            <w:tcW w:w="3218" w:type="dxa"/>
            <w:tcBorders>
              <w:top w:val="single" w:sz="4" w:space="0" w:color="000000"/>
              <w:left w:val="single" w:sz="4" w:space="0" w:color="000000"/>
              <w:bottom w:val="single" w:sz="4" w:space="0" w:color="000000"/>
              <w:right w:val="single" w:sz="4" w:space="0" w:color="000000"/>
            </w:tcBorders>
            <w:hideMark/>
          </w:tcPr>
          <w:p w14:paraId="532E450D" w14:textId="77777777" w:rsidR="00B30F40" w:rsidRPr="009636AC" w:rsidRDefault="00B30F40" w:rsidP="00885E4C">
            <w:pPr>
              <w:ind w:left="143"/>
              <w:rPr>
                <w:sz w:val="22"/>
                <w:szCs w:val="22"/>
              </w:rPr>
            </w:pPr>
            <w:r w:rsidRPr="009636AC">
              <w:rPr>
                <w:sz w:val="22"/>
                <w:szCs w:val="22"/>
              </w:rPr>
              <w:t>100 % af tidligere dosis</w:t>
            </w:r>
          </w:p>
        </w:tc>
        <w:tc>
          <w:tcPr>
            <w:tcW w:w="3221" w:type="dxa"/>
            <w:tcBorders>
              <w:top w:val="single" w:sz="4" w:space="0" w:color="000000"/>
              <w:left w:val="single" w:sz="4" w:space="0" w:color="000000"/>
              <w:bottom w:val="single" w:sz="4" w:space="0" w:color="000000"/>
              <w:right w:val="single" w:sz="4" w:space="0" w:color="000000"/>
            </w:tcBorders>
            <w:hideMark/>
          </w:tcPr>
          <w:p w14:paraId="311BE462" w14:textId="77777777" w:rsidR="00B30F40" w:rsidRPr="009636AC" w:rsidRDefault="00B30F40" w:rsidP="00885E4C">
            <w:pPr>
              <w:ind w:left="143"/>
              <w:rPr>
                <w:sz w:val="22"/>
                <w:szCs w:val="22"/>
              </w:rPr>
            </w:pPr>
            <w:r w:rsidRPr="009636AC">
              <w:rPr>
                <w:sz w:val="22"/>
                <w:szCs w:val="22"/>
              </w:rPr>
              <w:t>50 % af tidligere dosis</w:t>
            </w:r>
          </w:p>
        </w:tc>
      </w:tr>
    </w:tbl>
    <w:p w14:paraId="48C076FD" w14:textId="77777777" w:rsidR="00B30F40" w:rsidRPr="00A861DD" w:rsidRDefault="00B30F40" w:rsidP="00B30F40">
      <w:pPr>
        <w:tabs>
          <w:tab w:val="left" w:pos="851"/>
          <w:tab w:val="left" w:pos="993"/>
        </w:tabs>
        <w:ind w:left="851"/>
        <w:rPr>
          <w:sz w:val="24"/>
          <w:szCs w:val="24"/>
          <w:lang w:val="en-US"/>
        </w:rPr>
      </w:pPr>
      <w:r w:rsidRPr="00A861DD">
        <w:rPr>
          <w:sz w:val="24"/>
          <w:szCs w:val="24"/>
          <w:vertAlign w:val="superscript"/>
          <w:lang w:val="en-US"/>
        </w:rPr>
        <w:t>a</w:t>
      </w:r>
      <w:r w:rsidRPr="00A861DD">
        <w:rPr>
          <w:sz w:val="24"/>
          <w:szCs w:val="24"/>
          <w:vertAlign w:val="superscript"/>
          <w:lang w:val="en-US"/>
        </w:rPr>
        <w:tab/>
        <w:t xml:space="preserve"> </w:t>
      </w:r>
      <w:r w:rsidRPr="00A861DD">
        <w:rPr>
          <w:sz w:val="20"/>
          <w:lang w:val="en-US"/>
        </w:rPr>
        <w:t>National Cancer Institute Common Toxicity Criteria (CTC v 2.0; NCI 1998)</w:t>
      </w:r>
    </w:p>
    <w:p w14:paraId="1AA191DE" w14:textId="77777777" w:rsidR="00B30F40" w:rsidRPr="00A861DD" w:rsidRDefault="00B30F40" w:rsidP="00B30F40">
      <w:pPr>
        <w:tabs>
          <w:tab w:val="left" w:pos="851"/>
        </w:tabs>
        <w:ind w:left="851"/>
        <w:rPr>
          <w:sz w:val="24"/>
          <w:szCs w:val="24"/>
          <w:lang w:val="en-US"/>
        </w:rPr>
      </w:pPr>
    </w:p>
    <w:p w14:paraId="4365AFD7" w14:textId="77777777" w:rsidR="00B30F40" w:rsidRPr="009636AC" w:rsidRDefault="00B30F40" w:rsidP="00B30F40">
      <w:pPr>
        <w:ind w:left="851"/>
        <w:rPr>
          <w:sz w:val="24"/>
          <w:szCs w:val="24"/>
        </w:rPr>
      </w:pPr>
      <w:r w:rsidRPr="009636AC">
        <w:rPr>
          <w:sz w:val="24"/>
          <w:szCs w:val="24"/>
        </w:rPr>
        <w:t>Behandlingen med Pemetrexed "Zentiva" skal afbrydes, hvis patienten efter to dosisreduktioner oplever hæmatologisk eller ikke-hæmatologisk toksicitet af grad 3 eller 4 eller omgående, hvis der observeres neurotoksicitet af grad 3 eller 4.</w:t>
      </w:r>
    </w:p>
    <w:p w14:paraId="2F179BCE" w14:textId="77777777" w:rsidR="00B30F40" w:rsidRPr="009636AC" w:rsidRDefault="00B30F40" w:rsidP="00B30F40">
      <w:pPr>
        <w:ind w:left="851"/>
        <w:rPr>
          <w:sz w:val="24"/>
          <w:szCs w:val="24"/>
        </w:rPr>
      </w:pPr>
    </w:p>
    <w:p w14:paraId="37C0F95D" w14:textId="77777777" w:rsidR="00B30F40" w:rsidRPr="009636AC" w:rsidRDefault="00B30F40" w:rsidP="00B30F40">
      <w:pPr>
        <w:ind w:left="851"/>
        <w:rPr>
          <w:i/>
          <w:sz w:val="24"/>
          <w:szCs w:val="24"/>
          <w:u w:val="single"/>
        </w:rPr>
      </w:pPr>
      <w:r w:rsidRPr="009636AC">
        <w:rPr>
          <w:i/>
          <w:sz w:val="24"/>
          <w:szCs w:val="24"/>
          <w:u w:val="single"/>
        </w:rPr>
        <w:t>Særlige populationer</w:t>
      </w:r>
    </w:p>
    <w:p w14:paraId="012B423A" w14:textId="77777777" w:rsidR="00B30F40" w:rsidRPr="009636AC" w:rsidRDefault="00B30F40" w:rsidP="00B30F40">
      <w:pPr>
        <w:ind w:left="851"/>
        <w:rPr>
          <w:i/>
          <w:sz w:val="24"/>
          <w:szCs w:val="24"/>
        </w:rPr>
      </w:pPr>
      <w:r w:rsidRPr="009636AC">
        <w:rPr>
          <w:i/>
          <w:sz w:val="24"/>
          <w:szCs w:val="24"/>
        </w:rPr>
        <w:t>Ældre</w:t>
      </w:r>
    </w:p>
    <w:p w14:paraId="73984B96" w14:textId="77777777" w:rsidR="00B30F40" w:rsidRPr="009636AC" w:rsidRDefault="00B30F40" w:rsidP="00B30F40">
      <w:pPr>
        <w:ind w:left="851"/>
        <w:rPr>
          <w:sz w:val="24"/>
          <w:szCs w:val="24"/>
        </w:rPr>
      </w:pPr>
      <w:r w:rsidRPr="009636AC">
        <w:rPr>
          <w:sz w:val="24"/>
          <w:szCs w:val="24"/>
        </w:rPr>
        <w:t>Der er i kliniske studier ikke fundet tegn på, at patienter på 65 år eller ældre har forøget risiko for bivirkninger sammenlignet med patienter under 65 år. Der kræves ingen særlige dosisreduktioner ud over de, der anbefales til alle patienter.</w:t>
      </w:r>
    </w:p>
    <w:p w14:paraId="3498B341" w14:textId="77777777" w:rsidR="00B30F40" w:rsidRPr="009636AC" w:rsidRDefault="00B30F40" w:rsidP="00B30F40">
      <w:pPr>
        <w:ind w:left="851"/>
        <w:rPr>
          <w:sz w:val="24"/>
          <w:szCs w:val="24"/>
        </w:rPr>
      </w:pPr>
    </w:p>
    <w:p w14:paraId="61218A12" w14:textId="77777777" w:rsidR="00B30F40" w:rsidRPr="009636AC" w:rsidRDefault="00B30F40" w:rsidP="00B30F40">
      <w:pPr>
        <w:ind w:left="851"/>
        <w:rPr>
          <w:i/>
          <w:sz w:val="24"/>
          <w:szCs w:val="24"/>
        </w:rPr>
      </w:pPr>
      <w:r w:rsidRPr="009636AC">
        <w:rPr>
          <w:i/>
          <w:sz w:val="24"/>
          <w:szCs w:val="24"/>
        </w:rPr>
        <w:t>Pædiatrisk population</w:t>
      </w:r>
    </w:p>
    <w:p w14:paraId="5EBABCFD" w14:textId="77777777" w:rsidR="00B30F40" w:rsidRPr="009636AC" w:rsidRDefault="00B30F40" w:rsidP="00B30F40">
      <w:pPr>
        <w:ind w:left="851"/>
        <w:rPr>
          <w:sz w:val="24"/>
          <w:szCs w:val="24"/>
        </w:rPr>
      </w:pPr>
      <w:r w:rsidRPr="009636AC">
        <w:rPr>
          <w:sz w:val="24"/>
          <w:szCs w:val="24"/>
        </w:rPr>
        <w:t>Det er ikke relevant at bruge Pemetrexed "Zentiva" til malignt pleuramesoteliom og ikke-småcellet lungecancer i den pædiatriske population.</w:t>
      </w:r>
    </w:p>
    <w:p w14:paraId="3CF117B1" w14:textId="77777777" w:rsidR="00B30F40" w:rsidRPr="009636AC" w:rsidRDefault="00B30F40" w:rsidP="00B30F40">
      <w:pPr>
        <w:ind w:left="851"/>
        <w:rPr>
          <w:sz w:val="24"/>
          <w:szCs w:val="24"/>
        </w:rPr>
      </w:pPr>
    </w:p>
    <w:p w14:paraId="0826BCB8" w14:textId="77777777" w:rsidR="00B30F40" w:rsidRPr="009636AC" w:rsidRDefault="00B30F40" w:rsidP="00B30F40">
      <w:pPr>
        <w:ind w:left="851"/>
        <w:rPr>
          <w:i/>
          <w:iCs/>
          <w:sz w:val="24"/>
          <w:szCs w:val="24"/>
        </w:rPr>
      </w:pPr>
      <w:r>
        <w:rPr>
          <w:i/>
          <w:sz w:val="24"/>
          <w:szCs w:val="24"/>
        </w:rPr>
        <w:t>N</w:t>
      </w:r>
      <w:r w:rsidRPr="009636AC">
        <w:rPr>
          <w:i/>
          <w:sz w:val="24"/>
          <w:szCs w:val="24"/>
        </w:rPr>
        <w:t xml:space="preserve">edsat nyrefunktion </w:t>
      </w:r>
      <w:r w:rsidRPr="009636AC">
        <w:rPr>
          <w:sz w:val="24"/>
          <w:szCs w:val="24"/>
        </w:rPr>
        <w:t>(standardformel, der er udviklet af Cockcroft og Gault, eller glomerulær filtrationshastighed baseret på Tc99m-DPTA-serum-clearancemetoden)</w:t>
      </w:r>
    </w:p>
    <w:p w14:paraId="51228309" w14:textId="77777777" w:rsidR="00B30F40" w:rsidRPr="009636AC" w:rsidRDefault="00B30F40" w:rsidP="00B30F40">
      <w:pPr>
        <w:ind w:left="851"/>
        <w:rPr>
          <w:sz w:val="24"/>
          <w:szCs w:val="24"/>
        </w:rPr>
      </w:pPr>
    </w:p>
    <w:p w14:paraId="3409BFD8" w14:textId="77777777" w:rsidR="00B30F40" w:rsidRPr="009636AC" w:rsidRDefault="00B30F40" w:rsidP="00B30F40">
      <w:pPr>
        <w:ind w:left="851"/>
        <w:rPr>
          <w:sz w:val="24"/>
          <w:szCs w:val="24"/>
        </w:rPr>
      </w:pPr>
      <w:r w:rsidRPr="009636AC">
        <w:rPr>
          <w:sz w:val="24"/>
          <w:szCs w:val="24"/>
        </w:rPr>
        <w:t>Pemetrexed udskilles primært uforandret via nyrerne. I kliniske studier krævede patienter med en kreatinin-clearance på ≥ 45 ml/min ingen særlige dosisjusteringer ud over de, der anbefales til alle patienter. Der foreligger ikke tilstrækkelige data om anvendelse af pemetrexed til patienter med en kreatinin-clearance under 45 ml/min, og pemetrexed anbefales derfor ikke til disse patienter (se pkt. 4.4).</w:t>
      </w:r>
    </w:p>
    <w:p w14:paraId="7511978F" w14:textId="77777777" w:rsidR="00B30F40" w:rsidRPr="009636AC" w:rsidRDefault="00B30F40" w:rsidP="00B30F40">
      <w:pPr>
        <w:ind w:left="851"/>
        <w:rPr>
          <w:sz w:val="24"/>
          <w:szCs w:val="24"/>
        </w:rPr>
      </w:pPr>
    </w:p>
    <w:p w14:paraId="3EF03DD6" w14:textId="77777777" w:rsidR="00B30F40" w:rsidRPr="009636AC" w:rsidRDefault="00B30F40" w:rsidP="00B30F40">
      <w:pPr>
        <w:ind w:left="851"/>
        <w:rPr>
          <w:i/>
          <w:sz w:val="24"/>
          <w:szCs w:val="24"/>
        </w:rPr>
      </w:pPr>
      <w:r>
        <w:rPr>
          <w:i/>
          <w:sz w:val="24"/>
          <w:szCs w:val="24"/>
        </w:rPr>
        <w:lastRenderedPageBreak/>
        <w:t>N</w:t>
      </w:r>
      <w:r w:rsidRPr="009636AC">
        <w:rPr>
          <w:i/>
          <w:sz w:val="24"/>
          <w:szCs w:val="24"/>
        </w:rPr>
        <w:t>edsat leverfunktion</w:t>
      </w:r>
    </w:p>
    <w:p w14:paraId="2181225F" w14:textId="77777777" w:rsidR="00B30F40" w:rsidRPr="009636AC" w:rsidRDefault="00B30F40" w:rsidP="00B30F40">
      <w:pPr>
        <w:ind w:left="851"/>
        <w:rPr>
          <w:sz w:val="24"/>
          <w:szCs w:val="24"/>
        </w:rPr>
      </w:pPr>
      <w:r w:rsidRPr="009636AC">
        <w:rPr>
          <w:sz w:val="24"/>
          <w:szCs w:val="24"/>
        </w:rPr>
        <w:t>Der er ikke fundet nogen sammenhæng mellem ASAT, ALAT eller total-bilirubin og pemetrexeds farmakokinetik. Der er dog ikke foretaget specifikke studier med patienter med nedsat leverfunktion såsom bilirubin &gt; 1,5 gange den normale øvre grænseværdi og/eller aminotransferase &gt; 3,0 gange den normale øvre grænseværdi (uden forekomst af levermetastaser) eller &gt; 5,0 gange den normale øvre grænseværdi (med forekomst af levermetastaser).</w:t>
      </w:r>
    </w:p>
    <w:p w14:paraId="72105201" w14:textId="77777777" w:rsidR="00B30F40" w:rsidRPr="009636AC" w:rsidRDefault="00B30F40" w:rsidP="00B30F40">
      <w:pPr>
        <w:ind w:left="851"/>
        <w:rPr>
          <w:sz w:val="24"/>
          <w:szCs w:val="24"/>
        </w:rPr>
      </w:pPr>
    </w:p>
    <w:p w14:paraId="7726D2BE" w14:textId="77777777" w:rsidR="00B30F40" w:rsidRPr="009636AC" w:rsidRDefault="00B30F40" w:rsidP="00B30F40">
      <w:pPr>
        <w:ind w:left="851"/>
        <w:rPr>
          <w:b/>
          <w:sz w:val="24"/>
          <w:szCs w:val="24"/>
        </w:rPr>
      </w:pPr>
      <w:r w:rsidRPr="009636AC">
        <w:rPr>
          <w:b/>
          <w:sz w:val="24"/>
          <w:szCs w:val="24"/>
        </w:rPr>
        <w:t>Administration</w:t>
      </w:r>
    </w:p>
    <w:p w14:paraId="276FAFE5" w14:textId="77777777" w:rsidR="00B30F40" w:rsidRPr="009636AC" w:rsidRDefault="00B30F40" w:rsidP="00B30F40">
      <w:pPr>
        <w:ind w:left="851"/>
        <w:rPr>
          <w:sz w:val="24"/>
          <w:szCs w:val="24"/>
        </w:rPr>
      </w:pPr>
      <w:r w:rsidRPr="009636AC">
        <w:rPr>
          <w:sz w:val="24"/>
          <w:szCs w:val="24"/>
        </w:rPr>
        <w:t xml:space="preserve">Pemetrexed skal administreres som intravenøs infusion over 10 minutter på den første dag i hver 21-dages serie. </w:t>
      </w:r>
    </w:p>
    <w:p w14:paraId="02BBBB30" w14:textId="77777777" w:rsidR="00B30F40" w:rsidRPr="009636AC" w:rsidRDefault="00B30F40" w:rsidP="00B30F40">
      <w:pPr>
        <w:tabs>
          <w:tab w:val="left" w:pos="851"/>
        </w:tabs>
        <w:ind w:left="851"/>
        <w:rPr>
          <w:sz w:val="24"/>
          <w:szCs w:val="24"/>
        </w:rPr>
      </w:pPr>
    </w:p>
    <w:p w14:paraId="610CCD41" w14:textId="77777777" w:rsidR="009260DE" w:rsidRPr="009636AC" w:rsidRDefault="009260DE" w:rsidP="00B30F40">
      <w:pPr>
        <w:tabs>
          <w:tab w:val="left" w:pos="851"/>
        </w:tabs>
        <w:rPr>
          <w:sz w:val="24"/>
          <w:szCs w:val="24"/>
        </w:rPr>
      </w:pPr>
    </w:p>
    <w:p w14:paraId="432B2BCD" w14:textId="77777777" w:rsidR="009260DE" w:rsidRPr="009636AC" w:rsidRDefault="009260DE" w:rsidP="009260DE">
      <w:pPr>
        <w:tabs>
          <w:tab w:val="left" w:pos="851"/>
        </w:tabs>
        <w:ind w:left="851" w:hanging="851"/>
        <w:rPr>
          <w:b/>
          <w:sz w:val="24"/>
          <w:szCs w:val="24"/>
        </w:rPr>
      </w:pPr>
      <w:r w:rsidRPr="009636AC">
        <w:rPr>
          <w:b/>
          <w:sz w:val="24"/>
          <w:szCs w:val="24"/>
        </w:rPr>
        <w:t>4.3</w:t>
      </w:r>
      <w:r w:rsidRPr="009636AC">
        <w:rPr>
          <w:b/>
          <w:sz w:val="24"/>
          <w:szCs w:val="24"/>
        </w:rPr>
        <w:tab/>
        <w:t>Kontraindikationer</w:t>
      </w:r>
    </w:p>
    <w:p w14:paraId="4035F2C0" w14:textId="77777777" w:rsidR="00441599" w:rsidRPr="009636AC" w:rsidRDefault="00441599" w:rsidP="00222CED">
      <w:pPr>
        <w:ind w:left="851"/>
        <w:rPr>
          <w:sz w:val="24"/>
          <w:szCs w:val="24"/>
        </w:rPr>
      </w:pPr>
      <w:r w:rsidRPr="009636AC">
        <w:rPr>
          <w:sz w:val="24"/>
          <w:szCs w:val="24"/>
        </w:rPr>
        <w:t>Overfølsomhed over for det aktive stof eller over for et eller flere af hjælpestofferne anført i pkt. 6.1.</w:t>
      </w:r>
    </w:p>
    <w:p w14:paraId="70AE89E3" w14:textId="77777777" w:rsidR="00441599" w:rsidRPr="009636AC" w:rsidRDefault="00441599" w:rsidP="00222CED">
      <w:pPr>
        <w:ind w:left="851"/>
        <w:rPr>
          <w:sz w:val="24"/>
          <w:szCs w:val="24"/>
        </w:rPr>
      </w:pPr>
      <w:r w:rsidRPr="009636AC">
        <w:rPr>
          <w:sz w:val="24"/>
          <w:szCs w:val="24"/>
        </w:rPr>
        <w:t>Amning (se pkt. 4.6).</w:t>
      </w:r>
    </w:p>
    <w:p w14:paraId="72ECC565" w14:textId="77777777" w:rsidR="00441599" w:rsidRPr="009636AC" w:rsidRDefault="00441599" w:rsidP="00222CED">
      <w:pPr>
        <w:ind w:left="851"/>
        <w:rPr>
          <w:sz w:val="24"/>
          <w:szCs w:val="24"/>
        </w:rPr>
      </w:pPr>
      <w:r w:rsidRPr="009636AC">
        <w:rPr>
          <w:sz w:val="24"/>
          <w:szCs w:val="24"/>
        </w:rPr>
        <w:t>Samtidig brug af vaccination mod gul feber (se pkt. 4.5).</w:t>
      </w:r>
    </w:p>
    <w:p w14:paraId="22BB160C" w14:textId="77777777" w:rsidR="009260DE" w:rsidRPr="009636AC" w:rsidRDefault="009260DE" w:rsidP="009260DE">
      <w:pPr>
        <w:tabs>
          <w:tab w:val="left" w:pos="851"/>
        </w:tabs>
        <w:ind w:left="851"/>
        <w:rPr>
          <w:sz w:val="24"/>
          <w:szCs w:val="24"/>
        </w:rPr>
      </w:pPr>
    </w:p>
    <w:p w14:paraId="7E4987DF" w14:textId="77777777" w:rsidR="009260DE" w:rsidRPr="009636AC" w:rsidRDefault="009260DE" w:rsidP="009260DE">
      <w:pPr>
        <w:tabs>
          <w:tab w:val="left" w:pos="851"/>
        </w:tabs>
        <w:ind w:left="851" w:hanging="851"/>
        <w:rPr>
          <w:b/>
          <w:sz w:val="24"/>
          <w:szCs w:val="24"/>
        </w:rPr>
      </w:pPr>
      <w:r w:rsidRPr="009636AC">
        <w:rPr>
          <w:b/>
          <w:sz w:val="24"/>
          <w:szCs w:val="24"/>
        </w:rPr>
        <w:t>4.4</w:t>
      </w:r>
      <w:r w:rsidRPr="009636AC">
        <w:rPr>
          <w:b/>
          <w:sz w:val="24"/>
          <w:szCs w:val="24"/>
        </w:rPr>
        <w:tab/>
        <w:t>Særlige advarsler og forsigtighedsregler vedrørende brugen</w:t>
      </w:r>
    </w:p>
    <w:p w14:paraId="4C69D06D" w14:textId="77777777" w:rsidR="00B30F40" w:rsidRPr="009636AC" w:rsidRDefault="00B30F40" w:rsidP="00B30F40">
      <w:pPr>
        <w:ind w:left="851"/>
        <w:rPr>
          <w:sz w:val="24"/>
          <w:szCs w:val="24"/>
        </w:rPr>
      </w:pPr>
      <w:r w:rsidRPr="009636AC">
        <w:rPr>
          <w:sz w:val="24"/>
          <w:szCs w:val="24"/>
        </w:rPr>
        <w:t>Pemetrexed kan hæmme knoglemarvsfunktionen, hvilket kan ytre sig som neutropeni, trombocytopeni og anæmi (eller pancytopeni) (se pkt. 4.8). Myelosuppression er normalt den dosisbegrænsende toksicitet. Under behandlingen skal patienten monitoreres for myelosuppression, og pemetrexed må ikke gives til patienter, før det absolutte neutrofiltal (ANC) igen er ≥ 1.500 celler/mm</w:t>
      </w:r>
      <w:r w:rsidRPr="009636AC">
        <w:rPr>
          <w:sz w:val="24"/>
          <w:szCs w:val="24"/>
          <w:vertAlign w:val="superscript"/>
        </w:rPr>
        <w:t>3</w:t>
      </w:r>
      <w:r w:rsidRPr="009636AC">
        <w:rPr>
          <w:sz w:val="24"/>
          <w:szCs w:val="24"/>
        </w:rPr>
        <w:t>, og trombocyttallet igen er ≥ 100.000 celler/mm</w:t>
      </w:r>
      <w:r w:rsidRPr="009636AC">
        <w:rPr>
          <w:sz w:val="24"/>
          <w:szCs w:val="24"/>
          <w:vertAlign w:val="superscript"/>
        </w:rPr>
        <w:t>3</w:t>
      </w:r>
      <w:r w:rsidRPr="009636AC">
        <w:rPr>
          <w:sz w:val="24"/>
          <w:szCs w:val="24"/>
        </w:rPr>
        <w:t>. Dosisreduktioner for efterfølgende serier baseres på ANC-nadir, trombocyttal og maksimal ikke-hæmatologisk toksicitet, som er observeret under den foregående serie (se pkt. 4.2).</w:t>
      </w:r>
    </w:p>
    <w:p w14:paraId="126DCB51" w14:textId="77777777" w:rsidR="00B30F40" w:rsidRPr="009636AC" w:rsidRDefault="00B30F40" w:rsidP="00B30F40">
      <w:pPr>
        <w:ind w:left="851"/>
        <w:rPr>
          <w:sz w:val="24"/>
          <w:szCs w:val="24"/>
        </w:rPr>
      </w:pPr>
    </w:p>
    <w:p w14:paraId="191D98D4" w14:textId="77777777" w:rsidR="00B30F40" w:rsidRPr="009636AC" w:rsidRDefault="00B30F40" w:rsidP="00B30F40">
      <w:pPr>
        <w:ind w:left="851"/>
        <w:rPr>
          <w:sz w:val="24"/>
          <w:szCs w:val="24"/>
        </w:rPr>
      </w:pPr>
      <w:r w:rsidRPr="009636AC">
        <w:rPr>
          <w:sz w:val="24"/>
          <w:szCs w:val="24"/>
        </w:rPr>
        <w:t>Der blev observeret en mindre toksicitet og en reduktion i antallet af hæmatologiske og ikke-hæmatologiske toksiciteter af grad 3/4 såsom neutropeni, febril neutropeni og infektion med neutropeni af grad 3/4, når patienterne var i forbehandling med folsyre og B</w:t>
      </w:r>
      <w:r w:rsidRPr="009636AC">
        <w:rPr>
          <w:sz w:val="24"/>
          <w:szCs w:val="24"/>
          <w:vertAlign w:val="subscript"/>
        </w:rPr>
        <w:t>12</w:t>
      </w:r>
      <w:r w:rsidRPr="009636AC">
        <w:rPr>
          <w:sz w:val="24"/>
          <w:szCs w:val="24"/>
        </w:rPr>
        <w:t>-vitamin. Alle patienter, der skal behandles med pemetrexed, skal derfor bedes om at tage et profylaktisk tilskud af folsyre og B</w:t>
      </w:r>
      <w:r w:rsidRPr="009636AC">
        <w:rPr>
          <w:sz w:val="24"/>
          <w:szCs w:val="24"/>
          <w:vertAlign w:val="subscript"/>
        </w:rPr>
        <w:t>12</w:t>
      </w:r>
      <w:r w:rsidRPr="009636AC">
        <w:rPr>
          <w:sz w:val="24"/>
          <w:szCs w:val="24"/>
        </w:rPr>
        <w:t>-vitamin for at reducere den behandlingsrelaterede toksicitet (se pkt. 4.2).</w:t>
      </w:r>
    </w:p>
    <w:p w14:paraId="1F7CAB8C" w14:textId="77777777" w:rsidR="00B30F40" w:rsidRPr="009636AC" w:rsidRDefault="00B30F40" w:rsidP="00B30F40">
      <w:pPr>
        <w:ind w:left="851"/>
        <w:rPr>
          <w:sz w:val="24"/>
          <w:szCs w:val="24"/>
        </w:rPr>
      </w:pPr>
    </w:p>
    <w:p w14:paraId="0CCDEBFC" w14:textId="77777777" w:rsidR="00B30F40" w:rsidRPr="009636AC" w:rsidRDefault="00B30F40" w:rsidP="00B30F40">
      <w:pPr>
        <w:ind w:left="851"/>
        <w:rPr>
          <w:sz w:val="24"/>
          <w:szCs w:val="24"/>
        </w:rPr>
      </w:pPr>
      <w:r w:rsidRPr="009636AC">
        <w:rPr>
          <w:sz w:val="24"/>
          <w:szCs w:val="24"/>
        </w:rPr>
        <w:t>Der er rapporteret om hudreaktioner hos patienter, som ikke modtog forbehandling med et kortikosteroidpræparat. Forbehandling med dexamethason (eller tilsvarende) kan reducere incidensen og sværhedsgraden af hudreaktioner (se pkt. 4.2).</w:t>
      </w:r>
    </w:p>
    <w:p w14:paraId="52E2D905" w14:textId="77777777" w:rsidR="00B30F40" w:rsidRPr="009636AC" w:rsidRDefault="00B30F40" w:rsidP="00B30F40">
      <w:pPr>
        <w:ind w:left="851"/>
        <w:rPr>
          <w:sz w:val="24"/>
          <w:szCs w:val="24"/>
        </w:rPr>
      </w:pPr>
    </w:p>
    <w:p w14:paraId="63AC70AD" w14:textId="77777777" w:rsidR="00B30F40" w:rsidRPr="009636AC" w:rsidRDefault="00B30F40" w:rsidP="00B30F40">
      <w:pPr>
        <w:ind w:left="851"/>
        <w:rPr>
          <w:sz w:val="24"/>
          <w:szCs w:val="24"/>
        </w:rPr>
      </w:pPr>
      <w:r w:rsidRPr="009636AC">
        <w:rPr>
          <w:sz w:val="24"/>
          <w:szCs w:val="24"/>
        </w:rPr>
        <w:t>Der er ikke foretaget studier med tilstrækkeligt mange patienter med en kreatinin-clearance på under 45 ml/min. Pemetrexed anbefales derfor ikke til patienter med en kreatinin-clearance på &lt; 45 ml/min (se pkt. 4.2).</w:t>
      </w:r>
    </w:p>
    <w:p w14:paraId="696B9136" w14:textId="77777777" w:rsidR="00B30F40" w:rsidRPr="009636AC" w:rsidRDefault="00B30F40" w:rsidP="00B30F40">
      <w:pPr>
        <w:ind w:left="851"/>
        <w:rPr>
          <w:sz w:val="24"/>
          <w:szCs w:val="24"/>
        </w:rPr>
      </w:pPr>
    </w:p>
    <w:p w14:paraId="5EAEA1D4" w14:textId="77777777" w:rsidR="00B30F40" w:rsidRPr="009636AC" w:rsidRDefault="00B30F40" w:rsidP="00B30F40">
      <w:pPr>
        <w:ind w:left="851"/>
        <w:rPr>
          <w:sz w:val="24"/>
          <w:szCs w:val="24"/>
        </w:rPr>
      </w:pPr>
      <w:r w:rsidRPr="009636AC">
        <w:rPr>
          <w:sz w:val="24"/>
          <w:szCs w:val="24"/>
        </w:rPr>
        <w:t>Patienter med let til moderat nyreinsufficiens (kreatinin-clearance på 45-79 ml/min) skal undgå at tage non-steroide anti-inflammatoriske lægemidler (NSAID-præparater) såsom ibuprofen og acetylsalicylsyre (&gt;1,3 g daglig) i mindst 2 dage før, på dagen for og i mindst 2 dage efter indgift af pemetrexed (se pkt. 4.5).</w:t>
      </w:r>
    </w:p>
    <w:p w14:paraId="6C831A5B" w14:textId="77777777" w:rsidR="00B30F40" w:rsidRPr="009636AC" w:rsidRDefault="00B30F40" w:rsidP="00B30F40">
      <w:pPr>
        <w:ind w:left="851"/>
        <w:rPr>
          <w:sz w:val="24"/>
          <w:szCs w:val="24"/>
        </w:rPr>
      </w:pPr>
    </w:p>
    <w:p w14:paraId="7C96F4D0" w14:textId="77777777" w:rsidR="00B30F40" w:rsidRPr="009636AC" w:rsidRDefault="00B30F40" w:rsidP="00B30F40">
      <w:pPr>
        <w:ind w:left="851"/>
        <w:rPr>
          <w:sz w:val="24"/>
          <w:szCs w:val="24"/>
        </w:rPr>
      </w:pPr>
      <w:r w:rsidRPr="009636AC">
        <w:rPr>
          <w:sz w:val="24"/>
          <w:szCs w:val="24"/>
        </w:rPr>
        <w:t>Hos patienter med let til moderat nyreinsufficiens, som er egnet til behandling med pemetrexed, skal behandling med NSAID-præparater med en lang halveringstid afbrydes mindst 5 dage før, på dagen for og i mindst 2 dage efter indgift af pemetrexed (se pkt. 4.5).</w:t>
      </w:r>
    </w:p>
    <w:p w14:paraId="463AD529" w14:textId="77777777" w:rsidR="00B30F40" w:rsidRPr="009636AC" w:rsidRDefault="00B30F40" w:rsidP="00B30F40">
      <w:pPr>
        <w:ind w:left="851"/>
        <w:rPr>
          <w:sz w:val="24"/>
          <w:szCs w:val="24"/>
        </w:rPr>
      </w:pPr>
    </w:p>
    <w:p w14:paraId="5A105AA3" w14:textId="77777777" w:rsidR="00B30F40" w:rsidRPr="009636AC" w:rsidRDefault="00B30F40" w:rsidP="00B30F40">
      <w:pPr>
        <w:ind w:left="851"/>
        <w:rPr>
          <w:sz w:val="24"/>
          <w:szCs w:val="24"/>
        </w:rPr>
      </w:pPr>
      <w:r w:rsidRPr="009636AC">
        <w:rPr>
          <w:sz w:val="24"/>
          <w:szCs w:val="24"/>
        </w:rPr>
        <w:t>Der er rapporteret om alvorlige nyrepåvirkninger, inklusive akut nyresvigt, med pemetrexed både som eneste lægemiddel, og når det blev brugt i kombinationsbehandling med andre cytostatika. Mange af de patienter, der oplevede disse bivirkninger, havde underliggende risikofaktorer for udvikling af nyrepåvirkninger inklusive dehydrering, tidligere hypertension eller diabetes. Nefrogen diabetes insipidus og renal tubulær nekrose blev også indberettet efter markedsføring af lægemidlet både med pemetrexed alene og i kombination med andre cytostatika. De fleste af disse bivirkninger forsvandt efter seponering af pemetrexed. Patienterne bør overvåges regelmæssigt for akut tubulær nekrose, nedsat nyrefunktion og tegn og symptomer på nefrogen diabetes insipidus (f.eks. hypernatriæmi).</w:t>
      </w:r>
    </w:p>
    <w:p w14:paraId="407209C3" w14:textId="77777777" w:rsidR="00B30F40" w:rsidRPr="009636AC" w:rsidRDefault="00B30F40" w:rsidP="00B30F40">
      <w:pPr>
        <w:ind w:left="851"/>
        <w:rPr>
          <w:sz w:val="24"/>
          <w:szCs w:val="24"/>
        </w:rPr>
      </w:pPr>
    </w:p>
    <w:p w14:paraId="71ED62EA" w14:textId="77777777" w:rsidR="00B30F40" w:rsidRPr="009636AC" w:rsidRDefault="00B30F40" w:rsidP="00B30F40">
      <w:pPr>
        <w:ind w:left="851"/>
        <w:rPr>
          <w:sz w:val="24"/>
          <w:szCs w:val="24"/>
        </w:rPr>
      </w:pPr>
      <w:r w:rsidRPr="009636AC">
        <w:rPr>
          <w:sz w:val="24"/>
          <w:szCs w:val="24"/>
        </w:rPr>
        <w:t>Effekten af ekstracellulærvæske, såsom pleuraeffusion eller ascites, på pemetrexed er ikke fuldt defineret. Et pemetrexed fase 2-studie med 31 patienter med solide tumorer og stabil ekstracellulærvæske viste ingen forskel i pemetrexeds dosis-normaliserede plasmakoncentrationer eller clearance sammenlignet med patienter uden ekstracellulære væskeansamlinger. Derfor bør drænage af ekstracellulære væskeansamlinger inden behandling med pemetrexed overvejes, men er muligvis ikke nødvendig.</w:t>
      </w:r>
    </w:p>
    <w:p w14:paraId="3AF8AC7C" w14:textId="77777777" w:rsidR="00B30F40" w:rsidRPr="009636AC" w:rsidRDefault="00B30F40" w:rsidP="00B30F40">
      <w:pPr>
        <w:ind w:left="851"/>
        <w:rPr>
          <w:sz w:val="24"/>
          <w:szCs w:val="24"/>
        </w:rPr>
      </w:pPr>
    </w:p>
    <w:p w14:paraId="70FDE616" w14:textId="77777777" w:rsidR="00B30F40" w:rsidRPr="009636AC" w:rsidRDefault="00B30F40" w:rsidP="00B30F40">
      <w:pPr>
        <w:ind w:left="851"/>
        <w:rPr>
          <w:sz w:val="24"/>
          <w:szCs w:val="24"/>
        </w:rPr>
      </w:pPr>
      <w:r w:rsidRPr="009636AC">
        <w:rPr>
          <w:sz w:val="24"/>
          <w:szCs w:val="24"/>
        </w:rPr>
        <w:t>Grundet den gastrointestinale toksicitet af pemetrexed i kombinationsbehandling med cisplatin forekommer der observationer på svær dehydrering. Patienter skal derfor have modtaget passende antiemetisk behandling og relevant hydrering inden og/eller efter behandlingen.</w:t>
      </w:r>
    </w:p>
    <w:p w14:paraId="5770E06A" w14:textId="77777777" w:rsidR="00B30F40" w:rsidRPr="009636AC" w:rsidRDefault="00B30F40" w:rsidP="00B30F40">
      <w:pPr>
        <w:ind w:left="851"/>
        <w:rPr>
          <w:sz w:val="24"/>
          <w:szCs w:val="24"/>
        </w:rPr>
      </w:pPr>
    </w:p>
    <w:p w14:paraId="205E1741" w14:textId="77777777" w:rsidR="00B30F40" w:rsidRPr="009636AC" w:rsidRDefault="00B30F40" w:rsidP="00B30F40">
      <w:pPr>
        <w:ind w:left="851"/>
        <w:rPr>
          <w:sz w:val="24"/>
          <w:szCs w:val="24"/>
        </w:rPr>
      </w:pPr>
      <w:r w:rsidRPr="009636AC">
        <w:rPr>
          <w:sz w:val="24"/>
          <w:szCs w:val="24"/>
        </w:rPr>
        <w:t>Under kliniske studier med pemetrexed er der ikke almindeligt rapporteret om svære kardiovaskulære hændelser herunder myokardieinfarkt og cerebrovaskulære hændelser sædvanligvis når pemetrexed gives i kombination med et andet cytotoksisk lægemiddelstof. Størstedelen af de patienter, hvor disse hændelser er observeret, havde allerede kardiovaskulære risikofaktorer (se pkt. 4.8).</w:t>
      </w:r>
    </w:p>
    <w:p w14:paraId="54AEDCCC" w14:textId="77777777" w:rsidR="00B30F40" w:rsidRPr="009636AC" w:rsidRDefault="00B30F40" w:rsidP="00B30F40">
      <w:pPr>
        <w:ind w:left="851"/>
        <w:rPr>
          <w:sz w:val="24"/>
          <w:szCs w:val="24"/>
        </w:rPr>
      </w:pPr>
    </w:p>
    <w:p w14:paraId="53596330" w14:textId="77777777" w:rsidR="00B30F40" w:rsidRPr="009636AC" w:rsidRDefault="00B30F40" w:rsidP="00B30F40">
      <w:pPr>
        <w:ind w:left="851"/>
        <w:rPr>
          <w:sz w:val="24"/>
          <w:szCs w:val="24"/>
        </w:rPr>
      </w:pPr>
      <w:r w:rsidRPr="009636AC">
        <w:rPr>
          <w:sz w:val="24"/>
          <w:szCs w:val="24"/>
        </w:rPr>
        <w:t>Svækkelse af immunsystemet er almindelig hos kræftpatienter. Som et resultat heraf frarådes samtidig indgift af levende svækkede vacciner (se pkt. 4.3 og 4.5).</w:t>
      </w:r>
    </w:p>
    <w:p w14:paraId="273F038D" w14:textId="77777777" w:rsidR="00B30F40" w:rsidRPr="009636AC" w:rsidRDefault="00B30F40" w:rsidP="00B30F40">
      <w:pPr>
        <w:ind w:left="851"/>
        <w:rPr>
          <w:sz w:val="24"/>
          <w:szCs w:val="24"/>
        </w:rPr>
      </w:pPr>
    </w:p>
    <w:p w14:paraId="37780D44" w14:textId="77777777" w:rsidR="00B30F40" w:rsidRPr="009636AC" w:rsidRDefault="00B30F40" w:rsidP="00B30F40">
      <w:pPr>
        <w:ind w:left="851"/>
        <w:rPr>
          <w:sz w:val="24"/>
          <w:szCs w:val="24"/>
        </w:rPr>
      </w:pPr>
      <w:r w:rsidRPr="009636AC">
        <w:rPr>
          <w:sz w:val="24"/>
          <w:szCs w:val="24"/>
        </w:rPr>
        <w:t xml:space="preserve">Pemetrexed kan have skadelige genetiske virkninger. Det frarådes, at kønsmodne mænd gør en kvinde gravid under behandlingen og i op til </w:t>
      </w:r>
      <w:r>
        <w:rPr>
          <w:sz w:val="24"/>
          <w:szCs w:val="24"/>
        </w:rPr>
        <w:t>3</w:t>
      </w:r>
      <w:r w:rsidRPr="009636AC">
        <w:rPr>
          <w:sz w:val="24"/>
          <w:szCs w:val="24"/>
        </w:rPr>
        <w:t xml:space="preserve"> måneder efter behandlingen. Det anbefales at anvende prævention eller afholde sig fra seksuelt samkvem. På grund af risikoen for, at behandling med pemetrexed kan forårsage irreversibel infertilitet, rådes mandlige patienter til at søge rådgivning om opbevaring af sæd, inden behandlingen påbegyndes.</w:t>
      </w:r>
    </w:p>
    <w:p w14:paraId="13A1C9C4" w14:textId="77777777" w:rsidR="00B30F40" w:rsidRPr="009636AC" w:rsidRDefault="00B30F40" w:rsidP="00B30F40">
      <w:pPr>
        <w:ind w:left="851"/>
        <w:rPr>
          <w:sz w:val="24"/>
          <w:szCs w:val="24"/>
        </w:rPr>
      </w:pPr>
    </w:p>
    <w:p w14:paraId="40C6126F" w14:textId="77777777" w:rsidR="00B30F40" w:rsidRPr="009636AC" w:rsidRDefault="00B30F40" w:rsidP="00B30F40">
      <w:pPr>
        <w:ind w:left="851"/>
        <w:rPr>
          <w:sz w:val="24"/>
          <w:szCs w:val="24"/>
        </w:rPr>
      </w:pPr>
      <w:r w:rsidRPr="009636AC">
        <w:rPr>
          <w:sz w:val="24"/>
          <w:szCs w:val="24"/>
        </w:rPr>
        <w:t xml:space="preserve">Kvinder i den fødedygtige alder skal anvende effektive svangerskabsforebyggende midler under behandlingen med pemetrexed </w:t>
      </w:r>
      <w:r w:rsidRPr="00B96448">
        <w:rPr>
          <w:sz w:val="24"/>
          <w:szCs w:val="24"/>
        </w:rPr>
        <w:t>og i 6 måneder efter endt behandling</w:t>
      </w:r>
      <w:r>
        <w:rPr>
          <w:sz w:val="24"/>
          <w:szCs w:val="24"/>
        </w:rPr>
        <w:t xml:space="preserve"> </w:t>
      </w:r>
      <w:r w:rsidRPr="009636AC">
        <w:rPr>
          <w:sz w:val="24"/>
          <w:szCs w:val="24"/>
        </w:rPr>
        <w:t>(se pkt. 4.6).</w:t>
      </w:r>
    </w:p>
    <w:p w14:paraId="09BE08F0" w14:textId="77777777" w:rsidR="00B30F40" w:rsidRPr="009636AC" w:rsidRDefault="00B30F40" w:rsidP="00B30F40">
      <w:pPr>
        <w:ind w:left="851"/>
        <w:rPr>
          <w:sz w:val="24"/>
          <w:szCs w:val="24"/>
        </w:rPr>
      </w:pPr>
    </w:p>
    <w:p w14:paraId="5A69A625" w14:textId="77777777" w:rsidR="00B30F40" w:rsidRPr="009636AC" w:rsidRDefault="00B30F40" w:rsidP="00B30F40">
      <w:pPr>
        <w:ind w:left="851"/>
        <w:rPr>
          <w:sz w:val="24"/>
          <w:szCs w:val="24"/>
        </w:rPr>
      </w:pPr>
      <w:r w:rsidRPr="009636AC">
        <w:rPr>
          <w:sz w:val="24"/>
          <w:szCs w:val="24"/>
        </w:rPr>
        <w:t>Der er rapporteret om tilfælde af strålingspneumonitis hos patienter, som fik strålebehandling enten før, under eller efter behandling med pemetrexed. Man skal være særlig opmærksom ved disse patienter, og der bør udvises forsigtighed ved brug af andre radiosensibiliserende stoffer.</w:t>
      </w:r>
    </w:p>
    <w:p w14:paraId="2217B3CF" w14:textId="77777777" w:rsidR="00B30F40" w:rsidRPr="009636AC" w:rsidRDefault="00B30F40" w:rsidP="00B30F40">
      <w:pPr>
        <w:ind w:left="851"/>
        <w:rPr>
          <w:sz w:val="24"/>
          <w:szCs w:val="24"/>
        </w:rPr>
      </w:pPr>
    </w:p>
    <w:p w14:paraId="0259C1ED" w14:textId="77777777" w:rsidR="00B30F40" w:rsidRPr="009636AC" w:rsidRDefault="00B30F40" w:rsidP="00B30F40">
      <w:pPr>
        <w:ind w:left="851"/>
        <w:rPr>
          <w:sz w:val="24"/>
          <w:szCs w:val="24"/>
        </w:rPr>
      </w:pPr>
      <w:r w:rsidRPr="009636AC">
        <w:rPr>
          <w:sz w:val="24"/>
          <w:szCs w:val="24"/>
        </w:rPr>
        <w:t>Der er rapporteret tilfælde af radiation recall hos patienter, som uger eller år forinden har modtaget strålebehandling.</w:t>
      </w:r>
    </w:p>
    <w:p w14:paraId="48715DA4" w14:textId="77777777" w:rsidR="00B30F40" w:rsidRPr="009636AC" w:rsidRDefault="00B30F40" w:rsidP="00B30F40">
      <w:pPr>
        <w:ind w:left="851"/>
        <w:rPr>
          <w:sz w:val="24"/>
          <w:szCs w:val="24"/>
        </w:rPr>
      </w:pPr>
    </w:p>
    <w:p w14:paraId="40222D6E" w14:textId="77777777" w:rsidR="00B30F40" w:rsidRPr="009636AC" w:rsidRDefault="00B30F40" w:rsidP="00B30F40">
      <w:pPr>
        <w:ind w:left="851"/>
        <w:rPr>
          <w:sz w:val="24"/>
          <w:szCs w:val="24"/>
        </w:rPr>
      </w:pPr>
      <w:r w:rsidRPr="009636AC">
        <w:rPr>
          <w:sz w:val="24"/>
          <w:szCs w:val="24"/>
          <w:u w:val="single"/>
        </w:rPr>
        <w:t>Hjælpestoffer</w:t>
      </w:r>
      <w:r w:rsidRPr="009636AC">
        <w:rPr>
          <w:sz w:val="24"/>
          <w:szCs w:val="24"/>
        </w:rPr>
        <w:t xml:space="preserve"> </w:t>
      </w:r>
    </w:p>
    <w:p w14:paraId="7A359F10" w14:textId="77777777" w:rsidR="00B30F40" w:rsidRDefault="00B30F40" w:rsidP="00B30F40">
      <w:pPr>
        <w:ind w:left="851"/>
        <w:rPr>
          <w:i/>
          <w:iCs/>
          <w:sz w:val="24"/>
          <w:szCs w:val="24"/>
        </w:rPr>
      </w:pPr>
    </w:p>
    <w:p w14:paraId="76241B4D" w14:textId="77777777" w:rsidR="00B30F40" w:rsidRPr="009636AC" w:rsidRDefault="00B30F40" w:rsidP="00B30F40">
      <w:pPr>
        <w:ind w:left="851"/>
        <w:rPr>
          <w:i/>
          <w:iCs/>
          <w:sz w:val="24"/>
          <w:szCs w:val="24"/>
        </w:rPr>
      </w:pPr>
      <w:r w:rsidRPr="009636AC">
        <w:rPr>
          <w:i/>
          <w:iCs/>
          <w:sz w:val="24"/>
          <w:szCs w:val="24"/>
        </w:rPr>
        <w:lastRenderedPageBreak/>
        <w:t xml:space="preserve">Pemetrexed "Zentiva" 10 mg/ml infusionsvæske, opløsning (100 mg/10 ml) </w:t>
      </w:r>
    </w:p>
    <w:p w14:paraId="623847CA" w14:textId="77777777" w:rsidR="00B30F40" w:rsidRPr="009636AC" w:rsidRDefault="00B30F40" w:rsidP="00B30F40">
      <w:pPr>
        <w:ind w:left="851"/>
        <w:rPr>
          <w:sz w:val="24"/>
          <w:szCs w:val="24"/>
        </w:rPr>
      </w:pPr>
      <w:r w:rsidRPr="009636AC">
        <w:rPr>
          <w:sz w:val="24"/>
          <w:szCs w:val="24"/>
        </w:rPr>
        <w:t>Dette lægemiddel indeholder 90 mg natrium pr. hætteglas, svarende til 4,5 % af den WHO-anbefalede maksimale daglige indtagelse af 2 g natrium for en voksen.</w:t>
      </w:r>
    </w:p>
    <w:p w14:paraId="2427031A" w14:textId="77777777" w:rsidR="00B30F40" w:rsidRPr="009636AC" w:rsidRDefault="00B30F40" w:rsidP="00B30F40">
      <w:pPr>
        <w:ind w:left="851"/>
        <w:rPr>
          <w:sz w:val="24"/>
          <w:szCs w:val="24"/>
        </w:rPr>
      </w:pPr>
    </w:p>
    <w:p w14:paraId="07AEB372" w14:textId="77777777" w:rsidR="00B30F40" w:rsidRPr="009636AC" w:rsidRDefault="00B30F40" w:rsidP="00B30F40">
      <w:pPr>
        <w:ind w:left="851"/>
        <w:rPr>
          <w:i/>
          <w:iCs/>
          <w:sz w:val="24"/>
          <w:szCs w:val="24"/>
        </w:rPr>
      </w:pPr>
      <w:r w:rsidRPr="009636AC">
        <w:rPr>
          <w:i/>
          <w:iCs/>
          <w:sz w:val="24"/>
          <w:szCs w:val="24"/>
        </w:rPr>
        <w:t xml:space="preserve">Pemetrexed "Zentiva" 10 mg/ml infusionsvæske, opløsning (500 mg/50 ml) </w:t>
      </w:r>
    </w:p>
    <w:p w14:paraId="5426DC54" w14:textId="77777777" w:rsidR="00B30F40" w:rsidRDefault="00B30F40" w:rsidP="00B30F40">
      <w:pPr>
        <w:ind w:left="851"/>
        <w:rPr>
          <w:sz w:val="24"/>
          <w:szCs w:val="24"/>
        </w:rPr>
      </w:pPr>
      <w:r w:rsidRPr="009636AC">
        <w:rPr>
          <w:sz w:val="24"/>
          <w:szCs w:val="24"/>
        </w:rPr>
        <w:t>Dette lægemiddel indeholder 450 mg natrium pr. hætteglas, svarende til 22,5 % af den WHO-anbefalede maksimale daglige indtagelse af 2 g natrium for en voksen.</w:t>
      </w:r>
    </w:p>
    <w:p w14:paraId="71DF5A07" w14:textId="77777777" w:rsidR="00B30F40" w:rsidRDefault="00B30F40" w:rsidP="00B30F40">
      <w:pPr>
        <w:ind w:left="851"/>
        <w:rPr>
          <w:sz w:val="24"/>
          <w:szCs w:val="24"/>
        </w:rPr>
      </w:pPr>
    </w:p>
    <w:p w14:paraId="208DC4BE" w14:textId="77777777" w:rsidR="00B30F40" w:rsidRPr="005C623B" w:rsidRDefault="00B30F40" w:rsidP="00B30F40">
      <w:pPr>
        <w:ind w:left="851"/>
        <w:rPr>
          <w:i/>
          <w:iCs/>
          <w:sz w:val="24"/>
          <w:szCs w:val="24"/>
        </w:rPr>
      </w:pPr>
      <w:r w:rsidRPr="005C623B">
        <w:rPr>
          <w:i/>
          <w:iCs/>
          <w:sz w:val="24"/>
          <w:szCs w:val="24"/>
        </w:rPr>
        <w:t xml:space="preserve">Pemetrexed "Zentiva" 10 mg/ml infusionsvæske, opløsning (850 mg/85 ml) </w:t>
      </w:r>
    </w:p>
    <w:p w14:paraId="79C16CC9" w14:textId="77777777" w:rsidR="00B30F40" w:rsidRPr="009636AC" w:rsidRDefault="00B30F40" w:rsidP="00B30F40">
      <w:pPr>
        <w:ind w:left="851"/>
        <w:rPr>
          <w:sz w:val="24"/>
          <w:szCs w:val="24"/>
        </w:rPr>
      </w:pPr>
      <w:r w:rsidRPr="00947025">
        <w:rPr>
          <w:sz w:val="24"/>
          <w:szCs w:val="24"/>
        </w:rPr>
        <w:t>Dette lægemiddel indeholder 765 mg natrium pr. hætteglas, svarende til 38,25 % af den WHO-anbefalede maksimale daglige indtagelse af 2 g natrium for en voksen.</w:t>
      </w:r>
    </w:p>
    <w:p w14:paraId="0C774AF7" w14:textId="77777777" w:rsidR="00B30F40" w:rsidRPr="009636AC" w:rsidRDefault="00B30F40" w:rsidP="00B30F40">
      <w:pPr>
        <w:ind w:left="851"/>
        <w:rPr>
          <w:sz w:val="24"/>
          <w:szCs w:val="24"/>
        </w:rPr>
      </w:pPr>
    </w:p>
    <w:p w14:paraId="5783A797" w14:textId="77777777" w:rsidR="00B30F40" w:rsidRPr="009636AC" w:rsidRDefault="00B30F40" w:rsidP="00B30F40">
      <w:pPr>
        <w:ind w:left="851"/>
        <w:rPr>
          <w:i/>
          <w:iCs/>
          <w:sz w:val="24"/>
          <w:szCs w:val="24"/>
        </w:rPr>
      </w:pPr>
      <w:r w:rsidRPr="009636AC">
        <w:rPr>
          <w:i/>
          <w:iCs/>
          <w:sz w:val="24"/>
          <w:szCs w:val="24"/>
        </w:rPr>
        <w:t xml:space="preserve">Pemetrexed "Zentiva" 10 mg/ml infusionsvæske, opløsning (1000 mg/100 ml) </w:t>
      </w:r>
    </w:p>
    <w:p w14:paraId="70C13F18" w14:textId="77777777" w:rsidR="00B30F40" w:rsidRPr="009636AC" w:rsidRDefault="00B30F40" w:rsidP="00B30F40">
      <w:pPr>
        <w:ind w:left="851"/>
        <w:rPr>
          <w:sz w:val="24"/>
          <w:szCs w:val="24"/>
        </w:rPr>
      </w:pPr>
      <w:r w:rsidRPr="009636AC">
        <w:rPr>
          <w:sz w:val="24"/>
          <w:szCs w:val="24"/>
        </w:rPr>
        <w:t>Dette lægemiddel indeholder 900 mg natrium pr. hætteglas, svarende til 45 % af den WHO-anbefalede maksimale daglige indtagelse af 2 g natrium for en voksen.</w:t>
      </w:r>
    </w:p>
    <w:p w14:paraId="08F4C540" w14:textId="77777777" w:rsidR="009260DE" w:rsidRPr="009636AC" w:rsidRDefault="009260DE" w:rsidP="009260DE">
      <w:pPr>
        <w:tabs>
          <w:tab w:val="left" w:pos="851"/>
        </w:tabs>
        <w:ind w:left="851"/>
        <w:rPr>
          <w:sz w:val="24"/>
          <w:szCs w:val="24"/>
        </w:rPr>
      </w:pPr>
    </w:p>
    <w:p w14:paraId="313FDBF4" w14:textId="77777777" w:rsidR="009260DE" w:rsidRPr="009636AC" w:rsidRDefault="009260DE" w:rsidP="009260DE">
      <w:pPr>
        <w:tabs>
          <w:tab w:val="left" w:pos="851"/>
        </w:tabs>
        <w:ind w:left="851" w:hanging="851"/>
        <w:rPr>
          <w:b/>
          <w:sz w:val="24"/>
          <w:szCs w:val="24"/>
        </w:rPr>
      </w:pPr>
      <w:r w:rsidRPr="009636AC">
        <w:rPr>
          <w:b/>
          <w:sz w:val="24"/>
          <w:szCs w:val="24"/>
        </w:rPr>
        <w:t>4.5</w:t>
      </w:r>
      <w:r w:rsidRPr="009636AC">
        <w:rPr>
          <w:b/>
          <w:sz w:val="24"/>
          <w:szCs w:val="24"/>
        </w:rPr>
        <w:tab/>
        <w:t>Interaktion med andre lægemidler og andre former for interaktion</w:t>
      </w:r>
    </w:p>
    <w:p w14:paraId="09B8671B" w14:textId="0440DD62" w:rsidR="00441599" w:rsidRPr="009636AC" w:rsidRDefault="00441599" w:rsidP="00222CED">
      <w:pPr>
        <w:ind w:left="851"/>
        <w:rPr>
          <w:sz w:val="24"/>
          <w:szCs w:val="24"/>
        </w:rPr>
      </w:pPr>
      <w:r w:rsidRPr="009636AC">
        <w:rPr>
          <w:sz w:val="24"/>
          <w:szCs w:val="24"/>
        </w:rPr>
        <w:t>Pemetrexed udskilles primært uforandret gennem nyrerne ved tubulær sekretion og i mindre grad ved glomerulær filtration. Samtidig behandling med nefrotoksiske lægemidler (f.eks. aminoglycosid, loop-diuretika, platinforbindelser, ciclosporin) kan resultere i forsinket clearance af pemetrexed. Denne kombination skal anvendes med forsigtighed. Patientens kreatinin-clearance skal om nødvendigt monitoreres nøje.</w:t>
      </w:r>
    </w:p>
    <w:p w14:paraId="0258287D" w14:textId="77777777" w:rsidR="00441599" w:rsidRPr="009636AC" w:rsidRDefault="00441599" w:rsidP="00222CED">
      <w:pPr>
        <w:ind w:left="851"/>
        <w:rPr>
          <w:sz w:val="24"/>
          <w:szCs w:val="24"/>
        </w:rPr>
      </w:pPr>
    </w:p>
    <w:p w14:paraId="0B16074C" w14:textId="77777777" w:rsidR="00441599" w:rsidRPr="009636AC" w:rsidRDefault="00441599" w:rsidP="00222CED">
      <w:pPr>
        <w:ind w:left="851"/>
        <w:rPr>
          <w:sz w:val="24"/>
          <w:szCs w:val="24"/>
        </w:rPr>
      </w:pPr>
      <w:r w:rsidRPr="009636AC">
        <w:rPr>
          <w:sz w:val="24"/>
          <w:szCs w:val="24"/>
        </w:rPr>
        <w:t>Samtidig indgivelse af præparater, som også udskilles tubulært (f.eks. probenecid, penicillin), kan resultere i en forsinket clearance af pemetrexed. Der skal udvises forsigtighed, når disse stoffer bruges i kombination med pemetrexed. Patientens kreatinin-clearance skal om nødvendigt monitoreres nøje.</w:t>
      </w:r>
    </w:p>
    <w:p w14:paraId="6722B7D1" w14:textId="77777777" w:rsidR="00441599" w:rsidRPr="009636AC" w:rsidRDefault="00441599" w:rsidP="00222CED">
      <w:pPr>
        <w:ind w:left="851"/>
        <w:rPr>
          <w:sz w:val="24"/>
          <w:szCs w:val="24"/>
        </w:rPr>
      </w:pPr>
    </w:p>
    <w:p w14:paraId="39F2A927" w14:textId="77777777" w:rsidR="00441599" w:rsidRPr="009636AC" w:rsidRDefault="00441599" w:rsidP="00222CED">
      <w:pPr>
        <w:ind w:left="851"/>
        <w:rPr>
          <w:sz w:val="24"/>
          <w:szCs w:val="24"/>
        </w:rPr>
      </w:pPr>
      <w:r w:rsidRPr="009636AC">
        <w:rPr>
          <w:sz w:val="24"/>
          <w:szCs w:val="24"/>
        </w:rPr>
        <w:t>Hos patienter med en normal nyrefunktion (kreatinin-clearance ≥ 80 ml/min) kan høje doser af non-steroide anti-inflammatoriske lægemidler (NSAID-præparater såsom ibuprofen &gt; 1600 mg/dag) og acetylsalicylsyre i høje doser (≥ 1,3 g daglig) nedsætte udskillelsen af pemetrexed, og dermed øge forekomsten af bivirkninger relateret til pemetrexed. Der skal derfor udvises forsigtighed ved indgift af højere doser af NSAID-præparater eller acetylsalicylsyre samtidig med pemetrexed hos patienter med normal nyrefunktion (kreatinin-clearance ≥ 80 ml/min).</w:t>
      </w:r>
    </w:p>
    <w:p w14:paraId="2D501EBA" w14:textId="77777777" w:rsidR="00441599" w:rsidRPr="009636AC" w:rsidRDefault="00441599" w:rsidP="00222CED">
      <w:pPr>
        <w:ind w:left="851"/>
        <w:rPr>
          <w:sz w:val="24"/>
          <w:szCs w:val="24"/>
        </w:rPr>
      </w:pPr>
    </w:p>
    <w:p w14:paraId="75B78C13" w14:textId="77777777" w:rsidR="00441599" w:rsidRPr="009636AC" w:rsidRDefault="00441599" w:rsidP="00222CED">
      <w:pPr>
        <w:ind w:left="851"/>
        <w:rPr>
          <w:sz w:val="24"/>
          <w:szCs w:val="24"/>
        </w:rPr>
      </w:pPr>
      <w:r w:rsidRPr="009636AC">
        <w:rPr>
          <w:sz w:val="24"/>
          <w:szCs w:val="24"/>
        </w:rPr>
        <w:t>Hos patienter med let til moderat nyreinsufficiens (kreatinin-clearance 45-79 ml/min) bør samtidig administration af pemetrexed og NSAID-præparater (for eksempel ibuprofen) eller acetylsalicylsyre i højere doser undgås 2 dage inden, på behandlingsdagen og i mindst 2 dage efter indgift af pemetrexed (se pkt. 4.4).</w:t>
      </w:r>
    </w:p>
    <w:p w14:paraId="1D85B22F" w14:textId="77777777" w:rsidR="00441599" w:rsidRPr="009636AC" w:rsidRDefault="00441599" w:rsidP="00222CED">
      <w:pPr>
        <w:ind w:left="851"/>
        <w:rPr>
          <w:sz w:val="24"/>
          <w:szCs w:val="24"/>
        </w:rPr>
      </w:pPr>
    </w:p>
    <w:p w14:paraId="2D118387" w14:textId="77777777" w:rsidR="00441599" w:rsidRPr="009636AC" w:rsidRDefault="00441599" w:rsidP="00222CED">
      <w:pPr>
        <w:ind w:left="851"/>
        <w:rPr>
          <w:sz w:val="24"/>
          <w:szCs w:val="24"/>
        </w:rPr>
      </w:pPr>
      <w:r w:rsidRPr="009636AC">
        <w:rPr>
          <w:sz w:val="24"/>
          <w:szCs w:val="24"/>
        </w:rPr>
        <w:t>Da der ikke foreligger data om potentielle interaktioner mellem pemetrexed og NSAID-præparater med længere halveringstid, såsom piroxicam og rofecoxib, skal behandling med disse afbrydes hos patienter med let til moderat nyreinsufficiens mindst 5 dage før, på behandlingsdagen og i mindst 2 dage efter indgift af pemetrexed (se pkt. 4.4). Hvis samtidig administration af NSAID-præparater er nødvendig, skal patienterne følges nøje for toksicitet, især myelosuppression og gastrointestinal toksicitet.</w:t>
      </w:r>
    </w:p>
    <w:p w14:paraId="13EF8C57" w14:textId="77777777" w:rsidR="00441599" w:rsidRPr="009636AC" w:rsidRDefault="00441599" w:rsidP="00222CED">
      <w:pPr>
        <w:ind w:left="851"/>
        <w:rPr>
          <w:sz w:val="24"/>
          <w:szCs w:val="24"/>
        </w:rPr>
      </w:pPr>
    </w:p>
    <w:p w14:paraId="67E7A538" w14:textId="77777777" w:rsidR="00441599" w:rsidRPr="009636AC" w:rsidRDefault="00441599" w:rsidP="00222CED">
      <w:pPr>
        <w:ind w:left="851"/>
        <w:rPr>
          <w:sz w:val="24"/>
          <w:szCs w:val="24"/>
        </w:rPr>
      </w:pPr>
      <w:r w:rsidRPr="009636AC">
        <w:rPr>
          <w:sz w:val="24"/>
          <w:szCs w:val="24"/>
        </w:rPr>
        <w:t xml:space="preserve">Pemetrexed gennemgår en begrænset metabolisering i leveren. Resultaterne af </w:t>
      </w:r>
      <w:r w:rsidRPr="009636AC">
        <w:rPr>
          <w:i/>
          <w:sz w:val="24"/>
          <w:szCs w:val="24"/>
        </w:rPr>
        <w:t>in vitro</w:t>
      </w:r>
      <w:r w:rsidRPr="009636AC">
        <w:rPr>
          <w:sz w:val="24"/>
          <w:szCs w:val="24"/>
        </w:rPr>
        <w:t xml:space="preserve">-forsøg med humane levermikrosomer tyder på, at pemetrexed ikke burde forårsage en klinisk </w:t>
      </w:r>
      <w:r w:rsidRPr="009636AC">
        <w:rPr>
          <w:sz w:val="24"/>
          <w:szCs w:val="24"/>
        </w:rPr>
        <w:lastRenderedPageBreak/>
        <w:t>signifikant inhibition af den metaboliske clearance af lægemidler, der metaboliseres af CYP3A, CYP2D6, CYP2C9 og CYP1A2.</w:t>
      </w:r>
    </w:p>
    <w:p w14:paraId="3CBA375A" w14:textId="77777777" w:rsidR="00441599" w:rsidRPr="009636AC" w:rsidRDefault="00441599" w:rsidP="00222CED">
      <w:pPr>
        <w:ind w:left="851"/>
        <w:rPr>
          <w:sz w:val="24"/>
          <w:szCs w:val="24"/>
        </w:rPr>
      </w:pPr>
    </w:p>
    <w:p w14:paraId="4EEA41A6" w14:textId="77777777" w:rsidR="00441599" w:rsidRPr="009636AC" w:rsidRDefault="00441599" w:rsidP="00222CED">
      <w:pPr>
        <w:ind w:left="851"/>
        <w:rPr>
          <w:sz w:val="24"/>
          <w:szCs w:val="24"/>
        </w:rPr>
      </w:pPr>
      <w:r w:rsidRPr="009636AC">
        <w:rPr>
          <w:sz w:val="24"/>
          <w:szCs w:val="24"/>
          <w:u w:val="single"/>
        </w:rPr>
        <w:t>Interaktioner, der er fælles for alle cytotoksiske stoffer</w:t>
      </w:r>
    </w:p>
    <w:p w14:paraId="0BE561DD" w14:textId="411A4C84" w:rsidR="00441599" w:rsidRPr="009636AC" w:rsidRDefault="00441599" w:rsidP="00222CED">
      <w:pPr>
        <w:ind w:left="851"/>
        <w:rPr>
          <w:sz w:val="24"/>
          <w:szCs w:val="24"/>
        </w:rPr>
      </w:pPr>
      <w:r w:rsidRPr="009636AC">
        <w:rPr>
          <w:sz w:val="24"/>
          <w:szCs w:val="24"/>
        </w:rPr>
        <w:t>På grund af den forøgede risiko for trombotiske komplikationer hos cancerpatienter anvendes anti- koagulationsbehandling ofte til disse patienter. Den høje intra-individuelle variation i koagulations-status under sygdomsforløb og risikoen for interaktion mellem orale antikoagulantia og kemoterapi mod cancer kræver hyppigere monitorering af INR (International Normalised Ratio), hvis der træffes beslutning om at behandle patienten med orale antikoagulantia.</w:t>
      </w:r>
    </w:p>
    <w:p w14:paraId="79E8059E" w14:textId="77777777" w:rsidR="00441599" w:rsidRPr="009636AC" w:rsidRDefault="00441599" w:rsidP="00222CED">
      <w:pPr>
        <w:ind w:left="851"/>
        <w:rPr>
          <w:sz w:val="24"/>
          <w:szCs w:val="24"/>
        </w:rPr>
      </w:pPr>
    </w:p>
    <w:p w14:paraId="552C704A" w14:textId="77777777" w:rsidR="00441599" w:rsidRPr="009636AC" w:rsidRDefault="00441599" w:rsidP="00222CED">
      <w:pPr>
        <w:ind w:left="851"/>
        <w:rPr>
          <w:sz w:val="24"/>
          <w:szCs w:val="24"/>
        </w:rPr>
      </w:pPr>
      <w:r w:rsidRPr="009636AC">
        <w:rPr>
          <w:sz w:val="24"/>
          <w:szCs w:val="24"/>
        </w:rPr>
        <w:t>Følgende samtidig brug er kontraindiceret: Gul feber vaccine: Risiko for generel vaccine sygdom med dødelig udgang (se pkt. 4.3).</w:t>
      </w:r>
    </w:p>
    <w:p w14:paraId="24DCA452" w14:textId="77777777" w:rsidR="00441599" w:rsidRPr="009636AC" w:rsidRDefault="00441599" w:rsidP="00222CED">
      <w:pPr>
        <w:ind w:left="851"/>
        <w:rPr>
          <w:sz w:val="24"/>
          <w:szCs w:val="24"/>
        </w:rPr>
      </w:pPr>
    </w:p>
    <w:p w14:paraId="3F98A4AC" w14:textId="77777777" w:rsidR="00441599" w:rsidRPr="009636AC" w:rsidRDefault="00441599" w:rsidP="00222CED">
      <w:pPr>
        <w:ind w:left="851"/>
        <w:rPr>
          <w:sz w:val="24"/>
          <w:szCs w:val="24"/>
          <w:u w:val="single"/>
        </w:rPr>
      </w:pPr>
      <w:r w:rsidRPr="009636AC">
        <w:rPr>
          <w:sz w:val="24"/>
          <w:szCs w:val="24"/>
        </w:rPr>
        <w:t>Følgende samtidig brug frarådes:</w:t>
      </w:r>
      <w:r w:rsidRPr="009636AC">
        <w:rPr>
          <w:sz w:val="24"/>
          <w:szCs w:val="24"/>
          <w:u w:val="single"/>
        </w:rPr>
        <w:t xml:space="preserve"> </w:t>
      </w:r>
      <w:r w:rsidRPr="009636AC">
        <w:rPr>
          <w:sz w:val="24"/>
          <w:szCs w:val="24"/>
        </w:rPr>
        <w:t>Levende svækkede vacciner (med undtagelse af gul feber, for hvilken samtidig brug er kontraindiceret): risiko for systemisk sygdom med mulig dødelig udgang. Risikoen øges hos patienter, som i forvejen har et svækket immunforsvar på grund af deres tilgrundliggende sygdom. Brug en inaktiveret vaccine, hvis muligt (poliomyelitis) (se pkt. 4.4).</w:t>
      </w:r>
    </w:p>
    <w:p w14:paraId="02C9A197" w14:textId="77777777" w:rsidR="009260DE" w:rsidRPr="009636AC" w:rsidRDefault="009260DE" w:rsidP="009260DE">
      <w:pPr>
        <w:tabs>
          <w:tab w:val="left" w:pos="851"/>
        </w:tabs>
        <w:ind w:left="851"/>
        <w:rPr>
          <w:sz w:val="24"/>
          <w:szCs w:val="24"/>
        </w:rPr>
      </w:pPr>
    </w:p>
    <w:p w14:paraId="0C48C6D8" w14:textId="7AB2F6D5" w:rsidR="009260DE" w:rsidRPr="009636AC" w:rsidRDefault="009260DE" w:rsidP="009260DE">
      <w:pPr>
        <w:tabs>
          <w:tab w:val="left" w:pos="851"/>
        </w:tabs>
        <w:ind w:left="851" w:hanging="851"/>
        <w:rPr>
          <w:b/>
          <w:sz w:val="24"/>
          <w:szCs w:val="24"/>
        </w:rPr>
      </w:pPr>
      <w:r w:rsidRPr="009636AC">
        <w:rPr>
          <w:b/>
          <w:sz w:val="24"/>
          <w:szCs w:val="24"/>
        </w:rPr>
        <w:t>4.6</w:t>
      </w:r>
      <w:r w:rsidRPr="009636AC">
        <w:rPr>
          <w:b/>
          <w:sz w:val="24"/>
          <w:szCs w:val="24"/>
        </w:rPr>
        <w:tab/>
      </w:r>
      <w:r w:rsidR="004B39DF" w:rsidRPr="004B39DF">
        <w:rPr>
          <w:b/>
          <w:sz w:val="24"/>
          <w:szCs w:val="24"/>
        </w:rPr>
        <w:t>Fertilitet, graviditet og amning</w:t>
      </w:r>
    </w:p>
    <w:p w14:paraId="3A9FE3B9" w14:textId="77777777" w:rsidR="00432DF2" w:rsidRPr="009636AC" w:rsidRDefault="00432DF2" w:rsidP="00222CED">
      <w:pPr>
        <w:ind w:left="851"/>
        <w:rPr>
          <w:sz w:val="24"/>
          <w:szCs w:val="24"/>
        </w:rPr>
      </w:pPr>
    </w:p>
    <w:p w14:paraId="36993C97" w14:textId="77777777" w:rsidR="00B30F40" w:rsidRPr="009636AC" w:rsidRDefault="00B30F40" w:rsidP="00B30F40">
      <w:pPr>
        <w:ind w:left="851"/>
        <w:rPr>
          <w:sz w:val="24"/>
          <w:szCs w:val="24"/>
          <w:u w:val="single"/>
        </w:rPr>
      </w:pPr>
      <w:r w:rsidRPr="009636AC">
        <w:rPr>
          <w:sz w:val="24"/>
          <w:szCs w:val="24"/>
          <w:u w:val="single"/>
        </w:rPr>
        <w:t>Kvinder i den fertile alder/kontraception til mænd og kvinder</w:t>
      </w:r>
    </w:p>
    <w:p w14:paraId="2FB64DAA" w14:textId="77777777" w:rsidR="00B30F40" w:rsidRPr="009636AC" w:rsidRDefault="00B30F40" w:rsidP="00B30F40">
      <w:pPr>
        <w:ind w:left="851"/>
        <w:rPr>
          <w:sz w:val="24"/>
          <w:szCs w:val="24"/>
        </w:rPr>
      </w:pPr>
      <w:r w:rsidRPr="00B96448">
        <w:rPr>
          <w:sz w:val="24"/>
          <w:szCs w:val="24"/>
        </w:rPr>
        <w:t>Pemetrexed kan have genetisk skadelige virkninger. Fertile kvinder skal anvende effektiv prævention under behandling med pemetrexed og i 6 måneder efter endt behandling. Det tilrådes, at kønsmodne mænd bruger effektiv prævention og ikke gør en kvinde gravid under behandlingen og i op til 3 måneder efter behandlingen</w:t>
      </w:r>
      <w:r w:rsidRPr="009636AC">
        <w:rPr>
          <w:sz w:val="24"/>
          <w:szCs w:val="24"/>
        </w:rPr>
        <w:t>.</w:t>
      </w:r>
    </w:p>
    <w:p w14:paraId="7FCE404E" w14:textId="77777777" w:rsidR="00B30F40" w:rsidRPr="009636AC" w:rsidRDefault="00B30F40" w:rsidP="00B30F40">
      <w:pPr>
        <w:ind w:left="851"/>
        <w:rPr>
          <w:sz w:val="24"/>
          <w:szCs w:val="24"/>
        </w:rPr>
      </w:pPr>
    </w:p>
    <w:p w14:paraId="2685F077" w14:textId="77777777" w:rsidR="00B30F40" w:rsidRPr="009636AC" w:rsidRDefault="00B30F40" w:rsidP="00B30F40">
      <w:pPr>
        <w:ind w:left="851"/>
        <w:rPr>
          <w:sz w:val="24"/>
          <w:szCs w:val="24"/>
          <w:u w:val="single"/>
        </w:rPr>
      </w:pPr>
      <w:r w:rsidRPr="009636AC">
        <w:rPr>
          <w:sz w:val="24"/>
          <w:szCs w:val="24"/>
          <w:u w:val="single"/>
        </w:rPr>
        <w:t>Graviditet</w:t>
      </w:r>
    </w:p>
    <w:p w14:paraId="7B66D015" w14:textId="77777777" w:rsidR="00B30F40" w:rsidRPr="009636AC" w:rsidRDefault="00B30F40" w:rsidP="00B30F40">
      <w:pPr>
        <w:ind w:left="851"/>
        <w:rPr>
          <w:sz w:val="24"/>
          <w:szCs w:val="24"/>
        </w:rPr>
      </w:pPr>
      <w:r w:rsidRPr="009636AC">
        <w:rPr>
          <w:sz w:val="24"/>
          <w:szCs w:val="24"/>
        </w:rPr>
        <w:t>Der er ingen data fra anvendelse af pemetrexed til gravide kvinder, men ligesom andre anti-metabolitter formodes pemetrexed at kunne forårsage alvorlige misdannelser, hvis det indgives under graviditeten. Dyreforsøg har vist reproduktionstoksicitet (se pkt. 5.3). Pemetrexed må ikke anvendes under graviditet, medmindre det er strengt nødvendigt og kun efter nøje vurdering af moderens behov og risikoen for fostret (se pkt. 4.4).</w:t>
      </w:r>
    </w:p>
    <w:p w14:paraId="3249A114" w14:textId="77777777" w:rsidR="00B30F40" w:rsidRPr="009636AC" w:rsidRDefault="00B30F40" w:rsidP="00B30F40">
      <w:pPr>
        <w:ind w:left="851"/>
        <w:rPr>
          <w:sz w:val="24"/>
          <w:szCs w:val="24"/>
        </w:rPr>
      </w:pPr>
    </w:p>
    <w:p w14:paraId="4DB54206" w14:textId="77777777" w:rsidR="00B30F40" w:rsidRPr="009636AC" w:rsidRDefault="00B30F40" w:rsidP="00B30F40">
      <w:pPr>
        <w:ind w:left="851"/>
        <w:rPr>
          <w:sz w:val="24"/>
          <w:szCs w:val="24"/>
          <w:u w:val="single"/>
        </w:rPr>
      </w:pPr>
      <w:r w:rsidRPr="009636AC">
        <w:rPr>
          <w:sz w:val="24"/>
          <w:szCs w:val="24"/>
          <w:u w:val="single"/>
        </w:rPr>
        <w:t>Amning</w:t>
      </w:r>
    </w:p>
    <w:p w14:paraId="3DB2BE24" w14:textId="77777777" w:rsidR="00B30F40" w:rsidRPr="009636AC" w:rsidRDefault="00B30F40" w:rsidP="00B30F40">
      <w:pPr>
        <w:ind w:left="851"/>
        <w:rPr>
          <w:sz w:val="24"/>
          <w:szCs w:val="24"/>
        </w:rPr>
      </w:pPr>
      <w:r w:rsidRPr="009636AC">
        <w:rPr>
          <w:sz w:val="24"/>
          <w:szCs w:val="24"/>
        </w:rPr>
        <w:t>Det er ukendt, om pemetrexed udskilles i human mælk, og en påvirkning af ammede børn kan ikke udelukkes. Amning skal ophøre under behandling med pemetrexed se pkt. 4.3).</w:t>
      </w:r>
    </w:p>
    <w:p w14:paraId="0D353C61" w14:textId="77777777" w:rsidR="00B30F40" w:rsidRPr="009636AC" w:rsidRDefault="00B30F40" w:rsidP="00B30F40">
      <w:pPr>
        <w:ind w:left="851"/>
        <w:rPr>
          <w:sz w:val="24"/>
          <w:szCs w:val="24"/>
        </w:rPr>
      </w:pPr>
    </w:p>
    <w:p w14:paraId="4E5A0BC9" w14:textId="77777777" w:rsidR="00B30F40" w:rsidRPr="009636AC" w:rsidRDefault="00B30F40" w:rsidP="00B30F40">
      <w:pPr>
        <w:ind w:left="851"/>
        <w:rPr>
          <w:sz w:val="24"/>
          <w:szCs w:val="24"/>
          <w:u w:val="single"/>
        </w:rPr>
      </w:pPr>
      <w:r w:rsidRPr="009636AC">
        <w:rPr>
          <w:sz w:val="24"/>
          <w:szCs w:val="24"/>
          <w:u w:val="single"/>
        </w:rPr>
        <w:t>Fertilitet</w:t>
      </w:r>
    </w:p>
    <w:p w14:paraId="6F8300D9" w14:textId="77777777" w:rsidR="00B30F40" w:rsidRPr="009636AC" w:rsidRDefault="00B30F40" w:rsidP="00B30F40">
      <w:pPr>
        <w:ind w:left="851"/>
        <w:rPr>
          <w:sz w:val="24"/>
          <w:szCs w:val="24"/>
        </w:rPr>
      </w:pPr>
      <w:r w:rsidRPr="009636AC">
        <w:rPr>
          <w:sz w:val="24"/>
          <w:szCs w:val="24"/>
        </w:rPr>
        <w:t>På grund af risikoen for, at behandling med pemetrexed kan forårsage irreversibel infertilitet, rådes mandlige patienter til at søge rådgivning om opbevaring af sæd, inden behandlingen påbegyndes.</w:t>
      </w:r>
    </w:p>
    <w:p w14:paraId="4675D7EA" w14:textId="77777777" w:rsidR="009260DE" w:rsidRPr="009636AC" w:rsidRDefault="009260DE" w:rsidP="009260DE">
      <w:pPr>
        <w:tabs>
          <w:tab w:val="left" w:pos="851"/>
        </w:tabs>
        <w:ind w:left="851"/>
        <w:rPr>
          <w:sz w:val="24"/>
          <w:szCs w:val="24"/>
        </w:rPr>
      </w:pPr>
    </w:p>
    <w:p w14:paraId="31E8FA29" w14:textId="5718F11A" w:rsidR="009260DE" w:rsidRPr="009636AC" w:rsidRDefault="009260DE" w:rsidP="009260DE">
      <w:pPr>
        <w:tabs>
          <w:tab w:val="left" w:pos="851"/>
        </w:tabs>
        <w:ind w:left="851" w:hanging="851"/>
        <w:rPr>
          <w:b/>
          <w:sz w:val="24"/>
          <w:szCs w:val="24"/>
        </w:rPr>
      </w:pPr>
      <w:r w:rsidRPr="009636AC">
        <w:rPr>
          <w:b/>
          <w:sz w:val="24"/>
          <w:szCs w:val="24"/>
        </w:rPr>
        <w:t>4.7</w:t>
      </w:r>
      <w:r w:rsidRPr="009636AC">
        <w:rPr>
          <w:b/>
          <w:sz w:val="24"/>
          <w:szCs w:val="24"/>
        </w:rPr>
        <w:tab/>
      </w:r>
      <w:r w:rsidR="004B39DF" w:rsidRPr="004B39DF">
        <w:rPr>
          <w:b/>
          <w:sz w:val="24"/>
          <w:szCs w:val="24"/>
        </w:rPr>
        <w:t>Virkning på evnen til at føre motorkøretøj og betjene maskiner</w:t>
      </w:r>
    </w:p>
    <w:p w14:paraId="033C0473" w14:textId="77777777" w:rsidR="004444B7" w:rsidRPr="009636AC" w:rsidRDefault="004444B7" w:rsidP="00222CED">
      <w:pPr>
        <w:ind w:left="851"/>
        <w:rPr>
          <w:sz w:val="24"/>
          <w:szCs w:val="24"/>
        </w:rPr>
      </w:pPr>
      <w:r w:rsidRPr="009636AC">
        <w:rPr>
          <w:sz w:val="24"/>
          <w:szCs w:val="24"/>
        </w:rPr>
        <w:t>Ikke mærkning</w:t>
      </w:r>
    </w:p>
    <w:p w14:paraId="7619D24E" w14:textId="15A2D71D" w:rsidR="00827B70" w:rsidRDefault="004444B7" w:rsidP="00947025">
      <w:pPr>
        <w:ind w:left="851"/>
        <w:rPr>
          <w:sz w:val="24"/>
          <w:szCs w:val="24"/>
        </w:rPr>
      </w:pPr>
      <w:r w:rsidRPr="009636AC">
        <w:rPr>
          <w:sz w:val="24"/>
          <w:szCs w:val="24"/>
        </w:rPr>
        <w:t>Der er ikke foretaget undersøgelser af påvirkningen af evnen til at køre bil eller betjene maskiner. Det er dog blevet rapporteret, at pemetrexed kan forårsage træthed. Patienten skal derfor advares mod at køre bil eller betjene maskiner, hvis han/hun oplever træthed.</w:t>
      </w:r>
    </w:p>
    <w:p w14:paraId="0A59DEA9" w14:textId="77777777" w:rsidR="009260DE" w:rsidRPr="009636AC" w:rsidRDefault="009260DE" w:rsidP="009260DE">
      <w:pPr>
        <w:tabs>
          <w:tab w:val="left" w:pos="851"/>
        </w:tabs>
        <w:ind w:left="851"/>
        <w:rPr>
          <w:sz w:val="24"/>
          <w:szCs w:val="24"/>
        </w:rPr>
      </w:pPr>
    </w:p>
    <w:p w14:paraId="57A60135" w14:textId="77777777" w:rsidR="009260DE" w:rsidRPr="009636AC" w:rsidRDefault="009260DE" w:rsidP="009260DE">
      <w:pPr>
        <w:tabs>
          <w:tab w:val="left" w:pos="851"/>
        </w:tabs>
        <w:ind w:left="851" w:hanging="851"/>
        <w:rPr>
          <w:b/>
          <w:sz w:val="24"/>
          <w:szCs w:val="24"/>
        </w:rPr>
      </w:pPr>
      <w:r w:rsidRPr="009636AC">
        <w:rPr>
          <w:b/>
          <w:sz w:val="24"/>
          <w:szCs w:val="24"/>
        </w:rPr>
        <w:t>4.8</w:t>
      </w:r>
      <w:r w:rsidRPr="009636AC">
        <w:rPr>
          <w:b/>
          <w:sz w:val="24"/>
          <w:szCs w:val="24"/>
        </w:rPr>
        <w:tab/>
        <w:t>Bivirkninger</w:t>
      </w:r>
    </w:p>
    <w:p w14:paraId="6EEC2974" w14:textId="77777777" w:rsidR="00432DF2" w:rsidRPr="009636AC" w:rsidRDefault="00432DF2" w:rsidP="00222CED">
      <w:pPr>
        <w:ind w:left="851"/>
        <w:rPr>
          <w:sz w:val="24"/>
          <w:szCs w:val="24"/>
        </w:rPr>
      </w:pPr>
    </w:p>
    <w:p w14:paraId="6210BF28" w14:textId="22F011EB" w:rsidR="004444B7" w:rsidRPr="009636AC" w:rsidRDefault="004444B7" w:rsidP="00222CED">
      <w:pPr>
        <w:ind w:left="851"/>
        <w:rPr>
          <w:sz w:val="24"/>
          <w:szCs w:val="24"/>
          <w:u w:val="single"/>
        </w:rPr>
      </w:pPr>
      <w:r w:rsidRPr="009636AC">
        <w:rPr>
          <w:sz w:val="24"/>
          <w:szCs w:val="24"/>
          <w:u w:val="single"/>
        </w:rPr>
        <w:t>Resumé af sikkerhedsprofilen</w:t>
      </w:r>
    </w:p>
    <w:p w14:paraId="37824B2E" w14:textId="77777777" w:rsidR="004444B7" w:rsidRPr="009636AC" w:rsidRDefault="004444B7" w:rsidP="00222CED">
      <w:pPr>
        <w:ind w:left="851"/>
        <w:rPr>
          <w:sz w:val="24"/>
          <w:szCs w:val="24"/>
        </w:rPr>
      </w:pPr>
      <w:r w:rsidRPr="009636AC">
        <w:rPr>
          <w:sz w:val="24"/>
          <w:szCs w:val="24"/>
        </w:rPr>
        <w:t>De hyppigst indberettede bivirkninger relateret til pemetrexed ved både monoterapi og kombinationsbehandling, er knoglemarvssuppression med anæmi, neutropeni, leukopeni, trombocytopeni samt gastrointestinal toksicitet med anoreksi, kvalme, opkastning, diarré, forstoppelse, pharyngitis, mucositis og stomatitis. Andre bivirkninger omfatter renal toksicitet, forhøjede aminotransferaser, alopeci, træthed, dehydrering, udslæt, infektion/sepsis og neuropati. Sjældne bivirkninger omfatter Stevens-Johnsons syndrom og toksisk epidermal nekrolyse.</w:t>
      </w:r>
    </w:p>
    <w:p w14:paraId="1C8B01E6" w14:textId="77777777" w:rsidR="004444B7" w:rsidRPr="009636AC" w:rsidRDefault="004444B7" w:rsidP="00222CED">
      <w:pPr>
        <w:ind w:left="851"/>
        <w:rPr>
          <w:sz w:val="24"/>
          <w:szCs w:val="24"/>
        </w:rPr>
      </w:pPr>
    </w:p>
    <w:p w14:paraId="1BD49465" w14:textId="77777777" w:rsidR="004444B7" w:rsidRPr="009636AC" w:rsidRDefault="004444B7" w:rsidP="00222CED">
      <w:pPr>
        <w:ind w:left="851"/>
        <w:rPr>
          <w:rFonts w:eastAsiaTheme="minorEastAsia"/>
          <w:sz w:val="24"/>
          <w:szCs w:val="24"/>
          <w:u w:val="single"/>
          <w:lang w:eastAsia="da-DK"/>
        </w:rPr>
      </w:pPr>
      <w:r w:rsidRPr="009636AC">
        <w:rPr>
          <w:rFonts w:eastAsiaTheme="minorEastAsia"/>
          <w:sz w:val="24"/>
          <w:szCs w:val="24"/>
          <w:u w:val="single"/>
          <w:lang w:eastAsia="da-DK"/>
        </w:rPr>
        <w:t>Bivirkningstabel</w:t>
      </w:r>
    </w:p>
    <w:p w14:paraId="454DB73D" w14:textId="77777777" w:rsidR="004444B7" w:rsidRPr="009636AC" w:rsidRDefault="004444B7" w:rsidP="00222CED">
      <w:pPr>
        <w:ind w:left="851"/>
        <w:rPr>
          <w:rFonts w:eastAsiaTheme="minorEastAsia"/>
          <w:sz w:val="24"/>
          <w:szCs w:val="24"/>
          <w:lang w:eastAsia="da-DK"/>
        </w:rPr>
      </w:pPr>
      <w:r w:rsidRPr="009636AC">
        <w:rPr>
          <w:rFonts w:eastAsiaTheme="minorEastAsia"/>
          <w:sz w:val="24"/>
          <w:szCs w:val="24"/>
          <w:lang w:eastAsia="da-DK"/>
        </w:rPr>
        <w:t>Tabel 4 viser bivirkninger, uanset kausalitet, ved brug af pemetrexed som monoterapi eller i kombination med cisplatin fra de pivotale registreringsstudier (JMCH, JMEI, JMBD, JMEN og PARAMOUNT) og efter markedsføring.</w:t>
      </w:r>
    </w:p>
    <w:p w14:paraId="517B831D" w14:textId="77777777" w:rsidR="004444B7" w:rsidRPr="009636AC" w:rsidRDefault="004444B7" w:rsidP="00222CED">
      <w:pPr>
        <w:ind w:left="851"/>
        <w:rPr>
          <w:rFonts w:eastAsiaTheme="minorEastAsia"/>
          <w:sz w:val="24"/>
          <w:szCs w:val="24"/>
          <w:lang w:eastAsia="da-DK"/>
        </w:rPr>
      </w:pPr>
    </w:p>
    <w:p w14:paraId="0A61D537" w14:textId="77777777" w:rsidR="004444B7" w:rsidRPr="009636AC" w:rsidRDefault="004444B7" w:rsidP="00222CED">
      <w:pPr>
        <w:ind w:left="851"/>
        <w:rPr>
          <w:rFonts w:eastAsiaTheme="minorEastAsia"/>
          <w:sz w:val="24"/>
          <w:szCs w:val="24"/>
          <w:lang w:eastAsia="da-DK"/>
        </w:rPr>
      </w:pPr>
      <w:r w:rsidRPr="009636AC">
        <w:rPr>
          <w:rFonts w:eastAsiaTheme="minorEastAsia"/>
          <w:sz w:val="24"/>
          <w:szCs w:val="24"/>
          <w:lang w:eastAsia="da-DK"/>
        </w:rPr>
        <w:t>Bivirkningerne er anført efter MedDRA-systemorganklasse. Følgende konvention er brugt til klassificering af hyppigheden: meget almindelig: ≥ 1/10; almindelig: ≥ 1/100 til &lt; 1/10; ikke almindelig: ≥ 1/1.000 til &lt; 1/100; sjælden: ≥ 1/10.000 til &lt; 1/1.000; meget sjælden: &lt; 1/10.000) og ikke kendt (kan ikke estimeres ud fra forhåndenværende data).</w:t>
      </w:r>
    </w:p>
    <w:p w14:paraId="663D651D" w14:textId="77777777" w:rsidR="004444B7" w:rsidRPr="009636AC" w:rsidRDefault="004444B7" w:rsidP="00222CED">
      <w:pPr>
        <w:ind w:left="851"/>
        <w:rPr>
          <w:rFonts w:eastAsiaTheme="minorEastAsia"/>
          <w:sz w:val="24"/>
          <w:szCs w:val="24"/>
          <w:lang w:eastAsia="da-DK"/>
        </w:rPr>
      </w:pPr>
    </w:p>
    <w:p w14:paraId="5C5CE3F9" w14:textId="77777777" w:rsidR="004444B7" w:rsidRPr="009636AC" w:rsidRDefault="004444B7" w:rsidP="00222CED">
      <w:pPr>
        <w:ind w:left="851"/>
        <w:rPr>
          <w:rFonts w:eastAsiaTheme="minorEastAsia"/>
          <w:sz w:val="24"/>
          <w:szCs w:val="24"/>
          <w:lang w:eastAsia="da-DK"/>
        </w:rPr>
      </w:pPr>
      <w:r w:rsidRPr="009636AC">
        <w:rPr>
          <w:rFonts w:eastAsiaTheme="minorEastAsia"/>
          <w:b/>
          <w:bCs/>
          <w:sz w:val="24"/>
          <w:szCs w:val="24"/>
          <w:lang w:eastAsia="da-DK"/>
        </w:rPr>
        <w:t>Tabel 4. Hyppighed for alle bivirkninger af alle grader og uanset kausalitet fra de pivotale registreringsstudier: JMEI</w:t>
      </w:r>
      <w:r w:rsidRPr="009636AC">
        <w:rPr>
          <w:rFonts w:eastAsiaTheme="minorEastAsia"/>
          <w:sz w:val="24"/>
          <w:szCs w:val="24"/>
          <w:lang w:eastAsia="da-DK"/>
        </w:rPr>
        <w:t xml:space="preserve"> </w:t>
      </w:r>
      <w:r w:rsidRPr="009636AC">
        <w:rPr>
          <w:rFonts w:eastAsiaTheme="minorEastAsia"/>
          <w:b/>
          <w:sz w:val="24"/>
          <w:szCs w:val="24"/>
          <w:lang w:eastAsia="da-DK"/>
        </w:rPr>
        <w:t>(pemetrexed vs. docetaxel), JMDB (pemetrexed og cisplatin versus gemcitabin og cisplatin, JMCH (pemetrexed plus cisplatin versus cisplatin), JMEN og PARAMOUNT (pemetrexed plus den bedste understøttende pleje versus placebo plus den bedste understøttende pleje) og fra efter markedsføringen.</w:t>
      </w:r>
    </w:p>
    <w:p w14:paraId="72A2AA82" w14:textId="77777777" w:rsidR="004444B7" w:rsidRPr="009636AC" w:rsidRDefault="004444B7" w:rsidP="004444B7">
      <w:pPr>
        <w:tabs>
          <w:tab w:val="left" w:pos="567"/>
        </w:tabs>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74"/>
        <w:gridCol w:w="1375"/>
        <w:gridCol w:w="1377"/>
        <w:gridCol w:w="1375"/>
        <w:gridCol w:w="1377"/>
        <w:gridCol w:w="1375"/>
        <w:gridCol w:w="1375"/>
      </w:tblGrid>
      <w:tr w:rsidR="004444B7" w:rsidRPr="009636AC" w14:paraId="2A08A5D6" w14:textId="77777777" w:rsidTr="00C418B9">
        <w:trPr>
          <w:trHeight w:hRule="exact" w:val="1317"/>
        </w:trPr>
        <w:tc>
          <w:tcPr>
            <w:tcW w:w="714" w:type="pct"/>
            <w:tcBorders>
              <w:top w:val="single" w:sz="4" w:space="0" w:color="000000"/>
              <w:left w:val="single" w:sz="4" w:space="0" w:color="000000"/>
              <w:bottom w:val="single" w:sz="4" w:space="0" w:color="000000"/>
              <w:right w:val="single" w:sz="4" w:space="0" w:color="000000"/>
            </w:tcBorders>
            <w:hideMark/>
          </w:tcPr>
          <w:p w14:paraId="6574425F" w14:textId="77777777" w:rsidR="004444B7" w:rsidRPr="009636AC" w:rsidRDefault="004444B7" w:rsidP="004862F7">
            <w:pPr>
              <w:widowControl w:val="0"/>
              <w:autoSpaceDE w:val="0"/>
              <w:autoSpaceDN w:val="0"/>
              <w:ind w:left="142" w:right="81"/>
              <w:rPr>
                <w:b/>
                <w:sz w:val="22"/>
                <w:szCs w:val="22"/>
              </w:rPr>
            </w:pPr>
            <w:r w:rsidRPr="009636AC">
              <w:rPr>
                <w:b/>
                <w:sz w:val="22"/>
                <w:szCs w:val="22"/>
              </w:rPr>
              <w:t xml:space="preserve">MedDRA-system-organklasse </w:t>
            </w:r>
          </w:p>
        </w:tc>
        <w:tc>
          <w:tcPr>
            <w:tcW w:w="714" w:type="pct"/>
            <w:tcBorders>
              <w:top w:val="single" w:sz="4" w:space="0" w:color="000000"/>
              <w:left w:val="single" w:sz="4" w:space="0" w:color="000000"/>
              <w:bottom w:val="single" w:sz="4" w:space="0" w:color="000000"/>
              <w:right w:val="single" w:sz="4" w:space="0" w:color="000000"/>
            </w:tcBorders>
            <w:hideMark/>
          </w:tcPr>
          <w:p w14:paraId="38232E2C" w14:textId="77777777" w:rsidR="004444B7" w:rsidRPr="009636AC" w:rsidRDefault="004444B7" w:rsidP="004862F7">
            <w:pPr>
              <w:widowControl w:val="0"/>
              <w:autoSpaceDE w:val="0"/>
              <w:autoSpaceDN w:val="0"/>
              <w:spacing w:line="252" w:lineRule="exact"/>
              <w:ind w:left="142" w:right="81"/>
              <w:rPr>
                <w:b/>
                <w:sz w:val="22"/>
                <w:szCs w:val="22"/>
              </w:rPr>
            </w:pPr>
            <w:r w:rsidRPr="009636AC">
              <w:rPr>
                <w:b/>
                <w:sz w:val="22"/>
                <w:szCs w:val="22"/>
              </w:rPr>
              <w:t xml:space="preserve">Meget </w:t>
            </w:r>
          </w:p>
          <w:p w14:paraId="38AF2AE5" w14:textId="77777777" w:rsidR="004444B7" w:rsidRPr="009636AC" w:rsidRDefault="004444B7" w:rsidP="004862F7">
            <w:pPr>
              <w:widowControl w:val="0"/>
              <w:autoSpaceDE w:val="0"/>
              <w:autoSpaceDN w:val="0"/>
              <w:spacing w:line="252" w:lineRule="exact"/>
              <w:ind w:left="142" w:right="81"/>
              <w:rPr>
                <w:b/>
                <w:sz w:val="22"/>
                <w:szCs w:val="22"/>
              </w:rPr>
            </w:pPr>
            <w:r w:rsidRPr="009636AC">
              <w:rPr>
                <w:b/>
                <w:sz w:val="22"/>
                <w:szCs w:val="22"/>
              </w:rPr>
              <w:t>almindelig</w:t>
            </w:r>
          </w:p>
        </w:tc>
        <w:tc>
          <w:tcPr>
            <w:tcW w:w="715" w:type="pct"/>
            <w:tcBorders>
              <w:top w:val="single" w:sz="4" w:space="0" w:color="000000"/>
              <w:left w:val="single" w:sz="4" w:space="0" w:color="000000"/>
              <w:bottom w:val="single" w:sz="4" w:space="0" w:color="000000"/>
              <w:right w:val="single" w:sz="4" w:space="0" w:color="000000"/>
            </w:tcBorders>
            <w:hideMark/>
          </w:tcPr>
          <w:p w14:paraId="330D7606" w14:textId="77777777" w:rsidR="004444B7" w:rsidRPr="009636AC" w:rsidRDefault="004444B7" w:rsidP="004862F7">
            <w:pPr>
              <w:widowControl w:val="0"/>
              <w:autoSpaceDE w:val="0"/>
              <w:autoSpaceDN w:val="0"/>
              <w:spacing w:line="252" w:lineRule="exact"/>
              <w:ind w:left="142" w:right="81"/>
              <w:rPr>
                <w:b/>
                <w:sz w:val="22"/>
                <w:szCs w:val="22"/>
              </w:rPr>
            </w:pPr>
            <w:r w:rsidRPr="009636AC">
              <w:rPr>
                <w:b/>
                <w:sz w:val="22"/>
                <w:szCs w:val="22"/>
              </w:rPr>
              <w:t>Almindelig</w:t>
            </w:r>
          </w:p>
        </w:tc>
        <w:tc>
          <w:tcPr>
            <w:tcW w:w="714" w:type="pct"/>
            <w:tcBorders>
              <w:top w:val="single" w:sz="4" w:space="0" w:color="000000"/>
              <w:left w:val="single" w:sz="4" w:space="0" w:color="000000"/>
              <w:bottom w:val="single" w:sz="4" w:space="0" w:color="000000"/>
              <w:right w:val="single" w:sz="4" w:space="0" w:color="000000"/>
            </w:tcBorders>
            <w:hideMark/>
          </w:tcPr>
          <w:p w14:paraId="26758E10" w14:textId="77777777" w:rsidR="004444B7" w:rsidRPr="009636AC" w:rsidRDefault="004444B7" w:rsidP="004862F7">
            <w:pPr>
              <w:widowControl w:val="0"/>
              <w:autoSpaceDE w:val="0"/>
              <w:autoSpaceDN w:val="0"/>
              <w:spacing w:line="252" w:lineRule="exact"/>
              <w:ind w:left="142" w:right="81"/>
              <w:rPr>
                <w:b/>
                <w:sz w:val="22"/>
                <w:szCs w:val="22"/>
              </w:rPr>
            </w:pPr>
            <w:r w:rsidRPr="009636AC">
              <w:rPr>
                <w:b/>
                <w:sz w:val="22"/>
                <w:szCs w:val="22"/>
              </w:rPr>
              <w:t xml:space="preserve">Ikke </w:t>
            </w:r>
          </w:p>
          <w:p w14:paraId="06D7B30A" w14:textId="77777777" w:rsidR="004444B7" w:rsidRPr="009636AC" w:rsidRDefault="004444B7" w:rsidP="004862F7">
            <w:pPr>
              <w:widowControl w:val="0"/>
              <w:autoSpaceDE w:val="0"/>
              <w:autoSpaceDN w:val="0"/>
              <w:spacing w:line="252" w:lineRule="exact"/>
              <w:ind w:left="142" w:right="81"/>
              <w:rPr>
                <w:b/>
                <w:sz w:val="22"/>
                <w:szCs w:val="22"/>
              </w:rPr>
            </w:pPr>
            <w:r w:rsidRPr="009636AC">
              <w:rPr>
                <w:b/>
                <w:sz w:val="22"/>
                <w:szCs w:val="22"/>
              </w:rPr>
              <w:t>almindelig</w:t>
            </w:r>
          </w:p>
        </w:tc>
        <w:tc>
          <w:tcPr>
            <w:tcW w:w="715" w:type="pct"/>
            <w:tcBorders>
              <w:top w:val="single" w:sz="4" w:space="0" w:color="000000"/>
              <w:left w:val="single" w:sz="4" w:space="0" w:color="000000"/>
              <w:bottom w:val="single" w:sz="4" w:space="0" w:color="000000"/>
              <w:right w:val="single" w:sz="4" w:space="0" w:color="000000"/>
            </w:tcBorders>
            <w:hideMark/>
          </w:tcPr>
          <w:p w14:paraId="1BFC3517" w14:textId="77777777" w:rsidR="004444B7" w:rsidRPr="009636AC" w:rsidRDefault="004444B7" w:rsidP="004862F7">
            <w:pPr>
              <w:widowControl w:val="0"/>
              <w:autoSpaceDE w:val="0"/>
              <w:autoSpaceDN w:val="0"/>
              <w:spacing w:line="252" w:lineRule="exact"/>
              <w:ind w:left="142" w:right="81"/>
              <w:rPr>
                <w:b/>
                <w:sz w:val="22"/>
                <w:szCs w:val="22"/>
              </w:rPr>
            </w:pPr>
            <w:r w:rsidRPr="009636AC">
              <w:rPr>
                <w:b/>
                <w:sz w:val="22"/>
                <w:szCs w:val="22"/>
              </w:rPr>
              <w:t>Sjælden</w:t>
            </w:r>
          </w:p>
        </w:tc>
        <w:tc>
          <w:tcPr>
            <w:tcW w:w="714" w:type="pct"/>
            <w:tcBorders>
              <w:top w:val="single" w:sz="4" w:space="0" w:color="000000"/>
              <w:left w:val="single" w:sz="4" w:space="0" w:color="000000"/>
              <w:bottom w:val="single" w:sz="4" w:space="0" w:color="000000"/>
              <w:right w:val="single" w:sz="4" w:space="0" w:color="000000"/>
            </w:tcBorders>
            <w:hideMark/>
          </w:tcPr>
          <w:p w14:paraId="358D7E82" w14:textId="77777777" w:rsidR="004444B7" w:rsidRPr="009636AC" w:rsidRDefault="004444B7" w:rsidP="004862F7">
            <w:pPr>
              <w:widowControl w:val="0"/>
              <w:autoSpaceDE w:val="0"/>
              <w:autoSpaceDN w:val="0"/>
              <w:spacing w:line="252" w:lineRule="exact"/>
              <w:ind w:left="142" w:right="81"/>
              <w:rPr>
                <w:b/>
                <w:sz w:val="22"/>
                <w:szCs w:val="22"/>
              </w:rPr>
            </w:pPr>
            <w:r w:rsidRPr="009636AC">
              <w:rPr>
                <w:b/>
                <w:sz w:val="22"/>
                <w:szCs w:val="22"/>
              </w:rPr>
              <w:t xml:space="preserve">Meget </w:t>
            </w:r>
          </w:p>
          <w:p w14:paraId="103B2230" w14:textId="77777777" w:rsidR="004444B7" w:rsidRPr="009636AC" w:rsidRDefault="004444B7" w:rsidP="004862F7">
            <w:pPr>
              <w:widowControl w:val="0"/>
              <w:autoSpaceDE w:val="0"/>
              <w:autoSpaceDN w:val="0"/>
              <w:spacing w:line="252" w:lineRule="exact"/>
              <w:ind w:left="142" w:right="81"/>
              <w:rPr>
                <w:b/>
                <w:sz w:val="22"/>
                <w:szCs w:val="22"/>
              </w:rPr>
            </w:pPr>
            <w:r w:rsidRPr="009636AC">
              <w:rPr>
                <w:b/>
                <w:sz w:val="22"/>
                <w:szCs w:val="22"/>
              </w:rPr>
              <w:t>sjælden</w:t>
            </w:r>
          </w:p>
        </w:tc>
        <w:tc>
          <w:tcPr>
            <w:tcW w:w="715" w:type="pct"/>
            <w:tcBorders>
              <w:top w:val="single" w:sz="4" w:space="0" w:color="000000"/>
              <w:left w:val="single" w:sz="4" w:space="0" w:color="000000"/>
              <w:bottom w:val="single" w:sz="4" w:space="0" w:color="000000"/>
              <w:right w:val="single" w:sz="4" w:space="0" w:color="000000"/>
            </w:tcBorders>
            <w:hideMark/>
          </w:tcPr>
          <w:p w14:paraId="479B4090" w14:textId="77777777" w:rsidR="004444B7" w:rsidRPr="009636AC" w:rsidRDefault="004444B7" w:rsidP="004862F7">
            <w:pPr>
              <w:widowControl w:val="0"/>
              <w:autoSpaceDE w:val="0"/>
              <w:autoSpaceDN w:val="0"/>
              <w:ind w:left="142" w:right="81"/>
              <w:rPr>
                <w:b/>
                <w:sz w:val="22"/>
                <w:szCs w:val="22"/>
              </w:rPr>
            </w:pPr>
            <w:r w:rsidRPr="009636AC">
              <w:rPr>
                <w:b/>
                <w:sz w:val="22"/>
                <w:szCs w:val="22"/>
              </w:rPr>
              <w:t>Ikke kendt</w:t>
            </w:r>
          </w:p>
        </w:tc>
      </w:tr>
      <w:tr w:rsidR="004444B7" w:rsidRPr="009636AC" w14:paraId="1761DCF3" w14:textId="77777777" w:rsidTr="00C418B9">
        <w:trPr>
          <w:trHeight w:hRule="exact" w:val="1145"/>
        </w:trPr>
        <w:tc>
          <w:tcPr>
            <w:tcW w:w="714" w:type="pct"/>
            <w:tcBorders>
              <w:top w:val="single" w:sz="4" w:space="0" w:color="000000"/>
              <w:left w:val="single" w:sz="4" w:space="0" w:color="000000"/>
              <w:bottom w:val="single" w:sz="4" w:space="0" w:color="000000"/>
              <w:right w:val="single" w:sz="4" w:space="0" w:color="000000"/>
            </w:tcBorders>
            <w:hideMark/>
          </w:tcPr>
          <w:p w14:paraId="28CECE32" w14:textId="77777777" w:rsidR="004444B7" w:rsidRPr="009636AC" w:rsidRDefault="004444B7" w:rsidP="004862F7">
            <w:pPr>
              <w:widowControl w:val="0"/>
              <w:autoSpaceDE w:val="0"/>
              <w:autoSpaceDN w:val="0"/>
              <w:ind w:left="142" w:right="81"/>
              <w:rPr>
                <w:sz w:val="22"/>
                <w:szCs w:val="22"/>
              </w:rPr>
            </w:pPr>
            <w:r w:rsidRPr="009636AC">
              <w:rPr>
                <w:sz w:val="22"/>
                <w:szCs w:val="22"/>
              </w:rPr>
              <w:t>Infektioner og parasitære sygdomme</w:t>
            </w:r>
          </w:p>
        </w:tc>
        <w:tc>
          <w:tcPr>
            <w:tcW w:w="714" w:type="pct"/>
            <w:tcBorders>
              <w:top w:val="single" w:sz="4" w:space="0" w:color="000000"/>
              <w:left w:val="single" w:sz="4" w:space="0" w:color="000000"/>
              <w:bottom w:val="single" w:sz="4" w:space="0" w:color="000000"/>
              <w:right w:val="single" w:sz="4" w:space="0" w:color="000000"/>
            </w:tcBorders>
            <w:hideMark/>
          </w:tcPr>
          <w:p w14:paraId="20C92AA2" w14:textId="77777777" w:rsidR="004444B7" w:rsidRPr="009636AC" w:rsidRDefault="004444B7" w:rsidP="004862F7">
            <w:pPr>
              <w:widowControl w:val="0"/>
              <w:autoSpaceDE w:val="0"/>
              <w:autoSpaceDN w:val="0"/>
              <w:spacing w:before="2" w:line="252" w:lineRule="exact"/>
              <w:ind w:left="142" w:right="81"/>
              <w:rPr>
                <w:position w:val="8"/>
                <w:sz w:val="22"/>
                <w:szCs w:val="22"/>
              </w:rPr>
            </w:pPr>
            <w:r w:rsidRPr="009636AC">
              <w:rPr>
                <w:sz w:val="22"/>
                <w:szCs w:val="22"/>
              </w:rPr>
              <w:t>Infektion</w:t>
            </w:r>
            <w:r w:rsidRPr="009636AC">
              <w:rPr>
                <w:sz w:val="22"/>
                <w:szCs w:val="22"/>
                <w:vertAlign w:val="superscript"/>
              </w:rPr>
              <w:t>a</w:t>
            </w:r>
          </w:p>
          <w:p w14:paraId="607553DA" w14:textId="77777777" w:rsidR="004444B7" w:rsidRPr="009636AC" w:rsidRDefault="004444B7" w:rsidP="004862F7">
            <w:pPr>
              <w:widowControl w:val="0"/>
              <w:autoSpaceDE w:val="0"/>
              <w:autoSpaceDN w:val="0"/>
              <w:spacing w:before="2" w:line="252" w:lineRule="exact"/>
              <w:ind w:left="142" w:right="81"/>
              <w:rPr>
                <w:sz w:val="22"/>
                <w:szCs w:val="22"/>
              </w:rPr>
            </w:pPr>
            <w:r w:rsidRPr="009636AC">
              <w:rPr>
                <w:sz w:val="22"/>
                <w:szCs w:val="22"/>
              </w:rPr>
              <w:t>Faryngitis</w:t>
            </w:r>
          </w:p>
        </w:tc>
        <w:tc>
          <w:tcPr>
            <w:tcW w:w="715" w:type="pct"/>
            <w:tcBorders>
              <w:top w:val="single" w:sz="4" w:space="0" w:color="000000"/>
              <w:left w:val="single" w:sz="4" w:space="0" w:color="000000"/>
              <w:bottom w:val="single" w:sz="4" w:space="0" w:color="000000"/>
              <w:right w:val="single" w:sz="4" w:space="0" w:color="000000"/>
            </w:tcBorders>
            <w:hideMark/>
          </w:tcPr>
          <w:p w14:paraId="101ECB95"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Sepsis</w:t>
            </w:r>
            <w:r w:rsidRPr="009636AC">
              <w:rPr>
                <w:sz w:val="22"/>
                <w:szCs w:val="22"/>
                <w:vertAlign w:val="superscript"/>
              </w:rPr>
              <w:t>b</w:t>
            </w:r>
          </w:p>
        </w:tc>
        <w:tc>
          <w:tcPr>
            <w:tcW w:w="714" w:type="pct"/>
            <w:tcBorders>
              <w:top w:val="single" w:sz="4" w:space="0" w:color="000000"/>
              <w:left w:val="single" w:sz="4" w:space="0" w:color="000000"/>
              <w:bottom w:val="single" w:sz="4" w:space="0" w:color="000000"/>
              <w:right w:val="single" w:sz="4" w:space="0" w:color="000000"/>
            </w:tcBorders>
          </w:tcPr>
          <w:p w14:paraId="0874D080"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046F68EA"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hideMark/>
          </w:tcPr>
          <w:p w14:paraId="41188524" w14:textId="34BFC1B4" w:rsidR="004444B7" w:rsidRPr="009636AC" w:rsidRDefault="004444B7" w:rsidP="004862F7">
            <w:pPr>
              <w:widowControl w:val="0"/>
              <w:autoSpaceDE w:val="0"/>
              <w:autoSpaceDN w:val="0"/>
              <w:ind w:left="142" w:right="81"/>
              <w:rPr>
                <w:sz w:val="22"/>
                <w:szCs w:val="22"/>
              </w:rPr>
            </w:pPr>
            <w:r w:rsidRPr="009636AC">
              <w:rPr>
                <w:sz w:val="22"/>
                <w:szCs w:val="22"/>
              </w:rPr>
              <w:t>Dermohypodermi</w:t>
            </w:r>
            <w:r w:rsidR="00F749FC" w:rsidRPr="009636AC">
              <w:rPr>
                <w:sz w:val="22"/>
                <w:szCs w:val="22"/>
              </w:rPr>
              <w:softHyphen/>
            </w:r>
            <w:r w:rsidRPr="009636AC">
              <w:rPr>
                <w:sz w:val="22"/>
                <w:szCs w:val="22"/>
              </w:rPr>
              <w:t>tis</w:t>
            </w:r>
          </w:p>
        </w:tc>
        <w:tc>
          <w:tcPr>
            <w:tcW w:w="715" w:type="pct"/>
            <w:tcBorders>
              <w:top w:val="single" w:sz="4" w:space="0" w:color="000000"/>
              <w:left w:val="single" w:sz="4" w:space="0" w:color="000000"/>
              <w:bottom w:val="single" w:sz="4" w:space="0" w:color="000000"/>
              <w:right w:val="single" w:sz="4" w:space="0" w:color="000000"/>
            </w:tcBorders>
          </w:tcPr>
          <w:p w14:paraId="64B88F64" w14:textId="77777777" w:rsidR="004444B7" w:rsidRPr="009636AC" w:rsidRDefault="004444B7" w:rsidP="004862F7">
            <w:pPr>
              <w:tabs>
                <w:tab w:val="left" w:pos="567"/>
              </w:tabs>
              <w:spacing w:line="260" w:lineRule="exact"/>
              <w:ind w:left="142" w:right="81"/>
              <w:rPr>
                <w:sz w:val="22"/>
                <w:szCs w:val="22"/>
              </w:rPr>
            </w:pPr>
          </w:p>
        </w:tc>
      </w:tr>
      <w:tr w:rsidR="004444B7" w:rsidRPr="009636AC" w14:paraId="4C5C4353" w14:textId="77777777" w:rsidTr="00C418B9">
        <w:trPr>
          <w:trHeight w:hRule="exact" w:val="1854"/>
        </w:trPr>
        <w:tc>
          <w:tcPr>
            <w:tcW w:w="714" w:type="pct"/>
            <w:tcBorders>
              <w:top w:val="single" w:sz="4" w:space="0" w:color="000000"/>
              <w:left w:val="single" w:sz="4" w:space="0" w:color="000000"/>
              <w:bottom w:val="single" w:sz="4" w:space="0" w:color="000000"/>
              <w:right w:val="single" w:sz="4" w:space="0" w:color="000000"/>
            </w:tcBorders>
            <w:hideMark/>
          </w:tcPr>
          <w:p w14:paraId="20662627" w14:textId="77777777" w:rsidR="004444B7" w:rsidRPr="009636AC" w:rsidRDefault="004444B7" w:rsidP="004862F7">
            <w:pPr>
              <w:widowControl w:val="0"/>
              <w:autoSpaceDE w:val="0"/>
              <w:autoSpaceDN w:val="0"/>
              <w:ind w:left="142" w:right="81"/>
              <w:rPr>
                <w:sz w:val="22"/>
                <w:szCs w:val="22"/>
              </w:rPr>
            </w:pPr>
            <w:r w:rsidRPr="009636AC">
              <w:rPr>
                <w:sz w:val="22"/>
                <w:szCs w:val="22"/>
              </w:rPr>
              <w:t>Blod og lymfesystem</w:t>
            </w:r>
          </w:p>
        </w:tc>
        <w:tc>
          <w:tcPr>
            <w:tcW w:w="714" w:type="pct"/>
            <w:tcBorders>
              <w:top w:val="single" w:sz="4" w:space="0" w:color="000000"/>
              <w:left w:val="single" w:sz="4" w:space="0" w:color="000000"/>
              <w:bottom w:val="single" w:sz="4" w:space="0" w:color="000000"/>
              <w:right w:val="single" w:sz="4" w:space="0" w:color="000000"/>
            </w:tcBorders>
            <w:hideMark/>
          </w:tcPr>
          <w:p w14:paraId="09D271C6" w14:textId="77777777" w:rsidR="004444B7" w:rsidRPr="009636AC" w:rsidRDefault="004444B7" w:rsidP="004862F7">
            <w:pPr>
              <w:widowControl w:val="0"/>
              <w:autoSpaceDE w:val="0"/>
              <w:autoSpaceDN w:val="0"/>
              <w:ind w:left="142" w:right="81"/>
              <w:rPr>
                <w:sz w:val="22"/>
                <w:szCs w:val="22"/>
              </w:rPr>
            </w:pPr>
            <w:r w:rsidRPr="009636AC">
              <w:rPr>
                <w:sz w:val="22"/>
                <w:szCs w:val="22"/>
              </w:rPr>
              <w:t>Neutropeni</w:t>
            </w:r>
          </w:p>
          <w:p w14:paraId="696376F8" w14:textId="77777777" w:rsidR="004444B7" w:rsidRPr="009636AC" w:rsidRDefault="004444B7" w:rsidP="004862F7">
            <w:pPr>
              <w:widowControl w:val="0"/>
              <w:autoSpaceDE w:val="0"/>
              <w:autoSpaceDN w:val="0"/>
              <w:ind w:left="142" w:right="81"/>
              <w:rPr>
                <w:sz w:val="22"/>
                <w:szCs w:val="22"/>
              </w:rPr>
            </w:pPr>
            <w:r w:rsidRPr="009636AC">
              <w:rPr>
                <w:sz w:val="22"/>
                <w:szCs w:val="22"/>
              </w:rPr>
              <w:t>Leukopeni</w:t>
            </w:r>
          </w:p>
          <w:p w14:paraId="27D7F138" w14:textId="03197814" w:rsidR="004444B7" w:rsidRPr="009636AC" w:rsidRDefault="004444B7" w:rsidP="004862F7">
            <w:pPr>
              <w:widowControl w:val="0"/>
              <w:autoSpaceDE w:val="0"/>
              <w:autoSpaceDN w:val="0"/>
              <w:ind w:left="142" w:right="81"/>
              <w:rPr>
                <w:sz w:val="22"/>
                <w:szCs w:val="22"/>
              </w:rPr>
            </w:pPr>
            <w:r w:rsidRPr="009636AC">
              <w:rPr>
                <w:sz w:val="22"/>
                <w:szCs w:val="22"/>
              </w:rPr>
              <w:t>Nedsat hæmoglo</w:t>
            </w:r>
            <w:r w:rsidR="00F749FC" w:rsidRPr="009636AC">
              <w:rPr>
                <w:sz w:val="22"/>
                <w:szCs w:val="22"/>
              </w:rPr>
              <w:softHyphen/>
            </w:r>
            <w:r w:rsidRPr="009636AC">
              <w:rPr>
                <w:sz w:val="22"/>
                <w:szCs w:val="22"/>
              </w:rPr>
              <w:t xml:space="preserve">bin </w:t>
            </w:r>
          </w:p>
        </w:tc>
        <w:tc>
          <w:tcPr>
            <w:tcW w:w="715" w:type="pct"/>
            <w:tcBorders>
              <w:top w:val="single" w:sz="4" w:space="0" w:color="000000"/>
              <w:left w:val="single" w:sz="4" w:space="0" w:color="000000"/>
              <w:bottom w:val="single" w:sz="4" w:space="0" w:color="000000"/>
              <w:right w:val="single" w:sz="4" w:space="0" w:color="000000"/>
            </w:tcBorders>
            <w:hideMark/>
          </w:tcPr>
          <w:p w14:paraId="224DC51E" w14:textId="77777777" w:rsidR="004444B7" w:rsidRPr="009636AC" w:rsidRDefault="004444B7" w:rsidP="004862F7">
            <w:pPr>
              <w:widowControl w:val="0"/>
              <w:autoSpaceDE w:val="0"/>
              <w:autoSpaceDN w:val="0"/>
              <w:ind w:left="142" w:right="81"/>
              <w:rPr>
                <w:sz w:val="22"/>
                <w:szCs w:val="22"/>
              </w:rPr>
            </w:pPr>
            <w:r w:rsidRPr="009636AC">
              <w:rPr>
                <w:sz w:val="22"/>
                <w:szCs w:val="22"/>
              </w:rPr>
              <w:t>Febril neutropeni</w:t>
            </w:r>
          </w:p>
          <w:p w14:paraId="1C8FC639" w14:textId="193F99BD" w:rsidR="004444B7" w:rsidRPr="009636AC" w:rsidRDefault="004444B7" w:rsidP="004862F7">
            <w:pPr>
              <w:widowControl w:val="0"/>
              <w:autoSpaceDE w:val="0"/>
              <w:autoSpaceDN w:val="0"/>
              <w:ind w:left="142" w:right="81"/>
              <w:rPr>
                <w:sz w:val="22"/>
                <w:szCs w:val="22"/>
              </w:rPr>
            </w:pPr>
            <w:r w:rsidRPr="009636AC">
              <w:rPr>
                <w:sz w:val="22"/>
                <w:szCs w:val="22"/>
              </w:rPr>
              <w:t>Nedsat trombocyttal</w:t>
            </w:r>
          </w:p>
        </w:tc>
        <w:tc>
          <w:tcPr>
            <w:tcW w:w="714" w:type="pct"/>
            <w:tcBorders>
              <w:top w:val="single" w:sz="4" w:space="0" w:color="000000"/>
              <w:left w:val="single" w:sz="4" w:space="0" w:color="000000"/>
              <w:bottom w:val="single" w:sz="4" w:space="0" w:color="000000"/>
              <w:right w:val="single" w:sz="4" w:space="0" w:color="000000"/>
            </w:tcBorders>
            <w:hideMark/>
          </w:tcPr>
          <w:p w14:paraId="52B446A2"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Pancytopeni</w:t>
            </w:r>
          </w:p>
        </w:tc>
        <w:tc>
          <w:tcPr>
            <w:tcW w:w="715" w:type="pct"/>
            <w:tcBorders>
              <w:top w:val="single" w:sz="4" w:space="0" w:color="000000"/>
              <w:left w:val="single" w:sz="4" w:space="0" w:color="000000"/>
              <w:bottom w:val="single" w:sz="4" w:space="0" w:color="000000"/>
              <w:right w:val="single" w:sz="4" w:space="0" w:color="000000"/>
            </w:tcBorders>
            <w:hideMark/>
          </w:tcPr>
          <w:p w14:paraId="69068B18" w14:textId="3B76D4BB" w:rsidR="004444B7" w:rsidRPr="009636AC" w:rsidRDefault="004444B7" w:rsidP="004862F7">
            <w:pPr>
              <w:widowControl w:val="0"/>
              <w:autoSpaceDE w:val="0"/>
              <w:autoSpaceDN w:val="0"/>
              <w:ind w:left="142" w:right="81"/>
              <w:rPr>
                <w:sz w:val="22"/>
                <w:szCs w:val="22"/>
              </w:rPr>
            </w:pPr>
            <w:r w:rsidRPr="009636AC">
              <w:rPr>
                <w:sz w:val="22"/>
                <w:szCs w:val="22"/>
              </w:rPr>
              <w:t>Autoimmun</w:t>
            </w:r>
            <w:r w:rsidR="0033075E" w:rsidRPr="009636AC">
              <w:rPr>
                <w:sz w:val="22"/>
                <w:szCs w:val="22"/>
              </w:rPr>
              <w:softHyphen/>
            </w:r>
            <w:r w:rsidRPr="009636AC">
              <w:rPr>
                <w:sz w:val="22"/>
                <w:szCs w:val="22"/>
              </w:rPr>
              <w:t>hæmolytisk anæmi</w:t>
            </w:r>
          </w:p>
        </w:tc>
        <w:tc>
          <w:tcPr>
            <w:tcW w:w="714" w:type="pct"/>
            <w:tcBorders>
              <w:top w:val="single" w:sz="4" w:space="0" w:color="000000"/>
              <w:left w:val="single" w:sz="4" w:space="0" w:color="000000"/>
              <w:bottom w:val="single" w:sz="4" w:space="0" w:color="000000"/>
              <w:right w:val="single" w:sz="4" w:space="0" w:color="000000"/>
            </w:tcBorders>
          </w:tcPr>
          <w:p w14:paraId="3B12F42E"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612E6818" w14:textId="77777777" w:rsidR="004444B7" w:rsidRPr="009636AC" w:rsidRDefault="004444B7" w:rsidP="004862F7">
            <w:pPr>
              <w:tabs>
                <w:tab w:val="left" w:pos="567"/>
              </w:tabs>
              <w:spacing w:line="260" w:lineRule="exact"/>
              <w:ind w:left="142" w:right="81"/>
              <w:rPr>
                <w:sz w:val="22"/>
                <w:szCs w:val="22"/>
              </w:rPr>
            </w:pPr>
          </w:p>
        </w:tc>
      </w:tr>
      <w:tr w:rsidR="004444B7" w:rsidRPr="009636AC" w14:paraId="14A60673" w14:textId="77777777" w:rsidTr="00C418B9">
        <w:trPr>
          <w:trHeight w:hRule="exact" w:val="859"/>
        </w:trPr>
        <w:tc>
          <w:tcPr>
            <w:tcW w:w="714" w:type="pct"/>
            <w:tcBorders>
              <w:top w:val="single" w:sz="4" w:space="0" w:color="000000"/>
              <w:left w:val="single" w:sz="4" w:space="0" w:color="000000"/>
              <w:bottom w:val="single" w:sz="4" w:space="0" w:color="000000"/>
              <w:right w:val="single" w:sz="4" w:space="0" w:color="000000"/>
            </w:tcBorders>
            <w:hideMark/>
          </w:tcPr>
          <w:p w14:paraId="0A8FA27E" w14:textId="07593E4A" w:rsidR="004444B7" w:rsidRPr="009636AC" w:rsidRDefault="004444B7" w:rsidP="004862F7">
            <w:pPr>
              <w:widowControl w:val="0"/>
              <w:autoSpaceDE w:val="0"/>
              <w:autoSpaceDN w:val="0"/>
              <w:ind w:left="142" w:right="81"/>
              <w:rPr>
                <w:sz w:val="22"/>
                <w:szCs w:val="22"/>
              </w:rPr>
            </w:pPr>
            <w:r w:rsidRPr="009636AC">
              <w:rPr>
                <w:sz w:val="22"/>
                <w:szCs w:val="22"/>
              </w:rPr>
              <w:t>Immunsystemet</w:t>
            </w:r>
          </w:p>
        </w:tc>
        <w:tc>
          <w:tcPr>
            <w:tcW w:w="714" w:type="pct"/>
            <w:tcBorders>
              <w:top w:val="single" w:sz="4" w:space="0" w:color="000000"/>
              <w:left w:val="single" w:sz="4" w:space="0" w:color="000000"/>
              <w:bottom w:val="single" w:sz="4" w:space="0" w:color="000000"/>
              <w:right w:val="single" w:sz="4" w:space="0" w:color="000000"/>
            </w:tcBorders>
          </w:tcPr>
          <w:p w14:paraId="43597F5C"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5B77C01E" w14:textId="05B757ED" w:rsidR="004444B7" w:rsidRPr="009636AC" w:rsidRDefault="004444B7" w:rsidP="004862F7">
            <w:pPr>
              <w:widowControl w:val="0"/>
              <w:autoSpaceDE w:val="0"/>
              <w:autoSpaceDN w:val="0"/>
              <w:ind w:left="142" w:right="81"/>
              <w:rPr>
                <w:sz w:val="22"/>
                <w:szCs w:val="22"/>
              </w:rPr>
            </w:pPr>
            <w:r w:rsidRPr="009636AC">
              <w:rPr>
                <w:sz w:val="22"/>
                <w:szCs w:val="22"/>
              </w:rPr>
              <w:t>Hypersensitivi</w:t>
            </w:r>
            <w:r w:rsidR="00F749FC" w:rsidRPr="009636AC">
              <w:rPr>
                <w:sz w:val="22"/>
                <w:szCs w:val="22"/>
              </w:rPr>
              <w:softHyphen/>
            </w:r>
            <w:r w:rsidRPr="009636AC">
              <w:rPr>
                <w:sz w:val="22"/>
                <w:szCs w:val="22"/>
              </w:rPr>
              <w:t>tet</w:t>
            </w:r>
          </w:p>
        </w:tc>
        <w:tc>
          <w:tcPr>
            <w:tcW w:w="714" w:type="pct"/>
            <w:tcBorders>
              <w:top w:val="single" w:sz="4" w:space="0" w:color="000000"/>
              <w:left w:val="single" w:sz="4" w:space="0" w:color="000000"/>
              <w:bottom w:val="single" w:sz="4" w:space="0" w:color="000000"/>
              <w:right w:val="single" w:sz="4" w:space="0" w:color="000000"/>
            </w:tcBorders>
          </w:tcPr>
          <w:p w14:paraId="1C12149E"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7CADC371" w14:textId="58CBE891" w:rsidR="004444B7" w:rsidRPr="009636AC" w:rsidRDefault="004444B7" w:rsidP="004862F7">
            <w:pPr>
              <w:widowControl w:val="0"/>
              <w:autoSpaceDE w:val="0"/>
              <w:autoSpaceDN w:val="0"/>
              <w:ind w:left="142" w:right="81"/>
              <w:rPr>
                <w:sz w:val="22"/>
                <w:szCs w:val="22"/>
              </w:rPr>
            </w:pPr>
            <w:r w:rsidRPr="009636AC">
              <w:rPr>
                <w:sz w:val="22"/>
                <w:szCs w:val="22"/>
              </w:rPr>
              <w:t>Anafylaktisk shock</w:t>
            </w:r>
          </w:p>
        </w:tc>
        <w:tc>
          <w:tcPr>
            <w:tcW w:w="714" w:type="pct"/>
            <w:tcBorders>
              <w:top w:val="single" w:sz="4" w:space="0" w:color="000000"/>
              <w:left w:val="single" w:sz="4" w:space="0" w:color="000000"/>
              <w:bottom w:val="single" w:sz="4" w:space="0" w:color="000000"/>
              <w:right w:val="single" w:sz="4" w:space="0" w:color="000000"/>
            </w:tcBorders>
          </w:tcPr>
          <w:p w14:paraId="312FC248"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103D244B" w14:textId="77777777" w:rsidR="004444B7" w:rsidRPr="009636AC" w:rsidRDefault="004444B7" w:rsidP="004862F7">
            <w:pPr>
              <w:tabs>
                <w:tab w:val="left" w:pos="567"/>
              </w:tabs>
              <w:spacing w:line="260" w:lineRule="exact"/>
              <w:ind w:left="142" w:right="81"/>
              <w:rPr>
                <w:sz w:val="22"/>
                <w:szCs w:val="22"/>
              </w:rPr>
            </w:pPr>
          </w:p>
        </w:tc>
      </w:tr>
      <w:tr w:rsidR="004444B7" w:rsidRPr="009636AC" w14:paraId="3A197A20" w14:textId="77777777" w:rsidTr="00C418B9">
        <w:trPr>
          <w:trHeight w:hRule="exact" w:val="1127"/>
        </w:trPr>
        <w:tc>
          <w:tcPr>
            <w:tcW w:w="714" w:type="pct"/>
            <w:tcBorders>
              <w:top w:val="single" w:sz="4" w:space="0" w:color="000000"/>
              <w:left w:val="single" w:sz="4" w:space="0" w:color="000000"/>
              <w:bottom w:val="single" w:sz="4" w:space="0" w:color="000000"/>
              <w:right w:val="single" w:sz="4" w:space="0" w:color="000000"/>
            </w:tcBorders>
            <w:hideMark/>
          </w:tcPr>
          <w:p w14:paraId="40521BE8" w14:textId="5CBC87E0" w:rsidR="004444B7" w:rsidRPr="009636AC" w:rsidRDefault="004444B7" w:rsidP="004862F7">
            <w:pPr>
              <w:widowControl w:val="0"/>
              <w:autoSpaceDE w:val="0"/>
              <w:autoSpaceDN w:val="0"/>
              <w:ind w:left="142" w:right="81"/>
              <w:rPr>
                <w:sz w:val="22"/>
                <w:szCs w:val="22"/>
              </w:rPr>
            </w:pPr>
            <w:r w:rsidRPr="009636AC">
              <w:rPr>
                <w:sz w:val="22"/>
                <w:szCs w:val="22"/>
              </w:rPr>
              <w:t>Metabolisme og ernæring</w:t>
            </w:r>
          </w:p>
        </w:tc>
        <w:tc>
          <w:tcPr>
            <w:tcW w:w="714" w:type="pct"/>
            <w:tcBorders>
              <w:top w:val="single" w:sz="4" w:space="0" w:color="000000"/>
              <w:left w:val="single" w:sz="4" w:space="0" w:color="000000"/>
              <w:bottom w:val="single" w:sz="4" w:space="0" w:color="000000"/>
              <w:right w:val="single" w:sz="4" w:space="0" w:color="000000"/>
            </w:tcBorders>
          </w:tcPr>
          <w:p w14:paraId="29055A9D"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4D720FE0"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Dehydrering</w:t>
            </w:r>
          </w:p>
        </w:tc>
        <w:tc>
          <w:tcPr>
            <w:tcW w:w="714" w:type="pct"/>
            <w:tcBorders>
              <w:top w:val="single" w:sz="4" w:space="0" w:color="000000"/>
              <w:left w:val="single" w:sz="4" w:space="0" w:color="000000"/>
              <w:bottom w:val="single" w:sz="4" w:space="0" w:color="000000"/>
              <w:right w:val="single" w:sz="4" w:space="0" w:color="000000"/>
            </w:tcBorders>
          </w:tcPr>
          <w:p w14:paraId="2BD7F239"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16743320"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02DA11DE"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02EC30D1" w14:textId="77777777" w:rsidR="004444B7" w:rsidRPr="009636AC" w:rsidRDefault="004444B7" w:rsidP="004862F7">
            <w:pPr>
              <w:tabs>
                <w:tab w:val="left" w:pos="567"/>
              </w:tabs>
              <w:spacing w:line="260" w:lineRule="exact"/>
              <w:ind w:left="142" w:right="81"/>
              <w:rPr>
                <w:sz w:val="22"/>
                <w:szCs w:val="22"/>
              </w:rPr>
            </w:pPr>
          </w:p>
        </w:tc>
      </w:tr>
      <w:tr w:rsidR="004444B7" w:rsidRPr="009636AC" w14:paraId="78665A11" w14:textId="77777777" w:rsidTr="00C418B9">
        <w:trPr>
          <w:trHeight w:hRule="exact" w:val="2634"/>
        </w:trPr>
        <w:tc>
          <w:tcPr>
            <w:tcW w:w="714" w:type="pct"/>
            <w:tcBorders>
              <w:top w:val="single" w:sz="4" w:space="0" w:color="000000"/>
              <w:left w:val="single" w:sz="4" w:space="0" w:color="000000"/>
              <w:bottom w:val="single" w:sz="4" w:space="0" w:color="000000"/>
              <w:right w:val="single" w:sz="4" w:space="0" w:color="000000"/>
            </w:tcBorders>
            <w:hideMark/>
          </w:tcPr>
          <w:p w14:paraId="7E6EF0F0" w14:textId="352B816D" w:rsidR="004444B7" w:rsidRPr="009636AC" w:rsidRDefault="004444B7" w:rsidP="004862F7">
            <w:pPr>
              <w:widowControl w:val="0"/>
              <w:autoSpaceDE w:val="0"/>
              <w:autoSpaceDN w:val="0"/>
              <w:ind w:left="142" w:right="81"/>
              <w:rPr>
                <w:sz w:val="22"/>
                <w:szCs w:val="22"/>
              </w:rPr>
            </w:pPr>
            <w:r w:rsidRPr="009636AC">
              <w:rPr>
                <w:sz w:val="22"/>
                <w:szCs w:val="22"/>
              </w:rPr>
              <w:lastRenderedPageBreak/>
              <w:t>Nervesystemet</w:t>
            </w:r>
          </w:p>
        </w:tc>
        <w:tc>
          <w:tcPr>
            <w:tcW w:w="714" w:type="pct"/>
            <w:tcBorders>
              <w:top w:val="single" w:sz="4" w:space="0" w:color="000000"/>
              <w:left w:val="single" w:sz="4" w:space="0" w:color="000000"/>
              <w:bottom w:val="single" w:sz="4" w:space="0" w:color="000000"/>
              <w:right w:val="single" w:sz="4" w:space="0" w:color="000000"/>
            </w:tcBorders>
          </w:tcPr>
          <w:p w14:paraId="011E1F27"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7B9DC74C" w14:textId="75680A56" w:rsidR="004444B7" w:rsidRPr="009636AC" w:rsidRDefault="004444B7" w:rsidP="004862F7">
            <w:pPr>
              <w:widowControl w:val="0"/>
              <w:autoSpaceDE w:val="0"/>
              <w:autoSpaceDN w:val="0"/>
              <w:ind w:left="142" w:right="81"/>
              <w:rPr>
                <w:sz w:val="22"/>
                <w:szCs w:val="22"/>
              </w:rPr>
            </w:pPr>
            <w:r w:rsidRPr="009636AC">
              <w:rPr>
                <w:sz w:val="22"/>
                <w:szCs w:val="22"/>
              </w:rPr>
              <w:t>Smagsforstyrrelser</w:t>
            </w:r>
          </w:p>
          <w:p w14:paraId="6EF3AE49" w14:textId="77777777" w:rsidR="004444B7" w:rsidRPr="009636AC" w:rsidRDefault="004444B7" w:rsidP="004862F7">
            <w:pPr>
              <w:widowControl w:val="0"/>
              <w:autoSpaceDE w:val="0"/>
              <w:autoSpaceDN w:val="0"/>
              <w:ind w:left="142" w:right="81"/>
              <w:rPr>
                <w:sz w:val="22"/>
                <w:szCs w:val="22"/>
              </w:rPr>
            </w:pPr>
            <w:r w:rsidRPr="009636AC">
              <w:rPr>
                <w:sz w:val="22"/>
                <w:szCs w:val="22"/>
              </w:rPr>
              <w:t>Perifer motorisk neuropati</w:t>
            </w:r>
          </w:p>
          <w:p w14:paraId="15721FAE" w14:textId="77777777" w:rsidR="004444B7" w:rsidRPr="009636AC" w:rsidRDefault="004444B7" w:rsidP="004862F7">
            <w:pPr>
              <w:widowControl w:val="0"/>
              <w:autoSpaceDE w:val="0"/>
              <w:autoSpaceDN w:val="0"/>
              <w:ind w:left="142" w:right="81"/>
              <w:rPr>
                <w:sz w:val="22"/>
                <w:szCs w:val="22"/>
              </w:rPr>
            </w:pPr>
            <w:r w:rsidRPr="009636AC">
              <w:rPr>
                <w:sz w:val="22"/>
                <w:szCs w:val="22"/>
              </w:rPr>
              <w:t xml:space="preserve">Perifer sensorisk neuropati </w:t>
            </w:r>
          </w:p>
          <w:p w14:paraId="5636251C" w14:textId="77777777" w:rsidR="004444B7" w:rsidRPr="009636AC" w:rsidRDefault="004444B7" w:rsidP="004862F7">
            <w:pPr>
              <w:widowControl w:val="0"/>
              <w:autoSpaceDE w:val="0"/>
              <w:autoSpaceDN w:val="0"/>
              <w:ind w:left="142" w:right="81"/>
              <w:rPr>
                <w:sz w:val="22"/>
                <w:szCs w:val="22"/>
              </w:rPr>
            </w:pPr>
            <w:r w:rsidRPr="009636AC">
              <w:rPr>
                <w:sz w:val="22"/>
                <w:szCs w:val="22"/>
              </w:rPr>
              <w:t>Svimmelhed</w:t>
            </w:r>
          </w:p>
        </w:tc>
        <w:tc>
          <w:tcPr>
            <w:tcW w:w="714" w:type="pct"/>
            <w:tcBorders>
              <w:top w:val="single" w:sz="4" w:space="0" w:color="000000"/>
              <w:left w:val="single" w:sz="4" w:space="0" w:color="000000"/>
              <w:bottom w:val="single" w:sz="4" w:space="0" w:color="000000"/>
              <w:right w:val="single" w:sz="4" w:space="0" w:color="000000"/>
            </w:tcBorders>
            <w:hideMark/>
          </w:tcPr>
          <w:p w14:paraId="763A8746" w14:textId="21A5EC54" w:rsidR="004444B7" w:rsidRPr="009636AC" w:rsidRDefault="004444B7" w:rsidP="004862F7">
            <w:pPr>
              <w:widowControl w:val="0"/>
              <w:autoSpaceDE w:val="0"/>
              <w:autoSpaceDN w:val="0"/>
              <w:ind w:left="142" w:right="81"/>
              <w:rPr>
                <w:sz w:val="22"/>
                <w:szCs w:val="22"/>
              </w:rPr>
            </w:pPr>
            <w:r w:rsidRPr="009636AC">
              <w:rPr>
                <w:sz w:val="22"/>
                <w:szCs w:val="22"/>
              </w:rPr>
              <w:t>Cerebrovaskulær hændelse</w:t>
            </w:r>
          </w:p>
          <w:p w14:paraId="3E647C0B" w14:textId="77777777" w:rsidR="004444B7" w:rsidRPr="009636AC" w:rsidRDefault="004444B7" w:rsidP="004862F7">
            <w:pPr>
              <w:widowControl w:val="0"/>
              <w:autoSpaceDE w:val="0"/>
              <w:autoSpaceDN w:val="0"/>
              <w:ind w:left="142" w:right="81"/>
              <w:rPr>
                <w:sz w:val="22"/>
                <w:szCs w:val="22"/>
              </w:rPr>
            </w:pPr>
            <w:r w:rsidRPr="009636AC">
              <w:rPr>
                <w:sz w:val="22"/>
                <w:szCs w:val="22"/>
              </w:rPr>
              <w:t>Iskæmisk apopleksi</w:t>
            </w:r>
          </w:p>
          <w:p w14:paraId="2FF79654" w14:textId="77777777" w:rsidR="004444B7" w:rsidRPr="009636AC" w:rsidRDefault="004444B7" w:rsidP="004862F7">
            <w:pPr>
              <w:widowControl w:val="0"/>
              <w:autoSpaceDE w:val="0"/>
              <w:autoSpaceDN w:val="0"/>
              <w:ind w:left="142" w:right="81"/>
              <w:rPr>
                <w:sz w:val="22"/>
                <w:szCs w:val="22"/>
              </w:rPr>
            </w:pPr>
            <w:r w:rsidRPr="009636AC">
              <w:rPr>
                <w:sz w:val="22"/>
                <w:szCs w:val="22"/>
              </w:rPr>
              <w:t>Intrakraniel blødning</w:t>
            </w:r>
          </w:p>
        </w:tc>
        <w:tc>
          <w:tcPr>
            <w:tcW w:w="715" w:type="pct"/>
            <w:tcBorders>
              <w:top w:val="single" w:sz="4" w:space="0" w:color="000000"/>
              <w:left w:val="single" w:sz="4" w:space="0" w:color="000000"/>
              <w:bottom w:val="single" w:sz="4" w:space="0" w:color="000000"/>
              <w:right w:val="single" w:sz="4" w:space="0" w:color="000000"/>
            </w:tcBorders>
          </w:tcPr>
          <w:p w14:paraId="484ED04F"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129A3E98"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4260032B" w14:textId="77777777" w:rsidR="004444B7" w:rsidRPr="009636AC" w:rsidRDefault="004444B7" w:rsidP="004862F7">
            <w:pPr>
              <w:tabs>
                <w:tab w:val="left" w:pos="567"/>
              </w:tabs>
              <w:spacing w:line="260" w:lineRule="exact"/>
              <w:ind w:left="142" w:right="81"/>
              <w:rPr>
                <w:sz w:val="22"/>
                <w:szCs w:val="22"/>
              </w:rPr>
            </w:pPr>
          </w:p>
        </w:tc>
      </w:tr>
      <w:tr w:rsidR="004444B7" w:rsidRPr="009636AC" w14:paraId="0DF35AD6" w14:textId="77777777" w:rsidTr="00C418B9">
        <w:trPr>
          <w:trHeight w:hRule="exact" w:val="3591"/>
        </w:trPr>
        <w:tc>
          <w:tcPr>
            <w:tcW w:w="714" w:type="pct"/>
            <w:tcBorders>
              <w:top w:val="single" w:sz="4" w:space="0" w:color="000000"/>
              <w:left w:val="single" w:sz="4" w:space="0" w:color="000000"/>
              <w:bottom w:val="single" w:sz="4" w:space="0" w:color="000000"/>
              <w:right w:val="single" w:sz="4" w:space="0" w:color="000000"/>
            </w:tcBorders>
            <w:hideMark/>
          </w:tcPr>
          <w:p w14:paraId="099A2907"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Øjne</w:t>
            </w:r>
          </w:p>
        </w:tc>
        <w:tc>
          <w:tcPr>
            <w:tcW w:w="714" w:type="pct"/>
            <w:tcBorders>
              <w:top w:val="single" w:sz="4" w:space="0" w:color="000000"/>
              <w:left w:val="single" w:sz="4" w:space="0" w:color="000000"/>
              <w:bottom w:val="single" w:sz="4" w:space="0" w:color="000000"/>
              <w:right w:val="single" w:sz="4" w:space="0" w:color="000000"/>
            </w:tcBorders>
          </w:tcPr>
          <w:p w14:paraId="7A24A5EA"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6AFE00EF" w14:textId="61110984" w:rsidR="004444B7" w:rsidRPr="009636AC" w:rsidRDefault="004444B7" w:rsidP="004862F7">
            <w:pPr>
              <w:widowControl w:val="0"/>
              <w:autoSpaceDE w:val="0"/>
              <w:autoSpaceDN w:val="0"/>
              <w:spacing w:before="1"/>
              <w:ind w:left="142" w:right="81"/>
              <w:rPr>
                <w:sz w:val="22"/>
                <w:szCs w:val="22"/>
              </w:rPr>
            </w:pPr>
            <w:r w:rsidRPr="009636AC">
              <w:rPr>
                <w:sz w:val="22"/>
                <w:szCs w:val="22"/>
              </w:rPr>
              <w:t>Konjunktivitis</w:t>
            </w:r>
          </w:p>
          <w:p w14:paraId="2D76C5A4"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Tørre øjne</w:t>
            </w:r>
          </w:p>
          <w:p w14:paraId="4088DEF3"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Øget tåresekretion</w:t>
            </w:r>
          </w:p>
          <w:p w14:paraId="5DDDD6DC"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 xml:space="preserve">Keratocon-junctivitis sicca </w:t>
            </w:r>
          </w:p>
          <w:p w14:paraId="228893CF"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Øjenlågs-ødem</w:t>
            </w:r>
          </w:p>
          <w:p w14:paraId="6C9B3687"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Øjen-Okulære overfladelidelser</w:t>
            </w:r>
          </w:p>
        </w:tc>
        <w:tc>
          <w:tcPr>
            <w:tcW w:w="714" w:type="pct"/>
            <w:tcBorders>
              <w:top w:val="single" w:sz="4" w:space="0" w:color="000000"/>
              <w:left w:val="single" w:sz="4" w:space="0" w:color="000000"/>
              <w:bottom w:val="single" w:sz="4" w:space="0" w:color="000000"/>
              <w:right w:val="single" w:sz="4" w:space="0" w:color="000000"/>
            </w:tcBorders>
          </w:tcPr>
          <w:p w14:paraId="1987BA14"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06FA4D70"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4B796FB1"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0CBEC760" w14:textId="77777777" w:rsidR="004444B7" w:rsidRPr="009636AC" w:rsidRDefault="004444B7" w:rsidP="004862F7">
            <w:pPr>
              <w:tabs>
                <w:tab w:val="left" w:pos="567"/>
              </w:tabs>
              <w:spacing w:line="260" w:lineRule="exact"/>
              <w:ind w:left="142" w:right="81"/>
              <w:rPr>
                <w:sz w:val="22"/>
                <w:szCs w:val="22"/>
              </w:rPr>
            </w:pPr>
          </w:p>
        </w:tc>
      </w:tr>
      <w:tr w:rsidR="004444B7" w:rsidRPr="009636AC" w14:paraId="2A1D8AFB" w14:textId="77777777" w:rsidTr="00C418B9">
        <w:trPr>
          <w:trHeight w:hRule="exact" w:val="3130"/>
        </w:trPr>
        <w:tc>
          <w:tcPr>
            <w:tcW w:w="714" w:type="pct"/>
            <w:tcBorders>
              <w:top w:val="single" w:sz="4" w:space="0" w:color="000000"/>
              <w:left w:val="single" w:sz="4" w:space="0" w:color="000000"/>
              <w:bottom w:val="single" w:sz="4" w:space="0" w:color="000000"/>
              <w:right w:val="single" w:sz="4" w:space="0" w:color="000000"/>
            </w:tcBorders>
            <w:hideMark/>
          </w:tcPr>
          <w:p w14:paraId="4BF0769E"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Hjerte</w:t>
            </w:r>
          </w:p>
        </w:tc>
        <w:tc>
          <w:tcPr>
            <w:tcW w:w="714" w:type="pct"/>
            <w:tcBorders>
              <w:top w:val="single" w:sz="4" w:space="0" w:color="000000"/>
              <w:left w:val="single" w:sz="4" w:space="0" w:color="000000"/>
              <w:bottom w:val="single" w:sz="4" w:space="0" w:color="000000"/>
              <w:right w:val="single" w:sz="4" w:space="0" w:color="000000"/>
            </w:tcBorders>
          </w:tcPr>
          <w:p w14:paraId="6303720C"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163B30B8"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Hjertesvigt</w:t>
            </w:r>
          </w:p>
          <w:p w14:paraId="77C8CE12"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Arytmi</w:t>
            </w:r>
          </w:p>
        </w:tc>
        <w:tc>
          <w:tcPr>
            <w:tcW w:w="714" w:type="pct"/>
            <w:tcBorders>
              <w:top w:val="single" w:sz="4" w:space="0" w:color="000000"/>
              <w:left w:val="single" w:sz="4" w:space="0" w:color="000000"/>
              <w:bottom w:val="single" w:sz="4" w:space="0" w:color="000000"/>
              <w:right w:val="single" w:sz="4" w:space="0" w:color="000000"/>
            </w:tcBorders>
            <w:hideMark/>
          </w:tcPr>
          <w:p w14:paraId="6D967076" w14:textId="77777777" w:rsidR="004444B7" w:rsidRPr="009636AC" w:rsidRDefault="004444B7" w:rsidP="004862F7">
            <w:pPr>
              <w:widowControl w:val="0"/>
              <w:autoSpaceDE w:val="0"/>
              <w:autoSpaceDN w:val="0"/>
              <w:spacing w:before="1"/>
              <w:ind w:left="142" w:right="81"/>
              <w:rPr>
                <w:sz w:val="22"/>
                <w:szCs w:val="22"/>
              </w:rPr>
            </w:pPr>
            <w:r w:rsidRPr="009636AC">
              <w:rPr>
                <w:sz w:val="22"/>
                <w:szCs w:val="22"/>
              </w:rPr>
              <w:t>Angina</w:t>
            </w:r>
          </w:p>
          <w:p w14:paraId="3F655CAC" w14:textId="65A6E9CA" w:rsidR="004444B7" w:rsidRPr="009636AC" w:rsidRDefault="004444B7" w:rsidP="004862F7">
            <w:pPr>
              <w:widowControl w:val="0"/>
              <w:autoSpaceDE w:val="0"/>
              <w:autoSpaceDN w:val="0"/>
              <w:spacing w:before="1"/>
              <w:ind w:left="142" w:right="81"/>
              <w:rPr>
                <w:b/>
                <w:sz w:val="22"/>
                <w:szCs w:val="22"/>
              </w:rPr>
            </w:pPr>
            <w:r w:rsidRPr="009636AC">
              <w:rPr>
                <w:sz w:val="22"/>
                <w:szCs w:val="22"/>
              </w:rPr>
              <w:t>Myokardieinfarkt</w:t>
            </w:r>
          </w:p>
          <w:p w14:paraId="751C09B0" w14:textId="77777777" w:rsidR="00E104B1" w:rsidRDefault="004444B7" w:rsidP="004862F7">
            <w:pPr>
              <w:widowControl w:val="0"/>
              <w:autoSpaceDE w:val="0"/>
              <w:autoSpaceDN w:val="0"/>
              <w:ind w:left="142" w:right="81"/>
              <w:rPr>
                <w:sz w:val="22"/>
                <w:szCs w:val="22"/>
              </w:rPr>
            </w:pPr>
            <w:r w:rsidRPr="009636AC">
              <w:rPr>
                <w:sz w:val="22"/>
                <w:szCs w:val="22"/>
              </w:rPr>
              <w:t xml:space="preserve">Koronar-arterie-sygdom </w:t>
            </w:r>
          </w:p>
          <w:p w14:paraId="2EA10B6D" w14:textId="1BCBD0F5" w:rsidR="004444B7" w:rsidRPr="009636AC" w:rsidRDefault="004444B7" w:rsidP="004862F7">
            <w:pPr>
              <w:widowControl w:val="0"/>
              <w:autoSpaceDE w:val="0"/>
              <w:autoSpaceDN w:val="0"/>
              <w:ind w:left="142" w:right="81"/>
              <w:rPr>
                <w:sz w:val="22"/>
                <w:szCs w:val="22"/>
              </w:rPr>
            </w:pPr>
            <w:r w:rsidRPr="009636AC">
              <w:rPr>
                <w:sz w:val="22"/>
                <w:szCs w:val="22"/>
              </w:rPr>
              <w:t>Supra-ventrikulær arytmi</w:t>
            </w:r>
          </w:p>
        </w:tc>
        <w:tc>
          <w:tcPr>
            <w:tcW w:w="715" w:type="pct"/>
            <w:tcBorders>
              <w:top w:val="single" w:sz="4" w:space="0" w:color="000000"/>
              <w:left w:val="single" w:sz="4" w:space="0" w:color="000000"/>
              <w:bottom w:val="single" w:sz="4" w:space="0" w:color="000000"/>
              <w:right w:val="single" w:sz="4" w:space="0" w:color="000000"/>
            </w:tcBorders>
          </w:tcPr>
          <w:p w14:paraId="73401F60"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7E008A5A"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75C88EDC" w14:textId="77777777" w:rsidR="004444B7" w:rsidRPr="009636AC" w:rsidRDefault="004444B7" w:rsidP="004862F7">
            <w:pPr>
              <w:tabs>
                <w:tab w:val="left" w:pos="567"/>
              </w:tabs>
              <w:spacing w:line="260" w:lineRule="exact"/>
              <w:ind w:left="142" w:right="81"/>
              <w:rPr>
                <w:sz w:val="22"/>
                <w:szCs w:val="22"/>
              </w:rPr>
            </w:pPr>
          </w:p>
        </w:tc>
      </w:tr>
      <w:tr w:rsidR="004444B7" w:rsidRPr="009636AC" w14:paraId="6F7E1FF6" w14:textId="77777777" w:rsidTr="00C418B9">
        <w:trPr>
          <w:trHeight w:hRule="exact" w:val="1132"/>
        </w:trPr>
        <w:tc>
          <w:tcPr>
            <w:tcW w:w="714" w:type="pct"/>
            <w:tcBorders>
              <w:top w:val="single" w:sz="4" w:space="0" w:color="000000"/>
              <w:left w:val="single" w:sz="4" w:space="0" w:color="000000"/>
              <w:bottom w:val="single" w:sz="4" w:space="0" w:color="000000"/>
              <w:right w:val="single" w:sz="4" w:space="0" w:color="000000"/>
            </w:tcBorders>
            <w:hideMark/>
          </w:tcPr>
          <w:p w14:paraId="4A6978CE" w14:textId="77777777" w:rsidR="004444B7" w:rsidRPr="009636AC" w:rsidRDefault="004444B7" w:rsidP="004862F7">
            <w:pPr>
              <w:widowControl w:val="0"/>
              <w:autoSpaceDE w:val="0"/>
              <w:autoSpaceDN w:val="0"/>
              <w:ind w:left="142" w:right="81"/>
              <w:rPr>
                <w:sz w:val="22"/>
                <w:szCs w:val="22"/>
              </w:rPr>
            </w:pPr>
            <w:r w:rsidRPr="009636AC">
              <w:rPr>
                <w:sz w:val="22"/>
                <w:szCs w:val="22"/>
              </w:rPr>
              <w:t>Vaskulære sygdomme</w:t>
            </w:r>
          </w:p>
        </w:tc>
        <w:tc>
          <w:tcPr>
            <w:tcW w:w="714" w:type="pct"/>
            <w:tcBorders>
              <w:top w:val="single" w:sz="4" w:space="0" w:color="000000"/>
              <w:left w:val="single" w:sz="4" w:space="0" w:color="000000"/>
              <w:bottom w:val="single" w:sz="4" w:space="0" w:color="000000"/>
              <w:right w:val="single" w:sz="4" w:space="0" w:color="000000"/>
            </w:tcBorders>
          </w:tcPr>
          <w:p w14:paraId="4B4C4476"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47EB4399"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hideMark/>
          </w:tcPr>
          <w:p w14:paraId="278D3188" w14:textId="77777777" w:rsidR="004444B7" w:rsidRPr="009636AC" w:rsidRDefault="004444B7" w:rsidP="004862F7">
            <w:pPr>
              <w:widowControl w:val="0"/>
              <w:autoSpaceDE w:val="0"/>
              <w:autoSpaceDN w:val="0"/>
              <w:spacing w:before="1" w:line="254" w:lineRule="exact"/>
              <w:ind w:left="142" w:right="81"/>
              <w:rPr>
                <w:sz w:val="22"/>
                <w:szCs w:val="22"/>
              </w:rPr>
            </w:pPr>
            <w:r w:rsidRPr="009636AC">
              <w:rPr>
                <w:sz w:val="22"/>
                <w:szCs w:val="22"/>
              </w:rPr>
              <w:t>Perifer iskæmi</w:t>
            </w:r>
            <w:r w:rsidRPr="009636AC">
              <w:rPr>
                <w:sz w:val="22"/>
                <w:szCs w:val="22"/>
                <w:vertAlign w:val="superscript"/>
              </w:rPr>
              <w:t>c</w:t>
            </w:r>
          </w:p>
        </w:tc>
        <w:tc>
          <w:tcPr>
            <w:tcW w:w="715" w:type="pct"/>
            <w:tcBorders>
              <w:top w:val="single" w:sz="4" w:space="0" w:color="000000"/>
              <w:left w:val="single" w:sz="4" w:space="0" w:color="000000"/>
              <w:bottom w:val="single" w:sz="4" w:space="0" w:color="000000"/>
              <w:right w:val="single" w:sz="4" w:space="0" w:color="000000"/>
            </w:tcBorders>
          </w:tcPr>
          <w:p w14:paraId="6EB1E5ED"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39CEA5CA"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47BB176A" w14:textId="77777777" w:rsidR="004444B7" w:rsidRPr="009636AC" w:rsidRDefault="004444B7" w:rsidP="004862F7">
            <w:pPr>
              <w:tabs>
                <w:tab w:val="left" w:pos="567"/>
              </w:tabs>
              <w:spacing w:line="260" w:lineRule="exact"/>
              <w:ind w:left="142" w:right="81"/>
              <w:rPr>
                <w:sz w:val="22"/>
                <w:szCs w:val="22"/>
              </w:rPr>
            </w:pPr>
          </w:p>
        </w:tc>
      </w:tr>
      <w:tr w:rsidR="004444B7" w:rsidRPr="009636AC" w14:paraId="3E8CF219" w14:textId="77777777" w:rsidTr="00C418B9">
        <w:trPr>
          <w:trHeight w:hRule="exact" w:val="1276"/>
        </w:trPr>
        <w:tc>
          <w:tcPr>
            <w:tcW w:w="714" w:type="pct"/>
            <w:tcBorders>
              <w:top w:val="single" w:sz="4" w:space="0" w:color="000000"/>
              <w:left w:val="single" w:sz="4" w:space="0" w:color="000000"/>
              <w:bottom w:val="single" w:sz="4" w:space="0" w:color="000000"/>
              <w:right w:val="single" w:sz="4" w:space="0" w:color="000000"/>
            </w:tcBorders>
            <w:hideMark/>
          </w:tcPr>
          <w:p w14:paraId="549D1421"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Luftveje, thorax og mediastinum</w:t>
            </w:r>
          </w:p>
        </w:tc>
        <w:tc>
          <w:tcPr>
            <w:tcW w:w="714" w:type="pct"/>
            <w:tcBorders>
              <w:top w:val="single" w:sz="4" w:space="0" w:color="000000"/>
              <w:left w:val="single" w:sz="4" w:space="0" w:color="000000"/>
              <w:bottom w:val="single" w:sz="4" w:space="0" w:color="000000"/>
              <w:right w:val="single" w:sz="4" w:space="0" w:color="000000"/>
            </w:tcBorders>
          </w:tcPr>
          <w:p w14:paraId="291A2841"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6B871F86"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hideMark/>
          </w:tcPr>
          <w:p w14:paraId="39D156AF"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Lungeemboli</w:t>
            </w:r>
          </w:p>
          <w:p w14:paraId="2EF74CEB"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Interstitiel pneumonitis</w:t>
            </w:r>
            <w:r w:rsidRPr="009636AC">
              <w:rPr>
                <w:sz w:val="22"/>
                <w:szCs w:val="22"/>
                <w:vertAlign w:val="superscript"/>
              </w:rPr>
              <w:t>bd</w:t>
            </w:r>
          </w:p>
        </w:tc>
        <w:tc>
          <w:tcPr>
            <w:tcW w:w="715" w:type="pct"/>
            <w:tcBorders>
              <w:top w:val="single" w:sz="4" w:space="0" w:color="000000"/>
              <w:left w:val="single" w:sz="4" w:space="0" w:color="000000"/>
              <w:bottom w:val="single" w:sz="4" w:space="0" w:color="000000"/>
              <w:right w:val="single" w:sz="4" w:space="0" w:color="000000"/>
            </w:tcBorders>
          </w:tcPr>
          <w:p w14:paraId="604EA8F0"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44B3E9A9"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4517D681" w14:textId="77777777" w:rsidR="004444B7" w:rsidRPr="009636AC" w:rsidRDefault="004444B7" w:rsidP="004862F7">
            <w:pPr>
              <w:tabs>
                <w:tab w:val="left" w:pos="567"/>
              </w:tabs>
              <w:spacing w:line="260" w:lineRule="exact"/>
              <w:ind w:left="142" w:right="81"/>
              <w:rPr>
                <w:sz w:val="22"/>
                <w:szCs w:val="22"/>
              </w:rPr>
            </w:pPr>
          </w:p>
        </w:tc>
      </w:tr>
      <w:tr w:rsidR="004444B7" w:rsidRPr="009636AC" w14:paraId="0B8C5E7B" w14:textId="77777777" w:rsidTr="00C418B9">
        <w:trPr>
          <w:trHeight w:hRule="exact" w:val="2401"/>
        </w:trPr>
        <w:tc>
          <w:tcPr>
            <w:tcW w:w="714" w:type="pct"/>
            <w:tcBorders>
              <w:top w:val="single" w:sz="4" w:space="0" w:color="000000"/>
              <w:left w:val="single" w:sz="4" w:space="0" w:color="000000"/>
              <w:bottom w:val="single" w:sz="4" w:space="0" w:color="000000"/>
              <w:right w:val="single" w:sz="4" w:space="0" w:color="000000"/>
            </w:tcBorders>
            <w:hideMark/>
          </w:tcPr>
          <w:p w14:paraId="40307DC0"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Mave-tarm-kanalen</w:t>
            </w:r>
          </w:p>
        </w:tc>
        <w:tc>
          <w:tcPr>
            <w:tcW w:w="714" w:type="pct"/>
            <w:tcBorders>
              <w:top w:val="single" w:sz="4" w:space="0" w:color="000000"/>
              <w:left w:val="single" w:sz="4" w:space="0" w:color="000000"/>
              <w:bottom w:val="single" w:sz="4" w:space="0" w:color="000000"/>
              <w:right w:val="single" w:sz="4" w:space="0" w:color="000000"/>
            </w:tcBorders>
            <w:hideMark/>
          </w:tcPr>
          <w:p w14:paraId="1F551255"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Stomatitis</w:t>
            </w:r>
          </w:p>
          <w:p w14:paraId="1DAD09B8"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Anoreksi</w:t>
            </w:r>
          </w:p>
          <w:p w14:paraId="125A8C39"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Opkastning</w:t>
            </w:r>
          </w:p>
          <w:p w14:paraId="36C218E9"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Diarré</w:t>
            </w:r>
          </w:p>
          <w:p w14:paraId="4F4270F2"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Kvalme</w:t>
            </w:r>
          </w:p>
        </w:tc>
        <w:tc>
          <w:tcPr>
            <w:tcW w:w="715" w:type="pct"/>
            <w:tcBorders>
              <w:top w:val="single" w:sz="4" w:space="0" w:color="000000"/>
              <w:left w:val="single" w:sz="4" w:space="0" w:color="000000"/>
              <w:bottom w:val="single" w:sz="4" w:space="0" w:color="000000"/>
              <w:right w:val="single" w:sz="4" w:space="0" w:color="000000"/>
            </w:tcBorders>
            <w:hideMark/>
          </w:tcPr>
          <w:p w14:paraId="42F3C6A3"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Dyspepsi</w:t>
            </w:r>
          </w:p>
          <w:p w14:paraId="1D182313"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Forstoppelse</w:t>
            </w:r>
          </w:p>
          <w:p w14:paraId="42064ACC"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Abdominalsmerter</w:t>
            </w:r>
          </w:p>
        </w:tc>
        <w:tc>
          <w:tcPr>
            <w:tcW w:w="714" w:type="pct"/>
            <w:tcBorders>
              <w:top w:val="single" w:sz="4" w:space="0" w:color="000000"/>
              <w:left w:val="single" w:sz="4" w:space="0" w:color="000000"/>
              <w:bottom w:val="single" w:sz="4" w:space="0" w:color="000000"/>
              <w:right w:val="single" w:sz="4" w:space="0" w:color="000000"/>
            </w:tcBorders>
            <w:hideMark/>
          </w:tcPr>
          <w:p w14:paraId="0670451C"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Rektal blødning</w:t>
            </w:r>
          </w:p>
          <w:p w14:paraId="1C180436" w14:textId="33616B72"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Gastrointestinal blødning</w:t>
            </w:r>
          </w:p>
          <w:p w14:paraId="60665891"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Intestinal perforation</w:t>
            </w:r>
          </w:p>
          <w:p w14:paraId="5160A16B"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Øsofagitis</w:t>
            </w:r>
          </w:p>
          <w:p w14:paraId="031D718C"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Colitis</w:t>
            </w:r>
            <w:r w:rsidRPr="009636AC">
              <w:rPr>
                <w:sz w:val="22"/>
                <w:szCs w:val="22"/>
                <w:vertAlign w:val="superscript"/>
              </w:rPr>
              <w:t>e</w:t>
            </w:r>
          </w:p>
        </w:tc>
        <w:tc>
          <w:tcPr>
            <w:tcW w:w="715" w:type="pct"/>
            <w:tcBorders>
              <w:top w:val="single" w:sz="4" w:space="0" w:color="000000"/>
              <w:left w:val="single" w:sz="4" w:space="0" w:color="000000"/>
              <w:bottom w:val="single" w:sz="4" w:space="0" w:color="000000"/>
              <w:right w:val="single" w:sz="4" w:space="0" w:color="000000"/>
            </w:tcBorders>
          </w:tcPr>
          <w:p w14:paraId="1B99BC03"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73CE82C0"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547AF16A" w14:textId="77777777" w:rsidR="004444B7" w:rsidRPr="009636AC" w:rsidRDefault="004444B7" w:rsidP="004862F7">
            <w:pPr>
              <w:tabs>
                <w:tab w:val="left" w:pos="567"/>
              </w:tabs>
              <w:spacing w:line="260" w:lineRule="exact"/>
              <w:ind w:left="142" w:right="81"/>
              <w:rPr>
                <w:sz w:val="22"/>
                <w:szCs w:val="22"/>
              </w:rPr>
            </w:pPr>
          </w:p>
        </w:tc>
      </w:tr>
      <w:tr w:rsidR="004444B7" w:rsidRPr="009636AC" w14:paraId="21CA62C6" w14:textId="77777777" w:rsidTr="00C418B9">
        <w:trPr>
          <w:trHeight w:hRule="exact" w:val="1713"/>
        </w:trPr>
        <w:tc>
          <w:tcPr>
            <w:tcW w:w="714" w:type="pct"/>
            <w:tcBorders>
              <w:top w:val="single" w:sz="4" w:space="0" w:color="000000"/>
              <w:left w:val="single" w:sz="4" w:space="0" w:color="000000"/>
              <w:bottom w:val="single" w:sz="4" w:space="0" w:color="000000"/>
              <w:right w:val="single" w:sz="4" w:space="0" w:color="000000"/>
            </w:tcBorders>
            <w:hideMark/>
          </w:tcPr>
          <w:p w14:paraId="23114889"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lastRenderedPageBreak/>
              <w:t>Lever og galdeveje</w:t>
            </w:r>
          </w:p>
        </w:tc>
        <w:tc>
          <w:tcPr>
            <w:tcW w:w="714" w:type="pct"/>
            <w:tcBorders>
              <w:top w:val="single" w:sz="4" w:space="0" w:color="000000"/>
              <w:left w:val="single" w:sz="4" w:space="0" w:color="000000"/>
              <w:bottom w:val="single" w:sz="4" w:space="0" w:color="000000"/>
              <w:right w:val="single" w:sz="4" w:space="0" w:color="000000"/>
            </w:tcBorders>
          </w:tcPr>
          <w:p w14:paraId="69187DEB"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6BA38B84"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ALAT-forhøjelse</w:t>
            </w:r>
          </w:p>
          <w:p w14:paraId="7C2C3D69"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ASAT-forhøjelse</w:t>
            </w:r>
          </w:p>
        </w:tc>
        <w:tc>
          <w:tcPr>
            <w:tcW w:w="714" w:type="pct"/>
            <w:tcBorders>
              <w:top w:val="single" w:sz="4" w:space="0" w:color="000000"/>
              <w:left w:val="single" w:sz="4" w:space="0" w:color="000000"/>
              <w:bottom w:val="single" w:sz="4" w:space="0" w:color="000000"/>
              <w:right w:val="single" w:sz="4" w:space="0" w:color="000000"/>
            </w:tcBorders>
          </w:tcPr>
          <w:p w14:paraId="483CEC17" w14:textId="77777777" w:rsidR="004444B7" w:rsidRPr="009636AC" w:rsidRDefault="004444B7" w:rsidP="004862F7">
            <w:pPr>
              <w:widowControl w:val="0"/>
              <w:autoSpaceDE w:val="0"/>
              <w:autoSpaceDN w:val="0"/>
              <w:spacing w:line="252"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643A0D70"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Hepatitis</w:t>
            </w:r>
          </w:p>
        </w:tc>
        <w:tc>
          <w:tcPr>
            <w:tcW w:w="714" w:type="pct"/>
            <w:tcBorders>
              <w:top w:val="single" w:sz="4" w:space="0" w:color="000000"/>
              <w:left w:val="single" w:sz="4" w:space="0" w:color="000000"/>
              <w:bottom w:val="single" w:sz="4" w:space="0" w:color="000000"/>
              <w:right w:val="single" w:sz="4" w:space="0" w:color="000000"/>
            </w:tcBorders>
          </w:tcPr>
          <w:p w14:paraId="22226EC9" w14:textId="77777777" w:rsidR="004444B7" w:rsidRPr="009636AC" w:rsidRDefault="004444B7" w:rsidP="004862F7">
            <w:pPr>
              <w:widowControl w:val="0"/>
              <w:autoSpaceDE w:val="0"/>
              <w:autoSpaceDN w:val="0"/>
              <w:spacing w:line="252"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1E00DA7B" w14:textId="77777777" w:rsidR="004444B7" w:rsidRPr="009636AC" w:rsidRDefault="004444B7" w:rsidP="004862F7">
            <w:pPr>
              <w:tabs>
                <w:tab w:val="left" w:pos="567"/>
              </w:tabs>
              <w:spacing w:line="260" w:lineRule="exact"/>
              <w:ind w:left="142" w:right="81"/>
              <w:rPr>
                <w:sz w:val="22"/>
                <w:szCs w:val="22"/>
              </w:rPr>
            </w:pPr>
          </w:p>
        </w:tc>
      </w:tr>
      <w:tr w:rsidR="004444B7" w:rsidRPr="009636AC" w14:paraId="5404BB22" w14:textId="77777777" w:rsidTr="00C418B9">
        <w:trPr>
          <w:trHeight w:hRule="exact" w:val="4965"/>
        </w:trPr>
        <w:tc>
          <w:tcPr>
            <w:tcW w:w="714" w:type="pct"/>
            <w:tcBorders>
              <w:top w:val="single" w:sz="4" w:space="0" w:color="000000"/>
              <w:left w:val="single" w:sz="4" w:space="0" w:color="000000"/>
              <w:bottom w:val="single" w:sz="4" w:space="0" w:color="000000"/>
              <w:right w:val="single" w:sz="4" w:space="0" w:color="000000"/>
            </w:tcBorders>
            <w:hideMark/>
          </w:tcPr>
          <w:p w14:paraId="6C3C0158"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Hud og subkutane væv</w:t>
            </w:r>
          </w:p>
        </w:tc>
        <w:tc>
          <w:tcPr>
            <w:tcW w:w="714" w:type="pct"/>
            <w:tcBorders>
              <w:top w:val="single" w:sz="4" w:space="0" w:color="000000"/>
              <w:left w:val="single" w:sz="4" w:space="0" w:color="000000"/>
              <w:bottom w:val="single" w:sz="4" w:space="0" w:color="000000"/>
              <w:right w:val="single" w:sz="4" w:space="0" w:color="000000"/>
            </w:tcBorders>
            <w:hideMark/>
          </w:tcPr>
          <w:p w14:paraId="550C8EBE"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 xml:space="preserve">Udslæt </w:t>
            </w:r>
          </w:p>
          <w:p w14:paraId="5DCCFFF0"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Hudafskalning</w:t>
            </w:r>
          </w:p>
        </w:tc>
        <w:tc>
          <w:tcPr>
            <w:tcW w:w="715" w:type="pct"/>
            <w:tcBorders>
              <w:top w:val="single" w:sz="4" w:space="0" w:color="000000"/>
              <w:left w:val="single" w:sz="4" w:space="0" w:color="000000"/>
              <w:bottom w:val="single" w:sz="4" w:space="0" w:color="000000"/>
              <w:right w:val="single" w:sz="4" w:space="0" w:color="000000"/>
            </w:tcBorders>
            <w:hideMark/>
          </w:tcPr>
          <w:p w14:paraId="1C839021"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Hyper-pigmentering</w:t>
            </w:r>
          </w:p>
          <w:p w14:paraId="7E3CF1B7"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Pruritus</w:t>
            </w:r>
          </w:p>
          <w:p w14:paraId="0311EE5F"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Erythema multiforme</w:t>
            </w:r>
          </w:p>
          <w:p w14:paraId="61F273C6"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Alopeci</w:t>
            </w:r>
          </w:p>
          <w:p w14:paraId="2D5054CA"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Urticaria</w:t>
            </w:r>
          </w:p>
        </w:tc>
        <w:tc>
          <w:tcPr>
            <w:tcW w:w="714" w:type="pct"/>
            <w:tcBorders>
              <w:top w:val="single" w:sz="4" w:space="0" w:color="000000"/>
              <w:left w:val="single" w:sz="4" w:space="0" w:color="000000"/>
              <w:bottom w:val="single" w:sz="4" w:space="0" w:color="000000"/>
              <w:right w:val="single" w:sz="4" w:space="0" w:color="000000"/>
            </w:tcBorders>
          </w:tcPr>
          <w:p w14:paraId="7DD19C66" w14:textId="77777777" w:rsidR="004444B7" w:rsidRPr="009636AC" w:rsidRDefault="004444B7" w:rsidP="004862F7">
            <w:pPr>
              <w:widowControl w:val="0"/>
              <w:autoSpaceDE w:val="0"/>
              <w:autoSpaceDN w:val="0"/>
              <w:spacing w:line="252"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6D69FF25"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Erythem</w:t>
            </w:r>
          </w:p>
        </w:tc>
        <w:tc>
          <w:tcPr>
            <w:tcW w:w="714" w:type="pct"/>
            <w:tcBorders>
              <w:top w:val="single" w:sz="4" w:space="0" w:color="000000"/>
              <w:left w:val="single" w:sz="4" w:space="0" w:color="000000"/>
              <w:bottom w:val="single" w:sz="4" w:space="0" w:color="000000"/>
              <w:right w:val="single" w:sz="4" w:space="0" w:color="000000"/>
            </w:tcBorders>
            <w:hideMark/>
          </w:tcPr>
          <w:p w14:paraId="166E25A8"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Stevens-Johnsons syndrom</w:t>
            </w:r>
            <w:r w:rsidRPr="009636AC">
              <w:rPr>
                <w:sz w:val="22"/>
                <w:szCs w:val="22"/>
                <w:vertAlign w:val="superscript"/>
              </w:rPr>
              <w:t>b</w:t>
            </w:r>
          </w:p>
          <w:p w14:paraId="1AA75136"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Toksisk epidermal nekrolyse</w:t>
            </w:r>
            <w:r w:rsidRPr="009636AC">
              <w:rPr>
                <w:sz w:val="22"/>
                <w:szCs w:val="22"/>
                <w:vertAlign w:val="superscript"/>
              </w:rPr>
              <w:t>b</w:t>
            </w:r>
          </w:p>
          <w:p w14:paraId="1FE33A6B"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Pemfigoid</w:t>
            </w:r>
          </w:p>
          <w:p w14:paraId="6B44DE61"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Bulløs dermatitis</w:t>
            </w:r>
          </w:p>
          <w:p w14:paraId="4C142254"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Erhvervet epidermolysis bullosa</w:t>
            </w:r>
          </w:p>
          <w:p w14:paraId="3B75CA5B" w14:textId="77777777" w:rsidR="004444B7" w:rsidRPr="009636AC" w:rsidRDefault="004444B7" w:rsidP="004862F7">
            <w:pPr>
              <w:widowControl w:val="0"/>
              <w:autoSpaceDE w:val="0"/>
              <w:autoSpaceDN w:val="0"/>
              <w:spacing w:line="252" w:lineRule="exact"/>
              <w:ind w:left="142" w:right="81"/>
              <w:rPr>
                <w:sz w:val="22"/>
                <w:szCs w:val="22"/>
                <w:vertAlign w:val="superscript"/>
              </w:rPr>
            </w:pPr>
            <w:r w:rsidRPr="009636AC">
              <w:rPr>
                <w:sz w:val="22"/>
                <w:szCs w:val="22"/>
              </w:rPr>
              <w:t>Erytematøst ødem</w:t>
            </w:r>
            <w:r w:rsidRPr="009636AC">
              <w:rPr>
                <w:sz w:val="22"/>
                <w:szCs w:val="22"/>
                <w:vertAlign w:val="superscript"/>
              </w:rPr>
              <w:t>f</w:t>
            </w:r>
          </w:p>
          <w:p w14:paraId="30E0D6BB"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Pseudo-cellulitis</w:t>
            </w:r>
          </w:p>
          <w:p w14:paraId="3C9A9D53"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Dermatitis</w:t>
            </w:r>
          </w:p>
          <w:p w14:paraId="12924761"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Eksem</w:t>
            </w:r>
          </w:p>
          <w:p w14:paraId="10C91FFE"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Prurigo</w:t>
            </w:r>
          </w:p>
        </w:tc>
        <w:tc>
          <w:tcPr>
            <w:tcW w:w="715" w:type="pct"/>
            <w:tcBorders>
              <w:top w:val="single" w:sz="4" w:space="0" w:color="000000"/>
              <w:left w:val="single" w:sz="4" w:space="0" w:color="000000"/>
              <w:bottom w:val="single" w:sz="4" w:space="0" w:color="000000"/>
              <w:right w:val="single" w:sz="4" w:space="0" w:color="000000"/>
            </w:tcBorders>
          </w:tcPr>
          <w:p w14:paraId="0EDD1F41" w14:textId="77777777" w:rsidR="004444B7" w:rsidRPr="009636AC" w:rsidRDefault="004444B7" w:rsidP="004862F7">
            <w:pPr>
              <w:tabs>
                <w:tab w:val="left" w:pos="567"/>
              </w:tabs>
              <w:spacing w:line="260" w:lineRule="exact"/>
              <w:ind w:left="142" w:right="81"/>
              <w:rPr>
                <w:sz w:val="22"/>
                <w:szCs w:val="22"/>
              </w:rPr>
            </w:pPr>
          </w:p>
        </w:tc>
      </w:tr>
      <w:tr w:rsidR="004444B7" w:rsidRPr="009636AC" w14:paraId="10CC26A7" w14:textId="77777777" w:rsidTr="00C418B9">
        <w:trPr>
          <w:trHeight w:hRule="exact" w:val="2100"/>
        </w:trPr>
        <w:tc>
          <w:tcPr>
            <w:tcW w:w="714" w:type="pct"/>
            <w:tcBorders>
              <w:top w:val="single" w:sz="4" w:space="0" w:color="000000"/>
              <w:left w:val="single" w:sz="4" w:space="0" w:color="000000"/>
              <w:bottom w:val="single" w:sz="4" w:space="0" w:color="000000"/>
              <w:right w:val="single" w:sz="4" w:space="0" w:color="000000"/>
            </w:tcBorders>
            <w:hideMark/>
          </w:tcPr>
          <w:p w14:paraId="548BDBDF"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Nyrer og urinveje</w:t>
            </w:r>
          </w:p>
        </w:tc>
        <w:tc>
          <w:tcPr>
            <w:tcW w:w="714" w:type="pct"/>
            <w:tcBorders>
              <w:top w:val="single" w:sz="4" w:space="0" w:color="000000"/>
              <w:left w:val="single" w:sz="4" w:space="0" w:color="000000"/>
              <w:bottom w:val="single" w:sz="4" w:space="0" w:color="000000"/>
              <w:right w:val="single" w:sz="4" w:space="0" w:color="000000"/>
            </w:tcBorders>
            <w:hideMark/>
          </w:tcPr>
          <w:p w14:paraId="147ECFA8"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Nedsat kreatinin-clearance</w:t>
            </w:r>
          </w:p>
          <w:p w14:paraId="5FF12B1C"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Forhøjet kreatinin i blodet</w:t>
            </w:r>
            <w:r w:rsidRPr="009636AC">
              <w:rPr>
                <w:sz w:val="22"/>
                <w:szCs w:val="22"/>
                <w:vertAlign w:val="superscript"/>
              </w:rPr>
              <w:t>e</w:t>
            </w:r>
          </w:p>
        </w:tc>
        <w:tc>
          <w:tcPr>
            <w:tcW w:w="715" w:type="pct"/>
            <w:tcBorders>
              <w:top w:val="single" w:sz="4" w:space="0" w:color="000000"/>
              <w:left w:val="single" w:sz="4" w:space="0" w:color="000000"/>
              <w:bottom w:val="single" w:sz="4" w:space="0" w:color="000000"/>
              <w:right w:val="single" w:sz="4" w:space="0" w:color="000000"/>
            </w:tcBorders>
            <w:hideMark/>
          </w:tcPr>
          <w:p w14:paraId="420FAB29"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Nyresvigt</w:t>
            </w:r>
          </w:p>
          <w:p w14:paraId="6E262380"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Nedsat glomerulær filtrations-hastighed</w:t>
            </w:r>
          </w:p>
        </w:tc>
        <w:tc>
          <w:tcPr>
            <w:tcW w:w="714" w:type="pct"/>
            <w:tcBorders>
              <w:top w:val="single" w:sz="4" w:space="0" w:color="000000"/>
              <w:left w:val="single" w:sz="4" w:space="0" w:color="000000"/>
              <w:bottom w:val="single" w:sz="4" w:space="0" w:color="000000"/>
              <w:right w:val="single" w:sz="4" w:space="0" w:color="000000"/>
            </w:tcBorders>
          </w:tcPr>
          <w:p w14:paraId="482CDD03" w14:textId="77777777" w:rsidR="004444B7" w:rsidRPr="009636AC" w:rsidRDefault="004444B7" w:rsidP="004862F7">
            <w:pPr>
              <w:widowControl w:val="0"/>
              <w:autoSpaceDE w:val="0"/>
              <w:autoSpaceDN w:val="0"/>
              <w:spacing w:line="252"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7C278B23"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1411AFC2"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05906AA4"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Nefrogen diabetes insipidus</w:t>
            </w:r>
          </w:p>
          <w:p w14:paraId="1057BBCB"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Renal tubulær nekrose</w:t>
            </w:r>
          </w:p>
        </w:tc>
      </w:tr>
      <w:tr w:rsidR="004444B7" w:rsidRPr="009636AC" w14:paraId="318E5EB6" w14:textId="77777777" w:rsidTr="00C418B9">
        <w:trPr>
          <w:trHeight w:hRule="exact" w:val="2010"/>
        </w:trPr>
        <w:tc>
          <w:tcPr>
            <w:tcW w:w="714" w:type="pct"/>
            <w:tcBorders>
              <w:top w:val="single" w:sz="4" w:space="0" w:color="000000"/>
              <w:left w:val="single" w:sz="4" w:space="0" w:color="000000"/>
              <w:bottom w:val="single" w:sz="4" w:space="0" w:color="000000"/>
              <w:right w:val="single" w:sz="4" w:space="0" w:color="000000"/>
            </w:tcBorders>
            <w:hideMark/>
          </w:tcPr>
          <w:p w14:paraId="02F38839"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Almene symptomer og reaktioner på administrationsstedet</w:t>
            </w:r>
          </w:p>
        </w:tc>
        <w:tc>
          <w:tcPr>
            <w:tcW w:w="714" w:type="pct"/>
            <w:tcBorders>
              <w:top w:val="single" w:sz="4" w:space="0" w:color="000000"/>
              <w:left w:val="single" w:sz="4" w:space="0" w:color="000000"/>
              <w:bottom w:val="single" w:sz="4" w:space="0" w:color="000000"/>
              <w:right w:val="single" w:sz="4" w:space="0" w:color="000000"/>
            </w:tcBorders>
            <w:hideMark/>
          </w:tcPr>
          <w:p w14:paraId="53BDA4FC"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Træthed</w:t>
            </w:r>
          </w:p>
        </w:tc>
        <w:tc>
          <w:tcPr>
            <w:tcW w:w="715" w:type="pct"/>
            <w:tcBorders>
              <w:top w:val="single" w:sz="4" w:space="0" w:color="000000"/>
              <w:left w:val="single" w:sz="4" w:space="0" w:color="000000"/>
              <w:bottom w:val="single" w:sz="4" w:space="0" w:color="000000"/>
              <w:right w:val="single" w:sz="4" w:space="0" w:color="000000"/>
            </w:tcBorders>
            <w:hideMark/>
          </w:tcPr>
          <w:p w14:paraId="2D6F2CD2"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 xml:space="preserve">Feber </w:t>
            </w:r>
          </w:p>
          <w:p w14:paraId="1D173388"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 xml:space="preserve">Smerte </w:t>
            </w:r>
          </w:p>
          <w:p w14:paraId="1E20A793"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 xml:space="preserve">Ødem </w:t>
            </w:r>
          </w:p>
          <w:p w14:paraId="65C96A99"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Brystsmerter</w:t>
            </w:r>
          </w:p>
          <w:p w14:paraId="7B0B5242"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Slimhinde-inflammation</w:t>
            </w:r>
          </w:p>
        </w:tc>
        <w:tc>
          <w:tcPr>
            <w:tcW w:w="714" w:type="pct"/>
            <w:tcBorders>
              <w:top w:val="single" w:sz="4" w:space="0" w:color="000000"/>
              <w:left w:val="single" w:sz="4" w:space="0" w:color="000000"/>
              <w:bottom w:val="single" w:sz="4" w:space="0" w:color="000000"/>
              <w:right w:val="single" w:sz="4" w:space="0" w:color="000000"/>
            </w:tcBorders>
          </w:tcPr>
          <w:p w14:paraId="7C5FB6A4" w14:textId="77777777" w:rsidR="004444B7" w:rsidRPr="009636AC" w:rsidRDefault="004444B7" w:rsidP="004862F7">
            <w:pPr>
              <w:widowControl w:val="0"/>
              <w:autoSpaceDE w:val="0"/>
              <w:autoSpaceDN w:val="0"/>
              <w:spacing w:line="252"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7EEEBDC4"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27F302B6"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30BBD95C" w14:textId="77777777" w:rsidR="004444B7" w:rsidRPr="009636AC" w:rsidRDefault="004444B7" w:rsidP="004862F7">
            <w:pPr>
              <w:tabs>
                <w:tab w:val="left" w:pos="567"/>
              </w:tabs>
              <w:spacing w:line="260" w:lineRule="exact"/>
              <w:ind w:left="142" w:right="81"/>
              <w:rPr>
                <w:sz w:val="22"/>
                <w:szCs w:val="22"/>
              </w:rPr>
            </w:pPr>
          </w:p>
        </w:tc>
      </w:tr>
      <w:tr w:rsidR="004444B7" w:rsidRPr="009636AC" w14:paraId="4D4275E8" w14:textId="77777777" w:rsidTr="00C418B9">
        <w:trPr>
          <w:trHeight w:hRule="exact" w:val="1124"/>
        </w:trPr>
        <w:tc>
          <w:tcPr>
            <w:tcW w:w="714" w:type="pct"/>
            <w:tcBorders>
              <w:top w:val="single" w:sz="4" w:space="0" w:color="000000"/>
              <w:left w:val="single" w:sz="4" w:space="0" w:color="000000"/>
              <w:bottom w:val="single" w:sz="4" w:space="0" w:color="000000"/>
              <w:right w:val="single" w:sz="4" w:space="0" w:color="000000"/>
            </w:tcBorders>
            <w:hideMark/>
          </w:tcPr>
          <w:p w14:paraId="3DD4401D"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Undersøgelser</w:t>
            </w:r>
          </w:p>
        </w:tc>
        <w:tc>
          <w:tcPr>
            <w:tcW w:w="714" w:type="pct"/>
            <w:tcBorders>
              <w:top w:val="single" w:sz="4" w:space="0" w:color="000000"/>
              <w:left w:val="single" w:sz="4" w:space="0" w:color="000000"/>
              <w:bottom w:val="single" w:sz="4" w:space="0" w:color="000000"/>
              <w:right w:val="single" w:sz="4" w:space="0" w:color="000000"/>
            </w:tcBorders>
          </w:tcPr>
          <w:p w14:paraId="12AC63C4" w14:textId="77777777" w:rsidR="004444B7" w:rsidRPr="009636AC" w:rsidRDefault="004444B7" w:rsidP="004862F7">
            <w:pPr>
              <w:widowControl w:val="0"/>
              <w:autoSpaceDE w:val="0"/>
              <w:autoSpaceDN w:val="0"/>
              <w:spacing w:line="252"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hideMark/>
          </w:tcPr>
          <w:p w14:paraId="7A7C17C3"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Forhøjet gamma-glutamyl-transferase</w:t>
            </w:r>
          </w:p>
        </w:tc>
        <w:tc>
          <w:tcPr>
            <w:tcW w:w="714" w:type="pct"/>
            <w:tcBorders>
              <w:top w:val="single" w:sz="4" w:space="0" w:color="000000"/>
              <w:left w:val="single" w:sz="4" w:space="0" w:color="000000"/>
              <w:bottom w:val="single" w:sz="4" w:space="0" w:color="000000"/>
              <w:right w:val="single" w:sz="4" w:space="0" w:color="000000"/>
            </w:tcBorders>
          </w:tcPr>
          <w:p w14:paraId="05A89193" w14:textId="77777777" w:rsidR="004444B7" w:rsidRPr="009636AC" w:rsidRDefault="004444B7" w:rsidP="004862F7">
            <w:pPr>
              <w:widowControl w:val="0"/>
              <w:autoSpaceDE w:val="0"/>
              <w:autoSpaceDN w:val="0"/>
              <w:spacing w:line="252"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2EE56016"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tcPr>
          <w:p w14:paraId="30A401DC"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1EE834E8" w14:textId="77777777" w:rsidR="004444B7" w:rsidRPr="009636AC" w:rsidRDefault="004444B7" w:rsidP="004862F7">
            <w:pPr>
              <w:tabs>
                <w:tab w:val="left" w:pos="567"/>
              </w:tabs>
              <w:spacing w:line="260" w:lineRule="exact"/>
              <w:ind w:left="142" w:right="81"/>
              <w:rPr>
                <w:sz w:val="22"/>
                <w:szCs w:val="22"/>
              </w:rPr>
            </w:pPr>
          </w:p>
        </w:tc>
      </w:tr>
      <w:tr w:rsidR="004444B7" w:rsidRPr="009636AC" w14:paraId="170ECE91" w14:textId="77777777" w:rsidTr="00C418B9">
        <w:trPr>
          <w:trHeight w:hRule="exact" w:val="1528"/>
        </w:trPr>
        <w:tc>
          <w:tcPr>
            <w:tcW w:w="714" w:type="pct"/>
            <w:tcBorders>
              <w:top w:val="single" w:sz="4" w:space="0" w:color="000000"/>
              <w:left w:val="single" w:sz="4" w:space="0" w:color="000000"/>
              <w:bottom w:val="single" w:sz="4" w:space="0" w:color="000000"/>
              <w:right w:val="single" w:sz="4" w:space="0" w:color="000000"/>
            </w:tcBorders>
            <w:hideMark/>
          </w:tcPr>
          <w:p w14:paraId="09B22604" w14:textId="77777777" w:rsidR="004444B7" w:rsidRPr="009636AC" w:rsidRDefault="004444B7" w:rsidP="004862F7">
            <w:pPr>
              <w:widowControl w:val="0"/>
              <w:autoSpaceDE w:val="0"/>
              <w:autoSpaceDN w:val="0"/>
              <w:spacing w:line="252" w:lineRule="exact"/>
              <w:ind w:left="142" w:right="81"/>
              <w:rPr>
                <w:bCs/>
                <w:sz w:val="22"/>
                <w:szCs w:val="22"/>
              </w:rPr>
            </w:pPr>
            <w:r w:rsidRPr="009636AC">
              <w:rPr>
                <w:bCs/>
                <w:sz w:val="22"/>
                <w:szCs w:val="22"/>
              </w:rPr>
              <w:t xml:space="preserve">Traumer, forgiftninger og behandlings-komplikationer  </w:t>
            </w:r>
          </w:p>
        </w:tc>
        <w:tc>
          <w:tcPr>
            <w:tcW w:w="714" w:type="pct"/>
            <w:tcBorders>
              <w:top w:val="single" w:sz="4" w:space="0" w:color="000000"/>
              <w:left w:val="single" w:sz="4" w:space="0" w:color="000000"/>
              <w:bottom w:val="single" w:sz="4" w:space="0" w:color="000000"/>
              <w:right w:val="single" w:sz="4" w:space="0" w:color="000000"/>
            </w:tcBorders>
          </w:tcPr>
          <w:p w14:paraId="12692E0A"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6817ED27" w14:textId="77777777" w:rsidR="004444B7" w:rsidRPr="009636AC" w:rsidRDefault="004444B7" w:rsidP="004862F7">
            <w:pPr>
              <w:tabs>
                <w:tab w:val="left" w:pos="567"/>
              </w:tabs>
              <w:spacing w:line="260" w:lineRule="exact"/>
              <w:ind w:left="142" w:right="81"/>
              <w:rPr>
                <w:sz w:val="22"/>
                <w:szCs w:val="22"/>
              </w:rPr>
            </w:pPr>
          </w:p>
        </w:tc>
        <w:tc>
          <w:tcPr>
            <w:tcW w:w="714" w:type="pct"/>
            <w:tcBorders>
              <w:top w:val="single" w:sz="4" w:space="0" w:color="000000"/>
              <w:left w:val="single" w:sz="4" w:space="0" w:color="000000"/>
              <w:bottom w:val="single" w:sz="4" w:space="0" w:color="000000"/>
              <w:right w:val="single" w:sz="4" w:space="0" w:color="000000"/>
            </w:tcBorders>
            <w:hideMark/>
          </w:tcPr>
          <w:p w14:paraId="78F1E1DB"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Stråleinduceret øsofagitis</w:t>
            </w:r>
          </w:p>
          <w:p w14:paraId="727295F4"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Stråleinduceret pneumonitis</w:t>
            </w:r>
          </w:p>
        </w:tc>
        <w:tc>
          <w:tcPr>
            <w:tcW w:w="715" w:type="pct"/>
            <w:tcBorders>
              <w:top w:val="single" w:sz="4" w:space="0" w:color="000000"/>
              <w:left w:val="single" w:sz="4" w:space="0" w:color="000000"/>
              <w:bottom w:val="single" w:sz="4" w:space="0" w:color="000000"/>
              <w:right w:val="single" w:sz="4" w:space="0" w:color="000000"/>
            </w:tcBorders>
            <w:hideMark/>
          </w:tcPr>
          <w:p w14:paraId="30EF942C" w14:textId="77777777" w:rsidR="004444B7" w:rsidRPr="009636AC" w:rsidRDefault="004444B7" w:rsidP="004862F7">
            <w:pPr>
              <w:widowControl w:val="0"/>
              <w:autoSpaceDE w:val="0"/>
              <w:autoSpaceDN w:val="0"/>
              <w:spacing w:line="252" w:lineRule="exact"/>
              <w:ind w:left="142" w:right="81"/>
              <w:rPr>
                <w:sz w:val="22"/>
                <w:szCs w:val="22"/>
              </w:rPr>
            </w:pPr>
            <w:r w:rsidRPr="009636AC">
              <w:rPr>
                <w:sz w:val="22"/>
                <w:szCs w:val="22"/>
              </w:rPr>
              <w:t>Recall-fænomen</w:t>
            </w:r>
          </w:p>
        </w:tc>
        <w:tc>
          <w:tcPr>
            <w:tcW w:w="714" w:type="pct"/>
            <w:tcBorders>
              <w:top w:val="single" w:sz="4" w:space="0" w:color="000000"/>
              <w:left w:val="single" w:sz="4" w:space="0" w:color="000000"/>
              <w:bottom w:val="single" w:sz="4" w:space="0" w:color="000000"/>
              <w:right w:val="single" w:sz="4" w:space="0" w:color="000000"/>
            </w:tcBorders>
          </w:tcPr>
          <w:p w14:paraId="7214306D" w14:textId="77777777" w:rsidR="004444B7" w:rsidRPr="009636AC" w:rsidRDefault="004444B7" w:rsidP="004862F7">
            <w:pPr>
              <w:tabs>
                <w:tab w:val="left" w:pos="567"/>
              </w:tabs>
              <w:spacing w:line="260" w:lineRule="exact"/>
              <w:ind w:left="142" w:right="81"/>
              <w:rPr>
                <w:sz w:val="22"/>
                <w:szCs w:val="22"/>
              </w:rPr>
            </w:pPr>
          </w:p>
        </w:tc>
        <w:tc>
          <w:tcPr>
            <w:tcW w:w="715" w:type="pct"/>
            <w:tcBorders>
              <w:top w:val="single" w:sz="4" w:space="0" w:color="000000"/>
              <w:left w:val="single" w:sz="4" w:space="0" w:color="000000"/>
              <w:bottom w:val="single" w:sz="4" w:space="0" w:color="000000"/>
              <w:right w:val="single" w:sz="4" w:space="0" w:color="000000"/>
            </w:tcBorders>
          </w:tcPr>
          <w:p w14:paraId="0B92BAA4" w14:textId="77777777" w:rsidR="004444B7" w:rsidRPr="009636AC" w:rsidRDefault="004444B7" w:rsidP="004862F7">
            <w:pPr>
              <w:tabs>
                <w:tab w:val="left" w:pos="567"/>
              </w:tabs>
              <w:spacing w:line="260" w:lineRule="exact"/>
              <w:ind w:left="142" w:right="81"/>
              <w:rPr>
                <w:sz w:val="22"/>
                <w:szCs w:val="22"/>
              </w:rPr>
            </w:pPr>
          </w:p>
        </w:tc>
      </w:tr>
    </w:tbl>
    <w:p w14:paraId="2E1751DD" w14:textId="4952BCAF" w:rsidR="004444B7" w:rsidRPr="007905FB" w:rsidRDefault="004444B7" w:rsidP="00F749FC">
      <w:pPr>
        <w:ind w:left="284" w:hanging="284"/>
        <w:rPr>
          <w:sz w:val="20"/>
        </w:rPr>
      </w:pPr>
      <w:r w:rsidRPr="007905FB">
        <w:rPr>
          <w:sz w:val="20"/>
          <w:vertAlign w:val="superscript"/>
        </w:rPr>
        <w:t>a</w:t>
      </w:r>
      <w:r w:rsidRPr="007905FB">
        <w:rPr>
          <w:sz w:val="20"/>
        </w:rPr>
        <w:t xml:space="preserve"> </w:t>
      </w:r>
      <w:r w:rsidR="00C418B9" w:rsidRPr="007905FB">
        <w:rPr>
          <w:sz w:val="20"/>
        </w:rPr>
        <w:tab/>
      </w:r>
      <w:r w:rsidRPr="007905FB">
        <w:rPr>
          <w:sz w:val="20"/>
        </w:rPr>
        <w:t>med og uden neutropeni</w:t>
      </w:r>
    </w:p>
    <w:p w14:paraId="4FAC662C" w14:textId="061D56E0" w:rsidR="004444B7" w:rsidRPr="007905FB" w:rsidRDefault="004444B7" w:rsidP="00F749FC">
      <w:pPr>
        <w:ind w:left="284" w:hanging="284"/>
        <w:rPr>
          <w:sz w:val="20"/>
        </w:rPr>
      </w:pPr>
      <w:r w:rsidRPr="007905FB">
        <w:rPr>
          <w:sz w:val="20"/>
          <w:vertAlign w:val="superscript"/>
        </w:rPr>
        <w:t>b</w:t>
      </w:r>
      <w:r w:rsidRPr="007905FB">
        <w:rPr>
          <w:sz w:val="20"/>
        </w:rPr>
        <w:t xml:space="preserve"> </w:t>
      </w:r>
      <w:r w:rsidR="00C418B9" w:rsidRPr="007905FB">
        <w:rPr>
          <w:sz w:val="20"/>
        </w:rPr>
        <w:tab/>
      </w:r>
      <w:r w:rsidRPr="007905FB">
        <w:rPr>
          <w:sz w:val="20"/>
        </w:rPr>
        <w:t>i nogle tilfælde dødelig</w:t>
      </w:r>
    </w:p>
    <w:p w14:paraId="23D88C7D" w14:textId="2E9A85ED" w:rsidR="004444B7" w:rsidRPr="007905FB" w:rsidRDefault="004444B7" w:rsidP="00F749FC">
      <w:pPr>
        <w:ind w:left="284" w:hanging="284"/>
        <w:rPr>
          <w:sz w:val="20"/>
        </w:rPr>
      </w:pPr>
      <w:r w:rsidRPr="007905FB">
        <w:rPr>
          <w:sz w:val="20"/>
          <w:vertAlign w:val="superscript"/>
        </w:rPr>
        <w:t>c</w:t>
      </w:r>
      <w:r w:rsidRPr="007905FB">
        <w:rPr>
          <w:sz w:val="20"/>
        </w:rPr>
        <w:t xml:space="preserve"> </w:t>
      </w:r>
      <w:r w:rsidR="00C418B9" w:rsidRPr="007905FB">
        <w:rPr>
          <w:sz w:val="20"/>
        </w:rPr>
        <w:tab/>
      </w:r>
      <w:r w:rsidRPr="007905FB">
        <w:rPr>
          <w:sz w:val="20"/>
        </w:rPr>
        <w:t>i nogle tilfælde førende til nekrose i ekstremiteter</w:t>
      </w:r>
    </w:p>
    <w:p w14:paraId="45925D78" w14:textId="79109190" w:rsidR="004444B7" w:rsidRPr="007905FB" w:rsidRDefault="004444B7" w:rsidP="00F749FC">
      <w:pPr>
        <w:ind w:left="284" w:hanging="284"/>
        <w:rPr>
          <w:sz w:val="20"/>
        </w:rPr>
      </w:pPr>
      <w:r w:rsidRPr="007905FB">
        <w:rPr>
          <w:sz w:val="20"/>
          <w:vertAlign w:val="superscript"/>
        </w:rPr>
        <w:lastRenderedPageBreak/>
        <w:t xml:space="preserve">d </w:t>
      </w:r>
      <w:r w:rsidR="00C418B9" w:rsidRPr="007905FB">
        <w:rPr>
          <w:sz w:val="20"/>
        </w:rPr>
        <w:tab/>
      </w:r>
      <w:r w:rsidRPr="007905FB">
        <w:rPr>
          <w:sz w:val="20"/>
        </w:rPr>
        <w:t>med respirationsinsufficiens</w:t>
      </w:r>
    </w:p>
    <w:p w14:paraId="1B189811" w14:textId="0BAD318F" w:rsidR="004444B7" w:rsidRPr="007905FB" w:rsidRDefault="004444B7" w:rsidP="00F749FC">
      <w:pPr>
        <w:ind w:left="284" w:hanging="284"/>
        <w:rPr>
          <w:sz w:val="20"/>
        </w:rPr>
      </w:pPr>
      <w:r w:rsidRPr="007905FB">
        <w:rPr>
          <w:sz w:val="20"/>
          <w:vertAlign w:val="superscript"/>
        </w:rPr>
        <w:t>e</w:t>
      </w:r>
      <w:r w:rsidRPr="007905FB">
        <w:rPr>
          <w:sz w:val="20"/>
        </w:rPr>
        <w:t xml:space="preserve"> </w:t>
      </w:r>
      <w:r w:rsidR="00C418B9" w:rsidRPr="007905FB">
        <w:rPr>
          <w:sz w:val="20"/>
        </w:rPr>
        <w:tab/>
      </w:r>
      <w:r w:rsidRPr="007905FB">
        <w:rPr>
          <w:sz w:val="20"/>
        </w:rPr>
        <w:t>kun set i kombination med cisplatin</w:t>
      </w:r>
    </w:p>
    <w:p w14:paraId="198E84FE" w14:textId="0E52F253" w:rsidR="004444B7" w:rsidRPr="007905FB" w:rsidRDefault="004444B7" w:rsidP="00F749FC">
      <w:pPr>
        <w:ind w:left="284" w:hanging="284"/>
        <w:rPr>
          <w:sz w:val="20"/>
        </w:rPr>
      </w:pPr>
      <w:r w:rsidRPr="007905FB">
        <w:rPr>
          <w:sz w:val="20"/>
          <w:vertAlign w:val="superscript"/>
        </w:rPr>
        <w:t>f</w:t>
      </w:r>
      <w:r w:rsidRPr="007905FB">
        <w:rPr>
          <w:sz w:val="20"/>
        </w:rPr>
        <w:t xml:space="preserve"> </w:t>
      </w:r>
      <w:r w:rsidR="00C418B9" w:rsidRPr="007905FB">
        <w:rPr>
          <w:sz w:val="20"/>
        </w:rPr>
        <w:tab/>
      </w:r>
      <w:r w:rsidRPr="007905FB">
        <w:rPr>
          <w:sz w:val="20"/>
        </w:rPr>
        <w:t>hovedsageligt i underekstremiteterne</w:t>
      </w:r>
    </w:p>
    <w:p w14:paraId="0B90BC53" w14:textId="77777777" w:rsidR="004444B7" w:rsidRPr="009636AC" w:rsidRDefault="004444B7" w:rsidP="004444B7">
      <w:pPr>
        <w:pStyle w:val="Brdtekst"/>
        <w:spacing w:before="9"/>
        <w:ind w:left="851"/>
        <w:rPr>
          <w:sz w:val="24"/>
          <w:szCs w:val="24"/>
          <w:lang w:val="da-DK"/>
        </w:rPr>
      </w:pPr>
    </w:p>
    <w:p w14:paraId="4A956A88" w14:textId="77777777" w:rsidR="004444B7" w:rsidRPr="009636AC" w:rsidRDefault="004444B7" w:rsidP="004444B7">
      <w:pPr>
        <w:pStyle w:val="Brdtekst"/>
        <w:ind w:left="851"/>
        <w:rPr>
          <w:sz w:val="24"/>
          <w:szCs w:val="24"/>
          <w:lang w:val="da-DK"/>
        </w:rPr>
      </w:pPr>
      <w:r w:rsidRPr="009636AC">
        <w:rPr>
          <w:sz w:val="24"/>
          <w:szCs w:val="24"/>
          <w:u w:val="single"/>
          <w:lang w:val="da-DK"/>
        </w:rPr>
        <w:t>Indberetning af formodede bivirkninger</w:t>
      </w:r>
    </w:p>
    <w:p w14:paraId="6124CDF4" w14:textId="77777777" w:rsidR="004444B7" w:rsidRPr="009636AC" w:rsidRDefault="004444B7" w:rsidP="004444B7">
      <w:pPr>
        <w:pStyle w:val="Brdtekst"/>
        <w:spacing w:before="6" w:line="242" w:lineRule="auto"/>
        <w:ind w:left="851" w:right="9"/>
        <w:rPr>
          <w:sz w:val="24"/>
          <w:szCs w:val="24"/>
          <w:lang w:val="da-DK"/>
        </w:rPr>
      </w:pPr>
      <w:r w:rsidRPr="009636AC">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p>
    <w:p w14:paraId="5BFDEEB8" w14:textId="77777777" w:rsidR="004444B7" w:rsidRPr="009636AC" w:rsidRDefault="004444B7" w:rsidP="004444B7">
      <w:pPr>
        <w:pStyle w:val="Brdtekst"/>
        <w:spacing w:before="6" w:line="242" w:lineRule="auto"/>
        <w:ind w:left="851" w:right="9"/>
        <w:rPr>
          <w:sz w:val="24"/>
          <w:szCs w:val="24"/>
          <w:lang w:val="da-DK"/>
        </w:rPr>
      </w:pPr>
    </w:p>
    <w:p w14:paraId="37BBE3F5" w14:textId="77777777" w:rsidR="004444B7" w:rsidRPr="009636AC" w:rsidRDefault="004444B7" w:rsidP="004444B7">
      <w:pPr>
        <w:pStyle w:val="Brdtekst"/>
        <w:spacing w:before="6" w:line="242" w:lineRule="auto"/>
        <w:ind w:left="851" w:right="9"/>
        <w:rPr>
          <w:sz w:val="24"/>
          <w:szCs w:val="24"/>
          <w:lang w:val="da-DK"/>
        </w:rPr>
      </w:pPr>
      <w:r w:rsidRPr="009636AC">
        <w:rPr>
          <w:sz w:val="24"/>
          <w:szCs w:val="24"/>
          <w:lang w:val="da-DK"/>
        </w:rPr>
        <w:t>Lægemiddelstyrelsen</w:t>
      </w:r>
    </w:p>
    <w:p w14:paraId="3E25030C" w14:textId="77777777" w:rsidR="004444B7" w:rsidRPr="009636AC" w:rsidRDefault="004444B7" w:rsidP="004444B7">
      <w:pPr>
        <w:pStyle w:val="Brdtekst"/>
        <w:spacing w:before="6" w:line="242" w:lineRule="auto"/>
        <w:ind w:left="851" w:right="9"/>
        <w:rPr>
          <w:sz w:val="24"/>
          <w:szCs w:val="24"/>
          <w:lang w:val="da-DK"/>
        </w:rPr>
      </w:pPr>
      <w:r w:rsidRPr="009636AC">
        <w:rPr>
          <w:sz w:val="24"/>
          <w:szCs w:val="24"/>
          <w:lang w:val="da-DK"/>
        </w:rPr>
        <w:t>Axel Heides Gade 1</w:t>
      </w:r>
    </w:p>
    <w:p w14:paraId="2CF2C36B" w14:textId="77777777" w:rsidR="004444B7" w:rsidRPr="009636AC" w:rsidRDefault="004444B7" w:rsidP="004444B7">
      <w:pPr>
        <w:pStyle w:val="Brdtekst"/>
        <w:spacing w:before="6" w:line="242" w:lineRule="auto"/>
        <w:ind w:left="851" w:right="9"/>
        <w:rPr>
          <w:sz w:val="24"/>
          <w:szCs w:val="24"/>
          <w:lang w:val="da-DK"/>
        </w:rPr>
      </w:pPr>
      <w:r w:rsidRPr="009636AC">
        <w:rPr>
          <w:sz w:val="24"/>
          <w:szCs w:val="24"/>
          <w:lang w:val="da-DK"/>
        </w:rPr>
        <w:t>2300 København S</w:t>
      </w:r>
    </w:p>
    <w:p w14:paraId="783FB476" w14:textId="77777777" w:rsidR="004444B7" w:rsidRPr="009636AC" w:rsidRDefault="004444B7" w:rsidP="004444B7">
      <w:pPr>
        <w:pStyle w:val="Brdtekst"/>
        <w:spacing w:before="6" w:line="242" w:lineRule="auto"/>
        <w:ind w:left="851" w:right="9"/>
        <w:rPr>
          <w:sz w:val="24"/>
          <w:szCs w:val="24"/>
          <w:lang w:val="da-DK"/>
        </w:rPr>
      </w:pPr>
      <w:r w:rsidRPr="009636AC">
        <w:rPr>
          <w:sz w:val="24"/>
          <w:szCs w:val="24"/>
          <w:lang w:val="da-DK"/>
        </w:rPr>
        <w:t xml:space="preserve">Websted: </w:t>
      </w:r>
      <w:hyperlink r:id="rId8" w:history="1">
        <w:r w:rsidRPr="009636AC">
          <w:rPr>
            <w:rStyle w:val="Hyperlink"/>
            <w:sz w:val="24"/>
            <w:szCs w:val="24"/>
            <w:lang w:val="da-DK"/>
          </w:rPr>
          <w:t>www.meldenbivirkning.dk</w:t>
        </w:r>
      </w:hyperlink>
      <w:r w:rsidRPr="009636AC">
        <w:rPr>
          <w:sz w:val="24"/>
          <w:szCs w:val="24"/>
          <w:lang w:val="da-DK"/>
        </w:rPr>
        <w:t xml:space="preserve"> </w:t>
      </w:r>
    </w:p>
    <w:p w14:paraId="268EF57F" w14:textId="77777777" w:rsidR="009260DE" w:rsidRPr="009636AC" w:rsidRDefault="009260DE" w:rsidP="00A10294">
      <w:pPr>
        <w:tabs>
          <w:tab w:val="left" w:pos="851"/>
        </w:tabs>
        <w:ind w:left="851"/>
        <w:rPr>
          <w:sz w:val="24"/>
          <w:szCs w:val="24"/>
        </w:rPr>
      </w:pPr>
    </w:p>
    <w:p w14:paraId="556CD257" w14:textId="77777777" w:rsidR="009260DE" w:rsidRPr="009636AC" w:rsidRDefault="009260DE" w:rsidP="009260DE">
      <w:pPr>
        <w:tabs>
          <w:tab w:val="left" w:pos="851"/>
        </w:tabs>
        <w:ind w:left="851" w:hanging="851"/>
        <w:rPr>
          <w:b/>
          <w:sz w:val="24"/>
          <w:szCs w:val="24"/>
        </w:rPr>
      </w:pPr>
      <w:r w:rsidRPr="009636AC">
        <w:rPr>
          <w:b/>
          <w:sz w:val="24"/>
          <w:szCs w:val="24"/>
        </w:rPr>
        <w:t>4.9</w:t>
      </w:r>
      <w:r w:rsidRPr="009636AC">
        <w:rPr>
          <w:b/>
          <w:sz w:val="24"/>
          <w:szCs w:val="24"/>
        </w:rPr>
        <w:tab/>
        <w:t>Overdosering</w:t>
      </w:r>
    </w:p>
    <w:p w14:paraId="49300555" w14:textId="77777777" w:rsidR="00B30F40" w:rsidRPr="00F75980" w:rsidRDefault="00B30F40" w:rsidP="00B30F40">
      <w:pPr>
        <w:ind w:left="851"/>
        <w:rPr>
          <w:sz w:val="24"/>
          <w:szCs w:val="24"/>
          <w:u w:val="single"/>
        </w:rPr>
      </w:pPr>
      <w:r w:rsidRPr="00F75980">
        <w:rPr>
          <w:sz w:val="24"/>
          <w:szCs w:val="24"/>
          <w:u w:val="single"/>
        </w:rPr>
        <w:t>Symptomer</w:t>
      </w:r>
    </w:p>
    <w:p w14:paraId="52497CC6" w14:textId="77777777" w:rsidR="00B30F40" w:rsidRDefault="00B30F40" w:rsidP="00B30F40">
      <w:pPr>
        <w:ind w:left="851"/>
        <w:rPr>
          <w:sz w:val="24"/>
          <w:szCs w:val="24"/>
        </w:rPr>
      </w:pPr>
      <w:r w:rsidRPr="009636AC">
        <w:rPr>
          <w:sz w:val="24"/>
          <w:szCs w:val="24"/>
        </w:rPr>
        <w:t xml:space="preserve">De rapporterede symptomer ved overdosering omfattede neutropeni, anæmi, trombocytopeni, mucositis, sensorisk polyneuropati og udslæt. De forventede komplikationer ved overdosering omfattede knoglemarvshæmning, som ytrede sig ved neutropeni, trombocytopeni og anæmi. Derudover kan der optræde infektion med eller uden feber, diarré og/eller mucositis. </w:t>
      </w:r>
    </w:p>
    <w:p w14:paraId="68448B2C" w14:textId="77777777" w:rsidR="00B30F40" w:rsidRDefault="00B30F40" w:rsidP="00B30F40">
      <w:pPr>
        <w:ind w:left="851"/>
        <w:rPr>
          <w:sz w:val="24"/>
          <w:szCs w:val="24"/>
        </w:rPr>
      </w:pPr>
    </w:p>
    <w:p w14:paraId="289C0F9F" w14:textId="77777777" w:rsidR="00B30F40" w:rsidRPr="00F75980" w:rsidRDefault="00B30F40" w:rsidP="00B30F40">
      <w:pPr>
        <w:ind w:left="851"/>
        <w:rPr>
          <w:sz w:val="24"/>
          <w:szCs w:val="24"/>
          <w:u w:val="single"/>
        </w:rPr>
      </w:pPr>
      <w:r w:rsidRPr="00F75980">
        <w:rPr>
          <w:sz w:val="24"/>
          <w:szCs w:val="24"/>
          <w:u w:val="single"/>
        </w:rPr>
        <w:t>Behandling</w:t>
      </w:r>
    </w:p>
    <w:p w14:paraId="06100B2D" w14:textId="77777777" w:rsidR="00B30F40" w:rsidRPr="009636AC" w:rsidRDefault="00B30F40" w:rsidP="00B30F40">
      <w:pPr>
        <w:ind w:left="851"/>
        <w:rPr>
          <w:sz w:val="24"/>
          <w:szCs w:val="24"/>
        </w:rPr>
      </w:pPr>
      <w:r w:rsidRPr="009636AC">
        <w:rPr>
          <w:sz w:val="24"/>
          <w:szCs w:val="24"/>
        </w:rPr>
        <w:t>Hvis der er mistanke om overdosering, skal patienten monitoreres med blodtællinger og eventuelt i understøttende behandling. Til afhjælpning af en overdosering af pemetrexed bør det overvejes at anvende kalciumfolinat/folsyre.</w:t>
      </w:r>
    </w:p>
    <w:p w14:paraId="30896A9B" w14:textId="77777777" w:rsidR="00B30F40" w:rsidRPr="009636AC" w:rsidRDefault="00B30F40" w:rsidP="00B30F40">
      <w:pPr>
        <w:tabs>
          <w:tab w:val="left" w:pos="851"/>
        </w:tabs>
        <w:ind w:left="851"/>
        <w:rPr>
          <w:sz w:val="24"/>
          <w:szCs w:val="24"/>
        </w:rPr>
      </w:pPr>
    </w:p>
    <w:p w14:paraId="655B816F" w14:textId="77777777" w:rsidR="009260DE" w:rsidRPr="009636AC" w:rsidRDefault="009260DE" w:rsidP="009260DE">
      <w:pPr>
        <w:tabs>
          <w:tab w:val="left" w:pos="851"/>
        </w:tabs>
        <w:ind w:left="851"/>
        <w:rPr>
          <w:sz w:val="24"/>
          <w:szCs w:val="24"/>
        </w:rPr>
      </w:pPr>
    </w:p>
    <w:p w14:paraId="02816D79" w14:textId="77777777" w:rsidR="009260DE" w:rsidRPr="009636AC" w:rsidRDefault="009260DE" w:rsidP="009260DE">
      <w:pPr>
        <w:tabs>
          <w:tab w:val="left" w:pos="851"/>
        </w:tabs>
        <w:ind w:left="851" w:hanging="851"/>
        <w:rPr>
          <w:b/>
          <w:sz w:val="24"/>
          <w:szCs w:val="24"/>
        </w:rPr>
      </w:pPr>
      <w:r w:rsidRPr="009636AC">
        <w:rPr>
          <w:b/>
          <w:sz w:val="24"/>
          <w:szCs w:val="24"/>
        </w:rPr>
        <w:t>4.10</w:t>
      </w:r>
      <w:r w:rsidRPr="009636AC">
        <w:rPr>
          <w:b/>
          <w:sz w:val="24"/>
          <w:szCs w:val="24"/>
        </w:rPr>
        <w:tab/>
        <w:t>Udlevering</w:t>
      </w:r>
    </w:p>
    <w:p w14:paraId="3A516EE2" w14:textId="5832419A" w:rsidR="009260DE" w:rsidRPr="009636AC" w:rsidRDefault="0014039E" w:rsidP="009260DE">
      <w:pPr>
        <w:tabs>
          <w:tab w:val="left" w:pos="851"/>
        </w:tabs>
        <w:ind w:left="851"/>
        <w:rPr>
          <w:sz w:val="24"/>
          <w:szCs w:val="24"/>
        </w:rPr>
      </w:pPr>
      <w:r w:rsidRPr="009636AC">
        <w:rPr>
          <w:sz w:val="24"/>
          <w:szCs w:val="24"/>
        </w:rPr>
        <w:t xml:space="preserve">BEGR </w:t>
      </w:r>
      <w:r w:rsidR="00390138" w:rsidRPr="009636AC">
        <w:rPr>
          <w:sz w:val="24"/>
          <w:szCs w:val="24"/>
        </w:rPr>
        <w:t>–</w:t>
      </w:r>
      <w:r w:rsidRPr="009636AC">
        <w:rPr>
          <w:sz w:val="24"/>
          <w:szCs w:val="24"/>
        </w:rPr>
        <w:t xml:space="preserve"> </w:t>
      </w:r>
      <w:r w:rsidR="00390138" w:rsidRPr="009636AC">
        <w:rPr>
          <w:sz w:val="24"/>
          <w:szCs w:val="24"/>
        </w:rPr>
        <w:t>kun til sygehuse</w:t>
      </w:r>
    </w:p>
    <w:p w14:paraId="6117A939" w14:textId="77777777" w:rsidR="009260DE" w:rsidRPr="009636AC" w:rsidRDefault="009260DE" w:rsidP="009260DE">
      <w:pPr>
        <w:tabs>
          <w:tab w:val="left" w:pos="851"/>
        </w:tabs>
        <w:ind w:left="851"/>
        <w:rPr>
          <w:sz w:val="24"/>
          <w:szCs w:val="24"/>
        </w:rPr>
      </w:pPr>
    </w:p>
    <w:p w14:paraId="63C3C75F" w14:textId="77777777" w:rsidR="009260DE" w:rsidRPr="009636AC" w:rsidRDefault="009260DE" w:rsidP="009260DE">
      <w:pPr>
        <w:tabs>
          <w:tab w:val="left" w:pos="851"/>
        </w:tabs>
        <w:ind w:left="851"/>
        <w:rPr>
          <w:sz w:val="24"/>
          <w:szCs w:val="24"/>
        </w:rPr>
      </w:pPr>
    </w:p>
    <w:p w14:paraId="68C47548" w14:textId="77777777" w:rsidR="009260DE" w:rsidRPr="009636AC" w:rsidRDefault="009260DE" w:rsidP="009260DE">
      <w:pPr>
        <w:tabs>
          <w:tab w:val="left" w:pos="851"/>
        </w:tabs>
        <w:ind w:left="851" w:hanging="851"/>
        <w:rPr>
          <w:b/>
          <w:sz w:val="24"/>
          <w:szCs w:val="24"/>
        </w:rPr>
      </w:pPr>
      <w:r w:rsidRPr="009636AC">
        <w:rPr>
          <w:b/>
          <w:sz w:val="24"/>
          <w:szCs w:val="24"/>
        </w:rPr>
        <w:t>5.</w:t>
      </w:r>
      <w:r w:rsidRPr="009636AC">
        <w:rPr>
          <w:b/>
          <w:sz w:val="24"/>
          <w:szCs w:val="24"/>
        </w:rPr>
        <w:tab/>
        <w:t>FARMAKOLOGISKE EGENSKABER</w:t>
      </w:r>
    </w:p>
    <w:p w14:paraId="3DC45DC2" w14:textId="77777777" w:rsidR="004444B7" w:rsidRPr="009636AC" w:rsidRDefault="004444B7" w:rsidP="00651C2B">
      <w:pPr>
        <w:tabs>
          <w:tab w:val="left" w:pos="851"/>
        </w:tabs>
        <w:rPr>
          <w:sz w:val="24"/>
          <w:szCs w:val="24"/>
        </w:rPr>
      </w:pPr>
    </w:p>
    <w:p w14:paraId="5215B270" w14:textId="4A0482C3" w:rsidR="009260DE" w:rsidRDefault="009260DE" w:rsidP="009260DE">
      <w:pPr>
        <w:tabs>
          <w:tab w:val="num" w:pos="851"/>
        </w:tabs>
        <w:ind w:left="851" w:hanging="851"/>
        <w:rPr>
          <w:b/>
          <w:sz w:val="24"/>
          <w:szCs w:val="24"/>
        </w:rPr>
      </w:pPr>
      <w:r w:rsidRPr="009636AC">
        <w:rPr>
          <w:b/>
          <w:sz w:val="24"/>
          <w:szCs w:val="24"/>
        </w:rPr>
        <w:t>5.1</w:t>
      </w:r>
      <w:r w:rsidRPr="009636AC">
        <w:rPr>
          <w:b/>
          <w:sz w:val="24"/>
          <w:szCs w:val="24"/>
        </w:rPr>
        <w:tab/>
        <w:t>Farmakodynamiske egenskaber</w:t>
      </w:r>
    </w:p>
    <w:p w14:paraId="155C3903" w14:textId="77777777" w:rsidR="00B30F40" w:rsidRDefault="00651C2B" w:rsidP="00B30F40">
      <w:pPr>
        <w:keepNext/>
        <w:keepLines/>
        <w:tabs>
          <w:tab w:val="num" w:pos="851"/>
        </w:tabs>
        <w:ind w:left="851" w:hanging="851"/>
        <w:rPr>
          <w:sz w:val="24"/>
          <w:szCs w:val="24"/>
        </w:rPr>
      </w:pPr>
      <w:r>
        <w:rPr>
          <w:b/>
          <w:sz w:val="24"/>
          <w:szCs w:val="24"/>
        </w:rPr>
        <w:tab/>
      </w:r>
      <w:r w:rsidR="00B30F40" w:rsidRPr="00651C2B">
        <w:rPr>
          <w:sz w:val="24"/>
          <w:szCs w:val="24"/>
        </w:rPr>
        <w:t>Farmakoterapeutisk klassifikation:</w:t>
      </w:r>
      <w:r w:rsidR="00B30F40">
        <w:rPr>
          <w:sz w:val="24"/>
          <w:szCs w:val="24"/>
        </w:rPr>
        <w:t xml:space="preserve"> a</w:t>
      </w:r>
      <w:r w:rsidR="00B30F40" w:rsidRPr="00B96448">
        <w:rPr>
          <w:sz w:val="24"/>
          <w:szCs w:val="24"/>
        </w:rPr>
        <w:t xml:space="preserve">ntineoplastiske </w:t>
      </w:r>
      <w:proofErr w:type="gramStart"/>
      <w:r w:rsidR="00B30F40" w:rsidRPr="00B96448">
        <w:rPr>
          <w:sz w:val="24"/>
          <w:szCs w:val="24"/>
        </w:rPr>
        <w:t>stoffer</w:t>
      </w:r>
      <w:r w:rsidR="00B30F40">
        <w:rPr>
          <w:sz w:val="24"/>
          <w:szCs w:val="24"/>
        </w:rPr>
        <w:t>,f</w:t>
      </w:r>
      <w:r w:rsidR="00B30F40" w:rsidRPr="00651C2B">
        <w:rPr>
          <w:sz w:val="24"/>
          <w:szCs w:val="24"/>
        </w:rPr>
        <w:t>olsyreanaloger</w:t>
      </w:r>
      <w:proofErr w:type="gramEnd"/>
      <w:r w:rsidR="00B30F40">
        <w:rPr>
          <w:sz w:val="24"/>
          <w:szCs w:val="24"/>
        </w:rPr>
        <w:t xml:space="preserve">, </w:t>
      </w:r>
      <w:r w:rsidR="00B30F40" w:rsidRPr="009636AC">
        <w:rPr>
          <w:sz w:val="24"/>
          <w:szCs w:val="24"/>
        </w:rPr>
        <w:t xml:space="preserve">ATC-kode: </w:t>
      </w:r>
    </w:p>
    <w:p w14:paraId="0E03DAD2" w14:textId="77777777" w:rsidR="00B30F40" w:rsidRDefault="00B30F40" w:rsidP="00B30F40">
      <w:pPr>
        <w:keepNext/>
        <w:keepLines/>
        <w:tabs>
          <w:tab w:val="num" w:pos="851"/>
        </w:tabs>
        <w:ind w:left="1702" w:hanging="851"/>
        <w:rPr>
          <w:sz w:val="24"/>
          <w:szCs w:val="24"/>
        </w:rPr>
      </w:pPr>
      <w:r w:rsidRPr="009636AC">
        <w:rPr>
          <w:sz w:val="24"/>
          <w:szCs w:val="24"/>
        </w:rPr>
        <w:t>L 01 BA 04.</w:t>
      </w:r>
    </w:p>
    <w:p w14:paraId="2A194FE7" w14:textId="44EE5CA4" w:rsidR="00651C2B" w:rsidRDefault="00651C2B" w:rsidP="009260DE">
      <w:pPr>
        <w:tabs>
          <w:tab w:val="num" w:pos="851"/>
        </w:tabs>
        <w:ind w:left="851" w:hanging="851"/>
        <w:rPr>
          <w:sz w:val="24"/>
          <w:szCs w:val="24"/>
        </w:rPr>
      </w:pPr>
    </w:p>
    <w:p w14:paraId="48F91317" w14:textId="77777777" w:rsidR="00651C2B" w:rsidRPr="00651C2B" w:rsidRDefault="00651C2B" w:rsidP="009260DE">
      <w:pPr>
        <w:tabs>
          <w:tab w:val="num" w:pos="851"/>
        </w:tabs>
        <w:ind w:left="851" w:hanging="851"/>
        <w:rPr>
          <w:sz w:val="24"/>
          <w:szCs w:val="24"/>
        </w:rPr>
      </w:pPr>
    </w:p>
    <w:p w14:paraId="32E4F18B" w14:textId="77777777" w:rsidR="004444B7" w:rsidRPr="009636AC" w:rsidRDefault="004444B7" w:rsidP="009C7FBF">
      <w:pPr>
        <w:ind w:left="851"/>
        <w:rPr>
          <w:sz w:val="24"/>
          <w:szCs w:val="24"/>
          <w:lang w:eastAsia="da-DK"/>
        </w:rPr>
      </w:pPr>
      <w:r w:rsidRPr="009636AC">
        <w:rPr>
          <w:sz w:val="24"/>
          <w:szCs w:val="24"/>
        </w:rPr>
        <w:t>Pemetrexed</w:t>
      </w:r>
      <w:r w:rsidRPr="009636AC">
        <w:rPr>
          <w:sz w:val="24"/>
          <w:szCs w:val="24"/>
          <w:lang w:eastAsia="da-DK"/>
        </w:rPr>
        <w:t xml:space="preserve"> er et bredspektret anti-cancer-antifolat, som virker ved at forstyrre de centrale folatafhængige metaboliske processer, der er afgørende for celledannelsen.</w:t>
      </w:r>
    </w:p>
    <w:p w14:paraId="14131D98" w14:textId="77777777" w:rsidR="004444B7" w:rsidRPr="009636AC" w:rsidRDefault="004444B7" w:rsidP="009C7FBF">
      <w:pPr>
        <w:ind w:left="851"/>
        <w:rPr>
          <w:iCs/>
          <w:sz w:val="24"/>
          <w:szCs w:val="24"/>
          <w:lang w:eastAsia="da-DK"/>
        </w:rPr>
      </w:pPr>
    </w:p>
    <w:p w14:paraId="3C6305A5" w14:textId="77777777" w:rsidR="004444B7" w:rsidRPr="009636AC" w:rsidRDefault="004444B7" w:rsidP="009C7FBF">
      <w:pPr>
        <w:ind w:left="851"/>
        <w:rPr>
          <w:iCs/>
          <w:sz w:val="24"/>
          <w:szCs w:val="24"/>
          <w:lang w:eastAsia="da-DK"/>
        </w:rPr>
      </w:pPr>
      <w:r w:rsidRPr="009636AC">
        <w:rPr>
          <w:i/>
          <w:sz w:val="24"/>
          <w:szCs w:val="24"/>
          <w:lang w:eastAsia="da-DK"/>
        </w:rPr>
        <w:t>In vitro</w:t>
      </w:r>
      <w:r w:rsidRPr="009636AC">
        <w:rPr>
          <w:iCs/>
          <w:sz w:val="24"/>
          <w:szCs w:val="24"/>
          <w:lang w:eastAsia="da-DK"/>
        </w:rPr>
        <w:t xml:space="preserve">-forsøg har vist, at pemetrexed fungerer som et bredspektret anti-folat ved at hæmme thymidylatsyntase (TS), dihydrofolatreduktase (DHFR) og glycinamid-ribonucleotidformyltransferase (GARFT), som er folatafhængige nøgleenzymer i forbindelse med </w:t>
      </w:r>
      <w:r w:rsidRPr="009636AC">
        <w:rPr>
          <w:i/>
          <w:sz w:val="24"/>
          <w:szCs w:val="24"/>
          <w:lang w:eastAsia="da-DK"/>
        </w:rPr>
        <w:t>de novo</w:t>
      </w:r>
      <w:r w:rsidRPr="009636AC">
        <w:rPr>
          <w:iCs/>
          <w:sz w:val="24"/>
          <w:szCs w:val="24"/>
          <w:lang w:eastAsia="da-DK"/>
        </w:rPr>
        <w:t>-biosyntesen af thymidin og purinnukleotider. Pemetrexed transporteres ind i cellerne både via to proteintransportsystemer: den reducerede folatbærer og membranens folatbindingsprotein. Når pemetrexed er trængt ind i cellen, omdannes det hurtigt til polyglutamatformer via enzymfolylpolyglutamatsyntetase.</w:t>
      </w:r>
    </w:p>
    <w:p w14:paraId="3DDC51F9" w14:textId="77777777" w:rsidR="004444B7" w:rsidRPr="009636AC" w:rsidRDefault="004444B7" w:rsidP="009C7FBF">
      <w:pPr>
        <w:ind w:left="851"/>
        <w:rPr>
          <w:iCs/>
          <w:sz w:val="24"/>
          <w:szCs w:val="24"/>
          <w:lang w:eastAsia="da-DK"/>
        </w:rPr>
      </w:pPr>
      <w:r w:rsidRPr="009636AC">
        <w:rPr>
          <w:iCs/>
          <w:sz w:val="24"/>
          <w:szCs w:val="24"/>
          <w:lang w:eastAsia="da-DK"/>
        </w:rPr>
        <w:t xml:space="preserve">Polyglutamatformerne forbliver i cellerne og fungerer som endnu mere potente hæmmere af TS og GARFT. Polyglutamation er en tids- og koncentrationsafhængig proces, som primært finder sted i tumorceller og i mindre grad i normalt væv. Polyglutamerede </w:t>
      </w:r>
      <w:r w:rsidRPr="009636AC">
        <w:rPr>
          <w:iCs/>
          <w:sz w:val="24"/>
          <w:szCs w:val="24"/>
          <w:lang w:eastAsia="da-DK"/>
        </w:rPr>
        <w:lastRenderedPageBreak/>
        <w:t>metabolitter har en forøget intracellulær halveringstid, hvilket resulterer i en forlænget virkning af lægemidlet i maligne celler.</w:t>
      </w:r>
    </w:p>
    <w:p w14:paraId="48419ECA" w14:textId="77777777" w:rsidR="004444B7" w:rsidRPr="009636AC" w:rsidRDefault="004444B7" w:rsidP="009C7FBF">
      <w:pPr>
        <w:ind w:left="851"/>
        <w:rPr>
          <w:sz w:val="24"/>
          <w:szCs w:val="24"/>
          <w:lang w:eastAsia="da-DK"/>
        </w:rPr>
      </w:pPr>
    </w:p>
    <w:p w14:paraId="1875835A" w14:textId="77777777" w:rsidR="004444B7" w:rsidRPr="009636AC" w:rsidRDefault="004444B7" w:rsidP="009C7FBF">
      <w:pPr>
        <w:ind w:left="851"/>
        <w:rPr>
          <w:sz w:val="24"/>
          <w:szCs w:val="24"/>
          <w:lang w:eastAsia="da-DK"/>
        </w:rPr>
      </w:pPr>
      <w:r w:rsidRPr="009636AC">
        <w:rPr>
          <w:sz w:val="24"/>
          <w:szCs w:val="24"/>
          <w:lang w:eastAsia="da-DK"/>
        </w:rPr>
        <w:t>Det Europæiske Lægemiddelagentur har dispenseret fra kravet om at fremlægge resultaterne af studier med referencelægemidlet, som indeholder pemetrexed, i alle undergrupper af den pædiatriske population ved de godkendte indikationer (se pkt. 4.2).</w:t>
      </w:r>
    </w:p>
    <w:p w14:paraId="6F3CD09C" w14:textId="77777777" w:rsidR="004444B7" w:rsidRPr="009636AC" w:rsidRDefault="004444B7" w:rsidP="009C7FBF">
      <w:pPr>
        <w:ind w:left="851"/>
        <w:rPr>
          <w:sz w:val="24"/>
          <w:szCs w:val="24"/>
          <w:lang w:eastAsia="da-DK"/>
        </w:rPr>
      </w:pPr>
    </w:p>
    <w:p w14:paraId="0B1BE45D" w14:textId="77777777" w:rsidR="004444B7" w:rsidRPr="009636AC" w:rsidRDefault="004444B7" w:rsidP="009C7FBF">
      <w:pPr>
        <w:ind w:left="851"/>
        <w:rPr>
          <w:bCs/>
          <w:sz w:val="24"/>
          <w:szCs w:val="24"/>
          <w:u w:val="single"/>
        </w:rPr>
      </w:pPr>
      <w:r w:rsidRPr="009636AC">
        <w:rPr>
          <w:bCs/>
          <w:sz w:val="24"/>
          <w:szCs w:val="24"/>
          <w:u w:val="single"/>
        </w:rPr>
        <w:t>Klinisk virkning</w:t>
      </w:r>
    </w:p>
    <w:p w14:paraId="481488A5" w14:textId="77777777" w:rsidR="004444B7" w:rsidRPr="009636AC" w:rsidRDefault="004444B7" w:rsidP="009C7FBF">
      <w:pPr>
        <w:ind w:left="851"/>
        <w:rPr>
          <w:bCs/>
          <w:sz w:val="24"/>
          <w:szCs w:val="24"/>
          <w:u w:val="single"/>
        </w:rPr>
      </w:pPr>
    </w:p>
    <w:p w14:paraId="56CAF902" w14:textId="77777777" w:rsidR="004444B7" w:rsidRPr="009636AC" w:rsidRDefault="004444B7" w:rsidP="009C7FBF">
      <w:pPr>
        <w:ind w:left="851"/>
        <w:rPr>
          <w:bCs/>
          <w:i/>
          <w:sz w:val="24"/>
          <w:szCs w:val="24"/>
        </w:rPr>
      </w:pPr>
      <w:r w:rsidRPr="009636AC">
        <w:rPr>
          <w:bCs/>
          <w:i/>
          <w:sz w:val="24"/>
          <w:szCs w:val="24"/>
        </w:rPr>
        <w:t>Mesoteliom</w:t>
      </w:r>
    </w:p>
    <w:p w14:paraId="43BF9E1D" w14:textId="77777777" w:rsidR="004444B7" w:rsidRPr="009636AC" w:rsidRDefault="004444B7" w:rsidP="009C7FBF">
      <w:pPr>
        <w:ind w:left="851"/>
        <w:rPr>
          <w:sz w:val="24"/>
          <w:szCs w:val="24"/>
          <w:lang w:eastAsia="da-DK"/>
        </w:rPr>
      </w:pPr>
      <w:r w:rsidRPr="009636AC">
        <w:rPr>
          <w:sz w:val="24"/>
          <w:szCs w:val="24"/>
          <w:lang w:eastAsia="da-DK"/>
        </w:rPr>
        <w:t xml:space="preserve">EMPHACIS, et randomiseret, enkeltblindet, fase 3-multicenterstudie med pemetrexed sammen med cisplatin </w:t>
      </w:r>
      <w:r w:rsidRPr="009636AC">
        <w:rPr>
          <w:i/>
          <w:sz w:val="24"/>
          <w:szCs w:val="24"/>
          <w:lang w:eastAsia="da-DK"/>
        </w:rPr>
        <w:t xml:space="preserve">versus </w:t>
      </w:r>
      <w:r w:rsidRPr="009636AC">
        <w:rPr>
          <w:sz w:val="24"/>
          <w:szCs w:val="24"/>
          <w:lang w:eastAsia="da-DK"/>
        </w:rPr>
        <w:t xml:space="preserve">cisplatin alene til patienter, der ikke tidligere havde fået kemoterapi, og som led af malignt pleuramesoteliom, viste, at de patienter, som blev behandlet med pemetrexed og cisplatin, havde en klinisk meningsfuld længere median-levetid på 2,8 måneder end patienter, som kun blev behandlet med cisplatin. </w:t>
      </w:r>
    </w:p>
    <w:p w14:paraId="292196F4" w14:textId="77777777" w:rsidR="004444B7" w:rsidRPr="009636AC" w:rsidRDefault="004444B7" w:rsidP="009C7FBF">
      <w:pPr>
        <w:ind w:left="851"/>
        <w:rPr>
          <w:sz w:val="24"/>
          <w:szCs w:val="24"/>
          <w:lang w:eastAsia="da-DK"/>
        </w:rPr>
      </w:pPr>
    </w:p>
    <w:p w14:paraId="08A8CF02" w14:textId="77777777" w:rsidR="004444B7" w:rsidRPr="009636AC" w:rsidRDefault="004444B7" w:rsidP="009C7FBF">
      <w:pPr>
        <w:ind w:left="851"/>
        <w:rPr>
          <w:sz w:val="24"/>
          <w:szCs w:val="24"/>
          <w:lang w:eastAsia="da-DK"/>
        </w:rPr>
      </w:pPr>
      <w:r w:rsidRPr="009636AC">
        <w:rPr>
          <w:sz w:val="24"/>
          <w:szCs w:val="24"/>
          <w:lang w:eastAsia="da-DK"/>
        </w:rPr>
        <w:t>I løbet af studiet blev patienternes behandling suppleret med et lavdosistilskud af folsyre og B</w:t>
      </w:r>
      <w:r w:rsidRPr="009636AC">
        <w:rPr>
          <w:sz w:val="24"/>
          <w:szCs w:val="24"/>
          <w:vertAlign w:val="subscript"/>
          <w:lang w:eastAsia="da-DK"/>
        </w:rPr>
        <w:t>12</w:t>
      </w:r>
      <w:r w:rsidRPr="009636AC">
        <w:rPr>
          <w:sz w:val="24"/>
          <w:szCs w:val="24"/>
          <w:lang w:eastAsia="da-DK"/>
        </w:rPr>
        <w:t>-vitamin for at mindske toksiciteten. Den primære analyse af dette studie blev udført på en population bestående af alle de patienter, som var randomiseret til en behandlingsarm, og som modtog studiemedicinen (randomiseret og behandlet). Der blev udført en undergruppeanalyse af de patienter, som fik et folsyre- og B</w:t>
      </w:r>
      <w:r w:rsidRPr="009636AC">
        <w:rPr>
          <w:sz w:val="24"/>
          <w:szCs w:val="24"/>
          <w:vertAlign w:val="subscript"/>
          <w:lang w:eastAsia="da-DK"/>
        </w:rPr>
        <w:t>12</w:t>
      </w:r>
      <w:r w:rsidRPr="009636AC">
        <w:rPr>
          <w:sz w:val="24"/>
          <w:szCs w:val="24"/>
          <w:lang w:eastAsia="da-DK"/>
        </w:rPr>
        <w:t>-vitamintilskud under hele studieforløbet (fuldt tilskud). Resultaterne af disse effektanalyser er vist i nedenstående tabel.</w:t>
      </w:r>
    </w:p>
    <w:p w14:paraId="4F1A3453" w14:textId="77777777" w:rsidR="004444B7" w:rsidRPr="009636AC" w:rsidRDefault="004444B7" w:rsidP="004444B7">
      <w:pPr>
        <w:suppressAutoHyphens/>
        <w:ind w:left="851"/>
        <w:rPr>
          <w:bCs/>
          <w:sz w:val="24"/>
          <w:szCs w:val="24"/>
          <w:u w:val="single"/>
        </w:rPr>
      </w:pPr>
    </w:p>
    <w:p w14:paraId="3B5641A0" w14:textId="77777777" w:rsidR="004444B7" w:rsidRPr="009636AC" w:rsidRDefault="004444B7" w:rsidP="004444B7">
      <w:pPr>
        <w:suppressAutoHyphens/>
        <w:rPr>
          <w:b/>
          <w:bCs/>
          <w:sz w:val="24"/>
          <w:szCs w:val="24"/>
        </w:rPr>
      </w:pPr>
      <w:r w:rsidRPr="009636AC">
        <w:rPr>
          <w:b/>
          <w:bCs/>
          <w:sz w:val="24"/>
          <w:szCs w:val="24"/>
        </w:rPr>
        <w:t xml:space="preserve">Tabel 5. Effekt af pemetrexed sammen med cisplatin </w:t>
      </w:r>
      <w:r w:rsidRPr="009636AC">
        <w:rPr>
          <w:b/>
          <w:bCs/>
          <w:i/>
          <w:sz w:val="24"/>
          <w:szCs w:val="24"/>
        </w:rPr>
        <w:t>versus</w:t>
      </w:r>
      <w:r w:rsidRPr="009636AC">
        <w:rPr>
          <w:b/>
          <w:bCs/>
          <w:sz w:val="24"/>
          <w:szCs w:val="24"/>
        </w:rPr>
        <w:t xml:space="preserve"> cisplatin alene til patienter med malignt pleuramesoteliom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627"/>
        <w:gridCol w:w="1583"/>
        <w:gridCol w:w="1627"/>
        <w:gridCol w:w="1583"/>
      </w:tblGrid>
      <w:tr w:rsidR="004444B7" w:rsidRPr="009636AC" w14:paraId="5D7DF488" w14:textId="77777777" w:rsidTr="00390138">
        <w:tc>
          <w:tcPr>
            <w:tcW w:w="1666" w:type="pct"/>
            <w:tcBorders>
              <w:top w:val="single" w:sz="4" w:space="0" w:color="auto"/>
              <w:left w:val="single" w:sz="4" w:space="0" w:color="auto"/>
              <w:bottom w:val="single" w:sz="4" w:space="0" w:color="auto"/>
              <w:right w:val="single" w:sz="4" w:space="0" w:color="auto"/>
            </w:tcBorders>
          </w:tcPr>
          <w:p w14:paraId="7720590F" w14:textId="77777777" w:rsidR="004444B7" w:rsidRPr="009636AC" w:rsidRDefault="004444B7">
            <w:pPr>
              <w:rPr>
                <w:b/>
                <w:sz w:val="22"/>
                <w:szCs w:val="22"/>
              </w:rPr>
            </w:pPr>
          </w:p>
        </w:tc>
        <w:tc>
          <w:tcPr>
            <w:tcW w:w="1667" w:type="pct"/>
            <w:gridSpan w:val="2"/>
            <w:tcBorders>
              <w:top w:val="single" w:sz="4" w:space="0" w:color="auto"/>
              <w:left w:val="single" w:sz="4" w:space="0" w:color="auto"/>
              <w:bottom w:val="single" w:sz="4" w:space="0" w:color="auto"/>
              <w:right w:val="single" w:sz="4" w:space="0" w:color="auto"/>
            </w:tcBorders>
            <w:hideMark/>
          </w:tcPr>
          <w:p w14:paraId="2F058EA9" w14:textId="77777777" w:rsidR="004444B7" w:rsidRPr="009636AC" w:rsidRDefault="004444B7">
            <w:pPr>
              <w:jc w:val="center"/>
              <w:rPr>
                <w:b/>
                <w:sz w:val="22"/>
                <w:szCs w:val="22"/>
              </w:rPr>
            </w:pPr>
            <w:r w:rsidRPr="009636AC">
              <w:rPr>
                <w:b/>
                <w:sz w:val="22"/>
                <w:szCs w:val="22"/>
              </w:rPr>
              <w:t>Randomiseret og behandlet patienter</w:t>
            </w:r>
          </w:p>
        </w:tc>
        <w:tc>
          <w:tcPr>
            <w:tcW w:w="1667" w:type="pct"/>
            <w:gridSpan w:val="2"/>
            <w:tcBorders>
              <w:top w:val="single" w:sz="4" w:space="0" w:color="auto"/>
              <w:left w:val="single" w:sz="4" w:space="0" w:color="auto"/>
              <w:bottom w:val="single" w:sz="4" w:space="0" w:color="auto"/>
              <w:right w:val="single" w:sz="4" w:space="0" w:color="auto"/>
            </w:tcBorders>
            <w:hideMark/>
          </w:tcPr>
          <w:p w14:paraId="033EA6C4" w14:textId="77777777" w:rsidR="004444B7" w:rsidRPr="009636AC" w:rsidRDefault="004444B7">
            <w:pPr>
              <w:jc w:val="center"/>
              <w:rPr>
                <w:b/>
                <w:sz w:val="22"/>
                <w:szCs w:val="22"/>
              </w:rPr>
            </w:pPr>
            <w:r w:rsidRPr="009636AC">
              <w:rPr>
                <w:b/>
                <w:sz w:val="22"/>
                <w:szCs w:val="22"/>
              </w:rPr>
              <w:t>Fuldt tilskud</w:t>
            </w:r>
          </w:p>
          <w:p w14:paraId="1590579E" w14:textId="77777777" w:rsidR="004444B7" w:rsidRPr="009636AC" w:rsidRDefault="004444B7">
            <w:pPr>
              <w:jc w:val="center"/>
              <w:rPr>
                <w:b/>
                <w:sz w:val="22"/>
                <w:szCs w:val="22"/>
              </w:rPr>
            </w:pPr>
            <w:r w:rsidRPr="009636AC">
              <w:rPr>
                <w:b/>
                <w:sz w:val="22"/>
                <w:szCs w:val="22"/>
              </w:rPr>
              <w:t>patienter</w:t>
            </w:r>
          </w:p>
        </w:tc>
      </w:tr>
      <w:tr w:rsidR="004444B7" w:rsidRPr="009636AC" w14:paraId="4A83DFF1" w14:textId="77777777" w:rsidTr="00390138">
        <w:tc>
          <w:tcPr>
            <w:tcW w:w="1666" w:type="pct"/>
            <w:tcBorders>
              <w:top w:val="single" w:sz="4" w:space="0" w:color="auto"/>
              <w:left w:val="single" w:sz="4" w:space="0" w:color="auto"/>
              <w:bottom w:val="single" w:sz="4" w:space="0" w:color="auto"/>
              <w:right w:val="single" w:sz="4" w:space="0" w:color="auto"/>
            </w:tcBorders>
            <w:hideMark/>
          </w:tcPr>
          <w:p w14:paraId="441AF5B9" w14:textId="77777777" w:rsidR="004444B7" w:rsidRPr="009636AC" w:rsidRDefault="004444B7">
            <w:pPr>
              <w:rPr>
                <w:b/>
                <w:sz w:val="22"/>
                <w:szCs w:val="22"/>
              </w:rPr>
            </w:pPr>
            <w:r w:rsidRPr="009636AC">
              <w:rPr>
                <w:b/>
                <w:sz w:val="22"/>
                <w:szCs w:val="22"/>
              </w:rPr>
              <w:t>Effektparameter</w:t>
            </w:r>
          </w:p>
        </w:tc>
        <w:tc>
          <w:tcPr>
            <w:tcW w:w="845" w:type="pct"/>
            <w:tcBorders>
              <w:top w:val="single" w:sz="4" w:space="0" w:color="auto"/>
              <w:left w:val="single" w:sz="4" w:space="0" w:color="auto"/>
              <w:bottom w:val="single" w:sz="4" w:space="0" w:color="auto"/>
              <w:right w:val="single" w:sz="4" w:space="0" w:color="auto"/>
            </w:tcBorders>
            <w:hideMark/>
          </w:tcPr>
          <w:p w14:paraId="59519EC2" w14:textId="77777777" w:rsidR="004444B7" w:rsidRPr="009636AC" w:rsidRDefault="004444B7">
            <w:pPr>
              <w:jc w:val="center"/>
              <w:rPr>
                <w:b/>
                <w:sz w:val="22"/>
                <w:szCs w:val="22"/>
              </w:rPr>
            </w:pPr>
            <w:r w:rsidRPr="009636AC">
              <w:rPr>
                <w:b/>
                <w:sz w:val="22"/>
                <w:szCs w:val="22"/>
              </w:rPr>
              <w:t>Pemetrexed/ cisplatin</w:t>
            </w:r>
          </w:p>
          <w:p w14:paraId="2B446F8A" w14:textId="77777777" w:rsidR="004444B7" w:rsidRPr="009636AC" w:rsidRDefault="004444B7">
            <w:pPr>
              <w:jc w:val="center"/>
              <w:rPr>
                <w:b/>
                <w:sz w:val="22"/>
                <w:szCs w:val="22"/>
              </w:rPr>
            </w:pPr>
            <w:r w:rsidRPr="009636AC">
              <w:rPr>
                <w:b/>
                <w:sz w:val="22"/>
                <w:szCs w:val="22"/>
              </w:rPr>
              <w:t>(N=226)</w:t>
            </w:r>
          </w:p>
        </w:tc>
        <w:tc>
          <w:tcPr>
            <w:tcW w:w="822" w:type="pct"/>
            <w:tcBorders>
              <w:top w:val="single" w:sz="4" w:space="0" w:color="auto"/>
              <w:left w:val="single" w:sz="4" w:space="0" w:color="auto"/>
              <w:bottom w:val="single" w:sz="4" w:space="0" w:color="auto"/>
              <w:right w:val="single" w:sz="4" w:space="0" w:color="auto"/>
            </w:tcBorders>
          </w:tcPr>
          <w:p w14:paraId="7B77CCA8" w14:textId="77777777" w:rsidR="004444B7" w:rsidRPr="009636AC" w:rsidRDefault="004444B7">
            <w:pPr>
              <w:jc w:val="center"/>
              <w:rPr>
                <w:b/>
                <w:sz w:val="22"/>
                <w:szCs w:val="22"/>
              </w:rPr>
            </w:pPr>
            <w:r w:rsidRPr="009636AC">
              <w:rPr>
                <w:b/>
                <w:sz w:val="22"/>
                <w:szCs w:val="22"/>
              </w:rPr>
              <w:t>Cisplatin</w:t>
            </w:r>
          </w:p>
          <w:p w14:paraId="3DF34CD5" w14:textId="77777777" w:rsidR="004444B7" w:rsidRPr="009636AC" w:rsidRDefault="004444B7">
            <w:pPr>
              <w:jc w:val="center"/>
              <w:rPr>
                <w:b/>
                <w:sz w:val="22"/>
                <w:szCs w:val="22"/>
              </w:rPr>
            </w:pPr>
          </w:p>
          <w:p w14:paraId="39D74E56" w14:textId="77777777" w:rsidR="004444B7" w:rsidRPr="009636AC" w:rsidRDefault="004444B7">
            <w:pPr>
              <w:jc w:val="center"/>
              <w:rPr>
                <w:b/>
                <w:sz w:val="22"/>
                <w:szCs w:val="22"/>
              </w:rPr>
            </w:pPr>
            <w:r w:rsidRPr="009636AC">
              <w:rPr>
                <w:b/>
                <w:sz w:val="22"/>
                <w:szCs w:val="22"/>
              </w:rPr>
              <w:t>(N=222)</w:t>
            </w:r>
          </w:p>
        </w:tc>
        <w:tc>
          <w:tcPr>
            <w:tcW w:w="845" w:type="pct"/>
            <w:tcBorders>
              <w:top w:val="single" w:sz="4" w:space="0" w:color="auto"/>
              <w:left w:val="single" w:sz="4" w:space="0" w:color="auto"/>
              <w:bottom w:val="single" w:sz="4" w:space="0" w:color="auto"/>
              <w:right w:val="single" w:sz="4" w:space="0" w:color="auto"/>
            </w:tcBorders>
            <w:hideMark/>
          </w:tcPr>
          <w:p w14:paraId="13E5139C" w14:textId="77777777" w:rsidR="004444B7" w:rsidRPr="009636AC" w:rsidRDefault="004444B7">
            <w:pPr>
              <w:jc w:val="center"/>
              <w:rPr>
                <w:b/>
                <w:sz w:val="22"/>
                <w:szCs w:val="22"/>
              </w:rPr>
            </w:pPr>
            <w:r w:rsidRPr="009636AC">
              <w:rPr>
                <w:b/>
                <w:sz w:val="22"/>
                <w:szCs w:val="22"/>
              </w:rPr>
              <w:t>Pemetrexed/ cisplatin</w:t>
            </w:r>
          </w:p>
          <w:p w14:paraId="562DFD65" w14:textId="77777777" w:rsidR="004444B7" w:rsidRPr="009636AC" w:rsidRDefault="004444B7">
            <w:pPr>
              <w:jc w:val="center"/>
              <w:rPr>
                <w:b/>
                <w:sz w:val="22"/>
                <w:szCs w:val="22"/>
              </w:rPr>
            </w:pPr>
            <w:r w:rsidRPr="009636AC">
              <w:rPr>
                <w:b/>
                <w:sz w:val="22"/>
                <w:szCs w:val="22"/>
              </w:rPr>
              <w:t>(N=168)</w:t>
            </w:r>
          </w:p>
        </w:tc>
        <w:tc>
          <w:tcPr>
            <w:tcW w:w="822" w:type="pct"/>
            <w:tcBorders>
              <w:top w:val="single" w:sz="4" w:space="0" w:color="auto"/>
              <w:left w:val="single" w:sz="4" w:space="0" w:color="auto"/>
              <w:bottom w:val="single" w:sz="4" w:space="0" w:color="auto"/>
              <w:right w:val="single" w:sz="4" w:space="0" w:color="auto"/>
            </w:tcBorders>
          </w:tcPr>
          <w:p w14:paraId="3D5EEE99" w14:textId="77777777" w:rsidR="004444B7" w:rsidRPr="009636AC" w:rsidRDefault="004444B7">
            <w:pPr>
              <w:jc w:val="center"/>
              <w:rPr>
                <w:b/>
                <w:sz w:val="22"/>
                <w:szCs w:val="22"/>
              </w:rPr>
            </w:pPr>
            <w:r w:rsidRPr="009636AC">
              <w:rPr>
                <w:b/>
                <w:sz w:val="22"/>
                <w:szCs w:val="22"/>
              </w:rPr>
              <w:t>Cisplatin</w:t>
            </w:r>
          </w:p>
          <w:p w14:paraId="7DF4346D" w14:textId="77777777" w:rsidR="004444B7" w:rsidRPr="009636AC" w:rsidRDefault="004444B7">
            <w:pPr>
              <w:jc w:val="center"/>
              <w:rPr>
                <w:b/>
                <w:sz w:val="22"/>
                <w:szCs w:val="22"/>
              </w:rPr>
            </w:pPr>
          </w:p>
          <w:p w14:paraId="1C8C396E" w14:textId="77777777" w:rsidR="004444B7" w:rsidRPr="009636AC" w:rsidRDefault="004444B7">
            <w:pPr>
              <w:jc w:val="center"/>
              <w:rPr>
                <w:b/>
                <w:sz w:val="22"/>
                <w:szCs w:val="22"/>
              </w:rPr>
            </w:pPr>
            <w:r w:rsidRPr="009636AC">
              <w:rPr>
                <w:b/>
                <w:sz w:val="22"/>
                <w:szCs w:val="22"/>
              </w:rPr>
              <w:t>(N=163)</w:t>
            </w:r>
          </w:p>
        </w:tc>
      </w:tr>
      <w:tr w:rsidR="004444B7" w:rsidRPr="009636AC" w14:paraId="08CAF006" w14:textId="77777777" w:rsidTr="00390138">
        <w:tc>
          <w:tcPr>
            <w:tcW w:w="1666" w:type="pct"/>
            <w:tcBorders>
              <w:top w:val="single" w:sz="4" w:space="0" w:color="auto"/>
              <w:left w:val="single" w:sz="4" w:space="0" w:color="auto"/>
              <w:bottom w:val="single" w:sz="4" w:space="0" w:color="auto"/>
              <w:right w:val="single" w:sz="4" w:space="0" w:color="auto"/>
            </w:tcBorders>
            <w:hideMark/>
          </w:tcPr>
          <w:p w14:paraId="4032F61F" w14:textId="77777777" w:rsidR="004444B7" w:rsidRPr="009636AC" w:rsidRDefault="004444B7">
            <w:pPr>
              <w:rPr>
                <w:sz w:val="22"/>
                <w:szCs w:val="22"/>
              </w:rPr>
            </w:pPr>
            <w:r w:rsidRPr="009636AC">
              <w:rPr>
                <w:sz w:val="22"/>
                <w:szCs w:val="22"/>
              </w:rPr>
              <w:t>Median overlevelse (måneder)</w:t>
            </w:r>
          </w:p>
          <w:p w14:paraId="7E18C75E" w14:textId="77777777" w:rsidR="004444B7" w:rsidRPr="009636AC" w:rsidRDefault="004444B7">
            <w:pPr>
              <w:rPr>
                <w:sz w:val="22"/>
                <w:szCs w:val="22"/>
              </w:rPr>
            </w:pPr>
            <w:r w:rsidRPr="009636AC">
              <w:rPr>
                <w:sz w:val="22"/>
                <w:szCs w:val="22"/>
              </w:rPr>
              <w:t>(95 % CI)</w:t>
            </w:r>
          </w:p>
        </w:tc>
        <w:tc>
          <w:tcPr>
            <w:tcW w:w="845" w:type="pct"/>
            <w:tcBorders>
              <w:top w:val="single" w:sz="4" w:space="0" w:color="auto"/>
              <w:left w:val="single" w:sz="4" w:space="0" w:color="auto"/>
              <w:bottom w:val="single" w:sz="4" w:space="0" w:color="auto"/>
              <w:right w:val="single" w:sz="4" w:space="0" w:color="auto"/>
            </w:tcBorders>
            <w:hideMark/>
          </w:tcPr>
          <w:p w14:paraId="17A565A0" w14:textId="77777777" w:rsidR="004444B7" w:rsidRPr="009636AC" w:rsidRDefault="004444B7">
            <w:pPr>
              <w:jc w:val="center"/>
              <w:rPr>
                <w:sz w:val="22"/>
                <w:szCs w:val="22"/>
              </w:rPr>
            </w:pPr>
            <w:r w:rsidRPr="009636AC">
              <w:rPr>
                <w:sz w:val="22"/>
                <w:szCs w:val="22"/>
              </w:rPr>
              <w:t>12,1</w:t>
            </w:r>
          </w:p>
          <w:p w14:paraId="3F3863FF" w14:textId="77777777" w:rsidR="004444B7" w:rsidRPr="009636AC" w:rsidRDefault="004444B7">
            <w:pPr>
              <w:jc w:val="center"/>
              <w:rPr>
                <w:sz w:val="22"/>
                <w:szCs w:val="22"/>
              </w:rPr>
            </w:pPr>
            <w:r w:rsidRPr="009636AC">
              <w:rPr>
                <w:sz w:val="22"/>
                <w:szCs w:val="22"/>
              </w:rPr>
              <w:t>(10,0-14,4)</w:t>
            </w:r>
          </w:p>
        </w:tc>
        <w:tc>
          <w:tcPr>
            <w:tcW w:w="822" w:type="pct"/>
            <w:tcBorders>
              <w:top w:val="single" w:sz="4" w:space="0" w:color="auto"/>
              <w:left w:val="single" w:sz="4" w:space="0" w:color="auto"/>
              <w:bottom w:val="single" w:sz="4" w:space="0" w:color="auto"/>
              <w:right w:val="single" w:sz="4" w:space="0" w:color="auto"/>
            </w:tcBorders>
            <w:hideMark/>
          </w:tcPr>
          <w:p w14:paraId="7161024E" w14:textId="77777777" w:rsidR="004444B7" w:rsidRPr="009636AC" w:rsidRDefault="004444B7">
            <w:pPr>
              <w:jc w:val="center"/>
              <w:rPr>
                <w:sz w:val="22"/>
                <w:szCs w:val="22"/>
              </w:rPr>
            </w:pPr>
            <w:r w:rsidRPr="009636AC">
              <w:rPr>
                <w:sz w:val="22"/>
                <w:szCs w:val="22"/>
              </w:rPr>
              <w:t>9,3</w:t>
            </w:r>
          </w:p>
          <w:p w14:paraId="31A24DEB" w14:textId="77777777" w:rsidR="004444B7" w:rsidRPr="009636AC" w:rsidRDefault="004444B7">
            <w:pPr>
              <w:jc w:val="center"/>
              <w:rPr>
                <w:sz w:val="22"/>
                <w:szCs w:val="22"/>
              </w:rPr>
            </w:pPr>
            <w:r w:rsidRPr="009636AC">
              <w:rPr>
                <w:sz w:val="22"/>
                <w:szCs w:val="22"/>
              </w:rPr>
              <w:t>(7,8-10,7)</w:t>
            </w:r>
          </w:p>
        </w:tc>
        <w:tc>
          <w:tcPr>
            <w:tcW w:w="845" w:type="pct"/>
            <w:tcBorders>
              <w:top w:val="single" w:sz="4" w:space="0" w:color="auto"/>
              <w:left w:val="single" w:sz="4" w:space="0" w:color="auto"/>
              <w:bottom w:val="single" w:sz="4" w:space="0" w:color="auto"/>
              <w:right w:val="single" w:sz="4" w:space="0" w:color="auto"/>
            </w:tcBorders>
            <w:hideMark/>
          </w:tcPr>
          <w:p w14:paraId="3A93F348" w14:textId="77777777" w:rsidR="004444B7" w:rsidRPr="009636AC" w:rsidRDefault="004444B7">
            <w:pPr>
              <w:jc w:val="center"/>
              <w:rPr>
                <w:sz w:val="22"/>
                <w:szCs w:val="22"/>
              </w:rPr>
            </w:pPr>
            <w:r w:rsidRPr="009636AC">
              <w:rPr>
                <w:sz w:val="22"/>
                <w:szCs w:val="22"/>
              </w:rPr>
              <w:t>13,3</w:t>
            </w:r>
          </w:p>
          <w:p w14:paraId="58E8F2DD" w14:textId="77777777" w:rsidR="004444B7" w:rsidRPr="009636AC" w:rsidRDefault="004444B7">
            <w:pPr>
              <w:jc w:val="center"/>
              <w:rPr>
                <w:sz w:val="22"/>
                <w:szCs w:val="22"/>
              </w:rPr>
            </w:pPr>
            <w:r w:rsidRPr="009636AC">
              <w:rPr>
                <w:sz w:val="22"/>
                <w:szCs w:val="22"/>
              </w:rPr>
              <w:t>(11,-14,9)</w:t>
            </w:r>
          </w:p>
        </w:tc>
        <w:tc>
          <w:tcPr>
            <w:tcW w:w="822" w:type="pct"/>
            <w:tcBorders>
              <w:top w:val="single" w:sz="4" w:space="0" w:color="auto"/>
              <w:left w:val="single" w:sz="4" w:space="0" w:color="auto"/>
              <w:bottom w:val="single" w:sz="4" w:space="0" w:color="auto"/>
              <w:right w:val="single" w:sz="4" w:space="0" w:color="auto"/>
            </w:tcBorders>
            <w:hideMark/>
          </w:tcPr>
          <w:p w14:paraId="7BB9DCBA" w14:textId="77777777" w:rsidR="004444B7" w:rsidRPr="009636AC" w:rsidRDefault="004444B7">
            <w:pPr>
              <w:jc w:val="center"/>
              <w:rPr>
                <w:sz w:val="22"/>
                <w:szCs w:val="22"/>
              </w:rPr>
            </w:pPr>
            <w:r w:rsidRPr="009636AC">
              <w:rPr>
                <w:sz w:val="22"/>
                <w:szCs w:val="22"/>
              </w:rPr>
              <w:t>10,0</w:t>
            </w:r>
          </w:p>
          <w:p w14:paraId="2455C09C" w14:textId="77777777" w:rsidR="004444B7" w:rsidRPr="009636AC" w:rsidRDefault="004444B7">
            <w:pPr>
              <w:jc w:val="center"/>
              <w:rPr>
                <w:sz w:val="22"/>
                <w:szCs w:val="22"/>
              </w:rPr>
            </w:pPr>
            <w:r w:rsidRPr="009636AC">
              <w:rPr>
                <w:sz w:val="22"/>
                <w:szCs w:val="22"/>
              </w:rPr>
              <w:t>(8,4-11,9)</w:t>
            </w:r>
          </w:p>
        </w:tc>
      </w:tr>
      <w:tr w:rsidR="004444B7" w:rsidRPr="009636AC" w14:paraId="32C2A0DC" w14:textId="77777777" w:rsidTr="00390138">
        <w:tc>
          <w:tcPr>
            <w:tcW w:w="1666" w:type="pct"/>
            <w:tcBorders>
              <w:top w:val="single" w:sz="4" w:space="0" w:color="auto"/>
              <w:left w:val="single" w:sz="4" w:space="0" w:color="auto"/>
              <w:bottom w:val="single" w:sz="4" w:space="0" w:color="auto"/>
              <w:right w:val="single" w:sz="4" w:space="0" w:color="auto"/>
            </w:tcBorders>
            <w:hideMark/>
          </w:tcPr>
          <w:p w14:paraId="6C66D75D" w14:textId="77777777" w:rsidR="004444B7" w:rsidRPr="009636AC" w:rsidRDefault="004444B7">
            <w:pPr>
              <w:rPr>
                <w:sz w:val="22"/>
                <w:szCs w:val="22"/>
              </w:rPr>
            </w:pPr>
            <w:r w:rsidRPr="009636AC">
              <w:rPr>
                <w:sz w:val="22"/>
                <w:szCs w:val="22"/>
              </w:rPr>
              <w:t>Log Rank p-værdi</w:t>
            </w:r>
            <w:r w:rsidRPr="009636AC">
              <w:rPr>
                <w:sz w:val="22"/>
                <w:szCs w:val="22"/>
                <w:vertAlign w:val="superscript"/>
              </w:rPr>
              <w:t>a</w:t>
            </w:r>
          </w:p>
        </w:tc>
        <w:tc>
          <w:tcPr>
            <w:tcW w:w="1667" w:type="pct"/>
            <w:gridSpan w:val="2"/>
            <w:tcBorders>
              <w:top w:val="single" w:sz="4" w:space="0" w:color="auto"/>
              <w:left w:val="single" w:sz="4" w:space="0" w:color="auto"/>
              <w:bottom w:val="single" w:sz="4" w:space="0" w:color="auto"/>
              <w:right w:val="single" w:sz="4" w:space="0" w:color="auto"/>
            </w:tcBorders>
            <w:hideMark/>
          </w:tcPr>
          <w:p w14:paraId="40610C09" w14:textId="77777777" w:rsidR="004444B7" w:rsidRPr="009636AC" w:rsidRDefault="004444B7">
            <w:pPr>
              <w:jc w:val="center"/>
              <w:rPr>
                <w:sz w:val="22"/>
                <w:szCs w:val="22"/>
              </w:rPr>
            </w:pPr>
            <w:r w:rsidRPr="009636AC">
              <w:rPr>
                <w:sz w:val="22"/>
                <w:szCs w:val="22"/>
              </w:rPr>
              <w:t>0,020</w:t>
            </w:r>
          </w:p>
        </w:tc>
        <w:tc>
          <w:tcPr>
            <w:tcW w:w="1667" w:type="pct"/>
            <w:gridSpan w:val="2"/>
            <w:tcBorders>
              <w:top w:val="single" w:sz="4" w:space="0" w:color="auto"/>
              <w:left w:val="single" w:sz="4" w:space="0" w:color="auto"/>
              <w:bottom w:val="single" w:sz="4" w:space="0" w:color="auto"/>
              <w:right w:val="single" w:sz="4" w:space="0" w:color="auto"/>
            </w:tcBorders>
            <w:hideMark/>
          </w:tcPr>
          <w:p w14:paraId="66179BD8" w14:textId="77777777" w:rsidR="004444B7" w:rsidRPr="009636AC" w:rsidRDefault="004444B7">
            <w:pPr>
              <w:jc w:val="center"/>
              <w:rPr>
                <w:sz w:val="22"/>
                <w:szCs w:val="22"/>
              </w:rPr>
            </w:pPr>
            <w:r w:rsidRPr="009636AC">
              <w:rPr>
                <w:sz w:val="22"/>
                <w:szCs w:val="22"/>
              </w:rPr>
              <w:t>0,051</w:t>
            </w:r>
          </w:p>
        </w:tc>
      </w:tr>
      <w:tr w:rsidR="004444B7" w:rsidRPr="009636AC" w14:paraId="7EA1B161" w14:textId="77777777" w:rsidTr="00390138">
        <w:tc>
          <w:tcPr>
            <w:tcW w:w="1666" w:type="pct"/>
            <w:tcBorders>
              <w:top w:val="single" w:sz="4" w:space="0" w:color="auto"/>
              <w:left w:val="single" w:sz="4" w:space="0" w:color="auto"/>
              <w:bottom w:val="single" w:sz="4" w:space="0" w:color="auto"/>
              <w:right w:val="single" w:sz="4" w:space="0" w:color="auto"/>
            </w:tcBorders>
            <w:hideMark/>
          </w:tcPr>
          <w:p w14:paraId="6FA1E745" w14:textId="77777777" w:rsidR="004444B7" w:rsidRPr="009636AC" w:rsidRDefault="004444B7">
            <w:pPr>
              <w:rPr>
                <w:sz w:val="22"/>
                <w:szCs w:val="22"/>
              </w:rPr>
            </w:pPr>
            <w:r w:rsidRPr="009636AC">
              <w:rPr>
                <w:sz w:val="22"/>
                <w:szCs w:val="22"/>
              </w:rPr>
              <w:t>Median tid til tumorprogression (måneder)</w:t>
            </w:r>
          </w:p>
          <w:p w14:paraId="3132299E" w14:textId="77777777" w:rsidR="004444B7" w:rsidRPr="009636AC" w:rsidRDefault="004444B7">
            <w:pPr>
              <w:rPr>
                <w:sz w:val="22"/>
                <w:szCs w:val="22"/>
              </w:rPr>
            </w:pPr>
            <w:r w:rsidRPr="009636AC">
              <w:rPr>
                <w:sz w:val="22"/>
                <w:szCs w:val="22"/>
              </w:rPr>
              <w:t>(95 % CI)</w:t>
            </w:r>
          </w:p>
        </w:tc>
        <w:tc>
          <w:tcPr>
            <w:tcW w:w="845" w:type="pct"/>
            <w:tcBorders>
              <w:top w:val="single" w:sz="4" w:space="0" w:color="auto"/>
              <w:left w:val="single" w:sz="4" w:space="0" w:color="auto"/>
              <w:bottom w:val="single" w:sz="4" w:space="0" w:color="auto"/>
              <w:right w:val="single" w:sz="4" w:space="0" w:color="auto"/>
            </w:tcBorders>
          </w:tcPr>
          <w:p w14:paraId="6C736D6F" w14:textId="77777777" w:rsidR="004444B7" w:rsidRPr="009636AC" w:rsidRDefault="004444B7">
            <w:pPr>
              <w:jc w:val="center"/>
              <w:rPr>
                <w:sz w:val="22"/>
                <w:szCs w:val="22"/>
              </w:rPr>
            </w:pPr>
            <w:r w:rsidRPr="009636AC">
              <w:rPr>
                <w:sz w:val="22"/>
                <w:szCs w:val="22"/>
              </w:rPr>
              <w:t>5,7</w:t>
            </w:r>
          </w:p>
          <w:p w14:paraId="233A2FC4" w14:textId="77777777" w:rsidR="004444B7" w:rsidRPr="009636AC" w:rsidRDefault="004444B7">
            <w:pPr>
              <w:jc w:val="center"/>
              <w:rPr>
                <w:sz w:val="22"/>
                <w:szCs w:val="22"/>
              </w:rPr>
            </w:pPr>
          </w:p>
          <w:p w14:paraId="0A47302C" w14:textId="77777777" w:rsidR="004444B7" w:rsidRPr="009636AC" w:rsidRDefault="004444B7">
            <w:pPr>
              <w:jc w:val="center"/>
              <w:rPr>
                <w:sz w:val="22"/>
                <w:szCs w:val="22"/>
              </w:rPr>
            </w:pPr>
            <w:r w:rsidRPr="009636AC">
              <w:rPr>
                <w:sz w:val="22"/>
                <w:szCs w:val="22"/>
              </w:rPr>
              <w:t>(4,9-6,5)</w:t>
            </w:r>
          </w:p>
        </w:tc>
        <w:tc>
          <w:tcPr>
            <w:tcW w:w="822" w:type="pct"/>
            <w:tcBorders>
              <w:top w:val="single" w:sz="4" w:space="0" w:color="auto"/>
              <w:left w:val="single" w:sz="4" w:space="0" w:color="auto"/>
              <w:bottom w:val="single" w:sz="4" w:space="0" w:color="auto"/>
              <w:right w:val="single" w:sz="4" w:space="0" w:color="auto"/>
            </w:tcBorders>
          </w:tcPr>
          <w:p w14:paraId="680FC3C6" w14:textId="77777777" w:rsidR="004444B7" w:rsidRPr="009636AC" w:rsidRDefault="004444B7">
            <w:pPr>
              <w:jc w:val="center"/>
              <w:rPr>
                <w:sz w:val="22"/>
                <w:szCs w:val="22"/>
              </w:rPr>
            </w:pPr>
            <w:r w:rsidRPr="009636AC">
              <w:rPr>
                <w:sz w:val="22"/>
                <w:szCs w:val="22"/>
              </w:rPr>
              <w:t>3,9</w:t>
            </w:r>
          </w:p>
          <w:p w14:paraId="3FD6812F" w14:textId="77777777" w:rsidR="004444B7" w:rsidRPr="009636AC" w:rsidRDefault="004444B7">
            <w:pPr>
              <w:jc w:val="center"/>
              <w:rPr>
                <w:sz w:val="22"/>
                <w:szCs w:val="22"/>
              </w:rPr>
            </w:pPr>
          </w:p>
          <w:p w14:paraId="2326C463" w14:textId="77777777" w:rsidR="004444B7" w:rsidRPr="009636AC" w:rsidRDefault="004444B7">
            <w:pPr>
              <w:jc w:val="center"/>
              <w:rPr>
                <w:sz w:val="22"/>
                <w:szCs w:val="22"/>
              </w:rPr>
            </w:pPr>
            <w:r w:rsidRPr="009636AC">
              <w:rPr>
                <w:sz w:val="22"/>
                <w:szCs w:val="22"/>
              </w:rPr>
              <w:t>(2,8-4,4)</w:t>
            </w:r>
          </w:p>
        </w:tc>
        <w:tc>
          <w:tcPr>
            <w:tcW w:w="845" w:type="pct"/>
            <w:tcBorders>
              <w:top w:val="single" w:sz="4" w:space="0" w:color="auto"/>
              <w:left w:val="single" w:sz="4" w:space="0" w:color="auto"/>
              <w:bottom w:val="single" w:sz="4" w:space="0" w:color="auto"/>
              <w:right w:val="single" w:sz="4" w:space="0" w:color="auto"/>
            </w:tcBorders>
          </w:tcPr>
          <w:p w14:paraId="2148DB6A" w14:textId="77777777" w:rsidR="004444B7" w:rsidRPr="009636AC" w:rsidRDefault="004444B7">
            <w:pPr>
              <w:jc w:val="center"/>
              <w:rPr>
                <w:sz w:val="22"/>
                <w:szCs w:val="22"/>
              </w:rPr>
            </w:pPr>
            <w:r w:rsidRPr="009636AC">
              <w:rPr>
                <w:sz w:val="22"/>
                <w:szCs w:val="22"/>
              </w:rPr>
              <w:t>6,1</w:t>
            </w:r>
          </w:p>
          <w:p w14:paraId="031635FF" w14:textId="77777777" w:rsidR="004444B7" w:rsidRPr="009636AC" w:rsidRDefault="004444B7">
            <w:pPr>
              <w:jc w:val="center"/>
              <w:rPr>
                <w:sz w:val="22"/>
                <w:szCs w:val="22"/>
              </w:rPr>
            </w:pPr>
          </w:p>
          <w:p w14:paraId="06222BDE" w14:textId="77777777" w:rsidR="004444B7" w:rsidRPr="009636AC" w:rsidRDefault="004444B7">
            <w:pPr>
              <w:jc w:val="center"/>
              <w:rPr>
                <w:sz w:val="22"/>
                <w:szCs w:val="22"/>
              </w:rPr>
            </w:pPr>
            <w:r w:rsidRPr="009636AC">
              <w:rPr>
                <w:sz w:val="22"/>
                <w:szCs w:val="22"/>
              </w:rPr>
              <w:t>(5,3-7,0)</w:t>
            </w:r>
          </w:p>
        </w:tc>
        <w:tc>
          <w:tcPr>
            <w:tcW w:w="822" w:type="pct"/>
            <w:tcBorders>
              <w:top w:val="single" w:sz="4" w:space="0" w:color="auto"/>
              <w:left w:val="single" w:sz="4" w:space="0" w:color="auto"/>
              <w:bottom w:val="single" w:sz="4" w:space="0" w:color="auto"/>
              <w:right w:val="single" w:sz="4" w:space="0" w:color="auto"/>
            </w:tcBorders>
          </w:tcPr>
          <w:p w14:paraId="67F987EA" w14:textId="77777777" w:rsidR="004444B7" w:rsidRPr="009636AC" w:rsidRDefault="004444B7">
            <w:pPr>
              <w:jc w:val="center"/>
              <w:rPr>
                <w:sz w:val="22"/>
                <w:szCs w:val="22"/>
              </w:rPr>
            </w:pPr>
            <w:r w:rsidRPr="009636AC">
              <w:rPr>
                <w:sz w:val="22"/>
                <w:szCs w:val="22"/>
              </w:rPr>
              <w:t>3,9</w:t>
            </w:r>
          </w:p>
          <w:p w14:paraId="6AE0098B" w14:textId="77777777" w:rsidR="004444B7" w:rsidRPr="009636AC" w:rsidRDefault="004444B7">
            <w:pPr>
              <w:jc w:val="center"/>
              <w:rPr>
                <w:sz w:val="22"/>
                <w:szCs w:val="22"/>
              </w:rPr>
            </w:pPr>
          </w:p>
          <w:p w14:paraId="2FDAF97B" w14:textId="77777777" w:rsidR="004444B7" w:rsidRPr="009636AC" w:rsidRDefault="004444B7">
            <w:pPr>
              <w:jc w:val="center"/>
              <w:rPr>
                <w:sz w:val="22"/>
                <w:szCs w:val="22"/>
              </w:rPr>
            </w:pPr>
            <w:r w:rsidRPr="009636AC">
              <w:rPr>
                <w:sz w:val="22"/>
                <w:szCs w:val="22"/>
              </w:rPr>
              <w:t>(2,8-4,5)</w:t>
            </w:r>
          </w:p>
        </w:tc>
      </w:tr>
      <w:tr w:rsidR="004444B7" w:rsidRPr="009636AC" w14:paraId="6798A951" w14:textId="77777777" w:rsidTr="00390138">
        <w:tc>
          <w:tcPr>
            <w:tcW w:w="1666" w:type="pct"/>
            <w:tcBorders>
              <w:top w:val="single" w:sz="4" w:space="0" w:color="auto"/>
              <w:left w:val="single" w:sz="4" w:space="0" w:color="auto"/>
              <w:bottom w:val="single" w:sz="4" w:space="0" w:color="auto"/>
              <w:right w:val="single" w:sz="4" w:space="0" w:color="auto"/>
            </w:tcBorders>
            <w:hideMark/>
          </w:tcPr>
          <w:p w14:paraId="1C1EE44E" w14:textId="77777777" w:rsidR="004444B7" w:rsidRPr="009636AC" w:rsidRDefault="004444B7">
            <w:pPr>
              <w:rPr>
                <w:sz w:val="22"/>
                <w:szCs w:val="22"/>
              </w:rPr>
            </w:pPr>
            <w:r w:rsidRPr="009636AC">
              <w:rPr>
                <w:sz w:val="22"/>
                <w:szCs w:val="22"/>
              </w:rPr>
              <w:t>Log Rank p-værdi</w:t>
            </w:r>
            <w:r w:rsidRPr="009636AC">
              <w:rPr>
                <w:sz w:val="22"/>
                <w:szCs w:val="22"/>
                <w:vertAlign w:val="superscript"/>
              </w:rPr>
              <w:t>a</w:t>
            </w:r>
          </w:p>
        </w:tc>
        <w:tc>
          <w:tcPr>
            <w:tcW w:w="1667" w:type="pct"/>
            <w:gridSpan w:val="2"/>
            <w:tcBorders>
              <w:top w:val="single" w:sz="4" w:space="0" w:color="auto"/>
              <w:left w:val="single" w:sz="4" w:space="0" w:color="auto"/>
              <w:bottom w:val="single" w:sz="4" w:space="0" w:color="auto"/>
              <w:right w:val="single" w:sz="4" w:space="0" w:color="auto"/>
            </w:tcBorders>
            <w:hideMark/>
          </w:tcPr>
          <w:p w14:paraId="682946CC" w14:textId="77777777" w:rsidR="004444B7" w:rsidRPr="009636AC" w:rsidRDefault="004444B7">
            <w:pPr>
              <w:jc w:val="center"/>
              <w:rPr>
                <w:sz w:val="22"/>
                <w:szCs w:val="22"/>
              </w:rPr>
            </w:pPr>
            <w:r w:rsidRPr="009636AC">
              <w:rPr>
                <w:sz w:val="22"/>
                <w:szCs w:val="22"/>
              </w:rPr>
              <w:t>0,001</w:t>
            </w:r>
          </w:p>
        </w:tc>
        <w:tc>
          <w:tcPr>
            <w:tcW w:w="1667" w:type="pct"/>
            <w:gridSpan w:val="2"/>
            <w:tcBorders>
              <w:top w:val="single" w:sz="4" w:space="0" w:color="auto"/>
              <w:left w:val="single" w:sz="4" w:space="0" w:color="auto"/>
              <w:bottom w:val="single" w:sz="4" w:space="0" w:color="auto"/>
              <w:right w:val="single" w:sz="4" w:space="0" w:color="auto"/>
            </w:tcBorders>
            <w:hideMark/>
          </w:tcPr>
          <w:p w14:paraId="128DDE5F" w14:textId="77777777" w:rsidR="004444B7" w:rsidRPr="009636AC" w:rsidRDefault="004444B7">
            <w:pPr>
              <w:jc w:val="center"/>
              <w:rPr>
                <w:sz w:val="22"/>
                <w:szCs w:val="22"/>
              </w:rPr>
            </w:pPr>
            <w:r w:rsidRPr="009636AC">
              <w:rPr>
                <w:sz w:val="22"/>
                <w:szCs w:val="22"/>
              </w:rPr>
              <w:t>0,008</w:t>
            </w:r>
          </w:p>
        </w:tc>
      </w:tr>
      <w:tr w:rsidR="004444B7" w:rsidRPr="009636AC" w14:paraId="1013976D" w14:textId="77777777" w:rsidTr="00390138">
        <w:tc>
          <w:tcPr>
            <w:tcW w:w="1666" w:type="pct"/>
            <w:tcBorders>
              <w:top w:val="single" w:sz="4" w:space="0" w:color="auto"/>
              <w:left w:val="single" w:sz="4" w:space="0" w:color="auto"/>
              <w:bottom w:val="single" w:sz="4" w:space="0" w:color="auto"/>
              <w:right w:val="single" w:sz="4" w:space="0" w:color="auto"/>
            </w:tcBorders>
            <w:hideMark/>
          </w:tcPr>
          <w:p w14:paraId="66A47B37" w14:textId="77777777" w:rsidR="004444B7" w:rsidRPr="009636AC" w:rsidRDefault="004444B7">
            <w:pPr>
              <w:rPr>
                <w:sz w:val="22"/>
                <w:szCs w:val="22"/>
              </w:rPr>
            </w:pPr>
            <w:r w:rsidRPr="009636AC">
              <w:rPr>
                <w:sz w:val="22"/>
                <w:szCs w:val="22"/>
              </w:rPr>
              <w:t>Tid til behandlingssvigt (måneder)</w:t>
            </w:r>
          </w:p>
          <w:p w14:paraId="4F17D14F" w14:textId="77777777" w:rsidR="004444B7" w:rsidRPr="009636AC" w:rsidRDefault="004444B7">
            <w:pPr>
              <w:rPr>
                <w:sz w:val="22"/>
                <w:szCs w:val="22"/>
              </w:rPr>
            </w:pPr>
            <w:r w:rsidRPr="009636AC">
              <w:rPr>
                <w:sz w:val="22"/>
                <w:szCs w:val="22"/>
              </w:rPr>
              <w:t>(95 % CI)</w:t>
            </w:r>
          </w:p>
        </w:tc>
        <w:tc>
          <w:tcPr>
            <w:tcW w:w="845" w:type="pct"/>
            <w:tcBorders>
              <w:top w:val="single" w:sz="4" w:space="0" w:color="auto"/>
              <w:left w:val="single" w:sz="4" w:space="0" w:color="auto"/>
              <w:bottom w:val="single" w:sz="4" w:space="0" w:color="auto"/>
              <w:right w:val="single" w:sz="4" w:space="0" w:color="auto"/>
            </w:tcBorders>
          </w:tcPr>
          <w:p w14:paraId="5FC5A5DB" w14:textId="77777777" w:rsidR="004444B7" w:rsidRPr="009636AC" w:rsidRDefault="004444B7">
            <w:pPr>
              <w:jc w:val="center"/>
              <w:rPr>
                <w:sz w:val="22"/>
                <w:szCs w:val="22"/>
              </w:rPr>
            </w:pPr>
            <w:r w:rsidRPr="009636AC">
              <w:rPr>
                <w:sz w:val="22"/>
                <w:szCs w:val="22"/>
              </w:rPr>
              <w:t>4,5</w:t>
            </w:r>
          </w:p>
          <w:p w14:paraId="3C789A73" w14:textId="77777777" w:rsidR="004444B7" w:rsidRPr="009636AC" w:rsidRDefault="004444B7">
            <w:pPr>
              <w:jc w:val="center"/>
              <w:rPr>
                <w:sz w:val="22"/>
                <w:szCs w:val="22"/>
              </w:rPr>
            </w:pPr>
          </w:p>
          <w:p w14:paraId="79CA0A16" w14:textId="77777777" w:rsidR="004444B7" w:rsidRPr="009636AC" w:rsidRDefault="004444B7">
            <w:pPr>
              <w:jc w:val="center"/>
              <w:rPr>
                <w:sz w:val="22"/>
                <w:szCs w:val="22"/>
              </w:rPr>
            </w:pPr>
            <w:r w:rsidRPr="009636AC">
              <w:rPr>
                <w:sz w:val="22"/>
                <w:szCs w:val="22"/>
              </w:rPr>
              <w:t>(3,9-4,9)</w:t>
            </w:r>
          </w:p>
        </w:tc>
        <w:tc>
          <w:tcPr>
            <w:tcW w:w="822" w:type="pct"/>
            <w:tcBorders>
              <w:top w:val="single" w:sz="4" w:space="0" w:color="auto"/>
              <w:left w:val="single" w:sz="4" w:space="0" w:color="auto"/>
              <w:bottom w:val="single" w:sz="4" w:space="0" w:color="auto"/>
              <w:right w:val="single" w:sz="4" w:space="0" w:color="auto"/>
            </w:tcBorders>
          </w:tcPr>
          <w:p w14:paraId="56F1E5CD" w14:textId="77777777" w:rsidR="004444B7" w:rsidRPr="009636AC" w:rsidRDefault="004444B7">
            <w:pPr>
              <w:jc w:val="center"/>
              <w:rPr>
                <w:sz w:val="22"/>
                <w:szCs w:val="22"/>
              </w:rPr>
            </w:pPr>
            <w:r w:rsidRPr="009636AC">
              <w:rPr>
                <w:sz w:val="22"/>
                <w:szCs w:val="22"/>
              </w:rPr>
              <w:t>2,7</w:t>
            </w:r>
          </w:p>
          <w:p w14:paraId="1909D466" w14:textId="77777777" w:rsidR="004444B7" w:rsidRPr="009636AC" w:rsidRDefault="004444B7">
            <w:pPr>
              <w:jc w:val="center"/>
              <w:rPr>
                <w:sz w:val="22"/>
                <w:szCs w:val="22"/>
              </w:rPr>
            </w:pPr>
          </w:p>
          <w:p w14:paraId="29260840" w14:textId="77777777" w:rsidR="004444B7" w:rsidRPr="009636AC" w:rsidRDefault="004444B7">
            <w:pPr>
              <w:jc w:val="center"/>
              <w:rPr>
                <w:sz w:val="22"/>
                <w:szCs w:val="22"/>
              </w:rPr>
            </w:pPr>
            <w:r w:rsidRPr="009636AC">
              <w:rPr>
                <w:sz w:val="22"/>
                <w:szCs w:val="22"/>
              </w:rPr>
              <w:t>(2,1-2,9)</w:t>
            </w:r>
          </w:p>
        </w:tc>
        <w:tc>
          <w:tcPr>
            <w:tcW w:w="845" w:type="pct"/>
            <w:tcBorders>
              <w:top w:val="single" w:sz="4" w:space="0" w:color="auto"/>
              <w:left w:val="single" w:sz="4" w:space="0" w:color="auto"/>
              <w:bottom w:val="single" w:sz="4" w:space="0" w:color="auto"/>
              <w:right w:val="single" w:sz="4" w:space="0" w:color="auto"/>
            </w:tcBorders>
          </w:tcPr>
          <w:p w14:paraId="331745C2" w14:textId="77777777" w:rsidR="004444B7" w:rsidRPr="009636AC" w:rsidRDefault="004444B7">
            <w:pPr>
              <w:jc w:val="center"/>
              <w:rPr>
                <w:sz w:val="22"/>
                <w:szCs w:val="22"/>
              </w:rPr>
            </w:pPr>
            <w:r w:rsidRPr="009636AC">
              <w:rPr>
                <w:sz w:val="22"/>
                <w:szCs w:val="22"/>
              </w:rPr>
              <w:t>4,7</w:t>
            </w:r>
          </w:p>
          <w:p w14:paraId="1EDBFA65" w14:textId="77777777" w:rsidR="004444B7" w:rsidRPr="009636AC" w:rsidRDefault="004444B7">
            <w:pPr>
              <w:jc w:val="center"/>
              <w:rPr>
                <w:sz w:val="22"/>
                <w:szCs w:val="22"/>
              </w:rPr>
            </w:pPr>
          </w:p>
          <w:p w14:paraId="7821C323" w14:textId="77777777" w:rsidR="004444B7" w:rsidRPr="009636AC" w:rsidRDefault="004444B7">
            <w:pPr>
              <w:jc w:val="center"/>
              <w:rPr>
                <w:sz w:val="22"/>
                <w:szCs w:val="22"/>
              </w:rPr>
            </w:pPr>
            <w:r w:rsidRPr="009636AC">
              <w:rPr>
                <w:sz w:val="22"/>
                <w:szCs w:val="22"/>
              </w:rPr>
              <w:t>(4,3-5,6)</w:t>
            </w:r>
          </w:p>
        </w:tc>
        <w:tc>
          <w:tcPr>
            <w:tcW w:w="822" w:type="pct"/>
            <w:tcBorders>
              <w:top w:val="single" w:sz="4" w:space="0" w:color="auto"/>
              <w:left w:val="single" w:sz="4" w:space="0" w:color="auto"/>
              <w:bottom w:val="single" w:sz="4" w:space="0" w:color="auto"/>
              <w:right w:val="single" w:sz="4" w:space="0" w:color="auto"/>
            </w:tcBorders>
          </w:tcPr>
          <w:p w14:paraId="42481CBC" w14:textId="77777777" w:rsidR="004444B7" w:rsidRPr="009636AC" w:rsidRDefault="004444B7">
            <w:pPr>
              <w:jc w:val="center"/>
              <w:rPr>
                <w:sz w:val="22"/>
                <w:szCs w:val="22"/>
              </w:rPr>
            </w:pPr>
            <w:r w:rsidRPr="009636AC">
              <w:rPr>
                <w:sz w:val="22"/>
                <w:szCs w:val="22"/>
              </w:rPr>
              <w:t>2,7</w:t>
            </w:r>
          </w:p>
          <w:p w14:paraId="63833E6C" w14:textId="77777777" w:rsidR="004444B7" w:rsidRPr="009636AC" w:rsidRDefault="004444B7">
            <w:pPr>
              <w:jc w:val="center"/>
              <w:rPr>
                <w:sz w:val="22"/>
                <w:szCs w:val="22"/>
              </w:rPr>
            </w:pPr>
          </w:p>
          <w:p w14:paraId="3CFEA52E" w14:textId="77777777" w:rsidR="004444B7" w:rsidRPr="009636AC" w:rsidRDefault="004444B7">
            <w:pPr>
              <w:jc w:val="center"/>
              <w:rPr>
                <w:sz w:val="22"/>
                <w:szCs w:val="22"/>
              </w:rPr>
            </w:pPr>
            <w:r w:rsidRPr="009636AC">
              <w:rPr>
                <w:sz w:val="22"/>
                <w:szCs w:val="22"/>
              </w:rPr>
              <w:t>(2,2-3,1)</w:t>
            </w:r>
          </w:p>
        </w:tc>
      </w:tr>
      <w:tr w:rsidR="004444B7" w:rsidRPr="009636AC" w14:paraId="45D976FF" w14:textId="77777777" w:rsidTr="00390138">
        <w:tc>
          <w:tcPr>
            <w:tcW w:w="1666" w:type="pct"/>
            <w:tcBorders>
              <w:top w:val="single" w:sz="4" w:space="0" w:color="auto"/>
              <w:left w:val="single" w:sz="4" w:space="0" w:color="auto"/>
              <w:bottom w:val="single" w:sz="4" w:space="0" w:color="auto"/>
              <w:right w:val="single" w:sz="4" w:space="0" w:color="auto"/>
            </w:tcBorders>
            <w:hideMark/>
          </w:tcPr>
          <w:p w14:paraId="5AA4EF89" w14:textId="77777777" w:rsidR="004444B7" w:rsidRPr="009636AC" w:rsidRDefault="004444B7">
            <w:pPr>
              <w:rPr>
                <w:sz w:val="22"/>
                <w:szCs w:val="22"/>
              </w:rPr>
            </w:pPr>
            <w:r w:rsidRPr="009636AC">
              <w:rPr>
                <w:sz w:val="22"/>
                <w:szCs w:val="22"/>
              </w:rPr>
              <w:t>Log Rank p-værdi</w:t>
            </w:r>
            <w:r w:rsidRPr="009636AC">
              <w:rPr>
                <w:sz w:val="22"/>
                <w:szCs w:val="22"/>
                <w:vertAlign w:val="superscript"/>
              </w:rPr>
              <w:t>a</w:t>
            </w:r>
          </w:p>
        </w:tc>
        <w:tc>
          <w:tcPr>
            <w:tcW w:w="1667" w:type="pct"/>
            <w:gridSpan w:val="2"/>
            <w:tcBorders>
              <w:top w:val="single" w:sz="4" w:space="0" w:color="auto"/>
              <w:left w:val="single" w:sz="4" w:space="0" w:color="auto"/>
              <w:bottom w:val="single" w:sz="4" w:space="0" w:color="auto"/>
              <w:right w:val="single" w:sz="4" w:space="0" w:color="auto"/>
            </w:tcBorders>
            <w:hideMark/>
          </w:tcPr>
          <w:p w14:paraId="04864ACB" w14:textId="77777777" w:rsidR="004444B7" w:rsidRPr="009636AC" w:rsidRDefault="004444B7">
            <w:pPr>
              <w:jc w:val="center"/>
              <w:rPr>
                <w:sz w:val="22"/>
                <w:szCs w:val="22"/>
              </w:rPr>
            </w:pPr>
            <w:r w:rsidRPr="009636AC">
              <w:rPr>
                <w:sz w:val="22"/>
                <w:szCs w:val="22"/>
              </w:rPr>
              <w:t>0,001</w:t>
            </w:r>
          </w:p>
        </w:tc>
        <w:tc>
          <w:tcPr>
            <w:tcW w:w="1667" w:type="pct"/>
            <w:gridSpan w:val="2"/>
            <w:tcBorders>
              <w:top w:val="single" w:sz="4" w:space="0" w:color="auto"/>
              <w:left w:val="single" w:sz="4" w:space="0" w:color="auto"/>
              <w:bottom w:val="single" w:sz="4" w:space="0" w:color="auto"/>
              <w:right w:val="single" w:sz="4" w:space="0" w:color="auto"/>
            </w:tcBorders>
            <w:hideMark/>
          </w:tcPr>
          <w:p w14:paraId="2EEFF011" w14:textId="77777777" w:rsidR="004444B7" w:rsidRPr="009636AC" w:rsidRDefault="004444B7">
            <w:pPr>
              <w:jc w:val="center"/>
              <w:rPr>
                <w:sz w:val="22"/>
                <w:szCs w:val="22"/>
              </w:rPr>
            </w:pPr>
            <w:r w:rsidRPr="009636AC">
              <w:rPr>
                <w:sz w:val="22"/>
                <w:szCs w:val="22"/>
              </w:rPr>
              <w:t>0,001</w:t>
            </w:r>
          </w:p>
        </w:tc>
      </w:tr>
      <w:tr w:rsidR="004444B7" w:rsidRPr="009636AC" w14:paraId="76B85EB8" w14:textId="77777777" w:rsidTr="00390138">
        <w:tc>
          <w:tcPr>
            <w:tcW w:w="1666" w:type="pct"/>
            <w:tcBorders>
              <w:top w:val="single" w:sz="4" w:space="0" w:color="auto"/>
              <w:left w:val="single" w:sz="4" w:space="0" w:color="auto"/>
              <w:bottom w:val="single" w:sz="4" w:space="0" w:color="auto"/>
              <w:right w:val="single" w:sz="4" w:space="0" w:color="auto"/>
            </w:tcBorders>
            <w:hideMark/>
          </w:tcPr>
          <w:p w14:paraId="42B6DEAB" w14:textId="77777777" w:rsidR="004444B7" w:rsidRPr="009636AC" w:rsidRDefault="004444B7">
            <w:pPr>
              <w:rPr>
                <w:sz w:val="22"/>
                <w:szCs w:val="22"/>
              </w:rPr>
            </w:pPr>
            <w:r w:rsidRPr="009636AC">
              <w:rPr>
                <w:sz w:val="22"/>
                <w:szCs w:val="22"/>
              </w:rPr>
              <w:t>Samlet respons rate</w:t>
            </w:r>
            <w:r w:rsidRPr="009636AC">
              <w:rPr>
                <w:sz w:val="22"/>
                <w:szCs w:val="22"/>
                <w:vertAlign w:val="superscript"/>
              </w:rPr>
              <w:t>b</w:t>
            </w:r>
          </w:p>
          <w:p w14:paraId="7C890B47" w14:textId="77777777" w:rsidR="004444B7" w:rsidRPr="009636AC" w:rsidRDefault="004444B7">
            <w:pPr>
              <w:rPr>
                <w:sz w:val="22"/>
                <w:szCs w:val="22"/>
              </w:rPr>
            </w:pPr>
            <w:r w:rsidRPr="009636AC">
              <w:rPr>
                <w:sz w:val="22"/>
                <w:szCs w:val="22"/>
              </w:rPr>
              <w:t>(95 % CI)</w:t>
            </w:r>
          </w:p>
        </w:tc>
        <w:tc>
          <w:tcPr>
            <w:tcW w:w="845" w:type="pct"/>
            <w:tcBorders>
              <w:top w:val="single" w:sz="4" w:space="0" w:color="auto"/>
              <w:left w:val="single" w:sz="4" w:space="0" w:color="auto"/>
              <w:bottom w:val="single" w:sz="4" w:space="0" w:color="auto"/>
              <w:right w:val="single" w:sz="4" w:space="0" w:color="auto"/>
            </w:tcBorders>
            <w:hideMark/>
          </w:tcPr>
          <w:p w14:paraId="308295BC" w14:textId="77777777" w:rsidR="004444B7" w:rsidRPr="009636AC" w:rsidRDefault="004444B7">
            <w:pPr>
              <w:jc w:val="center"/>
              <w:rPr>
                <w:sz w:val="22"/>
                <w:szCs w:val="22"/>
              </w:rPr>
            </w:pPr>
            <w:r w:rsidRPr="009636AC">
              <w:rPr>
                <w:sz w:val="22"/>
                <w:szCs w:val="22"/>
              </w:rPr>
              <w:t>41,3 %</w:t>
            </w:r>
          </w:p>
          <w:p w14:paraId="1CB7195A" w14:textId="77777777" w:rsidR="004444B7" w:rsidRPr="009636AC" w:rsidRDefault="004444B7">
            <w:pPr>
              <w:jc w:val="center"/>
              <w:rPr>
                <w:sz w:val="22"/>
                <w:szCs w:val="22"/>
              </w:rPr>
            </w:pPr>
            <w:r w:rsidRPr="009636AC">
              <w:rPr>
                <w:sz w:val="22"/>
                <w:szCs w:val="22"/>
              </w:rPr>
              <w:t>(34,8-48,1)</w:t>
            </w:r>
          </w:p>
        </w:tc>
        <w:tc>
          <w:tcPr>
            <w:tcW w:w="822" w:type="pct"/>
            <w:tcBorders>
              <w:top w:val="single" w:sz="4" w:space="0" w:color="auto"/>
              <w:left w:val="single" w:sz="4" w:space="0" w:color="auto"/>
              <w:bottom w:val="single" w:sz="4" w:space="0" w:color="auto"/>
              <w:right w:val="single" w:sz="4" w:space="0" w:color="auto"/>
            </w:tcBorders>
            <w:hideMark/>
          </w:tcPr>
          <w:p w14:paraId="3754532F" w14:textId="77777777" w:rsidR="004444B7" w:rsidRPr="009636AC" w:rsidRDefault="004444B7">
            <w:pPr>
              <w:jc w:val="center"/>
              <w:rPr>
                <w:sz w:val="22"/>
                <w:szCs w:val="22"/>
              </w:rPr>
            </w:pPr>
            <w:r w:rsidRPr="009636AC">
              <w:rPr>
                <w:sz w:val="22"/>
                <w:szCs w:val="22"/>
              </w:rPr>
              <w:t>16,7 %</w:t>
            </w:r>
          </w:p>
          <w:p w14:paraId="39080279" w14:textId="77777777" w:rsidR="004444B7" w:rsidRPr="009636AC" w:rsidRDefault="004444B7">
            <w:pPr>
              <w:jc w:val="center"/>
              <w:rPr>
                <w:sz w:val="22"/>
                <w:szCs w:val="22"/>
              </w:rPr>
            </w:pPr>
            <w:r w:rsidRPr="009636AC">
              <w:rPr>
                <w:sz w:val="22"/>
                <w:szCs w:val="22"/>
              </w:rPr>
              <w:t>(12,0-22,2)</w:t>
            </w:r>
          </w:p>
        </w:tc>
        <w:tc>
          <w:tcPr>
            <w:tcW w:w="845" w:type="pct"/>
            <w:tcBorders>
              <w:top w:val="single" w:sz="4" w:space="0" w:color="auto"/>
              <w:left w:val="single" w:sz="4" w:space="0" w:color="auto"/>
              <w:bottom w:val="single" w:sz="4" w:space="0" w:color="auto"/>
              <w:right w:val="single" w:sz="4" w:space="0" w:color="auto"/>
            </w:tcBorders>
            <w:hideMark/>
          </w:tcPr>
          <w:p w14:paraId="0353B1FB" w14:textId="77777777" w:rsidR="004444B7" w:rsidRPr="009636AC" w:rsidRDefault="004444B7">
            <w:pPr>
              <w:jc w:val="center"/>
              <w:rPr>
                <w:sz w:val="22"/>
                <w:szCs w:val="22"/>
              </w:rPr>
            </w:pPr>
            <w:r w:rsidRPr="009636AC">
              <w:rPr>
                <w:sz w:val="22"/>
                <w:szCs w:val="22"/>
              </w:rPr>
              <w:t>45,5 %</w:t>
            </w:r>
          </w:p>
          <w:p w14:paraId="3CDF8B61" w14:textId="77777777" w:rsidR="004444B7" w:rsidRPr="009636AC" w:rsidRDefault="004444B7">
            <w:pPr>
              <w:jc w:val="center"/>
              <w:rPr>
                <w:sz w:val="22"/>
                <w:szCs w:val="22"/>
              </w:rPr>
            </w:pPr>
            <w:r w:rsidRPr="009636AC">
              <w:rPr>
                <w:sz w:val="22"/>
                <w:szCs w:val="22"/>
              </w:rPr>
              <w:t>(37,8-53,4)</w:t>
            </w:r>
          </w:p>
        </w:tc>
        <w:tc>
          <w:tcPr>
            <w:tcW w:w="822" w:type="pct"/>
            <w:tcBorders>
              <w:top w:val="single" w:sz="4" w:space="0" w:color="auto"/>
              <w:left w:val="single" w:sz="4" w:space="0" w:color="auto"/>
              <w:bottom w:val="single" w:sz="4" w:space="0" w:color="auto"/>
              <w:right w:val="single" w:sz="4" w:space="0" w:color="auto"/>
            </w:tcBorders>
            <w:hideMark/>
          </w:tcPr>
          <w:p w14:paraId="66F2CD9F" w14:textId="77777777" w:rsidR="004444B7" w:rsidRPr="009636AC" w:rsidRDefault="004444B7">
            <w:pPr>
              <w:jc w:val="center"/>
              <w:rPr>
                <w:sz w:val="22"/>
                <w:szCs w:val="22"/>
              </w:rPr>
            </w:pPr>
            <w:r w:rsidRPr="009636AC">
              <w:rPr>
                <w:sz w:val="22"/>
                <w:szCs w:val="22"/>
              </w:rPr>
              <w:t>19,6 %</w:t>
            </w:r>
          </w:p>
          <w:p w14:paraId="0BC74540" w14:textId="77777777" w:rsidR="004444B7" w:rsidRPr="009636AC" w:rsidRDefault="004444B7">
            <w:pPr>
              <w:jc w:val="center"/>
              <w:rPr>
                <w:sz w:val="22"/>
                <w:szCs w:val="22"/>
              </w:rPr>
            </w:pPr>
            <w:r w:rsidRPr="009636AC">
              <w:rPr>
                <w:sz w:val="22"/>
                <w:szCs w:val="22"/>
              </w:rPr>
              <w:t>(13,8-26,6)</w:t>
            </w:r>
          </w:p>
        </w:tc>
      </w:tr>
      <w:tr w:rsidR="004444B7" w:rsidRPr="009636AC" w14:paraId="63AD823D" w14:textId="77777777" w:rsidTr="00390138">
        <w:tc>
          <w:tcPr>
            <w:tcW w:w="1666" w:type="pct"/>
            <w:tcBorders>
              <w:top w:val="single" w:sz="4" w:space="0" w:color="auto"/>
              <w:left w:val="single" w:sz="4" w:space="0" w:color="auto"/>
              <w:bottom w:val="single" w:sz="4" w:space="0" w:color="auto"/>
              <w:right w:val="single" w:sz="4" w:space="0" w:color="auto"/>
            </w:tcBorders>
            <w:hideMark/>
          </w:tcPr>
          <w:p w14:paraId="1A16BB12" w14:textId="77777777" w:rsidR="004444B7" w:rsidRPr="009636AC" w:rsidRDefault="004444B7">
            <w:pPr>
              <w:rPr>
                <w:sz w:val="22"/>
                <w:szCs w:val="22"/>
              </w:rPr>
            </w:pPr>
            <w:r w:rsidRPr="009636AC">
              <w:rPr>
                <w:sz w:val="22"/>
                <w:szCs w:val="22"/>
              </w:rPr>
              <w:t>Fishers eksakte p-værdi</w:t>
            </w:r>
            <w:r w:rsidRPr="009636AC">
              <w:rPr>
                <w:sz w:val="22"/>
                <w:szCs w:val="22"/>
                <w:vertAlign w:val="superscript"/>
              </w:rPr>
              <w:t>a</w:t>
            </w:r>
          </w:p>
        </w:tc>
        <w:tc>
          <w:tcPr>
            <w:tcW w:w="1667" w:type="pct"/>
            <w:gridSpan w:val="2"/>
            <w:tcBorders>
              <w:top w:val="single" w:sz="4" w:space="0" w:color="auto"/>
              <w:left w:val="single" w:sz="4" w:space="0" w:color="auto"/>
              <w:bottom w:val="single" w:sz="4" w:space="0" w:color="auto"/>
              <w:right w:val="single" w:sz="4" w:space="0" w:color="auto"/>
            </w:tcBorders>
            <w:hideMark/>
          </w:tcPr>
          <w:p w14:paraId="75136FB0" w14:textId="77777777" w:rsidR="004444B7" w:rsidRPr="009636AC" w:rsidRDefault="004444B7">
            <w:pPr>
              <w:jc w:val="center"/>
              <w:rPr>
                <w:sz w:val="22"/>
                <w:szCs w:val="22"/>
              </w:rPr>
            </w:pPr>
            <w:r w:rsidRPr="009636AC">
              <w:rPr>
                <w:sz w:val="22"/>
                <w:szCs w:val="22"/>
              </w:rPr>
              <w:t>&lt; 0,001</w:t>
            </w:r>
          </w:p>
        </w:tc>
        <w:tc>
          <w:tcPr>
            <w:tcW w:w="1667" w:type="pct"/>
            <w:gridSpan w:val="2"/>
            <w:tcBorders>
              <w:top w:val="single" w:sz="4" w:space="0" w:color="auto"/>
              <w:left w:val="single" w:sz="4" w:space="0" w:color="auto"/>
              <w:bottom w:val="single" w:sz="4" w:space="0" w:color="auto"/>
              <w:right w:val="single" w:sz="4" w:space="0" w:color="auto"/>
            </w:tcBorders>
            <w:hideMark/>
          </w:tcPr>
          <w:p w14:paraId="05B09E17" w14:textId="77777777" w:rsidR="004444B7" w:rsidRPr="009636AC" w:rsidRDefault="004444B7">
            <w:pPr>
              <w:jc w:val="center"/>
              <w:rPr>
                <w:sz w:val="22"/>
                <w:szCs w:val="22"/>
              </w:rPr>
            </w:pPr>
            <w:r w:rsidRPr="009636AC">
              <w:rPr>
                <w:sz w:val="22"/>
                <w:szCs w:val="22"/>
              </w:rPr>
              <w:t>&lt; 0,001</w:t>
            </w:r>
          </w:p>
        </w:tc>
      </w:tr>
    </w:tbl>
    <w:p w14:paraId="126A4C9C" w14:textId="77777777" w:rsidR="004444B7" w:rsidRPr="009636AC" w:rsidRDefault="004444B7" w:rsidP="004444B7">
      <w:pPr>
        <w:autoSpaceDE w:val="0"/>
        <w:autoSpaceDN w:val="0"/>
        <w:adjustRightInd w:val="0"/>
        <w:rPr>
          <w:sz w:val="20"/>
          <w:lang w:eastAsia="da-DK"/>
        </w:rPr>
      </w:pPr>
      <w:r w:rsidRPr="009636AC">
        <w:rPr>
          <w:sz w:val="20"/>
          <w:lang w:eastAsia="da-DK"/>
        </w:rPr>
        <w:t>Forkortelse: CI = konfidensinterval.</w:t>
      </w:r>
    </w:p>
    <w:p w14:paraId="1309A61C" w14:textId="77777777" w:rsidR="004444B7" w:rsidRPr="009636AC" w:rsidRDefault="004444B7" w:rsidP="004444B7">
      <w:pPr>
        <w:autoSpaceDE w:val="0"/>
        <w:autoSpaceDN w:val="0"/>
        <w:adjustRightInd w:val="0"/>
        <w:rPr>
          <w:sz w:val="20"/>
          <w:lang w:eastAsia="da-DK"/>
        </w:rPr>
      </w:pPr>
      <w:r w:rsidRPr="009636AC">
        <w:rPr>
          <w:sz w:val="20"/>
          <w:vertAlign w:val="superscript"/>
          <w:lang w:eastAsia="da-DK"/>
        </w:rPr>
        <w:t>a</w:t>
      </w:r>
      <w:r w:rsidRPr="009636AC">
        <w:rPr>
          <w:sz w:val="20"/>
          <w:lang w:eastAsia="da-DK"/>
        </w:rPr>
        <w:t xml:space="preserve"> p-værdi henviser til sammenligning mellem arme.</w:t>
      </w:r>
    </w:p>
    <w:p w14:paraId="743644CE" w14:textId="77777777" w:rsidR="004444B7" w:rsidRPr="009636AC" w:rsidRDefault="004444B7" w:rsidP="004444B7">
      <w:pPr>
        <w:suppressAutoHyphens/>
        <w:rPr>
          <w:bCs/>
          <w:sz w:val="20"/>
          <w:u w:val="single"/>
        </w:rPr>
      </w:pPr>
      <w:r w:rsidRPr="009636AC">
        <w:rPr>
          <w:sz w:val="20"/>
          <w:vertAlign w:val="superscript"/>
          <w:lang w:eastAsia="da-DK"/>
        </w:rPr>
        <w:t>b</w:t>
      </w:r>
      <w:r w:rsidRPr="009636AC">
        <w:rPr>
          <w:sz w:val="20"/>
          <w:lang w:eastAsia="da-DK"/>
        </w:rPr>
        <w:t xml:space="preserve"> I pemetrexed/cisplatin-armen, randomiseret og behandlet (n = 225) og fuldt tilskud (n = 167).</w:t>
      </w:r>
    </w:p>
    <w:p w14:paraId="60FA7B5C" w14:textId="77777777" w:rsidR="004444B7" w:rsidRPr="009636AC" w:rsidRDefault="004444B7" w:rsidP="004444B7">
      <w:pPr>
        <w:suppressAutoHyphens/>
        <w:ind w:left="851"/>
        <w:rPr>
          <w:sz w:val="24"/>
          <w:szCs w:val="24"/>
          <w:lang w:eastAsia="da-DK"/>
        </w:rPr>
      </w:pPr>
    </w:p>
    <w:p w14:paraId="045B6140" w14:textId="77777777" w:rsidR="004444B7" w:rsidRPr="009636AC" w:rsidRDefault="004444B7" w:rsidP="009C7FBF">
      <w:pPr>
        <w:ind w:left="851"/>
        <w:rPr>
          <w:sz w:val="24"/>
          <w:szCs w:val="24"/>
          <w:lang w:eastAsia="da-DK"/>
        </w:rPr>
      </w:pPr>
      <w:r w:rsidRPr="009636AC">
        <w:rPr>
          <w:sz w:val="24"/>
          <w:szCs w:val="24"/>
          <w:lang w:eastAsia="da-DK"/>
        </w:rPr>
        <w:t xml:space="preserve">Ved hjælp af lungecancersymptomskalaen blev der påvist en statistisk signifikant bedring af de klinisk relevante symptomer (smerte og dyspnø) i forbindelse med malignt pleuramesoteliom i pemetrexed/cisplatin-armen (212 patienter) </w:t>
      </w:r>
      <w:r w:rsidRPr="009636AC">
        <w:rPr>
          <w:i/>
          <w:sz w:val="24"/>
          <w:szCs w:val="24"/>
          <w:lang w:eastAsia="da-DK"/>
        </w:rPr>
        <w:t xml:space="preserve">versus </w:t>
      </w:r>
      <w:r w:rsidRPr="009636AC">
        <w:rPr>
          <w:sz w:val="24"/>
          <w:szCs w:val="24"/>
          <w:lang w:eastAsia="da-DK"/>
        </w:rPr>
        <w:t xml:space="preserve">armen med cisplatin alene (218 patienter). Der blev også observeret en signifikant forskel ved test af lungefunktionen. </w:t>
      </w:r>
      <w:r w:rsidRPr="009636AC">
        <w:rPr>
          <w:sz w:val="24"/>
          <w:szCs w:val="24"/>
          <w:lang w:eastAsia="da-DK"/>
        </w:rPr>
        <w:lastRenderedPageBreak/>
        <w:t>Spredningen mellem behandlingsarmene viste sig ved en forbedring af lungefunktionen i pemetrexed/cisplatin-armen og en med tiden dårligere lungefunktion i kontrolarmen.</w:t>
      </w:r>
    </w:p>
    <w:p w14:paraId="40AE8C26" w14:textId="77777777" w:rsidR="004444B7" w:rsidRPr="009636AC" w:rsidRDefault="004444B7" w:rsidP="009C7FBF">
      <w:pPr>
        <w:ind w:left="851"/>
        <w:rPr>
          <w:sz w:val="24"/>
          <w:szCs w:val="24"/>
          <w:lang w:eastAsia="da-DK"/>
        </w:rPr>
      </w:pPr>
    </w:p>
    <w:p w14:paraId="0343549E" w14:textId="77777777" w:rsidR="004444B7" w:rsidRPr="009636AC" w:rsidRDefault="004444B7" w:rsidP="009C7FBF">
      <w:pPr>
        <w:ind w:left="851"/>
        <w:rPr>
          <w:sz w:val="24"/>
          <w:szCs w:val="24"/>
          <w:lang w:eastAsia="da-DK"/>
        </w:rPr>
      </w:pPr>
      <w:r w:rsidRPr="009636AC">
        <w:rPr>
          <w:sz w:val="24"/>
          <w:szCs w:val="24"/>
          <w:lang w:eastAsia="da-DK"/>
        </w:rPr>
        <w:t>Der foreligger en begrænset mængde data for de patienter med malignt pleuramesoteliom, som blev behandlet med pemetrexed alene. Pemetrexed i en dosis på 500 mg/m</w:t>
      </w:r>
      <w:r w:rsidRPr="007905FB">
        <w:rPr>
          <w:sz w:val="24"/>
          <w:szCs w:val="24"/>
          <w:vertAlign w:val="superscript"/>
          <w:lang w:eastAsia="da-DK"/>
        </w:rPr>
        <w:t>2</w:t>
      </w:r>
      <w:r w:rsidRPr="009636AC">
        <w:rPr>
          <w:sz w:val="24"/>
          <w:szCs w:val="24"/>
          <w:lang w:eastAsia="da-DK"/>
        </w:rPr>
        <w:t xml:space="preserve"> blev undersøgt som enkeltstof- behandling til 64 patienter med malignt pleuramesoteliom, som ikke tidligere havde modtaget kemoterapi. Den samlede responsrate var 14,1 %.</w:t>
      </w:r>
    </w:p>
    <w:p w14:paraId="4911D776" w14:textId="77777777" w:rsidR="004444B7" w:rsidRPr="009636AC" w:rsidRDefault="004444B7" w:rsidP="009C7FBF">
      <w:pPr>
        <w:ind w:left="851"/>
        <w:rPr>
          <w:sz w:val="24"/>
          <w:szCs w:val="24"/>
          <w:lang w:eastAsia="da-DK"/>
        </w:rPr>
      </w:pPr>
    </w:p>
    <w:p w14:paraId="4C83AE33" w14:textId="77777777" w:rsidR="004444B7" w:rsidRPr="009636AC" w:rsidRDefault="004444B7" w:rsidP="009C7FBF">
      <w:pPr>
        <w:ind w:left="851"/>
        <w:rPr>
          <w:i/>
          <w:sz w:val="24"/>
          <w:szCs w:val="24"/>
          <w:lang w:eastAsia="da-DK"/>
        </w:rPr>
      </w:pPr>
      <w:r w:rsidRPr="009636AC">
        <w:rPr>
          <w:i/>
          <w:sz w:val="24"/>
          <w:szCs w:val="24"/>
          <w:lang w:eastAsia="da-DK"/>
        </w:rPr>
        <w:t>NSCLC, 2. linje-behandling</w:t>
      </w:r>
    </w:p>
    <w:p w14:paraId="72BEAD52" w14:textId="77777777" w:rsidR="004444B7" w:rsidRPr="009636AC" w:rsidRDefault="004444B7" w:rsidP="009C7FBF">
      <w:pPr>
        <w:ind w:left="851"/>
        <w:rPr>
          <w:sz w:val="24"/>
          <w:szCs w:val="24"/>
          <w:lang w:eastAsia="da-DK"/>
        </w:rPr>
      </w:pPr>
      <w:r w:rsidRPr="009636AC">
        <w:rPr>
          <w:sz w:val="24"/>
          <w:szCs w:val="24"/>
          <w:lang w:eastAsia="da-DK"/>
        </w:rPr>
        <w:t xml:space="preserve">Et åbent, randomiseret fase 3-multicenterstudie med pemetrexed </w:t>
      </w:r>
      <w:r w:rsidRPr="009636AC">
        <w:rPr>
          <w:i/>
          <w:sz w:val="24"/>
          <w:szCs w:val="24"/>
          <w:lang w:eastAsia="da-DK"/>
        </w:rPr>
        <w:t xml:space="preserve">versus </w:t>
      </w:r>
      <w:r w:rsidRPr="009636AC">
        <w:rPr>
          <w:sz w:val="24"/>
          <w:szCs w:val="24"/>
          <w:lang w:eastAsia="da-DK"/>
        </w:rPr>
        <w:t xml:space="preserve">docetaxel til patienter med lokalt fremskreden eller metastatisk NSCLC (ikke-småcellet lungekræft), der tidligere var behandlet med kemoterapi, har vist en median-overlevelsestid på 8,3 måneder for patienter, som blev behandlet med pemetrexed (intent-to-treat-population n = 283), og 7,9 måneder for patienter, som blev behandlet med docetaxel (ITT n = 288). Forudgående kemoterapi inkluderede ikke pemetrexed. En analyse af virkningen på NSCLCs histologi for behandlingens virkning på overlevelse var til fordel for pemetrexed </w:t>
      </w:r>
      <w:r w:rsidRPr="009636AC">
        <w:rPr>
          <w:i/>
          <w:sz w:val="24"/>
          <w:szCs w:val="24"/>
          <w:lang w:eastAsia="da-DK"/>
        </w:rPr>
        <w:t xml:space="preserve">versus </w:t>
      </w:r>
      <w:r w:rsidRPr="009636AC">
        <w:rPr>
          <w:sz w:val="24"/>
          <w:szCs w:val="24"/>
          <w:lang w:eastAsia="da-DK"/>
        </w:rPr>
        <w:t xml:space="preserve">docetaxel bortset fra cancerformer hovedsageligt bestående af pladeepitelceller (n=399; 9,3 </w:t>
      </w:r>
      <w:r w:rsidRPr="009636AC">
        <w:rPr>
          <w:i/>
          <w:sz w:val="24"/>
          <w:szCs w:val="24"/>
          <w:lang w:eastAsia="da-DK"/>
        </w:rPr>
        <w:t xml:space="preserve">versus </w:t>
      </w:r>
      <w:r w:rsidRPr="009636AC">
        <w:rPr>
          <w:sz w:val="24"/>
          <w:szCs w:val="24"/>
          <w:lang w:eastAsia="da-DK"/>
        </w:rPr>
        <w:t xml:space="preserve">8,0 måneder, justeret HR= 0,78; 95 % CI= 0,61-1,00; p= 0,047) og til fordel for docetaxel for carcinom af pladeepitelceller (n= 172; 6,2 </w:t>
      </w:r>
      <w:r w:rsidRPr="009636AC">
        <w:rPr>
          <w:i/>
          <w:sz w:val="24"/>
          <w:szCs w:val="24"/>
          <w:lang w:eastAsia="da-DK"/>
        </w:rPr>
        <w:t xml:space="preserve">versus </w:t>
      </w:r>
      <w:r w:rsidRPr="009636AC">
        <w:rPr>
          <w:sz w:val="24"/>
          <w:szCs w:val="24"/>
          <w:lang w:eastAsia="da-DK"/>
        </w:rPr>
        <w:t>7,4 måneder, justeret HR = 1,56; 95 % CI= 1,08- 2,26; p= 0,0018). Der blev ikke set nogen klinisk relevante forskelle i pemetrexeds sikkerhedsprofil inden for de histologiske undergrupper.</w:t>
      </w:r>
    </w:p>
    <w:p w14:paraId="180C17FB" w14:textId="77777777" w:rsidR="004444B7" w:rsidRPr="009636AC" w:rsidRDefault="004444B7" w:rsidP="009C7FBF">
      <w:pPr>
        <w:ind w:left="851"/>
        <w:rPr>
          <w:sz w:val="24"/>
          <w:szCs w:val="24"/>
          <w:lang w:eastAsia="da-DK"/>
        </w:rPr>
      </w:pPr>
    </w:p>
    <w:p w14:paraId="2300AEF5" w14:textId="77777777" w:rsidR="004444B7" w:rsidRPr="009636AC" w:rsidRDefault="004444B7" w:rsidP="009C7FBF">
      <w:pPr>
        <w:ind w:left="851"/>
        <w:rPr>
          <w:sz w:val="24"/>
          <w:szCs w:val="24"/>
          <w:lang w:eastAsia="da-DK"/>
        </w:rPr>
      </w:pPr>
      <w:r w:rsidRPr="009636AC">
        <w:rPr>
          <w:sz w:val="24"/>
          <w:szCs w:val="24"/>
          <w:lang w:eastAsia="da-DK"/>
        </w:rPr>
        <w:t>Begrænsede kliniske data fra et andet randomiseret fase 3 kontrolleret studie tyder på, at effektdata (total overlevelse, progressionsfri overlevelse) for pemetrexed er sammenlignelig for patienter, som tidligere er behandlet med docetaxel (n=41), og patienter, som ikke tidligere har fået docetaxelbehandling (n = 540).</w:t>
      </w:r>
    </w:p>
    <w:p w14:paraId="6C44BE60" w14:textId="77777777" w:rsidR="004444B7" w:rsidRPr="009636AC" w:rsidRDefault="004444B7" w:rsidP="004444B7">
      <w:pPr>
        <w:autoSpaceDE w:val="0"/>
        <w:autoSpaceDN w:val="0"/>
        <w:adjustRightInd w:val="0"/>
        <w:ind w:left="851"/>
        <w:rPr>
          <w:sz w:val="24"/>
          <w:szCs w:val="24"/>
          <w:lang w:eastAsia="da-DK"/>
        </w:rPr>
      </w:pPr>
    </w:p>
    <w:p w14:paraId="24484CC2" w14:textId="77777777" w:rsidR="004444B7" w:rsidRPr="009636AC" w:rsidRDefault="004444B7" w:rsidP="004444B7">
      <w:pPr>
        <w:suppressAutoHyphens/>
        <w:ind w:left="851" w:hanging="851"/>
        <w:rPr>
          <w:b/>
          <w:sz w:val="24"/>
          <w:szCs w:val="24"/>
          <w:lang w:eastAsia="da-DK"/>
        </w:rPr>
      </w:pPr>
      <w:r w:rsidRPr="009636AC">
        <w:rPr>
          <w:b/>
          <w:sz w:val="24"/>
          <w:szCs w:val="24"/>
          <w:lang w:eastAsia="da-DK"/>
        </w:rPr>
        <w:t xml:space="preserve">Tabel 6. Effekt af pemetrexed </w:t>
      </w:r>
      <w:r w:rsidRPr="009636AC">
        <w:rPr>
          <w:b/>
          <w:i/>
          <w:sz w:val="24"/>
          <w:szCs w:val="24"/>
          <w:lang w:eastAsia="da-DK"/>
        </w:rPr>
        <w:t>versus</w:t>
      </w:r>
      <w:r w:rsidRPr="009636AC">
        <w:rPr>
          <w:b/>
          <w:sz w:val="24"/>
          <w:szCs w:val="24"/>
          <w:lang w:eastAsia="da-DK"/>
        </w:rPr>
        <w:t xml:space="preserve"> docetaxel mod NSCLC – ITT-population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2349"/>
        <w:gridCol w:w="2328"/>
      </w:tblGrid>
      <w:tr w:rsidR="004444B7" w:rsidRPr="009636AC" w14:paraId="280772C0" w14:textId="77777777" w:rsidTr="00692610">
        <w:tc>
          <w:tcPr>
            <w:tcW w:w="2571" w:type="pct"/>
            <w:tcBorders>
              <w:top w:val="single" w:sz="4" w:space="0" w:color="auto"/>
              <w:left w:val="single" w:sz="4" w:space="0" w:color="auto"/>
              <w:bottom w:val="single" w:sz="4" w:space="0" w:color="auto"/>
              <w:right w:val="single" w:sz="4" w:space="0" w:color="auto"/>
            </w:tcBorders>
          </w:tcPr>
          <w:p w14:paraId="04B566E7" w14:textId="77777777" w:rsidR="004444B7" w:rsidRPr="009636AC" w:rsidRDefault="004444B7">
            <w:pPr>
              <w:autoSpaceDE w:val="0"/>
              <w:autoSpaceDN w:val="0"/>
              <w:adjustRightInd w:val="0"/>
              <w:ind w:left="29"/>
              <w:rPr>
                <w:b/>
                <w:sz w:val="22"/>
                <w:szCs w:val="22"/>
                <w:lang w:eastAsia="en-GB"/>
              </w:rPr>
            </w:pPr>
          </w:p>
        </w:tc>
        <w:tc>
          <w:tcPr>
            <w:tcW w:w="1220" w:type="pct"/>
            <w:tcBorders>
              <w:top w:val="single" w:sz="4" w:space="0" w:color="auto"/>
              <w:left w:val="single" w:sz="4" w:space="0" w:color="auto"/>
              <w:bottom w:val="single" w:sz="4" w:space="0" w:color="auto"/>
              <w:right w:val="single" w:sz="4" w:space="0" w:color="auto"/>
            </w:tcBorders>
            <w:hideMark/>
          </w:tcPr>
          <w:p w14:paraId="3E3956C7" w14:textId="77777777" w:rsidR="004444B7" w:rsidRPr="009636AC" w:rsidRDefault="004444B7">
            <w:pPr>
              <w:autoSpaceDE w:val="0"/>
              <w:autoSpaceDN w:val="0"/>
              <w:adjustRightInd w:val="0"/>
              <w:ind w:left="29"/>
              <w:jc w:val="center"/>
              <w:rPr>
                <w:b/>
                <w:sz w:val="22"/>
                <w:szCs w:val="22"/>
                <w:lang w:eastAsia="en-GB"/>
              </w:rPr>
            </w:pPr>
            <w:r w:rsidRPr="009636AC">
              <w:rPr>
                <w:b/>
                <w:sz w:val="22"/>
                <w:szCs w:val="22"/>
                <w:lang w:eastAsia="en-GB"/>
              </w:rPr>
              <w:t>Pemetrexed</w:t>
            </w:r>
          </w:p>
        </w:tc>
        <w:tc>
          <w:tcPr>
            <w:tcW w:w="1209" w:type="pct"/>
            <w:tcBorders>
              <w:top w:val="single" w:sz="4" w:space="0" w:color="auto"/>
              <w:left w:val="single" w:sz="4" w:space="0" w:color="auto"/>
              <w:bottom w:val="single" w:sz="4" w:space="0" w:color="auto"/>
              <w:right w:val="single" w:sz="4" w:space="0" w:color="auto"/>
            </w:tcBorders>
            <w:hideMark/>
          </w:tcPr>
          <w:p w14:paraId="38C2E63D" w14:textId="77777777" w:rsidR="004444B7" w:rsidRPr="009636AC" w:rsidRDefault="004444B7">
            <w:pPr>
              <w:autoSpaceDE w:val="0"/>
              <w:autoSpaceDN w:val="0"/>
              <w:adjustRightInd w:val="0"/>
              <w:ind w:left="29"/>
              <w:jc w:val="center"/>
              <w:rPr>
                <w:b/>
                <w:sz w:val="22"/>
                <w:szCs w:val="22"/>
                <w:lang w:eastAsia="en-GB"/>
              </w:rPr>
            </w:pPr>
            <w:r w:rsidRPr="009636AC">
              <w:rPr>
                <w:b/>
                <w:sz w:val="22"/>
                <w:szCs w:val="22"/>
                <w:lang w:eastAsia="en-GB"/>
              </w:rPr>
              <w:t>Docetaxel</w:t>
            </w:r>
          </w:p>
        </w:tc>
      </w:tr>
      <w:tr w:rsidR="004444B7" w:rsidRPr="009636AC" w14:paraId="27404EE0" w14:textId="77777777" w:rsidTr="00692610">
        <w:trPr>
          <w:trHeight w:val="676"/>
        </w:trPr>
        <w:tc>
          <w:tcPr>
            <w:tcW w:w="2571" w:type="pct"/>
            <w:vMerge w:val="restart"/>
            <w:tcBorders>
              <w:top w:val="single" w:sz="4" w:space="0" w:color="auto"/>
              <w:left w:val="single" w:sz="4" w:space="0" w:color="auto"/>
              <w:bottom w:val="single" w:sz="4" w:space="0" w:color="auto"/>
              <w:right w:val="single" w:sz="4" w:space="0" w:color="auto"/>
            </w:tcBorders>
            <w:hideMark/>
          </w:tcPr>
          <w:p w14:paraId="40C9F941" w14:textId="77777777" w:rsidR="004444B7" w:rsidRPr="009636AC" w:rsidRDefault="004444B7">
            <w:pPr>
              <w:autoSpaceDE w:val="0"/>
              <w:autoSpaceDN w:val="0"/>
              <w:adjustRightInd w:val="0"/>
              <w:rPr>
                <w:b/>
                <w:sz w:val="22"/>
                <w:szCs w:val="22"/>
                <w:lang w:eastAsia="en-GB"/>
              </w:rPr>
            </w:pPr>
            <w:r w:rsidRPr="009636AC">
              <w:rPr>
                <w:b/>
                <w:sz w:val="22"/>
                <w:szCs w:val="22"/>
                <w:lang w:eastAsia="en-GB"/>
              </w:rPr>
              <w:t>Overlevelsestid (måneder)</w:t>
            </w:r>
          </w:p>
          <w:p w14:paraId="1F6C13B9" w14:textId="77777777" w:rsidR="004444B7" w:rsidRPr="009636AC" w:rsidRDefault="004444B7">
            <w:pPr>
              <w:tabs>
                <w:tab w:val="left" w:pos="454"/>
              </w:tabs>
              <w:autoSpaceDE w:val="0"/>
              <w:autoSpaceDN w:val="0"/>
              <w:adjustRightInd w:val="0"/>
              <w:rPr>
                <w:b/>
                <w:sz w:val="22"/>
                <w:szCs w:val="22"/>
                <w:lang w:eastAsia="en-GB"/>
              </w:rPr>
            </w:pPr>
            <w:r w:rsidRPr="009636AC">
              <w:rPr>
                <w:sz w:val="22"/>
                <w:szCs w:val="22"/>
                <w:lang w:eastAsia="en-GB"/>
              </w:rPr>
              <w:t>Median (m)</w:t>
            </w:r>
          </w:p>
          <w:p w14:paraId="103D6345" w14:textId="77777777" w:rsidR="004444B7" w:rsidRPr="009636AC" w:rsidRDefault="004444B7">
            <w:pPr>
              <w:tabs>
                <w:tab w:val="left" w:pos="454"/>
              </w:tabs>
              <w:autoSpaceDE w:val="0"/>
              <w:autoSpaceDN w:val="0"/>
              <w:adjustRightInd w:val="0"/>
              <w:rPr>
                <w:b/>
                <w:sz w:val="22"/>
                <w:szCs w:val="22"/>
                <w:lang w:eastAsia="en-GB"/>
              </w:rPr>
            </w:pPr>
            <w:r w:rsidRPr="009636AC">
              <w:rPr>
                <w:sz w:val="22"/>
                <w:szCs w:val="22"/>
                <w:lang w:eastAsia="en-GB"/>
              </w:rPr>
              <w:t>95 % CI for median</w:t>
            </w:r>
          </w:p>
          <w:p w14:paraId="1E161759" w14:textId="77777777" w:rsidR="004444B7" w:rsidRPr="009636AC" w:rsidRDefault="004444B7">
            <w:pPr>
              <w:tabs>
                <w:tab w:val="left" w:pos="454"/>
              </w:tabs>
              <w:autoSpaceDE w:val="0"/>
              <w:autoSpaceDN w:val="0"/>
              <w:adjustRightInd w:val="0"/>
              <w:rPr>
                <w:b/>
                <w:sz w:val="22"/>
                <w:szCs w:val="22"/>
                <w:lang w:eastAsia="en-GB"/>
              </w:rPr>
            </w:pPr>
            <w:r w:rsidRPr="009636AC">
              <w:rPr>
                <w:sz w:val="22"/>
                <w:szCs w:val="22"/>
                <w:lang w:eastAsia="en-GB"/>
              </w:rPr>
              <w:t>HR</w:t>
            </w:r>
          </w:p>
          <w:p w14:paraId="508A7D89" w14:textId="77777777" w:rsidR="004444B7" w:rsidRPr="009636AC" w:rsidRDefault="004444B7">
            <w:pPr>
              <w:tabs>
                <w:tab w:val="left" w:pos="454"/>
              </w:tabs>
              <w:autoSpaceDE w:val="0"/>
              <w:autoSpaceDN w:val="0"/>
              <w:adjustRightInd w:val="0"/>
              <w:rPr>
                <w:b/>
                <w:sz w:val="22"/>
                <w:szCs w:val="22"/>
                <w:lang w:eastAsia="en-GB"/>
              </w:rPr>
            </w:pPr>
            <w:r w:rsidRPr="009636AC">
              <w:rPr>
                <w:sz w:val="22"/>
                <w:szCs w:val="22"/>
                <w:lang w:eastAsia="en-GB"/>
              </w:rPr>
              <w:t>95 % CI for HR</w:t>
            </w:r>
          </w:p>
          <w:p w14:paraId="6BFEC031" w14:textId="77777777" w:rsidR="004444B7" w:rsidRPr="009636AC" w:rsidRDefault="004444B7">
            <w:pPr>
              <w:tabs>
                <w:tab w:val="left" w:pos="454"/>
              </w:tabs>
              <w:autoSpaceDE w:val="0"/>
              <w:autoSpaceDN w:val="0"/>
              <w:adjustRightInd w:val="0"/>
              <w:ind w:left="29"/>
              <w:rPr>
                <w:b/>
                <w:sz w:val="22"/>
                <w:szCs w:val="22"/>
                <w:lang w:eastAsia="en-GB"/>
              </w:rPr>
            </w:pPr>
            <w:r w:rsidRPr="009636AC">
              <w:rPr>
                <w:sz w:val="22"/>
                <w:szCs w:val="22"/>
                <w:lang w:eastAsia="en-GB"/>
              </w:rPr>
              <w:t>p-værdi for non-inferioritet (HR)</w:t>
            </w:r>
          </w:p>
        </w:tc>
        <w:tc>
          <w:tcPr>
            <w:tcW w:w="1220" w:type="pct"/>
            <w:tcBorders>
              <w:top w:val="single" w:sz="4" w:space="0" w:color="auto"/>
              <w:left w:val="single" w:sz="4" w:space="0" w:color="auto"/>
              <w:bottom w:val="single" w:sz="4" w:space="0" w:color="auto"/>
              <w:right w:val="single" w:sz="4" w:space="0" w:color="auto"/>
            </w:tcBorders>
            <w:hideMark/>
          </w:tcPr>
          <w:p w14:paraId="27200652"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(n=283)</w:t>
            </w:r>
          </w:p>
          <w:p w14:paraId="129F4EA2"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8,3</w:t>
            </w:r>
          </w:p>
          <w:p w14:paraId="04986456"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(7,0-9,4)</w:t>
            </w:r>
          </w:p>
        </w:tc>
        <w:tc>
          <w:tcPr>
            <w:tcW w:w="1209" w:type="pct"/>
            <w:tcBorders>
              <w:top w:val="single" w:sz="4" w:space="0" w:color="auto"/>
              <w:left w:val="single" w:sz="4" w:space="0" w:color="auto"/>
              <w:bottom w:val="single" w:sz="4" w:space="0" w:color="auto"/>
              <w:right w:val="single" w:sz="4" w:space="0" w:color="auto"/>
            </w:tcBorders>
            <w:hideMark/>
          </w:tcPr>
          <w:p w14:paraId="654DF5A8"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(n=288)</w:t>
            </w:r>
          </w:p>
          <w:p w14:paraId="7AD613A1"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7,9</w:t>
            </w:r>
          </w:p>
          <w:p w14:paraId="01BC1362"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(6,3-9,2)</w:t>
            </w:r>
          </w:p>
        </w:tc>
      </w:tr>
      <w:tr w:rsidR="004444B7" w:rsidRPr="009636AC" w14:paraId="65F421C8" w14:textId="77777777" w:rsidTr="00692610">
        <w:trPr>
          <w:trHeight w:val="676"/>
        </w:trPr>
        <w:tc>
          <w:tcPr>
            <w:tcW w:w="2571" w:type="pct"/>
            <w:vMerge/>
            <w:tcBorders>
              <w:top w:val="single" w:sz="4" w:space="0" w:color="auto"/>
              <w:left w:val="single" w:sz="4" w:space="0" w:color="auto"/>
              <w:bottom w:val="single" w:sz="4" w:space="0" w:color="auto"/>
              <w:right w:val="single" w:sz="4" w:space="0" w:color="auto"/>
            </w:tcBorders>
            <w:vAlign w:val="center"/>
            <w:hideMark/>
          </w:tcPr>
          <w:p w14:paraId="691EAAA9" w14:textId="77777777" w:rsidR="004444B7" w:rsidRPr="009636AC" w:rsidRDefault="004444B7">
            <w:pPr>
              <w:rPr>
                <w:b/>
                <w:sz w:val="22"/>
                <w:szCs w:val="22"/>
                <w:lang w:eastAsia="en-GB"/>
              </w:rPr>
            </w:pPr>
          </w:p>
        </w:tc>
        <w:tc>
          <w:tcPr>
            <w:tcW w:w="2429" w:type="pct"/>
            <w:gridSpan w:val="2"/>
            <w:tcBorders>
              <w:top w:val="single" w:sz="4" w:space="0" w:color="auto"/>
              <w:left w:val="single" w:sz="4" w:space="0" w:color="auto"/>
              <w:bottom w:val="single" w:sz="4" w:space="0" w:color="auto"/>
              <w:right w:val="single" w:sz="4" w:space="0" w:color="auto"/>
            </w:tcBorders>
            <w:hideMark/>
          </w:tcPr>
          <w:p w14:paraId="58860A95"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0,99</w:t>
            </w:r>
          </w:p>
          <w:p w14:paraId="2950D344"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(0,82-1,20)</w:t>
            </w:r>
          </w:p>
          <w:p w14:paraId="1CC5A914"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0,226</w:t>
            </w:r>
          </w:p>
        </w:tc>
      </w:tr>
      <w:tr w:rsidR="004444B7" w:rsidRPr="009636AC" w14:paraId="04444BD4" w14:textId="77777777" w:rsidTr="00692610">
        <w:trPr>
          <w:trHeight w:val="338"/>
        </w:trPr>
        <w:tc>
          <w:tcPr>
            <w:tcW w:w="2571" w:type="pct"/>
            <w:vMerge w:val="restart"/>
            <w:tcBorders>
              <w:top w:val="single" w:sz="4" w:space="0" w:color="auto"/>
              <w:left w:val="single" w:sz="4" w:space="0" w:color="auto"/>
              <w:bottom w:val="single" w:sz="4" w:space="0" w:color="auto"/>
              <w:right w:val="single" w:sz="4" w:space="0" w:color="auto"/>
            </w:tcBorders>
            <w:hideMark/>
          </w:tcPr>
          <w:p w14:paraId="61C0D45D" w14:textId="77777777" w:rsidR="004444B7" w:rsidRPr="009636AC" w:rsidRDefault="004444B7">
            <w:pPr>
              <w:autoSpaceDE w:val="0"/>
              <w:autoSpaceDN w:val="0"/>
              <w:adjustRightInd w:val="0"/>
              <w:rPr>
                <w:b/>
                <w:sz w:val="22"/>
                <w:szCs w:val="22"/>
                <w:lang w:eastAsia="en-GB"/>
              </w:rPr>
            </w:pPr>
            <w:r w:rsidRPr="009636AC">
              <w:rPr>
                <w:b/>
                <w:sz w:val="22"/>
                <w:szCs w:val="22"/>
                <w:lang w:eastAsia="en-GB"/>
              </w:rPr>
              <w:t>Progressionsfri overlevelse (måneder)</w:t>
            </w:r>
          </w:p>
          <w:p w14:paraId="3D9FE467" w14:textId="77777777" w:rsidR="004444B7" w:rsidRPr="009636AC" w:rsidRDefault="004444B7">
            <w:pPr>
              <w:tabs>
                <w:tab w:val="left" w:pos="447"/>
              </w:tabs>
              <w:autoSpaceDE w:val="0"/>
              <w:autoSpaceDN w:val="0"/>
              <w:adjustRightInd w:val="0"/>
              <w:rPr>
                <w:b/>
                <w:sz w:val="22"/>
                <w:szCs w:val="22"/>
                <w:lang w:eastAsia="en-GB"/>
              </w:rPr>
            </w:pPr>
            <w:r w:rsidRPr="009636AC">
              <w:rPr>
                <w:sz w:val="22"/>
                <w:szCs w:val="22"/>
                <w:lang w:eastAsia="en-GB"/>
              </w:rPr>
              <w:t>Median</w:t>
            </w:r>
          </w:p>
          <w:p w14:paraId="3A0A1D7C" w14:textId="77777777" w:rsidR="004444B7" w:rsidRPr="009636AC" w:rsidRDefault="004444B7">
            <w:pPr>
              <w:tabs>
                <w:tab w:val="left" w:pos="447"/>
              </w:tabs>
              <w:autoSpaceDE w:val="0"/>
              <w:autoSpaceDN w:val="0"/>
              <w:adjustRightInd w:val="0"/>
              <w:ind w:left="29"/>
              <w:rPr>
                <w:b/>
                <w:sz w:val="22"/>
                <w:szCs w:val="22"/>
                <w:lang w:eastAsia="en-GB"/>
              </w:rPr>
            </w:pPr>
            <w:r w:rsidRPr="009636AC">
              <w:rPr>
                <w:sz w:val="22"/>
                <w:szCs w:val="22"/>
                <w:lang w:eastAsia="en-GB"/>
              </w:rPr>
              <w:t>HR (95 % CI)</w:t>
            </w:r>
          </w:p>
        </w:tc>
        <w:tc>
          <w:tcPr>
            <w:tcW w:w="1220" w:type="pct"/>
            <w:tcBorders>
              <w:top w:val="single" w:sz="4" w:space="0" w:color="auto"/>
              <w:left w:val="single" w:sz="4" w:space="0" w:color="auto"/>
              <w:bottom w:val="single" w:sz="4" w:space="0" w:color="auto"/>
              <w:right w:val="single" w:sz="4" w:space="0" w:color="auto"/>
            </w:tcBorders>
            <w:hideMark/>
          </w:tcPr>
          <w:p w14:paraId="3119DE43"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(n=283)</w:t>
            </w:r>
          </w:p>
          <w:p w14:paraId="48707D5E"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2,9</w:t>
            </w:r>
          </w:p>
        </w:tc>
        <w:tc>
          <w:tcPr>
            <w:tcW w:w="1209" w:type="pct"/>
            <w:tcBorders>
              <w:top w:val="single" w:sz="4" w:space="0" w:color="auto"/>
              <w:left w:val="single" w:sz="4" w:space="0" w:color="auto"/>
              <w:bottom w:val="single" w:sz="4" w:space="0" w:color="auto"/>
              <w:right w:val="single" w:sz="4" w:space="0" w:color="auto"/>
            </w:tcBorders>
            <w:hideMark/>
          </w:tcPr>
          <w:p w14:paraId="1E864E80"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(n=288)</w:t>
            </w:r>
          </w:p>
          <w:p w14:paraId="217E45B1"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2,9</w:t>
            </w:r>
          </w:p>
        </w:tc>
      </w:tr>
      <w:tr w:rsidR="004444B7" w:rsidRPr="009636AC" w14:paraId="6A1F8C53" w14:textId="77777777" w:rsidTr="00692610">
        <w:trPr>
          <w:trHeight w:val="338"/>
        </w:trPr>
        <w:tc>
          <w:tcPr>
            <w:tcW w:w="2571" w:type="pct"/>
            <w:vMerge/>
            <w:tcBorders>
              <w:top w:val="single" w:sz="4" w:space="0" w:color="auto"/>
              <w:left w:val="single" w:sz="4" w:space="0" w:color="auto"/>
              <w:bottom w:val="single" w:sz="4" w:space="0" w:color="auto"/>
              <w:right w:val="single" w:sz="4" w:space="0" w:color="auto"/>
            </w:tcBorders>
            <w:vAlign w:val="center"/>
            <w:hideMark/>
          </w:tcPr>
          <w:p w14:paraId="4B1DC427" w14:textId="77777777" w:rsidR="004444B7" w:rsidRPr="009636AC" w:rsidRDefault="004444B7">
            <w:pPr>
              <w:rPr>
                <w:b/>
                <w:sz w:val="22"/>
                <w:szCs w:val="22"/>
                <w:lang w:eastAsia="en-GB"/>
              </w:rPr>
            </w:pPr>
          </w:p>
        </w:tc>
        <w:tc>
          <w:tcPr>
            <w:tcW w:w="2429" w:type="pct"/>
            <w:gridSpan w:val="2"/>
            <w:tcBorders>
              <w:top w:val="single" w:sz="4" w:space="0" w:color="auto"/>
              <w:left w:val="single" w:sz="4" w:space="0" w:color="auto"/>
              <w:bottom w:val="single" w:sz="4" w:space="0" w:color="auto"/>
              <w:right w:val="single" w:sz="4" w:space="0" w:color="auto"/>
            </w:tcBorders>
            <w:hideMark/>
          </w:tcPr>
          <w:p w14:paraId="4FFAF897"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0,97 (0,82-1,16)</w:t>
            </w:r>
          </w:p>
        </w:tc>
      </w:tr>
      <w:tr w:rsidR="004444B7" w:rsidRPr="009636AC" w14:paraId="46B5E98E" w14:textId="77777777" w:rsidTr="00692610">
        <w:trPr>
          <w:trHeight w:val="338"/>
        </w:trPr>
        <w:tc>
          <w:tcPr>
            <w:tcW w:w="2571" w:type="pct"/>
            <w:vMerge w:val="restart"/>
            <w:tcBorders>
              <w:top w:val="single" w:sz="4" w:space="0" w:color="auto"/>
              <w:left w:val="single" w:sz="4" w:space="0" w:color="auto"/>
              <w:bottom w:val="single" w:sz="4" w:space="0" w:color="auto"/>
              <w:right w:val="single" w:sz="4" w:space="0" w:color="auto"/>
            </w:tcBorders>
            <w:hideMark/>
          </w:tcPr>
          <w:p w14:paraId="57573354" w14:textId="77777777" w:rsidR="004444B7" w:rsidRPr="009636AC" w:rsidRDefault="004444B7">
            <w:pPr>
              <w:autoSpaceDE w:val="0"/>
              <w:autoSpaceDN w:val="0"/>
              <w:adjustRightInd w:val="0"/>
              <w:rPr>
                <w:sz w:val="22"/>
                <w:szCs w:val="22"/>
                <w:lang w:eastAsia="en-GB"/>
              </w:rPr>
            </w:pPr>
            <w:r w:rsidRPr="009636AC">
              <w:rPr>
                <w:b/>
                <w:sz w:val="22"/>
                <w:szCs w:val="22"/>
                <w:lang w:eastAsia="en-GB"/>
              </w:rPr>
              <w:t>Tid til behandlingssvigt (TTTF – måneder)</w:t>
            </w:r>
          </w:p>
          <w:p w14:paraId="4758FBED" w14:textId="77777777" w:rsidR="004444B7" w:rsidRPr="009636AC" w:rsidRDefault="004444B7">
            <w:pPr>
              <w:tabs>
                <w:tab w:val="left" w:pos="454"/>
              </w:tabs>
              <w:autoSpaceDE w:val="0"/>
              <w:autoSpaceDN w:val="0"/>
              <w:adjustRightInd w:val="0"/>
              <w:rPr>
                <w:sz w:val="22"/>
                <w:szCs w:val="22"/>
                <w:lang w:eastAsia="en-GB"/>
              </w:rPr>
            </w:pPr>
            <w:r w:rsidRPr="009636AC">
              <w:rPr>
                <w:sz w:val="22"/>
                <w:szCs w:val="22"/>
                <w:lang w:eastAsia="en-GB"/>
              </w:rPr>
              <w:t>Median</w:t>
            </w:r>
          </w:p>
          <w:p w14:paraId="3BC587D8" w14:textId="77777777" w:rsidR="004444B7" w:rsidRPr="009636AC" w:rsidRDefault="004444B7">
            <w:pPr>
              <w:tabs>
                <w:tab w:val="left" w:pos="454"/>
              </w:tabs>
              <w:autoSpaceDE w:val="0"/>
              <w:autoSpaceDN w:val="0"/>
              <w:adjustRightInd w:val="0"/>
              <w:rPr>
                <w:sz w:val="22"/>
                <w:szCs w:val="22"/>
                <w:lang w:eastAsia="en-GB"/>
              </w:rPr>
            </w:pPr>
            <w:r w:rsidRPr="009636AC">
              <w:rPr>
                <w:sz w:val="22"/>
                <w:szCs w:val="22"/>
                <w:lang w:eastAsia="en-GB"/>
              </w:rPr>
              <w:t>HR (95 % CI)</w:t>
            </w:r>
          </w:p>
        </w:tc>
        <w:tc>
          <w:tcPr>
            <w:tcW w:w="1220" w:type="pct"/>
            <w:tcBorders>
              <w:top w:val="single" w:sz="4" w:space="0" w:color="auto"/>
              <w:left w:val="single" w:sz="4" w:space="0" w:color="auto"/>
              <w:bottom w:val="single" w:sz="4" w:space="0" w:color="auto"/>
              <w:right w:val="single" w:sz="4" w:space="0" w:color="auto"/>
            </w:tcBorders>
            <w:hideMark/>
          </w:tcPr>
          <w:p w14:paraId="23F92DA8"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(n=283)</w:t>
            </w:r>
          </w:p>
          <w:p w14:paraId="295944BF"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2,3</w:t>
            </w:r>
          </w:p>
        </w:tc>
        <w:tc>
          <w:tcPr>
            <w:tcW w:w="1209" w:type="pct"/>
            <w:tcBorders>
              <w:top w:val="single" w:sz="4" w:space="0" w:color="auto"/>
              <w:left w:val="single" w:sz="4" w:space="0" w:color="auto"/>
              <w:bottom w:val="single" w:sz="4" w:space="0" w:color="auto"/>
              <w:right w:val="single" w:sz="4" w:space="0" w:color="auto"/>
            </w:tcBorders>
            <w:hideMark/>
          </w:tcPr>
          <w:p w14:paraId="60AF2E7F"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(n=288)</w:t>
            </w:r>
          </w:p>
          <w:p w14:paraId="3B97B98B"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2,1</w:t>
            </w:r>
          </w:p>
        </w:tc>
      </w:tr>
      <w:tr w:rsidR="004444B7" w:rsidRPr="009636AC" w14:paraId="4AF5DD1C" w14:textId="77777777" w:rsidTr="00692610">
        <w:trPr>
          <w:trHeight w:val="338"/>
        </w:trPr>
        <w:tc>
          <w:tcPr>
            <w:tcW w:w="2571" w:type="pct"/>
            <w:vMerge/>
            <w:tcBorders>
              <w:top w:val="single" w:sz="4" w:space="0" w:color="auto"/>
              <w:left w:val="single" w:sz="4" w:space="0" w:color="auto"/>
              <w:bottom w:val="single" w:sz="4" w:space="0" w:color="auto"/>
              <w:right w:val="single" w:sz="4" w:space="0" w:color="auto"/>
            </w:tcBorders>
            <w:vAlign w:val="center"/>
            <w:hideMark/>
          </w:tcPr>
          <w:p w14:paraId="4BCDC12E" w14:textId="77777777" w:rsidR="004444B7" w:rsidRPr="009636AC" w:rsidRDefault="004444B7">
            <w:pPr>
              <w:rPr>
                <w:sz w:val="22"/>
                <w:szCs w:val="22"/>
                <w:lang w:eastAsia="en-GB"/>
              </w:rPr>
            </w:pPr>
          </w:p>
        </w:tc>
        <w:tc>
          <w:tcPr>
            <w:tcW w:w="2429" w:type="pct"/>
            <w:gridSpan w:val="2"/>
            <w:tcBorders>
              <w:top w:val="single" w:sz="4" w:space="0" w:color="auto"/>
              <w:left w:val="single" w:sz="4" w:space="0" w:color="auto"/>
              <w:bottom w:val="single" w:sz="4" w:space="0" w:color="auto"/>
              <w:right w:val="single" w:sz="4" w:space="0" w:color="auto"/>
            </w:tcBorders>
            <w:hideMark/>
          </w:tcPr>
          <w:p w14:paraId="2F78DE53" w14:textId="77777777" w:rsidR="004444B7" w:rsidRPr="009636AC" w:rsidRDefault="004444B7">
            <w:pPr>
              <w:autoSpaceDE w:val="0"/>
              <w:autoSpaceDN w:val="0"/>
              <w:adjustRightInd w:val="0"/>
              <w:ind w:left="29"/>
              <w:jc w:val="center"/>
              <w:rPr>
                <w:sz w:val="22"/>
                <w:szCs w:val="22"/>
                <w:lang w:eastAsia="en-GB"/>
              </w:rPr>
            </w:pPr>
            <w:r w:rsidRPr="009636AC">
              <w:rPr>
                <w:sz w:val="22"/>
                <w:szCs w:val="22"/>
                <w:lang w:eastAsia="en-GB"/>
              </w:rPr>
              <w:t>0,84 (0,71-0,997)</w:t>
            </w:r>
          </w:p>
        </w:tc>
      </w:tr>
      <w:tr w:rsidR="004444B7" w:rsidRPr="009636AC" w14:paraId="08953679" w14:textId="77777777" w:rsidTr="00692610">
        <w:tc>
          <w:tcPr>
            <w:tcW w:w="2571" w:type="pct"/>
            <w:tcBorders>
              <w:top w:val="single" w:sz="4" w:space="0" w:color="auto"/>
              <w:left w:val="single" w:sz="4" w:space="0" w:color="auto"/>
              <w:bottom w:val="single" w:sz="4" w:space="0" w:color="auto"/>
              <w:right w:val="single" w:sz="4" w:space="0" w:color="auto"/>
            </w:tcBorders>
            <w:hideMark/>
          </w:tcPr>
          <w:p w14:paraId="55305589" w14:textId="77777777" w:rsidR="004444B7" w:rsidRPr="009636AC" w:rsidRDefault="004444B7">
            <w:pPr>
              <w:autoSpaceDE w:val="0"/>
              <w:autoSpaceDN w:val="0"/>
              <w:adjustRightInd w:val="0"/>
              <w:rPr>
                <w:sz w:val="20"/>
                <w:lang w:eastAsia="en-GB"/>
              </w:rPr>
            </w:pPr>
            <w:r w:rsidRPr="009636AC">
              <w:rPr>
                <w:b/>
                <w:sz w:val="20"/>
                <w:lang w:eastAsia="en-GB"/>
              </w:rPr>
              <w:t>Respons</w:t>
            </w:r>
            <w:r w:rsidRPr="009636AC">
              <w:rPr>
                <w:sz w:val="20"/>
                <w:lang w:eastAsia="en-GB"/>
              </w:rPr>
              <w:t xml:space="preserve"> (n: kvalificeret til respons)</w:t>
            </w:r>
          </w:p>
          <w:p w14:paraId="3A4E44DB" w14:textId="77777777" w:rsidR="004444B7" w:rsidRPr="009636AC" w:rsidRDefault="004444B7">
            <w:pPr>
              <w:tabs>
                <w:tab w:val="left" w:pos="417"/>
              </w:tabs>
              <w:autoSpaceDE w:val="0"/>
              <w:autoSpaceDN w:val="0"/>
              <w:adjustRightInd w:val="0"/>
              <w:rPr>
                <w:sz w:val="20"/>
                <w:lang w:eastAsia="en-GB"/>
              </w:rPr>
            </w:pPr>
            <w:r w:rsidRPr="009636AC">
              <w:rPr>
                <w:sz w:val="20"/>
                <w:lang w:eastAsia="en-GB"/>
              </w:rPr>
              <w:t>Responsrate (%) (95 % CI)</w:t>
            </w:r>
          </w:p>
          <w:p w14:paraId="67B46876" w14:textId="77777777" w:rsidR="004444B7" w:rsidRPr="009636AC" w:rsidRDefault="004444B7">
            <w:pPr>
              <w:tabs>
                <w:tab w:val="left" w:pos="417"/>
              </w:tabs>
              <w:autoSpaceDE w:val="0"/>
              <w:autoSpaceDN w:val="0"/>
              <w:adjustRightInd w:val="0"/>
              <w:rPr>
                <w:sz w:val="20"/>
                <w:lang w:eastAsia="en-GB"/>
              </w:rPr>
            </w:pPr>
            <w:r w:rsidRPr="009636AC">
              <w:rPr>
                <w:sz w:val="20"/>
                <w:lang w:eastAsia="en-GB"/>
              </w:rPr>
              <w:t>Stabil sygdom (%)</w:t>
            </w:r>
          </w:p>
        </w:tc>
        <w:tc>
          <w:tcPr>
            <w:tcW w:w="1220" w:type="pct"/>
            <w:tcBorders>
              <w:top w:val="single" w:sz="4" w:space="0" w:color="auto"/>
              <w:left w:val="single" w:sz="4" w:space="0" w:color="auto"/>
              <w:bottom w:val="single" w:sz="4" w:space="0" w:color="auto"/>
              <w:right w:val="single" w:sz="4" w:space="0" w:color="auto"/>
            </w:tcBorders>
            <w:hideMark/>
          </w:tcPr>
          <w:p w14:paraId="0F186E15" w14:textId="77777777" w:rsidR="004444B7" w:rsidRPr="009636AC" w:rsidRDefault="004444B7">
            <w:pPr>
              <w:autoSpaceDE w:val="0"/>
              <w:autoSpaceDN w:val="0"/>
              <w:adjustRightInd w:val="0"/>
              <w:ind w:left="29"/>
              <w:jc w:val="center"/>
              <w:rPr>
                <w:sz w:val="20"/>
                <w:lang w:eastAsia="en-GB"/>
              </w:rPr>
            </w:pPr>
            <w:r w:rsidRPr="009636AC">
              <w:rPr>
                <w:sz w:val="20"/>
                <w:lang w:eastAsia="en-GB"/>
              </w:rPr>
              <w:t>(n=264)</w:t>
            </w:r>
          </w:p>
          <w:p w14:paraId="3743CEBB" w14:textId="77777777" w:rsidR="004444B7" w:rsidRPr="009636AC" w:rsidRDefault="004444B7">
            <w:pPr>
              <w:autoSpaceDE w:val="0"/>
              <w:autoSpaceDN w:val="0"/>
              <w:adjustRightInd w:val="0"/>
              <w:ind w:left="29"/>
              <w:jc w:val="center"/>
              <w:rPr>
                <w:sz w:val="20"/>
                <w:lang w:eastAsia="en-GB"/>
              </w:rPr>
            </w:pPr>
            <w:r w:rsidRPr="009636AC">
              <w:rPr>
                <w:sz w:val="20"/>
                <w:lang w:eastAsia="en-GB"/>
              </w:rPr>
              <w:t>9,1 (5,9-13,2)</w:t>
            </w:r>
          </w:p>
          <w:p w14:paraId="3F5EB121" w14:textId="77777777" w:rsidR="004444B7" w:rsidRPr="009636AC" w:rsidRDefault="004444B7">
            <w:pPr>
              <w:autoSpaceDE w:val="0"/>
              <w:autoSpaceDN w:val="0"/>
              <w:adjustRightInd w:val="0"/>
              <w:ind w:left="29"/>
              <w:jc w:val="center"/>
              <w:rPr>
                <w:sz w:val="20"/>
                <w:lang w:eastAsia="en-GB"/>
              </w:rPr>
            </w:pPr>
            <w:r w:rsidRPr="009636AC">
              <w:rPr>
                <w:sz w:val="20"/>
                <w:lang w:eastAsia="en-GB"/>
              </w:rPr>
              <w:t>45,8</w:t>
            </w:r>
          </w:p>
        </w:tc>
        <w:tc>
          <w:tcPr>
            <w:tcW w:w="1209" w:type="pct"/>
            <w:tcBorders>
              <w:top w:val="single" w:sz="4" w:space="0" w:color="auto"/>
              <w:left w:val="single" w:sz="4" w:space="0" w:color="auto"/>
              <w:bottom w:val="single" w:sz="4" w:space="0" w:color="auto"/>
              <w:right w:val="single" w:sz="4" w:space="0" w:color="auto"/>
            </w:tcBorders>
            <w:hideMark/>
          </w:tcPr>
          <w:p w14:paraId="2EBE069F" w14:textId="77777777" w:rsidR="004444B7" w:rsidRPr="009636AC" w:rsidRDefault="004444B7">
            <w:pPr>
              <w:autoSpaceDE w:val="0"/>
              <w:autoSpaceDN w:val="0"/>
              <w:adjustRightInd w:val="0"/>
              <w:ind w:left="29"/>
              <w:jc w:val="center"/>
              <w:rPr>
                <w:sz w:val="20"/>
                <w:lang w:eastAsia="en-GB"/>
              </w:rPr>
            </w:pPr>
            <w:r w:rsidRPr="009636AC">
              <w:rPr>
                <w:sz w:val="20"/>
                <w:lang w:eastAsia="en-GB"/>
              </w:rPr>
              <w:t>(n=274)</w:t>
            </w:r>
          </w:p>
          <w:p w14:paraId="4B10CE1D" w14:textId="77777777" w:rsidR="004444B7" w:rsidRPr="009636AC" w:rsidRDefault="004444B7">
            <w:pPr>
              <w:autoSpaceDE w:val="0"/>
              <w:autoSpaceDN w:val="0"/>
              <w:adjustRightInd w:val="0"/>
              <w:ind w:left="29"/>
              <w:jc w:val="center"/>
              <w:rPr>
                <w:sz w:val="20"/>
                <w:lang w:eastAsia="en-GB"/>
              </w:rPr>
            </w:pPr>
            <w:r w:rsidRPr="009636AC">
              <w:rPr>
                <w:sz w:val="20"/>
                <w:lang w:eastAsia="en-GB"/>
              </w:rPr>
              <w:t>8,8 (5,7-12,8)</w:t>
            </w:r>
          </w:p>
          <w:p w14:paraId="5EC00BE5" w14:textId="77777777" w:rsidR="004444B7" w:rsidRPr="009636AC" w:rsidRDefault="004444B7">
            <w:pPr>
              <w:autoSpaceDE w:val="0"/>
              <w:autoSpaceDN w:val="0"/>
              <w:adjustRightInd w:val="0"/>
              <w:ind w:left="29"/>
              <w:jc w:val="center"/>
              <w:rPr>
                <w:sz w:val="20"/>
                <w:lang w:eastAsia="en-GB"/>
              </w:rPr>
            </w:pPr>
            <w:r w:rsidRPr="009636AC">
              <w:rPr>
                <w:sz w:val="20"/>
                <w:lang w:eastAsia="en-GB"/>
              </w:rPr>
              <w:t>46,4</w:t>
            </w:r>
          </w:p>
        </w:tc>
      </w:tr>
    </w:tbl>
    <w:p w14:paraId="5F57711C" w14:textId="77777777" w:rsidR="004444B7" w:rsidRPr="009636AC" w:rsidRDefault="004444B7" w:rsidP="004444B7">
      <w:pPr>
        <w:suppressAutoHyphens/>
        <w:rPr>
          <w:sz w:val="20"/>
          <w:lang w:eastAsia="da-DK"/>
        </w:rPr>
      </w:pPr>
      <w:r w:rsidRPr="009636AC">
        <w:rPr>
          <w:sz w:val="20"/>
          <w:lang w:eastAsia="da-DK"/>
        </w:rPr>
        <w:t>Forkortelser: CI = konfidensinterval; HR = hazard-ratio; ITT = intent to treat; n = samlet populationsstørrelse.</w:t>
      </w:r>
    </w:p>
    <w:p w14:paraId="32014F6B" w14:textId="77777777" w:rsidR="004444B7" w:rsidRPr="009636AC" w:rsidRDefault="004444B7" w:rsidP="004444B7">
      <w:pPr>
        <w:autoSpaceDE w:val="0"/>
        <w:autoSpaceDN w:val="0"/>
        <w:adjustRightInd w:val="0"/>
        <w:ind w:left="851"/>
        <w:rPr>
          <w:sz w:val="24"/>
          <w:szCs w:val="24"/>
          <w:u w:val="single"/>
          <w:lang w:eastAsia="da-DK"/>
        </w:rPr>
      </w:pPr>
    </w:p>
    <w:p w14:paraId="77507E7B" w14:textId="77777777" w:rsidR="004444B7" w:rsidRPr="009636AC" w:rsidRDefault="004444B7" w:rsidP="009C7FBF">
      <w:pPr>
        <w:ind w:left="851"/>
        <w:rPr>
          <w:i/>
          <w:sz w:val="24"/>
          <w:szCs w:val="24"/>
          <w:lang w:eastAsia="da-DK"/>
        </w:rPr>
      </w:pPr>
      <w:r w:rsidRPr="009636AC">
        <w:rPr>
          <w:i/>
          <w:sz w:val="24"/>
          <w:szCs w:val="24"/>
          <w:lang w:eastAsia="da-DK"/>
        </w:rPr>
        <w:t>NSCLC, 1. linje-behandling</w:t>
      </w:r>
    </w:p>
    <w:p w14:paraId="661120E1" w14:textId="77777777" w:rsidR="004444B7" w:rsidRPr="009636AC" w:rsidRDefault="004444B7" w:rsidP="009C7FBF">
      <w:pPr>
        <w:ind w:left="851"/>
        <w:rPr>
          <w:sz w:val="24"/>
          <w:szCs w:val="24"/>
          <w:lang w:eastAsia="da-DK"/>
        </w:rPr>
      </w:pPr>
      <w:r w:rsidRPr="009636AC">
        <w:rPr>
          <w:sz w:val="24"/>
          <w:szCs w:val="24"/>
          <w:lang w:eastAsia="da-DK"/>
        </w:rPr>
        <w:t xml:space="preserve">Et randomiseret, åbent, fase 3-multicenterstudie af pemetrexed plus cisplatin mod gemcitabin plus cisplatin med patienter, der ikke tidligere har fået kemoterapi, med lokalt fremskreden eller metastatisk (fase IIIb eller IV) ikke-småcellet lungecancer (NSCLC) viste, at pemetrexed plus cisplatin (Intent-To-Treat [ITT] population n=862) mødte dets primære endepunkt og viste lignende klinisk virkning som gemcitabin plus cisplatin (ITT n=863) på </w:t>
      </w:r>
      <w:r w:rsidRPr="009636AC">
        <w:rPr>
          <w:sz w:val="24"/>
          <w:szCs w:val="24"/>
          <w:lang w:eastAsia="da-DK"/>
        </w:rPr>
        <w:lastRenderedPageBreak/>
        <w:t>total overlevelse (justeret hazard ratio 0,94; 95 % CI = 0,84-1,05). Alle patienter, der var inkluderet i dette studie havde en ECOG (Eastern Cooperative Oncology Group) performancestatus på 0 eller 1.</w:t>
      </w:r>
    </w:p>
    <w:p w14:paraId="3A273CAB" w14:textId="77777777" w:rsidR="004444B7" w:rsidRPr="009636AC" w:rsidRDefault="004444B7" w:rsidP="009C7FBF">
      <w:pPr>
        <w:ind w:left="851"/>
        <w:rPr>
          <w:sz w:val="24"/>
          <w:szCs w:val="24"/>
          <w:lang w:eastAsia="da-DK"/>
        </w:rPr>
      </w:pPr>
    </w:p>
    <w:p w14:paraId="0E4F394D" w14:textId="77777777" w:rsidR="004444B7" w:rsidRPr="009636AC" w:rsidRDefault="004444B7" w:rsidP="009C7FBF">
      <w:pPr>
        <w:ind w:left="851"/>
        <w:rPr>
          <w:sz w:val="24"/>
          <w:szCs w:val="24"/>
          <w:lang w:eastAsia="da-DK"/>
        </w:rPr>
      </w:pPr>
      <w:r w:rsidRPr="009636AC">
        <w:rPr>
          <w:sz w:val="24"/>
          <w:szCs w:val="24"/>
          <w:lang w:eastAsia="da-DK"/>
        </w:rPr>
        <w:t>De primære effektanalyser var baseret på ITT-populationen. Følsomhedsanalyser af hovedvirkningens endepunkter blev også bedømt ud fra den protokolkvalificerede (PQ) population. Effektanalyser med brug af PQ-populationen er konsistente med analyser for ITT-populationen og understøtter non-inferiøriteten af AC mod GC.</w:t>
      </w:r>
    </w:p>
    <w:p w14:paraId="1055F5E6" w14:textId="77777777" w:rsidR="004444B7" w:rsidRPr="009636AC" w:rsidRDefault="004444B7" w:rsidP="009C7FBF">
      <w:pPr>
        <w:ind w:left="851"/>
        <w:rPr>
          <w:sz w:val="24"/>
          <w:szCs w:val="24"/>
          <w:lang w:eastAsia="da-DK"/>
        </w:rPr>
      </w:pPr>
    </w:p>
    <w:p w14:paraId="4CC73180" w14:textId="77777777" w:rsidR="004444B7" w:rsidRPr="009636AC" w:rsidRDefault="004444B7" w:rsidP="009C7FBF">
      <w:pPr>
        <w:ind w:left="851"/>
        <w:rPr>
          <w:sz w:val="24"/>
          <w:szCs w:val="24"/>
          <w:lang w:eastAsia="da-DK"/>
        </w:rPr>
      </w:pPr>
      <w:r w:rsidRPr="009636AC">
        <w:rPr>
          <w:sz w:val="24"/>
          <w:szCs w:val="24"/>
          <w:lang w:eastAsia="da-DK"/>
        </w:rPr>
        <w:t>Progressionsfri overlevelse (PFS) og størrelsen af det totale respons var ens mellem de to behandlingsarme: middel PFS var 4,8 måneder for pemetrexed plus cisplatin mod 5,1 måneder for gemcitabin plus cisplatin (justeret hazard ratio 1.04; 95 % CI = 0,94-1,15) og det totale respons var 30,6 % (95 % CI = 27,3- 33,9) for Pemetrexed plus cisplatin mod 28,2 % (95 % CI = 25,0-31,4) for gemcitabin plus cisplatin. PFS-data blev delvist bekræftet af en uafhængig undersøgelse (400/1725 patienter blev randomiseret og udvalgt til undersøgelsen).</w:t>
      </w:r>
    </w:p>
    <w:p w14:paraId="10C2D724" w14:textId="77777777" w:rsidR="004444B7" w:rsidRPr="009636AC" w:rsidRDefault="004444B7" w:rsidP="009C7FBF">
      <w:pPr>
        <w:ind w:left="851"/>
        <w:rPr>
          <w:sz w:val="24"/>
          <w:szCs w:val="24"/>
          <w:lang w:eastAsia="da-DK"/>
        </w:rPr>
      </w:pPr>
      <w:r w:rsidRPr="009636AC">
        <w:rPr>
          <w:sz w:val="24"/>
          <w:szCs w:val="24"/>
          <w:lang w:eastAsia="da-DK"/>
        </w:rPr>
        <w:t>Analysen af indvirkningen på NSCLC-histologien for total overlevelse viste klinisk relevante forskelle i overlevelse baseret på histologi, se nedenstående tabel.</w:t>
      </w:r>
    </w:p>
    <w:p w14:paraId="1DC4392D" w14:textId="77777777" w:rsidR="004444B7" w:rsidRPr="009636AC" w:rsidRDefault="004444B7" w:rsidP="004444B7">
      <w:pPr>
        <w:suppressAutoHyphens/>
        <w:ind w:left="851"/>
        <w:rPr>
          <w:sz w:val="24"/>
          <w:szCs w:val="24"/>
          <w:lang w:eastAsia="da-DK"/>
        </w:rPr>
      </w:pPr>
    </w:p>
    <w:p w14:paraId="0BD23690" w14:textId="77777777" w:rsidR="004444B7" w:rsidRPr="009636AC" w:rsidRDefault="004444B7" w:rsidP="004444B7">
      <w:pPr>
        <w:suppressAutoHyphens/>
        <w:rPr>
          <w:b/>
          <w:sz w:val="24"/>
          <w:szCs w:val="24"/>
          <w:lang w:eastAsia="da-DK"/>
        </w:rPr>
      </w:pPr>
      <w:r w:rsidRPr="009636AC">
        <w:rPr>
          <w:b/>
          <w:sz w:val="24"/>
          <w:szCs w:val="24"/>
          <w:lang w:eastAsia="da-DK"/>
        </w:rPr>
        <w:t>Tabel 7. Effekt af pemetrexed + cisplatin mod</w:t>
      </w:r>
      <w:r w:rsidRPr="009636AC">
        <w:rPr>
          <w:b/>
          <w:i/>
          <w:sz w:val="24"/>
          <w:szCs w:val="24"/>
          <w:lang w:eastAsia="da-DK"/>
        </w:rPr>
        <w:t xml:space="preserve"> </w:t>
      </w:r>
      <w:r w:rsidRPr="009636AC">
        <w:rPr>
          <w:b/>
          <w:sz w:val="24"/>
          <w:szCs w:val="24"/>
          <w:lang w:eastAsia="da-DK"/>
        </w:rPr>
        <w:t xml:space="preserve">gemcitabin + cisplatin </w:t>
      </w:r>
      <w:r w:rsidRPr="009636AC">
        <w:rPr>
          <w:b/>
          <w:sz w:val="24"/>
          <w:szCs w:val="24"/>
        </w:rPr>
        <w:t>ved 1. linje-behandling af</w:t>
      </w:r>
      <w:r w:rsidRPr="009636AC">
        <w:rPr>
          <w:b/>
          <w:sz w:val="24"/>
          <w:szCs w:val="24"/>
          <w:lang w:eastAsia="da-DK"/>
        </w:rPr>
        <w:t xml:space="preserve"> ikke-småcellet lungecancer – ITT-population og histologiske undergrupper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306"/>
        <w:gridCol w:w="1107"/>
        <w:gridCol w:w="1348"/>
        <w:gridCol w:w="1069"/>
        <w:gridCol w:w="1377"/>
        <w:gridCol w:w="1450"/>
      </w:tblGrid>
      <w:tr w:rsidR="004444B7" w:rsidRPr="009636AC" w14:paraId="738453A3" w14:textId="77777777" w:rsidTr="00692610">
        <w:tc>
          <w:tcPr>
            <w:tcW w:w="1024" w:type="pct"/>
            <w:vMerge w:val="restart"/>
            <w:tcBorders>
              <w:top w:val="single" w:sz="4" w:space="0" w:color="auto"/>
              <w:left w:val="single" w:sz="4" w:space="0" w:color="auto"/>
              <w:bottom w:val="single" w:sz="4" w:space="0" w:color="auto"/>
              <w:right w:val="single" w:sz="4" w:space="0" w:color="auto"/>
            </w:tcBorders>
            <w:hideMark/>
          </w:tcPr>
          <w:p w14:paraId="1A83E32B" w14:textId="77777777" w:rsidR="004444B7" w:rsidRPr="009636AC" w:rsidRDefault="004444B7">
            <w:pPr>
              <w:rPr>
                <w:b/>
                <w:sz w:val="22"/>
                <w:szCs w:val="22"/>
              </w:rPr>
            </w:pPr>
            <w:r w:rsidRPr="009636AC">
              <w:rPr>
                <w:b/>
                <w:sz w:val="22"/>
                <w:szCs w:val="22"/>
              </w:rPr>
              <w:t>ITT-population og histologiske undergrupper</w:t>
            </w:r>
          </w:p>
        </w:tc>
        <w:tc>
          <w:tcPr>
            <w:tcW w:w="2508" w:type="pct"/>
            <w:gridSpan w:val="4"/>
            <w:tcBorders>
              <w:top w:val="single" w:sz="4" w:space="0" w:color="auto"/>
              <w:left w:val="single" w:sz="4" w:space="0" w:color="auto"/>
              <w:bottom w:val="single" w:sz="4" w:space="0" w:color="auto"/>
              <w:right w:val="single" w:sz="4" w:space="0" w:color="auto"/>
            </w:tcBorders>
            <w:hideMark/>
          </w:tcPr>
          <w:p w14:paraId="50AEAC95" w14:textId="77777777" w:rsidR="004444B7" w:rsidRPr="009636AC" w:rsidRDefault="004444B7">
            <w:pPr>
              <w:jc w:val="center"/>
              <w:rPr>
                <w:b/>
                <w:sz w:val="22"/>
                <w:szCs w:val="22"/>
              </w:rPr>
            </w:pPr>
            <w:r w:rsidRPr="009636AC">
              <w:rPr>
                <w:b/>
                <w:sz w:val="22"/>
                <w:szCs w:val="22"/>
              </w:rPr>
              <w:t>Median overlevelse i måneder</w:t>
            </w:r>
          </w:p>
          <w:p w14:paraId="581FA04D" w14:textId="77777777" w:rsidR="004444B7" w:rsidRPr="009636AC" w:rsidRDefault="004444B7">
            <w:pPr>
              <w:jc w:val="center"/>
              <w:rPr>
                <w:b/>
                <w:sz w:val="22"/>
                <w:szCs w:val="22"/>
              </w:rPr>
            </w:pPr>
            <w:r w:rsidRPr="009636AC">
              <w:rPr>
                <w:b/>
                <w:sz w:val="22"/>
                <w:szCs w:val="22"/>
              </w:rPr>
              <w:t>(95 % CI)</w:t>
            </w:r>
          </w:p>
        </w:tc>
        <w:tc>
          <w:tcPr>
            <w:tcW w:w="715" w:type="pct"/>
            <w:vMerge w:val="restart"/>
            <w:tcBorders>
              <w:top w:val="single" w:sz="4" w:space="0" w:color="auto"/>
              <w:left w:val="single" w:sz="4" w:space="0" w:color="auto"/>
              <w:bottom w:val="single" w:sz="4" w:space="0" w:color="auto"/>
              <w:right w:val="single" w:sz="4" w:space="0" w:color="auto"/>
            </w:tcBorders>
            <w:hideMark/>
          </w:tcPr>
          <w:p w14:paraId="50559173" w14:textId="77777777" w:rsidR="004444B7" w:rsidRPr="00A861DD" w:rsidRDefault="004444B7">
            <w:pPr>
              <w:jc w:val="center"/>
              <w:rPr>
                <w:b/>
                <w:sz w:val="22"/>
                <w:szCs w:val="22"/>
                <w:lang w:val="en-US"/>
              </w:rPr>
            </w:pPr>
            <w:r w:rsidRPr="00A861DD">
              <w:rPr>
                <w:b/>
                <w:sz w:val="22"/>
                <w:szCs w:val="22"/>
                <w:lang w:val="en-US"/>
              </w:rPr>
              <w:t>Justeret hazard ratio (HR) (95 % CI)</w:t>
            </w:r>
          </w:p>
        </w:tc>
        <w:tc>
          <w:tcPr>
            <w:tcW w:w="753" w:type="pct"/>
            <w:vMerge w:val="restart"/>
            <w:tcBorders>
              <w:top w:val="single" w:sz="4" w:space="0" w:color="auto"/>
              <w:left w:val="single" w:sz="4" w:space="0" w:color="auto"/>
              <w:bottom w:val="single" w:sz="4" w:space="0" w:color="auto"/>
              <w:right w:val="single" w:sz="4" w:space="0" w:color="auto"/>
            </w:tcBorders>
          </w:tcPr>
          <w:p w14:paraId="7DB9BCB2" w14:textId="77777777" w:rsidR="004444B7" w:rsidRPr="00A861DD" w:rsidRDefault="004444B7">
            <w:pPr>
              <w:jc w:val="center"/>
              <w:rPr>
                <w:b/>
                <w:sz w:val="22"/>
                <w:szCs w:val="22"/>
                <w:lang w:val="en-US"/>
              </w:rPr>
            </w:pPr>
          </w:p>
          <w:p w14:paraId="5988E349" w14:textId="77777777" w:rsidR="004444B7" w:rsidRPr="009636AC" w:rsidRDefault="004444B7">
            <w:pPr>
              <w:jc w:val="center"/>
              <w:rPr>
                <w:b/>
                <w:sz w:val="22"/>
                <w:szCs w:val="22"/>
              </w:rPr>
            </w:pPr>
            <w:r w:rsidRPr="009636AC">
              <w:rPr>
                <w:b/>
                <w:sz w:val="22"/>
                <w:szCs w:val="22"/>
              </w:rPr>
              <w:t>Superioritet p-værdi</w:t>
            </w:r>
          </w:p>
        </w:tc>
      </w:tr>
      <w:tr w:rsidR="004444B7" w:rsidRPr="009636AC" w14:paraId="0AACFEA9" w14:textId="77777777" w:rsidTr="00692610">
        <w:tc>
          <w:tcPr>
            <w:tcW w:w="1024" w:type="pct"/>
            <w:vMerge/>
            <w:tcBorders>
              <w:top w:val="single" w:sz="4" w:space="0" w:color="auto"/>
              <w:left w:val="single" w:sz="4" w:space="0" w:color="auto"/>
              <w:bottom w:val="single" w:sz="4" w:space="0" w:color="auto"/>
              <w:right w:val="single" w:sz="4" w:space="0" w:color="auto"/>
            </w:tcBorders>
            <w:vAlign w:val="center"/>
            <w:hideMark/>
          </w:tcPr>
          <w:p w14:paraId="3689988A" w14:textId="77777777" w:rsidR="004444B7" w:rsidRPr="009636AC" w:rsidRDefault="004444B7">
            <w:pPr>
              <w:rPr>
                <w:b/>
                <w:sz w:val="22"/>
                <w:szCs w:val="22"/>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57ADB794" w14:textId="77777777" w:rsidR="004444B7" w:rsidRPr="009636AC" w:rsidRDefault="004444B7">
            <w:pPr>
              <w:jc w:val="center"/>
              <w:rPr>
                <w:b/>
                <w:sz w:val="22"/>
                <w:szCs w:val="22"/>
              </w:rPr>
            </w:pPr>
            <w:r w:rsidRPr="009636AC">
              <w:rPr>
                <w:b/>
                <w:sz w:val="22"/>
                <w:szCs w:val="22"/>
              </w:rPr>
              <w:t>Pemetrexed + cisplatin</w:t>
            </w:r>
          </w:p>
        </w:tc>
        <w:tc>
          <w:tcPr>
            <w:tcW w:w="1255" w:type="pct"/>
            <w:gridSpan w:val="2"/>
            <w:tcBorders>
              <w:top w:val="single" w:sz="4" w:space="0" w:color="auto"/>
              <w:left w:val="single" w:sz="4" w:space="0" w:color="auto"/>
              <w:bottom w:val="single" w:sz="4" w:space="0" w:color="auto"/>
              <w:right w:val="single" w:sz="4" w:space="0" w:color="auto"/>
            </w:tcBorders>
            <w:hideMark/>
          </w:tcPr>
          <w:p w14:paraId="3E68939D" w14:textId="77777777" w:rsidR="004444B7" w:rsidRPr="009636AC" w:rsidRDefault="004444B7">
            <w:pPr>
              <w:jc w:val="center"/>
              <w:rPr>
                <w:b/>
                <w:sz w:val="22"/>
                <w:szCs w:val="22"/>
              </w:rPr>
            </w:pPr>
            <w:r w:rsidRPr="009636AC">
              <w:rPr>
                <w:b/>
                <w:sz w:val="22"/>
                <w:szCs w:val="22"/>
              </w:rPr>
              <w:t>Gemcitabin + cisplatin</w:t>
            </w:r>
          </w:p>
        </w:tc>
        <w:tc>
          <w:tcPr>
            <w:tcW w:w="715" w:type="pct"/>
            <w:vMerge/>
            <w:tcBorders>
              <w:top w:val="single" w:sz="4" w:space="0" w:color="auto"/>
              <w:left w:val="single" w:sz="4" w:space="0" w:color="auto"/>
              <w:bottom w:val="single" w:sz="4" w:space="0" w:color="auto"/>
              <w:right w:val="single" w:sz="4" w:space="0" w:color="auto"/>
            </w:tcBorders>
            <w:vAlign w:val="center"/>
            <w:hideMark/>
          </w:tcPr>
          <w:p w14:paraId="4CF3C89F" w14:textId="77777777" w:rsidR="004444B7" w:rsidRPr="009636AC" w:rsidRDefault="004444B7">
            <w:pPr>
              <w:rPr>
                <w:b/>
                <w:sz w:val="22"/>
                <w:szCs w:val="22"/>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3F646CC1" w14:textId="77777777" w:rsidR="004444B7" w:rsidRPr="009636AC" w:rsidRDefault="004444B7">
            <w:pPr>
              <w:rPr>
                <w:b/>
                <w:sz w:val="22"/>
                <w:szCs w:val="22"/>
              </w:rPr>
            </w:pPr>
          </w:p>
        </w:tc>
      </w:tr>
      <w:tr w:rsidR="004444B7" w:rsidRPr="009636AC" w14:paraId="5353F244" w14:textId="77777777" w:rsidTr="00692610">
        <w:tc>
          <w:tcPr>
            <w:tcW w:w="1024" w:type="pct"/>
            <w:tcBorders>
              <w:top w:val="single" w:sz="4" w:space="0" w:color="auto"/>
              <w:left w:val="single" w:sz="4" w:space="0" w:color="auto"/>
              <w:bottom w:val="single" w:sz="4" w:space="0" w:color="auto"/>
              <w:right w:val="single" w:sz="4" w:space="0" w:color="auto"/>
            </w:tcBorders>
            <w:hideMark/>
          </w:tcPr>
          <w:p w14:paraId="29B24501" w14:textId="77777777" w:rsidR="004444B7" w:rsidRPr="009636AC" w:rsidRDefault="004444B7">
            <w:pPr>
              <w:rPr>
                <w:sz w:val="22"/>
                <w:szCs w:val="22"/>
              </w:rPr>
            </w:pPr>
            <w:r w:rsidRPr="009636AC">
              <w:rPr>
                <w:sz w:val="22"/>
                <w:szCs w:val="22"/>
              </w:rPr>
              <w:t>ITT-population</w:t>
            </w:r>
          </w:p>
          <w:p w14:paraId="370E0643" w14:textId="77777777" w:rsidR="004444B7" w:rsidRPr="009636AC" w:rsidRDefault="004444B7">
            <w:pPr>
              <w:rPr>
                <w:sz w:val="22"/>
                <w:szCs w:val="22"/>
              </w:rPr>
            </w:pPr>
            <w:r w:rsidRPr="009636AC">
              <w:rPr>
                <w:sz w:val="22"/>
                <w:szCs w:val="22"/>
              </w:rPr>
              <w:t>(n = 1725)</w:t>
            </w:r>
          </w:p>
        </w:tc>
        <w:tc>
          <w:tcPr>
            <w:tcW w:w="678" w:type="pct"/>
            <w:tcBorders>
              <w:top w:val="single" w:sz="4" w:space="0" w:color="auto"/>
              <w:left w:val="single" w:sz="4" w:space="0" w:color="auto"/>
              <w:bottom w:val="single" w:sz="4" w:space="0" w:color="auto"/>
              <w:right w:val="single" w:sz="4" w:space="0" w:color="auto"/>
            </w:tcBorders>
            <w:hideMark/>
          </w:tcPr>
          <w:p w14:paraId="30131C72" w14:textId="77777777" w:rsidR="004444B7" w:rsidRPr="009636AC" w:rsidRDefault="004444B7" w:rsidP="005B0A8E">
            <w:pPr>
              <w:jc w:val="center"/>
              <w:rPr>
                <w:sz w:val="22"/>
                <w:szCs w:val="22"/>
              </w:rPr>
            </w:pPr>
            <w:r w:rsidRPr="009636AC">
              <w:rPr>
                <w:sz w:val="22"/>
                <w:szCs w:val="22"/>
              </w:rPr>
              <w:t>10,3</w:t>
            </w:r>
          </w:p>
          <w:p w14:paraId="68370EAA" w14:textId="77777777" w:rsidR="004444B7" w:rsidRPr="009636AC" w:rsidRDefault="004444B7" w:rsidP="005B0A8E">
            <w:pPr>
              <w:jc w:val="center"/>
              <w:rPr>
                <w:sz w:val="22"/>
                <w:szCs w:val="22"/>
              </w:rPr>
            </w:pPr>
            <w:r w:rsidRPr="009636AC">
              <w:rPr>
                <w:sz w:val="22"/>
                <w:szCs w:val="22"/>
              </w:rPr>
              <w:t>(9,8-11,2)</w:t>
            </w:r>
          </w:p>
        </w:tc>
        <w:tc>
          <w:tcPr>
            <w:tcW w:w="575" w:type="pct"/>
            <w:tcBorders>
              <w:top w:val="single" w:sz="4" w:space="0" w:color="auto"/>
              <w:left w:val="single" w:sz="4" w:space="0" w:color="auto"/>
              <w:bottom w:val="single" w:sz="4" w:space="0" w:color="auto"/>
              <w:right w:val="single" w:sz="4" w:space="0" w:color="auto"/>
            </w:tcBorders>
            <w:hideMark/>
          </w:tcPr>
          <w:p w14:paraId="233A7404" w14:textId="77777777" w:rsidR="004444B7" w:rsidRPr="009636AC" w:rsidRDefault="004444B7" w:rsidP="005B0A8E">
            <w:pPr>
              <w:rPr>
                <w:sz w:val="22"/>
                <w:szCs w:val="22"/>
              </w:rPr>
            </w:pPr>
            <w:r w:rsidRPr="009636AC">
              <w:rPr>
                <w:sz w:val="22"/>
                <w:szCs w:val="22"/>
              </w:rPr>
              <w:t>n = 862</w:t>
            </w:r>
          </w:p>
        </w:tc>
        <w:tc>
          <w:tcPr>
            <w:tcW w:w="700" w:type="pct"/>
            <w:tcBorders>
              <w:top w:val="single" w:sz="4" w:space="0" w:color="auto"/>
              <w:left w:val="single" w:sz="4" w:space="0" w:color="auto"/>
              <w:bottom w:val="single" w:sz="4" w:space="0" w:color="auto"/>
              <w:right w:val="single" w:sz="4" w:space="0" w:color="auto"/>
            </w:tcBorders>
            <w:hideMark/>
          </w:tcPr>
          <w:p w14:paraId="14817248" w14:textId="77777777" w:rsidR="004444B7" w:rsidRPr="009636AC" w:rsidRDefault="004444B7" w:rsidP="005B0A8E">
            <w:pPr>
              <w:jc w:val="center"/>
              <w:rPr>
                <w:sz w:val="22"/>
                <w:szCs w:val="22"/>
              </w:rPr>
            </w:pPr>
            <w:r w:rsidRPr="009636AC">
              <w:rPr>
                <w:sz w:val="22"/>
                <w:szCs w:val="22"/>
              </w:rPr>
              <w:t>10,3</w:t>
            </w:r>
          </w:p>
          <w:p w14:paraId="4509E9CE" w14:textId="77777777" w:rsidR="004444B7" w:rsidRPr="009636AC" w:rsidRDefault="004444B7" w:rsidP="005B0A8E">
            <w:pPr>
              <w:jc w:val="center"/>
              <w:rPr>
                <w:sz w:val="22"/>
                <w:szCs w:val="22"/>
              </w:rPr>
            </w:pPr>
            <w:r w:rsidRPr="009636AC">
              <w:rPr>
                <w:sz w:val="22"/>
                <w:szCs w:val="22"/>
              </w:rPr>
              <w:t>(9,6-10,9)</w:t>
            </w:r>
          </w:p>
        </w:tc>
        <w:tc>
          <w:tcPr>
            <w:tcW w:w="555" w:type="pct"/>
            <w:tcBorders>
              <w:top w:val="single" w:sz="4" w:space="0" w:color="auto"/>
              <w:left w:val="single" w:sz="4" w:space="0" w:color="auto"/>
              <w:bottom w:val="single" w:sz="4" w:space="0" w:color="auto"/>
              <w:right w:val="single" w:sz="4" w:space="0" w:color="auto"/>
            </w:tcBorders>
            <w:hideMark/>
          </w:tcPr>
          <w:p w14:paraId="285B5FC6" w14:textId="77777777" w:rsidR="004444B7" w:rsidRPr="009636AC" w:rsidRDefault="004444B7" w:rsidP="005B0A8E">
            <w:pPr>
              <w:rPr>
                <w:sz w:val="22"/>
                <w:szCs w:val="22"/>
              </w:rPr>
            </w:pPr>
            <w:r w:rsidRPr="009636AC">
              <w:rPr>
                <w:sz w:val="22"/>
                <w:szCs w:val="22"/>
              </w:rPr>
              <w:t>n = 863</w:t>
            </w:r>
          </w:p>
        </w:tc>
        <w:tc>
          <w:tcPr>
            <w:tcW w:w="715" w:type="pct"/>
            <w:tcBorders>
              <w:top w:val="single" w:sz="4" w:space="0" w:color="auto"/>
              <w:left w:val="single" w:sz="4" w:space="0" w:color="auto"/>
              <w:bottom w:val="single" w:sz="4" w:space="0" w:color="auto"/>
              <w:right w:val="single" w:sz="4" w:space="0" w:color="auto"/>
            </w:tcBorders>
            <w:hideMark/>
          </w:tcPr>
          <w:p w14:paraId="547603E6" w14:textId="77777777" w:rsidR="004444B7" w:rsidRPr="009636AC" w:rsidRDefault="004444B7" w:rsidP="005B0A8E">
            <w:pPr>
              <w:jc w:val="center"/>
              <w:rPr>
                <w:sz w:val="22"/>
                <w:szCs w:val="22"/>
              </w:rPr>
            </w:pPr>
            <w:r w:rsidRPr="009636AC">
              <w:rPr>
                <w:sz w:val="22"/>
                <w:szCs w:val="22"/>
              </w:rPr>
              <w:t>0,94</w:t>
            </w:r>
            <w:r w:rsidRPr="009636AC">
              <w:rPr>
                <w:sz w:val="22"/>
                <w:szCs w:val="22"/>
                <w:vertAlign w:val="superscript"/>
              </w:rPr>
              <w:t>a</w:t>
            </w:r>
          </w:p>
          <w:p w14:paraId="4E8067A5" w14:textId="77777777" w:rsidR="004444B7" w:rsidRPr="009636AC" w:rsidRDefault="004444B7" w:rsidP="005B0A8E">
            <w:pPr>
              <w:jc w:val="center"/>
              <w:rPr>
                <w:sz w:val="22"/>
                <w:szCs w:val="22"/>
              </w:rPr>
            </w:pPr>
            <w:r w:rsidRPr="009636AC">
              <w:rPr>
                <w:sz w:val="22"/>
                <w:szCs w:val="22"/>
              </w:rPr>
              <w:t>(0,84-1,05)</w:t>
            </w:r>
          </w:p>
        </w:tc>
        <w:tc>
          <w:tcPr>
            <w:tcW w:w="753" w:type="pct"/>
            <w:tcBorders>
              <w:top w:val="single" w:sz="4" w:space="0" w:color="auto"/>
              <w:left w:val="single" w:sz="4" w:space="0" w:color="auto"/>
              <w:bottom w:val="single" w:sz="4" w:space="0" w:color="auto"/>
              <w:right w:val="single" w:sz="4" w:space="0" w:color="auto"/>
            </w:tcBorders>
            <w:hideMark/>
          </w:tcPr>
          <w:p w14:paraId="2F14FDA8" w14:textId="77777777" w:rsidR="004444B7" w:rsidRPr="009636AC" w:rsidRDefault="004444B7" w:rsidP="005B0A8E">
            <w:pPr>
              <w:jc w:val="center"/>
              <w:rPr>
                <w:sz w:val="22"/>
                <w:szCs w:val="22"/>
              </w:rPr>
            </w:pPr>
            <w:r w:rsidRPr="009636AC">
              <w:rPr>
                <w:sz w:val="22"/>
                <w:szCs w:val="22"/>
              </w:rPr>
              <w:t>0,259</w:t>
            </w:r>
          </w:p>
        </w:tc>
      </w:tr>
      <w:tr w:rsidR="004444B7" w:rsidRPr="009636AC" w14:paraId="4E7C10D7" w14:textId="77777777" w:rsidTr="00692610">
        <w:tc>
          <w:tcPr>
            <w:tcW w:w="1024" w:type="pct"/>
            <w:tcBorders>
              <w:top w:val="single" w:sz="4" w:space="0" w:color="auto"/>
              <w:left w:val="single" w:sz="4" w:space="0" w:color="auto"/>
              <w:bottom w:val="single" w:sz="4" w:space="0" w:color="auto"/>
              <w:right w:val="single" w:sz="4" w:space="0" w:color="auto"/>
            </w:tcBorders>
            <w:hideMark/>
          </w:tcPr>
          <w:p w14:paraId="56820B8B" w14:textId="77777777" w:rsidR="004444B7" w:rsidRPr="009636AC" w:rsidRDefault="004444B7">
            <w:pPr>
              <w:rPr>
                <w:sz w:val="22"/>
                <w:szCs w:val="22"/>
              </w:rPr>
            </w:pPr>
            <w:r w:rsidRPr="009636AC">
              <w:rPr>
                <w:sz w:val="22"/>
                <w:szCs w:val="22"/>
              </w:rPr>
              <w:t>Adenocarcinom</w:t>
            </w:r>
          </w:p>
          <w:p w14:paraId="5601C277" w14:textId="77777777" w:rsidR="004444B7" w:rsidRPr="009636AC" w:rsidRDefault="004444B7">
            <w:pPr>
              <w:rPr>
                <w:sz w:val="22"/>
                <w:szCs w:val="22"/>
              </w:rPr>
            </w:pPr>
            <w:r w:rsidRPr="009636AC">
              <w:rPr>
                <w:sz w:val="22"/>
                <w:szCs w:val="22"/>
              </w:rPr>
              <w:t>(n = 847)</w:t>
            </w:r>
          </w:p>
        </w:tc>
        <w:tc>
          <w:tcPr>
            <w:tcW w:w="678" w:type="pct"/>
            <w:tcBorders>
              <w:top w:val="single" w:sz="4" w:space="0" w:color="auto"/>
              <w:left w:val="single" w:sz="4" w:space="0" w:color="auto"/>
              <w:bottom w:val="single" w:sz="4" w:space="0" w:color="auto"/>
              <w:right w:val="single" w:sz="4" w:space="0" w:color="auto"/>
            </w:tcBorders>
            <w:hideMark/>
          </w:tcPr>
          <w:p w14:paraId="1C8E2972" w14:textId="77777777" w:rsidR="004444B7" w:rsidRPr="009636AC" w:rsidRDefault="004444B7" w:rsidP="005B0A8E">
            <w:pPr>
              <w:jc w:val="center"/>
              <w:rPr>
                <w:sz w:val="22"/>
                <w:szCs w:val="22"/>
              </w:rPr>
            </w:pPr>
            <w:r w:rsidRPr="009636AC">
              <w:rPr>
                <w:sz w:val="22"/>
                <w:szCs w:val="22"/>
              </w:rPr>
              <w:t>12,6</w:t>
            </w:r>
          </w:p>
          <w:p w14:paraId="14D8C891" w14:textId="77777777" w:rsidR="004444B7" w:rsidRPr="009636AC" w:rsidRDefault="004444B7" w:rsidP="005B0A8E">
            <w:pPr>
              <w:jc w:val="center"/>
              <w:rPr>
                <w:sz w:val="22"/>
                <w:szCs w:val="22"/>
              </w:rPr>
            </w:pPr>
            <w:r w:rsidRPr="009636AC">
              <w:rPr>
                <w:sz w:val="22"/>
                <w:szCs w:val="22"/>
              </w:rPr>
              <w:t>(10,7-13,6)</w:t>
            </w:r>
          </w:p>
        </w:tc>
        <w:tc>
          <w:tcPr>
            <w:tcW w:w="575" w:type="pct"/>
            <w:tcBorders>
              <w:top w:val="single" w:sz="4" w:space="0" w:color="auto"/>
              <w:left w:val="single" w:sz="4" w:space="0" w:color="auto"/>
              <w:bottom w:val="single" w:sz="4" w:space="0" w:color="auto"/>
              <w:right w:val="single" w:sz="4" w:space="0" w:color="auto"/>
            </w:tcBorders>
            <w:hideMark/>
          </w:tcPr>
          <w:p w14:paraId="5B932775" w14:textId="77777777" w:rsidR="004444B7" w:rsidRPr="009636AC" w:rsidRDefault="004444B7" w:rsidP="005B0A8E">
            <w:pPr>
              <w:rPr>
                <w:sz w:val="22"/>
                <w:szCs w:val="22"/>
              </w:rPr>
            </w:pPr>
            <w:r w:rsidRPr="009636AC">
              <w:rPr>
                <w:sz w:val="22"/>
                <w:szCs w:val="22"/>
              </w:rPr>
              <w:t>n = 436</w:t>
            </w:r>
          </w:p>
        </w:tc>
        <w:tc>
          <w:tcPr>
            <w:tcW w:w="700" w:type="pct"/>
            <w:tcBorders>
              <w:top w:val="single" w:sz="4" w:space="0" w:color="auto"/>
              <w:left w:val="single" w:sz="4" w:space="0" w:color="auto"/>
              <w:bottom w:val="single" w:sz="4" w:space="0" w:color="auto"/>
              <w:right w:val="single" w:sz="4" w:space="0" w:color="auto"/>
            </w:tcBorders>
            <w:hideMark/>
          </w:tcPr>
          <w:p w14:paraId="375DA9F7" w14:textId="77777777" w:rsidR="004444B7" w:rsidRPr="009636AC" w:rsidRDefault="004444B7" w:rsidP="005B0A8E">
            <w:pPr>
              <w:jc w:val="center"/>
              <w:rPr>
                <w:sz w:val="22"/>
                <w:szCs w:val="22"/>
              </w:rPr>
            </w:pPr>
            <w:r w:rsidRPr="009636AC">
              <w:rPr>
                <w:sz w:val="22"/>
                <w:szCs w:val="22"/>
              </w:rPr>
              <w:t>10,9</w:t>
            </w:r>
          </w:p>
          <w:p w14:paraId="1F4E493E" w14:textId="77777777" w:rsidR="004444B7" w:rsidRPr="009636AC" w:rsidRDefault="004444B7" w:rsidP="005B0A8E">
            <w:pPr>
              <w:jc w:val="center"/>
              <w:rPr>
                <w:sz w:val="22"/>
                <w:szCs w:val="22"/>
              </w:rPr>
            </w:pPr>
            <w:r w:rsidRPr="009636AC">
              <w:rPr>
                <w:sz w:val="22"/>
                <w:szCs w:val="22"/>
              </w:rPr>
              <w:t>(10,2-11,9)</w:t>
            </w:r>
          </w:p>
        </w:tc>
        <w:tc>
          <w:tcPr>
            <w:tcW w:w="555" w:type="pct"/>
            <w:tcBorders>
              <w:top w:val="single" w:sz="4" w:space="0" w:color="auto"/>
              <w:left w:val="single" w:sz="4" w:space="0" w:color="auto"/>
              <w:bottom w:val="single" w:sz="4" w:space="0" w:color="auto"/>
              <w:right w:val="single" w:sz="4" w:space="0" w:color="auto"/>
            </w:tcBorders>
            <w:hideMark/>
          </w:tcPr>
          <w:p w14:paraId="195C8134" w14:textId="77777777" w:rsidR="004444B7" w:rsidRPr="009636AC" w:rsidRDefault="004444B7" w:rsidP="005B0A8E">
            <w:pPr>
              <w:rPr>
                <w:sz w:val="22"/>
                <w:szCs w:val="22"/>
              </w:rPr>
            </w:pPr>
            <w:r w:rsidRPr="009636AC">
              <w:rPr>
                <w:sz w:val="22"/>
                <w:szCs w:val="22"/>
              </w:rPr>
              <w:t>n = 411</w:t>
            </w:r>
          </w:p>
        </w:tc>
        <w:tc>
          <w:tcPr>
            <w:tcW w:w="715" w:type="pct"/>
            <w:tcBorders>
              <w:top w:val="single" w:sz="4" w:space="0" w:color="auto"/>
              <w:left w:val="single" w:sz="4" w:space="0" w:color="auto"/>
              <w:bottom w:val="single" w:sz="4" w:space="0" w:color="auto"/>
              <w:right w:val="single" w:sz="4" w:space="0" w:color="auto"/>
            </w:tcBorders>
            <w:hideMark/>
          </w:tcPr>
          <w:p w14:paraId="0CD56BC7" w14:textId="77777777" w:rsidR="004444B7" w:rsidRPr="009636AC" w:rsidRDefault="004444B7" w:rsidP="005B0A8E">
            <w:pPr>
              <w:jc w:val="center"/>
              <w:rPr>
                <w:sz w:val="22"/>
                <w:szCs w:val="22"/>
              </w:rPr>
            </w:pPr>
            <w:r w:rsidRPr="009636AC">
              <w:rPr>
                <w:sz w:val="22"/>
                <w:szCs w:val="22"/>
              </w:rPr>
              <w:t>0,84</w:t>
            </w:r>
          </w:p>
          <w:p w14:paraId="72947A7F" w14:textId="77777777" w:rsidR="004444B7" w:rsidRPr="009636AC" w:rsidRDefault="004444B7" w:rsidP="005B0A8E">
            <w:pPr>
              <w:jc w:val="center"/>
              <w:rPr>
                <w:sz w:val="22"/>
                <w:szCs w:val="22"/>
              </w:rPr>
            </w:pPr>
            <w:r w:rsidRPr="009636AC">
              <w:rPr>
                <w:sz w:val="22"/>
                <w:szCs w:val="22"/>
              </w:rPr>
              <w:t>(0,71-0,99)</w:t>
            </w:r>
          </w:p>
        </w:tc>
        <w:tc>
          <w:tcPr>
            <w:tcW w:w="753" w:type="pct"/>
            <w:tcBorders>
              <w:top w:val="single" w:sz="4" w:space="0" w:color="auto"/>
              <w:left w:val="single" w:sz="4" w:space="0" w:color="auto"/>
              <w:bottom w:val="single" w:sz="4" w:space="0" w:color="auto"/>
              <w:right w:val="single" w:sz="4" w:space="0" w:color="auto"/>
            </w:tcBorders>
            <w:hideMark/>
          </w:tcPr>
          <w:p w14:paraId="452C45BC" w14:textId="77777777" w:rsidR="004444B7" w:rsidRPr="009636AC" w:rsidRDefault="004444B7" w:rsidP="005B0A8E">
            <w:pPr>
              <w:jc w:val="center"/>
              <w:rPr>
                <w:sz w:val="22"/>
                <w:szCs w:val="22"/>
              </w:rPr>
            </w:pPr>
            <w:r w:rsidRPr="009636AC">
              <w:rPr>
                <w:sz w:val="22"/>
                <w:szCs w:val="22"/>
              </w:rPr>
              <w:t>0,033</w:t>
            </w:r>
          </w:p>
        </w:tc>
      </w:tr>
      <w:tr w:rsidR="004444B7" w:rsidRPr="009636AC" w14:paraId="2DDA1983" w14:textId="77777777" w:rsidTr="00692610">
        <w:tc>
          <w:tcPr>
            <w:tcW w:w="1024" w:type="pct"/>
            <w:tcBorders>
              <w:top w:val="single" w:sz="4" w:space="0" w:color="auto"/>
              <w:left w:val="single" w:sz="4" w:space="0" w:color="auto"/>
              <w:bottom w:val="single" w:sz="4" w:space="0" w:color="auto"/>
              <w:right w:val="single" w:sz="4" w:space="0" w:color="auto"/>
            </w:tcBorders>
            <w:hideMark/>
          </w:tcPr>
          <w:p w14:paraId="089EF641" w14:textId="77777777" w:rsidR="004444B7" w:rsidRPr="009636AC" w:rsidRDefault="004444B7">
            <w:pPr>
              <w:rPr>
                <w:sz w:val="22"/>
                <w:szCs w:val="22"/>
              </w:rPr>
            </w:pPr>
            <w:r w:rsidRPr="009636AC">
              <w:rPr>
                <w:sz w:val="22"/>
                <w:szCs w:val="22"/>
              </w:rPr>
              <w:t>Store celler</w:t>
            </w:r>
          </w:p>
          <w:p w14:paraId="5559CF8A" w14:textId="77777777" w:rsidR="004444B7" w:rsidRPr="009636AC" w:rsidRDefault="004444B7">
            <w:pPr>
              <w:rPr>
                <w:sz w:val="22"/>
                <w:szCs w:val="22"/>
              </w:rPr>
            </w:pPr>
            <w:r w:rsidRPr="009636AC">
              <w:rPr>
                <w:sz w:val="22"/>
                <w:szCs w:val="22"/>
              </w:rPr>
              <w:t>(n = 153)</w:t>
            </w:r>
          </w:p>
        </w:tc>
        <w:tc>
          <w:tcPr>
            <w:tcW w:w="678" w:type="pct"/>
            <w:tcBorders>
              <w:top w:val="single" w:sz="4" w:space="0" w:color="auto"/>
              <w:left w:val="single" w:sz="4" w:space="0" w:color="auto"/>
              <w:bottom w:val="single" w:sz="4" w:space="0" w:color="auto"/>
              <w:right w:val="single" w:sz="4" w:space="0" w:color="auto"/>
            </w:tcBorders>
            <w:hideMark/>
          </w:tcPr>
          <w:p w14:paraId="717BB640" w14:textId="77777777" w:rsidR="004444B7" w:rsidRPr="009636AC" w:rsidRDefault="004444B7" w:rsidP="005B0A8E">
            <w:pPr>
              <w:jc w:val="center"/>
              <w:rPr>
                <w:sz w:val="22"/>
                <w:szCs w:val="22"/>
              </w:rPr>
            </w:pPr>
            <w:r w:rsidRPr="009636AC">
              <w:rPr>
                <w:sz w:val="22"/>
                <w:szCs w:val="22"/>
              </w:rPr>
              <w:t>10,4</w:t>
            </w:r>
          </w:p>
          <w:p w14:paraId="320B9C47" w14:textId="77777777" w:rsidR="004444B7" w:rsidRPr="009636AC" w:rsidRDefault="004444B7" w:rsidP="005B0A8E">
            <w:pPr>
              <w:jc w:val="center"/>
              <w:rPr>
                <w:sz w:val="22"/>
                <w:szCs w:val="22"/>
              </w:rPr>
            </w:pPr>
            <w:r w:rsidRPr="009636AC">
              <w:rPr>
                <w:sz w:val="22"/>
                <w:szCs w:val="22"/>
              </w:rPr>
              <w:t>(8,6-14,1)</w:t>
            </w:r>
          </w:p>
        </w:tc>
        <w:tc>
          <w:tcPr>
            <w:tcW w:w="575" w:type="pct"/>
            <w:tcBorders>
              <w:top w:val="single" w:sz="4" w:space="0" w:color="auto"/>
              <w:left w:val="single" w:sz="4" w:space="0" w:color="auto"/>
              <w:bottom w:val="single" w:sz="4" w:space="0" w:color="auto"/>
              <w:right w:val="single" w:sz="4" w:space="0" w:color="auto"/>
            </w:tcBorders>
            <w:hideMark/>
          </w:tcPr>
          <w:p w14:paraId="02772058" w14:textId="77777777" w:rsidR="004444B7" w:rsidRPr="009636AC" w:rsidRDefault="004444B7" w:rsidP="005B0A8E">
            <w:pPr>
              <w:rPr>
                <w:sz w:val="22"/>
                <w:szCs w:val="22"/>
              </w:rPr>
            </w:pPr>
            <w:r w:rsidRPr="009636AC">
              <w:rPr>
                <w:sz w:val="22"/>
                <w:szCs w:val="22"/>
              </w:rPr>
              <w:t>n = 76</w:t>
            </w:r>
          </w:p>
        </w:tc>
        <w:tc>
          <w:tcPr>
            <w:tcW w:w="700" w:type="pct"/>
            <w:tcBorders>
              <w:top w:val="single" w:sz="4" w:space="0" w:color="auto"/>
              <w:left w:val="single" w:sz="4" w:space="0" w:color="auto"/>
              <w:bottom w:val="single" w:sz="4" w:space="0" w:color="auto"/>
              <w:right w:val="single" w:sz="4" w:space="0" w:color="auto"/>
            </w:tcBorders>
            <w:hideMark/>
          </w:tcPr>
          <w:p w14:paraId="2F208D90" w14:textId="77777777" w:rsidR="004444B7" w:rsidRPr="009636AC" w:rsidRDefault="004444B7" w:rsidP="005B0A8E">
            <w:pPr>
              <w:jc w:val="center"/>
              <w:rPr>
                <w:sz w:val="22"/>
                <w:szCs w:val="22"/>
              </w:rPr>
            </w:pPr>
            <w:r w:rsidRPr="009636AC">
              <w:rPr>
                <w:sz w:val="22"/>
                <w:szCs w:val="22"/>
              </w:rPr>
              <w:t>6,7</w:t>
            </w:r>
          </w:p>
          <w:p w14:paraId="0EE38CA2" w14:textId="77777777" w:rsidR="004444B7" w:rsidRPr="009636AC" w:rsidRDefault="004444B7" w:rsidP="005B0A8E">
            <w:pPr>
              <w:jc w:val="center"/>
              <w:rPr>
                <w:sz w:val="22"/>
                <w:szCs w:val="22"/>
              </w:rPr>
            </w:pPr>
            <w:r w:rsidRPr="009636AC">
              <w:rPr>
                <w:sz w:val="22"/>
                <w:szCs w:val="22"/>
              </w:rPr>
              <w:t>(5,5-9,0)</w:t>
            </w:r>
          </w:p>
        </w:tc>
        <w:tc>
          <w:tcPr>
            <w:tcW w:w="555" w:type="pct"/>
            <w:tcBorders>
              <w:top w:val="single" w:sz="4" w:space="0" w:color="auto"/>
              <w:left w:val="single" w:sz="4" w:space="0" w:color="auto"/>
              <w:bottom w:val="single" w:sz="4" w:space="0" w:color="auto"/>
              <w:right w:val="single" w:sz="4" w:space="0" w:color="auto"/>
            </w:tcBorders>
            <w:hideMark/>
          </w:tcPr>
          <w:p w14:paraId="4A96D9A0" w14:textId="77777777" w:rsidR="004444B7" w:rsidRPr="009636AC" w:rsidRDefault="004444B7" w:rsidP="005B0A8E">
            <w:pPr>
              <w:rPr>
                <w:sz w:val="22"/>
                <w:szCs w:val="22"/>
              </w:rPr>
            </w:pPr>
            <w:r w:rsidRPr="009636AC">
              <w:rPr>
                <w:sz w:val="22"/>
                <w:szCs w:val="22"/>
              </w:rPr>
              <w:t>n = 77</w:t>
            </w:r>
          </w:p>
        </w:tc>
        <w:tc>
          <w:tcPr>
            <w:tcW w:w="715" w:type="pct"/>
            <w:tcBorders>
              <w:top w:val="single" w:sz="4" w:space="0" w:color="auto"/>
              <w:left w:val="single" w:sz="4" w:space="0" w:color="auto"/>
              <w:bottom w:val="single" w:sz="4" w:space="0" w:color="auto"/>
              <w:right w:val="single" w:sz="4" w:space="0" w:color="auto"/>
            </w:tcBorders>
            <w:hideMark/>
          </w:tcPr>
          <w:p w14:paraId="1827A080" w14:textId="77777777" w:rsidR="004444B7" w:rsidRPr="009636AC" w:rsidRDefault="004444B7" w:rsidP="005B0A8E">
            <w:pPr>
              <w:jc w:val="center"/>
              <w:rPr>
                <w:sz w:val="22"/>
                <w:szCs w:val="22"/>
              </w:rPr>
            </w:pPr>
            <w:r w:rsidRPr="009636AC">
              <w:rPr>
                <w:sz w:val="22"/>
                <w:szCs w:val="22"/>
              </w:rPr>
              <w:t>0,67</w:t>
            </w:r>
          </w:p>
          <w:p w14:paraId="43450C04" w14:textId="77777777" w:rsidR="004444B7" w:rsidRPr="009636AC" w:rsidRDefault="004444B7" w:rsidP="005B0A8E">
            <w:pPr>
              <w:jc w:val="center"/>
              <w:rPr>
                <w:sz w:val="22"/>
                <w:szCs w:val="22"/>
              </w:rPr>
            </w:pPr>
            <w:r w:rsidRPr="009636AC">
              <w:rPr>
                <w:sz w:val="22"/>
                <w:szCs w:val="22"/>
              </w:rPr>
              <w:t>(0,48-0,96)</w:t>
            </w:r>
          </w:p>
        </w:tc>
        <w:tc>
          <w:tcPr>
            <w:tcW w:w="753" w:type="pct"/>
            <w:tcBorders>
              <w:top w:val="single" w:sz="4" w:space="0" w:color="auto"/>
              <w:left w:val="single" w:sz="4" w:space="0" w:color="auto"/>
              <w:bottom w:val="single" w:sz="4" w:space="0" w:color="auto"/>
              <w:right w:val="single" w:sz="4" w:space="0" w:color="auto"/>
            </w:tcBorders>
            <w:hideMark/>
          </w:tcPr>
          <w:p w14:paraId="4AEAD42A" w14:textId="77777777" w:rsidR="004444B7" w:rsidRPr="009636AC" w:rsidRDefault="004444B7" w:rsidP="005B0A8E">
            <w:pPr>
              <w:jc w:val="center"/>
              <w:rPr>
                <w:sz w:val="22"/>
                <w:szCs w:val="22"/>
              </w:rPr>
            </w:pPr>
            <w:r w:rsidRPr="009636AC">
              <w:rPr>
                <w:sz w:val="22"/>
                <w:szCs w:val="22"/>
              </w:rPr>
              <w:t>0,027</w:t>
            </w:r>
          </w:p>
        </w:tc>
      </w:tr>
      <w:tr w:rsidR="004444B7" w:rsidRPr="009636AC" w14:paraId="1029DF6D" w14:textId="77777777" w:rsidTr="00692610">
        <w:tc>
          <w:tcPr>
            <w:tcW w:w="1024" w:type="pct"/>
            <w:tcBorders>
              <w:top w:val="single" w:sz="4" w:space="0" w:color="auto"/>
              <w:left w:val="single" w:sz="4" w:space="0" w:color="auto"/>
              <w:bottom w:val="single" w:sz="4" w:space="0" w:color="auto"/>
              <w:right w:val="single" w:sz="4" w:space="0" w:color="auto"/>
            </w:tcBorders>
            <w:hideMark/>
          </w:tcPr>
          <w:p w14:paraId="231190A8" w14:textId="77777777" w:rsidR="004444B7" w:rsidRPr="009636AC" w:rsidRDefault="004444B7">
            <w:pPr>
              <w:rPr>
                <w:sz w:val="22"/>
                <w:szCs w:val="22"/>
              </w:rPr>
            </w:pPr>
            <w:r w:rsidRPr="009636AC">
              <w:rPr>
                <w:sz w:val="22"/>
                <w:szCs w:val="22"/>
              </w:rPr>
              <w:t>Andre</w:t>
            </w:r>
          </w:p>
          <w:p w14:paraId="73E73D3E" w14:textId="77777777" w:rsidR="004444B7" w:rsidRPr="009636AC" w:rsidRDefault="004444B7">
            <w:pPr>
              <w:rPr>
                <w:sz w:val="22"/>
                <w:szCs w:val="22"/>
              </w:rPr>
            </w:pPr>
            <w:r w:rsidRPr="009636AC">
              <w:rPr>
                <w:sz w:val="22"/>
                <w:szCs w:val="22"/>
              </w:rPr>
              <w:t>(n = 252)</w:t>
            </w:r>
          </w:p>
        </w:tc>
        <w:tc>
          <w:tcPr>
            <w:tcW w:w="678" w:type="pct"/>
            <w:tcBorders>
              <w:top w:val="single" w:sz="4" w:space="0" w:color="auto"/>
              <w:left w:val="single" w:sz="4" w:space="0" w:color="auto"/>
              <w:bottom w:val="single" w:sz="4" w:space="0" w:color="auto"/>
              <w:right w:val="single" w:sz="4" w:space="0" w:color="auto"/>
            </w:tcBorders>
            <w:hideMark/>
          </w:tcPr>
          <w:p w14:paraId="092566EB" w14:textId="77777777" w:rsidR="004444B7" w:rsidRPr="009636AC" w:rsidRDefault="004444B7" w:rsidP="005B0A8E">
            <w:pPr>
              <w:jc w:val="center"/>
              <w:rPr>
                <w:sz w:val="22"/>
                <w:szCs w:val="22"/>
              </w:rPr>
            </w:pPr>
            <w:r w:rsidRPr="009636AC">
              <w:rPr>
                <w:sz w:val="22"/>
                <w:szCs w:val="22"/>
              </w:rPr>
              <w:t>8,6</w:t>
            </w:r>
          </w:p>
          <w:p w14:paraId="7AE9EE5B" w14:textId="77777777" w:rsidR="004444B7" w:rsidRPr="009636AC" w:rsidRDefault="004444B7" w:rsidP="005B0A8E">
            <w:pPr>
              <w:jc w:val="center"/>
              <w:rPr>
                <w:sz w:val="22"/>
                <w:szCs w:val="22"/>
              </w:rPr>
            </w:pPr>
            <w:r w:rsidRPr="009636AC">
              <w:rPr>
                <w:sz w:val="22"/>
                <w:szCs w:val="22"/>
              </w:rPr>
              <w:t>(6,8-10,2)</w:t>
            </w:r>
          </w:p>
        </w:tc>
        <w:tc>
          <w:tcPr>
            <w:tcW w:w="575" w:type="pct"/>
            <w:tcBorders>
              <w:top w:val="single" w:sz="4" w:space="0" w:color="auto"/>
              <w:left w:val="single" w:sz="4" w:space="0" w:color="auto"/>
              <w:bottom w:val="single" w:sz="4" w:space="0" w:color="auto"/>
              <w:right w:val="single" w:sz="4" w:space="0" w:color="auto"/>
            </w:tcBorders>
            <w:hideMark/>
          </w:tcPr>
          <w:p w14:paraId="7B6A009B" w14:textId="77777777" w:rsidR="004444B7" w:rsidRPr="009636AC" w:rsidRDefault="004444B7" w:rsidP="005B0A8E">
            <w:pPr>
              <w:rPr>
                <w:sz w:val="22"/>
                <w:szCs w:val="22"/>
              </w:rPr>
            </w:pPr>
            <w:r w:rsidRPr="009636AC">
              <w:rPr>
                <w:sz w:val="22"/>
                <w:szCs w:val="22"/>
              </w:rPr>
              <w:t>n = 106</w:t>
            </w:r>
          </w:p>
        </w:tc>
        <w:tc>
          <w:tcPr>
            <w:tcW w:w="700" w:type="pct"/>
            <w:tcBorders>
              <w:top w:val="single" w:sz="4" w:space="0" w:color="auto"/>
              <w:left w:val="single" w:sz="4" w:space="0" w:color="auto"/>
              <w:bottom w:val="single" w:sz="4" w:space="0" w:color="auto"/>
              <w:right w:val="single" w:sz="4" w:space="0" w:color="auto"/>
            </w:tcBorders>
            <w:hideMark/>
          </w:tcPr>
          <w:p w14:paraId="2CA63BB6" w14:textId="77777777" w:rsidR="004444B7" w:rsidRPr="009636AC" w:rsidRDefault="004444B7" w:rsidP="005B0A8E">
            <w:pPr>
              <w:jc w:val="center"/>
              <w:rPr>
                <w:sz w:val="22"/>
                <w:szCs w:val="22"/>
              </w:rPr>
            </w:pPr>
            <w:r w:rsidRPr="009636AC">
              <w:rPr>
                <w:sz w:val="22"/>
                <w:szCs w:val="22"/>
              </w:rPr>
              <w:t>9,2</w:t>
            </w:r>
          </w:p>
          <w:p w14:paraId="004D8346" w14:textId="77777777" w:rsidR="004444B7" w:rsidRPr="009636AC" w:rsidRDefault="004444B7" w:rsidP="005B0A8E">
            <w:pPr>
              <w:jc w:val="center"/>
              <w:rPr>
                <w:sz w:val="22"/>
                <w:szCs w:val="22"/>
              </w:rPr>
            </w:pPr>
            <w:r w:rsidRPr="009636AC">
              <w:rPr>
                <w:sz w:val="22"/>
                <w:szCs w:val="22"/>
              </w:rPr>
              <w:t>(8,1-10,6)</w:t>
            </w:r>
          </w:p>
        </w:tc>
        <w:tc>
          <w:tcPr>
            <w:tcW w:w="555" w:type="pct"/>
            <w:tcBorders>
              <w:top w:val="single" w:sz="4" w:space="0" w:color="auto"/>
              <w:left w:val="single" w:sz="4" w:space="0" w:color="auto"/>
              <w:bottom w:val="single" w:sz="4" w:space="0" w:color="auto"/>
              <w:right w:val="single" w:sz="4" w:space="0" w:color="auto"/>
            </w:tcBorders>
            <w:hideMark/>
          </w:tcPr>
          <w:p w14:paraId="38B1B2DA" w14:textId="77777777" w:rsidR="004444B7" w:rsidRPr="009636AC" w:rsidRDefault="004444B7" w:rsidP="005B0A8E">
            <w:pPr>
              <w:rPr>
                <w:sz w:val="22"/>
                <w:szCs w:val="22"/>
              </w:rPr>
            </w:pPr>
            <w:r w:rsidRPr="009636AC">
              <w:rPr>
                <w:sz w:val="22"/>
                <w:szCs w:val="22"/>
              </w:rPr>
              <w:t>n = 146</w:t>
            </w:r>
          </w:p>
        </w:tc>
        <w:tc>
          <w:tcPr>
            <w:tcW w:w="715" w:type="pct"/>
            <w:tcBorders>
              <w:top w:val="single" w:sz="4" w:space="0" w:color="auto"/>
              <w:left w:val="single" w:sz="4" w:space="0" w:color="auto"/>
              <w:bottom w:val="single" w:sz="4" w:space="0" w:color="auto"/>
              <w:right w:val="single" w:sz="4" w:space="0" w:color="auto"/>
            </w:tcBorders>
            <w:hideMark/>
          </w:tcPr>
          <w:p w14:paraId="1427254C" w14:textId="77777777" w:rsidR="004444B7" w:rsidRPr="009636AC" w:rsidRDefault="004444B7" w:rsidP="005B0A8E">
            <w:pPr>
              <w:jc w:val="center"/>
              <w:rPr>
                <w:sz w:val="22"/>
                <w:szCs w:val="22"/>
              </w:rPr>
            </w:pPr>
            <w:r w:rsidRPr="009636AC">
              <w:rPr>
                <w:sz w:val="22"/>
                <w:szCs w:val="22"/>
              </w:rPr>
              <w:t>1,08</w:t>
            </w:r>
          </w:p>
          <w:p w14:paraId="3CCE9D24" w14:textId="77777777" w:rsidR="004444B7" w:rsidRPr="009636AC" w:rsidRDefault="004444B7" w:rsidP="005B0A8E">
            <w:pPr>
              <w:jc w:val="center"/>
              <w:rPr>
                <w:sz w:val="22"/>
                <w:szCs w:val="22"/>
              </w:rPr>
            </w:pPr>
            <w:r w:rsidRPr="009636AC">
              <w:rPr>
                <w:sz w:val="22"/>
                <w:szCs w:val="22"/>
              </w:rPr>
              <w:t>(0,81-1,45)</w:t>
            </w:r>
          </w:p>
        </w:tc>
        <w:tc>
          <w:tcPr>
            <w:tcW w:w="753" w:type="pct"/>
            <w:tcBorders>
              <w:top w:val="single" w:sz="4" w:space="0" w:color="auto"/>
              <w:left w:val="single" w:sz="4" w:space="0" w:color="auto"/>
              <w:bottom w:val="single" w:sz="4" w:space="0" w:color="auto"/>
              <w:right w:val="single" w:sz="4" w:space="0" w:color="auto"/>
            </w:tcBorders>
            <w:hideMark/>
          </w:tcPr>
          <w:p w14:paraId="5D6F4152" w14:textId="77777777" w:rsidR="004444B7" w:rsidRPr="009636AC" w:rsidRDefault="004444B7" w:rsidP="005B0A8E">
            <w:pPr>
              <w:jc w:val="center"/>
              <w:rPr>
                <w:sz w:val="22"/>
                <w:szCs w:val="22"/>
              </w:rPr>
            </w:pPr>
            <w:r w:rsidRPr="009636AC">
              <w:rPr>
                <w:sz w:val="22"/>
                <w:szCs w:val="22"/>
              </w:rPr>
              <w:t>0,586</w:t>
            </w:r>
          </w:p>
        </w:tc>
      </w:tr>
      <w:tr w:rsidR="004444B7" w:rsidRPr="009636AC" w14:paraId="5E3214CC" w14:textId="77777777" w:rsidTr="00692610">
        <w:tc>
          <w:tcPr>
            <w:tcW w:w="1024" w:type="pct"/>
            <w:tcBorders>
              <w:top w:val="single" w:sz="4" w:space="0" w:color="auto"/>
              <w:left w:val="single" w:sz="4" w:space="0" w:color="auto"/>
              <w:bottom w:val="single" w:sz="4" w:space="0" w:color="auto"/>
              <w:right w:val="single" w:sz="4" w:space="0" w:color="auto"/>
            </w:tcBorders>
            <w:hideMark/>
          </w:tcPr>
          <w:p w14:paraId="316D1D02" w14:textId="77777777" w:rsidR="004444B7" w:rsidRPr="009636AC" w:rsidRDefault="004444B7">
            <w:pPr>
              <w:rPr>
                <w:sz w:val="22"/>
                <w:szCs w:val="22"/>
              </w:rPr>
            </w:pPr>
            <w:r w:rsidRPr="009636AC">
              <w:rPr>
                <w:sz w:val="22"/>
                <w:szCs w:val="22"/>
              </w:rPr>
              <w:t>Pladeepitelceller</w:t>
            </w:r>
          </w:p>
          <w:p w14:paraId="41FEA959" w14:textId="77777777" w:rsidR="004444B7" w:rsidRPr="009636AC" w:rsidRDefault="004444B7">
            <w:pPr>
              <w:rPr>
                <w:sz w:val="22"/>
                <w:szCs w:val="22"/>
              </w:rPr>
            </w:pPr>
            <w:r w:rsidRPr="009636AC">
              <w:rPr>
                <w:sz w:val="22"/>
                <w:szCs w:val="22"/>
              </w:rPr>
              <w:t>(n = 473)</w:t>
            </w:r>
          </w:p>
        </w:tc>
        <w:tc>
          <w:tcPr>
            <w:tcW w:w="678" w:type="pct"/>
            <w:tcBorders>
              <w:top w:val="single" w:sz="4" w:space="0" w:color="auto"/>
              <w:left w:val="single" w:sz="4" w:space="0" w:color="auto"/>
              <w:bottom w:val="single" w:sz="4" w:space="0" w:color="auto"/>
              <w:right w:val="single" w:sz="4" w:space="0" w:color="auto"/>
            </w:tcBorders>
            <w:hideMark/>
          </w:tcPr>
          <w:p w14:paraId="61B38A14" w14:textId="77777777" w:rsidR="004444B7" w:rsidRPr="009636AC" w:rsidRDefault="004444B7" w:rsidP="005B0A8E">
            <w:pPr>
              <w:jc w:val="center"/>
              <w:rPr>
                <w:sz w:val="22"/>
                <w:szCs w:val="22"/>
              </w:rPr>
            </w:pPr>
            <w:r w:rsidRPr="009636AC">
              <w:rPr>
                <w:sz w:val="22"/>
                <w:szCs w:val="22"/>
              </w:rPr>
              <w:t>9,4</w:t>
            </w:r>
          </w:p>
          <w:p w14:paraId="3FC51DCC" w14:textId="77777777" w:rsidR="004444B7" w:rsidRPr="009636AC" w:rsidRDefault="004444B7" w:rsidP="005B0A8E">
            <w:pPr>
              <w:jc w:val="center"/>
              <w:rPr>
                <w:sz w:val="22"/>
                <w:szCs w:val="22"/>
              </w:rPr>
            </w:pPr>
            <w:r w:rsidRPr="009636AC">
              <w:rPr>
                <w:sz w:val="22"/>
                <w:szCs w:val="22"/>
              </w:rPr>
              <w:t>(8,4-10,2)</w:t>
            </w:r>
          </w:p>
        </w:tc>
        <w:tc>
          <w:tcPr>
            <w:tcW w:w="575" w:type="pct"/>
            <w:tcBorders>
              <w:top w:val="single" w:sz="4" w:space="0" w:color="auto"/>
              <w:left w:val="single" w:sz="4" w:space="0" w:color="auto"/>
              <w:bottom w:val="single" w:sz="4" w:space="0" w:color="auto"/>
              <w:right w:val="single" w:sz="4" w:space="0" w:color="auto"/>
            </w:tcBorders>
            <w:hideMark/>
          </w:tcPr>
          <w:p w14:paraId="0814F09B" w14:textId="77777777" w:rsidR="004444B7" w:rsidRPr="009636AC" w:rsidRDefault="004444B7" w:rsidP="005B0A8E">
            <w:pPr>
              <w:rPr>
                <w:sz w:val="22"/>
                <w:szCs w:val="22"/>
              </w:rPr>
            </w:pPr>
            <w:r w:rsidRPr="009636AC">
              <w:rPr>
                <w:sz w:val="22"/>
                <w:szCs w:val="22"/>
              </w:rPr>
              <w:t>n = 244</w:t>
            </w:r>
          </w:p>
        </w:tc>
        <w:tc>
          <w:tcPr>
            <w:tcW w:w="700" w:type="pct"/>
            <w:tcBorders>
              <w:top w:val="single" w:sz="4" w:space="0" w:color="auto"/>
              <w:left w:val="single" w:sz="4" w:space="0" w:color="auto"/>
              <w:bottom w:val="single" w:sz="4" w:space="0" w:color="auto"/>
              <w:right w:val="single" w:sz="4" w:space="0" w:color="auto"/>
            </w:tcBorders>
            <w:hideMark/>
          </w:tcPr>
          <w:p w14:paraId="265F2774" w14:textId="77777777" w:rsidR="004444B7" w:rsidRPr="009636AC" w:rsidRDefault="004444B7" w:rsidP="005B0A8E">
            <w:pPr>
              <w:jc w:val="center"/>
              <w:rPr>
                <w:sz w:val="22"/>
                <w:szCs w:val="22"/>
              </w:rPr>
            </w:pPr>
            <w:r w:rsidRPr="009636AC">
              <w:rPr>
                <w:sz w:val="22"/>
                <w:szCs w:val="22"/>
              </w:rPr>
              <w:t>10,8</w:t>
            </w:r>
          </w:p>
          <w:p w14:paraId="2B794903" w14:textId="77777777" w:rsidR="004444B7" w:rsidRPr="009636AC" w:rsidRDefault="004444B7" w:rsidP="005B0A8E">
            <w:pPr>
              <w:jc w:val="center"/>
              <w:rPr>
                <w:sz w:val="22"/>
                <w:szCs w:val="22"/>
              </w:rPr>
            </w:pPr>
            <w:r w:rsidRPr="009636AC">
              <w:rPr>
                <w:sz w:val="22"/>
                <w:szCs w:val="22"/>
              </w:rPr>
              <w:t>(9,5-12,1)</w:t>
            </w:r>
          </w:p>
        </w:tc>
        <w:tc>
          <w:tcPr>
            <w:tcW w:w="555" w:type="pct"/>
            <w:tcBorders>
              <w:top w:val="single" w:sz="4" w:space="0" w:color="auto"/>
              <w:left w:val="single" w:sz="4" w:space="0" w:color="auto"/>
              <w:bottom w:val="single" w:sz="4" w:space="0" w:color="auto"/>
              <w:right w:val="single" w:sz="4" w:space="0" w:color="auto"/>
            </w:tcBorders>
            <w:hideMark/>
          </w:tcPr>
          <w:p w14:paraId="66F2B095" w14:textId="77777777" w:rsidR="004444B7" w:rsidRPr="009636AC" w:rsidRDefault="004444B7" w:rsidP="005B0A8E">
            <w:pPr>
              <w:rPr>
                <w:sz w:val="22"/>
                <w:szCs w:val="22"/>
              </w:rPr>
            </w:pPr>
            <w:r w:rsidRPr="009636AC">
              <w:rPr>
                <w:sz w:val="22"/>
                <w:szCs w:val="22"/>
              </w:rPr>
              <w:t>n = 229</w:t>
            </w:r>
          </w:p>
        </w:tc>
        <w:tc>
          <w:tcPr>
            <w:tcW w:w="715" w:type="pct"/>
            <w:tcBorders>
              <w:top w:val="single" w:sz="4" w:space="0" w:color="auto"/>
              <w:left w:val="single" w:sz="4" w:space="0" w:color="auto"/>
              <w:bottom w:val="single" w:sz="4" w:space="0" w:color="auto"/>
              <w:right w:val="single" w:sz="4" w:space="0" w:color="auto"/>
            </w:tcBorders>
            <w:hideMark/>
          </w:tcPr>
          <w:p w14:paraId="076D42B0" w14:textId="77777777" w:rsidR="004444B7" w:rsidRPr="009636AC" w:rsidRDefault="004444B7" w:rsidP="005B0A8E">
            <w:pPr>
              <w:jc w:val="center"/>
              <w:rPr>
                <w:sz w:val="22"/>
                <w:szCs w:val="22"/>
              </w:rPr>
            </w:pPr>
            <w:r w:rsidRPr="009636AC">
              <w:rPr>
                <w:sz w:val="22"/>
                <w:szCs w:val="22"/>
              </w:rPr>
              <w:t>1,23</w:t>
            </w:r>
          </w:p>
          <w:p w14:paraId="05A40566" w14:textId="77777777" w:rsidR="004444B7" w:rsidRPr="009636AC" w:rsidRDefault="004444B7" w:rsidP="005B0A8E">
            <w:pPr>
              <w:jc w:val="center"/>
              <w:rPr>
                <w:sz w:val="22"/>
                <w:szCs w:val="22"/>
              </w:rPr>
            </w:pPr>
            <w:r w:rsidRPr="009636AC">
              <w:rPr>
                <w:sz w:val="22"/>
                <w:szCs w:val="22"/>
              </w:rPr>
              <w:t>(1,00-1,51)</w:t>
            </w:r>
          </w:p>
        </w:tc>
        <w:tc>
          <w:tcPr>
            <w:tcW w:w="753" w:type="pct"/>
            <w:tcBorders>
              <w:top w:val="single" w:sz="4" w:space="0" w:color="auto"/>
              <w:left w:val="single" w:sz="4" w:space="0" w:color="auto"/>
              <w:bottom w:val="single" w:sz="4" w:space="0" w:color="auto"/>
              <w:right w:val="single" w:sz="4" w:space="0" w:color="auto"/>
            </w:tcBorders>
            <w:hideMark/>
          </w:tcPr>
          <w:p w14:paraId="006FDB06" w14:textId="77777777" w:rsidR="004444B7" w:rsidRPr="009636AC" w:rsidRDefault="004444B7" w:rsidP="005B0A8E">
            <w:pPr>
              <w:jc w:val="center"/>
              <w:rPr>
                <w:sz w:val="22"/>
                <w:szCs w:val="22"/>
              </w:rPr>
            </w:pPr>
            <w:r w:rsidRPr="009636AC">
              <w:rPr>
                <w:sz w:val="22"/>
                <w:szCs w:val="22"/>
              </w:rPr>
              <w:t>0,050</w:t>
            </w:r>
          </w:p>
        </w:tc>
      </w:tr>
    </w:tbl>
    <w:p w14:paraId="4254C8FA" w14:textId="77777777" w:rsidR="004444B7" w:rsidRPr="009636AC" w:rsidRDefault="004444B7" w:rsidP="004444B7">
      <w:pPr>
        <w:autoSpaceDE w:val="0"/>
        <w:autoSpaceDN w:val="0"/>
        <w:adjustRightInd w:val="0"/>
        <w:rPr>
          <w:sz w:val="20"/>
          <w:lang w:eastAsia="da-DK"/>
        </w:rPr>
      </w:pPr>
      <w:r w:rsidRPr="009636AC">
        <w:rPr>
          <w:sz w:val="20"/>
          <w:lang w:eastAsia="da-DK"/>
        </w:rPr>
        <w:t>Forkortelser: CI = konfidensinterval; ITT = intent-to-treat; n = samlet populationsstørrelse.</w:t>
      </w:r>
    </w:p>
    <w:p w14:paraId="49AEEF38" w14:textId="77777777" w:rsidR="004444B7" w:rsidRPr="009636AC" w:rsidRDefault="004444B7" w:rsidP="004444B7">
      <w:pPr>
        <w:autoSpaceDE w:val="0"/>
        <w:autoSpaceDN w:val="0"/>
        <w:adjustRightInd w:val="0"/>
        <w:ind w:left="284" w:hanging="284"/>
        <w:rPr>
          <w:sz w:val="20"/>
          <w:lang w:eastAsia="da-DK"/>
        </w:rPr>
      </w:pPr>
      <w:r w:rsidRPr="009636AC">
        <w:rPr>
          <w:sz w:val="20"/>
          <w:vertAlign w:val="superscript"/>
          <w:lang w:eastAsia="da-DK"/>
        </w:rPr>
        <w:t>a</w:t>
      </w:r>
      <w:r w:rsidRPr="009636AC">
        <w:rPr>
          <w:sz w:val="20"/>
          <w:vertAlign w:val="superscript"/>
          <w:lang w:eastAsia="da-DK"/>
        </w:rPr>
        <w:tab/>
      </w:r>
      <w:r w:rsidRPr="009636AC">
        <w:rPr>
          <w:sz w:val="20"/>
          <w:lang w:eastAsia="da-DK"/>
        </w:rPr>
        <w:t>Statistisk signifikans for non-inferioritet med hele konfidensintervallet for HR pænt under 1,17645 for non-inferioritet-margin (p &lt;0,001).</w:t>
      </w:r>
    </w:p>
    <w:p w14:paraId="571C0D5C" w14:textId="77777777" w:rsidR="004444B7" w:rsidRPr="009636AC" w:rsidRDefault="004444B7" w:rsidP="004444B7">
      <w:pPr>
        <w:rPr>
          <w:sz w:val="24"/>
          <w:szCs w:val="24"/>
          <w:lang w:eastAsia="da-DK"/>
        </w:rPr>
      </w:pPr>
    </w:p>
    <w:p w14:paraId="6A397057" w14:textId="77777777" w:rsidR="004444B7" w:rsidRPr="009636AC" w:rsidRDefault="004444B7" w:rsidP="004444B7">
      <w:pPr>
        <w:suppressAutoHyphens/>
        <w:rPr>
          <w:sz w:val="24"/>
          <w:szCs w:val="24"/>
          <w:lang w:eastAsia="da-DK"/>
        </w:rPr>
      </w:pPr>
    </w:p>
    <w:p w14:paraId="3897A55A" w14:textId="77777777" w:rsidR="004444B7" w:rsidRPr="009636AC" w:rsidRDefault="004444B7" w:rsidP="00692610">
      <w:pPr>
        <w:keepNext/>
        <w:jc w:val="center"/>
        <w:rPr>
          <w:b/>
          <w:bCs/>
          <w:sz w:val="24"/>
          <w:szCs w:val="24"/>
          <w:lang w:eastAsia="en-GB"/>
        </w:rPr>
      </w:pPr>
      <w:r w:rsidRPr="009636AC">
        <w:rPr>
          <w:b/>
          <w:bCs/>
          <w:sz w:val="24"/>
          <w:szCs w:val="24"/>
          <w:lang w:eastAsia="en-GB"/>
        </w:rPr>
        <w:lastRenderedPageBreak/>
        <w:t>Kaplan Meier kurver over overlevelse (OS, overall survival) efter histologi</w:t>
      </w:r>
    </w:p>
    <w:p w14:paraId="2CAF4F2E" w14:textId="77777777" w:rsidR="004444B7" w:rsidRPr="009636AC" w:rsidRDefault="004444B7" w:rsidP="00692610">
      <w:pPr>
        <w:keepNext/>
        <w:ind w:left="851"/>
        <w:rPr>
          <w:b/>
          <w:sz w:val="24"/>
          <w:szCs w:val="24"/>
        </w:rPr>
      </w:pPr>
    </w:p>
    <w:p w14:paraId="5C7D5740" w14:textId="4DEBDE4D" w:rsidR="004444B7" w:rsidRPr="009636AC" w:rsidRDefault="004444B7" w:rsidP="00692610">
      <w:pPr>
        <w:keepNext/>
        <w:ind w:left="851" w:hanging="851"/>
        <w:jc w:val="center"/>
        <w:rPr>
          <w:sz w:val="24"/>
          <w:szCs w:val="24"/>
        </w:rPr>
      </w:pPr>
      <w:r w:rsidRPr="009636AC">
        <w:rPr>
          <w:noProof/>
          <w:sz w:val="24"/>
          <w:szCs w:val="24"/>
        </w:rPr>
        <w:drawing>
          <wp:inline distT="0" distB="0" distL="0" distR="0" wp14:anchorId="3B75E1F5" wp14:editId="4FECE3CC">
            <wp:extent cx="5888990" cy="2186940"/>
            <wp:effectExtent l="0" t="0" r="0" b="381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8990" cy="2186940"/>
                    </a:xfrm>
                    <a:prstGeom prst="rect">
                      <a:avLst/>
                    </a:prstGeom>
                    <a:noFill/>
                    <a:ln>
                      <a:noFill/>
                    </a:ln>
                  </pic:spPr>
                </pic:pic>
              </a:graphicData>
            </a:graphic>
          </wp:inline>
        </w:drawing>
      </w:r>
    </w:p>
    <w:p w14:paraId="4F890D4A" w14:textId="77777777" w:rsidR="004444B7" w:rsidRPr="009636AC" w:rsidRDefault="004444B7" w:rsidP="00692610">
      <w:pPr>
        <w:keepNext/>
        <w:tabs>
          <w:tab w:val="left" w:pos="1985"/>
        </w:tabs>
        <w:ind w:left="926"/>
        <w:rPr>
          <w:sz w:val="24"/>
          <w:szCs w:val="24"/>
        </w:rPr>
      </w:pPr>
      <w:r w:rsidRPr="009636AC">
        <w:rPr>
          <w:w w:val="105"/>
          <w:sz w:val="24"/>
          <w:szCs w:val="24"/>
        </w:rPr>
        <w:tab/>
        <w:t>AC=Pemetrexed+Cisplatin</w:t>
      </w:r>
    </w:p>
    <w:p w14:paraId="57CF9DF5" w14:textId="77777777" w:rsidR="004444B7" w:rsidRPr="009636AC" w:rsidRDefault="004444B7" w:rsidP="004444B7">
      <w:pPr>
        <w:autoSpaceDE w:val="0"/>
        <w:autoSpaceDN w:val="0"/>
        <w:adjustRightInd w:val="0"/>
        <w:ind w:left="851"/>
        <w:rPr>
          <w:sz w:val="24"/>
          <w:szCs w:val="24"/>
          <w:lang w:eastAsia="da-DK"/>
        </w:rPr>
      </w:pPr>
    </w:p>
    <w:p w14:paraId="52EBA42F" w14:textId="77777777" w:rsidR="004444B7" w:rsidRPr="009636AC" w:rsidRDefault="004444B7" w:rsidP="009C7FBF">
      <w:pPr>
        <w:ind w:left="851"/>
        <w:rPr>
          <w:sz w:val="24"/>
          <w:szCs w:val="24"/>
          <w:lang w:eastAsia="da-DK"/>
        </w:rPr>
      </w:pPr>
      <w:r w:rsidRPr="009636AC">
        <w:rPr>
          <w:sz w:val="24"/>
          <w:szCs w:val="24"/>
          <w:lang w:eastAsia="da-DK"/>
        </w:rPr>
        <w:t>Der blev ikke set klinisk relevante forskelle i sikkerhedsprofilen for pemetrexed plus cisplatin inden for de histologiske undergrupper.</w:t>
      </w:r>
    </w:p>
    <w:p w14:paraId="3506734B" w14:textId="760E134D" w:rsidR="004444B7" w:rsidRPr="009636AC" w:rsidRDefault="004444B7" w:rsidP="009C7FBF">
      <w:pPr>
        <w:ind w:left="851"/>
        <w:rPr>
          <w:sz w:val="24"/>
          <w:szCs w:val="24"/>
          <w:lang w:eastAsia="da-DK"/>
        </w:rPr>
      </w:pPr>
      <w:r w:rsidRPr="009636AC">
        <w:rPr>
          <w:sz w:val="24"/>
          <w:szCs w:val="24"/>
          <w:lang w:eastAsia="da-DK"/>
        </w:rPr>
        <w:t>Patienter, der blev behandlet med pemetrexed og cisplatin, havde brug for færre transfusioner (16,4 % mod 28,9 %; p&lt;0,001), transfusioner af røde blodlegemer (16,1 % mod 27,3</w:t>
      </w:r>
      <w:r w:rsidR="007905FB">
        <w:rPr>
          <w:sz w:val="24"/>
          <w:szCs w:val="24"/>
          <w:lang w:eastAsia="da-DK"/>
        </w:rPr>
        <w:t> </w:t>
      </w:r>
      <w:r w:rsidRPr="009636AC">
        <w:rPr>
          <w:sz w:val="24"/>
          <w:szCs w:val="24"/>
          <w:lang w:eastAsia="da-DK"/>
        </w:rPr>
        <w:t>%; p&lt;0,001) og blodpladetransfusioner (1,8 % mod 4,2 %; p=0,002). Patienterne behøvede ligeledes mindre erythropoietin/darbopoietin (10,4 % mod 18,1 %, p&lt;0,001), G-CSF/GM-CSF (3,1 % mod 6,1 %; p=0,004) og midler med jern (4,3 5 mod 7,0 %; p=0,021).</w:t>
      </w:r>
    </w:p>
    <w:p w14:paraId="5381E461" w14:textId="77777777" w:rsidR="004444B7" w:rsidRPr="009636AC" w:rsidRDefault="004444B7" w:rsidP="009C7FBF">
      <w:pPr>
        <w:ind w:left="851"/>
        <w:rPr>
          <w:sz w:val="24"/>
          <w:szCs w:val="24"/>
          <w:lang w:eastAsia="da-DK"/>
        </w:rPr>
      </w:pPr>
    </w:p>
    <w:p w14:paraId="392338CD" w14:textId="77777777" w:rsidR="004444B7" w:rsidRPr="009636AC" w:rsidRDefault="004444B7" w:rsidP="009C7FBF">
      <w:pPr>
        <w:ind w:left="851"/>
        <w:rPr>
          <w:bCs/>
          <w:i/>
          <w:sz w:val="24"/>
          <w:szCs w:val="24"/>
        </w:rPr>
      </w:pPr>
      <w:r w:rsidRPr="009636AC">
        <w:rPr>
          <w:i/>
          <w:sz w:val="24"/>
          <w:szCs w:val="24"/>
          <w:lang w:eastAsia="en-GB"/>
        </w:rPr>
        <w:t>NSCLC, vedligeholdelsesbehandling</w:t>
      </w:r>
    </w:p>
    <w:p w14:paraId="1746E8F7" w14:textId="77777777" w:rsidR="004444B7" w:rsidRPr="009636AC" w:rsidRDefault="004444B7" w:rsidP="009C7FBF">
      <w:pPr>
        <w:ind w:left="851"/>
        <w:rPr>
          <w:bCs/>
          <w:i/>
          <w:iCs/>
          <w:sz w:val="24"/>
          <w:szCs w:val="24"/>
          <w:u w:val="single"/>
        </w:rPr>
      </w:pPr>
      <w:r w:rsidRPr="009636AC">
        <w:rPr>
          <w:bCs/>
          <w:i/>
          <w:iCs/>
          <w:sz w:val="24"/>
          <w:szCs w:val="24"/>
          <w:u w:val="single"/>
        </w:rPr>
        <w:t>JMEN</w:t>
      </w:r>
    </w:p>
    <w:p w14:paraId="16641311" w14:textId="77777777" w:rsidR="004444B7" w:rsidRPr="009636AC" w:rsidRDefault="004444B7" w:rsidP="009C7FBF">
      <w:pPr>
        <w:ind w:left="851"/>
        <w:rPr>
          <w:bCs/>
          <w:sz w:val="24"/>
          <w:szCs w:val="24"/>
        </w:rPr>
      </w:pPr>
      <w:r w:rsidRPr="009636AC">
        <w:rPr>
          <w:bCs/>
          <w:sz w:val="24"/>
          <w:szCs w:val="24"/>
        </w:rPr>
        <w:t>Et randomiseret, dobbeltblindt, placebokontrolleret fase 3-multicenterstudie (JMEN) sammenlignede virkning og sikkerhed af vedligeholdelsesbehandling med pemetrexed plus bedste understøttende pleje (BSC) (n = 441) med placebo plus BSC (n = 222) hos patienter med lokalt fremskreden (trin IIIB) eller metastatisk (trin IV) ikke-småcellet lungecancer (NSCLC), som ikke fik bedring efter 4 serier med 1. linje-dubletbehandling bestående af cisplatin eller carboplatin sammen med gemcitabin, paclitaxel eller docetaxel. 1. linje-dubletbehandling inkluderende pemetrexed blev ikke inkluderet. Alle patienter, som var inkluderet i dette studie, havde en ECOG performancestatus på 0 eller 1. Patienterne fik vedligeholdelsesbehandling indtil sygdomsprogression. Virkning og sikkerhed blev målt fra tidspunktet for randomisering efter gennemført 1. linje-(induktions) behandling. Patienterne fik i gennemsnit 5 serier vedligeholdelsesbehandling af pemetrexed og 3,5 serier af placebo. I alt gennemførte 213 (48,3 %) patienter ≥ 6 serier og i alt 103 (23,4 %) ≥10 serier med pemetrexed.</w:t>
      </w:r>
    </w:p>
    <w:p w14:paraId="183C23A8" w14:textId="77777777" w:rsidR="004444B7" w:rsidRPr="009636AC" w:rsidRDefault="004444B7" w:rsidP="009C7FBF">
      <w:pPr>
        <w:ind w:left="851"/>
        <w:rPr>
          <w:sz w:val="24"/>
          <w:szCs w:val="24"/>
          <w:lang w:eastAsia="da-DK"/>
        </w:rPr>
      </w:pPr>
    </w:p>
    <w:p w14:paraId="5630AB83" w14:textId="77777777" w:rsidR="004444B7" w:rsidRPr="009636AC" w:rsidRDefault="004444B7" w:rsidP="009C7FBF">
      <w:pPr>
        <w:ind w:left="851"/>
        <w:rPr>
          <w:sz w:val="24"/>
          <w:szCs w:val="24"/>
          <w:lang w:eastAsia="da-DK"/>
        </w:rPr>
      </w:pPr>
      <w:r w:rsidRPr="009636AC">
        <w:rPr>
          <w:sz w:val="24"/>
          <w:szCs w:val="24"/>
          <w:lang w:eastAsia="da-DK"/>
        </w:rPr>
        <w:t>Studiet mødte dets primære endepunkt og viste statistisk signifikant forbedring i PFS i pemetrexed-delen i forhold til placebodelen (n = 581, en uafhængig overvåget population, gennemsnit på henholdsvis 4 måneder og 2 måneder) (hazard ratio = 0,60, 95 % CI = 0,49-0,73; p &lt; 0,00001). Den uafhængige undersøgelse af patientscanninger bekræftede PFS fundene som fastslået af investigator. Den gennemsnitlige overlevelse (OS, overall survival) for den totale population (n = 663) var 13,4 måneder for pemetrexed-delen og 10,6 måneder for placebodelen, hazard ratio = 0,79 (95 % CI = 0,65- 0,95; p = 0,01192).</w:t>
      </w:r>
    </w:p>
    <w:p w14:paraId="2430A55F" w14:textId="77777777" w:rsidR="004444B7" w:rsidRPr="009636AC" w:rsidRDefault="004444B7" w:rsidP="009C7FBF">
      <w:pPr>
        <w:ind w:left="851"/>
        <w:rPr>
          <w:sz w:val="24"/>
          <w:szCs w:val="24"/>
          <w:lang w:eastAsia="da-DK"/>
        </w:rPr>
      </w:pPr>
    </w:p>
    <w:p w14:paraId="7944ECBF" w14:textId="1FB68ECA" w:rsidR="004444B7" w:rsidRPr="009636AC" w:rsidRDefault="004444B7" w:rsidP="009C7FBF">
      <w:pPr>
        <w:ind w:left="851"/>
        <w:rPr>
          <w:sz w:val="24"/>
          <w:szCs w:val="24"/>
          <w:lang w:eastAsia="da-DK"/>
        </w:rPr>
      </w:pPr>
      <w:r w:rsidRPr="009636AC">
        <w:rPr>
          <w:sz w:val="24"/>
          <w:szCs w:val="24"/>
          <w:lang w:eastAsia="da-DK"/>
        </w:rPr>
        <w:t>I lighed med andre studier med pemetrexed blev der i JMEN set en forskel i virkning i overensstemmelse med NSCLC</w:t>
      </w:r>
      <w:r w:rsidR="00FE0C22">
        <w:rPr>
          <w:sz w:val="24"/>
          <w:szCs w:val="24"/>
          <w:lang w:eastAsia="da-DK"/>
        </w:rPr>
        <w:t>'</w:t>
      </w:r>
      <w:r w:rsidRPr="009636AC">
        <w:rPr>
          <w:sz w:val="24"/>
          <w:szCs w:val="24"/>
          <w:lang w:eastAsia="da-DK"/>
        </w:rPr>
        <w:t xml:space="preserve">s histologi. For patienter med NSCLC bortset fra cancer </w:t>
      </w:r>
      <w:r w:rsidRPr="009636AC">
        <w:rPr>
          <w:sz w:val="24"/>
          <w:szCs w:val="24"/>
          <w:lang w:eastAsia="da-DK"/>
        </w:rPr>
        <w:lastRenderedPageBreak/>
        <w:t>hovedsageligt bestående af pladeepitelceller (n = 430, uafhængig overvåget population) var middel PFS 4,4 måneder for pemetrexed-delen og 1,8 måneder for placebodelen, hazard ratio = 0,47, 95 % CI = 0,37-0,60; p=0,00001. Den gennemsnitlige OS for patienter med NSCLC bortset fra cancer hovedsageligt bestående af pladeepitelceller (n = 481) var 15,5 måneder for pemetrexed-delen og 10,3 måneder for placebo-armen (hazard ratio = 0,70, 95 % CI = 0,56 – 0,88, p = 0,002). Ved at inkludere induktionsfasen blev middel OS for patienter med NSCLC bortset fra cancer hovedsageligt bestående af pladeepitelceller 18,6 måneder for pemetrexed-delen og 13,6 måneder for placebodelen (hazard ratio=0,71, 95 % CI = 0,56 – 0,88, p=0,002).</w:t>
      </w:r>
    </w:p>
    <w:p w14:paraId="643B6747" w14:textId="77777777" w:rsidR="004444B7" w:rsidRPr="009636AC" w:rsidRDefault="004444B7" w:rsidP="009C7FBF">
      <w:pPr>
        <w:ind w:left="851"/>
        <w:rPr>
          <w:sz w:val="24"/>
          <w:szCs w:val="24"/>
          <w:lang w:eastAsia="da-DK"/>
        </w:rPr>
      </w:pPr>
    </w:p>
    <w:p w14:paraId="55F5ED6D" w14:textId="77777777" w:rsidR="004444B7" w:rsidRPr="009636AC" w:rsidRDefault="004444B7" w:rsidP="009C7FBF">
      <w:pPr>
        <w:ind w:left="851"/>
        <w:rPr>
          <w:sz w:val="24"/>
          <w:szCs w:val="24"/>
          <w:lang w:eastAsia="da-DK"/>
        </w:rPr>
      </w:pPr>
      <w:r w:rsidRPr="009636AC">
        <w:rPr>
          <w:sz w:val="24"/>
          <w:szCs w:val="24"/>
          <w:lang w:eastAsia="da-DK"/>
        </w:rPr>
        <w:t>PFS og OS resultaterne hos patienter med pladecellehistologi tydede ikke på nogen fordel for pemetrexed i forhold til placebo.</w:t>
      </w:r>
    </w:p>
    <w:p w14:paraId="56A2583F" w14:textId="77777777" w:rsidR="004444B7" w:rsidRPr="009636AC" w:rsidRDefault="004444B7" w:rsidP="009C7FBF">
      <w:pPr>
        <w:ind w:left="851"/>
        <w:rPr>
          <w:sz w:val="24"/>
          <w:szCs w:val="24"/>
          <w:lang w:eastAsia="da-DK"/>
        </w:rPr>
      </w:pPr>
    </w:p>
    <w:p w14:paraId="2D204713" w14:textId="77777777" w:rsidR="004444B7" w:rsidRPr="009636AC" w:rsidRDefault="004444B7" w:rsidP="009C7FBF">
      <w:pPr>
        <w:ind w:left="851"/>
        <w:rPr>
          <w:sz w:val="24"/>
          <w:szCs w:val="24"/>
          <w:lang w:eastAsia="da-DK"/>
        </w:rPr>
      </w:pPr>
      <w:r w:rsidRPr="009636AC">
        <w:rPr>
          <w:sz w:val="24"/>
          <w:szCs w:val="24"/>
          <w:lang w:eastAsia="da-DK"/>
        </w:rPr>
        <w:t>Der blev ikke set nogen klinisk relevante forskelle i sikkerhedsprofilen for pemetrexed inden for de histologiske undergrupper.</w:t>
      </w:r>
    </w:p>
    <w:p w14:paraId="4A5363BE" w14:textId="77777777" w:rsidR="004444B7" w:rsidRPr="009636AC" w:rsidRDefault="004444B7" w:rsidP="009C7FBF">
      <w:pPr>
        <w:ind w:left="851"/>
        <w:rPr>
          <w:bCs/>
          <w:sz w:val="24"/>
          <w:szCs w:val="24"/>
        </w:rPr>
      </w:pPr>
    </w:p>
    <w:p w14:paraId="7C264091" w14:textId="77777777" w:rsidR="004444B7" w:rsidRPr="009636AC" w:rsidRDefault="004444B7" w:rsidP="009C7FBF">
      <w:pPr>
        <w:ind w:left="851"/>
        <w:rPr>
          <w:sz w:val="24"/>
          <w:szCs w:val="24"/>
          <w:lang w:eastAsia="en-GB"/>
        </w:rPr>
      </w:pPr>
      <w:r w:rsidRPr="009636AC">
        <w:rPr>
          <w:sz w:val="24"/>
          <w:szCs w:val="24"/>
          <w:lang w:eastAsia="en-GB"/>
        </w:rPr>
        <w:t xml:space="preserve">JMEN: Kaplan Meier-kurver for progressionsfri overlevelse (PFS) og total overlevelse (OS). Pemetrexed </w:t>
      </w:r>
      <w:r w:rsidRPr="009636AC">
        <w:rPr>
          <w:i/>
          <w:sz w:val="24"/>
          <w:szCs w:val="24"/>
          <w:lang w:eastAsia="en-GB"/>
        </w:rPr>
        <w:t>versus</w:t>
      </w:r>
      <w:r w:rsidRPr="009636AC">
        <w:rPr>
          <w:sz w:val="24"/>
          <w:szCs w:val="24"/>
          <w:lang w:eastAsia="en-GB"/>
        </w:rPr>
        <w:t xml:space="preserve"> placebo hos patienter med NSCLC, bortset fra cancer hovedsageligt bestående af pladeepitelceller</w:t>
      </w:r>
    </w:p>
    <w:p w14:paraId="628804FE" w14:textId="77777777" w:rsidR="004444B7" w:rsidRPr="009636AC" w:rsidRDefault="004444B7" w:rsidP="009C7FBF">
      <w:pPr>
        <w:ind w:left="851"/>
        <w:rPr>
          <w:bCs/>
          <w:sz w:val="24"/>
          <w:szCs w:val="24"/>
          <w:lang w:eastAsia="en-GB"/>
        </w:rPr>
      </w:pPr>
    </w:p>
    <w:p w14:paraId="17346A1B" w14:textId="77777777" w:rsidR="004444B7" w:rsidRPr="009636AC" w:rsidRDefault="004444B7" w:rsidP="00CC07F7">
      <w:pPr>
        <w:keepNext/>
        <w:tabs>
          <w:tab w:val="left" w:pos="5387"/>
        </w:tabs>
        <w:autoSpaceDE w:val="0"/>
        <w:autoSpaceDN w:val="0"/>
        <w:adjustRightInd w:val="0"/>
        <w:ind w:left="851"/>
        <w:rPr>
          <w:sz w:val="24"/>
          <w:szCs w:val="24"/>
        </w:rPr>
      </w:pPr>
      <w:r w:rsidRPr="009636AC">
        <w:rPr>
          <w:sz w:val="24"/>
          <w:szCs w:val="24"/>
        </w:rPr>
        <w:t xml:space="preserve">Progressionsfri overlevelse </w:t>
      </w:r>
      <w:r w:rsidRPr="009636AC">
        <w:rPr>
          <w:sz w:val="24"/>
          <w:szCs w:val="24"/>
        </w:rPr>
        <w:tab/>
        <w:t>Total overlevelse (OS)</w:t>
      </w:r>
    </w:p>
    <w:p w14:paraId="50D73B84" w14:textId="5D6ABECA" w:rsidR="004444B7" w:rsidRPr="009636AC" w:rsidRDefault="004444B7" w:rsidP="00CC07F7">
      <w:pPr>
        <w:keepNext/>
        <w:autoSpaceDE w:val="0"/>
        <w:autoSpaceDN w:val="0"/>
        <w:adjustRightInd w:val="0"/>
        <w:ind w:left="851"/>
        <w:rPr>
          <w:sz w:val="24"/>
          <w:szCs w:val="24"/>
        </w:rPr>
      </w:pPr>
      <w:r w:rsidRPr="009636AC">
        <w:rPr>
          <w:noProof/>
          <w:sz w:val="24"/>
          <w:szCs w:val="24"/>
        </w:rPr>
        <w:drawing>
          <wp:inline distT="0" distB="0" distL="0" distR="0" wp14:anchorId="346A423B" wp14:editId="2CDAB551">
            <wp:extent cx="2399665" cy="1550670"/>
            <wp:effectExtent l="0" t="0" r="63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9665" cy="1550670"/>
                    </a:xfrm>
                    <a:prstGeom prst="rect">
                      <a:avLst/>
                    </a:prstGeom>
                    <a:noFill/>
                    <a:ln>
                      <a:noFill/>
                    </a:ln>
                  </pic:spPr>
                </pic:pic>
              </a:graphicData>
            </a:graphic>
          </wp:inline>
        </w:drawing>
      </w:r>
      <w:r w:rsidRPr="009636AC">
        <w:rPr>
          <w:noProof/>
          <w:sz w:val="24"/>
          <w:szCs w:val="24"/>
        </w:rPr>
        <w:drawing>
          <wp:inline distT="0" distB="0" distL="0" distR="0" wp14:anchorId="6B7B9D2F" wp14:editId="5FFD95E8">
            <wp:extent cx="2406650" cy="154368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6650" cy="1543685"/>
                    </a:xfrm>
                    <a:prstGeom prst="rect">
                      <a:avLst/>
                    </a:prstGeom>
                    <a:noFill/>
                    <a:ln>
                      <a:noFill/>
                    </a:ln>
                  </pic:spPr>
                </pic:pic>
              </a:graphicData>
            </a:graphic>
          </wp:inline>
        </w:drawing>
      </w:r>
    </w:p>
    <w:p w14:paraId="6C130926" w14:textId="77777777" w:rsidR="004444B7" w:rsidRPr="009636AC" w:rsidRDefault="004444B7" w:rsidP="00CC07F7">
      <w:pPr>
        <w:keepNext/>
        <w:tabs>
          <w:tab w:val="left" w:pos="5387"/>
        </w:tabs>
        <w:autoSpaceDE w:val="0"/>
        <w:autoSpaceDN w:val="0"/>
        <w:adjustRightInd w:val="0"/>
        <w:ind w:left="851"/>
        <w:rPr>
          <w:sz w:val="24"/>
          <w:szCs w:val="24"/>
        </w:rPr>
      </w:pPr>
      <w:r w:rsidRPr="009636AC">
        <w:rPr>
          <w:sz w:val="24"/>
          <w:szCs w:val="24"/>
        </w:rPr>
        <w:t xml:space="preserve">Progressionsfri periode (måneder) </w:t>
      </w:r>
      <w:r w:rsidRPr="009636AC">
        <w:rPr>
          <w:sz w:val="24"/>
          <w:szCs w:val="24"/>
        </w:rPr>
        <w:tab/>
        <w:t>Overlevelsesperiode (måneder)</w:t>
      </w:r>
    </w:p>
    <w:p w14:paraId="3152DA9C" w14:textId="77777777" w:rsidR="004444B7" w:rsidRPr="009636AC" w:rsidRDefault="004444B7" w:rsidP="004444B7">
      <w:pPr>
        <w:autoSpaceDE w:val="0"/>
        <w:autoSpaceDN w:val="0"/>
        <w:adjustRightInd w:val="0"/>
        <w:ind w:left="851"/>
        <w:rPr>
          <w:sz w:val="24"/>
          <w:szCs w:val="24"/>
        </w:rPr>
      </w:pPr>
    </w:p>
    <w:p w14:paraId="52996A69" w14:textId="77777777" w:rsidR="004444B7" w:rsidRPr="009636AC" w:rsidRDefault="004444B7" w:rsidP="009C7FBF">
      <w:pPr>
        <w:ind w:left="851"/>
        <w:rPr>
          <w:sz w:val="24"/>
          <w:szCs w:val="24"/>
          <w:u w:val="single"/>
          <w:lang w:eastAsia="da-DK"/>
        </w:rPr>
      </w:pPr>
      <w:r w:rsidRPr="009636AC">
        <w:rPr>
          <w:sz w:val="24"/>
          <w:szCs w:val="24"/>
          <w:u w:val="single"/>
          <w:lang w:eastAsia="da-DK"/>
        </w:rPr>
        <w:t>PARAMOUNT</w:t>
      </w:r>
    </w:p>
    <w:p w14:paraId="629432E2" w14:textId="77777777" w:rsidR="004444B7" w:rsidRPr="009636AC" w:rsidRDefault="004444B7" w:rsidP="009C7FBF">
      <w:pPr>
        <w:ind w:left="851"/>
        <w:rPr>
          <w:sz w:val="24"/>
          <w:szCs w:val="24"/>
          <w:lang w:eastAsia="da-DK"/>
        </w:rPr>
      </w:pPr>
      <w:r w:rsidRPr="009636AC">
        <w:rPr>
          <w:sz w:val="24"/>
          <w:szCs w:val="24"/>
          <w:lang w:eastAsia="da-DK"/>
        </w:rPr>
        <w:t>Et multi-center, randomiseret, dobbeltblindet, placebokontrolleret fase 3-studie (PARAMOUNT) sammenlignede virkningen og sikkerheden af fortsat vedligeholdelses</w:t>
      </w:r>
      <w:r w:rsidRPr="009636AC">
        <w:rPr>
          <w:sz w:val="24"/>
          <w:szCs w:val="24"/>
          <w:lang w:eastAsia="da-DK"/>
        </w:rPr>
        <w:softHyphen/>
        <w:t xml:space="preserve">behandling med pemetrexed plus bedste understøttende pleje (BSC, Best Supportive Care) (n=359) med placebo plus BSC (n=180) hos patienter med lokalt fremskreden (stadium IIIB) eller metastaserende (stadium IV) ikke-småcellet lungecancer (NSCLC) bortset fra cancer hovedsageligt bestående af pladeepitelceller, som ikke progredierede efter 4 serier med 1. linje-dubletbehandling bestående af pemetrexed i kombination med cisplatin. Ud af de 939 patienter, som blev behandlet med pemetrexed og cisplatin i induktionsfasen, blev 539 patienter randomiseret til vedligeholdelsesbehandling med pemetrexed eller placebo. 44,9 % af de randomiserede patienter havde komplet/partielt respons, og 51,9 % af de randomiserede patienter havde respons i form af stabil sygdom på pemetrexed og cislatin induktionsbehandling. De patienter, som blev randomiseret til vedligeholdelsesbehandling, skulle have en ECOG performancestatus på 0 eller 1. Median-tiden fra start af pemetrexed og cisplatin-induktionsbehandling til start af vedligeholdelsesbehandling var 2,96 måneder i både pemetrexed- og placeboarmen. De randomiserede patienter fik vedligeholdelsesbehandling indtil sygdomsprogression. Virkning og sikkerhed blev målt fra randomiseringstidspunktet efter fuldførelse af 1. linje-behandlingen (induktionsbehandlingen). Median var 4 serier af vedligeholdelsesbehandling med pemetrexed og 4 serier med placebo. I alt </w:t>
      </w:r>
      <w:r w:rsidRPr="009636AC">
        <w:rPr>
          <w:sz w:val="24"/>
          <w:szCs w:val="24"/>
          <w:lang w:eastAsia="da-DK"/>
        </w:rPr>
        <w:lastRenderedPageBreak/>
        <w:t>fuldførte 169 patienter (47,1 %) ≥ 6 serier af vedligeholdelsesbehandlingen med pemetrexed, hvilket svarer til mindst 10 komplette serier pemetrexed.</w:t>
      </w:r>
    </w:p>
    <w:p w14:paraId="6A70E1CA" w14:textId="77777777" w:rsidR="004444B7" w:rsidRPr="009636AC" w:rsidRDefault="004444B7" w:rsidP="009C7FBF">
      <w:pPr>
        <w:ind w:left="851"/>
        <w:rPr>
          <w:sz w:val="24"/>
          <w:szCs w:val="24"/>
          <w:lang w:eastAsia="da-DK"/>
        </w:rPr>
      </w:pPr>
    </w:p>
    <w:p w14:paraId="0792EC7C" w14:textId="77777777" w:rsidR="004444B7" w:rsidRPr="009636AC" w:rsidRDefault="004444B7" w:rsidP="009C7FBF">
      <w:pPr>
        <w:ind w:left="851"/>
        <w:rPr>
          <w:sz w:val="24"/>
          <w:szCs w:val="24"/>
          <w:lang w:eastAsia="da-DK"/>
        </w:rPr>
      </w:pPr>
      <w:r w:rsidRPr="009636AC">
        <w:rPr>
          <w:sz w:val="24"/>
          <w:szCs w:val="24"/>
          <w:lang w:eastAsia="da-DK"/>
        </w:rPr>
        <w:t>Studiets primære endepunkt blev mødt og viste en statistisk signifikant forbedring i PFS i pemetrexed-armen over for placebo-armen (n = 472, uafhængigt evalueret population; median på henholdsvis 3,9 måneder og 2,6 måneder) (hazard ratio = 0,64; 95 % CI = 0,51-0,81; p = 0,0002). Den uafhængige evaluering af patienternes skanninger bekræftede investigatorernes vurdering af PFS. Investigatorernes mediane PFS-vurdering for de randomiserede patienter var 6,9 måneder for pemetrexed-armen og 5,6 måneder for placebo-armen (hazard ratio = 0,59; 95 % CI = 0,47-0,74) målt fra start af pemetrexed og cisplatin førstelinje-induktionsbehandling.</w:t>
      </w:r>
    </w:p>
    <w:p w14:paraId="2A870C51" w14:textId="77777777" w:rsidR="004444B7" w:rsidRPr="009636AC" w:rsidRDefault="004444B7" w:rsidP="009C7FBF">
      <w:pPr>
        <w:ind w:left="851"/>
        <w:rPr>
          <w:sz w:val="24"/>
          <w:szCs w:val="24"/>
          <w:lang w:eastAsia="da-DK"/>
        </w:rPr>
      </w:pPr>
    </w:p>
    <w:p w14:paraId="19F04CE7" w14:textId="77777777" w:rsidR="004444B7" w:rsidRPr="009636AC" w:rsidRDefault="004444B7" w:rsidP="009C7FBF">
      <w:pPr>
        <w:ind w:left="851"/>
        <w:rPr>
          <w:bCs/>
          <w:sz w:val="24"/>
          <w:szCs w:val="24"/>
          <w:lang w:eastAsia="en-GB"/>
        </w:rPr>
      </w:pPr>
      <w:r w:rsidRPr="009636AC">
        <w:rPr>
          <w:sz w:val="24"/>
          <w:szCs w:val="24"/>
          <w:lang w:eastAsia="da-DK"/>
        </w:rPr>
        <w:t xml:space="preserve">Efter induktionsbehandling med pemetrexed plus cisplatin (4 serier) var behandling med pemetrexed statistisk superior i forhold til placebo med hensyn til total overlevelse (median 13,9 måneder </w:t>
      </w:r>
      <w:r w:rsidRPr="009636AC">
        <w:rPr>
          <w:i/>
          <w:sz w:val="24"/>
          <w:szCs w:val="24"/>
          <w:lang w:eastAsia="da-DK"/>
        </w:rPr>
        <w:t xml:space="preserve">versus </w:t>
      </w:r>
      <w:r w:rsidRPr="009636AC">
        <w:rPr>
          <w:sz w:val="24"/>
          <w:szCs w:val="24"/>
          <w:lang w:eastAsia="da-DK"/>
        </w:rPr>
        <w:t xml:space="preserve">11,0 måneder, hazard ratio = 0,78; 95 % CI=0,64-0,96; p=0,0195). På tidspunktet for den endelige analyse af den totale overlevelse var 28,7 % af patienterne i pemetrexed-armen i live eller kunne ikke følges op </w:t>
      </w:r>
      <w:r w:rsidRPr="009636AC">
        <w:rPr>
          <w:i/>
          <w:sz w:val="24"/>
          <w:szCs w:val="24"/>
          <w:lang w:eastAsia="da-DK"/>
        </w:rPr>
        <w:t xml:space="preserve">versus </w:t>
      </w:r>
      <w:r w:rsidRPr="009636AC">
        <w:rPr>
          <w:sz w:val="24"/>
          <w:szCs w:val="24"/>
          <w:lang w:eastAsia="da-DK"/>
        </w:rPr>
        <w:t>21,7 % i placebo-armen. Den relative behandlingseffekt af pemetrexed var internt konsistent imellem undergrupperne (inklusive sygdomsstadie, induktionsrespons, ECOG performancestatus, rygestatus, køn, histologi og alder) og svarende til det, som blev observeret i analyserne for den ikke-justerede totale overlevelse og progressionsfrie overlevelse. Den 1-årige og 2- årige overlevelsesrate for patienterne i behandling med pemetrexed var henholdsvis 58 % og 32 % sammenlignet med 45 % og 21 % for patienterne i placebo-behandling. Målt fra starttidspunktet for pemetrexed plus cisplatin førstelinje-induktionsbehandling var den mediane overlevelse 16,9 måneder for pemetrexed-armen og 14,0 måneder for placebo-armen (hazard ratio= 0,78, 95 % CI= 0,64-0,96). 64,3 % af pemetrexed-patienterne og 71,7 % af placebo-patienterne fik behandling efter studiet.</w:t>
      </w:r>
    </w:p>
    <w:p w14:paraId="32C30CB7" w14:textId="77777777" w:rsidR="004444B7" w:rsidRPr="009636AC" w:rsidRDefault="004444B7" w:rsidP="009C7FBF">
      <w:pPr>
        <w:ind w:left="851"/>
        <w:rPr>
          <w:bCs/>
          <w:sz w:val="24"/>
          <w:szCs w:val="24"/>
          <w:lang w:eastAsia="en-GB"/>
        </w:rPr>
      </w:pPr>
    </w:p>
    <w:p w14:paraId="7FCB974D" w14:textId="77777777" w:rsidR="004444B7" w:rsidRPr="009636AC" w:rsidRDefault="004444B7" w:rsidP="009C7FBF">
      <w:pPr>
        <w:ind w:left="851"/>
        <w:rPr>
          <w:b/>
          <w:bCs/>
          <w:sz w:val="24"/>
          <w:szCs w:val="24"/>
          <w:lang w:eastAsia="en-GB"/>
        </w:rPr>
      </w:pPr>
      <w:r w:rsidRPr="009636AC">
        <w:rPr>
          <w:b/>
          <w:bCs/>
          <w:sz w:val="24"/>
          <w:szCs w:val="24"/>
          <w:lang w:eastAsia="en-GB"/>
        </w:rPr>
        <w:t xml:space="preserve">PARAMOUNT: Kaplan Meier-kurver for progressionsfri overlevelse (PFS) og total overlevelse (OS, overall survival) for pemetrexed-induktionsbehandling efterfulgt af pemetrexed-vedligeholdelsesbehandling </w:t>
      </w:r>
      <w:r w:rsidRPr="009636AC">
        <w:rPr>
          <w:b/>
          <w:bCs/>
          <w:i/>
          <w:sz w:val="24"/>
          <w:szCs w:val="24"/>
          <w:lang w:eastAsia="en-GB"/>
        </w:rPr>
        <w:t>vs</w:t>
      </w:r>
      <w:r w:rsidRPr="009636AC">
        <w:rPr>
          <w:b/>
          <w:bCs/>
          <w:sz w:val="24"/>
          <w:szCs w:val="24"/>
          <w:lang w:eastAsia="en-GB"/>
        </w:rPr>
        <w:t>. placebo hos patienter med NSCLC bortset fra cancer hovedsagelig bestående af pladeepitelceller (målt fra randomiseringen)</w:t>
      </w:r>
    </w:p>
    <w:p w14:paraId="664CBB67" w14:textId="77777777" w:rsidR="004444B7" w:rsidRPr="009636AC" w:rsidRDefault="004444B7" w:rsidP="004444B7">
      <w:pPr>
        <w:ind w:left="851"/>
        <w:rPr>
          <w:sz w:val="24"/>
          <w:szCs w:val="24"/>
          <w:lang w:eastAsia="en-GB"/>
        </w:rPr>
      </w:pPr>
    </w:p>
    <w:p w14:paraId="28BE4944" w14:textId="77777777" w:rsidR="004444B7" w:rsidRPr="009636AC" w:rsidRDefault="004444B7" w:rsidP="004444B7">
      <w:pPr>
        <w:autoSpaceDE w:val="0"/>
        <w:autoSpaceDN w:val="0"/>
        <w:adjustRightInd w:val="0"/>
        <w:ind w:left="851" w:firstLine="453"/>
        <w:rPr>
          <w:sz w:val="24"/>
          <w:szCs w:val="24"/>
        </w:rPr>
      </w:pPr>
      <w:r w:rsidRPr="009636AC">
        <w:rPr>
          <w:sz w:val="24"/>
          <w:szCs w:val="24"/>
        </w:rPr>
        <w:t xml:space="preserve">Progressionsfri overlevelse </w:t>
      </w:r>
      <w:r w:rsidRPr="009636AC">
        <w:rPr>
          <w:sz w:val="24"/>
          <w:szCs w:val="24"/>
        </w:rPr>
        <w:tab/>
        <w:t>Total overlevelse (OS)</w:t>
      </w:r>
    </w:p>
    <w:p w14:paraId="270D904B" w14:textId="26CD7E5E" w:rsidR="004444B7" w:rsidRPr="009636AC" w:rsidRDefault="004444B7" w:rsidP="004444B7">
      <w:pPr>
        <w:autoSpaceDE w:val="0"/>
        <w:autoSpaceDN w:val="0"/>
        <w:adjustRightInd w:val="0"/>
        <w:ind w:left="851" w:hanging="851"/>
        <w:jc w:val="center"/>
        <w:rPr>
          <w:sz w:val="24"/>
          <w:szCs w:val="24"/>
          <w:u w:val="single"/>
        </w:rPr>
      </w:pPr>
      <w:r w:rsidRPr="009636AC">
        <w:rPr>
          <w:noProof/>
          <w:sz w:val="24"/>
          <w:szCs w:val="24"/>
        </w:rPr>
        <w:drawing>
          <wp:inline distT="0" distB="0" distL="0" distR="0" wp14:anchorId="004A066B" wp14:editId="29CC89C1">
            <wp:extent cx="5354955" cy="2245995"/>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4955" cy="2245995"/>
                    </a:xfrm>
                    <a:prstGeom prst="rect">
                      <a:avLst/>
                    </a:prstGeom>
                    <a:noFill/>
                    <a:ln>
                      <a:noFill/>
                    </a:ln>
                  </pic:spPr>
                </pic:pic>
              </a:graphicData>
            </a:graphic>
          </wp:inline>
        </w:drawing>
      </w:r>
    </w:p>
    <w:p w14:paraId="4E6557E0" w14:textId="77777777" w:rsidR="004444B7" w:rsidRPr="009636AC" w:rsidRDefault="004444B7" w:rsidP="004444B7">
      <w:pPr>
        <w:autoSpaceDE w:val="0"/>
        <w:autoSpaceDN w:val="0"/>
        <w:adjustRightInd w:val="0"/>
        <w:ind w:left="851"/>
        <w:rPr>
          <w:sz w:val="24"/>
          <w:szCs w:val="24"/>
          <w:lang w:eastAsia="da-DK"/>
        </w:rPr>
      </w:pPr>
      <w:r w:rsidRPr="009636AC">
        <w:rPr>
          <w:sz w:val="24"/>
          <w:szCs w:val="24"/>
          <w:lang w:eastAsia="da-DK"/>
        </w:rPr>
        <w:t>Sikkerhedsprofilerne for vedligeholdelsesbehandlingen med pemetrexed var sammenlignelig i de to studier JMEN og PARAMOUNT.</w:t>
      </w:r>
    </w:p>
    <w:p w14:paraId="21609D56" w14:textId="77777777" w:rsidR="009260DE" w:rsidRPr="009636AC" w:rsidRDefault="009260DE" w:rsidP="009260DE">
      <w:pPr>
        <w:tabs>
          <w:tab w:val="left" w:pos="851"/>
        </w:tabs>
        <w:ind w:left="851"/>
        <w:rPr>
          <w:sz w:val="24"/>
          <w:szCs w:val="24"/>
        </w:rPr>
      </w:pPr>
    </w:p>
    <w:p w14:paraId="1280B440" w14:textId="77777777" w:rsidR="009260DE" w:rsidRPr="009636AC" w:rsidRDefault="009260DE" w:rsidP="009260DE">
      <w:pPr>
        <w:tabs>
          <w:tab w:val="left" w:pos="851"/>
        </w:tabs>
        <w:ind w:left="851" w:hanging="851"/>
        <w:rPr>
          <w:b/>
          <w:sz w:val="24"/>
          <w:szCs w:val="24"/>
        </w:rPr>
      </w:pPr>
      <w:r w:rsidRPr="009636AC">
        <w:rPr>
          <w:b/>
          <w:sz w:val="24"/>
          <w:szCs w:val="24"/>
        </w:rPr>
        <w:t>5.2</w:t>
      </w:r>
      <w:r w:rsidRPr="009636AC">
        <w:rPr>
          <w:b/>
          <w:sz w:val="24"/>
          <w:szCs w:val="24"/>
        </w:rPr>
        <w:tab/>
        <w:t>Farmakokinetiske egenskaber</w:t>
      </w:r>
    </w:p>
    <w:p w14:paraId="2696A802" w14:textId="77777777" w:rsidR="004444B7" w:rsidRPr="009636AC" w:rsidRDefault="004444B7" w:rsidP="009C7FBF">
      <w:pPr>
        <w:ind w:left="851"/>
        <w:rPr>
          <w:sz w:val="24"/>
          <w:szCs w:val="24"/>
          <w:lang w:eastAsia="da-DK"/>
        </w:rPr>
      </w:pPr>
      <w:r w:rsidRPr="009636AC">
        <w:rPr>
          <w:sz w:val="24"/>
          <w:szCs w:val="24"/>
          <w:lang w:eastAsia="da-DK"/>
        </w:rPr>
        <w:lastRenderedPageBreak/>
        <w:t>Pemetrexeds farmakokinetiske egenskaber efter enkeltstofadministration er blevet vurderet hos 426 cancerpatienter med forskellige typer massive tumorer i doser på 0,2-838 mg/m</w:t>
      </w:r>
      <w:r w:rsidRPr="009636AC">
        <w:rPr>
          <w:sz w:val="24"/>
          <w:szCs w:val="24"/>
          <w:vertAlign w:val="superscript"/>
          <w:lang w:eastAsia="da-DK"/>
        </w:rPr>
        <w:t>2</w:t>
      </w:r>
      <w:r w:rsidRPr="009636AC">
        <w:rPr>
          <w:sz w:val="24"/>
          <w:szCs w:val="24"/>
          <w:lang w:eastAsia="da-DK"/>
        </w:rPr>
        <w:t xml:space="preserve"> infunderet over 10 minutter. Pemetrexed har et steady state-fordelingsvolumen på 9 l/m</w:t>
      </w:r>
      <w:r w:rsidRPr="009636AC">
        <w:rPr>
          <w:sz w:val="24"/>
          <w:szCs w:val="24"/>
          <w:vertAlign w:val="superscript"/>
          <w:lang w:eastAsia="da-DK"/>
        </w:rPr>
        <w:t>2</w:t>
      </w:r>
      <w:r w:rsidRPr="009636AC">
        <w:rPr>
          <w:sz w:val="24"/>
          <w:szCs w:val="24"/>
          <w:lang w:eastAsia="da-DK"/>
        </w:rPr>
        <w:t xml:space="preserve">. </w:t>
      </w:r>
      <w:r w:rsidRPr="009636AC">
        <w:rPr>
          <w:i/>
          <w:sz w:val="24"/>
          <w:szCs w:val="24"/>
          <w:lang w:eastAsia="da-DK"/>
        </w:rPr>
        <w:t>In vitro</w:t>
      </w:r>
      <w:r w:rsidRPr="009636AC">
        <w:rPr>
          <w:sz w:val="24"/>
          <w:szCs w:val="24"/>
          <w:lang w:eastAsia="da-DK"/>
        </w:rPr>
        <w:t xml:space="preserve">-forsøg tyder på, at omtrent 81 % bindes til plasmaproteiner. Bindingen blev ikke bemærkelsesværdigt påvirket af varierende grader af nedsat nyrefunktion. Pemetrexed gennemgår en begrænset metabolisering i leveren. Pemetrexed udskilles primært med urinen, og 70-90 % af den indgivne dosis kan genfindes uforandret i urinen inden for de første 24 timer efter indgift. </w:t>
      </w:r>
      <w:r w:rsidRPr="009636AC">
        <w:rPr>
          <w:i/>
          <w:sz w:val="24"/>
          <w:szCs w:val="24"/>
          <w:lang w:eastAsia="da-DK"/>
        </w:rPr>
        <w:t>In vitro</w:t>
      </w:r>
      <w:r w:rsidRPr="009636AC">
        <w:rPr>
          <w:sz w:val="24"/>
          <w:szCs w:val="24"/>
          <w:lang w:eastAsia="da-DK"/>
        </w:rPr>
        <w:t>-studier indikerer, at pemetrexed udskilles ved aktiv sekretion via OAT3 (organisk anion-transporter). Pemetrexeds samlede systemiske clearance er 91,8 ml/min, og halveringstiden i plasma er 3,5 timer hos patienter med normal nyrefunktion (kreatinin-clearance på 90 ml/min). Der er en moderat variation i clearance blandt patienterne på 19,3 %. Pemetrexeds samlede systemiske eksponering (AUC) og maksimale plasma-koncentration er proportionalt stigende med dosis. Pemetrexeds farmakokinetik er ensartet over flere behandlingscykler.</w:t>
      </w:r>
    </w:p>
    <w:p w14:paraId="7CB8280B" w14:textId="77777777" w:rsidR="004444B7" w:rsidRPr="009636AC" w:rsidRDefault="004444B7" w:rsidP="009C7FBF">
      <w:pPr>
        <w:ind w:left="851"/>
        <w:rPr>
          <w:sz w:val="24"/>
          <w:szCs w:val="24"/>
          <w:lang w:eastAsia="da-DK"/>
        </w:rPr>
      </w:pPr>
    </w:p>
    <w:p w14:paraId="3FE52D99" w14:textId="77777777" w:rsidR="004444B7" w:rsidRPr="009636AC" w:rsidRDefault="004444B7" w:rsidP="009C7FBF">
      <w:pPr>
        <w:ind w:left="851"/>
        <w:rPr>
          <w:sz w:val="24"/>
          <w:szCs w:val="24"/>
          <w:lang w:eastAsia="da-DK"/>
        </w:rPr>
      </w:pPr>
      <w:r w:rsidRPr="009636AC">
        <w:rPr>
          <w:sz w:val="24"/>
          <w:szCs w:val="24"/>
          <w:lang w:eastAsia="da-DK"/>
        </w:rPr>
        <w:t>De farmakokinetiske egenskaber for pemetrexed påvirkes ikke af samtidig indgivelse af cisplatin. Oral folsyre og intramuskulært tilskud af B12-vitamin påvirker ikke pemetrexeds farmakokinetik.</w:t>
      </w:r>
    </w:p>
    <w:p w14:paraId="1C622263" w14:textId="5A9431FE" w:rsidR="009260DE" w:rsidRDefault="009260DE" w:rsidP="009260DE">
      <w:pPr>
        <w:tabs>
          <w:tab w:val="left" w:pos="851"/>
        </w:tabs>
        <w:ind w:left="851"/>
        <w:rPr>
          <w:sz w:val="24"/>
          <w:szCs w:val="24"/>
        </w:rPr>
      </w:pPr>
    </w:p>
    <w:p w14:paraId="024EB205" w14:textId="77777777" w:rsidR="00651C2B" w:rsidRPr="009636AC" w:rsidRDefault="00651C2B" w:rsidP="009260DE">
      <w:pPr>
        <w:tabs>
          <w:tab w:val="left" w:pos="851"/>
        </w:tabs>
        <w:ind w:left="851"/>
        <w:rPr>
          <w:sz w:val="24"/>
          <w:szCs w:val="24"/>
        </w:rPr>
      </w:pPr>
    </w:p>
    <w:p w14:paraId="7BCDF1D3" w14:textId="649F9E99" w:rsidR="009260DE" w:rsidRPr="009636AC" w:rsidRDefault="009260DE" w:rsidP="009260DE">
      <w:pPr>
        <w:tabs>
          <w:tab w:val="left" w:pos="851"/>
        </w:tabs>
        <w:ind w:left="851" w:hanging="851"/>
        <w:rPr>
          <w:b/>
          <w:sz w:val="24"/>
          <w:szCs w:val="24"/>
        </w:rPr>
      </w:pPr>
      <w:r w:rsidRPr="009636AC">
        <w:rPr>
          <w:b/>
          <w:sz w:val="24"/>
          <w:szCs w:val="24"/>
        </w:rPr>
        <w:t>5.3</w:t>
      </w:r>
      <w:r w:rsidRPr="009636AC">
        <w:rPr>
          <w:b/>
          <w:sz w:val="24"/>
          <w:szCs w:val="24"/>
        </w:rPr>
        <w:tab/>
      </w:r>
      <w:r w:rsidR="00651C2B" w:rsidRPr="00651C2B">
        <w:rPr>
          <w:b/>
          <w:sz w:val="24"/>
          <w:szCs w:val="24"/>
        </w:rPr>
        <w:t>Non-kliniske sikkerhedsdata</w:t>
      </w:r>
    </w:p>
    <w:p w14:paraId="38EE10A1" w14:textId="77777777" w:rsidR="004444B7" w:rsidRPr="009636AC" w:rsidRDefault="004444B7" w:rsidP="009C7FBF">
      <w:pPr>
        <w:ind w:left="851"/>
        <w:rPr>
          <w:sz w:val="24"/>
          <w:szCs w:val="24"/>
        </w:rPr>
      </w:pPr>
      <w:r w:rsidRPr="009636AC">
        <w:rPr>
          <w:sz w:val="24"/>
          <w:szCs w:val="24"/>
        </w:rPr>
        <w:t>Indgift af pemetrexed til gravide mus resulterede i lavere føtal levedygtighed, lavere føtal fødselsvægt, ufuldstændig forbening af visse skeletstrukturer og ganespalte.</w:t>
      </w:r>
    </w:p>
    <w:p w14:paraId="2000CC94" w14:textId="77777777" w:rsidR="004444B7" w:rsidRPr="009636AC" w:rsidRDefault="004444B7" w:rsidP="009C7FBF">
      <w:pPr>
        <w:ind w:left="851"/>
        <w:rPr>
          <w:sz w:val="24"/>
          <w:szCs w:val="24"/>
        </w:rPr>
      </w:pPr>
    </w:p>
    <w:p w14:paraId="59B5064E" w14:textId="77777777" w:rsidR="004444B7" w:rsidRPr="009636AC" w:rsidRDefault="004444B7" w:rsidP="009C7FBF">
      <w:pPr>
        <w:ind w:left="851"/>
        <w:rPr>
          <w:sz w:val="24"/>
          <w:szCs w:val="24"/>
        </w:rPr>
      </w:pPr>
      <w:r w:rsidRPr="009636AC">
        <w:rPr>
          <w:sz w:val="24"/>
          <w:szCs w:val="24"/>
        </w:rPr>
        <w:t>Indgift af pemetrexed til hanmus resulterede i reproduktionstoksicitet karakteriseret ved nedsatte fertilitetsrater og testikelatrofi. Der blev set en påvirkning af testiklerne (degenerering/nekrose af seminiferous epithelium) i et studie udført i beaglehunde, der fik intravenøse bolus injektioner i 9 måneder. Dette tyder på, at pemetrexed kan nedsætte fertiliteten hos hanner. Fertiliteten hos hunner blev ikke undersøgt.</w:t>
      </w:r>
    </w:p>
    <w:p w14:paraId="10BFD58D" w14:textId="77777777" w:rsidR="004444B7" w:rsidRPr="009636AC" w:rsidRDefault="004444B7" w:rsidP="009C7FBF">
      <w:pPr>
        <w:ind w:left="851"/>
        <w:rPr>
          <w:sz w:val="24"/>
          <w:szCs w:val="24"/>
        </w:rPr>
      </w:pPr>
    </w:p>
    <w:p w14:paraId="2A703553" w14:textId="77777777" w:rsidR="004444B7" w:rsidRPr="009636AC" w:rsidRDefault="004444B7" w:rsidP="009C7FBF">
      <w:pPr>
        <w:ind w:left="851"/>
        <w:rPr>
          <w:sz w:val="24"/>
          <w:szCs w:val="24"/>
        </w:rPr>
      </w:pPr>
      <w:r w:rsidRPr="009636AC">
        <w:rPr>
          <w:sz w:val="24"/>
          <w:szCs w:val="24"/>
        </w:rPr>
        <w:t xml:space="preserve">Pemetrexed var hverken mutagent i </w:t>
      </w:r>
      <w:r w:rsidRPr="009636AC">
        <w:rPr>
          <w:i/>
          <w:sz w:val="24"/>
          <w:szCs w:val="24"/>
        </w:rPr>
        <w:t>in vitro</w:t>
      </w:r>
      <w:r w:rsidRPr="009636AC">
        <w:rPr>
          <w:sz w:val="24"/>
          <w:szCs w:val="24"/>
        </w:rPr>
        <w:t xml:space="preserve">-testen for kromosomafvigelse hos kinesiske hamstere eller i Ames-testen. Pemetrexed har vist sig at være clastogent hos mus i </w:t>
      </w:r>
      <w:r w:rsidRPr="009636AC">
        <w:rPr>
          <w:i/>
          <w:sz w:val="24"/>
          <w:szCs w:val="24"/>
        </w:rPr>
        <w:t>in vivo</w:t>
      </w:r>
      <w:r w:rsidRPr="009636AC">
        <w:rPr>
          <w:sz w:val="24"/>
          <w:szCs w:val="24"/>
        </w:rPr>
        <w:t>-mikronukleustesten.</w:t>
      </w:r>
    </w:p>
    <w:p w14:paraId="2DBA8659" w14:textId="77777777" w:rsidR="004444B7" w:rsidRPr="009636AC" w:rsidRDefault="004444B7" w:rsidP="009C7FBF">
      <w:pPr>
        <w:ind w:left="851"/>
        <w:rPr>
          <w:sz w:val="24"/>
          <w:szCs w:val="24"/>
        </w:rPr>
      </w:pPr>
    </w:p>
    <w:p w14:paraId="67C0CBF6" w14:textId="77777777" w:rsidR="004444B7" w:rsidRPr="009636AC" w:rsidRDefault="004444B7" w:rsidP="009C7FBF">
      <w:pPr>
        <w:ind w:left="851"/>
        <w:rPr>
          <w:sz w:val="24"/>
          <w:szCs w:val="24"/>
        </w:rPr>
      </w:pPr>
      <w:r w:rsidRPr="009636AC">
        <w:rPr>
          <w:sz w:val="24"/>
          <w:szCs w:val="24"/>
        </w:rPr>
        <w:t>Der er ikke foretaget studier til klarlæggelse af pemetrexeds mulige karcinogene effekt.</w:t>
      </w:r>
    </w:p>
    <w:p w14:paraId="2684F8C1" w14:textId="77777777" w:rsidR="009260DE" w:rsidRPr="009636AC" w:rsidRDefault="009260DE" w:rsidP="009260DE">
      <w:pPr>
        <w:tabs>
          <w:tab w:val="left" w:pos="851"/>
        </w:tabs>
        <w:ind w:left="851"/>
        <w:rPr>
          <w:sz w:val="24"/>
          <w:szCs w:val="24"/>
        </w:rPr>
      </w:pPr>
    </w:p>
    <w:p w14:paraId="5647DB7B" w14:textId="77777777" w:rsidR="009260DE" w:rsidRPr="009636AC" w:rsidRDefault="009260DE" w:rsidP="009260DE">
      <w:pPr>
        <w:tabs>
          <w:tab w:val="left" w:pos="851"/>
        </w:tabs>
        <w:ind w:left="851"/>
        <w:rPr>
          <w:sz w:val="24"/>
          <w:szCs w:val="24"/>
        </w:rPr>
      </w:pPr>
    </w:p>
    <w:p w14:paraId="1DBBCF95" w14:textId="77777777" w:rsidR="009260DE" w:rsidRPr="009636AC" w:rsidRDefault="009260DE" w:rsidP="009260DE">
      <w:pPr>
        <w:tabs>
          <w:tab w:val="left" w:pos="851"/>
        </w:tabs>
        <w:ind w:left="851" w:hanging="851"/>
        <w:rPr>
          <w:b/>
          <w:sz w:val="24"/>
          <w:szCs w:val="24"/>
        </w:rPr>
      </w:pPr>
      <w:r w:rsidRPr="009636AC">
        <w:rPr>
          <w:b/>
          <w:sz w:val="24"/>
          <w:szCs w:val="24"/>
        </w:rPr>
        <w:t>6.</w:t>
      </w:r>
      <w:r w:rsidRPr="009636AC">
        <w:rPr>
          <w:b/>
          <w:sz w:val="24"/>
          <w:szCs w:val="24"/>
        </w:rPr>
        <w:tab/>
        <w:t>FARMACEUTISKE OPLYSNINGER</w:t>
      </w:r>
    </w:p>
    <w:p w14:paraId="49174F0F" w14:textId="77777777" w:rsidR="009260DE" w:rsidRPr="009636AC" w:rsidRDefault="009260DE" w:rsidP="009260DE">
      <w:pPr>
        <w:tabs>
          <w:tab w:val="left" w:pos="851"/>
        </w:tabs>
        <w:ind w:left="851"/>
        <w:rPr>
          <w:sz w:val="24"/>
          <w:szCs w:val="24"/>
        </w:rPr>
      </w:pPr>
    </w:p>
    <w:p w14:paraId="1E40DAAD" w14:textId="77777777" w:rsidR="009260DE" w:rsidRPr="009636AC" w:rsidRDefault="009260DE" w:rsidP="009260DE">
      <w:pPr>
        <w:tabs>
          <w:tab w:val="left" w:pos="851"/>
        </w:tabs>
        <w:ind w:left="851" w:hanging="851"/>
        <w:rPr>
          <w:b/>
          <w:sz w:val="24"/>
          <w:szCs w:val="24"/>
        </w:rPr>
      </w:pPr>
      <w:r w:rsidRPr="009636AC">
        <w:rPr>
          <w:b/>
          <w:sz w:val="24"/>
          <w:szCs w:val="24"/>
        </w:rPr>
        <w:t>6.1</w:t>
      </w:r>
      <w:r w:rsidRPr="009636AC">
        <w:rPr>
          <w:b/>
          <w:sz w:val="24"/>
          <w:szCs w:val="24"/>
        </w:rPr>
        <w:tab/>
        <w:t>Hjælpestoffer</w:t>
      </w:r>
    </w:p>
    <w:p w14:paraId="0F5330E3" w14:textId="77777777" w:rsidR="004444B7" w:rsidRPr="009636AC" w:rsidRDefault="004444B7" w:rsidP="009C7FBF">
      <w:pPr>
        <w:ind w:left="851"/>
        <w:rPr>
          <w:sz w:val="24"/>
          <w:szCs w:val="24"/>
        </w:rPr>
      </w:pPr>
      <w:r w:rsidRPr="009636AC">
        <w:rPr>
          <w:sz w:val="24"/>
          <w:szCs w:val="24"/>
        </w:rPr>
        <w:t>Mannitol</w:t>
      </w:r>
    </w:p>
    <w:p w14:paraId="05872D31" w14:textId="77777777" w:rsidR="004444B7" w:rsidRPr="009636AC" w:rsidRDefault="004444B7" w:rsidP="009C7FBF">
      <w:pPr>
        <w:ind w:left="851"/>
        <w:rPr>
          <w:sz w:val="24"/>
          <w:szCs w:val="24"/>
        </w:rPr>
      </w:pPr>
      <w:r w:rsidRPr="009636AC">
        <w:rPr>
          <w:sz w:val="24"/>
          <w:szCs w:val="24"/>
        </w:rPr>
        <w:t>Natriumchlorid</w:t>
      </w:r>
    </w:p>
    <w:p w14:paraId="2DDD512C" w14:textId="77777777" w:rsidR="004444B7" w:rsidRPr="009636AC" w:rsidRDefault="004444B7" w:rsidP="009C7FBF">
      <w:pPr>
        <w:ind w:left="851"/>
        <w:rPr>
          <w:sz w:val="24"/>
          <w:szCs w:val="24"/>
        </w:rPr>
      </w:pPr>
      <w:r w:rsidRPr="009636AC">
        <w:rPr>
          <w:sz w:val="24"/>
          <w:szCs w:val="24"/>
        </w:rPr>
        <w:t>L-cysteinhydrochlorid</w:t>
      </w:r>
    </w:p>
    <w:p w14:paraId="1E7FCA72" w14:textId="77777777" w:rsidR="004444B7" w:rsidRPr="009636AC" w:rsidRDefault="004444B7" w:rsidP="009C7FBF">
      <w:pPr>
        <w:ind w:left="851"/>
        <w:rPr>
          <w:sz w:val="24"/>
          <w:szCs w:val="24"/>
        </w:rPr>
      </w:pPr>
      <w:r w:rsidRPr="009636AC">
        <w:rPr>
          <w:sz w:val="24"/>
          <w:szCs w:val="24"/>
        </w:rPr>
        <w:t>Natriumhydroxid (til pH-justering)</w:t>
      </w:r>
    </w:p>
    <w:p w14:paraId="27863981" w14:textId="77777777" w:rsidR="004444B7" w:rsidRPr="009636AC" w:rsidRDefault="004444B7" w:rsidP="009C7FBF">
      <w:pPr>
        <w:ind w:left="851"/>
        <w:rPr>
          <w:sz w:val="24"/>
          <w:szCs w:val="24"/>
        </w:rPr>
      </w:pPr>
      <w:r w:rsidRPr="009636AC">
        <w:rPr>
          <w:sz w:val="24"/>
          <w:szCs w:val="24"/>
        </w:rPr>
        <w:t>Saltsyre (til pH-justering)</w:t>
      </w:r>
    </w:p>
    <w:p w14:paraId="6358C548" w14:textId="77777777" w:rsidR="004444B7" w:rsidRPr="009636AC" w:rsidRDefault="004444B7" w:rsidP="009C7FBF">
      <w:pPr>
        <w:ind w:left="851"/>
        <w:rPr>
          <w:sz w:val="24"/>
          <w:szCs w:val="24"/>
        </w:rPr>
      </w:pPr>
      <w:r w:rsidRPr="009636AC">
        <w:rPr>
          <w:sz w:val="24"/>
          <w:szCs w:val="24"/>
        </w:rPr>
        <w:t>Vand til injektionsvæsker</w:t>
      </w:r>
    </w:p>
    <w:p w14:paraId="7F8CFFFB" w14:textId="77777777" w:rsidR="009260DE" w:rsidRPr="009636AC" w:rsidRDefault="009260DE" w:rsidP="009260DE">
      <w:pPr>
        <w:tabs>
          <w:tab w:val="left" w:pos="851"/>
        </w:tabs>
        <w:ind w:left="851"/>
        <w:rPr>
          <w:sz w:val="24"/>
          <w:szCs w:val="24"/>
        </w:rPr>
      </w:pPr>
    </w:p>
    <w:p w14:paraId="5F452FFA" w14:textId="77777777" w:rsidR="009260DE" w:rsidRPr="009636AC" w:rsidRDefault="009260DE" w:rsidP="009260DE">
      <w:pPr>
        <w:tabs>
          <w:tab w:val="left" w:pos="851"/>
        </w:tabs>
        <w:ind w:left="851" w:hanging="851"/>
        <w:rPr>
          <w:b/>
          <w:sz w:val="24"/>
          <w:szCs w:val="24"/>
        </w:rPr>
      </w:pPr>
      <w:r w:rsidRPr="009636AC">
        <w:rPr>
          <w:b/>
          <w:sz w:val="24"/>
          <w:szCs w:val="24"/>
        </w:rPr>
        <w:t>6.2</w:t>
      </w:r>
      <w:r w:rsidRPr="009636AC">
        <w:rPr>
          <w:b/>
          <w:sz w:val="24"/>
          <w:szCs w:val="24"/>
        </w:rPr>
        <w:tab/>
        <w:t>Uforligeligheder</w:t>
      </w:r>
    </w:p>
    <w:p w14:paraId="3FE1BB67" w14:textId="77777777" w:rsidR="00222CED" w:rsidRPr="009636AC" w:rsidRDefault="00222CED" w:rsidP="009C7FBF">
      <w:pPr>
        <w:ind w:left="851"/>
        <w:rPr>
          <w:sz w:val="24"/>
          <w:szCs w:val="24"/>
        </w:rPr>
      </w:pPr>
      <w:r w:rsidRPr="009636AC">
        <w:rPr>
          <w:sz w:val="24"/>
          <w:szCs w:val="24"/>
        </w:rPr>
        <w:t>Pemetrexed er fysisk inkompatibelt med fortyndinger, der indeholder calcium, heriblandt Ringers laktat og Ringers væske. Samtidig indgivelse af pemetrexed og andre lægemidler og fortyndinger er ikke blevet undersøgt og kan derfor ikke anbefales.</w:t>
      </w:r>
    </w:p>
    <w:p w14:paraId="665D9B8C" w14:textId="77777777" w:rsidR="009260DE" w:rsidRPr="009636AC" w:rsidRDefault="009260DE" w:rsidP="009260DE">
      <w:pPr>
        <w:tabs>
          <w:tab w:val="left" w:pos="851"/>
        </w:tabs>
        <w:ind w:left="851"/>
        <w:rPr>
          <w:sz w:val="24"/>
          <w:szCs w:val="24"/>
        </w:rPr>
      </w:pPr>
    </w:p>
    <w:p w14:paraId="30253947" w14:textId="77777777" w:rsidR="009260DE" w:rsidRPr="009636AC" w:rsidRDefault="009260DE" w:rsidP="009260DE">
      <w:pPr>
        <w:tabs>
          <w:tab w:val="left" w:pos="851"/>
        </w:tabs>
        <w:ind w:left="851" w:hanging="851"/>
        <w:rPr>
          <w:b/>
          <w:sz w:val="24"/>
          <w:szCs w:val="24"/>
        </w:rPr>
      </w:pPr>
      <w:r w:rsidRPr="009636AC">
        <w:rPr>
          <w:b/>
          <w:sz w:val="24"/>
          <w:szCs w:val="24"/>
        </w:rPr>
        <w:t>6.3</w:t>
      </w:r>
      <w:r w:rsidRPr="009636AC">
        <w:rPr>
          <w:b/>
          <w:sz w:val="24"/>
          <w:szCs w:val="24"/>
        </w:rPr>
        <w:tab/>
        <w:t>Opbevaringstid</w:t>
      </w:r>
    </w:p>
    <w:p w14:paraId="5D7D66E7" w14:textId="51FC762A" w:rsidR="00222CED" w:rsidRPr="009636AC" w:rsidRDefault="00222CED" w:rsidP="009C7FBF">
      <w:pPr>
        <w:ind w:left="851"/>
        <w:rPr>
          <w:sz w:val="24"/>
          <w:szCs w:val="24"/>
        </w:rPr>
      </w:pPr>
      <w:r w:rsidRPr="009636AC">
        <w:rPr>
          <w:sz w:val="24"/>
          <w:szCs w:val="24"/>
        </w:rPr>
        <w:t>2 år.</w:t>
      </w:r>
    </w:p>
    <w:p w14:paraId="3F1CDBEE" w14:textId="77777777" w:rsidR="009260DE" w:rsidRPr="009636AC" w:rsidRDefault="009260DE" w:rsidP="009260DE">
      <w:pPr>
        <w:tabs>
          <w:tab w:val="left" w:pos="851"/>
        </w:tabs>
        <w:ind w:left="851"/>
        <w:rPr>
          <w:sz w:val="24"/>
          <w:szCs w:val="24"/>
        </w:rPr>
      </w:pPr>
    </w:p>
    <w:p w14:paraId="512E007E" w14:textId="77777777" w:rsidR="009260DE" w:rsidRPr="009636AC" w:rsidRDefault="009260DE" w:rsidP="009260DE">
      <w:pPr>
        <w:tabs>
          <w:tab w:val="left" w:pos="851"/>
        </w:tabs>
        <w:ind w:left="851" w:hanging="851"/>
        <w:rPr>
          <w:b/>
          <w:sz w:val="24"/>
          <w:szCs w:val="24"/>
        </w:rPr>
      </w:pPr>
      <w:r w:rsidRPr="009636AC">
        <w:rPr>
          <w:b/>
          <w:sz w:val="24"/>
          <w:szCs w:val="24"/>
        </w:rPr>
        <w:t>6.4</w:t>
      </w:r>
      <w:r w:rsidRPr="009636AC">
        <w:rPr>
          <w:b/>
          <w:sz w:val="24"/>
          <w:szCs w:val="24"/>
        </w:rPr>
        <w:tab/>
        <w:t>Særlige opbevaringsforhold</w:t>
      </w:r>
    </w:p>
    <w:p w14:paraId="6CD5C31A" w14:textId="420A984C" w:rsidR="009260DE" w:rsidRPr="009636AC" w:rsidRDefault="00222CED" w:rsidP="009C7FBF">
      <w:pPr>
        <w:ind w:left="851"/>
        <w:rPr>
          <w:sz w:val="24"/>
          <w:szCs w:val="24"/>
        </w:rPr>
      </w:pPr>
      <w:r w:rsidRPr="009636AC">
        <w:rPr>
          <w:sz w:val="24"/>
          <w:szCs w:val="24"/>
        </w:rPr>
        <w:t xml:space="preserve">Dette lægemiddel kræver ingen særlige forholdsregler vedrørende opbevaringen.  </w:t>
      </w:r>
    </w:p>
    <w:p w14:paraId="5FAABAC6" w14:textId="77777777" w:rsidR="009260DE" w:rsidRPr="009636AC" w:rsidRDefault="009260DE" w:rsidP="009260DE">
      <w:pPr>
        <w:tabs>
          <w:tab w:val="left" w:pos="851"/>
        </w:tabs>
        <w:ind w:left="851"/>
        <w:rPr>
          <w:sz w:val="24"/>
          <w:szCs w:val="24"/>
        </w:rPr>
      </w:pPr>
    </w:p>
    <w:p w14:paraId="33CC215C" w14:textId="20102E01" w:rsidR="009260DE" w:rsidRPr="009636AC" w:rsidRDefault="009260DE" w:rsidP="009260DE">
      <w:pPr>
        <w:tabs>
          <w:tab w:val="left" w:pos="851"/>
        </w:tabs>
        <w:ind w:left="851" w:hanging="851"/>
        <w:rPr>
          <w:b/>
          <w:sz w:val="24"/>
          <w:szCs w:val="24"/>
        </w:rPr>
      </w:pPr>
      <w:r w:rsidRPr="009636AC">
        <w:rPr>
          <w:b/>
          <w:sz w:val="24"/>
          <w:szCs w:val="24"/>
        </w:rPr>
        <w:t>6.5</w:t>
      </w:r>
      <w:r w:rsidRPr="009636AC">
        <w:rPr>
          <w:b/>
          <w:sz w:val="24"/>
          <w:szCs w:val="24"/>
        </w:rPr>
        <w:tab/>
        <w:t>Emballagetype og pakningsstørrelser</w:t>
      </w:r>
    </w:p>
    <w:p w14:paraId="19045A0B" w14:textId="77777777" w:rsidR="00222CED" w:rsidRPr="009636AC" w:rsidRDefault="00222CED" w:rsidP="009C7FBF">
      <w:pPr>
        <w:ind w:left="851"/>
        <w:rPr>
          <w:sz w:val="24"/>
          <w:szCs w:val="24"/>
        </w:rPr>
      </w:pPr>
      <w:r w:rsidRPr="009636AC">
        <w:rPr>
          <w:sz w:val="24"/>
          <w:szCs w:val="24"/>
        </w:rPr>
        <w:t>Hvert 10 ml hætteglas med mørkegrå chlorbutylflurotec gummiprop og forseglet med aluminiumsblå flip-off indeholdende 10 ml infusionsvæske.</w:t>
      </w:r>
    </w:p>
    <w:p w14:paraId="56FF235F" w14:textId="77777777" w:rsidR="00222CED" w:rsidRPr="009636AC" w:rsidRDefault="00222CED" w:rsidP="009C7FBF">
      <w:pPr>
        <w:ind w:left="851"/>
        <w:rPr>
          <w:sz w:val="24"/>
          <w:szCs w:val="24"/>
        </w:rPr>
      </w:pPr>
    </w:p>
    <w:p w14:paraId="14FCE960" w14:textId="2323364C" w:rsidR="00222CED" w:rsidRDefault="00222CED" w:rsidP="009C7FBF">
      <w:pPr>
        <w:ind w:left="851"/>
        <w:rPr>
          <w:sz w:val="24"/>
          <w:szCs w:val="24"/>
        </w:rPr>
      </w:pPr>
      <w:r w:rsidRPr="009636AC">
        <w:rPr>
          <w:sz w:val="24"/>
          <w:szCs w:val="24"/>
        </w:rPr>
        <w:t>Hvert 50 ml hætteglas med mørkegrå chlorbutylflurotec gummiprop og forseglet med aluminiumsblå flip-off indeholdende 50 ml infusionsvæske.</w:t>
      </w:r>
    </w:p>
    <w:p w14:paraId="18E6D562" w14:textId="6A94C6EC" w:rsidR="00947025" w:rsidRDefault="00947025" w:rsidP="009C7FBF">
      <w:pPr>
        <w:ind w:left="851"/>
        <w:rPr>
          <w:sz w:val="24"/>
          <w:szCs w:val="24"/>
        </w:rPr>
      </w:pPr>
    </w:p>
    <w:p w14:paraId="62FA1A1F" w14:textId="77777777" w:rsidR="00947025" w:rsidRDefault="00947025" w:rsidP="00947025">
      <w:pPr>
        <w:keepNext/>
        <w:ind w:left="851"/>
        <w:rPr>
          <w:sz w:val="24"/>
          <w:szCs w:val="24"/>
        </w:rPr>
      </w:pPr>
      <w:r>
        <w:rPr>
          <w:sz w:val="24"/>
          <w:szCs w:val="24"/>
        </w:rPr>
        <w:t>Hvert 85 ml hætteglas med mørkegrå chlorbutylflurotec gummiprop og forseglet med aluminiumsblå flip-off indeholdende 85 ml infusionsvæske.</w:t>
      </w:r>
    </w:p>
    <w:p w14:paraId="4591D700" w14:textId="77777777" w:rsidR="00222CED" w:rsidRPr="009636AC" w:rsidRDefault="00222CED" w:rsidP="00947025">
      <w:pPr>
        <w:rPr>
          <w:sz w:val="24"/>
          <w:szCs w:val="24"/>
        </w:rPr>
      </w:pPr>
    </w:p>
    <w:p w14:paraId="06F1EDA6" w14:textId="77777777" w:rsidR="00222CED" w:rsidRPr="009636AC" w:rsidRDefault="00222CED" w:rsidP="009C7FBF">
      <w:pPr>
        <w:ind w:left="851"/>
        <w:rPr>
          <w:sz w:val="24"/>
          <w:szCs w:val="24"/>
        </w:rPr>
      </w:pPr>
      <w:r w:rsidRPr="009636AC">
        <w:rPr>
          <w:sz w:val="24"/>
          <w:szCs w:val="24"/>
        </w:rPr>
        <w:t>Hvert 100 ml hætteglas med mørkegrå chlorbutylflurotec gummiprop og forseglet med aluminiumsblå flip-off indeholdende 100 ml infusionsvæske.</w:t>
      </w:r>
    </w:p>
    <w:p w14:paraId="0A36BA32" w14:textId="77777777" w:rsidR="00222CED" w:rsidRPr="009636AC" w:rsidRDefault="00222CED" w:rsidP="009C7FBF">
      <w:pPr>
        <w:ind w:left="851"/>
        <w:rPr>
          <w:sz w:val="24"/>
          <w:szCs w:val="24"/>
        </w:rPr>
      </w:pPr>
    </w:p>
    <w:p w14:paraId="7091CF2D" w14:textId="77777777" w:rsidR="00222CED" w:rsidRPr="009636AC" w:rsidRDefault="00222CED" w:rsidP="009C7FBF">
      <w:pPr>
        <w:ind w:left="851"/>
        <w:rPr>
          <w:sz w:val="24"/>
          <w:szCs w:val="24"/>
        </w:rPr>
      </w:pPr>
      <w:r w:rsidRPr="009636AC">
        <w:rPr>
          <w:sz w:val="24"/>
          <w:szCs w:val="24"/>
        </w:rPr>
        <w:t>Pakningsstørrelser: 1 hætteglas</w:t>
      </w:r>
    </w:p>
    <w:p w14:paraId="66CF998D" w14:textId="77777777" w:rsidR="009260DE" w:rsidRPr="009636AC" w:rsidRDefault="009260DE" w:rsidP="009260DE">
      <w:pPr>
        <w:tabs>
          <w:tab w:val="left" w:pos="851"/>
        </w:tabs>
        <w:ind w:left="851"/>
        <w:rPr>
          <w:sz w:val="24"/>
          <w:szCs w:val="24"/>
        </w:rPr>
      </w:pPr>
    </w:p>
    <w:p w14:paraId="4542B467" w14:textId="41EBBC69" w:rsidR="009260DE" w:rsidRPr="009636AC" w:rsidRDefault="009260DE" w:rsidP="009260DE">
      <w:pPr>
        <w:tabs>
          <w:tab w:val="left" w:pos="851"/>
        </w:tabs>
        <w:ind w:left="851" w:hanging="851"/>
        <w:rPr>
          <w:b/>
          <w:sz w:val="24"/>
          <w:szCs w:val="24"/>
        </w:rPr>
      </w:pPr>
      <w:r w:rsidRPr="009636AC">
        <w:rPr>
          <w:b/>
          <w:sz w:val="24"/>
          <w:szCs w:val="24"/>
        </w:rPr>
        <w:t>6.6</w:t>
      </w:r>
      <w:r w:rsidRPr="009636AC">
        <w:rPr>
          <w:b/>
          <w:sz w:val="24"/>
          <w:szCs w:val="24"/>
        </w:rPr>
        <w:tab/>
        <w:t xml:space="preserve">Regler for </w:t>
      </w:r>
      <w:r w:rsidR="00651C2B" w:rsidRPr="00651C2B">
        <w:rPr>
          <w:b/>
          <w:sz w:val="24"/>
          <w:szCs w:val="24"/>
        </w:rPr>
        <w:t>bortskaffelse</w:t>
      </w:r>
      <w:r w:rsidRPr="009636AC">
        <w:rPr>
          <w:b/>
          <w:sz w:val="24"/>
          <w:szCs w:val="24"/>
        </w:rPr>
        <w:t xml:space="preserve"> og anden håndtering</w:t>
      </w:r>
    </w:p>
    <w:p w14:paraId="4EB2DC04" w14:textId="77777777" w:rsidR="00222CED" w:rsidRPr="009636AC" w:rsidRDefault="00222CED" w:rsidP="009C7FBF">
      <w:pPr>
        <w:ind w:left="851"/>
        <w:rPr>
          <w:sz w:val="24"/>
          <w:szCs w:val="24"/>
        </w:rPr>
      </w:pPr>
      <w:r w:rsidRPr="009636AC">
        <w:rPr>
          <w:sz w:val="24"/>
          <w:szCs w:val="24"/>
        </w:rPr>
        <w:t>Ikke anvendt lægemiddel samt affald heraf skal bortskaffes i henhold til lokale retningslinjer for cytostatika.</w:t>
      </w:r>
    </w:p>
    <w:p w14:paraId="12CA1669" w14:textId="77777777" w:rsidR="009260DE" w:rsidRPr="009636AC" w:rsidRDefault="009260DE" w:rsidP="000730CA">
      <w:pPr>
        <w:tabs>
          <w:tab w:val="left" w:pos="851"/>
        </w:tabs>
        <w:ind w:left="851"/>
        <w:rPr>
          <w:sz w:val="24"/>
          <w:szCs w:val="24"/>
        </w:rPr>
      </w:pPr>
    </w:p>
    <w:p w14:paraId="6DCA7E40" w14:textId="77777777" w:rsidR="009260DE" w:rsidRPr="009636AC" w:rsidRDefault="009260DE" w:rsidP="009260DE">
      <w:pPr>
        <w:tabs>
          <w:tab w:val="left" w:pos="851"/>
        </w:tabs>
        <w:ind w:left="851" w:hanging="851"/>
        <w:rPr>
          <w:b/>
          <w:sz w:val="24"/>
          <w:szCs w:val="24"/>
        </w:rPr>
      </w:pPr>
      <w:r w:rsidRPr="009636AC">
        <w:rPr>
          <w:b/>
          <w:sz w:val="24"/>
          <w:szCs w:val="24"/>
        </w:rPr>
        <w:t>7.</w:t>
      </w:r>
      <w:r w:rsidRPr="009636AC">
        <w:rPr>
          <w:b/>
          <w:sz w:val="24"/>
          <w:szCs w:val="24"/>
        </w:rPr>
        <w:tab/>
        <w:t>INDEHAVER AF MARKEDSFØRINGSTILLADELSEN</w:t>
      </w:r>
    </w:p>
    <w:p w14:paraId="47D96D17" w14:textId="77777777" w:rsidR="00222CED" w:rsidRPr="009636AC" w:rsidRDefault="00222CED" w:rsidP="009C7FBF">
      <w:pPr>
        <w:ind w:left="851"/>
        <w:rPr>
          <w:sz w:val="24"/>
          <w:szCs w:val="24"/>
        </w:rPr>
      </w:pPr>
      <w:r w:rsidRPr="009636AC">
        <w:rPr>
          <w:sz w:val="24"/>
          <w:szCs w:val="24"/>
        </w:rPr>
        <w:t>Zentiva, k.s.</w:t>
      </w:r>
    </w:p>
    <w:p w14:paraId="7B3AEE2F" w14:textId="77777777" w:rsidR="00222CED" w:rsidRPr="009636AC" w:rsidRDefault="00222CED" w:rsidP="009C7FBF">
      <w:pPr>
        <w:ind w:left="851"/>
        <w:rPr>
          <w:sz w:val="24"/>
          <w:szCs w:val="24"/>
        </w:rPr>
      </w:pPr>
      <w:r w:rsidRPr="009636AC">
        <w:rPr>
          <w:sz w:val="24"/>
          <w:szCs w:val="24"/>
        </w:rPr>
        <w:t>U Kabelovny 130</w:t>
      </w:r>
    </w:p>
    <w:p w14:paraId="1ED07152" w14:textId="77777777" w:rsidR="00222CED" w:rsidRPr="009636AC" w:rsidRDefault="00222CED" w:rsidP="009C7FBF">
      <w:pPr>
        <w:ind w:left="851"/>
        <w:rPr>
          <w:sz w:val="24"/>
          <w:szCs w:val="24"/>
        </w:rPr>
      </w:pPr>
      <w:r w:rsidRPr="009636AC">
        <w:rPr>
          <w:sz w:val="24"/>
          <w:szCs w:val="24"/>
        </w:rPr>
        <w:t>102 37 Prag 10</w:t>
      </w:r>
    </w:p>
    <w:p w14:paraId="3D980E29" w14:textId="77777777" w:rsidR="00222CED" w:rsidRPr="009636AC" w:rsidRDefault="00222CED" w:rsidP="009C7FBF">
      <w:pPr>
        <w:ind w:left="851"/>
        <w:rPr>
          <w:sz w:val="24"/>
          <w:szCs w:val="24"/>
        </w:rPr>
      </w:pPr>
      <w:r w:rsidRPr="009636AC">
        <w:rPr>
          <w:sz w:val="24"/>
          <w:szCs w:val="24"/>
        </w:rPr>
        <w:t>Tjekkiet</w:t>
      </w:r>
    </w:p>
    <w:p w14:paraId="0D641DA7" w14:textId="77777777" w:rsidR="00222CED" w:rsidRPr="009636AC" w:rsidRDefault="00222CED" w:rsidP="009C7FBF">
      <w:pPr>
        <w:ind w:left="851"/>
        <w:rPr>
          <w:sz w:val="24"/>
          <w:szCs w:val="24"/>
        </w:rPr>
      </w:pPr>
    </w:p>
    <w:p w14:paraId="54D25294" w14:textId="77777777" w:rsidR="00222CED" w:rsidRPr="009636AC" w:rsidRDefault="00222CED" w:rsidP="009C7FBF">
      <w:pPr>
        <w:ind w:left="851"/>
        <w:rPr>
          <w:b/>
          <w:sz w:val="24"/>
          <w:szCs w:val="24"/>
        </w:rPr>
      </w:pPr>
      <w:r w:rsidRPr="009636AC">
        <w:rPr>
          <w:b/>
          <w:sz w:val="24"/>
          <w:szCs w:val="24"/>
        </w:rPr>
        <w:t>Repræsentant</w:t>
      </w:r>
    </w:p>
    <w:p w14:paraId="23B6D979" w14:textId="77777777" w:rsidR="00222CED" w:rsidRPr="009636AC" w:rsidRDefault="00222CED" w:rsidP="009C7FBF">
      <w:pPr>
        <w:ind w:left="851"/>
        <w:rPr>
          <w:sz w:val="24"/>
          <w:szCs w:val="24"/>
        </w:rPr>
      </w:pPr>
      <w:r w:rsidRPr="009636AC">
        <w:rPr>
          <w:sz w:val="24"/>
          <w:szCs w:val="24"/>
        </w:rPr>
        <w:t>Zentiva Denmark ApS</w:t>
      </w:r>
    </w:p>
    <w:p w14:paraId="38C1CB67" w14:textId="77777777" w:rsidR="00222CED" w:rsidRPr="009636AC" w:rsidRDefault="00222CED" w:rsidP="009C7FBF">
      <w:pPr>
        <w:ind w:left="851"/>
        <w:rPr>
          <w:sz w:val="24"/>
          <w:szCs w:val="24"/>
        </w:rPr>
      </w:pPr>
      <w:r w:rsidRPr="009636AC">
        <w:rPr>
          <w:sz w:val="24"/>
          <w:szCs w:val="24"/>
        </w:rPr>
        <w:t>Høffdingsvej 34</w:t>
      </w:r>
    </w:p>
    <w:p w14:paraId="7DA4FD17" w14:textId="77777777" w:rsidR="00222CED" w:rsidRPr="009636AC" w:rsidRDefault="00222CED" w:rsidP="009C7FBF">
      <w:pPr>
        <w:ind w:left="851"/>
        <w:rPr>
          <w:sz w:val="24"/>
          <w:szCs w:val="24"/>
        </w:rPr>
      </w:pPr>
      <w:r w:rsidRPr="009636AC">
        <w:rPr>
          <w:sz w:val="24"/>
          <w:szCs w:val="24"/>
        </w:rPr>
        <w:t>2500 Valby</w:t>
      </w:r>
    </w:p>
    <w:p w14:paraId="0263D572" w14:textId="77777777" w:rsidR="009260DE" w:rsidRPr="009636AC" w:rsidRDefault="009260DE" w:rsidP="009260DE">
      <w:pPr>
        <w:tabs>
          <w:tab w:val="left" w:pos="851"/>
        </w:tabs>
        <w:ind w:left="851"/>
        <w:rPr>
          <w:sz w:val="24"/>
          <w:szCs w:val="24"/>
        </w:rPr>
      </w:pPr>
    </w:p>
    <w:p w14:paraId="4B0024B8" w14:textId="54A389FA" w:rsidR="009260DE" w:rsidRPr="009636AC" w:rsidRDefault="009260DE" w:rsidP="009260DE">
      <w:pPr>
        <w:tabs>
          <w:tab w:val="left" w:pos="851"/>
        </w:tabs>
        <w:ind w:left="851" w:hanging="851"/>
        <w:rPr>
          <w:b/>
          <w:sz w:val="24"/>
          <w:szCs w:val="24"/>
        </w:rPr>
      </w:pPr>
      <w:r w:rsidRPr="009636AC">
        <w:rPr>
          <w:b/>
          <w:sz w:val="24"/>
          <w:szCs w:val="24"/>
        </w:rPr>
        <w:t>8.</w:t>
      </w:r>
      <w:r w:rsidRPr="009636AC">
        <w:rPr>
          <w:b/>
          <w:sz w:val="24"/>
          <w:szCs w:val="24"/>
        </w:rPr>
        <w:tab/>
      </w:r>
      <w:r w:rsidR="00651C2B" w:rsidRPr="00651C2B">
        <w:rPr>
          <w:b/>
          <w:sz w:val="24"/>
          <w:szCs w:val="24"/>
        </w:rPr>
        <w:t>MARKEDSFØRINGSTILLADELSESNUMMER (-NUMRE)</w:t>
      </w:r>
    </w:p>
    <w:p w14:paraId="5F8D8A6D" w14:textId="614CD62F" w:rsidR="009260DE" w:rsidRPr="009636AC" w:rsidRDefault="00222CED" w:rsidP="009260DE">
      <w:pPr>
        <w:tabs>
          <w:tab w:val="left" w:pos="851"/>
        </w:tabs>
        <w:ind w:left="851"/>
        <w:rPr>
          <w:sz w:val="24"/>
          <w:szCs w:val="24"/>
        </w:rPr>
      </w:pPr>
      <w:r w:rsidRPr="009636AC">
        <w:rPr>
          <w:sz w:val="24"/>
          <w:szCs w:val="24"/>
        </w:rPr>
        <w:t>64301</w:t>
      </w:r>
    </w:p>
    <w:p w14:paraId="54045170" w14:textId="77777777" w:rsidR="009260DE" w:rsidRPr="009636AC" w:rsidRDefault="009260DE" w:rsidP="009260DE">
      <w:pPr>
        <w:tabs>
          <w:tab w:val="left" w:pos="851"/>
        </w:tabs>
        <w:ind w:left="851"/>
        <w:jc w:val="both"/>
        <w:rPr>
          <w:sz w:val="24"/>
          <w:szCs w:val="24"/>
        </w:rPr>
      </w:pPr>
    </w:p>
    <w:p w14:paraId="44B5075C" w14:textId="77777777" w:rsidR="009260DE" w:rsidRPr="009636AC" w:rsidRDefault="009260DE" w:rsidP="009260DE">
      <w:pPr>
        <w:tabs>
          <w:tab w:val="left" w:pos="851"/>
        </w:tabs>
        <w:ind w:left="851" w:hanging="851"/>
        <w:rPr>
          <w:b/>
          <w:sz w:val="24"/>
          <w:szCs w:val="24"/>
        </w:rPr>
      </w:pPr>
      <w:r w:rsidRPr="009636AC">
        <w:rPr>
          <w:b/>
          <w:sz w:val="24"/>
          <w:szCs w:val="24"/>
        </w:rPr>
        <w:t>9.</w:t>
      </w:r>
      <w:r w:rsidRPr="009636AC">
        <w:rPr>
          <w:b/>
          <w:sz w:val="24"/>
          <w:szCs w:val="24"/>
        </w:rPr>
        <w:tab/>
        <w:t>DATO FOR FØRSTE MARKEDSFØRINGSTILLADELSE</w:t>
      </w:r>
    </w:p>
    <w:p w14:paraId="6FE82DCF" w14:textId="7EDAABB9" w:rsidR="009260DE" w:rsidRPr="009636AC" w:rsidRDefault="00947025" w:rsidP="009260DE">
      <w:pPr>
        <w:tabs>
          <w:tab w:val="left" w:pos="851"/>
        </w:tabs>
        <w:ind w:left="851"/>
        <w:rPr>
          <w:sz w:val="24"/>
          <w:szCs w:val="24"/>
        </w:rPr>
      </w:pPr>
      <w:r>
        <w:rPr>
          <w:sz w:val="24"/>
          <w:szCs w:val="24"/>
        </w:rPr>
        <w:t>11. juli 2022</w:t>
      </w:r>
    </w:p>
    <w:p w14:paraId="393252CA" w14:textId="77777777" w:rsidR="009260DE" w:rsidRPr="009636AC" w:rsidRDefault="009260DE" w:rsidP="009260DE">
      <w:pPr>
        <w:tabs>
          <w:tab w:val="left" w:pos="851"/>
        </w:tabs>
        <w:ind w:left="851"/>
        <w:rPr>
          <w:sz w:val="24"/>
          <w:szCs w:val="24"/>
        </w:rPr>
      </w:pPr>
    </w:p>
    <w:p w14:paraId="5A9EDB22" w14:textId="77777777" w:rsidR="009260DE" w:rsidRPr="009636AC" w:rsidRDefault="009260DE" w:rsidP="009260DE">
      <w:pPr>
        <w:tabs>
          <w:tab w:val="left" w:pos="851"/>
        </w:tabs>
        <w:ind w:left="851" w:hanging="851"/>
        <w:rPr>
          <w:b/>
          <w:sz w:val="24"/>
          <w:szCs w:val="24"/>
        </w:rPr>
      </w:pPr>
      <w:r w:rsidRPr="009636AC">
        <w:rPr>
          <w:b/>
          <w:sz w:val="24"/>
          <w:szCs w:val="24"/>
        </w:rPr>
        <w:t>10.</w:t>
      </w:r>
      <w:r w:rsidRPr="009636AC">
        <w:rPr>
          <w:b/>
          <w:sz w:val="24"/>
          <w:szCs w:val="24"/>
        </w:rPr>
        <w:tab/>
        <w:t>DATO FOR ÆNDRING AF TEKSTEN</w:t>
      </w:r>
    </w:p>
    <w:p w14:paraId="1B4999B2" w14:textId="340953CF" w:rsidR="009260DE" w:rsidRPr="009636AC" w:rsidRDefault="00C903CD" w:rsidP="009260DE">
      <w:pPr>
        <w:tabs>
          <w:tab w:val="left" w:pos="851"/>
        </w:tabs>
        <w:ind w:left="851"/>
        <w:rPr>
          <w:sz w:val="24"/>
          <w:szCs w:val="24"/>
        </w:rPr>
      </w:pPr>
      <w:r>
        <w:rPr>
          <w:sz w:val="24"/>
          <w:szCs w:val="24"/>
        </w:rPr>
        <w:t>13</w:t>
      </w:r>
      <w:bookmarkStart w:id="0" w:name="_GoBack"/>
      <w:bookmarkEnd w:id="0"/>
      <w:r w:rsidR="00B30F40">
        <w:rPr>
          <w:sz w:val="24"/>
          <w:szCs w:val="24"/>
        </w:rPr>
        <w:t>. februar 2024</w:t>
      </w:r>
    </w:p>
    <w:sectPr w:rsidR="009260DE" w:rsidRPr="009636AC"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EE0C0" w14:textId="77777777" w:rsidR="001E5B61" w:rsidRDefault="001E5B61">
      <w:r>
        <w:separator/>
      </w:r>
    </w:p>
  </w:endnote>
  <w:endnote w:type="continuationSeparator" w:id="0">
    <w:p w14:paraId="042078E9" w14:textId="77777777" w:rsidR="001E5B61" w:rsidRDefault="001E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F7E8" w14:textId="77777777" w:rsidR="001E5B61" w:rsidRDefault="001E5B61">
    <w:pPr>
      <w:pStyle w:val="Sidefod"/>
      <w:pBdr>
        <w:bottom w:val="single" w:sz="6" w:space="1" w:color="auto"/>
      </w:pBdr>
    </w:pPr>
  </w:p>
  <w:p w14:paraId="5C246ACD" w14:textId="77777777" w:rsidR="001E5B61" w:rsidRDefault="001E5B61" w:rsidP="00C42586">
    <w:pPr>
      <w:pStyle w:val="Sidefod"/>
      <w:tabs>
        <w:tab w:val="clear" w:pos="4819"/>
        <w:tab w:val="left" w:pos="8505"/>
      </w:tabs>
      <w:rPr>
        <w:i/>
        <w:sz w:val="18"/>
        <w:szCs w:val="18"/>
      </w:rPr>
    </w:pPr>
  </w:p>
  <w:p w14:paraId="7C222D69" w14:textId="18059BF0" w:rsidR="001E5B61" w:rsidRPr="00B373D7" w:rsidRDefault="001E5B6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Pemetrexed Zentiva, infusionsvæske, opløsning 10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8E435" w14:textId="77777777" w:rsidR="001E5B61" w:rsidRDefault="001E5B61">
      <w:r>
        <w:separator/>
      </w:r>
    </w:p>
  </w:footnote>
  <w:footnote w:type="continuationSeparator" w:id="0">
    <w:p w14:paraId="105FE5D6" w14:textId="77777777" w:rsidR="001E5B61" w:rsidRDefault="001E5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4D"/>
    <w:rsid w:val="000259B9"/>
    <w:rsid w:val="0003540E"/>
    <w:rsid w:val="00041491"/>
    <w:rsid w:val="00050D16"/>
    <w:rsid w:val="00066661"/>
    <w:rsid w:val="000730CA"/>
    <w:rsid w:val="00074F2A"/>
    <w:rsid w:val="000A1CA8"/>
    <w:rsid w:val="000A466B"/>
    <w:rsid w:val="000B058C"/>
    <w:rsid w:val="000E4EE6"/>
    <w:rsid w:val="0014039E"/>
    <w:rsid w:val="001454E2"/>
    <w:rsid w:val="001D47EC"/>
    <w:rsid w:val="001E5B61"/>
    <w:rsid w:val="001F27DF"/>
    <w:rsid w:val="00206CE8"/>
    <w:rsid w:val="0021526C"/>
    <w:rsid w:val="00222CED"/>
    <w:rsid w:val="0024303F"/>
    <w:rsid w:val="00283A2B"/>
    <w:rsid w:val="002B30AD"/>
    <w:rsid w:val="002C2C01"/>
    <w:rsid w:val="0033075E"/>
    <w:rsid w:val="00390138"/>
    <w:rsid w:val="00395DD7"/>
    <w:rsid w:val="003A29AE"/>
    <w:rsid w:val="003A32D7"/>
    <w:rsid w:val="003B4074"/>
    <w:rsid w:val="003C769A"/>
    <w:rsid w:val="003F1838"/>
    <w:rsid w:val="003F3E98"/>
    <w:rsid w:val="00432DF2"/>
    <w:rsid w:val="00441599"/>
    <w:rsid w:val="004444B7"/>
    <w:rsid w:val="0045746C"/>
    <w:rsid w:val="004862F7"/>
    <w:rsid w:val="0049104B"/>
    <w:rsid w:val="004B39DF"/>
    <w:rsid w:val="004E3B12"/>
    <w:rsid w:val="004F1CE1"/>
    <w:rsid w:val="00511BF3"/>
    <w:rsid w:val="00532310"/>
    <w:rsid w:val="005364AB"/>
    <w:rsid w:val="00565F0F"/>
    <w:rsid w:val="00594A86"/>
    <w:rsid w:val="00596D86"/>
    <w:rsid w:val="005B0A8E"/>
    <w:rsid w:val="00637F5A"/>
    <w:rsid w:val="00651C2B"/>
    <w:rsid w:val="006560B1"/>
    <w:rsid w:val="006756DD"/>
    <w:rsid w:val="00692610"/>
    <w:rsid w:val="00737275"/>
    <w:rsid w:val="00740EEC"/>
    <w:rsid w:val="00771E10"/>
    <w:rsid w:val="0078011A"/>
    <w:rsid w:val="00782AF4"/>
    <w:rsid w:val="007905FB"/>
    <w:rsid w:val="00790EE7"/>
    <w:rsid w:val="00792AF5"/>
    <w:rsid w:val="007B6649"/>
    <w:rsid w:val="00810D65"/>
    <w:rsid w:val="0082576E"/>
    <w:rsid w:val="00827B70"/>
    <w:rsid w:val="00907F75"/>
    <w:rsid w:val="009260DE"/>
    <w:rsid w:val="0093258A"/>
    <w:rsid w:val="00947025"/>
    <w:rsid w:val="009636AC"/>
    <w:rsid w:val="00974318"/>
    <w:rsid w:val="009C7BA3"/>
    <w:rsid w:val="009C7FBF"/>
    <w:rsid w:val="009D1F5A"/>
    <w:rsid w:val="009E308A"/>
    <w:rsid w:val="00A10294"/>
    <w:rsid w:val="00A861DD"/>
    <w:rsid w:val="00B003BF"/>
    <w:rsid w:val="00B1760F"/>
    <w:rsid w:val="00B30F40"/>
    <w:rsid w:val="00B373D7"/>
    <w:rsid w:val="00C36276"/>
    <w:rsid w:val="00C418B9"/>
    <w:rsid w:val="00C42586"/>
    <w:rsid w:val="00C60CCD"/>
    <w:rsid w:val="00C67A57"/>
    <w:rsid w:val="00C76C7C"/>
    <w:rsid w:val="00C84483"/>
    <w:rsid w:val="00C903CD"/>
    <w:rsid w:val="00C95551"/>
    <w:rsid w:val="00CB20D7"/>
    <w:rsid w:val="00CC07F7"/>
    <w:rsid w:val="00D020B0"/>
    <w:rsid w:val="00D11748"/>
    <w:rsid w:val="00D366CF"/>
    <w:rsid w:val="00D60528"/>
    <w:rsid w:val="00D7644D"/>
    <w:rsid w:val="00DC2680"/>
    <w:rsid w:val="00DE61E9"/>
    <w:rsid w:val="00E104B1"/>
    <w:rsid w:val="00E108AA"/>
    <w:rsid w:val="00E3749A"/>
    <w:rsid w:val="00E7437F"/>
    <w:rsid w:val="00E865B8"/>
    <w:rsid w:val="00E97379"/>
    <w:rsid w:val="00EA360A"/>
    <w:rsid w:val="00EC0B9B"/>
    <w:rsid w:val="00ED5E9F"/>
    <w:rsid w:val="00F66D4F"/>
    <w:rsid w:val="00F749FC"/>
    <w:rsid w:val="00F771BF"/>
    <w:rsid w:val="00FB6D01"/>
    <w:rsid w:val="00FE0C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35283"/>
  <w15:chartTrackingRefBased/>
  <w15:docId w15:val="{07E86850-480F-4C45-8E15-CCF73FA6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4444B7"/>
    <w:rPr>
      <w:color w:val="0563C1" w:themeColor="hyperlink"/>
      <w:u w:val="single"/>
    </w:rPr>
  </w:style>
  <w:style w:type="paragraph" w:styleId="Brdtekst">
    <w:name w:val="Body Text"/>
    <w:basedOn w:val="Normal"/>
    <w:link w:val="BrdtekstTegn"/>
    <w:uiPriority w:val="1"/>
    <w:semiHidden/>
    <w:unhideWhenUsed/>
    <w:qFormat/>
    <w:rsid w:val="004444B7"/>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444B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81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204771">
      <w:bodyDiv w:val="1"/>
      <w:marLeft w:val="0"/>
      <w:marRight w:val="0"/>
      <w:marTop w:val="0"/>
      <w:marBottom w:val="0"/>
      <w:divBdr>
        <w:top w:val="none" w:sz="0" w:space="0" w:color="auto"/>
        <w:left w:val="none" w:sz="0" w:space="0" w:color="auto"/>
        <w:bottom w:val="none" w:sz="0" w:space="0" w:color="auto"/>
        <w:right w:val="none" w:sz="0" w:space="0" w:color="auto"/>
      </w:divBdr>
    </w:div>
    <w:div w:id="236668661">
      <w:bodyDiv w:val="1"/>
      <w:marLeft w:val="0"/>
      <w:marRight w:val="0"/>
      <w:marTop w:val="0"/>
      <w:marBottom w:val="0"/>
      <w:divBdr>
        <w:top w:val="none" w:sz="0" w:space="0" w:color="auto"/>
        <w:left w:val="none" w:sz="0" w:space="0" w:color="auto"/>
        <w:bottom w:val="none" w:sz="0" w:space="0" w:color="auto"/>
        <w:right w:val="none" w:sz="0" w:space="0" w:color="auto"/>
      </w:divBdr>
    </w:div>
    <w:div w:id="267395589">
      <w:bodyDiv w:val="1"/>
      <w:marLeft w:val="0"/>
      <w:marRight w:val="0"/>
      <w:marTop w:val="0"/>
      <w:marBottom w:val="0"/>
      <w:divBdr>
        <w:top w:val="none" w:sz="0" w:space="0" w:color="auto"/>
        <w:left w:val="none" w:sz="0" w:space="0" w:color="auto"/>
        <w:bottom w:val="none" w:sz="0" w:space="0" w:color="auto"/>
        <w:right w:val="none" w:sz="0" w:space="0" w:color="auto"/>
      </w:divBdr>
    </w:div>
    <w:div w:id="275257012">
      <w:bodyDiv w:val="1"/>
      <w:marLeft w:val="0"/>
      <w:marRight w:val="0"/>
      <w:marTop w:val="0"/>
      <w:marBottom w:val="0"/>
      <w:divBdr>
        <w:top w:val="none" w:sz="0" w:space="0" w:color="auto"/>
        <w:left w:val="none" w:sz="0" w:space="0" w:color="auto"/>
        <w:bottom w:val="none" w:sz="0" w:space="0" w:color="auto"/>
        <w:right w:val="none" w:sz="0" w:space="0" w:color="auto"/>
      </w:divBdr>
    </w:div>
    <w:div w:id="406538387">
      <w:bodyDiv w:val="1"/>
      <w:marLeft w:val="0"/>
      <w:marRight w:val="0"/>
      <w:marTop w:val="0"/>
      <w:marBottom w:val="0"/>
      <w:divBdr>
        <w:top w:val="none" w:sz="0" w:space="0" w:color="auto"/>
        <w:left w:val="none" w:sz="0" w:space="0" w:color="auto"/>
        <w:bottom w:val="none" w:sz="0" w:space="0" w:color="auto"/>
        <w:right w:val="none" w:sz="0" w:space="0" w:color="auto"/>
      </w:divBdr>
    </w:div>
    <w:div w:id="461919904">
      <w:bodyDiv w:val="1"/>
      <w:marLeft w:val="0"/>
      <w:marRight w:val="0"/>
      <w:marTop w:val="0"/>
      <w:marBottom w:val="0"/>
      <w:divBdr>
        <w:top w:val="none" w:sz="0" w:space="0" w:color="auto"/>
        <w:left w:val="none" w:sz="0" w:space="0" w:color="auto"/>
        <w:bottom w:val="none" w:sz="0" w:space="0" w:color="auto"/>
        <w:right w:val="none" w:sz="0" w:space="0" w:color="auto"/>
      </w:divBdr>
    </w:div>
    <w:div w:id="520094441">
      <w:bodyDiv w:val="1"/>
      <w:marLeft w:val="0"/>
      <w:marRight w:val="0"/>
      <w:marTop w:val="0"/>
      <w:marBottom w:val="0"/>
      <w:divBdr>
        <w:top w:val="none" w:sz="0" w:space="0" w:color="auto"/>
        <w:left w:val="none" w:sz="0" w:space="0" w:color="auto"/>
        <w:bottom w:val="none" w:sz="0" w:space="0" w:color="auto"/>
        <w:right w:val="none" w:sz="0" w:space="0" w:color="auto"/>
      </w:divBdr>
    </w:div>
    <w:div w:id="715473368">
      <w:bodyDiv w:val="1"/>
      <w:marLeft w:val="0"/>
      <w:marRight w:val="0"/>
      <w:marTop w:val="0"/>
      <w:marBottom w:val="0"/>
      <w:divBdr>
        <w:top w:val="none" w:sz="0" w:space="0" w:color="auto"/>
        <w:left w:val="none" w:sz="0" w:space="0" w:color="auto"/>
        <w:bottom w:val="none" w:sz="0" w:space="0" w:color="auto"/>
        <w:right w:val="none" w:sz="0" w:space="0" w:color="auto"/>
      </w:divBdr>
    </w:div>
    <w:div w:id="834682116">
      <w:bodyDiv w:val="1"/>
      <w:marLeft w:val="0"/>
      <w:marRight w:val="0"/>
      <w:marTop w:val="0"/>
      <w:marBottom w:val="0"/>
      <w:divBdr>
        <w:top w:val="none" w:sz="0" w:space="0" w:color="auto"/>
        <w:left w:val="none" w:sz="0" w:space="0" w:color="auto"/>
        <w:bottom w:val="none" w:sz="0" w:space="0" w:color="auto"/>
        <w:right w:val="none" w:sz="0" w:space="0" w:color="auto"/>
      </w:divBdr>
    </w:div>
    <w:div w:id="1005665729">
      <w:bodyDiv w:val="1"/>
      <w:marLeft w:val="0"/>
      <w:marRight w:val="0"/>
      <w:marTop w:val="0"/>
      <w:marBottom w:val="0"/>
      <w:divBdr>
        <w:top w:val="none" w:sz="0" w:space="0" w:color="auto"/>
        <w:left w:val="none" w:sz="0" w:space="0" w:color="auto"/>
        <w:bottom w:val="none" w:sz="0" w:space="0" w:color="auto"/>
        <w:right w:val="none" w:sz="0" w:space="0" w:color="auto"/>
      </w:divBdr>
    </w:div>
    <w:div w:id="1038702190">
      <w:bodyDiv w:val="1"/>
      <w:marLeft w:val="0"/>
      <w:marRight w:val="0"/>
      <w:marTop w:val="0"/>
      <w:marBottom w:val="0"/>
      <w:divBdr>
        <w:top w:val="none" w:sz="0" w:space="0" w:color="auto"/>
        <w:left w:val="none" w:sz="0" w:space="0" w:color="auto"/>
        <w:bottom w:val="none" w:sz="0" w:space="0" w:color="auto"/>
        <w:right w:val="none" w:sz="0" w:space="0" w:color="auto"/>
      </w:divBdr>
    </w:div>
    <w:div w:id="1186404312">
      <w:bodyDiv w:val="1"/>
      <w:marLeft w:val="0"/>
      <w:marRight w:val="0"/>
      <w:marTop w:val="0"/>
      <w:marBottom w:val="0"/>
      <w:divBdr>
        <w:top w:val="none" w:sz="0" w:space="0" w:color="auto"/>
        <w:left w:val="none" w:sz="0" w:space="0" w:color="auto"/>
        <w:bottom w:val="none" w:sz="0" w:space="0" w:color="auto"/>
        <w:right w:val="none" w:sz="0" w:space="0" w:color="auto"/>
      </w:divBdr>
    </w:div>
    <w:div w:id="1256401703">
      <w:bodyDiv w:val="1"/>
      <w:marLeft w:val="0"/>
      <w:marRight w:val="0"/>
      <w:marTop w:val="0"/>
      <w:marBottom w:val="0"/>
      <w:divBdr>
        <w:top w:val="none" w:sz="0" w:space="0" w:color="auto"/>
        <w:left w:val="none" w:sz="0" w:space="0" w:color="auto"/>
        <w:bottom w:val="none" w:sz="0" w:space="0" w:color="auto"/>
        <w:right w:val="none" w:sz="0" w:space="0" w:color="auto"/>
      </w:divBdr>
    </w:div>
    <w:div w:id="1311859788">
      <w:bodyDiv w:val="1"/>
      <w:marLeft w:val="0"/>
      <w:marRight w:val="0"/>
      <w:marTop w:val="0"/>
      <w:marBottom w:val="0"/>
      <w:divBdr>
        <w:top w:val="none" w:sz="0" w:space="0" w:color="auto"/>
        <w:left w:val="none" w:sz="0" w:space="0" w:color="auto"/>
        <w:bottom w:val="none" w:sz="0" w:space="0" w:color="auto"/>
        <w:right w:val="none" w:sz="0" w:space="0" w:color="auto"/>
      </w:divBdr>
    </w:div>
    <w:div w:id="1441878093">
      <w:bodyDiv w:val="1"/>
      <w:marLeft w:val="0"/>
      <w:marRight w:val="0"/>
      <w:marTop w:val="0"/>
      <w:marBottom w:val="0"/>
      <w:divBdr>
        <w:top w:val="none" w:sz="0" w:space="0" w:color="auto"/>
        <w:left w:val="none" w:sz="0" w:space="0" w:color="auto"/>
        <w:bottom w:val="none" w:sz="0" w:space="0" w:color="auto"/>
        <w:right w:val="none" w:sz="0" w:space="0" w:color="auto"/>
      </w:divBdr>
    </w:div>
    <w:div w:id="1581255064">
      <w:bodyDiv w:val="1"/>
      <w:marLeft w:val="0"/>
      <w:marRight w:val="0"/>
      <w:marTop w:val="0"/>
      <w:marBottom w:val="0"/>
      <w:divBdr>
        <w:top w:val="none" w:sz="0" w:space="0" w:color="auto"/>
        <w:left w:val="none" w:sz="0" w:space="0" w:color="auto"/>
        <w:bottom w:val="none" w:sz="0" w:space="0" w:color="auto"/>
        <w:right w:val="none" w:sz="0" w:space="0" w:color="auto"/>
      </w:divBdr>
    </w:div>
    <w:div w:id="1631744738">
      <w:bodyDiv w:val="1"/>
      <w:marLeft w:val="0"/>
      <w:marRight w:val="0"/>
      <w:marTop w:val="0"/>
      <w:marBottom w:val="0"/>
      <w:divBdr>
        <w:top w:val="none" w:sz="0" w:space="0" w:color="auto"/>
        <w:left w:val="none" w:sz="0" w:space="0" w:color="auto"/>
        <w:bottom w:val="none" w:sz="0" w:space="0" w:color="auto"/>
        <w:right w:val="none" w:sz="0" w:space="0" w:color="auto"/>
      </w:divBdr>
    </w:div>
    <w:div w:id="1728799194">
      <w:bodyDiv w:val="1"/>
      <w:marLeft w:val="0"/>
      <w:marRight w:val="0"/>
      <w:marTop w:val="0"/>
      <w:marBottom w:val="0"/>
      <w:divBdr>
        <w:top w:val="none" w:sz="0" w:space="0" w:color="auto"/>
        <w:left w:val="none" w:sz="0" w:space="0" w:color="auto"/>
        <w:bottom w:val="none" w:sz="0" w:space="0" w:color="auto"/>
        <w:right w:val="none" w:sz="0" w:space="0" w:color="auto"/>
      </w:divBdr>
    </w:div>
    <w:div w:id="1821464630">
      <w:bodyDiv w:val="1"/>
      <w:marLeft w:val="0"/>
      <w:marRight w:val="0"/>
      <w:marTop w:val="0"/>
      <w:marBottom w:val="0"/>
      <w:divBdr>
        <w:top w:val="none" w:sz="0" w:space="0" w:color="auto"/>
        <w:left w:val="none" w:sz="0" w:space="0" w:color="auto"/>
        <w:bottom w:val="none" w:sz="0" w:space="0" w:color="auto"/>
        <w:right w:val="none" w:sz="0" w:space="0" w:color="auto"/>
      </w:divBdr>
    </w:div>
    <w:div w:id="1839953451">
      <w:bodyDiv w:val="1"/>
      <w:marLeft w:val="0"/>
      <w:marRight w:val="0"/>
      <w:marTop w:val="0"/>
      <w:marBottom w:val="0"/>
      <w:divBdr>
        <w:top w:val="none" w:sz="0" w:space="0" w:color="auto"/>
        <w:left w:val="none" w:sz="0" w:space="0" w:color="auto"/>
        <w:bottom w:val="none" w:sz="0" w:space="0" w:color="auto"/>
        <w:right w:val="none" w:sz="0" w:space="0" w:color="auto"/>
      </w:divBdr>
    </w:div>
    <w:div w:id="1840345418">
      <w:bodyDiv w:val="1"/>
      <w:marLeft w:val="0"/>
      <w:marRight w:val="0"/>
      <w:marTop w:val="0"/>
      <w:marBottom w:val="0"/>
      <w:divBdr>
        <w:top w:val="none" w:sz="0" w:space="0" w:color="auto"/>
        <w:left w:val="none" w:sz="0" w:space="0" w:color="auto"/>
        <w:bottom w:val="none" w:sz="0" w:space="0" w:color="auto"/>
        <w:right w:val="none" w:sz="0" w:space="0" w:color="auto"/>
      </w:divBdr>
    </w:div>
    <w:div w:id="2026442473">
      <w:bodyDiv w:val="1"/>
      <w:marLeft w:val="0"/>
      <w:marRight w:val="0"/>
      <w:marTop w:val="0"/>
      <w:marBottom w:val="0"/>
      <w:divBdr>
        <w:top w:val="none" w:sz="0" w:space="0" w:color="auto"/>
        <w:left w:val="none" w:sz="0" w:space="0" w:color="auto"/>
        <w:bottom w:val="none" w:sz="0" w:space="0" w:color="auto"/>
        <w:right w:val="none" w:sz="0" w:space="0" w:color="auto"/>
      </w:divBdr>
    </w:div>
    <w:div w:id="20971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6675</Words>
  <Characters>40722</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2022083030 _x000d_
SPC pkt. 4.2, 4.4, 4.6, 4.9, 5.1</dc:description>
  <cp:lastModifiedBy>Iman El Kadiri</cp:lastModifiedBy>
  <cp:revision>4</cp:revision>
  <cp:lastPrinted>2012-08-22T08:53:00Z</cp:lastPrinted>
  <dcterms:created xsi:type="dcterms:W3CDTF">2024-02-07T12:58:00Z</dcterms:created>
  <dcterms:modified xsi:type="dcterms:W3CDTF">2024-02-13T17:04:00Z</dcterms:modified>
</cp:coreProperties>
</file>