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BB252" w14:textId="77777777" w:rsidR="009260DE" w:rsidRPr="007C59C9" w:rsidRDefault="0021526C" w:rsidP="009260DE">
      <w:pPr>
        <w:rPr>
          <w:sz w:val="24"/>
          <w:szCs w:val="24"/>
        </w:rPr>
      </w:pPr>
      <w:bookmarkStart w:id="0" w:name="_GoBack"/>
      <w:bookmarkEnd w:id="0"/>
      <w:r w:rsidRPr="007C59C9">
        <w:rPr>
          <w:noProof/>
          <w:sz w:val="24"/>
          <w:szCs w:val="24"/>
          <w:lang w:eastAsia="da-DK"/>
        </w:rPr>
        <w:drawing>
          <wp:anchor distT="0" distB="0" distL="114300" distR="114300" simplePos="0" relativeHeight="251658240" behindDoc="0" locked="0" layoutInCell="1" allowOverlap="1" wp14:anchorId="17F3D3F3" wp14:editId="0016D45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7C59C9">
        <w:rPr>
          <w:sz w:val="24"/>
          <w:szCs w:val="24"/>
        </w:rPr>
        <w:br w:type="textWrapping" w:clear="all"/>
      </w:r>
    </w:p>
    <w:p w14:paraId="4423C440" w14:textId="153A64E7" w:rsidR="009260DE" w:rsidRPr="007C59C9" w:rsidRDefault="009260DE" w:rsidP="009260DE">
      <w:pPr>
        <w:pStyle w:val="Titel"/>
        <w:tabs>
          <w:tab w:val="right" w:pos="9356"/>
        </w:tabs>
        <w:jc w:val="left"/>
        <w:rPr>
          <w:b w:val="0"/>
          <w:szCs w:val="24"/>
          <w:lang w:eastAsia="en-US"/>
        </w:rPr>
      </w:pPr>
      <w:r w:rsidRPr="007C59C9">
        <w:rPr>
          <w:b w:val="0"/>
          <w:szCs w:val="24"/>
          <w:lang w:eastAsia="en-US"/>
        </w:rPr>
        <w:tab/>
      </w:r>
      <w:r w:rsidR="00407359">
        <w:rPr>
          <w:szCs w:val="24"/>
        </w:rPr>
        <w:t>4. oktober 2023</w:t>
      </w:r>
    </w:p>
    <w:p w14:paraId="2B2C9E7F" w14:textId="7FA53B89" w:rsidR="009260DE" w:rsidRPr="007C59C9" w:rsidRDefault="009260DE" w:rsidP="009260DE">
      <w:pPr>
        <w:pStyle w:val="Titel"/>
        <w:tabs>
          <w:tab w:val="left" w:pos="8222"/>
        </w:tabs>
        <w:jc w:val="left"/>
        <w:rPr>
          <w:b w:val="0"/>
          <w:szCs w:val="24"/>
        </w:rPr>
      </w:pPr>
    </w:p>
    <w:p w14:paraId="69C94068" w14:textId="77777777" w:rsidR="009260DE" w:rsidRPr="007C59C9" w:rsidRDefault="009260DE" w:rsidP="009260DE">
      <w:pPr>
        <w:pStyle w:val="Titel"/>
        <w:jc w:val="left"/>
        <w:rPr>
          <w:b w:val="0"/>
          <w:szCs w:val="24"/>
        </w:rPr>
      </w:pPr>
    </w:p>
    <w:p w14:paraId="68B8C08D" w14:textId="77777777" w:rsidR="009260DE" w:rsidRPr="007C59C9" w:rsidRDefault="009260DE" w:rsidP="009260DE">
      <w:pPr>
        <w:pStyle w:val="Titel"/>
        <w:jc w:val="left"/>
        <w:rPr>
          <w:b w:val="0"/>
          <w:szCs w:val="24"/>
        </w:rPr>
      </w:pPr>
    </w:p>
    <w:p w14:paraId="12BFDB36" w14:textId="77777777" w:rsidR="009260DE" w:rsidRPr="007C59C9" w:rsidRDefault="009260DE" w:rsidP="009260DE">
      <w:pPr>
        <w:jc w:val="center"/>
        <w:rPr>
          <w:b/>
          <w:sz w:val="24"/>
          <w:szCs w:val="24"/>
        </w:rPr>
      </w:pPr>
      <w:r w:rsidRPr="007C59C9">
        <w:rPr>
          <w:b/>
          <w:sz w:val="24"/>
          <w:szCs w:val="24"/>
        </w:rPr>
        <w:t>PRODUKTRESUMÉ</w:t>
      </w:r>
    </w:p>
    <w:p w14:paraId="65494F00" w14:textId="77777777" w:rsidR="009260DE" w:rsidRPr="007C59C9" w:rsidRDefault="009260DE" w:rsidP="009260DE">
      <w:pPr>
        <w:jc w:val="center"/>
        <w:rPr>
          <w:b/>
          <w:sz w:val="24"/>
          <w:szCs w:val="24"/>
        </w:rPr>
      </w:pPr>
    </w:p>
    <w:p w14:paraId="4868AF88" w14:textId="77777777" w:rsidR="009260DE" w:rsidRPr="007C59C9" w:rsidRDefault="009260DE" w:rsidP="009260DE">
      <w:pPr>
        <w:jc w:val="center"/>
        <w:rPr>
          <w:b/>
          <w:sz w:val="24"/>
          <w:szCs w:val="24"/>
        </w:rPr>
      </w:pPr>
      <w:r w:rsidRPr="007C59C9">
        <w:rPr>
          <w:b/>
          <w:sz w:val="24"/>
          <w:szCs w:val="24"/>
        </w:rPr>
        <w:t>for</w:t>
      </w:r>
    </w:p>
    <w:p w14:paraId="7322C9E6" w14:textId="77777777" w:rsidR="000B058C" w:rsidRPr="007C59C9" w:rsidRDefault="000B058C" w:rsidP="009260DE">
      <w:pPr>
        <w:jc w:val="center"/>
        <w:rPr>
          <w:b/>
          <w:sz w:val="24"/>
          <w:szCs w:val="24"/>
        </w:rPr>
      </w:pPr>
    </w:p>
    <w:p w14:paraId="18A86010" w14:textId="26999E56" w:rsidR="009260DE" w:rsidRPr="007C59C9" w:rsidRDefault="008E5BF0" w:rsidP="009260DE">
      <w:pPr>
        <w:jc w:val="center"/>
        <w:rPr>
          <w:b/>
          <w:sz w:val="24"/>
          <w:szCs w:val="24"/>
        </w:rPr>
      </w:pPr>
      <w:proofErr w:type="spellStart"/>
      <w:r w:rsidRPr="007C59C9">
        <w:rPr>
          <w:b/>
          <w:sz w:val="24"/>
          <w:szCs w:val="24"/>
        </w:rPr>
        <w:t>Penicryl</w:t>
      </w:r>
      <w:proofErr w:type="spellEnd"/>
      <w:r w:rsidRPr="007C59C9">
        <w:rPr>
          <w:b/>
          <w:sz w:val="24"/>
          <w:szCs w:val="24"/>
        </w:rPr>
        <w:t>, pulver til injektions-/infusionsvæske, opløsning</w:t>
      </w:r>
    </w:p>
    <w:p w14:paraId="0E7A01AF" w14:textId="77777777" w:rsidR="009260DE" w:rsidRPr="007C59C9" w:rsidRDefault="009260DE" w:rsidP="009260DE">
      <w:pPr>
        <w:jc w:val="both"/>
        <w:rPr>
          <w:sz w:val="24"/>
          <w:szCs w:val="24"/>
        </w:rPr>
      </w:pPr>
    </w:p>
    <w:p w14:paraId="799F4F11" w14:textId="77777777" w:rsidR="009260DE" w:rsidRPr="007C59C9" w:rsidRDefault="009260DE" w:rsidP="009260DE">
      <w:pPr>
        <w:jc w:val="both"/>
        <w:rPr>
          <w:sz w:val="24"/>
          <w:szCs w:val="24"/>
        </w:rPr>
      </w:pPr>
    </w:p>
    <w:p w14:paraId="6FA93DBA" w14:textId="77777777" w:rsidR="009260DE" w:rsidRPr="007C59C9" w:rsidRDefault="009260DE" w:rsidP="009260DE">
      <w:pPr>
        <w:tabs>
          <w:tab w:val="left" w:pos="851"/>
        </w:tabs>
        <w:ind w:left="851" w:hanging="851"/>
        <w:rPr>
          <w:b/>
          <w:sz w:val="24"/>
          <w:szCs w:val="24"/>
        </w:rPr>
      </w:pPr>
      <w:r w:rsidRPr="007C59C9">
        <w:rPr>
          <w:b/>
          <w:sz w:val="24"/>
          <w:szCs w:val="24"/>
        </w:rPr>
        <w:t>0.</w:t>
      </w:r>
      <w:r w:rsidRPr="007C59C9">
        <w:rPr>
          <w:b/>
          <w:sz w:val="24"/>
          <w:szCs w:val="24"/>
        </w:rPr>
        <w:tab/>
        <w:t>D.SP.NR.</w:t>
      </w:r>
    </w:p>
    <w:p w14:paraId="4AB200D4" w14:textId="35CCC5DE" w:rsidR="009260DE" w:rsidRPr="007C59C9" w:rsidRDefault="008E5BF0" w:rsidP="009260DE">
      <w:pPr>
        <w:tabs>
          <w:tab w:val="left" w:pos="851"/>
        </w:tabs>
        <w:ind w:left="851"/>
        <w:rPr>
          <w:sz w:val="24"/>
          <w:szCs w:val="24"/>
        </w:rPr>
      </w:pPr>
      <w:r w:rsidRPr="007C59C9">
        <w:rPr>
          <w:sz w:val="24"/>
          <w:szCs w:val="24"/>
        </w:rPr>
        <w:t>32607</w:t>
      </w:r>
    </w:p>
    <w:p w14:paraId="29D6B363" w14:textId="77777777" w:rsidR="009260DE" w:rsidRPr="007C59C9" w:rsidRDefault="009260DE" w:rsidP="009260DE">
      <w:pPr>
        <w:tabs>
          <w:tab w:val="left" w:pos="851"/>
        </w:tabs>
        <w:ind w:left="851"/>
        <w:rPr>
          <w:sz w:val="24"/>
          <w:szCs w:val="24"/>
        </w:rPr>
      </w:pPr>
    </w:p>
    <w:p w14:paraId="2CACA5CC" w14:textId="77777777" w:rsidR="009260DE" w:rsidRPr="007C59C9" w:rsidRDefault="009260DE" w:rsidP="009260DE">
      <w:pPr>
        <w:tabs>
          <w:tab w:val="left" w:pos="851"/>
        </w:tabs>
        <w:ind w:left="851" w:hanging="851"/>
        <w:rPr>
          <w:b/>
          <w:sz w:val="24"/>
          <w:szCs w:val="24"/>
        </w:rPr>
      </w:pPr>
      <w:r w:rsidRPr="007C59C9">
        <w:rPr>
          <w:b/>
          <w:sz w:val="24"/>
          <w:szCs w:val="24"/>
        </w:rPr>
        <w:t>1.</w:t>
      </w:r>
      <w:r w:rsidRPr="007C59C9">
        <w:rPr>
          <w:b/>
          <w:sz w:val="24"/>
          <w:szCs w:val="24"/>
        </w:rPr>
        <w:tab/>
        <w:t>LÆGEMIDLETS NAVN</w:t>
      </w:r>
    </w:p>
    <w:p w14:paraId="76614BDD" w14:textId="484D0E3E" w:rsidR="009260DE" w:rsidRPr="007C59C9" w:rsidRDefault="008E5BF0" w:rsidP="009260DE">
      <w:pPr>
        <w:tabs>
          <w:tab w:val="left" w:pos="851"/>
        </w:tabs>
        <w:ind w:left="851"/>
        <w:rPr>
          <w:sz w:val="24"/>
          <w:szCs w:val="24"/>
        </w:rPr>
      </w:pPr>
      <w:proofErr w:type="spellStart"/>
      <w:r w:rsidRPr="007C59C9">
        <w:rPr>
          <w:sz w:val="24"/>
          <w:szCs w:val="24"/>
        </w:rPr>
        <w:t>Penicryl</w:t>
      </w:r>
      <w:proofErr w:type="spellEnd"/>
    </w:p>
    <w:p w14:paraId="0DA84570" w14:textId="77777777" w:rsidR="009260DE" w:rsidRPr="007C59C9" w:rsidRDefault="009260DE" w:rsidP="009260DE">
      <w:pPr>
        <w:tabs>
          <w:tab w:val="left" w:pos="851"/>
        </w:tabs>
        <w:ind w:left="851"/>
        <w:rPr>
          <w:sz w:val="24"/>
          <w:szCs w:val="24"/>
        </w:rPr>
      </w:pPr>
    </w:p>
    <w:p w14:paraId="0B7C9FC0" w14:textId="77777777" w:rsidR="009260DE" w:rsidRPr="007C59C9" w:rsidRDefault="009260DE" w:rsidP="009260DE">
      <w:pPr>
        <w:tabs>
          <w:tab w:val="left" w:pos="851"/>
        </w:tabs>
        <w:ind w:left="851" w:hanging="851"/>
        <w:rPr>
          <w:b/>
          <w:sz w:val="24"/>
          <w:szCs w:val="24"/>
        </w:rPr>
      </w:pPr>
      <w:r w:rsidRPr="007C59C9">
        <w:rPr>
          <w:b/>
          <w:sz w:val="24"/>
          <w:szCs w:val="24"/>
        </w:rPr>
        <w:t>2.</w:t>
      </w:r>
      <w:r w:rsidRPr="007C59C9">
        <w:rPr>
          <w:b/>
          <w:sz w:val="24"/>
          <w:szCs w:val="24"/>
        </w:rPr>
        <w:tab/>
        <w:t>KVALITATIV OG KVANTITATIV SAMMENSÆTNING</w:t>
      </w:r>
    </w:p>
    <w:p w14:paraId="4C52DD42" w14:textId="77777777" w:rsidR="00DB1628" w:rsidRPr="007C59C9" w:rsidRDefault="00DB1628" w:rsidP="007B2912">
      <w:pPr>
        <w:ind w:left="851"/>
        <w:rPr>
          <w:sz w:val="24"/>
          <w:szCs w:val="24"/>
        </w:rPr>
      </w:pPr>
      <w:bookmarkStart w:id="1" w:name="_Hlk73442108"/>
      <w:r w:rsidRPr="007C59C9">
        <w:rPr>
          <w:sz w:val="24"/>
          <w:szCs w:val="24"/>
        </w:rPr>
        <w:t xml:space="preserve">Hvert hætteglas indeholder 3,1 g </w:t>
      </w:r>
      <w:proofErr w:type="spellStart"/>
      <w:r w:rsidRPr="007C59C9">
        <w:rPr>
          <w:sz w:val="24"/>
          <w:szCs w:val="24"/>
        </w:rPr>
        <w:t>benzylpenicillinkalium</w:t>
      </w:r>
      <w:proofErr w:type="spellEnd"/>
      <w:r w:rsidRPr="007C59C9">
        <w:rPr>
          <w:sz w:val="24"/>
          <w:szCs w:val="24"/>
        </w:rPr>
        <w:t xml:space="preserve"> (5 millioner IE </w:t>
      </w:r>
      <w:proofErr w:type="spellStart"/>
      <w:r w:rsidRPr="007C59C9">
        <w:rPr>
          <w:sz w:val="24"/>
          <w:szCs w:val="24"/>
        </w:rPr>
        <w:t>benzylpenicillin</w:t>
      </w:r>
      <w:proofErr w:type="spellEnd"/>
      <w:r w:rsidRPr="007C59C9">
        <w:rPr>
          <w:sz w:val="24"/>
          <w:szCs w:val="24"/>
        </w:rPr>
        <w:t xml:space="preserve">), svarende til 2,8 g </w:t>
      </w:r>
      <w:proofErr w:type="spellStart"/>
      <w:r w:rsidRPr="007C59C9">
        <w:rPr>
          <w:sz w:val="24"/>
          <w:szCs w:val="24"/>
        </w:rPr>
        <w:t>benzylpenicillin</w:t>
      </w:r>
      <w:proofErr w:type="spellEnd"/>
      <w:r w:rsidRPr="007C59C9">
        <w:rPr>
          <w:sz w:val="24"/>
          <w:szCs w:val="24"/>
        </w:rPr>
        <w:t xml:space="preserve">. </w:t>
      </w:r>
    </w:p>
    <w:p w14:paraId="21FEFC7A" w14:textId="77777777" w:rsidR="00DB1628" w:rsidRPr="007C59C9" w:rsidRDefault="00DB1628" w:rsidP="007B2912">
      <w:pPr>
        <w:ind w:left="851"/>
        <w:rPr>
          <w:sz w:val="24"/>
          <w:szCs w:val="24"/>
          <w:lang w:bidi="en-US"/>
        </w:rPr>
      </w:pPr>
    </w:p>
    <w:p w14:paraId="4E28A372" w14:textId="77777777" w:rsidR="00DB1628" w:rsidRPr="007C59C9" w:rsidRDefault="00DB1628" w:rsidP="007B2912">
      <w:pPr>
        <w:ind w:left="851"/>
        <w:rPr>
          <w:sz w:val="24"/>
          <w:szCs w:val="24"/>
        </w:rPr>
      </w:pPr>
      <w:proofErr w:type="spellStart"/>
      <w:r w:rsidRPr="007C59C9">
        <w:rPr>
          <w:sz w:val="24"/>
          <w:szCs w:val="24"/>
        </w:rPr>
        <w:t>Penicryl</w:t>
      </w:r>
      <w:proofErr w:type="spellEnd"/>
      <w:r w:rsidRPr="007C59C9">
        <w:rPr>
          <w:sz w:val="24"/>
          <w:szCs w:val="24"/>
        </w:rPr>
        <w:t xml:space="preserve"> indeholder 8,42 mmol (329,07 mg) kalium pr. hætteglas.</w:t>
      </w:r>
      <w:bookmarkEnd w:id="1"/>
    </w:p>
    <w:p w14:paraId="4763F9BC" w14:textId="77777777" w:rsidR="009260DE" w:rsidRPr="007C59C9" w:rsidRDefault="009260DE" w:rsidP="009260DE">
      <w:pPr>
        <w:tabs>
          <w:tab w:val="left" w:pos="851"/>
        </w:tabs>
        <w:ind w:left="851"/>
        <w:rPr>
          <w:sz w:val="24"/>
          <w:szCs w:val="24"/>
        </w:rPr>
      </w:pPr>
    </w:p>
    <w:p w14:paraId="61707FB4" w14:textId="77777777" w:rsidR="009260DE" w:rsidRPr="007C59C9" w:rsidRDefault="009260DE" w:rsidP="009260DE">
      <w:pPr>
        <w:tabs>
          <w:tab w:val="left" w:pos="851"/>
        </w:tabs>
        <w:ind w:left="851" w:hanging="851"/>
        <w:rPr>
          <w:b/>
          <w:sz w:val="24"/>
          <w:szCs w:val="24"/>
        </w:rPr>
      </w:pPr>
      <w:r w:rsidRPr="007C59C9">
        <w:rPr>
          <w:b/>
          <w:sz w:val="24"/>
          <w:szCs w:val="24"/>
        </w:rPr>
        <w:t>3.</w:t>
      </w:r>
      <w:r w:rsidRPr="007C59C9">
        <w:rPr>
          <w:b/>
          <w:sz w:val="24"/>
          <w:szCs w:val="24"/>
        </w:rPr>
        <w:tab/>
        <w:t>LÆGEMIDDELFORM</w:t>
      </w:r>
    </w:p>
    <w:p w14:paraId="6165FCA5" w14:textId="77777777" w:rsidR="00DB1628" w:rsidRPr="007C59C9" w:rsidRDefault="00DB1628" w:rsidP="007B2912">
      <w:pPr>
        <w:ind w:left="851"/>
        <w:rPr>
          <w:sz w:val="24"/>
          <w:szCs w:val="24"/>
        </w:rPr>
      </w:pPr>
      <w:r w:rsidRPr="007C59C9">
        <w:rPr>
          <w:sz w:val="24"/>
          <w:szCs w:val="24"/>
        </w:rPr>
        <w:t xml:space="preserve">Pulver til injektions-/infusionsvæske, opløsning </w:t>
      </w:r>
    </w:p>
    <w:p w14:paraId="209A251A" w14:textId="77777777" w:rsidR="00DB1628" w:rsidRPr="007C59C9" w:rsidRDefault="00DB1628" w:rsidP="007B2912">
      <w:pPr>
        <w:ind w:left="851"/>
        <w:rPr>
          <w:sz w:val="24"/>
          <w:szCs w:val="24"/>
        </w:rPr>
      </w:pPr>
      <w:r w:rsidRPr="007C59C9">
        <w:rPr>
          <w:sz w:val="24"/>
          <w:szCs w:val="24"/>
        </w:rPr>
        <w:t>Hvidt eller næsten hvidt, krystallinsk pulver.</w:t>
      </w:r>
    </w:p>
    <w:p w14:paraId="548E2425" w14:textId="77777777" w:rsidR="00DB1628" w:rsidRPr="007C59C9" w:rsidRDefault="00DB1628" w:rsidP="007B2912">
      <w:pPr>
        <w:ind w:left="851"/>
        <w:rPr>
          <w:sz w:val="24"/>
          <w:szCs w:val="24"/>
        </w:rPr>
      </w:pPr>
      <w:r w:rsidRPr="007C59C9">
        <w:rPr>
          <w:sz w:val="24"/>
          <w:szCs w:val="24"/>
        </w:rPr>
        <w:t xml:space="preserve">Den </w:t>
      </w:r>
      <w:proofErr w:type="spellStart"/>
      <w:r w:rsidRPr="007C59C9">
        <w:rPr>
          <w:sz w:val="24"/>
          <w:szCs w:val="24"/>
        </w:rPr>
        <w:t>rekonstituerede</w:t>
      </w:r>
      <w:proofErr w:type="spellEnd"/>
      <w:r w:rsidRPr="007C59C9">
        <w:rPr>
          <w:sz w:val="24"/>
          <w:szCs w:val="24"/>
        </w:rPr>
        <w:t xml:space="preserve"> opløsning er farveløs.</w:t>
      </w:r>
    </w:p>
    <w:p w14:paraId="6C0D8724" w14:textId="77777777" w:rsidR="00DB1628" w:rsidRPr="007C59C9" w:rsidRDefault="00DB1628" w:rsidP="007B2912">
      <w:pPr>
        <w:ind w:left="851"/>
        <w:rPr>
          <w:sz w:val="24"/>
          <w:szCs w:val="24"/>
        </w:rPr>
      </w:pPr>
      <w:r w:rsidRPr="007C59C9">
        <w:rPr>
          <w:sz w:val="24"/>
          <w:szCs w:val="24"/>
        </w:rPr>
        <w:t>Den klargjorte opløsning har en pH på 5,5-7,5.</w:t>
      </w:r>
    </w:p>
    <w:p w14:paraId="36F24DB0" w14:textId="77777777" w:rsidR="009260DE" w:rsidRPr="007C59C9" w:rsidRDefault="009260DE" w:rsidP="009260DE">
      <w:pPr>
        <w:tabs>
          <w:tab w:val="left" w:pos="851"/>
        </w:tabs>
        <w:ind w:left="851"/>
        <w:rPr>
          <w:sz w:val="24"/>
          <w:szCs w:val="24"/>
        </w:rPr>
      </w:pPr>
    </w:p>
    <w:p w14:paraId="089B17A8" w14:textId="77777777" w:rsidR="009260DE" w:rsidRPr="007C59C9" w:rsidRDefault="009260DE" w:rsidP="009260DE">
      <w:pPr>
        <w:tabs>
          <w:tab w:val="left" w:pos="851"/>
        </w:tabs>
        <w:ind w:left="851"/>
        <w:rPr>
          <w:sz w:val="24"/>
          <w:szCs w:val="24"/>
        </w:rPr>
      </w:pPr>
    </w:p>
    <w:p w14:paraId="40E73CC8" w14:textId="77777777" w:rsidR="009260DE" w:rsidRPr="007C59C9" w:rsidRDefault="009260DE" w:rsidP="009260DE">
      <w:pPr>
        <w:tabs>
          <w:tab w:val="left" w:pos="851"/>
        </w:tabs>
        <w:ind w:left="851" w:hanging="851"/>
        <w:rPr>
          <w:b/>
          <w:sz w:val="24"/>
          <w:szCs w:val="24"/>
        </w:rPr>
      </w:pPr>
      <w:r w:rsidRPr="007C59C9">
        <w:rPr>
          <w:b/>
          <w:sz w:val="24"/>
          <w:szCs w:val="24"/>
        </w:rPr>
        <w:t>4.</w:t>
      </w:r>
      <w:r w:rsidRPr="007C59C9">
        <w:rPr>
          <w:b/>
          <w:sz w:val="24"/>
          <w:szCs w:val="24"/>
        </w:rPr>
        <w:tab/>
        <w:t>KLINISKE OPLYSNINGER</w:t>
      </w:r>
    </w:p>
    <w:p w14:paraId="021399B4" w14:textId="77777777" w:rsidR="009260DE" w:rsidRPr="007C59C9" w:rsidRDefault="009260DE" w:rsidP="009260DE">
      <w:pPr>
        <w:tabs>
          <w:tab w:val="left" w:pos="851"/>
        </w:tabs>
        <w:ind w:left="851"/>
        <w:rPr>
          <w:b/>
          <w:sz w:val="24"/>
          <w:szCs w:val="24"/>
        </w:rPr>
      </w:pPr>
    </w:p>
    <w:p w14:paraId="44FC4816" w14:textId="77777777" w:rsidR="009260DE" w:rsidRPr="007C59C9" w:rsidRDefault="009260DE" w:rsidP="009260DE">
      <w:pPr>
        <w:tabs>
          <w:tab w:val="left" w:pos="851"/>
        </w:tabs>
        <w:ind w:left="851" w:hanging="851"/>
        <w:rPr>
          <w:b/>
          <w:sz w:val="24"/>
          <w:szCs w:val="24"/>
          <w:u w:val="single"/>
        </w:rPr>
      </w:pPr>
      <w:r w:rsidRPr="007C59C9">
        <w:rPr>
          <w:b/>
          <w:sz w:val="24"/>
          <w:szCs w:val="24"/>
        </w:rPr>
        <w:t>4.1</w:t>
      </w:r>
      <w:r w:rsidRPr="007C59C9">
        <w:rPr>
          <w:b/>
          <w:sz w:val="24"/>
          <w:szCs w:val="24"/>
        </w:rPr>
        <w:tab/>
        <w:t>Terapeutiske indikationer</w:t>
      </w:r>
    </w:p>
    <w:p w14:paraId="7ED968F4" w14:textId="1DE0C908" w:rsidR="00DB1628" w:rsidRPr="007C59C9" w:rsidRDefault="00DB1628" w:rsidP="007B2912">
      <w:pPr>
        <w:ind w:left="851"/>
        <w:rPr>
          <w:sz w:val="24"/>
          <w:szCs w:val="24"/>
        </w:rPr>
      </w:pPr>
      <w:proofErr w:type="spellStart"/>
      <w:r w:rsidRPr="007C59C9">
        <w:rPr>
          <w:sz w:val="24"/>
          <w:szCs w:val="24"/>
        </w:rPr>
        <w:t>Penicryl</w:t>
      </w:r>
      <w:proofErr w:type="spellEnd"/>
      <w:r w:rsidRPr="007C59C9">
        <w:rPr>
          <w:sz w:val="24"/>
          <w:szCs w:val="24"/>
        </w:rPr>
        <w:t xml:space="preserve"> er indiceret til behandling af følgende infektioner hos voksne, unge og børn (se pkt.</w:t>
      </w:r>
      <w:r w:rsidR="00C63E35">
        <w:rPr>
          <w:sz w:val="24"/>
          <w:szCs w:val="24"/>
        </w:rPr>
        <w:t xml:space="preserve"> </w:t>
      </w:r>
      <w:r w:rsidRPr="007C59C9">
        <w:rPr>
          <w:sz w:val="24"/>
          <w:szCs w:val="24"/>
        </w:rPr>
        <w:t>5.1):</w:t>
      </w:r>
    </w:p>
    <w:p w14:paraId="759C5CBC" w14:textId="77777777" w:rsidR="00DB1628" w:rsidRPr="007C59C9" w:rsidRDefault="00DB1628" w:rsidP="007C59C9">
      <w:pPr>
        <w:pStyle w:val="Listeafsnit"/>
        <w:numPr>
          <w:ilvl w:val="0"/>
          <w:numId w:val="10"/>
        </w:numPr>
        <w:ind w:left="1276" w:hanging="425"/>
        <w:rPr>
          <w:sz w:val="24"/>
          <w:szCs w:val="24"/>
        </w:rPr>
      </w:pPr>
      <w:r w:rsidRPr="007C59C9">
        <w:rPr>
          <w:sz w:val="24"/>
          <w:szCs w:val="24"/>
        </w:rPr>
        <w:t>Samfundserhvervet pneumoni.</w:t>
      </w:r>
    </w:p>
    <w:p w14:paraId="0A9EA17F" w14:textId="77777777" w:rsidR="00DB1628" w:rsidRPr="007C59C9" w:rsidRDefault="00DB1628" w:rsidP="007C59C9">
      <w:pPr>
        <w:pStyle w:val="Listeafsnit"/>
        <w:numPr>
          <w:ilvl w:val="0"/>
          <w:numId w:val="10"/>
        </w:numPr>
        <w:ind w:left="1276" w:hanging="425"/>
        <w:rPr>
          <w:sz w:val="24"/>
          <w:szCs w:val="24"/>
        </w:rPr>
      </w:pPr>
      <w:r w:rsidRPr="007C59C9">
        <w:rPr>
          <w:sz w:val="24"/>
          <w:szCs w:val="24"/>
        </w:rPr>
        <w:t xml:space="preserve">Infektioner i hud og bløddele (herunder gasgangræn og inficerede dyrebid). </w:t>
      </w:r>
    </w:p>
    <w:p w14:paraId="02A628BB" w14:textId="77777777" w:rsidR="00DB1628" w:rsidRPr="007C59C9" w:rsidRDefault="00DB1628" w:rsidP="007C59C9">
      <w:pPr>
        <w:pStyle w:val="Listeafsnit"/>
        <w:numPr>
          <w:ilvl w:val="0"/>
          <w:numId w:val="10"/>
        </w:numPr>
        <w:ind w:left="1276" w:hanging="425"/>
        <w:rPr>
          <w:sz w:val="24"/>
          <w:szCs w:val="24"/>
        </w:rPr>
      </w:pPr>
      <w:r w:rsidRPr="007C59C9">
        <w:rPr>
          <w:sz w:val="24"/>
          <w:szCs w:val="24"/>
        </w:rPr>
        <w:t xml:space="preserve">Akut bakteriel meningitis. </w:t>
      </w:r>
    </w:p>
    <w:p w14:paraId="3B754C20" w14:textId="77777777" w:rsidR="00DB1628" w:rsidRPr="007C59C9" w:rsidRDefault="00DB1628" w:rsidP="007C59C9">
      <w:pPr>
        <w:pStyle w:val="Listeafsnit"/>
        <w:numPr>
          <w:ilvl w:val="0"/>
          <w:numId w:val="10"/>
        </w:numPr>
        <w:ind w:left="1276" w:hanging="425"/>
        <w:rPr>
          <w:sz w:val="24"/>
          <w:szCs w:val="24"/>
        </w:rPr>
      </w:pPr>
      <w:r w:rsidRPr="007C59C9">
        <w:rPr>
          <w:sz w:val="24"/>
          <w:szCs w:val="24"/>
        </w:rPr>
        <w:t xml:space="preserve">Alvorlige infektioner, der er forårsaget af </w:t>
      </w:r>
      <w:proofErr w:type="spellStart"/>
      <w:r w:rsidRPr="007C59C9">
        <w:rPr>
          <w:sz w:val="24"/>
          <w:szCs w:val="24"/>
        </w:rPr>
        <w:t>pneumokokker</w:t>
      </w:r>
      <w:proofErr w:type="spellEnd"/>
      <w:r w:rsidRPr="007C59C9">
        <w:rPr>
          <w:sz w:val="24"/>
          <w:szCs w:val="24"/>
        </w:rPr>
        <w:t xml:space="preserve">, streptokokker, </w:t>
      </w:r>
      <w:proofErr w:type="spellStart"/>
      <w:r w:rsidRPr="007C59C9">
        <w:rPr>
          <w:sz w:val="24"/>
          <w:szCs w:val="24"/>
        </w:rPr>
        <w:t>meningokokker</w:t>
      </w:r>
      <w:proofErr w:type="spellEnd"/>
      <w:r w:rsidRPr="007C59C9">
        <w:rPr>
          <w:sz w:val="24"/>
          <w:szCs w:val="24"/>
        </w:rPr>
        <w:t xml:space="preserve"> eller gonokokker, herunder </w:t>
      </w:r>
      <w:proofErr w:type="spellStart"/>
      <w:r w:rsidRPr="007C59C9">
        <w:rPr>
          <w:sz w:val="24"/>
          <w:szCs w:val="24"/>
        </w:rPr>
        <w:t>septikæmi</w:t>
      </w:r>
      <w:proofErr w:type="spellEnd"/>
      <w:r w:rsidRPr="007C59C9">
        <w:rPr>
          <w:sz w:val="24"/>
          <w:szCs w:val="24"/>
        </w:rPr>
        <w:t xml:space="preserve">, </w:t>
      </w:r>
      <w:proofErr w:type="spellStart"/>
      <w:r w:rsidRPr="007C59C9">
        <w:rPr>
          <w:sz w:val="24"/>
          <w:szCs w:val="24"/>
        </w:rPr>
        <w:t>empyem</w:t>
      </w:r>
      <w:proofErr w:type="spellEnd"/>
      <w:r w:rsidRPr="007C59C9">
        <w:rPr>
          <w:sz w:val="24"/>
          <w:szCs w:val="24"/>
        </w:rPr>
        <w:t xml:space="preserve">, hjerneabsces, knogle- og </w:t>
      </w:r>
      <w:proofErr w:type="spellStart"/>
      <w:r w:rsidRPr="007C59C9">
        <w:rPr>
          <w:sz w:val="24"/>
          <w:szCs w:val="24"/>
        </w:rPr>
        <w:t>ledinfektioner</w:t>
      </w:r>
      <w:proofErr w:type="spellEnd"/>
      <w:r w:rsidRPr="007C59C9">
        <w:rPr>
          <w:sz w:val="24"/>
          <w:szCs w:val="24"/>
        </w:rPr>
        <w:t>.</w:t>
      </w:r>
    </w:p>
    <w:p w14:paraId="1DF63854" w14:textId="77777777" w:rsidR="00DB1628" w:rsidRPr="007C59C9" w:rsidRDefault="00DB1628" w:rsidP="007C59C9">
      <w:pPr>
        <w:pStyle w:val="Listeafsnit"/>
        <w:numPr>
          <w:ilvl w:val="0"/>
          <w:numId w:val="10"/>
        </w:numPr>
        <w:ind w:left="1276" w:hanging="425"/>
        <w:rPr>
          <w:sz w:val="24"/>
          <w:szCs w:val="24"/>
        </w:rPr>
      </w:pPr>
      <w:proofErr w:type="spellStart"/>
      <w:r w:rsidRPr="007C59C9">
        <w:rPr>
          <w:sz w:val="24"/>
          <w:szCs w:val="24"/>
        </w:rPr>
        <w:t>Endocarditis</w:t>
      </w:r>
      <w:proofErr w:type="spellEnd"/>
      <w:r w:rsidRPr="007C59C9">
        <w:rPr>
          <w:sz w:val="24"/>
          <w:szCs w:val="24"/>
        </w:rPr>
        <w:t xml:space="preserve">. </w:t>
      </w:r>
    </w:p>
    <w:p w14:paraId="09DBAAB0" w14:textId="77777777" w:rsidR="00DB1628" w:rsidRPr="007C59C9" w:rsidRDefault="00DB1628" w:rsidP="007C59C9">
      <w:pPr>
        <w:pStyle w:val="Listeafsnit"/>
        <w:numPr>
          <w:ilvl w:val="0"/>
          <w:numId w:val="10"/>
        </w:numPr>
        <w:ind w:left="1276" w:hanging="425"/>
        <w:rPr>
          <w:sz w:val="24"/>
          <w:szCs w:val="24"/>
        </w:rPr>
      </w:pPr>
      <w:proofErr w:type="spellStart"/>
      <w:r w:rsidRPr="007C59C9">
        <w:rPr>
          <w:sz w:val="24"/>
          <w:szCs w:val="24"/>
        </w:rPr>
        <w:t>Neuroborreliose</w:t>
      </w:r>
      <w:proofErr w:type="spellEnd"/>
      <w:r w:rsidRPr="007C59C9">
        <w:rPr>
          <w:sz w:val="24"/>
          <w:szCs w:val="24"/>
        </w:rPr>
        <w:t xml:space="preserve">. </w:t>
      </w:r>
    </w:p>
    <w:p w14:paraId="4B2FCFF1" w14:textId="77777777" w:rsidR="00DB1628" w:rsidRPr="007C59C9" w:rsidRDefault="00DB1628" w:rsidP="007C59C9">
      <w:pPr>
        <w:pStyle w:val="Listeafsnit"/>
        <w:numPr>
          <w:ilvl w:val="0"/>
          <w:numId w:val="10"/>
        </w:numPr>
        <w:ind w:left="1276" w:hanging="425"/>
        <w:rPr>
          <w:sz w:val="24"/>
          <w:szCs w:val="24"/>
        </w:rPr>
      </w:pPr>
      <w:r w:rsidRPr="007C59C9">
        <w:rPr>
          <w:sz w:val="24"/>
          <w:szCs w:val="24"/>
        </w:rPr>
        <w:t xml:space="preserve">Syfilis. </w:t>
      </w:r>
    </w:p>
    <w:p w14:paraId="04493EA0" w14:textId="77777777" w:rsidR="00DB1628" w:rsidRPr="007C59C9" w:rsidRDefault="00DB1628" w:rsidP="007B2912">
      <w:pPr>
        <w:ind w:left="851"/>
        <w:rPr>
          <w:sz w:val="24"/>
          <w:szCs w:val="24"/>
          <w:lang w:val="en-GB" w:bidi="en-US"/>
        </w:rPr>
      </w:pPr>
    </w:p>
    <w:p w14:paraId="08F42D16" w14:textId="77777777" w:rsidR="00DB1628" w:rsidRPr="007C59C9" w:rsidRDefault="00DB1628" w:rsidP="007B2912">
      <w:pPr>
        <w:ind w:left="851"/>
        <w:rPr>
          <w:sz w:val="24"/>
          <w:szCs w:val="24"/>
        </w:rPr>
      </w:pPr>
      <w:bookmarkStart w:id="2" w:name="_Hlk99521146"/>
      <w:r w:rsidRPr="007C59C9">
        <w:rPr>
          <w:sz w:val="24"/>
          <w:szCs w:val="24"/>
        </w:rPr>
        <w:lastRenderedPageBreak/>
        <w:t>Der skal tages hensyn til de officielle retningslinjer vedrørende passende brug af antibiotika.</w:t>
      </w:r>
    </w:p>
    <w:bookmarkEnd w:id="2"/>
    <w:p w14:paraId="77FB961A" w14:textId="77777777" w:rsidR="009260DE" w:rsidRPr="007C59C9" w:rsidRDefault="009260DE" w:rsidP="009260DE">
      <w:pPr>
        <w:tabs>
          <w:tab w:val="left" w:pos="851"/>
        </w:tabs>
        <w:ind w:left="851"/>
        <w:rPr>
          <w:sz w:val="24"/>
          <w:szCs w:val="24"/>
        </w:rPr>
      </w:pPr>
    </w:p>
    <w:p w14:paraId="09BA6E11" w14:textId="77777777" w:rsidR="009260DE" w:rsidRPr="007C59C9" w:rsidRDefault="009260DE" w:rsidP="009260DE">
      <w:pPr>
        <w:tabs>
          <w:tab w:val="left" w:pos="851"/>
        </w:tabs>
        <w:ind w:left="851" w:hanging="851"/>
        <w:rPr>
          <w:b/>
          <w:sz w:val="24"/>
          <w:szCs w:val="24"/>
        </w:rPr>
      </w:pPr>
      <w:r w:rsidRPr="007C59C9">
        <w:rPr>
          <w:b/>
          <w:sz w:val="24"/>
          <w:szCs w:val="24"/>
        </w:rPr>
        <w:t>4.2</w:t>
      </w:r>
      <w:r w:rsidRPr="007C59C9">
        <w:rPr>
          <w:b/>
          <w:sz w:val="24"/>
          <w:szCs w:val="24"/>
        </w:rPr>
        <w:tab/>
        <w:t xml:space="preserve">Dosering og </w:t>
      </w:r>
      <w:r w:rsidR="002C1EC0" w:rsidRPr="007C59C9">
        <w:rPr>
          <w:b/>
          <w:sz w:val="24"/>
          <w:szCs w:val="24"/>
        </w:rPr>
        <w:t>administration</w:t>
      </w:r>
    </w:p>
    <w:p w14:paraId="6B63CE1A" w14:textId="77777777" w:rsidR="007C59C9" w:rsidRDefault="007C59C9" w:rsidP="007B2912">
      <w:pPr>
        <w:ind w:left="851"/>
        <w:rPr>
          <w:noProof/>
          <w:sz w:val="24"/>
          <w:szCs w:val="24"/>
        </w:rPr>
      </w:pPr>
    </w:p>
    <w:p w14:paraId="469F3256" w14:textId="721D5C1E" w:rsidR="00DB1628" w:rsidRPr="007C59C9" w:rsidRDefault="00DB1628" w:rsidP="007B2912">
      <w:pPr>
        <w:ind w:left="851"/>
        <w:rPr>
          <w:noProof/>
          <w:sz w:val="24"/>
          <w:szCs w:val="24"/>
          <w:u w:val="single"/>
        </w:rPr>
      </w:pPr>
      <w:r w:rsidRPr="007C59C9">
        <w:rPr>
          <w:noProof/>
          <w:sz w:val="24"/>
          <w:szCs w:val="24"/>
          <w:u w:val="single"/>
        </w:rPr>
        <w:t>Dosering</w:t>
      </w:r>
    </w:p>
    <w:p w14:paraId="645ADEC3" w14:textId="77777777" w:rsidR="00DB1628" w:rsidRPr="007C59C9" w:rsidRDefault="00DB1628" w:rsidP="007B2912">
      <w:pPr>
        <w:ind w:left="851"/>
        <w:rPr>
          <w:noProof/>
          <w:sz w:val="24"/>
          <w:szCs w:val="24"/>
        </w:rPr>
      </w:pPr>
    </w:p>
    <w:p w14:paraId="0D20D0A9" w14:textId="77777777" w:rsidR="00DB1628" w:rsidRPr="007C59C9" w:rsidRDefault="00DB1628" w:rsidP="007B2912">
      <w:pPr>
        <w:ind w:left="851"/>
        <w:rPr>
          <w:sz w:val="24"/>
          <w:szCs w:val="24"/>
        </w:rPr>
      </w:pPr>
      <w:r w:rsidRPr="007C59C9">
        <w:rPr>
          <w:sz w:val="24"/>
          <w:szCs w:val="24"/>
        </w:rPr>
        <w:t>Dosis skal tilpasses i henhold til patientens nyrefunktion, alder og legemsvægt.</w:t>
      </w:r>
    </w:p>
    <w:p w14:paraId="3EF19380" w14:textId="77777777" w:rsidR="00DB1628" w:rsidRPr="007C59C9" w:rsidRDefault="00DB1628" w:rsidP="007B2912">
      <w:pPr>
        <w:ind w:left="851"/>
        <w:rPr>
          <w:sz w:val="24"/>
          <w:szCs w:val="24"/>
        </w:rPr>
      </w:pPr>
    </w:p>
    <w:p w14:paraId="54B46081" w14:textId="77777777" w:rsidR="00DB1628" w:rsidRPr="007C59C9" w:rsidRDefault="00DB1628" w:rsidP="007B2912">
      <w:pPr>
        <w:ind w:left="851"/>
        <w:rPr>
          <w:i/>
          <w:sz w:val="24"/>
          <w:szCs w:val="24"/>
        </w:rPr>
      </w:pPr>
      <w:r w:rsidRPr="007C59C9">
        <w:rPr>
          <w:i/>
          <w:sz w:val="24"/>
          <w:szCs w:val="24"/>
        </w:rPr>
        <w:t xml:space="preserve">Voksne og unge over 12 år: </w:t>
      </w:r>
    </w:p>
    <w:p w14:paraId="26E707E3" w14:textId="77777777" w:rsidR="00DB1628" w:rsidRPr="007C59C9" w:rsidRDefault="00DB1628" w:rsidP="007B2912">
      <w:pPr>
        <w:ind w:left="851"/>
        <w:rPr>
          <w:iCs/>
          <w:sz w:val="24"/>
          <w:szCs w:val="24"/>
        </w:rPr>
      </w:pPr>
      <w:bookmarkStart w:id="3" w:name="_Hlk74308666"/>
      <w:r w:rsidRPr="007C59C9">
        <w:rPr>
          <w:i/>
          <w:sz w:val="24"/>
          <w:szCs w:val="24"/>
        </w:rPr>
        <w:t>Intramuskulært</w:t>
      </w:r>
      <w:r w:rsidRPr="007C59C9">
        <w:rPr>
          <w:iCs/>
          <w:sz w:val="24"/>
          <w:szCs w:val="24"/>
        </w:rPr>
        <w:t>: 1,67 millioner IE (</w:t>
      </w:r>
      <w:r w:rsidRPr="007C59C9">
        <w:rPr>
          <w:sz w:val="24"/>
          <w:szCs w:val="24"/>
        </w:rPr>
        <w:t xml:space="preserve">svarende til 0,9 g </w:t>
      </w:r>
      <w:proofErr w:type="spellStart"/>
      <w:r w:rsidRPr="007C59C9">
        <w:rPr>
          <w:sz w:val="24"/>
          <w:szCs w:val="24"/>
        </w:rPr>
        <w:t>benzylpenicillin</w:t>
      </w:r>
      <w:proofErr w:type="spellEnd"/>
      <w:r w:rsidRPr="007C59C9">
        <w:rPr>
          <w:iCs/>
          <w:sz w:val="24"/>
          <w:szCs w:val="24"/>
        </w:rPr>
        <w:t>) 4-6 gange om dagen</w:t>
      </w:r>
      <w:r w:rsidRPr="007C59C9">
        <w:rPr>
          <w:i/>
          <w:sz w:val="24"/>
          <w:szCs w:val="24"/>
        </w:rPr>
        <w:t xml:space="preserve"> </w:t>
      </w:r>
      <w:r w:rsidRPr="007C59C9">
        <w:rPr>
          <w:iCs/>
          <w:sz w:val="24"/>
          <w:szCs w:val="24"/>
        </w:rPr>
        <w:t>(hver 4.-6. time)</w:t>
      </w:r>
    </w:p>
    <w:bookmarkEnd w:id="3"/>
    <w:p w14:paraId="08264CD6" w14:textId="77777777" w:rsidR="00DB1628" w:rsidRPr="007C59C9" w:rsidRDefault="00DB1628" w:rsidP="007B2912">
      <w:pPr>
        <w:ind w:left="851"/>
        <w:rPr>
          <w:sz w:val="24"/>
          <w:szCs w:val="24"/>
        </w:rPr>
      </w:pPr>
      <w:r w:rsidRPr="007C59C9">
        <w:rPr>
          <w:i/>
          <w:sz w:val="24"/>
          <w:szCs w:val="24"/>
        </w:rPr>
        <w:t>Intravenøst</w:t>
      </w:r>
      <w:r w:rsidRPr="007C59C9">
        <w:rPr>
          <w:iCs/>
          <w:sz w:val="24"/>
          <w:szCs w:val="24"/>
        </w:rPr>
        <w:t>:</w:t>
      </w:r>
      <w:r w:rsidRPr="007C59C9">
        <w:rPr>
          <w:i/>
          <w:sz w:val="24"/>
          <w:szCs w:val="24"/>
        </w:rPr>
        <w:t xml:space="preserve"> </w:t>
      </w:r>
      <w:r w:rsidRPr="007C59C9">
        <w:rPr>
          <w:iCs/>
          <w:sz w:val="24"/>
          <w:szCs w:val="24"/>
        </w:rPr>
        <w:t>5-20 millioner IE (</w:t>
      </w:r>
      <w:r w:rsidRPr="007C59C9">
        <w:rPr>
          <w:sz w:val="24"/>
          <w:szCs w:val="24"/>
        </w:rPr>
        <w:t xml:space="preserve">svarende til 2,8-11,2 g </w:t>
      </w:r>
      <w:proofErr w:type="spellStart"/>
      <w:r w:rsidRPr="007C59C9">
        <w:rPr>
          <w:sz w:val="24"/>
          <w:szCs w:val="24"/>
        </w:rPr>
        <w:t>benzylpenicillin</w:t>
      </w:r>
      <w:proofErr w:type="spellEnd"/>
      <w:r w:rsidRPr="007C59C9">
        <w:rPr>
          <w:sz w:val="24"/>
          <w:szCs w:val="24"/>
        </w:rPr>
        <w:t>) i døgnet.</w:t>
      </w:r>
    </w:p>
    <w:p w14:paraId="405E5827" w14:textId="77777777" w:rsidR="00DB1628" w:rsidRPr="007C59C9" w:rsidRDefault="00DB1628" w:rsidP="007B2912">
      <w:pPr>
        <w:ind w:left="851"/>
        <w:rPr>
          <w:sz w:val="24"/>
          <w:szCs w:val="24"/>
        </w:rPr>
      </w:pPr>
      <w:r w:rsidRPr="007C59C9">
        <w:rPr>
          <w:sz w:val="24"/>
          <w:szCs w:val="24"/>
        </w:rPr>
        <w:t xml:space="preserve">Om nødvendigt øges den daglige dosis til højst 50 millioner IE (svarende til 28,1 g </w:t>
      </w:r>
      <w:proofErr w:type="spellStart"/>
      <w:r w:rsidRPr="007C59C9">
        <w:rPr>
          <w:sz w:val="24"/>
          <w:szCs w:val="24"/>
        </w:rPr>
        <w:t>benzylpenicillin</w:t>
      </w:r>
      <w:proofErr w:type="spellEnd"/>
      <w:r w:rsidRPr="007C59C9">
        <w:rPr>
          <w:sz w:val="24"/>
          <w:szCs w:val="24"/>
        </w:rPr>
        <w:t>).</w:t>
      </w:r>
    </w:p>
    <w:p w14:paraId="7E68A2A9" w14:textId="77777777" w:rsidR="00DB1628" w:rsidRPr="007C59C9" w:rsidRDefault="00DB1628" w:rsidP="007B2912">
      <w:pPr>
        <w:ind w:left="851"/>
        <w:rPr>
          <w:sz w:val="24"/>
          <w:szCs w:val="24"/>
        </w:rPr>
      </w:pPr>
    </w:p>
    <w:p w14:paraId="0F352D13" w14:textId="77777777" w:rsidR="00DB1628" w:rsidRPr="007C59C9" w:rsidRDefault="00DB1628" w:rsidP="007B2912">
      <w:pPr>
        <w:ind w:left="851"/>
        <w:rPr>
          <w:i/>
          <w:iCs/>
          <w:sz w:val="24"/>
          <w:szCs w:val="24"/>
        </w:rPr>
      </w:pPr>
      <w:r w:rsidRPr="007C59C9">
        <w:rPr>
          <w:i/>
          <w:sz w:val="24"/>
          <w:szCs w:val="24"/>
        </w:rPr>
        <w:t>Børn på 1-12 år:</w:t>
      </w:r>
    </w:p>
    <w:p w14:paraId="060EF92A" w14:textId="77777777" w:rsidR="00DB1628" w:rsidRPr="007C59C9" w:rsidRDefault="00DB1628" w:rsidP="007B2912">
      <w:pPr>
        <w:ind w:left="851"/>
        <w:rPr>
          <w:sz w:val="24"/>
          <w:szCs w:val="24"/>
        </w:rPr>
      </w:pPr>
      <w:r w:rsidRPr="007C59C9">
        <w:rPr>
          <w:sz w:val="24"/>
          <w:szCs w:val="24"/>
        </w:rPr>
        <w:t xml:space="preserve">250 000 IE (svarende til 140,5 mg </w:t>
      </w:r>
      <w:proofErr w:type="spellStart"/>
      <w:r w:rsidRPr="007C59C9">
        <w:rPr>
          <w:sz w:val="24"/>
          <w:szCs w:val="24"/>
        </w:rPr>
        <w:t>benzylpenicillin</w:t>
      </w:r>
      <w:proofErr w:type="spellEnd"/>
      <w:r w:rsidRPr="007C59C9">
        <w:rPr>
          <w:sz w:val="24"/>
          <w:szCs w:val="24"/>
        </w:rPr>
        <w:t>) pr. kg legemsvægt i døgnet.</w:t>
      </w:r>
    </w:p>
    <w:p w14:paraId="077969C6" w14:textId="77777777" w:rsidR="00DB1628" w:rsidRPr="007C59C9" w:rsidRDefault="00DB1628" w:rsidP="007B2912">
      <w:pPr>
        <w:ind w:left="851"/>
        <w:rPr>
          <w:sz w:val="24"/>
          <w:szCs w:val="24"/>
        </w:rPr>
      </w:pPr>
    </w:p>
    <w:p w14:paraId="57DB762B" w14:textId="77777777" w:rsidR="00DB1628" w:rsidRPr="007C59C9" w:rsidRDefault="00DB1628" w:rsidP="007B2912">
      <w:pPr>
        <w:ind w:left="851"/>
        <w:rPr>
          <w:i/>
          <w:iCs/>
          <w:sz w:val="24"/>
          <w:szCs w:val="24"/>
        </w:rPr>
      </w:pPr>
      <w:r w:rsidRPr="007C59C9">
        <w:rPr>
          <w:i/>
          <w:sz w:val="24"/>
          <w:szCs w:val="24"/>
        </w:rPr>
        <w:t>Børn på 1 måned -1 år:</w:t>
      </w:r>
    </w:p>
    <w:p w14:paraId="19513407" w14:textId="77777777" w:rsidR="00DB1628" w:rsidRPr="007C59C9" w:rsidRDefault="00DB1628" w:rsidP="007B2912">
      <w:pPr>
        <w:ind w:left="851"/>
        <w:rPr>
          <w:sz w:val="24"/>
          <w:szCs w:val="24"/>
        </w:rPr>
      </w:pPr>
      <w:r w:rsidRPr="007C59C9">
        <w:rPr>
          <w:sz w:val="24"/>
          <w:szCs w:val="24"/>
        </w:rPr>
        <w:t xml:space="preserve">167 000 IE (svarende til 93,9 mg </w:t>
      </w:r>
      <w:proofErr w:type="spellStart"/>
      <w:r w:rsidRPr="007C59C9">
        <w:rPr>
          <w:sz w:val="24"/>
          <w:szCs w:val="24"/>
        </w:rPr>
        <w:t>benzylpenicillin</w:t>
      </w:r>
      <w:proofErr w:type="spellEnd"/>
      <w:r w:rsidRPr="007C59C9">
        <w:rPr>
          <w:sz w:val="24"/>
          <w:szCs w:val="24"/>
        </w:rPr>
        <w:t>) pr. kg legemsvægt i døgnet.</w:t>
      </w:r>
    </w:p>
    <w:p w14:paraId="5B45B34E" w14:textId="77777777" w:rsidR="00DB1628" w:rsidRPr="007C59C9" w:rsidRDefault="00DB1628" w:rsidP="007B2912">
      <w:pPr>
        <w:ind w:left="851"/>
        <w:rPr>
          <w:sz w:val="24"/>
          <w:szCs w:val="24"/>
        </w:rPr>
      </w:pPr>
      <w:r w:rsidRPr="007C59C9">
        <w:rPr>
          <w:sz w:val="24"/>
          <w:szCs w:val="24"/>
        </w:rPr>
        <w:t>Hos nyfødte bør dosis og administrationshyppighed reduceres, eftersom nyrefunktionen ikke er fuldt udviklet hos nyfødte, hvilket kan forsinke eliminationen af penicillin.</w:t>
      </w:r>
    </w:p>
    <w:p w14:paraId="1BFC8B1C" w14:textId="77777777" w:rsidR="00DB1628" w:rsidRPr="007C59C9" w:rsidRDefault="00DB1628" w:rsidP="007B2912">
      <w:pPr>
        <w:ind w:left="851"/>
        <w:rPr>
          <w:sz w:val="24"/>
          <w:szCs w:val="24"/>
        </w:rPr>
      </w:pPr>
    </w:p>
    <w:p w14:paraId="4271677F" w14:textId="77777777" w:rsidR="00DB1628" w:rsidRPr="007C59C9" w:rsidRDefault="00DB1628" w:rsidP="007B2912">
      <w:pPr>
        <w:ind w:left="851"/>
        <w:rPr>
          <w:i/>
          <w:iCs/>
          <w:sz w:val="24"/>
          <w:szCs w:val="24"/>
        </w:rPr>
      </w:pPr>
      <w:r w:rsidRPr="007C59C9">
        <w:rPr>
          <w:i/>
          <w:sz w:val="24"/>
          <w:szCs w:val="24"/>
        </w:rPr>
        <w:t>Nyfødte og præmature spædbørn:</w:t>
      </w:r>
    </w:p>
    <w:p w14:paraId="139C4111" w14:textId="77777777" w:rsidR="00DB1628" w:rsidRPr="007C59C9" w:rsidRDefault="00DB1628" w:rsidP="007B2912">
      <w:pPr>
        <w:ind w:left="851"/>
        <w:rPr>
          <w:sz w:val="24"/>
          <w:szCs w:val="24"/>
        </w:rPr>
      </w:pPr>
      <w:r w:rsidRPr="007C59C9">
        <w:rPr>
          <w:sz w:val="24"/>
          <w:szCs w:val="24"/>
        </w:rPr>
        <w:t xml:space="preserve">50 000 IE (svarende til 28,1 mg </w:t>
      </w:r>
      <w:proofErr w:type="spellStart"/>
      <w:r w:rsidRPr="007C59C9">
        <w:rPr>
          <w:sz w:val="24"/>
          <w:szCs w:val="24"/>
        </w:rPr>
        <w:t>benzylpenicillin</w:t>
      </w:r>
      <w:proofErr w:type="spellEnd"/>
      <w:r w:rsidRPr="007C59C9">
        <w:rPr>
          <w:sz w:val="24"/>
          <w:szCs w:val="24"/>
        </w:rPr>
        <w:t xml:space="preserve">) pr. kg legemsvægt i døgnet. Den daglige dosis fordeles på 3-4 intravenøse injektioner (hver 8.-6. time) eller intermitterende infusioner. Alternativet kan præparatet gives som en </w:t>
      </w:r>
      <w:bookmarkStart w:id="4" w:name="_Hlk74308693"/>
      <w:r w:rsidRPr="007C59C9">
        <w:rPr>
          <w:sz w:val="24"/>
          <w:szCs w:val="24"/>
        </w:rPr>
        <w:t>intramuskulær</w:t>
      </w:r>
      <w:bookmarkEnd w:id="4"/>
      <w:r w:rsidRPr="007C59C9">
        <w:rPr>
          <w:sz w:val="24"/>
          <w:szCs w:val="24"/>
        </w:rPr>
        <w:t xml:space="preserve"> injektion eller som en kontinuerlig intravenøs infusion ved hjælp af en infusionspumpe. Hos præmature spædbørn og spædbørn, der er under én uge gamle, fordeles den daglige dosis på to injektioner (hver 12. time) på baggrund af den forlængede halveringstid hos disse patienter. </w:t>
      </w:r>
      <w:bookmarkStart w:id="5" w:name="_Hlk112396161"/>
      <w:r w:rsidRPr="007C59C9">
        <w:rPr>
          <w:sz w:val="24"/>
          <w:szCs w:val="24"/>
        </w:rPr>
        <w:t>Hos nyfødte bør dosis og administrationshyppighed reduceres, eftersom nyrefunktionen ikke er fuldt udviklet hos nyfødte, hvilket kan forsinke eliminationen af penicillin.</w:t>
      </w:r>
    </w:p>
    <w:bookmarkEnd w:id="5"/>
    <w:p w14:paraId="6C78D90D" w14:textId="77777777" w:rsidR="00DB1628" w:rsidRPr="007C59C9" w:rsidRDefault="00DB1628" w:rsidP="007B2912">
      <w:pPr>
        <w:ind w:left="851"/>
        <w:rPr>
          <w:sz w:val="24"/>
          <w:szCs w:val="24"/>
        </w:rPr>
      </w:pPr>
    </w:p>
    <w:p w14:paraId="732BCA8B" w14:textId="77777777" w:rsidR="00DB1628" w:rsidRPr="007C59C9" w:rsidRDefault="00DB1628" w:rsidP="007B2912">
      <w:pPr>
        <w:ind w:left="851"/>
        <w:rPr>
          <w:sz w:val="24"/>
          <w:szCs w:val="24"/>
        </w:rPr>
      </w:pPr>
      <w:r w:rsidRPr="007C59C9">
        <w:rPr>
          <w:sz w:val="24"/>
          <w:szCs w:val="24"/>
        </w:rPr>
        <w:t xml:space="preserve">Ved </w:t>
      </w:r>
      <w:proofErr w:type="spellStart"/>
      <w:r w:rsidRPr="007C59C9">
        <w:rPr>
          <w:i/>
          <w:sz w:val="24"/>
          <w:szCs w:val="24"/>
        </w:rPr>
        <w:t>endocarditis</w:t>
      </w:r>
      <w:proofErr w:type="spellEnd"/>
      <w:r w:rsidRPr="007C59C9">
        <w:rPr>
          <w:i/>
          <w:sz w:val="24"/>
          <w:szCs w:val="24"/>
        </w:rPr>
        <w:t xml:space="preserve"> </w:t>
      </w:r>
      <w:r w:rsidRPr="007C59C9">
        <w:rPr>
          <w:sz w:val="24"/>
          <w:szCs w:val="24"/>
        </w:rPr>
        <w:t xml:space="preserve">bør </w:t>
      </w:r>
      <w:proofErr w:type="spellStart"/>
      <w:r w:rsidRPr="007C59C9">
        <w:rPr>
          <w:sz w:val="24"/>
          <w:szCs w:val="24"/>
        </w:rPr>
        <w:t>benzylpenicillin</w:t>
      </w:r>
      <w:proofErr w:type="spellEnd"/>
      <w:r w:rsidRPr="007C59C9">
        <w:rPr>
          <w:sz w:val="24"/>
          <w:szCs w:val="24"/>
        </w:rPr>
        <w:t xml:space="preserve"> kombineres med </w:t>
      </w:r>
      <w:proofErr w:type="gramStart"/>
      <w:r w:rsidRPr="007C59C9">
        <w:rPr>
          <w:sz w:val="24"/>
          <w:szCs w:val="24"/>
        </w:rPr>
        <w:t>et aminoglykosid</w:t>
      </w:r>
      <w:proofErr w:type="gramEnd"/>
      <w:r w:rsidRPr="007C59C9">
        <w:rPr>
          <w:sz w:val="24"/>
          <w:szCs w:val="24"/>
        </w:rPr>
        <w:t>.</w:t>
      </w:r>
    </w:p>
    <w:p w14:paraId="72063C64" w14:textId="7B1EA7C9" w:rsidR="00DB1628" w:rsidRPr="007C59C9" w:rsidRDefault="00DB1628" w:rsidP="007B2912">
      <w:pPr>
        <w:ind w:left="851"/>
        <w:rPr>
          <w:sz w:val="24"/>
          <w:szCs w:val="24"/>
          <w:lang w:bidi="en-US"/>
        </w:rPr>
      </w:pPr>
    </w:p>
    <w:p w14:paraId="7447B8F1" w14:textId="77777777" w:rsidR="00DB1628" w:rsidRPr="007C59C9" w:rsidRDefault="00DB1628" w:rsidP="007B2912">
      <w:pPr>
        <w:ind w:left="851"/>
        <w:rPr>
          <w:sz w:val="24"/>
          <w:szCs w:val="24"/>
        </w:rPr>
      </w:pPr>
      <w:r w:rsidRPr="007C59C9">
        <w:rPr>
          <w:sz w:val="24"/>
          <w:szCs w:val="24"/>
        </w:rPr>
        <w:t>Ældre patienter</w:t>
      </w:r>
    </w:p>
    <w:p w14:paraId="7E8EF60D" w14:textId="77777777" w:rsidR="00DB1628" w:rsidRPr="007C59C9" w:rsidRDefault="00DB1628" w:rsidP="007B2912">
      <w:pPr>
        <w:ind w:left="851"/>
        <w:rPr>
          <w:sz w:val="24"/>
          <w:szCs w:val="24"/>
        </w:rPr>
      </w:pPr>
      <w:r w:rsidRPr="007C59C9">
        <w:rPr>
          <w:sz w:val="24"/>
          <w:szCs w:val="24"/>
        </w:rPr>
        <w:t xml:space="preserve">På grund af den øgede risiko for </w:t>
      </w:r>
      <w:proofErr w:type="spellStart"/>
      <w:r w:rsidRPr="007C59C9">
        <w:rPr>
          <w:sz w:val="24"/>
          <w:szCs w:val="24"/>
        </w:rPr>
        <w:t>hyperkaliæmi</w:t>
      </w:r>
      <w:proofErr w:type="spellEnd"/>
      <w:r w:rsidRPr="007C59C9">
        <w:rPr>
          <w:sz w:val="24"/>
          <w:szCs w:val="24"/>
        </w:rPr>
        <w:t xml:space="preserve"> skal </w:t>
      </w:r>
      <w:proofErr w:type="spellStart"/>
      <w:r w:rsidRPr="007C59C9">
        <w:rPr>
          <w:sz w:val="24"/>
          <w:szCs w:val="24"/>
        </w:rPr>
        <w:t>benzylpenicillinkalium</w:t>
      </w:r>
      <w:proofErr w:type="spellEnd"/>
      <w:r w:rsidRPr="007C59C9">
        <w:rPr>
          <w:sz w:val="24"/>
          <w:szCs w:val="24"/>
        </w:rPr>
        <w:t xml:space="preserve"> gives med forsigtighed og under hyppig monitorering af serumkalium.</w:t>
      </w:r>
    </w:p>
    <w:p w14:paraId="4D823E58" w14:textId="77777777" w:rsidR="00DB1628" w:rsidRPr="007C59C9" w:rsidRDefault="00DB1628" w:rsidP="007B2912">
      <w:pPr>
        <w:ind w:left="851"/>
        <w:rPr>
          <w:sz w:val="24"/>
          <w:szCs w:val="24"/>
        </w:rPr>
      </w:pPr>
    </w:p>
    <w:p w14:paraId="189E85EC" w14:textId="77777777" w:rsidR="00DB1628" w:rsidRPr="007C59C9" w:rsidRDefault="00DB1628" w:rsidP="007B2912">
      <w:pPr>
        <w:ind w:left="851"/>
        <w:rPr>
          <w:sz w:val="24"/>
          <w:szCs w:val="24"/>
        </w:rPr>
      </w:pPr>
      <w:r w:rsidRPr="007C59C9">
        <w:rPr>
          <w:sz w:val="24"/>
          <w:szCs w:val="24"/>
        </w:rPr>
        <w:t>Patienter med nedsat nyre- eller leverfunktion</w:t>
      </w:r>
    </w:p>
    <w:p w14:paraId="14845AF2" w14:textId="77777777" w:rsidR="00DB1628" w:rsidRPr="007C59C9" w:rsidRDefault="00DB1628" w:rsidP="007B2912">
      <w:pPr>
        <w:ind w:left="851"/>
        <w:rPr>
          <w:sz w:val="24"/>
          <w:szCs w:val="24"/>
        </w:rPr>
      </w:pPr>
      <w:r w:rsidRPr="007C59C9">
        <w:rPr>
          <w:sz w:val="24"/>
          <w:szCs w:val="24"/>
        </w:rPr>
        <w:t xml:space="preserve">Uræmiske patienter med </w:t>
      </w:r>
      <w:proofErr w:type="spellStart"/>
      <w:r w:rsidRPr="007C59C9">
        <w:rPr>
          <w:sz w:val="24"/>
          <w:szCs w:val="24"/>
        </w:rPr>
        <w:t>CrCl</w:t>
      </w:r>
      <w:proofErr w:type="spellEnd"/>
      <w:r w:rsidRPr="007C59C9">
        <w:rPr>
          <w:sz w:val="24"/>
          <w:szCs w:val="24"/>
        </w:rPr>
        <w:t xml:space="preserve"> over 10 ml/min/1,73 m</w:t>
      </w:r>
      <w:r w:rsidRPr="007C59C9">
        <w:rPr>
          <w:sz w:val="24"/>
          <w:szCs w:val="24"/>
          <w:vertAlign w:val="superscript"/>
        </w:rPr>
        <w:t>2</w:t>
      </w:r>
      <w:r w:rsidRPr="007C59C9">
        <w:rPr>
          <w:sz w:val="24"/>
          <w:szCs w:val="24"/>
        </w:rPr>
        <w:t>: Der indgives en fuld initialdosis (se dosisanbefalingerne ovenfor), efterfulgt af doser, der er halvt så store som initialdosen, hver 4. til 5. time.</w:t>
      </w:r>
    </w:p>
    <w:p w14:paraId="34A1AFD6" w14:textId="77777777" w:rsidR="00DB1628" w:rsidRPr="007C59C9" w:rsidRDefault="00DB1628" w:rsidP="007B2912">
      <w:pPr>
        <w:ind w:left="851"/>
        <w:rPr>
          <w:sz w:val="24"/>
          <w:szCs w:val="24"/>
        </w:rPr>
      </w:pPr>
      <w:proofErr w:type="spellStart"/>
      <w:r w:rsidRPr="007C59C9">
        <w:rPr>
          <w:sz w:val="24"/>
          <w:szCs w:val="24"/>
        </w:rPr>
        <w:t>CrCl</w:t>
      </w:r>
      <w:proofErr w:type="spellEnd"/>
      <w:r w:rsidRPr="007C59C9">
        <w:rPr>
          <w:sz w:val="24"/>
          <w:szCs w:val="24"/>
        </w:rPr>
        <w:t xml:space="preserve"> under 10 ml/min/1,73 m</w:t>
      </w:r>
      <w:r w:rsidRPr="007C59C9">
        <w:rPr>
          <w:sz w:val="24"/>
          <w:szCs w:val="24"/>
          <w:vertAlign w:val="superscript"/>
        </w:rPr>
        <w:t>2</w:t>
      </w:r>
      <w:r w:rsidRPr="007C59C9">
        <w:rPr>
          <w:sz w:val="24"/>
          <w:szCs w:val="24"/>
        </w:rPr>
        <w:t>: Der indgives en fuld initialdosis (se dosisanbefalingerne ovenfor), efterfulgt af doser, der er halvt så store som initialdosen, hver 8. til 10. time.</w:t>
      </w:r>
    </w:p>
    <w:p w14:paraId="39E367E1" w14:textId="77777777" w:rsidR="00DB1628" w:rsidRPr="007C59C9" w:rsidRDefault="00DB1628" w:rsidP="007B2912">
      <w:pPr>
        <w:ind w:left="851"/>
        <w:rPr>
          <w:sz w:val="24"/>
          <w:szCs w:val="24"/>
        </w:rPr>
      </w:pPr>
    </w:p>
    <w:p w14:paraId="6414F2FC" w14:textId="77777777" w:rsidR="00DB1628" w:rsidRPr="007C59C9" w:rsidRDefault="00DB1628" w:rsidP="007B2912">
      <w:pPr>
        <w:ind w:left="851"/>
        <w:rPr>
          <w:sz w:val="24"/>
          <w:szCs w:val="24"/>
        </w:rPr>
      </w:pPr>
      <w:r w:rsidRPr="007C59C9">
        <w:rPr>
          <w:sz w:val="24"/>
          <w:szCs w:val="24"/>
        </w:rPr>
        <w:t>Hos patienter med nedsat nyre- og leverfunktion bør dosis reduceres.</w:t>
      </w:r>
    </w:p>
    <w:p w14:paraId="12BA9BFF" w14:textId="77777777" w:rsidR="00DB1628" w:rsidRPr="007C59C9" w:rsidRDefault="00DB1628" w:rsidP="007B2912">
      <w:pPr>
        <w:ind w:left="851"/>
        <w:rPr>
          <w:sz w:val="24"/>
          <w:szCs w:val="24"/>
        </w:rPr>
      </w:pPr>
    </w:p>
    <w:p w14:paraId="1BFF2F13" w14:textId="77777777" w:rsidR="00DB1628" w:rsidRPr="007C59C9" w:rsidRDefault="00DB1628" w:rsidP="007B2912">
      <w:pPr>
        <w:ind w:left="851"/>
        <w:rPr>
          <w:sz w:val="24"/>
          <w:szCs w:val="24"/>
        </w:rPr>
      </w:pPr>
      <w:r w:rsidRPr="007C59C9">
        <w:rPr>
          <w:rStyle w:val="normaltextrun"/>
          <w:color w:val="000000"/>
          <w:sz w:val="24"/>
          <w:szCs w:val="24"/>
          <w:shd w:val="clear" w:color="auto" w:fill="FFFFFF"/>
        </w:rPr>
        <w:lastRenderedPageBreak/>
        <w:t xml:space="preserve">Det bør overvejes at reducere den totale dosis ved indtræden af eller formodning om nedsat organfunktion (herunder elektrolytforstyrrelser, </w:t>
      </w:r>
      <w:proofErr w:type="spellStart"/>
      <w:r w:rsidRPr="007C59C9">
        <w:rPr>
          <w:rStyle w:val="normaltextrun"/>
          <w:color w:val="000000"/>
          <w:sz w:val="24"/>
          <w:szCs w:val="24"/>
          <w:shd w:val="clear" w:color="auto" w:fill="FFFFFF"/>
        </w:rPr>
        <w:t>hepatisk</w:t>
      </w:r>
      <w:proofErr w:type="spellEnd"/>
      <w:r w:rsidRPr="007C59C9">
        <w:rPr>
          <w:rStyle w:val="normaltextrun"/>
          <w:color w:val="000000"/>
          <w:sz w:val="24"/>
          <w:szCs w:val="24"/>
          <w:shd w:val="clear" w:color="auto" w:fill="FFFFFF"/>
        </w:rPr>
        <w:t xml:space="preserve">, </w:t>
      </w:r>
      <w:proofErr w:type="spellStart"/>
      <w:r w:rsidRPr="007C59C9">
        <w:rPr>
          <w:rStyle w:val="normaltextrun"/>
          <w:color w:val="000000"/>
          <w:sz w:val="24"/>
          <w:szCs w:val="24"/>
          <w:shd w:val="clear" w:color="auto" w:fill="FFFFFF"/>
        </w:rPr>
        <w:t>renalt</w:t>
      </w:r>
      <w:proofErr w:type="spellEnd"/>
      <w:r w:rsidRPr="007C59C9">
        <w:rPr>
          <w:rStyle w:val="normaltextrun"/>
          <w:color w:val="000000"/>
          <w:sz w:val="24"/>
          <w:szCs w:val="24"/>
          <w:shd w:val="clear" w:color="auto" w:fill="FFFFFF"/>
        </w:rPr>
        <w:t xml:space="preserve"> og </w:t>
      </w:r>
      <w:proofErr w:type="spellStart"/>
      <w:r w:rsidRPr="007C59C9">
        <w:rPr>
          <w:rStyle w:val="normaltextrun"/>
          <w:color w:val="000000"/>
          <w:sz w:val="24"/>
          <w:szCs w:val="24"/>
          <w:shd w:val="clear" w:color="auto" w:fill="FFFFFF"/>
        </w:rPr>
        <w:t>hæmatopoietisk</w:t>
      </w:r>
      <w:proofErr w:type="spellEnd"/>
      <w:r w:rsidRPr="007C59C9">
        <w:rPr>
          <w:rStyle w:val="normaltextrun"/>
          <w:color w:val="000000"/>
          <w:sz w:val="24"/>
          <w:szCs w:val="24"/>
          <w:shd w:val="clear" w:color="auto" w:fill="FFFFFF"/>
        </w:rPr>
        <w:t xml:space="preserve"> system samt </w:t>
      </w:r>
      <w:proofErr w:type="spellStart"/>
      <w:r w:rsidRPr="007C59C9">
        <w:rPr>
          <w:rStyle w:val="normaltextrun"/>
          <w:color w:val="000000"/>
          <w:sz w:val="24"/>
          <w:szCs w:val="24"/>
          <w:shd w:val="clear" w:color="auto" w:fill="FFFFFF"/>
        </w:rPr>
        <w:t>kardiel</w:t>
      </w:r>
      <w:proofErr w:type="spellEnd"/>
      <w:r w:rsidRPr="007C59C9">
        <w:rPr>
          <w:rStyle w:val="normaltextrun"/>
          <w:color w:val="000000"/>
          <w:sz w:val="24"/>
          <w:szCs w:val="24"/>
          <w:shd w:val="clear" w:color="auto" w:fill="FFFFFF"/>
        </w:rPr>
        <w:t xml:space="preserve"> og </w:t>
      </w:r>
      <w:proofErr w:type="spellStart"/>
      <w:r w:rsidRPr="007C59C9">
        <w:rPr>
          <w:rStyle w:val="normaltextrun"/>
          <w:color w:val="000000"/>
          <w:sz w:val="24"/>
          <w:szCs w:val="24"/>
          <w:shd w:val="clear" w:color="auto" w:fill="FFFFFF"/>
        </w:rPr>
        <w:t>vaskulær</w:t>
      </w:r>
      <w:proofErr w:type="spellEnd"/>
      <w:r w:rsidRPr="007C59C9">
        <w:rPr>
          <w:rStyle w:val="normaltextrun"/>
          <w:color w:val="000000"/>
          <w:sz w:val="24"/>
          <w:szCs w:val="24"/>
          <w:shd w:val="clear" w:color="auto" w:fill="FFFFFF"/>
        </w:rPr>
        <w:t xml:space="preserve"> status)</w:t>
      </w:r>
      <w:r w:rsidRPr="007C59C9">
        <w:rPr>
          <w:rStyle w:val="eop"/>
          <w:color w:val="000000"/>
          <w:sz w:val="24"/>
          <w:szCs w:val="24"/>
          <w:shd w:val="clear" w:color="auto" w:fill="FFFFFF"/>
        </w:rPr>
        <w:t>.</w:t>
      </w:r>
    </w:p>
    <w:p w14:paraId="27BDB08A" w14:textId="77777777" w:rsidR="00DB1628" w:rsidRPr="007C59C9" w:rsidRDefault="00DB1628" w:rsidP="007B2912">
      <w:pPr>
        <w:ind w:left="851"/>
        <w:rPr>
          <w:sz w:val="24"/>
          <w:szCs w:val="24"/>
        </w:rPr>
      </w:pPr>
    </w:p>
    <w:p w14:paraId="332A604C" w14:textId="77777777" w:rsidR="00DB1628" w:rsidRPr="007C59C9" w:rsidRDefault="00DB1628" w:rsidP="007B2912">
      <w:pPr>
        <w:ind w:left="851"/>
        <w:rPr>
          <w:sz w:val="24"/>
          <w:szCs w:val="24"/>
        </w:rPr>
      </w:pPr>
      <w:r w:rsidRPr="007C59C9">
        <w:rPr>
          <w:sz w:val="24"/>
          <w:szCs w:val="24"/>
        </w:rPr>
        <w:t xml:space="preserve">På grund af den øgede risiko for </w:t>
      </w:r>
      <w:proofErr w:type="spellStart"/>
      <w:r w:rsidRPr="007C59C9">
        <w:rPr>
          <w:sz w:val="24"/>
          <w:szCs w:val="24"/>
        </w:rPr>
        <w:t>hyperkaliæmi</w:t>
      </w:r>
      <w:proofErr w:type="spellEnd"/>
      <w:r w:rsidRPr="007C59C9">
        <w:rPr>
          <w:sz w:val="24"/>
          <w:szCs w:val="24"/>
        </w:rPr>
        <w:t xml:space="preserve"> bør </w:t>
      </w:r>
      <w:proofErr w:type="spellStart"/>
      <w:r w:rsidRPr="007C59C9">
        <w:rPr>
          <w:sz w:val="24"/>
          <w:szCs w:val="24"/>
        </w:rPr>
        <w:t>benzylpenicillinkalium</w:t>
      </w:r>
      <w:proofErr w:type="spellEnd"/>
      <w:r w:rsidRPr="007C59C9">
        <w:rPr>
          <w:sz w:val="24"/>
          <w:szCs w:val="24"/>
        </w:rPr>
        <w:t xml:space="preserve"> gives med forsigtighed og under hyppig monitorering af serumkaliumniveauet.</w:t>
      </w:r>
    </w:p>
    <w:p w14:paraId="7BBD05FE" w14:textId="77777777" w:rsidR="00DB1628" w:rsidRPr="007C59C9" w:rsidRDefault="00DB1628" w:rsidP="007B2912">
      <w:pPr>
        <w:ind w:left="851"/>
        <w:rPr>
          <w:sz w:val="24"/>
          <w:szCs w:val="24"/>
        </w:rPr>
      </w:pPr>
    </w:p>
    <w:p w14:paraId="1D9BDEEE" w14:textId="77777777" w:rsidR="00DB1628" w:rsidRPr="00606CF0" w:rsidRDefault="00DB1628" w:rsidP="007B2912">
      <w:pPr>
        <w:ind w:left="851"/>
        <w:rPr>
          <w:sz w:val="24"/>
          <w:szCs w:val="24"/>
          <w:u w:val="single"/>
        </w:rPr>
      </w:pPr>
      <w:r w:rsidRPr="00606CF0">
        <w:rPr>
          <w:sz w:val="24"/>
          <w:szCs w:val="24"/>
          <w:u w:val="single"/>
        </w:rPr>
        <w:t>Administration</w:t>
      </w:r>
    </w:p>
    <w:p w14:paraId="437C4BBC" w14:textId="77777777" w:rsidR="00407359" w:rsidRDefault="00407359" w:rsidP="00407359">
      <w:pPr>
        <w:ind w:left="851"/>
        <w:rPr>
          <w:sz w:val="24"/>
          <w:szCs w:val="24"/>
        </w:rPr>
      </w:pPr>
      <w:proofErr w:type="spellStart"/>
      <w:r>
        <w:rPr>
          <w:sz w:val="24"/>
          <w:szCs w:val="24"/>
        </w:rPr>
        <w:t>Benzylpenicillin</w:t>
      </w:r>
      <w:proofErr w:type="spellEnd"/>
      <w:r>
        <w:rPr>
          <w:sz w:val="24"/>
          <w:szCs w:val="24"/>
        </w:rPr>
        <w:t xml:space="preserve"> kan administreres intramuskulært (ikke mere end 1,67 millioner IE [svarende til 0,9 g </w:t>
      </w:r>
      <w:proofErr w:type="spellStart"/>
      <w:r>
        <w:rPr>
          <w:sz w:val="24"/>
          <w:szCs w:val="24"/>
        </w:rPr>
        <w:t>benzylpenicillin</w:t>
      </w:r>
      <w:proofErr w:type="spellEnd"/>
      <w:r>
        <w:rPr>
          <w:sz w:val="24"/>
          <w:szCs w:val="24"/>
        </w:rPr>
        <w:t xml:space="preserve">] på ét sted) eller intravenøst (via en injektion, der gives over 3 til 5 minutter eller via intravenøs infusion). </w:t>
      </w:r>
    </w:p>
    <w:p w14:paraId="1272419E" w14:textId="77777777" w:rsidR="00407359" w:rsidRDefault="00407359" w:rsidP="00407359">
      <w:pPr>
        <w:ind w:left="851"/>
        <w:rPr>
          <w:sz w:val="24"/>
          <w:szCs w:val="24"/>
        </w:rPr>
      </w:pPr>
      <w:r>
        <w:rPr>
          <w:sz w:val="24"/>
          <w:szCs w:val="24"/>
        </w:rPr>
        <w:t>Lægemidlet bør injiceres i en stor muskelgruppe.</w:t>
      </w:r>
    </w:p>
    <w:p w14:paraId="444C0777" w14:textId="77777777" w:rsidR="00407359" w:rsidRDefault="00407359" w:rsidP="00407359">
      <w:pPr>
        <w:ind w:left="851"/>
        <w:rPr>
          <w:sz w:val="24"/>
          <w:szCs w:val="24"/>
        </w:rPr>
      </w:pPr>
      <w:r>
        <w:rPr>
          <w:sz w:val="24"/>
          <w:szCs w:val="24"/>
        </w:rPr>
        <w:t>For daglige doser på 10 millioner enheder eller mere kan lægemidlet fortyndes med infusionsopløsning og administreres i en 24-timers periode.</w:t>
      </w:r>
    </w:p>
    <w:p w14:paraId="33C73B7F" w14:textId="77777777" w:rsidR="00407359" w:rsidRDefault="00407359" w:rsidP="00407359">
      <w:pPr>
        <w:ind w:left="851"/>
        <w:rPr>
          <w:sz w:val="24"/>
          <w:szCs w:val="24"/>
        </w:rPr>
      </w:pPr>
      <w:r>
        <w:rPr>
          <w:sz w:val="24"/>
          <w:szCs w:val="24"/>
        </w:rPr>
        <w:t>Ved intermitterende intravenøs infusion kan en fjerdedel eller en sjettedel af den daglige dosis gives over 1 til 2 timer og gentages hver 6. til 4. time.</w:t>
      </w:r>
    </w:p>
    <w:p w14:paraId="7D4233C0" w14:textId="77777777" w:rsidR="00407359" w:rsidRDefault="00407359" w:rsidP="00407359">
      <w:pPr>
        <w:ind w:left="851"/>
        <w:rPr>
          <w:sz w:val="24"/>
          <w:szCs w:val="24"/>
        </w:rPr>
      </w:pPr>
      <w:r>
        <w:rPr>
          <w:sz w:val="24"/>
          <w:szCs w:val="24"/>
        </w:rPr>
        <w:t xml:space="preserve">Opdelte doser </w:t>
      </w:r>
      <w:proofErr w:type="spellStart"/>
      <w:r>
        <w:rPr>
          <w:sz w:val="24"/>
          <w:szCs w:val="24"/>
        </w:rPr>
        <w:t>infunderes</w:t>
      </w:r>
      <w:proofErr w:type="spellEnd"/>
      <w:r>
        <w:rPr>
          <w:sz w:val="24"/>
          <w:szCs w:val="24"/>
        </w:rPr>
        <w:t xml:space="preserve"> generelt over 15 til 30 minutter til børn og nyfødte. Hos disse patienter er den intravenøse vej den foretrukne indgivelsesvej. Intramuskulær administration bør kun anvendes i nødsituationer, i mangel af intravenøs adgang.</w:t>
      </w:r>
    </w:p>
    <w:p w14:paraId="6FC84AED" w14:textId="77777777" w:rsidR="00407359" w:rsidRDefault="00407359" w:rsidP="00407359">
      <w:pPr>
        <w:ind w:left="851"/>
        <w:rPr>
          <w:sz w:val="24"/>
          <w:szCs w:val="24"/>
        </w:rPr>
      </w:pPr>
      <w:r>
        <w:rPr>
          <w:sz w:val="24"/>
          <w:szCs w:val="24"/>
        </w:rPr>
        <w:t>Doseringen på 20 000 000 IE (20 millioner IE) må kun administreres ved intravenøs infusion.</w:t>
      </w:r>
    </w:p>
    <w:p w14:paraId="71EF61CD" w14:textId="77777777" w:rsidR="00407359" w:rsidRDefault="00407359" w:rsidP="00407359">
      <w:pPr>
        <w:ind w:left="851"/>
        <w:rPr>
          <w:sz w:val="24"/>
          <w:szCs w:val="24"/>
        </w:rPr>
      </w:pPr>
    </w:p>
    <w:p w14:paraId="027F2EF6" w14:textId="0787F17C" w:rsidR="00DB1628" w:rsidRPr="007C59C9" w:rsidRDefault="00407359" w:rsidP="00407359">
      <w:pPr>
        <w:ind w:left="851"/>
        <w:rPr>
          <w:sz w:val="24"/>
          <w:szCs w:val="24"/>
        </w:rPr>
      </w:pPr>
      <w:r>
        <w:rPr>
          <w:sz w:val="24"/>
          <w:szCs w:val="24"/>
        </w:rPr>
        <w:t>For instruktioner om klargøring af lægemidlet før administration, se pkt. 6.6.</w:t>
      </w:r>
    </w:p>
    <w:p w14:paraId="0BD996C2" w14:textId="77777777" w:rsidR="009260DE" w:rsidRPr="007C59C9" w:rsidRDefault="009260DE" w:rsidP="009260DE">
      <w:pPr>
        <w:tabs>
          <w:tab w:val="left" w:pos="851"/>
        </w:tabs>
        <w:ind w:left="851"/>
        <w:rPr>
          <w:sz w:val="24"/>
          <w:szCs w:val="24"/>
        </w:rPr>
      </w:pPr>
    </w:p>
    <w:p w14:paraId="35793DCF" w14:textId="77777777" w:rsidR="009260DE" w:rsidRPr="007C59C9" w:rsidRDefault="009260DE" w:rsidP="009260DE">
      <w:pPr>
        <w:tabs>
          <w:tab w:val="left" w:pos="851"/>
        </w:tabs>
        <w:ind w:left="851" w:hanging="851"/>
        <w:rPr>
          <w:b/>
          <w:sz w:val="24"/>
          <w:szCs w:val="24"/>
        </w:rPr>
      </w:pPr>
      <w:r w:rsidRPr="007C59C9">
        <w:rPr>
          <w:b/>
          <w:sz w:val="24"/>
          <w:szCs w:val="24"/>
        </w:rPr>
        <w:t>4.3</w:t>
      </w:r>
      <w:r w:rsidRPr="007C59C9">
        <w:rPr>
          <w:b/>
          <w:sz w:val="24"/>
          <w:szCs w:val="24"/>
        </w:rPr>
        <w:tab/>
        <w:t>Kontraindikationer</w:t>
      </w:r>
    </w:p>
    <w:p w14:paraId="6FFEF694" w14:textId="77777777" w:rsidR="00DB1628" w:rsidRPr="007C59C9" w:rsidRDefault="00DB1628" w:rsidP="007B2912">
      <w:pPr>
        <w:ind w:left="851"/>
        <w:rPr>
          <w:sz w:val="24"/>
          <w:szCs w:val="24"/>
        </w:rPr>
      </w:pPr>
      <w:r w:rsidRPr="007C59C9">
        <w:rPr>
          <w:sz w:val="24"/>
          <w:szCs w:val="24"/>
        </w:rPr>
        <w:t>Overfølsomhed over for det aktive stof (</w:t>
      </w:r>
      <w:proofErr w:type="spellStart"/>
      <w:r w:rsidRPr="007C59C9">
        <w:rPr>
          <w:sz w:val="24"/>
          <w:szCs w:val="24"/>
        </w:rPr>
        <w:t>benzylpenicillinkalium</w:t>
      </w:r>
      <w:proofErr w:type="spellEnd"/>
      <w:r w:rsidRPr="007C59C9">
        <w:rPr>
          <w:sz w:val="24"/>
          <w:szCs w:val="24"/>
        </w:rPr>
        <w:t>) eller over for andre penicilliner.</w:t>
      </w:r>
    </w:p>
    <w:p w14:paraId="23466E99" w14:textId="77777777" w:rsidR="00DB1628" w:rsidRPr="007C59C9" w:rsidRDefault="00DB1628" w:rsidP="007B2912">
      <w:pPr>
        <w:ind w:left="851"/>
        <w:rPr>
          <w:sz w:val="24"/>
          <w:szCs w:val="24"/>
        </w:rPr>
      </w:pPr>
      <w:r w:rsidRPr="007C59C9">
        <w:rPr>
          <w:sz w:val="24"/>
          <w:szCs w:val="24"/>
        </w:rPr>
        <w:t xml:space="preserve">Svær overfølsomhedsreaktion (f.eks. anafylaksi) over for et andet </w:t>
      </w:r>
      <w:proofErr w:type="spellStart"/>
      <w:r w:rsidRPr="007C59C9">
        <w:rPr>
          <w:sz w:val="24"/>
          <w:szCs w:val="24"/>
        </w:rPr>
        <w:t>betalaktam</w:t>
      </w:r>
      <w:proofErr w:type="spellEnd"/>
      <w:r w:rsidRPr="007C59C9">
        <w:rPr>
          <w:sz w:val="24"/>
          <w:szCs w:val="24"/>
        </w:rPr>
        <w:t xml:space="preserve">-antibiotikum (f.eks. </w:t>
      </w:r>
      <w:proofErr w:type="spellStart"/>
      <w:r w:rsidRPr="007C59C9">
        <w:rPr>
          <w:sz w:val="24"/>
          <w:szCs w:val="24"/>
        </w:rPr>
        <w:t>cefalosporiner</w:t>
      </w:r>
      <w:proofErr w:type="spellEnd"/>
      <w:r w:rsidRPr="007C59C9">
        <w:rPr>
          <w:sz w:val="24"/>
          <w:szCs w:val="24"/>
        </w:rPr>
        <w:t xml:space="preserve">, </w:t>
      </w:r>
      <w:proofErr w:type="spellStart"/>
      <w:r w:rsidRPr="007C59C9">
        <w:rPr>
          <w:sz w:val="24"/>
          <w:szCs w:val="24"/>
        </w:rPr>
        <w:t>carbapanemer</w:t>
      </w:r>
      <w:proofErr w:type="spellEnd"/>
      <w:r w:rsidRPr="007C59C9">
        <w:rPr>
          <w:sz w:val="24"/>
          <w:szCs w:val="24"/>
        </w:rPr>
        <w:t xml:space="preserve"> eller </w:t>
      </w:r>
      <w:proofErr w:type="spellStart"/>
      <w:r w:rsidRPr="007C59C9">
        <w:rPr>
          <w:sz w:val="24"/>
          <w:szCs w:val="24"/>
        </w:rPr>
        <w:t>monobactamer</w:t>
      </w:r>
      <w:proofErr w:type="spellEnd"/>
      <w:r w:rsidRPr="007C59C9">
        <w:rPr>
          <w:sz w:val="24"/>
          <w:szCs w:val="24"/>
        </w:rPr>
        <w:t>) i anamnesen.</w:t>
      </w:r>
    </w:p>
    <w:p w14:paraId="7DB4206A" w14:textId="77777777" w:rsidR="009260DE" w:rsidRPr="007C59C9" w:rsidRDefault="009260DE" w:rsidP="009260DE">
      <w:pPr>
        <w:tabs>
          <w:tab w:val="left" w:pos="851"/>
        </w:tabs>
        <w:ind w:left="851"/>
        <w:rPr>
          <w:sz w:val="24"/>
          <w:szCs w:val="24"/>
        </w:rPr>
      </w:pPr>
    </w:p>
    <w:p w14:paraId="024C7EBE" w14:textId="77777777" w:rsidR="009260DE" w:rsidRPr="007C59C9" w:rsidRDefault="009260DE" w:rsidP="009260DE">
      <w:pPr>
        <w:tabs>
          <w:tab w:val="left" w:pos="851"/>
        </w:tabs>
        <w:ind w:left="851" w:hanging="851"/>
        <w:rPr>
          <w:b/>
          <w:sz w:val="24"/>
          <w:szCs w:val="24"/>
        </w:rPr>
      </w:pPr>
      <w:r w:rsidRPr="007C59C9">
        <w:rPr>
          <w:b/>
          <w:sz w:val="24"/>
          <w:szCs w:val="24"/>
        </w:rPr>
        <w:t>4.4</w:t>
      </w:r>
      <w:r w:rsidRPr="007C59C9">
        <w:rPr>
          <w:b/>
          <w:sz w:val="24"/>
          <w:szCs w:val="24"/>
        </w:rPr>
        <w:tab/>
        <w:t>Særlige advarsler og forsigtighedsregler vedrørende brugen</w:t>
      </w:r>
    </w:p>
    <w:p w14:paraId="73690D86" w14:textId="77777777" w:rsidR="00DB1628" w:rsidRPr="007C59C9" w:rsidRDefault="00DB1628" w:rsidP="007B2912">
      <w:pPr>
        <w:ind w:left="851"/>
        <w:rPr>
          <w:sz w:val="24"/>
          <w:szCs w:val="24"/>
        </w:rPr>
      </w:pPr>
      <w:r w:rsidRPr="007C59C9">
        <w:rPr>
          <w:sz w:val="24"/>
          <w:szCs w:val="24"/>
        </w:rPr>
        <w:t xml:space="preserve">Krydsallergi mellem penicilliner og </w:t>
      </w:r>
      <w:proofErr w:type="spellStart"/>
      <w:r w:rsidRPr="007C59C9">
        <w:rPr>
          <w:sz w:val="24"/>
          <w:szCs w:val="24"/>
        </w:rPr>
        <w:t>cefalosporiner</w:t>
      </w:r>
      <w:proofErr w:type="spellEnd"/>
      <w:r w:rsidRPr="007C59C9">
        <w:rPr>
          <w:sz w:val="24"/>
          <w:szCs w:val="24"/>
        </w:rPr>
        <w:t xml:space="preserve"> forekommer. </w:t>
      </w:r>
    </w:p>
    <w:p w14:paraId="2038B3F6" w14:textId="77777777" w:rsidR="00DB1628" w:rsidRPr="007C59C9" w:rsidRDefault="00DB1628" w:rsidP="007B2912">
      <w:pPr>
        <w:ind w:left="851"/>
        <w:rPr>
          <w:sz w:val="24"/>
          <w:szCs w:val="24"/>
          <w:lang w:bidi="en-US"/>
        </w:rPr>
      </w:pPr>
    </w:p>
    <w:p w14:paraId="3A5C9599" w14:textId="77777777" w:rsidR="00DB1628" w:rsidRPr="007C59C9" w:rsidRDefault="00DB1628" w:rsidP="007B2912">
      <w:pPr>
        <w:ind w:left="851"/>
        <w:rPr>
          <w:sz w:val="24"/>
          <w:szCs w:val="24"/>
        </w:rPr>
      </w:pPr>
      <w:r w:rsidRPr="007C59C9">
        <w:rPr>
          <w:sz w:val="24"/>
          <w:szCs w:val="24"/>
        </w:rPr>
        <w:t xml:space="preserve">Der er rapporteret om svære </w:t>
      </w:r>
      <w:proofErr w:type="spellStart"/>
      <w:r w:rsidRPr="007C59C9">
        <w:rPr>
          <w:sz w:val="24"/>
          <w:szCs w:val="24"/>
        </w:rPr>
        <w:t>kutane</w:t>
      </w:r>
      <w:proofErr w:type="spellEnd"/>
      <w:r w:rsidRPr="007C59C9">
        <w:rPr>
          <w:sz w:val="24"/>
          <w:szCs w:val="24"/>
        </w:rPr>
        <w:t xml:space="preserve"> bivirkninger (</w:t>
      </w:r>
      <w:proofErr w:type="spellStart"/>
      <w:r w:rsidRPr="007C59C9">
        <w:rPr>
          <w:sz w:val="24"/>
          <w:szCs w:val="24"/>
        </w:rPr>
        <w:t>SCARs</w:t>
      </w:r>
      <w:proofErr w:type="spellEnd"/>
      <w:r w:rsidRPr="007C59C9">
        <w:rPr>
          <w:sz w:val="24"/>
          <w:szCs w:val="24"/>
        </w:rPr>
        <w:t xml:space="preserve">), herunder Stevens-Johnsons syndrom (SJS), toksisk </w:t>
      </w:r>
      <w:proofErr w:type="spellStart"/>
      <w:r w:rsidRPr="007C59C9">
        <w:rPr>
          <w:sz w:val="24"/>
          <w:szCs w:val="24"/>
        </w:rPr>
        <w:t>epidermal</w:t>
      </w:r>
      <w:proofErr w:type="spellEnd"/>
      <w:r w:rsidRPr="007C59C9">
        <w:rPr>
          <w:sz w:val="24"/>
          <w:szCs w:val="24"/>
        </w:rPr>
        <w:t xml:space="preserve"> </w:t>
      </w:r>
      <w:proofErr w:type="spellStart"/>
      <w:r w:rsidRPr="007C59C9">
        <w:rPr>
          <w:sz w:val="24"/>
          <w:szCs w:val="24"/>
        </w:rPr>
        <w:t>nekrolyse</w:t>
      </w:r>
      <w:proofErr w:type="spellEnd"/>
      <w:r w:rsidRPr="007C59C9">
        <w:rPr>
          <w:sz w:val="24"/>
          <w:szCs w:val="24"/>
        </w:rPr>
        <w:t xml:space="preserve"> (TEN), lægemiddelreaktion med </w:t>
      </w:r>
      <w:proofErr w:type="spellStart"/>
      <w:r w:rsidRPr="007C59C9">
        <w:rPr>
          <w:sz w:val="24"/>
          <w:szCs w:val="24"/>
        </w:rPr>
        <w:t>eosinofili</w:t>
      </w:r>
      <w:proofErr w:type="spellEnd"/>
      <w:r w:rsidRPr="007C59C9">
        <w:rPr>
          <w:sz w:val="24"/>
          <w:szCs w:val="24"/>
        </w:rPr>
        <w:t xml:space="preserve"> og systemiske symptomer (DRESS) samt akut generaliseret </w:t>
      </w:r>
      <w:proofErr w:type="spellStart"/>
      <w:r w:rsidRPr="007C59C9">
        <w:rPr>
          <w:sz w:val="24"/>
          <w:szCs w:val="24"/>
        </w:rPr>
        <w:t>eksantematøs</w:t>
      </w:r>
      <w:proofErr w:type="spellEnd"/>
      <w:r w:rsidRPr="007C59C9">
        <w:rPr>
          <w:sz w:val="24"/>
          <w:szCs w:val="24"/>
        </w:rPr>
        <w:t xml:space="preserve"> </w:t>
      </w:r>
      <w:proofErr w:type="spellStart"/>
      <w:r w:rsidRPr="007C59C9">
        <w:rPr>
          <w:sz w:val="24"/>
          <w:szCs w:val="24"/>
        </w:rPr>
        <w:t>pustulose</w:t>
      </w:r>
      <w:proofErr w:type="spellEnd"/>
      <w:r w:rsidRPr="007C59C9">
        <w:rPr>
          <w:sz w:val="24"/>
          <w:szCs w:val="24"/>
        </w:rPr>
        <w:t xml:space="preserve"> (AGEP), i forbindelse med behandling med </w:t>
      </w:r>
      <w:proofErr w:type="spellStart"/>
      <w:r w:rsidRPr="007C59C9">
        <w:rPr>
          <w:sz w:val="24"/>
          <w:szCs w:val="24"/>
        </w:rPr>
        <w:t>betalaktam</w:t>
      </w:r>
      <w:proofErr w:type="spellEnd"/>
      <w:r w:rsidRPr="007C59C9">
        <w:rPr>
          <w:sz w:val="24"/>
          <w:szCs w:val="24"/>
        </w:rPr>
        <w:t>-antibiotika (herunder penicilliner).</w:t>
      </w:r>
    </w:p>
    <w:p w14:paraId="0CE3CF06" w14:textId="77777777" w:rsidR="00DB1628" w:rsidRPr="007C59C9" w:rsidRDefault="00DB1628" w:rsidP="007B2912">
      <w:pPr>
        <w:ind w:left="851"/>
        <w:rPr>
          <w:sz w:val="24"/>
          <w:szCs w:val="24"/>
          <w:lang w:bidi="en-US"/>
        </w:rPr>
      </w:pPr>
    </w:p>
    <w:p w14:paraId="1A89D4C0" w14:textId="77777777" w:rsidR="00DB1628" w:rsidRPr="007C59C9" w:rsidRDefault="00DB1628" w:rsidP="007B2912">
      <w:pPr>
        <w:ind w:left="851"/>
        <w:rPr>
          <w:sz w:val="24"/>
          <w:szCs w:val="24"/>
        </w:rPr>
      </w:pPr>
      <w:proofErr w:type="spellStart"/>
      <w:r w:rsidRPr="007C59C9">
        <w:rPr>
          <w:sz w:val="24"/>
          <w:szCs w:val="24"/>
        </w:rPr>
        <w:t>Benzylpenicillin</w:t>
      </w:r>
      <w:proofErr w:type="spellEnd"/>
      <w:r w:rsidRPr="007C59C9">
        <w:rPr>
          <w:sz w:val="24"/>
          <w:szCs w:val="24"/>
        </w:rPr>
        <w:t xml:space="preserve"> er kontraindiceret hos patienter, der er overfølsomme over for penicilliner. Patienter med overfølsomhed over for </w:t>
      </w:r>
      <w:proofErr w:type="spellStart"/>
      <w:r w:rsidRPr="007C59C9">
        <w:rPr>
          <w:sz w:val="24"/>
          <w:szCs w:val="24"/>
        </w:rPr>
        <w:t>cefalosporiner</w:t>
      </w:r>
      <w:proofErr w:type="spellEnd"/>
      <w:r w:rsidRPr="007C59C9">
        <w:rPr>
          <w:sz w:val="24"/>
          <w:szCs w:val="24"/>
        </w:rPr>
        <w:t xml:space="preserve">, penicilliner eller andre </w:t>
      </w:r>
      <w:proofErr w:type="spellStart"/>
      <w:r w:rsidRPr="007C59C9">
        <w:rPr>
          <w:sz w:val="24"/>
          <w:szCs w:val="24"/>
        </w:rPr>
        <w:t>betalaktam</w:t>
      </w:r>
      <w:proofErr w:type="spellEnd"/>
      <w:r w:rsidRPr="007C59C9">
        <w:rPr>
          <w:sz w:val="24"/>
          <w:szCs w:val="24"/>
        </w:rPr>
        <w:t xml:space="preserve">-antibiotika i anamnesen kan også være overfølsomme over for </w:t>
      </w:r>
      <w:proofErr w:type="spellStart"/>
      <w:r w:rsidRPr="007C59C9">
        <w:rPr>
          <w:sz w:val="24"/>
          <w:szCs w:val="24"/>
        </w:rPr>
        <w:t>benzylpenicillin</w:t>
      </w:r>
      <w:proofErr w:type="spellEnd"/>
      <w:r w:rsidRPr="007C59C9">
        <w:rPr>
          <w:sz w:val="24"/>
          <w:szCs w:val="24"/>
        </w:rPr>
        <w:t xml:space="preserve"> (se pkt. 4.3). Hvis der opstår en svær allergisk reaktion eller SCAR under behandlingen med </w:t>
      </w:r>
      <w:proofErr w:type="spellStart"/>
      <w:r w:rsidRPr="007C59C9">
        <w:rPr>
          <w:sz w:val="24"/>
          <w:szCs w:val="24"/>
        </w:rPr>
        <w:t>benzylpenicillin</w:t>
      </w:r>
      <w:proofErr w:type="spellEnd"/>
      <w:r w:rsidRPr="007C59C9">
        <w:rPr>
          <w:sz w:val="24"/>
          <w:szCs w:val="24"/>
        </w:rPr>
        <w:t>, skal behandlingen med lægemidlet seponeres, og der skal iværksættes passende foranstaltninger.</w:t>
      </w:r>
    </w:p>
    <w:p w14:paraId="34B38CBD" w14:textId="77777777" w:rsidR="00DB1628" w:rsidRPr="007C59C9" w:rsidRDefault="00DB1628" w:rsidP="007B2912">
      <w:pPr>
        <w:ind w:left="851"/>
        <w:rPr>
          <w:sz w:val="24"/>
          <w:szCs w:val="24"/>
          <w:lang w:bidi="en-US"/>
        </w:rPr>
      </w:pPr>
    </w:p>
    <w:p w14:paraId="672AF0F8" w14:textId="77777777" w:rsidR="00DB1628" w:rsidRPr="007C59C9" w:rsidRDefault="00DB1628" w:rsidP="007B2912">
      <w:pPr>
        <w:ind w:left="851"/>
        <w:rPr>
          <w:sz w:val="24"/>
          <w:szCs w:val="24"/>
        </w:rPr>
      </w:pPr>
      <w:r w:rsidRPr="007C59C9">
        <w:rPr>
          <w:sz w:val="24"/>
          <w:szCs w:val="24"/>
        </w:rPr>
        <w:t>Diarré/</w:t>
      </w:r>
      <w:proofErr w:type="spellStart"/>
      <w:r w:rsidRPr="007C59C9">
        <w:rPr>
          <w:sz w:val="24"/>
          <w:szCs w:val="24"/>
        </w:rPr>
        <w:t>pseudomembranøs</w:t>
      </w:r>
      <w:proofErr w:type="spellEnd"/>
      <w:r w:rsidRPr="007C59C9">
        <w:rPr>
          <w:sz w:val="24"/>
          <w:szCs w:val="24"/>
        </w:rPr>
        <w:t xml:space="preserve"> colitis forårsaget af </w:t>
      </w:r>
      <w:proofErr w:type="spellStart"/>
      <w:r w:rsidRPr="007C59C9">
        <w:rPr>
          <w:i/>
          <w:sz w:val="24"/>
          <w:szCs w:val="24"/>
        </w:rPr>
        <w:t>Clostridioides</w:t>
      </w:r>
      <w:proofErr w:type="spellEnd"/>
      <w:r w:rsidRPr="007C59C9">
        <w:rPr>
          <w:i/>
          <w:sz w:val="24"/>
          <w:szCs w:val="24"/>
        </w:rPr>
        <w:t xml:space="preserve"> difficile</w:t>
      </w:r>
      <w:r w:rsidRPr="007C59C9">
        <w:rPr>
          <w:sz w:val="24"/>
          <w:szCs w:val="24"/>
        </w:rPr>
        <w:t xml:space="preserve"> kan forekomme. Derfor bør patienter med diarré overvåges nøje.</w:t>
      </w:r>
    </w:p>
    <w:p w14:paraId="756B50C7" w14:textId="77777777" w:rsidR="00DB1628" w:rsidRPr="007C59C9" w:rsidRDefault="00DB1628" w:rsidP="007B2912">
      <w:pPr>
        <w:ind w:left="851"/>
        <w:rPr>
          <w:sz w:val="24"/>
          <w:szCs w:val="24"/>
          <w:lang w:bidi="en-US"/>
        </w:rPr>
      </w:pPr>
    </w:p>
    <w:p w14:paraId="3106D7B5" w14:textId="77777777" w:rsidR="00DB1628" w:rsidRPr="007C59C9" w:rsidRDefault="00DB1628" w:rsidP="007B2912">
      <w:pPr>
        <w:ind w:left="851"/>
        <w:rPr>
          <w:sz w:val="24"/>
          <w:szCs w:val="24"/>
        </w:rPr>
      </w:pPr>
      <w:r w:rsidRPr="007C59C9">
        <w:rPr>
          <w:sz w:val="24"/>
          <w:szCs w:val="24"/>
        </w:rPr>
        <w:t xml:space="preserve">Hos patienter over 60 år, hos nyfødte og hos patienter med nedsat nyrefunktion kan cerebral irritation og krampeanfald forekomme, især ved nedsat nyrefunktion og hvis der </w:t>
      </w:r>
      <w:r w:rsidRPr="007C59C9">
        <w:rPr>
          <w:sz w:val="24"/>
          <w:szCs w:val="24"/>
        </w:rPr>
        <w:lastRenderedPageBreak/>
        <w:t xml:space="preserve">gives store doser penicillin over 18 g hos voksne. Disse virkninger mindskes ved at reducere penicillindosen og give behandling med </w:t>
      </w:r>
      <w:proofErr w:type="spellStart"/>
      <w:r w:rsidRPr="007C59C9">
        <w:rPr>
          <w:sz w:val="24"/>
          <w:szCs w:val="24"/>
        </w:rPr>
        <w:t>antikonvulsiva</w:t>
      </w:r>
      <w:proofErr w:type="spellEnd"/>
      <w:r w:rsidRPr="007C59C9">
        <w:rPr>
          <w:sz w:val="24"/>
          <w:szCs w:val="24"/>
        </w:rPr>
        <w:t>.</w:t>
      </w:r>
    </w:p>
    <w:p w14:paraId="6E8E0681" w14:textId="77777777" w:rsidR="00DB1628" w:rsidRPr="007C59C9" w:rsidRDefault="00DB1628" w:rsidP="007B2912">
      <w:pPr>
        <w:ind w:left="851"/>
        <w:rPr>
          <w:sz w:val="24"/>
          <w:szCs w:val="24"/>
          <w:lang w:bidi="en-US"/>
        </w:rPr>
      </w:pPr>
    </w:p>
    <w:p w14:paraId="599C7534" w14:textId="77777777" w:rsidR="00DB1628" w:rsidRPr="007C59C9" w:rsidRDefault="00DB1628" w:rsidP="007B2912">
      <w:pPr>
        <w:ind w:left="851"/>
        <w:rPr>
          <w:sz w:val="24"/>
          <w:szCs w:val="24"/>
        </w:rPr>
      </w:pPr>
      <w:r w:rsidRPr="007C59C9">
        <w:rPr>
          <w:sz w:val="24"/>
          <w:szCs w:val="24"/>
        </w:rPr>
        <w:t>Dette lægemiddel kan som alle andre antibiotika medføre overvækst af ikke-følsomme organismer ved længerevarende brug. Gentagen vurdering af patientens tilstand er meget vigtig. Hvis der opstår en superinfektion under behandlingen, bør der iværksættes specifik antimikrobiel behandling, hvis det vurderes at være klinisk nødvendigt.</w:t>
      </w:r>
    </w:p>
    <w:p w14:paraId="62492CEC" w14:textId="77777777" w:rsidR="00DB1628" w:rsidRPr="007C59C9" w:rsidRDefault="00DB1628" w:rsidP="007B2912">
      <w:pPr>
        <w:ind w:left="851"/>
        <w:rPr>
          <w:sz w:val="24"/>
          <w:szCs w:val="24"/>
          <w:lang w:bidi="en-US"/>
        </w:rPr>
      </w:pPr>
    </w:p>
    <w:p w14:paraId="2C4D3C31" w14:textId="77777777" w:rsidR="00DB1628" w:rsidRPr="007C59C9" w:rsidRDefault="00DB1628" w:rsidP="007B2912">
      <w:pPr>
        <w:ind w:left="851"/>
        <w:rPr>
          <w:sz w:val="24"/>
          <w:szCs w:val="24"/>
        </w:rPr>
      </w:pPr>
      <w:r w:rsidRPr="007C59C9">
        <w:rPr>
          <w:sz w:val="24"/>
          <w:szCs w:val="24"/>
        </w:rPr>
        <w:t xml:space="preserve">Høje doser af </w:t>
      </w:r>
      <w:proofErr w:type="spellStart"/>
      <w:r w:rsidRPr="007C59C9">
        <w:rPr>
          <w:sz w:val="24"/>
          <w:szCs w:val="24"/>
        </w:rPr>
        <w:t>benzylpenicillinkalium</w:t>
      </w:r>
      <w:proofErr w:type="spellEnd"/>
      <w:r w:rsidRPr="007C59C9">
        <w:rPr>
          <w:sz w:val="24"/>
          <w:szCs w:val="24"/>
        </w:rPr>
        <w:t xml:space="preserve"> 5 000 000 IE (svarende til 2,8 g </w:t>
      </w:r>
      <w:proofErr w:type="spellStart"/>
      <w:r w:rsidRPr="007C59C9">
        <w:rPr>
          <w:sz w:val="24"/>
          <w:szCs w:val="24"/>
        </w:rPr>
        <w:t>benzylpenicillin</w:t>
      </w:r>
      <w:proofErr w:type="spellEnd"/>
      <w:r w:rsidRPr="007C59C9">
        <w:rPr>
          <w:sz w:val="24"/>
          <w:szCs w:val="24"/>
        </w:rPr>
        <w:t xml:space="preserve">) pulver til injektions-/infusionsvæske, opløsning, kan medføre alvorlige og potentielt dødelige elektrolytforstyrrelser, såsom </w:t>
      </w:r>
      <w:proofErr w:type="spellStart"/>
      <w:r w:rsidRPr="007C59C9">
        <w:rPr>
          <w:sz w:val="24"/>
          <w:szCs w:val="24"/>
        </w:rPr>
        <w:t>hyperkaliæmi</w:t>
      </w:r>
      <w:proofErr w:type="spellEnd"/>
      <w:r w:rsidRPr="007C59C9">
        <w:rPr>
          <w:sz w:val="24"/>
          <w:szCs w:val="24"/>
        </w:rPr>
        <w:t xml:space="preserve"> og </w:t>
      </w:r>
      <w:proofErr w:type="spellStart"/>
      <w:r w:rsidRPr="007C59C9">
        <w:rPr>
          <w:sz w:val="24"/>
          <w:szCs w:val="24"/>
        </w:rPr>
        <w:t>hyponatriæmi</w:t>
      </w:r>
      <w:proofErr w:type="spellEnd"/>
      <w:r w:rsidRPr="007C59C9">
        <w:rPr>
          <w:sz w:val="24"/>
          <w:szCs w:val="24"/>
        </w:rPr>
        <w:t xml:space="preserve">, ved intravenøs indgivelse af store doser (mere end 10 millioner enheder). Der skal tages højde for kaliumindholdet i forbindelse med administration. </w:t>
      </w:r>
      <w:r w:rsidRPr="007C59C9">
        <w:rPr>
          <w:rStyle w:val="jlqj4b"/>
          <w:sz w:val="24"/>
          <w:szCs w:val="24"/>
        </w:rPr>
        <w:t>Hos patienter, der får højdosisbehandling i mere end 5 dage, skal elektrolytbalancen, blodtallene og nyrefunktionen monitoreres.</w:t>
      </w:r>
    </w:p>
    <w:p w14:paraId="2A0AF134" w14:textId="6217C593" w:rsidR="00DB1628" w:rsidRPr="007C59C9" w:rsidRDefault="00DB1628" w:rsidP="007B2912">
      <w:pPr>
        <w:ind w:left="851"/>
        <w:rPr>
          <w:sz w:val="24"/>
          <w:szCs w:val="24"/>
        </w:rPr>
      </w:pPr>
      <w:r w:rsidRPr="007C59C9">
        <w:rPr>
          <w:sz w:val="24"/>
          <w:szCs w:val="24"/>
        </w:rPr>
        <w:t>Høje intravenøse doser skal indgives langsomt, eftersom kaliumindholdet i penicillinet potentielt kan medføre bivirkninger i form af elektrolytforstyrrelser.</w:t>
      </w:r>
    </w:p>
    <w:p w14:paraId="00D423B9" w14:textId="77777777" w:rsidR="00DB1628" w:rsidRPr="007C59C9" w:rsidRDefault="00DB1628" w:rsidP="007B2912">
      <w:pPr>
        <w:ind w:left="851"/>
        <w:rPr>
          <w:sz w:val="24"/>
          <w:szCs w:val="24"/>
        </w:rPr>
      </w:pPr>
    </w:p>
    <w:p w14:paraId="656B1CCA" w14:textId="538CF68C" w:rsidR="00DB1628" w:rsidRPr="007C59C9" w:rsidRDefault="00DB1628" w:rsidP="007B2912">
      <w:pPr>
        <w:ind w:left="851"/>
        <w:rPr>
          <w:sz w:val="24"/>
          <w:szCs w:val="24"/>
        </w:rPr>
      </w:pPr>
      <w:r w:rsidRPr="007C59C9">
        <w:rPr>
          <w:sz w:val="24"/>
          <w:szCs w:val="24"/>
        </w:rPr>
        <w:t xml:space="preserve">Nedsat nyrefunktion kan medføre en betydelig stigning i kaliumkoncentration i blodplasma, hvilket kan medføre alvorlige hjerteproblemer. Der er rapporteret om tilfælde af slap lammelse, ekg-abnormiteter (forkortet QT-interval og spidse T-takker) samt hjertestop efter hurtig </w:t>
      </w:r>
      <w:proofErr w:type="spellStart"/>
      <w:r w:rsidRPr="007C59C9">
        <w:rPr>
          <w:sz w:val="24"/>
          <w:szCs w:val="24"/>
        </w:rPr>
        <w:t>i.v</w:t>
      </w:r>
      <w:proofErr w:type="spellEnd"/>
      <w:r w:rsidRPr="007C59C9">
        <w:rPr>
          <w:sz w:val="24"/>
          <w:szCs w:val="24"/>
        </w:rPr>
        <w:t xml:space="preserve">. administration af </w:t>
      </w:r>
      <w:proofErr w:type="spellStart"/>
      <w:r w:rsidRPr="007C59C9">
        <w:rPr>
          <w:sz w:val="24"/>
          <w:szCs w:val="24"/>
        </w:rPr>
        <w:t>benzylpenicillinkalium</w:t>
      </w:r>
      <w:proofErr w:type="spellEnd"/>
      <w:r w:rsidRPr="007C59C9">
        <w:rPr>
          <w:sz w:val="24"/>
          <w:szCs w:val="24"/>
        </w:rPr>
        <w:t xml:space="preserve"> (10-18 millio</w:t>
      </w:r>
      <w:r w:rsidR="00C63E35">
        <w:rPr>
          <w:sz w:val="24"/>
          <w:szCs w:val="24"/>
        </w:rPr>
        <w:softHyphen/>
      </w:r>
      <w:r w:rsidRPr="007C59C9">
        <w:rPr>
          <w:sz w:val="24"/>
          <w:szCs w:val="24"/>
        </w:rPr>
        <w:t xml:space="preserve">ner IE/dag). Risikoen for </w:t>
      </w:r>
      <w:proofErr w:type="spellStart"/>
      <w:r w:rsidRPr="007C59C9">
        <w:rPr>
          <w:sz w:val="24"/>
          <w:szCs w:val="24"/>
        </w:rPr>
        <w:t>hyperkaliæmi</w:t>
      </w:r>
      <w:proofErr w:type="spellEnd"/>
      <w:r w:rsidRPr="007C59C9">
        <w:rPr>
          <w:sz w:val="24"/>
          <w:szCs w:val="24"/>
        </w:rPr>
        <w:t xml:space="preserve"> indtræder dog først ved langvarig brug af megadoser af </w:t>
      </w:r>
      <w:proofErr w:type="spellStart"/>
      <w:r w:rsidRPr="007C59C9">
        <w:rPr>
          <w:sz w:val="24"/>
          <w:szCs w:val="24"/>
        </w:rPr>
        <w:t>benzylpenicillinkalium</w:t>
      </w:r>
      <w:proofErr w:type="spellEnd"/>
      <w:r w:rsidRPr="007C59C9">
        <w:rPr>
          <w:sz w:val="24"/>
          <w:szCs w:val="24"/>
        </w:rPr>
        <w:t>, især hos patienter med nedsat nyrefunktion.</w:t>
      </w:r>
    </w:p>
    <w:p w14:paraId="593C4E25" w14:textId="77777777" w:rsidR="00DB1628" w:rsidRPr="007C59C9" w:rsidRDefault="00DB1628" w:rsidP="007B2912">
      <w:pPr>
        <w:ind w:left="851"/>
        <w:rPr>
          <w:sz w:val="24"/>
          <w:szCs w:val="24"/>
        </w:rPr>
      </w:pPr>
    </w:p>
    <w:p w14:paraId="798EC1CC" w14:textId="77777777" w:rsidR="00DB1628" w:rsidRPr="007C59C9" w:rsidRDefault="00DB1628" w:rsidP="007B2912">
      <w:pPr>
        <w:ind w:left="851"/>
        <w:rPr>
          <w:b/>
          <w:sz w:val="24"/>
          <w:szCs w:val="24"/>
        </w:rPr>
      </w:pPr>
      <w:bookmarkStart w:id="6" w:name="_Hlk73008107"/>
      <w:bookmarkStart w:id="7" w:name="_Hlk73291546"/>
      <w:bookmarkStart w:id="8" w:name="_Hlk73441809"/>
      <w:proofErr w:type="spellStart"/>
      <w:r w:rsidRPr="007C59C9">
        <w:rPr>
          <w:b/>
          <w:sz w:val="24"/>
          <w:szCs w:val="24"/>
        </w:rPr>
        <w:t>Penicryl</w:t>
      </w:r>
      <w:proofErr w:type="spellEnd"/>
      <w:r w:rsidRPr="007C59C9">
        <w:rPr>
          <w:b/>
          <w:sz w:val="24"/>
          <w:szCs w:val="24"/>
        </w:rPr>
        <w:t xml:space="preserve"> indeholder kalium</w:t>
      </w:r>
    </w:p>
    <w:bookmarkEnd w:id="6"/>
    <w:p w14:paraId="74AD9F93" w14:textId="1F5B5B93" w:rsidR="00DB1628" w:rsidRPr="007C59C9" w:rsidRDefault="00407359" w:rsidP="007B2912">
      <w:pPr>
        <w:ind w:left="851"/>
        <w:rPr>
          <w:sz w:val="24"/>
          <w:szCs w:val="24"/>
        </w:rPr>
      </w:pPr>
      <w:proofErr w:type="spellStart"/>
      <w:r>
        <w:rPr>
          <w:sz w:val="24"/>
          <w:szCs w:val="24"/>
        </w:rPr>
        <w:t>Penicryl</w:t>
      </w:r>
      <w:proofErr w:type="spellEnd"/>
      <w:r>
        <w:rPr>
          <w:sz w:val="24"/>
          <w:szCs w:val="24"/>
        </w:rPr>
        <w:t xml:space="preserve"> </w:t>
      </w:r>
      <w:bookmarkStart w:id="9" w:name="_Hlk138678802"/>
      <w:r>
        <w:rPr>
          <w:sz w:val="24"/>
          <w:szCs w:val="24"/>
        </w:rPr>
        <w:t xml:space="preserve">indeholder 8,42 mmol (eller 329,07 mg) kalium </w:t>
      </w:r>
      <w:bookmarkEnd w:id="9"/>
      <w:r>
        <w:rPr>
          <w:sz w:val="24"/>
          <w:szCs w:val="24"/>
        </w:rPr>
        <w:t>pr. hætteglas. 1 million IE indeholder 1,68 mmol (eller 65,81 mg) kalium</w:t>
      </w:r>
      <w:r>
        <w:rPr>
          <w:sz w:val="24"/>
          <w:szCs w:val="24"/>
        </w:rPr>
        <w:t>.</w:t>
      </w:r>
      <w:r w:rsidR="00DB1628" w:rsidRPr="007C59C9">
        <w:rPr>
          <w:sz w:val="24"/>
          <w:szCs w:val="24"/>
        </w:rPr>
        <w:t xml:space="preserve"> </w:t>
      </w:r>
    </w:p>
    <w:bookmarkEnd w:id="7"/>
    <w:p w14:paraId="43CFBCF8" w14:textId="77777777" w:rsidR="00DB1628" w:rsidRPr="007C59C9" w:rsidRDefault="00DB1628" w:rsidP="007B2912">
      <w:pPr>
        <w:ind w:left="851"/>
        <w:rPr>
          <w:sz w:val="24"/>
          <w:szCs w:val="24"/>
        </w:rPr>
      </w:pPr>
      <w:r w:rsidRPr="007C59C9">
        <w:rPr>
          <w:sz w:val="24"/>
          <w:szCs w:val="24"/>
        </w:rPr>
        <w:t>Hvis patienten har nedsat nyrefunktion og/eller får kaliumfattig diæt, skal der tages hensyn hertil.</w:t>
      </w:r>
      <w:bookmarkEnd w:id="8"/>
    </w:p>
    <w:p w14:paraId="5FA35F4F" w14:textId="77777777" w:rsidR="009260DE" w:rsidRPr="007C59C9" w:rsidRDefault="009260DE" w:rsidP="009260DE">
      <w:pPr>
        <w:tabs>
          <w:tab w:val="left" w:pos="851"/>
        </w:tabs>
        <w:ind w:left="851"/>
        <w:rPr>
          <w:sz w:val="24"/>
          <w:szCs w:val="24"/>
        </w:rPr>
      </w:pPr>
    </w:p>
    <w:p w14:paraId="198C4932" w14:textId="77777777" w:rsidR="009260DE" w:rsidRPr="007C59C9" w:rsidRDefault="009260DE" w:rsidP="009260DE">
      <w:pPr>
        <w:tabs>
          <w:tab w:val="left" w:pos="851"/>
        </w:tabs>
        <w:ind w:left="851" w:hanging="851"/>
        <w:rPr>
          <w:b/>
          <w:sz w:val="24"/>
          <w:szCs w:val="24"/>
        </w:rPr>
      </w:pPr>
      <w:r w:rsidRPr="007C59C9">
        <w:rPr>
          <w:b/>
          <w:sz w:val="24"/>
          <w:szCs w:val="24"/>
        </w:rPr>
        <w:t>4.5</w:t>
      </w:r>
      <w:r w:rsidRPr="007C59C9">
        <w:rPr>
          <w:b/>
          <w:sz w:val="24"/>
          <w:szCs w:val="24"/>
        </w:rPr>
        <w:tab/>
        <w:t>Interaktion med andre lægemidler og andre former for interaktion</w:t>
      </w:r>
    </w:p>
    <w:p w14:paraId="7F56F603" w14:textId="77777777" w:rsidR="00DB1628" w:rsidRPr="007C59C9" w:rsidRDefault="00DB1628" w:rsidP="007B2912">
      <w:pPr>
        <w:ind w:left="851"/>
        <w:rPr>
          <w:sz w:val="24"/>
          <w:szCs w:val="24"/>
        </w:rPr>
      </w:pPr>
      <w:r w:rsidRPr="007C59C9">
        <w:rPr>
          <w:sz w:val="24"/>
          <w:szCs w:val="24"/>
        </w:rPr>
        <w:t xml:space="preserve">Følgende kombination med </w:t>
      </w:r>
      <w:proofErr w:type="spellStart"/>
      <w:r w:rsidRPr="007C59C9">
        <w:rPr>
          <w:sz w:val="24"/>
          <w:szCs w:val="24"/>
        </w:rPr>
        <w:t>benzylpenicillin</w:t>
      </w:r>
      <w:proofErr w:type="spellEnd"/>
      <w:r w:rsidRPr="007C59C9">
        <w:rPr>
          <w:sz w:val="24"/>
          <w:szCs w:val="24"/>
        </w:rPr>
        <w:t xml:space="preserve"> kan kræve dosisjustering: </w:t>
      </w:r>
      <w:proofErr w:type="spellStart"/>
      <w:r w:rsidRPr="007C59C9">
        <w:rPr>
          <w:sz w:val="24"/>
          <w:szCs w:val="24"/>
        </w:rPr>
        <w:t>Methotrexat</w:t>
      </w:r>
      <w:proofErr w:type="spellEnd"/>
      <w:r w:rsidRPr="007C59C9">
        <w:rPr>
          <w:sz w:val="24"/>
          <w:szCs w:val="24"/>
        </w:rPr>
        <w:t>.</w:t>
      </w:r>
    </w:p>
    <w:p w14:paraId="4628D81C" w14:textId="77777777" w:rsidR="00DB1628" w:rsidRPr="007C59C9" w:rsidRDefault="00DB1628" w:rsidP="007B2912">
      <w:pPr>
        <w:ind w:left="851"/>
        <w:rPr>
          <w:sz w:val="24"/>
          <w:szCs w:val="24"/>
        </w:rPr>
      </w:pPr>
    </w:p>
    <w:p w14:paraId="27F7904D" w14:textId="77777777" w:rsidR="00DB1628" w:rsidRPr="007C59C9" w:rsidRDefault="00DB1628" w:rsidP="007B2912">
      <w:pPr>
        <w:ind w:left="851"/>
        <w:rPr>
          <w:sz w:val="24"/>
          <w:szCs w:val="24"/>
        </w:rPr>
      </w:pPr>
      <w:proofErr w:type="spellStart"/>
      <w:r w:rsidRPr="007C59C9">
        <w:rPr>
          <w:i/>
          <w:iCs/>
          <w:sz w:val="24"/>
          <w:szCs w:val="24"/>
        </w:rPr>
        <w:t>Methotrexat</w:t>
      </w:r>
      <w:proofErr w:type="spellEnd"/>
      <w:r w:rsidRPr="007C59C9">
        <w:rPr>
          <w:i/>
          <w:iCs/>
          <w:sz w:val="24"/>
          <w:szCs w:val="24"/>
        </w:rPr>
        <w:t>:</w:t>
      </w:r>
      <w:r w:rsidRPr="007C59C9">
        <w:rPr>
          <w:sz w:val="24"/>
          <w:szCs w:val="24"/>
        </w:rPr>
        <w:t xml:space="preserve"> Der er rapporteret om svær toksisk reaktion mod </w:t>
      </w:r>
      <w:proofErr w:type="spellStart"/>
      <w:r w:rsidRPr="007C59C9">
        <w:rPr>
          <w:sz w:val="24"/>
          <w:szCs w:val="24"/>
        </w:rPr>
        <w:t>methotrexat</w:t>
      </w:r>
      <w:proofErr w:type="spellEnd"/>
      <w:r w:rsidRPr="007C59C9">
        <w:rPr>
          <w:sz w:val="24"/>
          <w:szCs w:val="24"/>
        </w:rPr>
        <w:t xml:space="preserve"> hos en patient, der fik samtidig behandling med </w:t>
      </w:r>
      <w:proofErr w:type="spellStart"/>
      <w:r w:rsidRPr="007C59C9">
        <w:rPr>
          <w:sz w:val="24"/>
          <w:szCs w:val="24"/>
        </w:rPr>
        <w:t>furosemid</w:t>
      </w:r>
      <w:proofErr w:type="spellEnd"/>
      <w:r w:rsidRPr="007C59C9">
        <w:rPr>
          <w:sz w:val="24"/>
          <w:szCs w:val="24"/>
        </w:rPr>
        <w:t xml:space="preserve"> og penicillin V. Disse organiske syrer kan hæmme den </w:t>
      </w:r>
      <w:proofErr w:type="spellStart"/>
      <w:r w:rsidRPr="007C59C9">
        <w:rPr>
          <w:sz w:val="24"/>
          <w:szCs w:val="24"/>
        </w:rPr>
        <w:t>tubulære</w:t>
      </w:r>
      <w:proofErr w:type="spellEnd"/>
      <w:r w:rsidRPr="007C59C9">
        <w:rPr>
          <w:sz w:val="24"/>
          <w:szCs w:val="24"/>
        </w:rPr>
        <w:t xml:space="preserve"> sekretion af </w:t>
      </w:r>
      <w:proofErr w:type="spellStart"/>
      <w:r w:rsidRPr="007C59C9">
        <w:rPr>
          <w:sz w:val="24"/>
          <w:szCs w:val="24"/>
        </w:rPr>
        <w:t>methotrexat</w:t>
      </w:r>
      <w:proofErr w:type="spellEnd"/>
      <w:r w:rsidRPr="007C59C9">
        <w:rPr>
          <w:sz w:val="24"/>
          <w:szCs w:val="24"/>
        </w:rPr>
        <w:t xml:space="preserve">. Denne interaktion er også beskrevet efter kombination af </w:t>
      </w:r>
      <w:proofErr w:type="spellStart"/>
      <w:r w:rsidRPr="007C59C9">
        <w:rPr>
          <w:sz w:val="24"/>
          <w:szCs w:val="24"/>
        </w:rPr>
        <w:t>methotrexat</w:t>
      </w:r>
      <w:proofErr w:type="spellEnd"/>
      <w:r w:rsidRPr="007C59C9">
        <w:rPr>
          <w:sz w:val="24"/>
          <w:szCs w:val="24"/>
        </w:rPr>
        <w:t xml:space="preserve"> og </w:t>
      </w:r>
      <w:proofErr w:type="spellStart"/>
      <w:r w:rsidRPr="007C59C9">
        <w:rPr>
          <w:sz w:val="24"/>
          <w:szCs w:val="24"/>
        </w:rPr>
        <w:t>mezlocillin</w:t>
      </w:r>
      <w:proofErr w:type="spellEnd"/>
      <w:r w:rsidRPr="007C59C9">
        <w:rPr>
          <w:sz w:val="24"/>
          <w:szCs w:val="24"/>
        </w:rPr>
        <w:t xml:space="preserve"> og </w:t>
      </w:r>
      <w:proofErr w:type="spellStart"/>
      <w:r w:rsidRPr="007C59C9">
        <w:rPr>
          <w:sz w:val="24"/>
          <w:szCs w:val="24"/>
        </w:rPr>
        <w:t>methotrexat</w:t>
      </w:r>
      <w:proofErr w:type="spellEnd"/>
      <w:r w:rsidRPr="007C59C9">
        <w:rPr>
          <w:sz w:val="24"/>
          <w:szCs w:val="24"/>
        </w:rPr>
        <w:t xml:space="preserve"> og </w:t>
      </w:r>
      <w:proofErr w:type="spellStart"/>
      <w:r w:rsidRPr="007C59C9">
        <w:rPr>
          <w:sz w:val="24"/>
          <w:szCs w:val="24"/>
        </w:rPr>
        <w:t>amoxicillin</w:t>
      </w:r>
      <w:proofErr w:type="spellEnd"/>
      <w:r w:rsidRPr="007C59C9">
        <w:rPr>
          <w:sz w:val="24"/>
          <w:szCs w:val="24"/>
        </w:rPr>
        <w:t>.</w:t>
      </w:r>
    </w:p>
    <w:p w14:paraId="5F67A38D" w14:textId="77777777" w:rsidR="00DB1628" w:rsidRPr="007C59C9" w:rsidRDefault="00DB1628" w:rsidP="007B2912">
      <w:pPr>
        <w:ind w:left="851"/>
        <w:rPr>
          <w:sz w:val="24"/>
          <w:szCs w:val="24"/>
        </w:rPr>
      </w:pPr>
    </w:p>
    <w:p w14:paraId="25FA404D" w14:textId="77777777" w:rsidR="00DB1628" w:rsidRPr="007C59C9" w:rsidRDefault="00DB1628" w:rsidP="007B2912">
      <w:pPr>
        <w:ind w:left="851"/>
        <w:rPr>
          <w:sz w:val="24"/>
          <w:szCs w:val="24"/>
        </w:rPr>
      </w:pPr>
      <w:proofErr w:type="spellStart"/>
      <w:r w:rsidRPr="007C59C9">
        <w:rPr>
          <w:i/>
          <w:sz w:val="24"/>
          <w:szCs w:val="24"/>
        </w:rPr>
        <w:t>Probenecid</w:t>
      </w:r>
      <w:proofErr w:type="spellEnd"/>
      <w:r w:rsidRPr="007C59C9">
        <w:rPr>
          <w:sz w:val="24"/>
          <w:szCs w:val="24"/>
        </w:rPr>
        <w:t xml:space="preserve"> hæmmer den </w:t>
      </w:r>
      <w:proofErr w:type="spellStart"/>
      <w:r w:rsidRPr="007C59C9">
        <w:rPr>
          <w:sz w:val="24"/>
          <w:szCs w:val="24"/>
        </w:rPr>
        <w:t>renale</w:t>
      </w:r>
      <w:proofErr w:type="spellEnd"/>
      <w:r w:rsidRPr="007C59C9">
        <w:rPr>
          <w:sz w:val="24"/>
          <w:szCs w:val="24"/>
        </w:rPr>
        <w:t xml:space="preserve"> udskillelse af </w:t>
      </w:r>
      <w:proofErr w:type="spellStart"/>
      <w:r w:rsidRPr="007C59C9">
        <w:rPr>
          <w:sz w:val="24"/>
          <w:szCs w:val="24"/>
        </w:rPr>
        <w:t>benzylpenicillin</w:t>
      </w:r>
      <w:proofErr w:type="spellEnd"/>
      <w:r w:rsidRPr="007C59C9">
        <w:rPr>
          <w:sz w:val="24"/>
          <w:szCs w:val="24"/>
        </w:rPr>
        <w:t>, og derfor kan der opretholdes højere plasmakoncentrationer i længere tid.</w:t>
      </w:r>
    </w:p>
    <w:p w14:paraId="0A6970A1" w14:textId="77777777" w:rsidR="009260DE" w:rsidRPr="007C59C9" w:rsidRDefault="009260DE" w:rsidP="009260DE">
      <w:pPr>
        <w:tabs>
          <w:tab w:val="left" w:pos="851"/>
        </w:tabs>
        <w:ind w:left="851"/>
        <w:rPr>
          <w:sz w:val="24"/>
          <w:szCs w:val="24"/>
        </w:rPr>
      </w:pPr>
    </w:p>
    <w:p w14:paraId="0A1297E6" w14:textId="77777777" w:rsidR="009260DE" w:rsidRPr="007C59C9" w:rsidRDefault="009260DE" w:rsidP="009260DE">
      <w:pPr>
        <w:tabs>
          <w:tab w:val="left" w:pos="851"/>
        </w:tabs>
        <w:ind w:left="851" w:hanging="851"/>
        <w:rPr>
          <w:b/>
          <w:sz w:val="24"/>
          <w:szCs w:val="24"/>
        </w:rPr>
      </w:pPr>
      <w:r w:rsidRPr="007C59C9">
        <w:rPr>
          <w:b/>
          <w:sz w:val="24"/>
          <w:szCs w:val="24"/>
        </w:rPr>
        <w:t>4.6</w:t>
      </w:r>
      <w:r w:rsidRPr="007C59C9">
        <w:rPr>
          <w:b/>
          <w:sz w:val="24"/>
          <w:szCs w:val="24"/>
        </w:rPr>
        <w:tab/>
      </w:r>
      <w:r w:rsidR="0071241E" w:rsidRPr="007C59C9">
        <w:rPr>
          <w:b/>
          <w:sz w:val="24"/>
          <w:szCs w:val="24"/>
        </w:rPr>
        <w:t>Fertilitet, g</w:t>
      </w:r>
      <w:r w:rsidRPr="007C59C9">
        <w:rPr>
          <w:b/>
          <w:sz w:val="24"/>
          <w:szCs w:val="24"/>
        </w:rPr>
        <w:t>raviditet og amning</w:t>
      </w:r>
    </w:p>
    <w:p w14:paraId="334AA347" w14:textId="77777777" w:rsidR="00606CF0" w:rsidRDefault="00606CF0" w:rsidP="007B2912">
      <w:pPr>
        <w:ind w:left="851"/>
        <w:rPr>
          <w:noProof/>
          <w:sz w:val="24"/>
          <w:szCs w:val="24"/>
        </w:rPr>
      </w:pPr>
    </w:p>
    <w:p w14:paraId="3EE3F9C6" w14:textId="45038679" w:rsidR="00DB1628" w:rsidRPr="00606CF0" w:rsidRDefault="00DB1628" w:rsidP="007B2912">
      <w:pPr>
        <w:ind w:left="851"/>
        <w:rPr>
          <w:noProof/>
          <w:sz w:val="24"/>
          <w:szCs w:val="24"/>
          <w:u w:val="single"/>
        </w:rPr>
      </w:pPr>
      <w:r w:rsidRPr="00606CF0">
        <w:rPr>
          <w:noProof/>
          <w:sz w:val="24"/>
          <w:szCs w:val="24"/>
          <w:u w:val="single"/>
        </w:rPr>
        <w:t>Graviditet</w:t>
      </w:r>
    </w:p>
    <w:p w14:paraId="4AF1F8AC" w14:textId="77777777" w:rsidR="00DB1628" w:rsidRPr="007C59C9" w:rsidRDefault="00DB1628" w:rsidP="007B2912">
      <w:pPr>
        <w:ind w:left="851"/>
        <w:rPr>
          <w:sz w:val="24"/>
          <w:szCs w:val="24"/>
        </w:rPr>
      </w:pPr>
      <w:r w:rsidRPr="007C59C9">
        <w:rPr>
          <w:sz w:val="24"/>
          <w:szCs w:val="24"/>
        </w:rPr>
        <w:t>Ingen kendte risici ved anvendelse under graviditet.</w:t>
      </w:r>
    </w:p>
    <w:p w14:paraId="3FDDACDC" w14:textId="77777777" w:rsidR="00DB1628" w:rsidRPr="007C59C9" w:rsidRDefault="00DB1628" w:rsidP="007B2912">
      <w:pPr>
        <w:ind w:left="851"/>
        <w:rPr>
          <w:noProof/>
          <w:sz w:val="24"/>
          <w:szCs w:val="24"/>
        </w:rPr>
      </w:pPr>
    </w:p>
    <w:p w14:paraId="363D4D9D" w14:textId="77777777" w:rsidR="00DB1628" w:rsidRPr="00606CF0" w:rsidRDefault="00DB1628" w:rsidP="007B2912">
      <w:pPr>
        <w:ind w:left="851"/>
        <w:rPr>
          <w:noProof/>
          <w:sz w:val="24"/>
          <w:szCs w:val="24"/>
          <w:u w:val="single"/>
        </w:rPr>
      </w:pPr>
      <w:r w:rsidRPr="00606CF0">
        <w:rPr>
          <w:noProof/>
          <w:sz w:val="24"/>
          <w:szCs w:val="24"/>
          <w:u w:val="single"/>
        </w:rPr>
        <w:t>Amning</w:t>
      </w:r>
    </w:p>
    <w:p w14:paraId="68D743C5" w14:textId="77777777" w:rsidR="00DB1628" w:rsidRPr="007C59C9" w:rsidRDefault="00DB1628" w:rsidP="007B2912">
      <w:pPr>
        <w:ind w:left="851"/>
        <w:rPr>
          <w:noProof/>
          <w:sz w:val="24"/>
          <w:szCs w:val="24"/>
        </w:rPr>
      </w:pPr>
      <w:proofErr w:type="spellStart"/>
      <w:r w:rsidRPr="007C59C9">
        <w:rPr>
          <w:sz w:val="24"/>
          <w:szCs w:val="24"/>
        </w:rPr>
        <w:t>Benzylpenicillin</w:t>
      </w:r>
      <w:proofErr w:type="spellEnd"/>
      <w:r w:rsidRPr="007C59C9">
        <w:rPr>
          <w:sz w:val="24"/>
          <w:szCs w:val="24"/>
        </w:rPr>
        <w:t xml:space="preserve"> går over i human mælk, men en risiko for påvirkning af barnet forekommer usandsynlig ved brug af terapeutiske doser.</w:t>
      </w:r>
    </w:p>
    <w:p w14:paraId="473E8BB9" w14:textId="77777777" w:rsidR="009260DE" w:rsidRPr="007C59C9" w:rsidRDefault="009260DE" w:rsidP="009260DE">
      <w:pPr>
        <w:tabs>
          <w:tab w:val="left" w:pos="851"/>
        </w:tabs>
        <w:ind w:left="851"/>
        <w:rPr>
          <w:sz w:val="24"/>
          <w:szCs w:val="24"/>
        </w:rPr>
      </w:pPr>
    </w:p>
    <w:p w14:paraId="45831D5C" w14:textId="77777777" w:rsidR="009260DE" w:rsidRPr="007C59C9" w:rsidRDefault="009260DE" w:rsidP="009260DE">
      <w:pPr>
        <w:tabs>
          <w:tab w:val="left" w:pos="851"/>
        </w:tabs>
        <w:ind w:left="851" w:hanging="851"/>
        <w:rPr>
          <w:b/>
          <w:sz w:val="24"/>
          <w:szCs w:val="24"/>
        </w:rPr>
      </w:pPr>
      <w:r w:rsidRPr="007C59C9">
        <w:rPr>
          <w:b/>
          <w:sz w:val="24"/>
          <w:szCs w:val="24"/>
        </w:rPr>
        <w:lastRenderedPageBreak/>
        <w:t>4.7</w:t>
      </w:r>
      <w:r w:rsidRPr="007C59C9">
        <w:rPr>
          <w:b/>
          <w:sz w:val="24"/>
          <w:szCs w:val="24"/>
        </w:rPr>
        <w:tab/>
        <w:t xml:space="preserve">Virkning på evnen til at føre motorkøretøj </w:t>
      </w:r>
      <w:r w:rsidR="0071241E" w:rsidRPr="007C59C9">
        <w:rPr>
          <w:b/>
          <w:sz w:val="24"/>
          <w:szCs w:val="24"/>
        </w:rPr>
        <w:t>og</w:t>
      </w:r>
      <w:r w:rsidRPr="007C59C9">
        <w:rPr>
          <w:b/>
          <w:sz w:val="24"/>
          <w:szCs w:val="24"/>
        </w:rPr>
        <w:t xml:space="preserve"> betjene maskiner</w:t>
      </w:r>
    </w:p>
    <w:p w14:paraId="25157E02" w14:textId="77777777" w:rsidR="00606CF0" w:rsidRDefault="00606CF0" w:rsidP="007B2912">
      <w:pPr>
        <w:ind w:left="851"/>
        <w:rPr>
          <w:sz w:val="24"/>
          <w:szCs w:val="24"/>
        </w:rPr>
      </w:pPr>
      <w:r>
        <w:rPr>
          <w:sz w:val="24"/>
          <w:szCs w:val="24"/>
        </w:rPr>
        <w:t>Ikke mærkning.</w:t>
      </w:r>
    </w:p>
    <w:p w14:paraId="3C92B8AB" w14:textId="49B44DB2" w:rsidR="00DB1628" w:rsidRPr="007C59C9" w:rsidRDefault="00DB1628" w:rsidP="007B2912">
      <w:pPr>
        <w:ind w:left="851"/>
        <w:rPr>
          <w:sz w:val="24"/>
          <w:szCs w:val="24"/>
        </w:rPr>
      </w:pPr>
      <w:proofErr w:type="spellStart"/>
      <w:r w:rsidRPr="007C59C9">
        <w:rPr>
          <w:sz w:val="24"/>
          <w:szCs w:val="24"/>
        </w:rPr>
        <w:t>Penicryl</w:t>
      </w:r>
      <w:proofErr w:type="spellEnd"/>
      <w:r w:rsidRPr="007C59C9">
        <w:rPr>
          <w:sz w:val="24"/>
          <w:szCs w:val="24"/>
        </w:rPr>
        <w:t xml:space="preserve"> påvirker ikke eller kun i ubetydelig grad evnen til at føre motorkøretøj og betjene maskiner.</w:t>
      </w:r>
    </w:p>
    <w:p w14:paraId="6C8D09C9" w14:textId="77777777" w:rsidR="009260DE" w:rsidRPr="007C59C9" w:rsidRDefault="009260DE" w:rsidP="009260DE">
      <w:pPr>
        <w:tabs>
          <w:tab w:val="left" w:pos="851"/>
        </w:tabs>
        <w:ind w:left="851"/>
        <w:rPr>
          <w:sz w:val="24"/>
          <w:szCs w:val="24"/>
        </w:rPr>
      </w:pPr>
    </w:p>
    <w:p w14:paraId="79BD4473" w14:textId="77777777" w:rsidR="009260DE" w:rsidRPr="007C59C9" w:rsidRDefault="009260DE" w:rsidP="009260DE">
      <w:pPr>
        <w:tabs>
          <w:tab w:val="left" w:pos="851"/>
        </w:tabs>
        <w:ind w:left="851" w:hanging="851"/>
        <w:rPr>
          <w:b/>
          <w:sz w:val="24"/>
          <w:szCs w:val="24"/>
        </w:rPr>
      </w:pPr>
      <w:r w:rsidRPr="007C59C9">
        <w:rPr>
          <w:b/>
          <w:sz w:val="24"/>
          <w:szCs w:val="24"/>
        </w:rPr>
        <w:t>4.8</w:t>
      </w:r>
      <w:r w:rsidRPr="007C59C9">
        <w:rPr>
          <w:b/>
          <w:sz w:val="24"/>
          <w:szCs w:val="24"/>
        </w:rPr>
        <w:tab/>
        <w:t>Bivirkninger</w:t>
      </w:r>
    </w:p>
    <w:p w14:paraId="0FDC98E7" w14:textId="77777777" w:rsidR="00DB1628" w:rsidRPr="007C59C9" w:rsidRDefault="00DB1628" w:rsidP="007B2912">
      <w:pPr>
        <w:ind w:left="851"/>
        <w:rPr>
          <w:sz w:val="24"/>
          <w:szCs w:val="24"/>
        </w:rPr>
      </w:pPr>
      <w:r w:rsidRPr="007C59C9">
        <w:rPr>
          <w:sz w:val="24"/>
          <w:szCs w:val="24"/>
        </w:rPr>
        <w:t>Den mest almindelige bivirkning, er udslæt, som forekommer hos 2 % af de behandlede patienter, og lokale reaktioner på infusionsstedet.</w:t>
      </w:r>
    </w:p>
    <w:p w14:paraId="31F241B0" w14:textId="77777777" w:rsidR="00DB1628" w:rsidRPr="007C59C9" w:rsidRDefault="00DB1628" w:rsidP="007B2912">
      <w:pPr>
        <w:ind w:left="851"/>
        <w:rPr>
          <w:sz w:val="24"/>
          <w:szCs w:val="24"/>
        </w:rPr>
      </w:pPr>
    </w:p>
    <w:p w14:paraId="3CDFB548" w14:textId="77777777" w:rsidR="00DB1628" w:rsidRPr="007C59C9" w:rsidRDefault="00DB1628" w:rsidP="007B2912">
      <w:pPr>
        <w:ind w:left="851"/>
        <w:rPr>
          <w:sz w:val="24"/>
          <w:szCs w:val="24"/>
        </w:rPr>
      </w:pPr>
      <w:r w:rsidRPr="007C59C9">
        <w:rPr>
          <w:sz w:val="24"/>
          <w:szCs w:val="24"/>
        </w:rPr>
        <w:t xml:space="preserve">Bivirkningshyppigheder er klassificeret, som følger: </w:t>
      </w:r>
    </w:p>
    <w:p w14:paraId="745B3B24" w14:textId="305A5887" w:rsidR="00DB1628" w:rsidRPr="007C59C9" w:rsidRDefault="00DB1628" w:rsidP="007B2912">
      <w:pPr>
        <w:ind w:left="851"/>
        <w:rPr>
          <w:sz w:val="24"/>
          <w:szCs w:val="24"/>
        </w:rPr>
      </w:pPr>
      <w:r w:rsidRPr="007C59C9">
        <w:rPr>
          <w:sz w:val="24"/>
          <w:szCs w:val="24"/>
        </w:rPr>
        <w:t>Meget almindelig (≥1/10), almindelig (≥1/100 til &lt;1/10), ikke almindelig (≥1/1 000 til &lt;1/100),</w:t>
      </w:r>
      <w:r w:rsidR="00C63E35">
        <w:rPr>
          <w:sz w:val="24"/>
          <w:szCs w:val="24"/>
        </w:rPr>
        <w:t xml:space="preserve"> </w:t>
      </w:r>
      <w:r w:rsidRPr="007C59C9">
        <w:rPr>
          <w:sz w:val="24"/>
          <w:szCs w:val="24"/>
        </w:rPr>
        <w:t xml:space="preserve">sjælden (≥1/10 000 til &lt;1/1 000), meget sjælden (&lt;1/10 000), </w:t>
      </w:r>
      <w:bookmarkStart w:id="10" w:name="_Hlk73437664"/>
      <w:r w:rsidRPr="007C59C9">
        <w:rPr>
          <w:sz w:val="24"/>
          <w:szCs w:val="24"/>
        </w:rPr>
        <w:t xml:space="preserve">ikke kendt </w:t>
      </w:r>
      <w:bookmarkStart w:id="11" w:name="_Hlk73437703"/>
      <w:bookmarkEnd w:id="10"/>
      <w:r w:rsidRPr="007C59C9">
        <w:rPr>
          <w:sz w:val="24"/>
          <w:szCs w:val="24"/>
        </w:rPr>
        <w:t>(kan ikke estimeres ud fra forhåndenværende data).</w:t>
      </w:r>
      <w:bookmarkEnd w:id="11"/>
    </w:p>
    <w:p w14:paraId="6AF8D52D" w14:textId="77777777" w:rsidR="00DB1628" w:rsidRPr="007C59C9" w:rsidRDefault="00DB1628" w:rsidP="00DB1628">
      <w:pPr>
        <w:pStyle w:val="Brdtekst"/>
        <w:widowControl/>
        <w:tabs>
          <w:tab w:val="left" w:pos="426"/>
        </w:tabs>
        <w:kinsoku w:val="0"/>
        <w:overflowPunct w:val="0"/>
        <w:spacing w:before="0"/>
        <w:ind w:left="0"/>
        <w:rPr>
          <w:i/>
          <w:iCs/>
        </w:rPr>
      </w:pPr>
    </w:p>
    <w:tbl>
      <w:tblPr>
        <w:tblStyle w:val="Tabel-Gitter"/>
        <w:tblW w:w="5000" w:type="pct"/>
        <w:tblInd w:w="0" w:type="dxa"/>
        <w:tblLook w:val="04A0" w:firstRow="1" w:lastRow="0" w:firstColumn="1" w:lastColumn="0" w:noHBand="0" w:noVBand="1"/>
      </w:tblPr>
      <w:tblGrid>
        <w:gridCol w:w="2407"/>
        <w:gridCol w:w="2407"/>
        <w:gridCol w:w="2407"/>
        <w:gridCol w:w="2407"/>
      </w:tblGrid>
      <w:tr w:rsidR="00DB1628" w:rsidRPr="00C63E35" w14:paraId="214B65DA" w14:textId="77777777" w:rsidTr="007B2912">
        <w:tc>
          <w:tcPr>
            <w:tcW w:w="1250" w:type="pct"/>
            <w:tcBorders>
              <w:top w:val="single" w:sz="4" w:space="0" w:color="auto"/>
              <w:left w:val="single" w:sz="4" w:space="0" w:color="auto"/>
              <w:bottom w:val="single" w:sz="4" w:space="0" w:color="auto"/>
              <w:right w:val="single" w:sz="4" w:space="0" w:color="auto"/>
            </w:tcBorders>
            <w:hideMark/>
          </w:tcPr>
          <w:p w14:paraId="67171E59" w14:textId="77777777" w:rsidR="00DB1628" w:rsidRPr="00C63E35" w:rsidRDefault="00DB1628">
            <w:pPr>
              <w:pStyle w:val="Brdtekst"/>
              <w:widowControl/>
              <w:tabs>
                <w:tab w:val="left" w:pos="426"/>
              </w:tabs>
              <w:kinsoku w:val="0"/>
              <w:overflowPunct w:val="0"/>
              <w:spacing w:before="0"/>
              <w:ind w:left="0"/>
              <w:rPr>
                <w:rFonts w:ascii="Times New Roman" w:hAnsi="Times New Roman"/>
                <w:b/>
                <w:bCs/>
                <w:sz w:val="22"/>
                <w:szCs w:val="22"/>
                <w:lang w:val="da-DK"/>
              </w:rPr>
            </w:pPr>
            <w:r w:rsidRPr="00C63E35">
              <w:rPr>
                <w:rFonts w:ascii="Times New Roman" w:hAnsi="Times New Roman"/>
                <w:b/>
                <w:bCs/>
                <w:sz w:val="22"/>
                <w:szCs w:val="22"/>
                <w:lang w:val="da-DK"/>
              </w:rPr>
              <w:t>Almindelig</w:t>
            </w:r>
          </w:p>
        </w:tc>
        <w:tc>
          <w:tcPr>
            <w:tcW w:w="1250" w:type="pct"/>
            <w:tcBorders>
              <w:top w:val="single" w:sz="4" w:space="0" w:color="auto"/>
              <w:left w:val="single" w:sz="4" w:space="0" w:color="auto"/>
              <w:bottom w:val="single" w:sz="4" w:space="0" w:color="auto"/>
              <w:right w:val="single" w:sz="4" w:space="0" w:color="auto"/>
            </w:tcBorders>
            <w:hideMark/>
          </w:tcPr>
          <w:p w14:paraId="7CF43809" w14:textId="77777777" w:rsidR="00DB1628" w:rsidRPr="00C63E35" w:rsidRDefault="00DB1628">
            <w:pPr>
              <w:pStyle w:val="Brdtekst"/>
              <w:widowControl/>
              <w:tabs>
                <w:tab w:val="left" w:pos="426"/>
              </w:tabs>
              <w:kinsoku w:val="0"/>
              <w:overflowPunct w:val="0"/>
              <w:spacing w:before="0"/>
              <w:ind w:left="0"/>
              <w:rPr>
                <w:rFonts w:ascii="Times New Roman" w:hAnsi="Times New Roman"/>
                <w:b/>
                <w:bCs/>
                <w:sz w:val="22"/>
                <w:szCs w:val="22"/>
                <w:lang w:val="da-DK"/>
              </w:rPr>
            </w:pPr>
            <w:r w:rsidRPr="00C63E35">
              <w:rPr>
                <w:rFonts w:ascii="Times New Roman" w:hAnsi="Times New Roman"/>
                <w:b/>
                <w:bCs/>
                <w:sz w:val="22"/>
                <w:szCs w:val="22"/>
                <w:lang w:val="da-DK"/>
              </w:rPr>
              <w:t>Ikke almindelig</w:t>
            </w:r>
          </w:p>
        </w:tc>
        <w:tc>
          <w:tcPr>
            <w:tcW w:w="1250" w:type="pct"/>
            <w:tcBorders>
              <w:top w:val="single" w:sz="4" w:space="0" w:color="auto"/>
              <w:left w:val="single" w:sz="4" w:space="0" w:color="auto"/>
              <w:bottom w:val="single" w:sz="4" w:space="0" w:color="auto"/>
              <w:right w:val="single" w:sz="4" w:space="0" w:color="auto"/>
            </w:tcBorders>
            <w:hideMark/>
          </w:tcPr>
          <w:p w14:paraId="4016AD34" w14:textId="77777777" w:rsidR="00DB1628" w:rsidRPr="00C63E35" w:rsidRDefault="00DB1628">
            <w:pPr>
              <w:pStyle w:val="Brdtekst"/>
              <w:widowControl/>
              <w:tabs>
                <w:tab w:val="left" w:pos="426"/>
              </w:tabs>
              <w:kinsoku w:val="0"/>
              <w:overflowPunct w:val="0"/>
              <w:spacing w:before="0"/>
              <w:ind w:left="0"/>
              <w:rPr>
                <w:rFonts w:ascii="Times New Roman" w:hAnsi="Times New Roman"/>
                <w:b/>
                <w:bCs/>
                <w:sz w:val="22"/>
                <w:szCs w:val="22"/>
                <w:lang w:val="da-DK"/>
              </w:rPr>
            </w:pPr>
            <w:r w:rsidRPr="00C63E35">
              <w:rPr>
                <w:rFonts w:ascii="Times New Roman" w:hAnsi="Times New Roman"/>
                <w:b/>
                <w:bCs/>
                <w:sz w:val="22"/>
                <w:szCs w:val="22"/>
                <w:lang w:val="da-DK"/>
              </w:rPr>
              <w:t>Sjælden</w:t>
            </w:r>
          </w:p>
        </w:tc>
        <w:tc>
          <w:tcPr>
            <w:tcW w:w="1250" w:type="pct"/>
            <w:tcBorders>
              <w:top w:val="single" w:sz="4" w:space="0" w:color="auto"/>
              <w:left w:val="single" w:sz="4" w:space="0" w:color="auto"/>
              <w:bottom w:val="single" w:sz="4" w:space="0" w:color="auto"/>
              <w:right w:val="single" w:sz="4" w:space="0" w:color="auto"/>
            </w:tcBorders>
            <w:hideMark/>
          </w:tcPr>
          <w:p w14:paraId="40FF6827" w14:textId="77777777" w:rsidR="00DB1628" w:rsidRPr="00C63E35" w:rsidRDefault="00DB1628">
            <w:pPr>
              <w:pStyle w:val="Brdtekst"/>
              <w:widowControl/>
              <w:tabs>
                <w:tab w:val="left" w:pos="426"/>
              </w:tabs>
              <w:kinsoku w:val="0"/>
              <w:overflowPunct w:val="0"/>
              <w:spacing w:before="0"/>
              <w:ind w:left="0"/>
              <w:rPr>
                <w:rFonts w:ascii="Times New Roman" w:hAnsi="Times New Roman"/>
                <w:b/>
                <w:bCs/>
                <w:sz w:val="22"/>
                <w:szCs w:val="22"/>
                <w:lang w:val="da-DK"/>
              </w:rPr>
            </w:pPr>
            <w:r w:rsidRPr="00C63E35">
              <w:rPr>
                <w:rFonts w:ascii="Times New Roman" w:hAnsi="Times New Roman"/>
                <w:b/>
                <w:bCs/>
                <w:sz w:val="22"/>
                <w:szCs w:val="22"/>
                <w:lang w:val="da-DK"/>
              </w:rPr>
              <w:t>Ikke kendt</w:t>
            </w:r>
          </w:p>
        </w:tc>
      </w:tr>
      <w:tr w:rsidR="00DB1628" w:rsidRPr="00C63E35" w14:paraId="64AB8DDB" w14:textId="77777777" w:rsidTr="007B2912">
        <w:tc>
          <w:tcPr>
            <w:tcW w:w="5000" w:type="pct"/>
            <w:gridSpan w:val="4"/>
            <w:tcBorders>
              <w:top w:val="single" w:sz="4" w:space="0" w:color="auto"/>
              <w:left w:val="single" w:sz="4" w:space="0" w:color="auto"/>
              <w:bottom w:val="single" w:sz="4" w:space="0" w:color="auto"/>
              <w:right w:val="single" w:sz="4" w:space="0" w:color="auto"/>
            </w:tcBorders>
            <w:hideMark/>
          </w:tcPr>
          <w:p w14:paraId="648F332F" w14:textId="77777777" w:rsidR="00DB1628" w:rsidRPr="00C63E35" w:rsidRDefault="00DB1628">
            <w:pPr>
              <w:pStyle w:val="Brdtekst"/>
              <w:widowControl/>
              <w:tabs>
                <w:tab w:val="left" w:pos="426"/>
              </w:tabs>
              <w:kinsoku w:val="0"/>
              <w:overflowPunct w:val="0"/>
              <w:spacing w:before="0"/>
              <w:ind w:left="0"/>
              <w:rPr>
                <w:rFonts w:ascii="Times New Roman" w:hAnsi="Times New Roman"/>
                <w:b/>
                <w:sz w:val="22"/>
                <w:szCs w:val="22"/>
                <w:lang w:val="da-DK"/>
              </w:rPr>
            </w:pPr>
            <w:r w:rsidRPr="00C63E35">
              <w:rPr>
                <w:rFonts w:ascii="Times New Roman" w:hAnsi="Times New Roman"/>
                <w:b/>
                <w:iCs/>
                <w:sz w:val="22"/>
                <w:szCs w:val="22"/>
                <w:lang w:val="da-DK"/>
              </w:rPr>
              <w:t>Blod og lymfesystem</w:t>
            </w:r>
          </w:p>
        </w:tc>
      </w:tr>
      <w:tr w:rsidR="00DB1628" w:rsidRPr="00C63E35" w14:paraId="1C88B812" w14:textId="77777777" w:rsidTr="007B2912">
        <w:tc>
          <w:tcPr>
            <w:tcW w:w="1250" w:type="pct"/>
            <w:tcBorders>
              <w:top w:val="single" w:sz="4" w:space="0" w:color="auto"/>
              <w:left w:val="single" w:sz="4" w:space="0" w:color="auto"/>
              <w:bottom w:val="single" w:sz="4" w:space="0" w:color="auto"/>
              <w:right w:val="single" w:sz="4" w:space="0" w:color="auto"/>
            </w:tcBorders>
          </w:tcPr>
          <w:p w14:paraId="246DE719" w14:textId="77777777" w:rsidR="00DB1628" w:rsidRPr="00C63E35" w:rsidRDefault="00DB1628">
            <w:pPr>
              <w:pStyle w:val="Brdtekst"/>
              <w:widowControl/>
              <w:tabs>
                <w:tab w:val="left" w:pos="426"/>
              </w:tabs>
              <w:kinsoku w:val="0"/>
              <w:overflowPunct w:val="0"/>
              <w:spacing w:before="0"/>
              <w:ind w:left="0"/>
              <w:rPr>
                <w:rFonts w:ascii="Times New Roman" w:hAnsi="Times New Roman"/>
                <w:sz w:val="22"/>
                <w:szCs w:val="22"/>
                <w:lang w:val="da-DK"/>
              </w:rPr>
            </w:pPr>
          </w:p>
        </w:tc>
        <w:tc>
          <w:tcPr>
            <w:tcW w:w="1250" w:type="pct"/>
            <w:tcBorders>
              <w:top w:val="single" w:sz="4" w:space="0" w:color="auto"/>
              <w:left w:val="single" w:sz="4" w:space="0" w:color="auto"/>
              <w:bottom w:val="single" w:sz="4" w:space="0" w:color="auto"/>
              <w:right w:val="single" w:sz="4" w:space="0" w:color="auto"/>
            </w:tcBorders>
            <w:hideMark/>
          </w:tcPr>
          <w:p w14:paraId="27476A13" w14:textId="77777777" w:rsidR="00DB1628" w:rsidRPr="00C63E35" w:rsidRDefault="00DB1628">
            <w:pPr>
              <w:pStyle w:val="Brdtekst"/>
              <w:widowControl/>
              <w:tabs>
                <w:tab w:val="left" w:pos="426"/>
              </w:tabs>
              <w:kinsoku w:val="0"/>
              <w:overflowPunct w:val="0"/>
              <w:spacing w:before="0"/>
              <w:ind w:left="0"/>
              <w:rPr>
                <w:rFonts w:ascii="Times New Roman" w:hAnsi="Times New Roman"/>
                <w:sz w:val="22"/>
                <w:szCs w:val="22"/>
                <w:lang w:val="da-DK"/>
              </w:rPr>
            </w:pPr>
            <w:proofErr w:type="spellStart"/>
            <w:r w:rsidRPr="00C63E35">
              <w:rPr>
                <w:rFonts w:ascii="Times New Roman" w:hAnsi="Times New Roman"/>
                <w:sz w:val="22"/>
                <w:szCs w:val="22"/>
                <w:lang w:val="da-DK"/>
              </w:rPr>
              <w:t>eosinofiler</w:t>
            </w:r>
            <w:proofErr w:type="spellEnd"/>
          </w:p>
        </w:tc>
        <w:tc>
          <w:tcPr>
            <w:tcW w:w="1250" w:type="pct"/>
            <w:tcBorders>
              <w:top w:val="single" w:sz="4" w:space="0" w:color="auto"/>
              <w:left w:val="single" w:sz="4" w:space="0" w:color="auto"/>
              <w:bottom w:val="single" w:sz="4" w:space="0" w:color="auto"/>
              <w:right w:val="single" w:sz="4" w:space="0" w:color="auto"/>
            </w:tcBorders>
            <w:hideMark/>
          </w:tcPr>
          <w:p w14:paraId="79BD1305" w14:textId="77777777" w:rsidR="00DB1628" w:rsidRPr="00C63E35" w:rsidRDefault="00DB1628">
            <w:pPr>
              <w:pStyle w:val="Brdtekst"/>
              <w:widowControl/>
              <w:tabs>
                <w:tab w:val="left" w:pos="426"/>
              </w:tabs>
              <w:kinsoku w:val="0"/>
              <w:overflowPunct w:val="0"/>
              <w:spacing w:before="0"/>
              <w:ind w:left="0"/>
              <w:rPr>
                <w:rFonts w:ascii="Times New Roman" w:hAnsi="Times New Roman"/>
                <w:sz w:val="22"/>
                <w:szCs w:val="22"/>
                <w:lang w:val="da-DK"/>
              </w:rPr>
            </w:pPr>
            <w:proofErr w:type="spellStart"/>
            <w:r w:rsidRPr="00C63E35">
              <w:rPr>
                <w:rFonts w:ascii="Times New Roman" w:hAnsi="Times New Roman"/>
                <w:sz w:val="22"/>
                <w:szCs w:val="22"/>
                <w:lang w:val="da-DK"/>
              </w:rPr>
              <w:t>hæmolytisk</w:t>
            </w:r>
            <w:proofErr w:type="spellEnd"/>
            <w:r w:rsidRPr="00C63E35">
              <w:rPr>
                <w:rFonts w:ascii="Times New Roman" w:hAnsi="Times New Roman"/>
                <w:sz w:val="22"/>
                <w:szCs w:val="22"/>
                <w:lang w:val="da-DK"/>
              </w:rPr>
              <w:t xml:space="preserve"> anæmi,</w:t>
            </w:r>
          </w:p>
          <w:p w14:paraId="658FA8E4" w14:textId="77777777" w:rsidR="00DB1628" w:rsidRPr="00C63E35" w:rsidRDefault="00DB1628">
            <w:pPr>
              <w:pStyle w:val="Brdtekst"/>
              <w:widowControl/>
              <w:tabs>
                <w:tab w:val="left" w:pos="426"/>
              </w:tabs>
              <w:kinsoku w:val="0"/>
              <w:overflowPunct w:val="0"/>
              <w:spacing w:before="0"/>
              <w:ind w:left="0"/>
              <w:rPr>
                <w:rFonts w:ascii="Times New Roman" w:hAnsi="Times New Roman"/>
                <w:sz w:val="22"/>
                <w:szCs w:val="22"/>
                <w:lang w:val="da-DK"/>
              </w:rPr>
            </w:pPr>
            <w:proofErr w:type="spellStart"/>
            <w:r w:rsidRPr="00C63E35">
              <w:rPr>
                <w:rFonts w:ascii="Times New Roman" w:hAnsi="Times New Roman"/>
                <w:sz w:val="22"/>
                <w:szCs w:val="22"/>
                <w:lang w:val="da-DK"/>
              </w:rPr>
              <w:t>leukopeni</w:t>
            </w:r>
            <w:proofErr w:type="spellEnd"/>
            <w:r w:rsidRPr="00C63E35">
              <w:rPr>
                <w:rFonts w:ascii="Times New Roman" w:hAnsi="Times New Roman"/>
                <w:sz w:val="22"/>
                <w:szCs w:val="22"/>
                <w:lang w:val="da-DK"/>
              </w:rPr>
              <w:t xml:space="preserve">, </w:t>
            </w:r>
            <w:proofErr w:type="spellStart"/>
            <w:r w:rsidRPr="00C63E35">
              <w:rPr>
                <w:rFonts w:ascii="Times New Roman" w:hAnsi="Times New Roman"/>
                <w:sz w:val="22"/>
                <w:szCs w:val="22"/>
                <w:lang w:val="da-DK"/>
              </w:rPr>
              <w:t>agranulocytose</w:t>
            </w:r>
            <w:proofErr w:type="spellEnd"/>
          </w:p>
        </w:tc>
        <w:tc>
          <w:tcPr>
            <w:tcW w:w="1250" w:type="pct"/>
            <w:tcBorders>
              <w:top w:val="single" w:sz="4" w:space="0" w:color="auto"/>
              <w:left w:val="single" w:sz="4" w:space="0" w:color="auto"/>
              <w:bottom w:val="single" w:sz="4" w:space="0" w:color="auto"/>
              <w:right w:val="single" w:sz="4" w:space="0" w:color="auto"/>
            </w:tcBorders>
            <w:hideMark/>
          </w:tcPr>
          <w:p w14:paraId="534F1941" w14:textId="77777777" w:rsidR="00DB1628" w:rsidRPr="00C63E35" w:rsidRDefault="00DB1628">
            <w:pPr>
              <w:pStyle w:val="Brdtekst"/>
              <w:widowControl/>
              <w:tabs>
                <w:tab w:val="left" w:pos="426"/>
              </w:tabs>
              <w:kinsoku w:val="0"/>
              <w:overflowPunct w:val="0"/>
              <w:spacing w:before="0"/>
              <w:ind w:left="0"/>
              <w:rPr>
                <w:rFonts w:ascii="Times New Roman" w:hAnsi="Times New Roman"/>
                <w:sz w:val="22"/>
                <w:szCs w:val="22"/>
                <w:lang w:val="da-DK"/>
              </w:rPr>
            </w:pPr>
            <w:proofErr w:type="spellStart"/>
            <w:r w:rsidRPr="00C63E35">
              <w:rPr>
                <w:rFonts w:ascii="Times New Roman" w:hAnsi="Times New Roman"/>
                <w:sz w:val="22"/>
                <w:szCs w:val="22"/>
                <w:lang w:val="da-DK"/>
              </w:rPr>
              <w:t>neutropeni</w:t>
            </w:r>
            <w:proofErr w:type="spellEnd"/>
            <w:r w:rsidRPr="00C63E35">
              <w:rPr>
                <w:rFonts w:ascii="Times New Roman" w:hAnsi="Times New Roman"/>
                <w:sz w:val="22"/>
                <w:szCs w:val="22"/>
                <w:lang w:val="da-DK"/>
              </w:rPr>
              <w:t xml:space="preserve">, </w:t>
            </w:r>
            <w:proofErr w:type="spellStart"/>
            <w:r w:rsidRPr="00C63E35">
              <w:rPr>
                <w:rFonts w:ascii="Times New Roman" w:hAnsi="Times New Roman"/>
                <w:sz w:val="22"/>
                <w:szCs w:val="22"/>
                <w:lang w:val="da-DK"/>
              </w:rPr>
              <w:t>trombocytopeni</w:t>
            </w:r>
            <w:proofErr w:type="spellEnd"/>
          </w:p>
        </w:tc>
      </w:tr>
      <w:tr w:rsidR="00DB1628" w:rsidRPr="00C63E35" w14:paraId="57A3B501" w14:textId="77777777" w:rsidTr="007B2912">
        <w:tc>
          <w:tcPr>
            <w:tcW w:w="5000" w:type="pct"/>
            <w:gridSpan w:val="4"/>
            <w:tcBorders>
              <w:top w:val="single" w:sz="4" w:space="0" w:color="auto"/>
              <w:left w:val="single" w:sz="4" w:space="0" w:color="auto"/>
              <w:bottom w:val="single" w:sz="4" w:space="0" w:color="auto"/>
              <w:right w:val="single" w:sz="4" w:space="0" w:color="auto"/>
            </w:tcBorders>
            <w:hideMark/>
          </w:tcPr>
          <w:p w14:paraId="440A3BC4" w14:textId="77777777" w:rsidR="00DB1628" w:rsidRPr="00C63E35" w:rsidRDefault="00DB1628">
            <w:pPr>
              <w:pStyle w:val="Brdtekst"/>
              <w:widowControl/>
              <w:tabs>
                <w:tab w:val="left" w:pos="426"/>
              </w:tabs>
              <w:kinsoku w:val="0"/>
              <w:overflowPunct w:val="0"/>
              <w:spacing w:before="0"/>
              <w:ind w:left="0"/>
              <w:rPr>
                <w:rFonts w:ascii="Times New Roman" w:hAnsi="Times New Roman"/>
                <w:b/>
                <w:iCs/>
                <w:sz w:val="22"/>
                <w:szCs w:val="22"/>
                <w:lang w:val="da-DK"/>
              </w:rPr>
            </w:pPr>
            <w:r w:rsidRPr="00C63E35">
              <w:rPr>
                <w:rFonts w:ascii="Times New Roman" w:hAnsi="Times New Roman"/>
                <w:b/>
                <w:iCs/>
                <w:sz w:val="22"/>
                <w:szCs w:val="22"/>
                <w:lang w:val="da-DK"/>
              </w:rPr>
              <w:t>Immunsystemet</w:t>
            </w:r>
          </w:p>
        </w:tc>
      </w:tr>
      <w:tr w:rsidR="00DB1628" w:rsidRPr="00C63E35" w14:paraId="1EDBD201" w14:textId="77777777" w:rsidTr="007B2912">
        <w:tc>
          <w:tcPr>
            <w:tcW w:w="1250" w:type="pct"/>
            <w:tcBorders>
              <w:top w:val="single" w:sz="4" w:space="0" w:color="auto"/>
              <w:left w:val="single" w:sz="4" w:space="0" w:color="auto"/>
              <w:bottom w:val="single" w:sz="4" w:space="0" w:color="auto"/>
              <w:right w:val="single" w:sz="4" w:space="0" w:color="auto"/>
            </w:tcBorders>
          </w:tcPr>
          <w:p w14:paraId="3E63C94C" w14:textId="77777777" w:rsidR="00DB1628" w:rsidRPr="00C63E35" w:rsidRDefault="00DB1628">
            <w:pPr>
              <w:pStyle w:val="Brdtekst"/>
              <w:widowControl/>
              <w:tabs>
                <w:tab w:val="left" w:pos="426"/>
              </w:tabs>
              <w:kinsoku w:val="0"/>
              <w:overflowPunct w:val="0"/>
              <w:spacing w:before="0"/>
              <w:ind w:left="0"/>
              <w:rPr>
                <w:rFonts w:ascii="Times New Roman" w:hAnsi="Times New Roman"/>
                <w:sz w:val="22"/>
                <w:szCs w:val="22"/>
                <w:lang w:val="da-DK"/>
              </w:rPr>
            </w:pPr>
          </w:p>
        </w:tc>
        <w:tc>
          <w:tcPr>
            <w:tcW w:w="1250" w:type="pct"/>
            <w:tcBorders>
              <w:top w:val="single" w:sz="4" w:space="0" w:color="auto"/>
              <w:left w:val="single" w:sz="4" w:space="0" w:color="auto"/>
              <w:bottom w:val="single" w:sz="4" w:space="0" w:color="auto"/>
              <w:right w:val="single" w:sz="4" w:space="0" w:color="auto"/>
            </w:tcBorders>
          </w:tcPr>
          <w:p w14:paraId="152E2B99" w14:textId="77777777" w:rsidR="00DB1628" w:rsidRPr="00C63E35" w:rsidRDefault="00DB1628">
            <w:pPr>
              <w:pStyle w:val="Brdtekst"/>
              <w:widowControl/>
              <w:tabs>
                <w:tab w:val="left" w:pos="426"/>
              </w:tabs>
              <w:kinsoku w:val="0"/>
              <w:overflowPunct w:val="0"/>
              <w:spacing w:before="0"/>
              <w:ind w:left="0"/>
              <w:rPr>
                <w:rFonts w:ascii="Times New Roman" w:hAnsi="Times New Roman"/>
                <w:sz w:val="22"/>
                <w:szCs w:val="22"/>
                <w:lang w:val="da-DK"/>
              </w:rPr>
            </w:pPr>
          </w:p>
        </w:tc>
        <w:tc>
          <w:tcPr>
            <w:tcW w:w="1250" w:type="pct"/>
            <w:tcBorders>
              <w:top w:val="single" w:sz="4" w:space="0" w:color="auto"/>
              <w:left w:val="single" w:sz="4" w:space="0" w:color="auto"/>
              <w:bottom w:val="single" w:sz="4" w:space="0" w:color="auto"/>
              <w:right w:val="single" w:sz="4" w:space="0" w:color="auto"/>
            </w:tcBorders>
            <w:hideMark/>
          </w:tcPr>
          <w:p w14:paraId="274B4EE5" w14:textId="77777777" w:rsidR="00DB1628" w:rsidRPr="00C63E35" w:rsidRDefault="00DB1628">
            <w:pPr>
              <w:pStyle w:val="Brdtekst"/>
              <w:widowControl/>
              <w:tabs>
                <w:tab w:val="left" w:pos="426"/>
              </w:tabs>
              <w:kinsoku w:val="0"/>
              <w:overflowPunct w:val="0"/>
              <w:spacing w:before="0"/>
              <w:ind w:left="0"/>
              <w:rPr>
                <w:rFonts w:ascii="Times New Roman" w:hAnsi="Times New Roman"/>
                <w:sz w:val="22"/>
                <w:szCs w:val="22"/>
                <w:lang w:val="da-DK"/>
              </w:rPr>
            </w:pPr>
            <w:r w:rsidRPr="00C63E35">
              <w:rPr>
                <w:rFonts w:ascii="Times New Roman" w:hAnsi="Times New Roman"/>
                <w:sz w:val="22"/>
                <w:szCs w:val="22"/>
                <w:lang w:val="da-DK"/>
              </w:rPr>
              <w:t>anafylaktiske reaktioner</w:t>
            </w:r>
          </w:p>
        </w:tc>
        <w:tc>
          <w:tcPr>
            <w:tcW w:w="1250" w:type="pct"/>
            <w:tcBorders>
              <w:top w:val="single" w:sz="4" w:space="0" w:color="auto"/>
              <w:left w:val="single" w:sz="4" w:space="0" w:color="auto"/>
              <w:bottom w:val="single" w:sz="4" w:space="0" w:color="auto"/>
              <w:right w:val="single" w:sz="4" w:space="0" w:color="auto"/>
            </w:tcBorders>
            <w:hideMark/>
          </w:tcPr>
          <w:p w14:paraId="0F1E7785" w14:textId="77777777" w:rsidR="00DB1628" w:rsidRPr="00C63E35" w:rsidRDefault="00DB1628">
            <w:pPr>
              <w:pStyle w:val="Brdtekst"/>
              <w:widowControl/>
              <w:tabs>
                <w:tab w:val="left" w:pos="426"/>
              </w:tabs>
              <w:kinsoku w:val="0"/>
              <w:overflowPunct w:val="0"/>
              <w:spacing w:before="0"/>
              <w:ind w:left="0"/>
              <w:rPr>
                <w:rFonts w:ascii="Times New Roman" w:hAnsi="Times New Roman"/>
                <w:sz w:val="22"/>
                <w:szCs w:val="22"/>
                <w:lang w:val="da-DK"/>
              </w:rPr>
            </w:pPr>
            <w:proofErr w:type="spellStart"/>
            <w:r w:rsidRPr="00C63E35">
              <w:rPr>
                <w:rFonts w:ascii="Times New Roman" w:hAnsi="Times New Roman"/>
                <w:sz w:val="22"/>
                <w:szCs w:val="22"/>
                <w:lang w:val="da-DK"/>
              </w:rPr>
              <w:t>Jarisch-Herxheimers</w:t>
            </w:r>
            <w:proofErr w:type="spellEnd"/>
            <w:r w:rsidRPr="00C63E35">
              <w:rPr>
                <w:rFonts w:ascii="Times New Roman" w:hAnsi="Times New Roman"/>
                <w:sz w:val="22"/>
                <w:szCs w:val="22"/>
                <w:lang w:val="da-DK"/>
              </w:rPr>
              <w:t xml:space="preserve"> reaktion, </w:t>
            </w:r>
            <w:proofErr w:type="spellStart"/>
            <w:r w:rsidRPr="00C63E35">
              <w:rPr>
                <w:rFonts w:ascii="Times New Roman" w:hAnsi="Times New Roman"/>
                <w:sz w:val="22"/>
                <w:szCs w:val="22"/>
                <w:lang w:val="da-DK"/>
              </w:rPr>
              <w:t>angioødem</w:t>
            </w:r>
            <w:proofErr w:type="spellEnd"/>
          </w:p>
        </w:tc>
      </w:tr>
      <w:tr w:rsidR="00DB1628" w:rsidRPr="00C63E35" w14:paraId="0D503702" w14:textId="77777777" w:rsidTr="007B2912">
        <w:tc>
          <w:tcPr>
            <w:tcW w:w="5000" w:type="pct"/>
            <w:gridSpan w:val="4"/>
            <w:tcBorders>
              <w:top w:val="single" w:sz="4" w:space="0" w:color="auto"/>
              <w:left w:val="single" w:sz="4" w:space="0" w:color="auto"/>
              <w:bottom w:val="single" w:sz="4" w:space="0" w:color="auto"/>
              <w:right w:val="single" w:sz="4" w:space="0" w:color="auto"/>
            </w:tcBorders>
            <w:hideMark/>
          </w:tcPr>
          <w:p w14:paraId="72143C0A" w14:textId="77777777" w:rsidR="00DB1628" w:rsidRPr="00C63E35" w:rsidRDefault="00DB1628">
            <w:pPr>
              <w:pStyle w:val="Brdtekst"/>
              <w:widowControl/>
              <w:tabs>
                <w:tab w:val="left" w:pos="426"/>
              </w:tabs>
              <w:kinsoku w:val="0"/>
              <w:overflowPunct w:val="0"/>
              <w:spacing w:before="0"/>
              <w:ind w:left="0"/>
              <w:rPr>
                <w:rFonts w:ascii="Times New Roman" w:hAnsi="Times New Roman"/>
                <w:b/>
                <w:iCs/>
                <w:sz w:val="22"/>
                <w:szCs w:val="22"/>
                <w:lang w:val="da-DK"/>
              </w:rPr>
            </w:pPr>
            <w:r w:rsidRPr="00C63E35">
              <w:rPr>
                <w:rFonts w:ascii="Times New Roman" w:hAnsi="Times New Roman"/>
                <w:b/>
                <w:iCs/>
                <w:sz w:val="22"/>
                <w:szCs w:val="22"/>
                <w:lang w:val="da-DK"/>
              </w:rPr>
              <w:t>Nervesystemet</w:t>
            </w:r>
          </w:p>
        </w:tc>
      </w:tr>
      <w:tr w:rsidR="00DB1628" w:rsidRPr="00C63E35" w14:paraId="716B817F" w14:textId="77777777" w:rsidTr="007B2912">
        <w:tc>
          <w:tcPr>
            <w:tcW w:w="1250" w:type="pct"/>
            <w:tcBorders>
              <w:top w:val="single" w:sz="4" w:space="0" w:color="auto"/>
              <w:left w:val="single" w:sz="4" w:space="0" w:color="auto"/>
              <w:bottom w:val="single" w:sz="4" w:space="0" w:color="auto"/>
              <w:right w:val="single" w:sz="4" w:space="0" w:color="auto"/>
            </w:tcBorders>
          </w:tcPr>
          <w:p w14:paraId="595B0671" w14:textId="77777777" w:rsidR="00DB1628" w:rsidRPr="00C63E35" w:rsidRDefault="00DB1628">
            <w:pPr>
              <w:pStyle w:val="Brdtekst"/>
              <w:widowControl/>
              <w:tabs>
                <w:tab w:val="left" w:pos="426"/>
              </w:tabs>
              <w:kinsoku w:val="0"/>
              <w:overflowPunct w:val="0"/>
              <w:spacing w:before="0"/>
              <w:ind w:left="0"/>
              <w:rPr>
                <w:rFonts w:ascii="Times New Roman" w:hAnsi="Times New Roman"/>
                <w:sz w:val="22"/>
                <w:szCs w:val="22"/>
                <w:lang w:val="da-DK"/>
              </w:rPr>
            </w:pPr>
          </w:p>
        </w:tc>
        <w:tc>
          <w:tcPr>
            <w:tcW w:w="1250" w:type="pct"/>
            <w:tcBorders>
              <w:top w:val="single" w:sz="4" w:space="0" w:color="auto"/>
              <w:left w:val="single" w:sz="4" w:space="0" w:color="auto"/>
              <w:bottom w:val="single" w:sz="4" w:space="0" w:color="auto"/>
              <w:right w:val="single" w:sz="4" w:space="0" w:color="auto"/>
            </w:tcBorders>
          </w:tcPr>
          <w:p w14:paraId="1412F82B" w14:textId="77777777" w:rsidR="00DB1628" w:rsidRPr="00C63E35" w:rsidRDefault="00DB1628">
            <w:pPr>
              <w:pStyle w:val="Brdtekst"/>
              <w:widowControl/>
              <w:tabs>
                <w:tab w:val="left" w:pos="426"/>
              </w:tabs>
              <w:kinsoku w:val="0"/>
              <w:overflowPunct w:val="0"/>
              <w:spacing w:before="0"/>
              <w:ind w:left="0"/>
              <w:rPr>
                <w:rFonts w:ascii="Times New Roman" w:hAnsi="Times New Roman"/>
                <w:sz w:val="22"/>
                <w:szCs w:val="22"/>
                <w:lang w:val="da-DK"/>
              </w:rPr>
            </w:pPr>
          </w:p>
        </w:tc>
        <w:tc>
          <w:tcPr>
            <w:tcW w:w="1250" w:type="pct"/>
            <w:tcBorders>
              <w:top w:val="single" w:sz="4" w:space="0" w:color="auto"/>
              <w:left w:val="single" w:sz="4" w:space="0" w:color="auto"/>
              <w:bottom w:val="single" w:sz="4" w:space="0" w:color="auto"/>
              <w:right w:val="single" w:sz="4" w:space="0" w:color="auto"/>
            </w:tcBorders>
          </w:tcPr>
          <w:p w14:paraId="36C7384D" w14:textId="77777777" w:rsidR="00DB1628" w:rsidRPr="00C63E35" w:rsidRDefault="00DB1628">
            <w:pPr>
              <w:pStyle w:val="Brdtekst"/>
              <w:widowControl/>
              <w:tabs>
                <w:tab w:val="left" w:pos="426"/>
              </w:tabs>
              <w:kinsoku w:val="0"/>
              <w:overflowPunct w:val="0"/>
              <w:spacing w:before="0"/>
              <w:ind w:left="0"/>
              <w:rPr>
                <w:rFonts w:ascii="Times New Roman" w:hAnsi="Times New Roman"/>
                <w:sz w:val="22"/>
                <w:szCs w:val="22"/>
                <w:lang w:val="da-DK"/>
              </w:rPr>
            </w:pPr>
          </w:p>
        </w:tc>
        <w:tc>
          <w:tcPr>
            <w:tcW w:w="1250" w:type="pct"/>
            <w:tcBorders>
              <w:top w:val="single" w:sz="4" w:space="0" w:color="auto"/>
              <w:left w:val="single" w:sz="4" w:space="0" w:color="auto"/>
              <w:bottom w:val="single" w:sz="4" w:space="0" w:color="auto"/>
              <w:right w:val="single" w:sz="4" w:space="0" w:color="auto"/>
            </w:tcBorders>
            <w:hideMark/>
          </w:tcPr>
          <w:p w14:paraId="13C7C209" w14:textId="77777777" w:rsidR="00DB1628" w:rsidRPr="00C63E35" w:rsidRDefault="00DB1628">
            <w:pPr>
              <w:pStyle w:val="Brdtekst"/>
              <w:widowControl/>
              <w:tabs>
                <w:tab w:val="left" w:pos="426"/>
              </w:tabs>
              <w:kinsoku w:val="0"/>
              <w:overflowPunct w:val="0"/>
              <w:spacing w:before="0"/>
              <w:ind w:left="0"/>
              <w:rPr>
                <w:rFonts w:ascii="Times New Roman" w:hAnsi="Times New Roman"/>
                <w:sz w:val="22"/>
                <w:szCs w:val="22"/>
                <w:lang w:val="da-DK"/>
              </w:rPr>
            </w:pPr>
            <w:r w:rsidRPr="00C63E35">
              <w:rPr>
                <w:rFonts w:ascii="Times New Roman" w:hAnsi="Times New Roman"/>
                <w:sz w:val="22"/>
                <w:szCs w:val="22"/>
                <w:lang w:val="da-DK"/>
              </w:rPr>
              <w:t>metabolisk encefalopati</w:t>
            </w:r>
          </w:p>
        </w:tc>
      </w:tr>
      <w:tr w:rsidR="00DB1628" w:rsidRPr="00C63E35" w14:paraId="61FC677E" w14:textId="77777777" w:rsidTr="007B2912">
        <w:tc>
          <w:tcPr>
            <w:tcW w:w="5000" w:type="pct"/>
            <w:gridSpan w:val="4"/>
            <w:tcBorders>
              <w:top w:val="single" w:sz="4" w:space="0" w:color="auto"/>
              <w:left w:val="single" w:sz="4" w:space="0" w:color="auto"/>
              <w:bottom w:val="single" w:sz="4" w:space="0" w:color="auto"/>
              <w:right w:val="single" w:sz="4" w:space="0" w:color="auto"/>
            </w:tcBorders>
            <w:hideMark/>
          </w:tcPr>
          <w:p w14:paraId="4453E81D" w14:textId="77777777" w:rsidR="00DB1628" w:rsidRPr="00C63E35" w:rsidRDefault="00DB1628">
            <w:pPr>
              <w:pStyle w:val="Brdtekst"/>
              <w:widowControl/>
              <w:tabs>
                <w:tab w:val="left" w:pos="426"/>
              </w:tabs>
              <w:kinsoku w:val="0"/>
              <w:overflowPunct w:val="0"/>
              <w:spacing w:before="0"/>
              <w:ind w:left="0"/>
              <w:rPr>
                <w:rFonts w:ascii="Times New Roman" w:hAnsi="Times New Roman"/>
                <w:b/>
                <w:iCs/>
                <w:sz w:val="22"/>
                <w:szCs w:val="22"/>
                <w:lang w:val="da-DK"/>
              </w:rPr>
            </w:pPr>
            <w:proofErr w:type="spellStart"/>
            <w:r w:rsidRPr="00C63E35">
              <w:rPr>
                <w:rFonts w:ascii="Times New Roman" w:hAnsi="Times New Roman"/>
                <w:b/>
                <w:iCs/>
                <w:sz w:val="22"/>
                <w:szCs w:val="22"/>
                <w:lang w:val="da-DK"/>
              </w:rPr>
              <w:t>Vaskulære</w:t>
            </w:r>
            <w:proofErr w:type="spellEnd"/>
            <w:r w:rsidRPr="00C63E35">
              <w:rPr>
                <w:rFonts w:ascii="Times New Roman" w:hAnsi="Times New Roman"/>
                <w:b/>
                <w:iCs/>
                <w:sz w:val="22"/>
                <w:szCs w:val="22"/>
                <w:lang w:val="da-DK"/>
              </w:rPr>
              <w:t xml:space="preserve"> sygdomme</w:t>
            </w:r>
          </w:p>
        </w:tc>
      </w:tr>
      <w:tr w:rsidR="00DB1628" w:rsidRPr="00C63E35" w14:paraId="468DE375" w14:textId="77777777" w:rsidTr="007B2912">
        <w:tc>
          <w:tcPr>
            <w:tcW w:w="1250" w:type="pct"/>
            <w:tcBorders>
              <w:top w:val="single" w:sz="4" w:space="0" w:color="auto"/>
              <w:left w:val="single" w:sz="4" w:space="0" w:color="auto"/>
              <w:bottom w:val="single" w:sz="4" w:space="0" w:color="auto"/>
              <w:right w:val="single" w:sz="4" w:space="0" w:color="auto"/>
            </w:tcBorders>
            <w:hideMark/>
          </w:tcPr>
          <w:p w14:paraId="2B1B2723" w14:textId="77777777" w:rsidR="00DB1628" w:rsidRPr="00C63E35" w:rsidRDefault="00DB1628">
            <w:pPr>
              <w:pStyle w:val="Brdtekst"/>
              <w:widowControl/>
              <w:tabs>
                <w:tab w:val="left" w:pos="426"/>
              </w:tabs>
              <w:kinsoku w:val="0"/>
              <w:overflowPunct w:val="0"/>
              <w:spacing w:before="0"/>
              <w:ind w:left="0"/>
              <w:rPr>
                <w:rFonts w:ascii="Times New Roman" w:hAnsi="Times New Roman"/>
                <w:sz w:val="22"/>
                <w:szCs w:val="22"/>
                <w:lang w:val="da-DK"/>
              </w:rPr>
            </w:pPr>
            <w:proofErr w:type="spellStart"/>
            <w:r w:rsidRPr="00C63E35">
              <w:rPr>
                <w:rFonts w:ascii="Times New Roman" w:hAnsi="Times New Roman"/>
                <w:sz w:val="22"/>
                <w:szCs w:val="22"/>
                <w:lang w:val="da-DK"/>
              </w:rPr>
              <w:t>tromboflebitis</w:t>
            </w:r>
            <w:proofErr w:type="spellEnd"/>
          </w:p>
        </w:tc>
        <w:tc>
          <w:tcPr>
            <w:tcW w:w="1250" w:type="pct"/>
            <w:tcBorders>
              <w:top w:val="single" w:sz="4" w:space="0" w:color="auto"/>
              <w:left w:val="single" w:sz="4" w:space="0" w:color="auto"/>
              <w:bottom w:val="single" w:sz="4" w:space="0" w:color="auto"/>
              <w:right w:val="single" w:sz="4" w:space="0" w:color="auto"/>
            </w:tcBorders>
          </w:tcPr>
          <w:p w14:paraId="4BB945CD" w14:textId="77777777" w:rsidR="00DB1628" w:rsidRPr="00C63E35" w:rsidRDefault="00DB1628">
            <w:pPr>
              <w:pStyle w:val="Brdtekst"/>
              <w:widowControl/>
              <w:tabs>
                <w:tab w:val="left" w:pos="426"/>
              </w:tabs>
              <w:kinsoku w:val="0"/>
              <w:overflowPunct w:val="0"/>
              <w:spacing w:before="0"/>
              <w:ind w:left="0"/>
              <w:rPr>
                <w:rFonts w:ascii="Times New Roman" w:hAnsi="Times New Roman"/>
                <w:sz w:val="22"/>
                <w:szCs w:val="22"/>
                <w:lang w:val="da-DK"/>
              </w:rPr>
            </w:pPr>
          </w:p>
        </w:tc>
        <w:tc>
          <w:tcPr>
            <w:tcW w:w="1250" w:type="pct"/>
            <w:tcBorders>
              <w:top w:val="single" w:sz="4" w:space="0" w:color="auto"/>
              <w:left w:val="single" w:sz="4" w:space="0" w:color="auto"/>
              <w:bottom w:val="single" w:sz="4" w:space="0" w:color="auto"/>
              <w:right w:val="single" w:sz="4" w:space="0" w:color="auto"/>
            </w:tcBorders>
          </w:tcPr>
          <w:p w14:paraId="1DB7AC61" w14:textId="77777777" w:rsidR="00DB1628" w:rsidRPr="00C63E35" w:rsidRDefault="00DB1628">
            <w:pPr>
              <w:pStyle w:val="Brdtekst"/>
              <w:widowControl/>
              <w:tabs>
                <w:tab w:val="left" w:pos="426"/>
              </w:tabs>
              <w:kinsoku w:val="0"/>
              <w:overflowPunct w:val="0"/>
              <w:spacing w:before="0"/>
              <w:ind w:left="0"/>
              <w:rPr>
                <w:rFonts w:ascii="Times New Roman" w:hAnsi="Times New Roman"/>
                <w:sz w:val="22"/>
                <w:szCs w:val="22"/>
                <w:lang w:val="da-DK"/>
              </w:rPr>
            </w:pPr>
          </w:p>
        </w:tc>
        <w:tc>
          <w:tcPr>
            <w:tcW w:w="1250" w:type="pct"/>
            <w:tcBorders>
              <w:top w:val="single" w:sz="4" w:space="0" w:color="auto"/>
              <w:left w:val="single" w:sz="4" w:space="0" w:color="auto"/>
              <w:bottom w:val="single" w:sz="4" w:space="0" w:color="auto"/>
              <w:right w:val="single" w:sz="4" w:space="0" w:color="auto"/>
            </w:tcBorders>
          </w:tcPr>
          <w:p w14:paraId="2A5CD616" w14:textId="77777777" w:rsidR="00DB1628" w:rsidRPr="00C63E35" w:rsidRDefault="00DB1628">
            <w:pPr>
              <w:pStyle w:val="Brdtekst"/>
              <w:widowControl/>
              <w:tabs>
                <w:tab w:val="left" w:pos="426"/>
              </w:tabs>
              <w:kinsoku w:val="0"/>
              <w:overflowPunct w:val="0"/>
              <w:spacing w:before="0"/>
              <w:ind w:left="0"/>
              <w:rPr>
                <w:rFonts w:ascii="Times New Roman" w:hAnsi="Times New Roman"/>
                <w:sz w:val="22"/>
                <w:szCs w:val="22"/>
                <w:lang w:val="da-DK"/>
              </w:rPr>
            </w:pPr>
          </w:p>
        </w:tc>
      </w:tr>
      <w:tr w:rsidR="00DB1628" w:rsidRPr="00C63E35" w14:paraId="79FB9EA8" w14:textId="77777777" w:rsidTr="007B2912">
        <w:tc>
          <w:tcPr>
            <w:tcW w:w="5000" w:type="pct"/>
            <w:gridSpan w:val="4"/>
            <w:tcBorders>
              <w:top w:val="single" w:sz="4" w:space="0" w:color="auto"/>
              <w:left w:val="single" w:sz="4" w:space="0" w:color="auto"/>
              <w:bottom w:val="single" w:sz="4" w:space="0" w:color="auto"/>
              <w:right w:val="single" w:sz="4" w:space="0" w:color="auto"/>
            </w:tcBorders>
            <w:hideMark/>
          </w:tcPr>
          <w:p w14:paraId="4C5BD4B2" w14:textId="77777777" w:rsidR="00DB1628" w:rsidRPr="00C63E35" w:rsidRDefault="00DB1628">
            <w:pPr>
              <w:pStyle w:val="Brdtekst"/>
              <w:widowControl/>
              <w:tabs>
                <w:tab w:val="left" w:pos="426"/>
              </w:tabs>
              <w:kinsoku w:val="0"/>
              <w:overflowPunct w:val="0"/>
              <w:spacing w:before="0"/>
              <w:ind w:left="0"/>
              <w:rPr>
                <w:rFonts w:ascii="Times New Roman" w:hAnsi="Times New Roman"/>
                <w:b/>
                <w:iCs/>
                <w:sz w:val="22"/>
                <w:szCs w:val="22"/>
                <w:lang w:val="da-DK"/>
              </w:rPr>
            </w:pPr>
            <w:r w:rsidRPr="00C63E35">
              <w:rPr>
                <w:rFonts w:ascii="Times New Roman" w:hAnsi="Times New Roman"/>
                <w:b/>
                <w:iCs/>
                <w:sz w:val="22"/>
                <w:szCs w:val="22"/>
                <w:lang w:val="da-DK"/>
              </w:rPr>
              <w:t>Mave-tarm-kanalen</w:t>
            </w:r>
          </w:p>
        </w:tc>
      </w:tr>
      <w:tr w:rsidR="00DB1628" w:rsidRPr="00C63E35" w14:paraId="00608878" w14:textId="77777777" w:rsidTr="007B2912">
        <w:tc>
          <w:tcPr>
            <w:tcW w:w="1250" w:type="pct"/>
            <w:tcBorders>
              <w:top w:val="single" w:sz="4" w:space="0" w:color="auto"/>
              <w:left w:val="single" w:sz="4" w:space="0" w:color="auto"/>
              <w:bottom w:val="single" w:sz="4" w:space="0" w:color="auto"/>
              <w:right w:val="single" w:sz="4" w:space="0" w:color="auto"/>
            </w:tcBorders>
          </w:tcPr>
          <w:p w14:paraId="450285BF" w14:textId="77777777" w:rsidR="00DB1628" w:rsidRPr="00C63E35" w:rsidRDefault="00DB1628">
            <w:pPr>
              <w:pStyle w:val="Brdtekst"/>
              <w:widowControl/>
              <w:tabs>
                <w:tab w:val="left" w:pos="426"/>
              </w:tabs>
              <w:kinsoku w:val="0"/>
              <w:overflowPunct w:val="0"/>
              <w:spacing w:before="0"/>
              <w:ind w:left="0"/>
              <w:rPr>
                <w:rFonts w:ascii="Times New Roman" w:hAnsi="Times New Roman"/>
                <w:sz w:val="22"/>
                <w:szCs w:val="22"/>
                <w:lang w:val="da-DK"/>
              </w:rPr>
            </w:pPr>
          </w:p>
        </w:tc>
        <w:tc>
          <w:tcPr>
            <w:tcW w:w="1250" w:type="pct"/>
            <w:tcBorders>
              <w:top w:val="single" w:sz="4" w:space="0" w:color="auto"/>
              <w:left w:val="single" w:sz="4" w:space="0" w:color="auto"/>
              <w:bottom w:val="single" w:sz="4" w:space="0" w:color="auto"/>
              <w:right w:val="single" w:sz="4" w:space="0" w:color="auto"/>
            </w:tcBorders>
          </w:tcPr>
          <w:p w14:paraId="0CD1CDD3" w14:textId="77777777" w:rsidR="00DB1628" w:rsidRPr="00C63E35" w:rsidRDefault="00DB1628">
            <w:pPr>
              <w:pStyle w:val="Brdtekst"/>
              <w:widowControl/>
              <w:tabs>
                <w:tab w:val="left" w:pos="426"/>
              </w:tabs>
              <w:kinsoku w:val="0"/>
              <w:overflowPunct w:val="0"/>
              <w:spacing w:before="0"/>
              <w:ind w:left="0"/>
              <w:rPr>
                <w:rFonts w:ascii="Times New Roman" w:hAnsi="Times New Roman"/>
                <w:sz w:val="22"/>
                <w:szCs w:val="22"/>
                <w:lang w:val="da-DK"/>
              </w:rPr>
            </w:pPr>
          </w:p>
        </w:tc>
        <w:tc>
          <w:tcPr>
            <w:tcW w:w="1250" w:type="pct"/>
            <w:tcBorders>
              <w:top w:val="single" w:sz="4" w:space="0" w:color="auto"/>
              <w:left w:val="single" w:sz="4" w:space="0" w:color="auto"/>
              <w:bottom w:val="single" w:sz="4" w:space="0" w:color="auto"/>
              <w:right w:val="single" w:sz="4" w:space="0" w:color="auto"/>
            </w:tcBorders>
            <w:hideMark/>
          </w:tcPr>
          <w:p w14:paraId="67D1DE88" w14:textId="77777777" w:rsidR="00DB1628" w:rsidRPr="00C63E35" w:rsidRDefault="00DB1628">
            <w:pPr>
              <w:pStyle w:val="Brdtekst"/>
              <w:widowControl/>
              <w:tabs>
                <w:tab w:val="left" w:pos="426"/>
              </w:tabs>
              <w:kinsoku w:val="0"/>
              <w:overflowPunct w:val="0"/>
              <w:spacing w:before="0"/>
              <w:ind w:left="0"/>
              <w:rPr>
                <w:rFonts w:ascii="Times New Roman" w:hAnsi="Times New Roman"/>
                <w:sz w:val="22"/>
                <w:szCs w:val="22"/>
                <w:lang w:val="da-DK"/>
              </w:rPr>
            </w:pPr>
            <w:r w:rsidRPr="00C63E35">
              <w:rPr>
                <w:rFonts w:ascii="Times New Roman" w:hAnsi="Times New Roman"/>
                <w:sz w:val="22"/>
                <w:szCs w:val="22"/>
                <w:lang w:val="da-DK"/>
              </w:rPr>
              <w:t xml:space="preserve">diarré forårsaget af </w:t>
            </w:r>
            <w:proofErr w:type="spellStart"/>
            <w:r w:rsidRPr="00C63E35">
              <w:rPr>
                <w:rFonts w:ascii="Times New Roman" w:hAnsi="Times New Roman"/>
                <w:i/>
                <w:iCs/>
                <w:sz w:val="22"/>
                <w:szCs w:val="22"/>
                <w:lang w:val="da-DK"/>
              </w:rPr>
              <w:t>Clostridioides</w:t>
            </w:r>
            <w:proofErr w:type="spellEnd"/>
            <w:r w:rsidRPr="00C63E35">
              <w:rPr>
                <w:rFonts w:ascii="Times New Roman" w:hAnsi="Times New Roman"/>
                <w:i/>
                <w:iCs/>
                <w:sz w:val="22"/>
                <w:szCs w:val="22"/>
                <w:lang w:val="da-DK"/>
              </w:rPr>
              <w:t xml:space="preserve"> difficile</w:t>
            </w:r>
            <w:r w:rsidRPr="00C63E35">
              <w:rPr>
                <w:rFonts w:ascii="Times New Roman" w:hAnsi="Times New Roman"/>
                <w:sz w:val="22"/>
                <w:szCs w:val="22"/>
                <w:lang w:val="da-DK"/>
              </w:rPr>
              <w:t xml:space="preserve"> (</w:t>
            </w:r>
            <w:proofErr w:type="spellStart"/>
            <w:r w:rsidRPr="00C63E35">
              <w:rPr>
                <w:rFonts w:ascii="Times New Roman" w:hAnsi="Times New Roman"/>
                <w:sz w:val="22"/>
                <w:szCs w:val="22"/>
                <w:lang w:val="da-DK"/>
              </w:rPr>
              <w:t>pseudomembranøs</w:t>
            </w:r>
            <w:proofErr w:type="spellEnd"/>
            <w:r w:rsidRPr="00C63E35">
              <w:rPr>
                <w:rFonts w:ascii="Times New Roman" w:hAnsi="Times New Roman"/>
                <w:sz w:val="22"/>
                <w:szCs w:val="22"/>
                <w:lang w:val="da-DK"/>
              </w:rPr>
              <w:t xml:space="preserve"> colitis)</w:t>
            </w:r>
          </w:p>
        </w:tc>
        <w:tc>
          <w:tcPr>
            <w:tcW w:w="1250" w:type="pct"/>
            <w:tcBorders>
              <w:top w:val="single" w:sz="4" w:space="0" w:color="auto"/>
              <w:left w:val="single" w:sz="4" w:space="0" w:color="auto"/>
              <w:bottom w:val="single" w:sz="4" w:space="0" w:color="auto"/>
              <w:right w:val="single" w:sz="4" w:space="0" w:color="auto"/>
            </w:tcBorders>
          </w:tcPr>
          <w:p w14:paraId="79530129" w14:textId="77777777" w:rsidR="00DB1628" w:rsidRPr="00C63E35" w:rsidRDefault="00DB1628">
            <w:pPr>
              <w:pStyle w:val="Brdtekst"/>
              <w:widowControl/>
              <w:tabs>
                <w:tab w:val="left" w:pos="426"/>
              </w:tabs>
              <w:kinsoku w:val="0"/>
              <w:overflowPunct w:val="0"/>
              <w:spacing w:before="0"/>
              <w:ind w:left="0"/>
              <w:rPr>
                <w:rFonts w:ascii="Times New Roman" w:hAnsi="Times New Roman"/>
                <w:sz w:val="22"/>
                <w:szCs w:val="22"/>
                <w:lang w:val="da-DK"/>
              </w:rPr>
            </w:pPr>
          </w:p>
        </w:tc>
      </w:tr>
      <w:tr w:rsidR="00DB1628" w:rsidRPr="00C63E35" w14:paraId="0CAF5037" w14:textId="77777777" w:rsidTr="007B2912">
        <w:tc>
          <w:tcPr>
            <w:tcW w:w="5000" w:type="pct"/>
            <w:gridSpan w:val="4"/>
            <w:tcBorders>
              <w:top w:val="single" w:sz="4" w:space="0" w:color="auto"/>
              <w:left w:val="single" w:sz="4" w:space="0" w:color="auto"/>
              <w:bottom w:val="single" w:sz="4" w:space="0" w:color="auto"/>
              <w:right w:val="single" w:sz="4" w:space="0" w:color="auto"/>
            </w:tcBorders>
            <w:hideMark/>
          </w:tcPr>
          <w:p w14:paraId="12601FC4" w14:textId="77777777" w:rsidR="00DB1628" w:rsidRPr="00C63E35" w:rsidRDefault="00DB1628">
            <w:pPr>
              <w:pStyle w:val="Brdtekst"/>
              <w:widowControl/>
              <w:tabs>
                <w:tab w:val="left" w:pos="426"/>
              </w:tabs>
              <w:kinsoku w:val="0"/>
              <w:overflowPunct w:val="0"/>
              <w:spacing w:before="0"/>
              <w:ind w:left="0"/>
              <w:rPr>
                <w:rFonts w:ascii="Times New Roman" w:hAnsi="Times New Roman"/>
                <w:b/>
                <w:iCs/>
                <w:sz w:val="22"/>
                <w:szCs w:val="22"/>
                <w:lang w:val="da-DK"/>
              </w:rPr>
            </w:pPr>
            <w:r w:rsidRPr="00C63E35">
              <w:rPr>
                <w:rFonts w:ascii="Times New Roman" w:hAnsi="Times New Roman"/>
                <w:b/>
                <w:iCs/>
                <w:sz w:val="22"/>
                <w:szCs w:val="22"/>
                <w:lang w:val="da-DK"/>
              </w:rPr>
              <w:t>Hud og subkutane væv</w:t>
            </w:r>
          </w:p>
        </w:tc>
      </w:tr>
      <w:tr w:rsidR="00DB1628" w:rsidRPr="00C63E35" w14:paraId="763FE665" w14:textId="77777777" w:rsidTr="007B2912">
        <w:tc>
          <w:tcPr>
            <w:tcW w:w="1250" w:type="pct"/>
            <w:tcBorders>
              <w:top w:val="single" w:sz="4" w:space="0" w:color="auto"/>
              <w:left w:val="single" w:sz="4" w:space="0" w:color="auto"/>
              <w:bottom w:val="single" w:sz="4" w:space="0" w:color="auto"/>
              <w:right w:val="single" w:sz="4" w:space="0" w:color="auto"/>
            </w:tcBorders>
            <w:hideMark/>
          </w:tcPr>
          <w:p w14:paraId="3CA4FDB1" w14:textId="77777777" w:rsidR="00DB1628" w:rsidRPr="00C63E35" w:rsidRDefault="00DB1628">
            <w:pPr>
              <w:pStyle w:val="Brdtekst"/>
              <w:widowControl/>
              <w:tabs>
                <w:tab w:val="left" w:pos="426"/>
              </w:tabs>
              <w:kinsoku w:val="0"/>
              <w:overflowPunct w:val="0"/>
              <w:spacing w:before="0"/>
              <w:ind w:left="0"/>
              <w:rPr>
                <w:rFonts w:ascii="Times New Roman" w:hAnsi="Times New Roman"/>
                <w:sz w:val="22"/>
                <w:szCs w:val="22"/>
                <w:lang w:val="da-DK"/>
              </w:rPr>
            </w:pPr>
            <w:proofErr w:type="spellStart"/>
            <w:r w:rsidRPr="00C63E35">
              <w:rPr>
                <w:rFonts w:ascii="Times New Roman" w:hAnsi="Times New Roman"/>
                <w:sz w:val="22"/>
                <w:szCs w:val="22"/>
                <w:lang w:val="da-DK"/>
              </w:rPr>
              <w:t>eksantem</w:t>
            </w:r>
            <w:proofErr w:type="spellEnd"/>
          </w:p>
        </w:tc>
        <w:tc>
          <w:tcPr>
            <w:tcW w:w="1250" w:type="pct"/>
            <w:tcBorders>
              <w:top w:val="single" w:sz="4" w:space="0" w:color="auto"/>
              <w:left w:val="single" w:sz="4" w:space="0" w:color="auto"/>
              <w:bottom w:val="single" w:sz="4" w:space="0" w:color="auto"/>
              <w:right w:val="single" w:sz="4" w:space="0" w:color="auto"/>
            </w:tcBorders>
            <w:hideMark/>
          </w:tcPr>
          <w:p w14:paraId="20A545AD" w14:textId="77777777" w:rsidR="00DB1628" w:rsidRPr="00C63E35" w:rsidRDefault="00DB1628">
            <w:pPr>
              <w:pStyle w:val="Brdtekst"/>
              <w:widowControl/>
              <w:tabs>
                <w:tab w:val="left" w:pos="426"/>
              </w:tabs>
              <w:kinsoku w:val="0"/>
              <w:overflowPunct w:val="0"/>
              <w:spacing w:before="0"/>
              <w:ind w:left="0"/>
              <w:rPr>
                <w:rFonts w:ascii="Times New Roman" w:hAnsi="Times New Roman"/>
                <w:sz w:val="22"/>
                <w:szCs w:val="22"/>
                <w:lang w:val="da-DK"/>
              </w:rPr>
            </w:pPr>
            <w:proofErr w:type="spellStart"/>
            <w:r w:rsidRPr="00C63E35">
              <w:rPr>
                <w:rFonts w:ascii="Times New Roman" w:hAnsi="Times New Roman"/>
                <w:sz w:val="22"/>
                <w:szCs w:val="22"/>
                <w:lang w:val="da-DK"/>
              </w:rPr>
              <w:t>urticaria</w:t>
            </w:r>
            <w:proofErr w:type="spellEnd"/>
          </w:p>
        </w:tc>
        <w:tc>
          <w:tcPr>
            <w:tcW w:w="1250" w:type="pct"/>
            <w:tcBorders>
              <w:top w:val="single" w:sz="4" w:space="0" w:color="auto"/>
              <w:left w:val="single" w:sz="4" w:space="0" w:color="auto"/>
              <w:bottom w:val="single" w:sz="4" w:space="0" w:color="auto"/>
              <w:right w:val="single" w:sz="4" w:space="0" w:color="auto"/>
            </w:tcBorders>
            <w:hideMark/>
          </w:tcPr>
          <w:p w14:paraId="7F6EC9BF" w14:textId="77777777" w:rsidR="00DB1628" w:rsidRPr="00C63E35" w:rsidRDefault="00DB1628">
            <w:pPr>
              <w:pStyle w:val="Brdtekst"/>
              <w:widowControl/>
              <w:tabs>
                <w:tab w:val="left" w:pos="426"/>
              </w:tabs>
              <w:kinsoku w:val="0"/>
              <w:overflowPunct w:val="0"/>
              <w:spacing w:before="0"/>
              <w:ind w:left="0"/>
              <w:rPr>
                <w:rFonts w:ascii="Times New Roman" w:hAnsi="Times New Roman"/>
                <w:sz w:val="22"/>
                <w:szCs w:val="22"/>
                <w:lang w:val="da-DK"/>
              </w:rPr>
            </w:pPr>
            <w:r w:rsidRPr="00C63E35">
              <w:rPr>
                <w:rFonts w:ascii="Times New Roman" w:hAnsi="Times New Roman"/>
                <w:sz w:val="22"/>
                <w:szCs w:val="22"/>
                <w:lang w:val="da-DK"/>
              </w:rPr>
              <w:t>svære hudreaktioner</w:t>
            </w:r>
          </w:p>
        </w:tc>
        <w:tc>
          <w:tcPr>
            <w:tcW w:w="1250" w:type="pct"/>
            <w:tcBorders>
              <w:top w:val="single" w:sz="4" w:space="0" w:color="auto"/>
              <w:left w:val="single" w:sz="4" w:space="0" w:color="auto"/>
              <w:bottom w:val="single" w:sz="4" w:space="0" w:color="auto"/>
              <w:right w:val="single" w:sz="4" w:space="0" w:color="auto"/>
            </w:tcBorders>
            <w:hideMark/>
          </w:tcPr>
          <w:p w14:paraId="583EA4AA" w14:textId="77777777" w:rsidR="00DB1628" w:rsidRPr="00C63E35" w:rsidRDefault="00DB1628">
            <w:pPr>
              <w:pStyle w:val="Brdtekst"/>
              <w:widowControl/>
              <w:tabs>
                <w:tab w:val="left" w:pos="426"/>
              </w:tabs>
              <w:kinsoku w:val="0"/>
              <w:overflowPunct w:val="0"/>
              <w:spacing w:before="0"/>
              <w:ind w:left="0"/>
              <w:rPr>
                <w:rFonts w:ascii="Times New Roman" w:hAnsi="Times New Roman"/>
                <w:sz w:val="22"/>
                <w:szCs w:val="22"/>
                <w:lang w:val="da-DK"/>
              </w:rPr>
            </w:pPr>
            <w:r w:rsidRPr="00C63E35">
              <w:rPr>
                <w:rFonts w:ascii="Times New Roman" w:hAnsi="Times New Roman"/>
                <w:sz w:val="22"/>
                <w:szCs w:val="22"/>
                <w:lang w:val="da-DK"/>
              </w:rPr>
              <w:t xml:space="preserve">akut generaliseret </w:t>
            </w:r>
            <w:proofErr w:type="spellStart"/>
            <w:r w:rsidRPr="00C63E35">
              <w:rPr>
                <w:rFonts w:ascii="Times New Roman" w:hAnsi="Times New Roman"/>
                <w:sz w:val="22"/>
                <w:szCs w:val="22"/>
                <w:lang w:val="da-DK"/>
              </w:rPr>
              <w:t>eksantematøs</w:t>
            </w:r>
            <w:proofErr w:type="spellEnd"/>
            <w:r w:rsidRPr="00C63E35">
              <w:rPr>
                <w:rFonts w:ascii="Times New Roman" w:hAnsi="Times New Roman"/>
                <w:sz w:val="22"/>
                <w:szCs w:val="22"/>
                <w:lang w:val="da-DK"/>
              </w:rPr>
              <w:t xml:space="preserve"> </w:t>
            </w:r>
            <w:proofErr w:type="spellStart"/>
            <w:r w:rsidRPr="00C63E35">
              <w:rPr>
                <w:rFonts w:ascii="Times New Roman" w:hAnsi="Times New Roman"/>
                <w:sz w:val="22"/>
                <w:szCs w:val="22"/>
                <w:lang w:val="da-DK"/>
              </w:rPr>
              <w:t>pustulose</w:t>
            </w:r>
            <w:proofErr w:type="spellEnd"/>
            <w:r w:rsidRPr="00C63E35">
              <w:rPr>
                <w:rFonts w:ascii="Times New Roman" w:hAnsi="Times New Roman"/>
                <w:sz w:val="22"/>
                <w:szCs w:val="22"/>
                <w:lang w:val="da-DK"/>
              </w:rPr>
              <w:t xml:space="preserve"> (AGEP), </w:t>
            </w:r>
            <w:proofErr w:type="spellStart"/>
            <w:r w:rsidRPr="00C63E35">
              <w:rPr>
                <w:rFonts w:ascii="Times New Roman" w:hAnsi="Times New Roman"/>
                <w:sz w:val="22"/>
                <w:szCs w:val="22"/>
                <w:lang w:val="da-DK"/>
              </w:rPr>
              <w:t>pruritus</w:t>
            </w:r>
            <w:proofErr w:type="spellEnd"/>
            <w:r w:rsidRPr="00C63E35">
              <w:rPr>
                <w:rFonts w:ascii="Times New Roman" w:hAnsi="Times New Roman"/>
                <w:sz w:val="22"/>
                <w:szCs w:val="22"/>
                <w:lang w:val="da-DK"/>
              </w:rPr>
              <w:t xml:space="preserve">, </w:t>
            </w:r>
            <w:proofErr w:type="spellStart"/>
            <w:r w:rsidRPr="00C63E35">
              <w:rPr>
                <w:rFonts w:ascii="Times New Roman" w:hAnsi="Times New Roman"/>
                <w:sz w:val="22"/>
                <w:szCs w:val="22"/>
                <w:lang w:val="da-DK"/>
              </w:rPr>
              <w:t>makulopapuløst</w:t>
            </w:r>
            <w:proofErr w:type="spellEnd"/>
            <w:r w:rsidRPr="00C63E35">
              <w:rPr>
                <w:rFonts w:ascii="Times New Roman" w:hAnsi="Times New Roman"/>
                <w:sz w:val="22"/>
                <w:szCs w:val="22"/>
                <w:lang w:val="da-DK"/>
              </w:rPr>
              <w:t xml:space="preserve"> udslæt, </w:t>
            </w:r>
            <w:proofErr w:type="spellStart"/>
            <w:r w:rsidRPr="00C63E35">
              <w:rPr>
                <w:rFonts w:ascii="Times New Roman" w:hAnsi="Times New Roman"/>
                <w:sz w:val="22"/>
                <w:szCs w:val="22"/>
                <w:lang w:val="da-DK"/>
              </w:rPr>
              <w:t>morbilliformt</w:t>
            </w:r>
            <w:proofErr w:type="spellEnd"/>
            <w:r w:rsidRPr="00C63E35">
              <w:rPr>
                <w:rFonts w:ascii="Times New Roman" w:hAnsi="Times New Roman"/>
                <w:sz w:val="22"/>
                <w:szCs w:val="22"/>
                <w:lang w:val="da-DK"/>
              </w:rPr>
              <w:t xml:space="preserve"> udslæt, </w:t>
            </w:r>
            <w:proofErr w:type="spellStart"/>
            <w:r w:rsidRPr="00C63E35">
              <w:rPr>
                <w:rFonts w:ascii="Times New Roman" w:hAnsi="Times New Roman"/>
                <w:sz w:val="22"/>
                <w:szCs w:val="22"/>
                <w:lang w:val="da-DK"/>
              </w:rPr>
              <w:t>erytem</w:t>
            </w:r>
            <w:proofErr w:type="spellEnd"/>
          </w:p>
        </w:tc>
      </w:tr>
    </w:tbl>
    <w:p w14:paraId="0C76AC54" w14:textId="77777777" w:rsidR="00DB1628" w:rsidRPr="007C59C9" w:rsidRDefault="00DB1628" w:rsidP="00606CF0">
      <w:pPr>
        <w:pStyle w:val="Brdtekst"/>
        <w:widowControl/>
        <w:kinsoku w:val="0"/>
        <w:overflowPunct w:val="0"/>
        <w:spacing w:before="0"/>
        <w:ind w:left="851"/>
      </w:pPr>
    </w:p>
    <w:p w14:paraId="3FBDBAE7" w14:textId="77777777" w:rsidR="00DB1628" w:rsidRPr="007C59C9" w:rsidRDefault="00DB1628" w:rsidP="007B2912">
      <w:pPr>
        <w:ind w:left="851"/>
        <w:rPr>
          <w:sz w:val="24"/>
          <w:szCs w:val="24"/>
        </w:rPr>
      </w:pPr>
      <w:r w:rsidRPr="007C59C9">
        <w:rPr>
          <w:sz w:val="24"/>
          <w:szCs w:val="24"/>
        </w:rPr>
        <w:t xml:space="preserve">Ved høje penicillinkoncentrationer i infusionsopløsninger kan der være en risiko for </w:t>
      </w:r>
      <w:proofErr w:type="spellStart"/>
      <w:r w:rsidRPr="007C59C9">
        <w:rPr>
          <w:sz w:val="24"/>
          <w:szCs w:val="24"/>
        </w:rPr>
        <w:t>tromboflebitis</w:t>
      </w:r>
      <w:proofErr w:type="spellEnd"/>
      <w:r w:rsidRPr="007C59C9">
        <w:rPr>
          <w:sz w:val="24"/>
          <w:szCs w:val="24"/>
        </w:rPr>
        <w:t>. Der er indberettet enkeltstående tilfælde af nyreinsufficiens.</w:t>
      </w:r>
    </w:p>
    <w:p w14:paraId="6CB80615" w14:textId="77777777" w:rsidR="00DB1628" w:rsidRPr="007C59C9" w:rsidRDefault="00DB1628" w:rsidP="007B2912">
      <w:pPr>
        <w:ind w:left="851"/>
        <w:rPr>
          <w:sz w:val="24"/>
          <w:szCs w:val="24"/>
        </w:rPr>
      </w:pPr>
    </w:p>
    <w:p w14:paraId="6ACE4F7C" w14:textId="77777777" w:rsidR="00DB1628" w:rsidRPr="007C59C9" w:rsidRDefault="00DB1628" w:rsidP="007B2912">
      <w:pPr>
        <w:ind w:left="851"/>
        <w:rPr>
          <w:sz w:val="24"/>
          <w:szCs w:val="24"/>
        </w:rPr>
      </w:pPr>
      <w:r w:rsidRPr="007C59C9">
        <w:rPr>
          <w:sz w:val="24"/>
          <w:szCs w:val="24"/>
        </w:rPr>
        <w:t>Overvækst af svamp i mundhulen og abdomen kan forekomme.</w:t>
      </w:r>
    </w:p>
    <w:p w14:paraId="07CC2BA1" w14:textId="77777777" w:rsidR="00DB1628" w:rsidRPr="007C59C9" w:rsidRDefault="00DB1628" w:rsidP="007B2912">
      <w:pPr>
        <w:ind w:left="851"/>
        <w:rPr>
          <w:w w:val="105"/>
          <w:sz w:val="24"/>
          <w:szCs w:val="24"/>
        </w:rPr>
      </w:pPr>
    </w:p>
    <w:p w14:paraId="3EB28266" w14:textId="77777777" w:rsidR="00DB1628" w:rsidRPr="007C59C9" w:rsidRDefault="00DB1628" w:rsidP="007B2912">
      <w:pPr>
        <w:ind w:left="851"/>
        <w:rPr>
          <w:sz w:val="24"/>
          <w:szCs w:val="24"/>
        </w:rPr>
      </w:pPr>
      <w:bookmarkStart w:id="12" w:name="_Hlk73441237"/>
      <w:r w:rsidRPr="007C59C9">
        <w:rPr>
          <w:sz w:val="24"/>
          <w:szCs w:val="24"/>
        </w:rPr>
        <w:t xml:space="preserve">Der er indberettet meget sjældne tilfælde af hornhindeforkalkning i forbindelse med brug af </w:t>
      </w:r>
      <w:proofErr w:type="spellStart"/>
      <w:r w:rsidRPr="007C59C9">
        <w:rPr>
          <w:sz w:val="24"/>
          <w:szCs w:val="24"/>
        </w:rPr>
        <w:t>phosphatholdige</w:t>
      </w:r>
      <w:proofErr w:type="spellEnd"/>
      <w:r w:rsidRPr="007C59C9">
        <w:rPr>
          <w:sz w:val="24"/>
          <w:szCs w:val="24"/>
        </w:rPr>
        <w:t xml:space="preserve"> øjendråber hos visse patienter med signifikante hornhindeskader.</w:t>
      </w:r>
    </w:p>
    <w:p w14:paraId="614164C2" w14:textId="77777777" w:rsidR="00DB1628" w:rsidRPr="007C59C9" w:rsidRDefault="00DB1628" w:rsidP="007B2912">
      <w:pPr>
        <w:ind w:left="851"/>
        <w:rPr>
          <w:sz w:val="24"/>
          <w:szCs w:val="24"/>
          <w:lang w:bidi="en-US"/>
        </w:rPr>
      </w:pPr>
    </w:p>
    <w:p w14:paraId="24C36149" w14:textId="77777777" w:rsidR="00DB1628" w:rsidRPr="007C59C9" w:rsidRDefault="00DB1628" w:rsidP="007B2912">
      <w:pPr>
        <w:ind w:left="851"/>
        <w:rPr>
          <w:sz w:val="24"/>
          <w:szCs w:val="24"/>
        </w:rPr>
      </w:pPr>
      <w:proofErr w:type="spellStart"/>
      <w:r w:rsidRPr="007C59C9">
        <w:rPr>
          <w:sz w:val="24"/>
          <w:szCs w:val="24"/>
        </w:rPr>
        <w:t>Penicryl</w:t>
      </w:r>
      <w:proofErr w:type="spellEnd"/>
      <w:r w:rsidRPr="007C59C9">
        <w:rPr>
          <w:sz w:val="24"/>
          <w:szCs w:val="24"/>
        </w:rPr>
        <w:t xml:space="preserve"> kan forårsage alvorlige og potentielt dødelige elektrolytforstyrrelser, såsom </w:t>
      </w:r>
      <w:proofErr w:type="spellStart"/>
      <w:r w:rsidRPr="007C59C9">
        <w:rPr>
          <w:sz w:val="24"/>
          <w:szCs w:val="24"/>
        </w:rPr>
        <w:t>hyperkaliæmi</w:t>
      </w:r>
      <w:proofErr w:type="spellEnd"/>
      <w:r w:rsidRPr="007C59C9">
        <w:rPr>
          <w:sz w:val="24"/>
          <w:szCs w:val="24"/>
        </w:rPr>
        <w:t>, ved intravenøs indgivelse af store doser.</w:t>
      </w:r>
    </w:p>
    <w:bookmarkEnd w:id="12"/>
    <w:p w14:paraId="7677FC31" w14:textId="77777777" w:rsidR="00DB1628" w:rsidRPr="007C59C9" w:rsidRDefault="00DB1628" w:rsidP="007B2912">
      <w:pPr>
        <w:ind w:left="851"/>
        <w:rPr>
          <w:sz w:val="24"/>
          <w:szCs w:val="24"/>
          <w:lang w:bidi="en-US"/>
        </w:rPr>
      </w:pPr>
    </w:p>
    <w:p w14:paraId="7412D95C" w14:textId="77777777" w:rsidR="00DB1628" w:rsidRPr="007C59C9" w:rsidRDefault="00DB1628" w:rsidP="007B2912">
      <w:pPr>
        <w:ind w:left="851"/>
        <w:rPr>
          <w:sz w:val="24"/>
          <w:szCs w:val="24"/>
          <w:u w:val="single"/>
        </w:rPr>
      </w:pPr>
      <w:r w:rsidRPr="007C59C9">
        <w:rPr>
          <w:sz w:val="24"/>
          <w:szCs w:val="24"/>
          <w:u w:val="single"/>
        </w:rPr>
        <w:t>Beskrivelse af udvalgte bivirkninger</w:t>
      </w:r>
    </w:p>
    <w:p w14:paraId="12299E7A" w14:textId="77777777" w:rsidR="00DB1628" w:rsidRPr="007C59C9" w:rsidRDefault="00DB1628" w:rsidP="007B2912">
      <w:pPr>
        <w:ind w:left="851"/>
        <w:rPr>
          <w:sz w:val="24"/>
          <w:szCs w:val="24"/>
        </w:rPr>
      </w:pPr>
      <w:bookmarkStart w:id="13" w:name="_Hlk99714923"/>
      <w:r w:rsidRPr="007C59C9">
        <w:rPr>
          <w:sz w:val="24"/>
          <w:szCs w:val="24"/>
        </w:rPr>
        <w:t xml:space="preserve">Der er rapporteret om svære </w:t>
      </w:r>
      <w:proofErr w:type="spellStart"/>
      <w:r w:rsidRPr="007C59C9">
        <w:rPr>
          <w:sz w:val="24"/>
          <w:szCs w:val="24"/>
        </w:rPr>
        <w:t>kutane</w:t>
      </w:r>
      <w:proofErr w:type="spellEnd"/>
      <w:r w:rsidRPr="007C59C9">
        <w:rPr>
          <w:sz w:val="24"/>
          <w:szCs w:val="24"/>
        </w:rPr>
        <w:t xml:space="preserve"> bivirkninger (</w:t>
      </w:r>
      <w:proofErr w:type="spellStart"/>
      <w:r w:rsidRPr="007C59C9">
        <w:rPr>
          <w:sz w:val="24"/>
          <w:szCs w:val="24"/>
        </w:rPr>
        <w:t>SCARs</w:t>
      </w:r>
      <w:proofErr w:type="spellEnd"/>
      <w:r w:rsidRPr="007C59C9">
        <w:rPr>
          <w:sz w:val="24"/>
          <w:szCs w:val="24"/>
        </w:rPr>
        <w:t>) (</w:t>
      </w:r>
      <w:bookmarkStart w:id="14" w:name="_Hlk99713585"/>
      <w:r w:rsidRPr="007C59C9">
        <w:rPr>
          <w:sz w:val="24"/>
          <w:szCs w:val="24"/>
        </w:rPr>
        <w:t xml:space="preserve">Stevens-Johnsons syndrom, toksisk </w:t>
      </w:r>
      <w:proofErr w:type="spellStart"/>
      <w:r w:rsidRPr="007C59C9">
        <w:rPr>
          <w:sz w:val="24"/>
          <w:szCs w:val="24"/>
        </w:rPr>
        <w:t>epidermal</w:t>
      </w:r>
      <w:proofErr w:type="spellEnd"/>
      <w:r w:rsidRPr="007C59C9">
        <w:rPr>
          <w:sz w:val="24"/>
          <w:szCs w:val="24"/>
        </w:rPr>
        <w:t xml:space="preserve"> </w:t>
      </w:r>
      <w:proofErr w:type="spellStart"/>
      <w:r w:rsidRPr="007C59C9">
        <w:rPr>
          <w:sz w:val="24"/>
          <w:szCs w:val="24"/>
        </w:rPr>
        <w:t>nekrolyse</w:t>
      </w:r>
      <w:proofErr w:type="spellEnd"/>
      <w:r w:rsidRPr="007C59C9">
        <w:rPr>
          <w:sz w:val="24"/>
          <w:szCs w:val="24"/>
        </w:rPr>
        <w:t xml:space="preserve">, lægemiddelreaktion med </w:t>
      </w:r>
      <w:proofErr w:type="spellStart"/>
      <w:r w:rsidRPr="007C59C9">
        <w:rPr>
          <w:sz w:val="24"/>
          <w:szCs w:val="24"/>
        </w:rPr>
        <w:t>eosinofili</w:t>
      </w:r>
      <w:proofErr w:type="spellEnd"/>
      <w:r w:rsidRPr="007C59C9">
        <w:rPr>
          <w:sz w:val="24"/>
          <w:szCs w:val="24"/>
        </w:rPr>
        <w:t xml:space="preserve"> og systemiske symptomer, </w:t>
      </w:r>
      <w:r w:rsidRPr="007C59C9">
        <w:rPr>
          <w:sz w:val="24"/>
          <w:szCs w:val="24"/>
        </w:rPr>
        <w:lastRenderedPageBreak/>
        <w:t xml:space="preserve">akut generaliseret </w:t>
      </w:r>
      <w:proofErr w:type="spellStart"/>
      <w:r w:rsidRPr="007C59C9">
        <w:rPr>
          <w:sz w:val="24"/>
          <w:szCs w:val="24"/>
        </w:rPr>
        <w:t>eksantematøs</w:t>
      </w:r>
      <w:proofErr w:type="spellEnd"/>
      <w:r w:rsidRPr="007C59C9">
        <w:rPr>
          <w:sz w:val="24"/>
          <w:szCs w:val="24"/>
        </w:rPr>
        <w:t xml:space="preserve"> </w:t>
      </w:r>
      <w:proofErr w:type="spellStart"/>
      <w:r w:rsidRPr="007C59C9">
        <w:rPr>
          <w:sz w:val="24"/>
          <w:szCs w:val="24"/>
        </w:rPr>
        <w:t>pustulose</w:t>
      </w:r>
      <w:proofErr w:type="spellEnd"/>
      <w:r w:rsidRPr="007C59C9">
        <w:rPr>
          <w:sz w:val="24"/>
          <w:szCs w:val="24"/>
        </w:rPr>
        <w:t xml:space="preserve">) med </w:t>
      </w:r>
      <w:proofErr w:type="spellStart"/>
      <w:r w:rsidRPr="007C59C9">
        <w:rPr>
          <w:sz w:val="24"/>
          <w:szCs w:val="24"/>
        </w:rPr>
        <w:t>betalaktam</w:t>
      </w:r>
      <w:proofErr w:type="spellEnd"/>
      <w:r w:rsidRPr="007C59C9">
        <w:rPr>
          <w:sz w:val="24"/>
          <w:szCs w:val="24"/>
        </w:rPr>
        <w:t xml:space="preserve">-antibiotika, herunder penicilliner </w:t>
      </w:r>
      <w:bookmarkEnd w:id="13"/>
      <w:bookmarkEnd w:id="14"/>
      <w:r w:rsidRPr="007C59C9">
        <w:rPr>
          <w:sz w:val="24"/>
          <w:szCs w:val="24"/>
        </w:rPr>
        <w:t>(se pkt. 4.4).</w:t>
      </w:r>
    </w:p>
    <w:p w14:paraId="61B17221" w14:textId="77777777" w:rsidR="00DB1628" w:rsidRPr="007C59C9" w:rsidRDefault="00DB1628" w:rsidP="007B2912">
      <w:pPr>
        <w:ind w:left="851"/>
        <w:rPr>
          <w:noProof/>
          <w:sz w:val="24"/>
          <w:szCs w:val="24"/>
          <w:u w:val="single"/>
        </w:rPr>
      </w:pPr>
    </w:p>
    <w:p w14:paraId="6F744496" w14:textId="77777777" w:rsidR="00DB1628" w:rsidRPr="007C59C9" w:rsidRDefault="00DB1628" w:rsidP="007B2912">
      <w:pPr>
        <w:ind w:left="851"/>
        <w:rPr>
          <w:sz w:val="24"/>
          <w:szCs w:val="24"/>
          <w:u w:val="single"/>
        </w:rPr>
      </w:pPr>
      <w:r w:rsidRPr="007C59C9">
        <w:rPr>
          <w:noProof/>
          <w:sz w:val="24"/>
          <w:szCs w:val="24"/>
          <w:u w:val="single"/>
        </w:rPr>
        <w:t>Indberetning af formodede bivirkninger</w:t>
      </w:r>
    </w:p>
    <w:p w14:paraId="5A781E36" w14:textId="77777777" w:rsidR="00DB1628" w:rsidRPr="007C59C9" w:rsidRDefault="00DB1628" w:rsidP="007B2912">
      <w:pPr>
        <w:ind w:left="851"/>
        <w:rPr>
          <w:noProof/>
          <w:sz w:val="24"/>
          <w:szCs w:val="24"/>
        </w:rPr>
      </w:pPr>
      <w:r w:rsidRPr="007C59C9">
        <w:rPr>
          <w:noProof/>
          <w:sz w:val="24"/>
          <w:szCs w:val="24"/>
        </w:rPr>
        <w:t>Når lægemidlet er godkendt, er indberetning af formodede bivirkninger vigtig.</w:t>
      </w:r>
      <w:r w:rsidRPr="007C59C9">
        <w:rPr>
          <w:sz w:val="24"/>
          <w:szCs w:val="24"/>
        </w:rPr>
        <w:t xml:space="preserve"> </w:t>
      </w:r>
      <w:r w:rsidRPr="007C59C9">
        <w:rPr>
          <w:noProof/>
          <w:sz w:val="24"/>
          <w:szCs w:val="24"/>
        </w:rPr>
        <w:t>Det muliggør løbende overvågning af benefit/risk-forholdet for lægemidlet.</w:t>
      </w:r>
      <w:r w:rsidRPr="007C59C9">
        <w:rPr>
          <w:sz w:val="24"/>
          <w:szCs w:val="24"/>
        </w:rPr>
        <w:t xml:space="preserve"> </w:t>
      </w:r>
      <w:r w:rsidRPr="007C59C9">
        <w:rPr>
          <w:noProof/>
          <w:sz w:val="24"/>
          <w:szCs w:val="24"/>
        </w:rPr>
        <w:t>Sundhedspersoner anmodes om at indberette alle formodede bivirkninger via:</w:t>
      </w:r>
    </w:p>
    <w:p w14:paraId="4D2BD0DD" w14:textId="77777777" w:rsidR="00DB1628" w:rsidRPr="007C59C9" w:rsidRDefault="00DB1628" w:rsidP="007B2912">
      <w:pPr>
        <w:ind w:left="851"/>
        <w:rPr>
          <w:noProof/>
          <w:sz w:val="24"/>
          <w:szCs w:val="24"/>
        </w:rPr>
      </w:pPr>
    </w:p>
    <w:p w14:paraId="24F8808F" w14:textId="77777777" w:rsidR="00DB1628" w:rsidRPr="007C59C9" w:rsidRDefault="00DB1628" w:rsidP="007B2912">
      <w:pPr>
        <w:ind w:left="851"/>
        <w:rPr>
          <w:sz w:val="24"/>
          <w:szCs w:val="24"/>
        </w:rPr>
      </w:pPr>
      <w:r w:rsidRPr="007C59C9">
        <w:rPr>
          <w:sz w:val="24"/>
          <w:szCs w:val="24"/>
        </w:rPr>
        <w:t>Lægemiddelstyrelsen</w:t>
      </w:r>
    </w:p>
    <w:p w14:paraId="6C68B25B" w14:textId="77777777" w:rsidR="00DB1628" w:rsidRPr="007C59C9" w:rsidRDefault="00DB1628" w:rsidP="007B2912">
      <w:pPr>
        <w:ind w:left="851"/>
        <w:rPr>
          <w:sz w:val="24"/>
          <w:szCs w:val="24"/>
        </w:rPr>
      </w:pPr>
      <w:r w:rsidRPr="007C59C9">
        <w:rPr>
          <w:sz w:val="24"/>
          <w:szCs w:val="24"/>
        </w:rPr>
        <w:t>Axel Heides Gade 1</w:t>
      </w:r>
    </w:p>
    <w:p w14:paraId="078F470C" w14:textId="77777777" w:rsidR="00DB1628" w:rsidRPr="007C59C9" w:rsidRDefault="00DB1628" w:rsidP="007B2912">
      <w:pPr>
        <w:ind w:left="851"/>
        <w:rPr>
          <w:sz w:val="24"/>
          <w:szCs w:val="24"/>
        </w:rPr>
      </w:pPr>
      <w:r w:rsidRPr="007C59C9">
        <w:rPr>
          <w:sz w:val="24"/>
          <w:szCs w:val="24"/>
        </w:rPr>
        <w:t>DK-2300 København S</w:t>
      </w:r>
    </w:p>
    <w:p w14:paraId="1EA53FC0" w14:textId="77777777" w:rsidR="00DB1628" w:rsidRPr="007C59C9" w:rsidRDefault="00DB1628" w:rsidP="007B2912">
      <w:pPr>
        <w:ind w:left="851"/>
        <w:rPr>
          <w:sz w:val="24"/>
          <w:szCs w:val="24"/>
        </w:rPr>
      </w:pPr>
      <w:r w:rsidRPr="007C59C9">
        <w:rPr>
          <w:sz w:val="24"/>
          <w:szCs w:val="24"/>
        </w:rPr>
        <w:t>Websted: www.meldenbivirkning.dk</w:t>
      </w:r>
    </w:p>
    <w:p w14:paraId="7D70D0EE" w14:textId="77777777" w:rsidR="009260DE" w:rsidRPr="007C59C9" w:rsidRDefault="009260DE" w:rsidP="00A10294">
      <w:pPr>
        <w:tabs>
          <w:tab w:val="left" w:pos="851"/>
        </w:tabs>
        <w:ind w:left="851"/>
        <w:rPr>
          <w:sz w:val="24"/>
          <w:szCs w:val="24"/>
        </w:rPr>
      </w:pPr>
    </w:p>
    <w:p w14:paraId="6C0C2C93" w14:textId="77777777" w:rsidR="009260DE" w:rsidRPr="007C59C9" w:rsidRDefault="009260DE" w:rsidP="009260DE">
      <w:pPr>
        <w:tabs>
          <w:tab w:val="left" w:pos="851"/>
        </w:tabs>
        <w:ind w:left="851" w:hanging="851"/>
        <w:rPr>
          <w:b/>
          <w:sz w:val="24"/>
          <w:szCs w:val="24"/>
        </w:rPr>
      </w:pPr>
      <w:r w:rsidRPr="007C59C9">
        <w:rPr>
          <w:b/>
          <w:sz w:val="24"/>
          <w:szCs w:val="24"/>
        </w:rPr>
        <w:t>4.9</w:t>
      </w:r>
      <w:r w:rsidRPr="007C59C9">
        <w:rPr>
          <w:b/>
          <w:sz w:val="24"/>
          <w:szCs w:val="24"/>
        </w:rPr>
        <w:tab/>
        <w:t>Overdosering</w:t>
      </w:r>
    </w:p>
    <w:p w14:paraId="26709CAB" w14:textId="77777777" w:rsidR="00DB1628" w:rsidRPr="007C59C9" w:rsidRDefault="00DB1628" w:rsidP="007B2912">
      <w:pPr>
        <w:ind w:left="851"/>
        <w:rPr>
          <w:sz w:val="24"/>
          <w:szCs w:val="24"/>
        </w:rPr>
      </w:pPr>
      <w:r w:rsidRPr="007C59C9">
        <w:rPr>
          <w:i/>
          <w:sz w:val="24"/>
          <w:szCs w:val="24"/>
        </w:rPr>
        <w:t>Toksicitet:</w:t>
      </w:r>
      <w:r w:rsidRPr="007C59C9">
        <w:rPr>
          <w:sz w:val="24"/>
          <w:szCs w:val="24"/>
        </w:rPr>
        <w:t xml:space="preserve"> Store doser er som regel veltolererede. Dog har parenteral administration af høje doser medført toksiske symptomer, eksempelvis hos patienter med nedsat nyrefunktion og svækket blod-cerebrospinalvæske-barriere. Akutte reaktioner skyldes primært allergiske reaktioner.</w:t>
      </w:r>
    </w:p>
    <w:p w14:paraId="4937084A" w14:textId="77777777" w:rsidR="00DB1628" w:rsidRPr="007C59C9" w:rsidRDefault="00DB1628" w:rsidP="007B2912">
      <w:pPr>
        <w:ind w:left="851"/>
        <w:rPr>
          <w:sz w:val="24"/>
          <w:szCs w:val="24"/>
        </w:rPr>
      </w:pPr>
    </w:p>
    <w:p w14:paraId="5F45D340" w14:textId="77777777" w:rsidR="00DB1628" w:rsidRPr="007C59C9" w:rsidRDefault="00DB1628" w:rsidP="007B2912">
      <w:pPr>
        <w:ind w:left="851"/>
        <w:rPr>
          <w:sz w:val="24"/>
          <w:szCs w:val="24"/>
        </w:rPr>
      </w:pPr>
      <w:r w:rsidRPr="007C59C9">
        <w:rPr>
          <w:i/>
          <w:sz w:val="24"/>
          <w:szCs w:val="24"/>
        </w:rPr>
        <w:t xml:space="preserve">Symptomer: </w:t>
      </w:r>
      <w:r w:rsidRPr="007C59C9">
        <w:rPr>
          <w:sz w:val="24"/>
          <w:szCs w:val="24"/>
        </w:rPr>
        <w:t xml:space="preserve">Toksiske reaktioner, kvalme, opkastning, diarré, elektrolytforstyrrelser, nedsat bevidsthed, </w:t>
      </w:r>
      <w:proofErr w:type="spellStart"/>
      <w:r w:rsidRPr="007C59C9">
        <w:rPr>
          <w:sz w:val="24"/>
          <w:szCs w:val="24"/>
        </w:rPr>
        <w:t>muskelfascikulationer</w:t>
      </w:r>
      <w:proofErr w:type="spellEnd"/>
      <w:r w:rsidRPr="007C59C9">
        <w:rPr>
          <w:sz w:val="24"/>
          <w:szCs w:val="24"/>
        </w:rPr>
        <w:t xml:space="preserve">, </w:t>
      </w:r>
      <w:proofErr w:type="spellStart"/>
      <w:r w:rsidRPr="007C59C9">
        <w:rPr>
          <w:sz w:val="24"/>
          <w:szCs w:val="24"/>
        </w:rPr>
        <w:t>myoklonus</w:t>
      </w:r>
      <w:proofErr w:type="spellEnd"/>
      <w:r w:rsidRPr="007C59C9">
        <w:rPr>
          <w:sz w:val="24"/>
          <w:szCs w:val="24"/>
        </w:rPr>
        <w:t xml:space="preserve">, krampeanfald, koma, </w:t>
      </w:r>
      <w:proofErr w:type="spellStart"/>
      <w:r w:rsidRPr="007C59C9">
        <w:rPr>
          <w:sz w:val="24"/>
          <w:szCs w:val="24"/>
        </w:rPr>
        <w:t>hæmolytiske</w:t>
      </w:r>
      <w:proofErr w:type="spellEnd"/>
      <w:r w:rsidRPr="007C59C9">
        <w:rPr>
          <w:sz w:val="24"/>
          <w:szCs w:val="24"/>
        </w:rPr>
        <w:t xml:space="preserve"> reaktioner, nyresvigt, </w:t>
      </w:r>
      <w:proofErr w:type="spellStart"/>
      <w:r w:rsidRPr="007C59C9">
        <w:rPr>
          <w:sz w:val="24"/>
          <w:szCs w:val="24"/>
        </w:rPr>
        <w:t>acidose</w:t>
      </w:r>
      <w:proofErr w:type="spellEnd"/>
      <w:r w:rsidRPr="007C59C9">
        <w:rPr>
          <w:sz w:val="24"/>
          <w:szCs w:val="24"/>
        </w:rPr>
        <w:t>.</w:t>
      </w:r>
    </w:p>
    <w:p w14:paraId="14C62C53" w14:textId="77777777" w:rsidR="00DB1628" w:rsidRPr="007C59C9" w:rsidRDefault="00DB1628" w:rsidP="007B2912">
      <w:pPr>
        <w:ind w:left="851"/>
        <w:rPr>
          <w:sz w:val="24"/>
          <w:szCs w:val="24"/>
        </w:rPr>
      </w:pPr>
      <w:r w:rsidRPr="007C59C9">
        <w:rPr>
          <w:sz w:val="24"/>
          <w:szCs w:val="24"/>
        </w:rPr>
        <w:t>I enkeltstående tilfælde kan anafylaktiske reaktioner indtræde inden for 20-40 minutter.</w:t>
      </w:r>
    </w:p>
    <w:p w14:paraId="119F191D" w14:textId="77777777" w:rsidR="00DB1628" w:rsidRPr="007C59C9" w:rsidRDefault="00DB1628" w:rsidP="007B2912">
      <w:pPr>
        <w:ind w:left="851"/>
        <w:rPr>
          <w:sz w:val="24"/>
          <w:szCs w:val="24"/>
        </w:rPr>
      </w:pPr>
    </w:p>
    <w:p w14:paraId="1F93206A" w14:textId="77777777" w:rsidR="00DB1628" w:rsidRPr="007C59C9" w:rsidRDefault="00DB1628" w:rsidP="007B2912">
      <w:pPr>
        <w:ind w:left="851"/>
        <w:rPr>
          <w:sz w:val="24"/>
          <w:szCs w:val="24"/>
        </w:rPr>
      </w:pPr>
      <w:r w:rsidRPr="007C59C9">
        <w:rPr>
          <w:i/>
          <w:sz w:val="24"/>
          <w:szCs w:val="24"/>
        </w:rPr>
        <w:t xml:space="preserve">Behandling: </w:t>
      </w:r>
      <w:r w:rsidRPr="007C59C9">
        <w:rPr>
          <w:sz w:val="24"/>
          <w:szCs w:val="24"/>
        </w:rPr>
        <w:t xml:space="preserve">Symptomatisk behandling. I svære tilfælde </w:t>
      </w:r>
      <w:proofErr w:type="spellStart"/>
      <w:r w:rsidRPr="007C59C9">
        <w:rPr>
          <w:sz w:val="24"/>
          <w:szCs w:val="24"/>
        </w:rPr>
        <w:t>hæmoperfusion</w:t>
      </w:r>
      <w:proofErr w:type="spellEnd"/>
      <w:r w:rsidRPr="007C59C9">
        <w:rPr>
          <w:sz w:val="24"/>
          <w:szCs w:val="24"/>
        </w:rPr>
        <w:t xml:space="preserve"> eller hæmodialyse. </w:t>
      </w:r>
    </w:p>
    <w:p w14:paraId="6A4F42CB" w14:textId="77777777" w:rsidR="00DB1628" w:rsidRPr="007C59C9" w:rsidRDefault="00DB1628" w:rsidP="007B2912">
      <w:pPr>
        <w:ind w:left="851"/>
        <w:rPr>
          <w:sz w:val="24"/>
          <w:szCs w:val="24"/>
        </w:rPr>
      </w:pPr>
      <w:r w:rsidRPr="007C59C9">
        <w:rPr>
          <w:i/>
          <w:sz w:val="24"/>
          <w:szCs w:val="24"/>
        </w:rPr>
        <w:t xml:space="preserve">I tilfælde af </w:t>
      </w:r>
      <w:proofErr w:type="spellStart"/>
      <w:r w:rsidRPr="007C59C9">
        <w:rPr>
          <w:i/>
          <w:sz w:val="24"/>
          <w:szCs w:val="24"/>
        </w:rPr>
        <w:t>anafylaktisk</w:t>
      </w:r>
      <w:proofErr w:type="spellEnd"/>
      <w:r w:rsidRPr="007C59C9">
        <w:rPr>
          <w:i/>
          <w:sz w:val="24"/>
          <w:szCs w:val="24"/>
        </w:rPr>
        <w:t xml:space="preserve"> reaktion: </w:t>
      </w:r>
      <w:r w:rsidRPr="007C59C9">
        <w:rPr>
          <w:sz w:val="24"/>
          <w:szCs w:val="24"/>
        </w:rPr>
        <w:t xml:space="preserve">Adrenalin 0,1-0,5 mg via langsom intravenøs administration, </w:t>
      </w:r>
      <w:proofErr w:type="spellStart"/>
      <w:r w:rsidRPr="007C59C9">
        <w:rPr>
          <w:sz w:val="24"/>
          <w:szCs w:val="24"/>
        </w:rPr>
        <w:t>hydrocortison</w:t>
      </w:r>
      <w:proofErr w:type="spellEnd"/>
      <w:r w:rsidRPr="007C59C9">
        <w:rPr>
          <w:sz w:val="24"/>
          <w:szCs w:val="24"/>
        </w:rPr>
        <w:t xml:space="preserve"> 200 mg intravenøst, eventuelt </w:t>
      </w:r>
      <w:proofErr w:type="spellStart"/>
      <w:r w:rsidRPr="007C59C9">
        <w:rPr>
          <w:sz w:val="24"/>
          <w:szCs w:val="24"/>
        </w:rPr>
        <w:t>promethazin</w:t>
      </w:r>
      <w:proofErr w:type="spellEnd"/>
      <w:r w:rsidRPr="007C59C9">
        <w:rPr>
          <w:sz w:val="24"/>
          <w:szCs w:val="24"/>
        </w:rPr>
        <w:t xml:space="preserve"> 25 mg intravenøst. Væske. Syrekorrigering.</w:t>
      </w:r>
    </w:p>
    <w:p w14:paraId="4DE13ADA" w14:textId="77777777" w:rsidR="009260DE" w:rsidRPr="007C59C9" w:rsidRDefault="009260DE" w:rsidP="009260DE">
      <w:pPr>
        <w:tabs>
          <w:tab w:val="left" w:pos="851"/>
        </w:tabs>
        <w:ind w:left="851"/>
        <w:rPr>
          <w:sz w:val="24"/>
          <w:szCs w:val="24"/>
        </w:rPr>
      </w:pPr>
    </w:p>
    <w:p w14:paraId="549B9490" w14:textId="77777777" w:rsidR="009260DE" w:rsidRPr="007C59C9" w:rsidRDefault="009260DE" w:rsidP="009260DE">
      <w:pPr>
        <w:tabs>
          <w:tab w:val="left" w:pos="851"/>
        </w:tabs>
        <w:ind w:left="851" w:hanging="851"/>
        <w:rPr>
          <w:b/>
          <w:sz w:val="24"/>
          <w:szCs w:val="24"/>
        </w:rPr>
      </w:pPr>
      <w:r w:rsidRPr="007C59C9">
        <w:rPr>
          <w:b/>
          <w:sz w:val="24"/>
          <w:szCs w:val="24"/>
        </w:rPr>
        <w:t>4.10</w:t>
      </w:r>
      <w:r w:rsidRPr="007C59C9">
        <w:rPr>
          <w:b/>
          <w:sz w:val="24"/>
          <w:szCs w:val="24"/>
        </w:rPr>
        <w:tab/>
        <w:t>Udlevering</w:t>
      </w:r>
    </w:p>
    <w:p w14:paraId="6F9F2A35" w14:textId="1CF62A69" w:rsidR="009260DE" w:rsidRPr="007C59C9" w:rsidRDefault="006D7077" w:rsidP="009260DE">
      <w:pPr>
        <w:tabs>
          <w:tab w:val="left" w:pos="851"/>
        </w:tabs>
        <w:ind w:left="851"/>
        <w:rPr>
          <w:sz w:val="24"/>
          <w:szCs w:val="24"/>
        </w:rPr>
      </w:pPr>
      <w:r w:rsidRPr="007C59C9">
        <w:rPr>
          <w:sz w:val="24"/>
          <w:szCs w:val="24"/>
        </w:rPr>
        <w:t>B</w:t>
      </w:r>
    </w:p>
    <w:p w14:paraId="4823218C" w14:textId="77777777" w:rsidR="009260DE" w:rsidRPr="007C59C9" w:rsidRDefault="009260DE" w:rsidP="009260DE">
      <w:pPr>
        <w:tabs>
          <w:tab w:val="left" w:pos="851"/>
        </w:tabs>
        <w:ind w:left="851"/>
        <w:rPr>
          <w:sz w:val="24"/>
          <w:szCs w:val="24"/>
        </w:rPr>
      </w:pPr>
    </w:p>
    <w:p w14:paraId="06CAE017" w14:textId="77777777" w:rsidR="009260DE" w:rsidRPr="007C59C9" w:rsidRDefault="009260DE" w:rsidP="009260DE">
      <w:pPr>
        <w:tabs>
          <w:tab w:val="left" w:pos="851"/>
        </w:tabs>
        <w:ind w:left="851"/>
        <w:rPr>
          <w:sz w:val="24"/>
          <w:szCs w:val="24"/>
        </w:rPr>
      </w:pPr>
    </w:p>
    <w:p w14:paraId="300378DF" w14:textId="77777777" w:rsidR="009260DE" w:rsidRPr="007C59C9" w:rsidRDefault="009260DE" w:rsidP="009260DE">
      <w:pPr>
        <w:tabs>
          <w:tab w:val="left" w:pos="851"/>
        </w:tabs>
        <w:ind w:left="851" w:hanging="851"/>
        <w:rPr>
          <w:b/>
          <w:sz w:val="24"/>
          <w:szCs w:val="24"/>
        </w:rPr>
      </w:pPr>
      <w:r w:rsidRPr="007C59C9">
        <w:rPr>
          <w:b/>
          <w:sz w:val="24"/>
          <w:szCs w:val="24"/>
        </w:rPr>
        <w:t>5.</w:t>
      </w:r>
      <w:r w:rsidRPr="007C59C9">
        <w:rPr>
          <w:b/>
          <w:sz w:val="24"/>
          <w:szCs w:val="24"/>
        </w:rPr>
        <w:tab/>
        <w:t>FARMAKOLOGISKE EGENSKABER</w:t>
      </w:r>
    </w:p>
    <w:p w14:paraId="1040C46D" w14:textId="77777777" w:rsidR="009260DE" w:rsidRPr="007C59C9" w:rsidRDefault="009260DE" w:rsidP="009260DE">
      <w:pPr>
        <w:tabs>
          <w:tab w:val="left" w:pos="851"/>
        </w:tabs>
        <w:ind w:left="851"/>
        <w:rPr>
          <w:sz w:val="24"/>
          <w:szCs w:val="24"/>
        </w:rPr>
      </w:pPr>
    </w:p>
    <w:p w14:paraId="1FBC5308" w14:textId="77777777" w:rsidR="009260DE" w:rsidRPr="007C59C9" w:rsidRDefault="009260DE" w:rsidP="009260DE">
      <w:pPr>
        <w:tabs>
          <w:tab w:val="num" w:pos="851"/>
        </w:tabs>
        <w:ind w:left="851" w:hanging="851"/>
        <w:rPr>
          <w:b/>
          <w:sz w:val="24"/>
          <w:szCs w:val="24"/>
        </w:rPr>
      </w:pPr>
      <w:r w:rsidRPr="007C59C9">
        <w:rPr>
          <w:b/>
          <w:sz w:val="24"/>
          <w:szCs w:val="24"/>
        </w:rPr>
        <w:t>5.1</w:t>
      </w:r>
      <w:r w:rsidRPr="007C59C9">
        <w:rPr>
          <w:b/>
          <w:sz w:val="24"/>
          <w:szCs w:val="24"/>
        </w:rPr>
        <w:tab/>
      </w:r>
      <w:proofErr w:type="spellStart"/>
      <w:r w:rsidRPr="007C59C9">
        <w:rPr>
          <w:b/>
          <w:sz w:val="24"/>
          <w:szCs w:val="24"/>
        </w:rPr>
        <w:t>Farmakodynamiske</w:t>
      </w:r>
      <w:proofErr w:type="spellEnd"/>
      <w:r w:rsidRPr="007C59C9">
        <w:rPr>
          <w:b/>
          <w:sz w:val="24"/>
          <w:szCs w:val="24"/>
        </w:rPr>
        <w:t xml:space="preserve"> egenskaber</w:t>
      </w:r>
    </w:p>
    <w:p w14:paraId="63FF5E4E" w14:textId="77777777" w:rsidR="00DB1628" w:rsidRPr="007C59C9" w:rsidRDefault="00DB1628" w:rsidP="007B2912">
      <w:pPr>
        <w:ind w:left="851"/>
        <w:rPr>
          <w:sz w:val="24"/>
          <w:szCs w:val="24"/>
        </w:rPr>
      </w:pPr>
      <w:proofErr w:type="spellStart"/>
      <w:r w:rsidRPr="007C59C9">
        <w:rPr>
          <w:sz w:val="24"/>
          <w:szCs w:val="24"/>
        </w:rPr>
        <w:t>Farmakoterapeutisk</w:t>
      </w:r>
      <w:proofErr w:type="spellEnd"/>
      <w:r w:rsidRPr="007C59C9">
        <w:rPr>
          <w:sz w:val="24"/>
          <w:szCs w:val="24"/>
        </w:rPr>
        <w:t xml:space="preserve"> klassifikation: </w:t>
      </w:r>
      <w:proofErr w:type="spellStart"/>
      <w:r w:rsidRPr="007C59C9">
        <w:rPr>
          <w:sz w:val="24"/>
          <w:szCs w:val="24"/>
        </w:rPr>
        <w:t>Betalaktamase</w:t>
      </w:r>
      <w:proofErr w:type="spellEnd"/>
      <w:r w:rsidRPr="007C59C9">
        <w:rPr>
          <w:sz w:val="24"/>
          <w:szCs w:val="24"/>
        </w:rPr>
        <w:t>-følsomme penicilliner</w:t>
      </w:r>
    </w:p>
    <w:p w14:paraId="56D1C508" w14:textId="77777777" w:rsidR="00DB1628" w:rsidRPr="007C59C9" w:rsidRDefault="00DB1628" w:rsidP="007B2912">
      <w:pPr>
        <w:ind w:left="851"/>
        <w:rPr>
          <w:sz w:val="24"/>
          <w:szCs w:val="24"/>
        </w:rPr>
      </w:pPr>
      <w:r w:rsidRPr="007C59C9">
        <w:rPr>
          <w:sz w:val="24"/>
          <w:szCs w:val="24"/>
        </w:rPr>
        <w:t>ATC-kode: J01CE01.</w:t>
      </w:r>
    </w:p>
    <w:p w14:paraId="4880B007" w14:textId="77777777" w:rsidR="00DB1628" w:rsidRPr="007C59C9" w:rsidRDefault="00DB1628" w:rsidP="007B2912">
      <w:pPr>
        <w:ind w:left="851"/>
        <w:rPr>
          <w:sz w:val="24"/>
          <w:szCs w:val="24"/>
        </w:rPr>
      </w:pPr>
    </w:p>
    <w:p w14:paraId="0BEDDA82" w14:textId="77777777" w:rsidR="00DB1628" w:rsidRPr="007C59C9" w:rsidRDefault="00DB1628" w:rsidP="007B2912">
      <w:pPr>
        <w:ind w:left="851"/>
        <w:rPr>
          <w:sz w:val="24"/>
          <w:szCs w:val="24"/>
        </w:rPr>
      </w:pPr>
      <w:proofErr w:type="spellStart"/>
      <w:r w:rsidRPr="007C59C9">
        <w:rPr>
          <w:sz w:val="24"/>
          <w:szCs w:val="24"/>
        </w:rPr>
        <w:t>Benzylpenicillin</w:t>
      </w:r>
      <w:proofErr w:type="spellEnd"/>
      <w:r w:rsidRPr="007C59C9">
        <w:rPr>
          <w:sz w:val="24"/>
          <w:szCs w:val="24"/>
        </w:rPr>
        <w:t xml:space="preserve"> er et </w:t>
      </w:r>
      <w:proofErr w:type="spellStart"/>
      <w:r w:rsidRPr="007C59C9">
        <w:rPr>
          <w:sz w:val="24"/>
          <w:szCs w:val="24"/>
        </w:rPr>
        <w:t>betalaktam</w:t>
      </w:r>
      <w:proofErr w:type="spellEnd"/>
      <w:r w:rsidRPr="007C59C9">
        <w:rPr>
          <w:sz w:val="24"/>
          <w:szCs w:val="24"/>
        </w:rPr>
        <w:t>-antibiotikum, der virker ved at hæmme bakteriernes cellevægssyntese. Virkningen er baktericid.</w:t>
      </w:r>
    </w:p>
    <w:p w14:paraId="3EE45829" w14:textId="77777777" w:rsidR="00DB1628" w:rsidRPr="007C59C9" w:rsidRDefault="00DB1628" w:rsidP="007B2912">
      <w:pPr>
        <w:ind w:left="851"/>
        <w:rPr>
          <w:sz w:val="24"/>
          <w:szCs w:val="24"/>
        </w:rPr>
      </w:pPr>
    </w:p>
    <w:p w14:paraId="5916F9CE" w14:textId="77777777" w:rsidR="00DB1628" w:rsidRPr="007C59C9" w:rsidRDefault="00DB1628" w:rsidP="007B2912">
      <w:pPr>
        <w:ind w:left="851"/>
        <w:rPr>
          <w:sz w:val="24"/>
          <w:szCs w:val="24"/>
        </w:rPr>
      </w:pPr>
      <w:r w:rsidRPr="007C59C9">
        <w:rPr>
          <w:sz w:val="24"/>
          <w:szCs w:val="24"/>
        </w:rPr>
        <w:t>Grænseværdi</w:t>
      </w:r>
      <w:r w:rsidRPr="007C59C9">
        <w:rPr>
          <w:color w:val="000000"/>
          <w:sz w:val="24"/>
          <w:szCs w:val="24"/>
          <w:highlight w:val="yellow"/>
        </w:rPr>
        <w:t xml:space="preserve"> </w:t>
      </w:r>
    </w:p>
    <w:p w14:paraId="617A36AA" w14:textId="77777777" w:rsidR="00DB1628" w:rsidRPr="007C59C9" w:rsidRDefault="00DB1628" w:rsidP="007B2912">
      <w:pPr>
        <w:ind w:left="851"/>
        <w:rPr>
          <w:sz w:val="24"/>
          <w:szCs w:val="24"/>
        </w:rPr>
      </w:pPr>
      <w:r w:rsidRPr="007C59C9">
        <w:rPr>
          <w:sz w:val="24"/>
          <w:szCs w:val="24"/>
        </w:rPr>
        <w:t xml:space="preserve">Kliniske MIC-grænseværdier for </w:t>
      </w:r>
      <w:proofErr w:type="spellStart"/>
      <w:r w:rsidRPr="007C59C9">
        <w:rPr>
          <w:sz w:val="24"/>
          <w:szCs w:val="24"/>
        </w:rPr>
        <w:t>benzylpenicillin</w:t>
      </w:r>
      <w:proofErr w:type="spellEnd"/>
      <w:r w:rsidRPr="007C59C9">
        <w:rPr>
          <w:sz w:val="24"/>
          <w:szCs w:val="24"/>
        </w:rPr>
        <w:t xml:space="preserve"> i henhold til European </w:t>
      </w:r>
      <w:proofErr w:type="spellStart"/>
      <w:r w:rsidRPr="007C59C9">
        <w:rPr>
          <w:sz w:val="24"/>
          <w:szCs w:val="24"/>
        </w:rPr>
        <w:t>Committee</w:t>
      </w:r>
      <w:proofErr w:type="spellEnd"/>
      <w:r w:rsidRPr="007C59C9">
        <w:rPr>
          <w:sz w:val="24"/>
          <w:szCs w:val="24"/>
        </w:rPr>
        <w:t xml:space="preserve"> on </w:t>
      </w:r>
      <w:proofErr w:type="spellStart"/>
      <w:r w:rsidRPr="007C59C9">
        <w:rPr>
          <w:sz w:val="24"/>
          <w:szCs w:val="24"/>
        </w:rPr>
        <w:t>Antimicrobial</w:t>
      </w:r>
      <w:proofErr w:type="spellEnd"/>
      <w:r w:rsidRPr="007C59C9">
        <w:rPr>
          <w:sz w:val="24"/>
          <w:szCs w:val="24"/>
        </w:rPr>
        <w:t xml:space="preserve"> </w:t>
      </w:r>
      <w:proofErr w:type="spellStart"/>
      <w:r w:rsidRPr="007C59C9">
        <w:rPr>
          <w:sz w:val="24"/>
          <w:szCs w:val="24"/>
        </w:rPr>
        <w:t>Susceptibility</w:t>
      </w:r>
      <w:proofErr w:type="spellEnd"/>
      <w:r w:rsidRPr="007C59C9">
        <w:rPr>
          <w:sz w:val="24"/>
          <w:szCs w:val="24"/>
        </w:rPr>
        <w:t xml:space="preserve"> </w:t>
      </w:r>
      <w:proofErr w:type="spellStart"/>
      <w:r w:rsidRPr="007C59C9">
        <w:rPr>
          <w:sz w:val="24"/>
          <w:szCs w:val="24"/>
        </w:rPr>
        <w:t>Testing</w:t>
      </w:r>
      <w:proofErr w:type="spellEnd"/>
      <w:r w:rsidRPr="007C59C9">
        <w:rPr>
          <w:sz w:val="24"/>
          <w:szCs w:val="24"/>
        </w:rPr>
        <w:t xml:space="preserve"> (EUCAST, version 12.0, gyldig fra 1.1.2022) er angivet nedenfor:</w:t>
      </w:r>
    </w:p>
    <w:p w14:paraId="28900801" w14:textId="77777777" w:rsidR="00DB1628" w:rsidRPr="007C59C9" w:rsidRDefault="00DB1628" w:rsidP="00DB1628">
      <w:pPr>
        <w:pStyle w:val="Brdtekst"/>
        <w:ind w:left="0"/>
      </w:pPr>
      <w:bookmarkStart w:id="15" w:name="_Hlk105489299"/>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4184"/>
        <w:gridCol w:w="2457"/>
        <w:gridCol w:w="2981"/>
      </w:tblGrid>
      <w:tr w:rsidR="00DB1628" w:rsidRPr="00606CF0" w14:paraId="362DC843" w14:textId="77777777" w:rsidTr="007B2912">
        <w:trPr>
          <w:trHeight w:val="18"/>
        </w:trPr>
        <w:tc>
          <w:tcPr>
            <w:tcW w:w="2174" w:type="pct"/>
            <w:tcBorders>
              <w:top w:val="single" w:sz="6" w:space="0" w:color="000000"/>
              <w:left w:val="single" w:sz="6" w:space="0" w:color="000000"/>
              <w:bottom w:val="single" w:sz="6" w:space="0" w:color="000000"/>
              <w:right w:val="single" w:sz="6" w:space="0" w:color="000000"/>
            </w:tcBorders>
            <w:shd w:val="clear" w:color="auto" w:fill="E0E0E0"/>
            <w:hideMark/>
          </w:tcPr>
          <w:p w14:paraId="388FC596" w14:textId="77777777" w:rsidR="00DB1628" w:rsidRPr="00606CF0" w:rsidRDefault="00DB1628" w:rsidP="00B258B9">
            <w:pPr>
              <w:pStyle w:val="TableParagraph"/>
              <w:keepNext/>
              <w:spacing w:before="64"/>
              <w:jc w:val="center"/>
              <w:rPr>
                <w:b/>
                <w:lang w:val="en-GB"/>
              </w:rPr>
            </w:pPr>
            <w:proofErr w:type="spellStart"/>
            <w:r w:rsidRPr="00606CF0">
              <w:rPr>
                <w:b/>
                <w:lang w:val="en-GB"/>
              </w:rPr>
              <w:lastRenderedPageBreak/>
              <w:t>Mikroorganisme</w:t>
            </w:r>
            <w:proofErr w:type="spellEnd"/>
          </w:p>
        </w:tc>
        <w:tc>
          <w:tcPr>
            <w:tcW w:w="1277" w:type="pct"/>
            <w:tcBorders>
              <w:top w:val="single" w:sz="6" w:space="0" w:color="000000"/>
              <w:left w:val="single" w:sz="6" w:space="0" w:color="000000"/>
              <w:bottom w:val="single" w:sz="6" w:space="0" w:color="000000"/>
              <w:right w:val="single" w:sz="6" w:space="0" w:color="000000"/>
            </w:tcBorders>
            <w:shd w:val="clear" w:color="auto" w:fill="E0E0E0"/>
            <w:hideMark/>
          </w:tcPr>
          <w:p w14:paraId="7E9BE04F" w14:textId="77777777" w:rsidR="00DB1628" w:rsidRPr="00606CF0" w:rsidRDefault="00DB1628" w:rsidP="00B258B9">
            <w:pPr>
              <w:pStyle w:val="TableParagraph"/>
              <w:keepNext/>
              <w:spacing w:before="64"/>
              <w:jc w:val="center"/>
              <w:rPr>
                <w:b/>
                <w:lang w:val="en-GB"/>
              </w:rPr>
            </w:pPr>
            <w:proofErr w:type="spellStart"/>
            <w:r w:rsidRPr="00606CF0">
              <w:rPr>
                <w:b/>
                <w:lang w:val="en-GB"/>
              </w:rPr>
              <w:t>Følsom</w:t>
            </w:r>
            <w:proofErr w:type="spellEnd"/>
          </w:p>
          <w:p w14:paraId="3CF92837" w14:textId="77777777" w:rsidR="00DB1628" w:rsidRPr="00606CF0" w:rsidRDefault="00DB1628" w:rsidP="00B258B9">
            <w:pPr>
              <w:keepNext/>
              <w:kinsoku w:val="0"/>
              <w:overflowPunct w:val="0"/>
              <w:spacing w:line="228" w:lineRule="exact"/>
              <w:ind w:hanging="4"/>
              <w:jc w:val="center"/>
              <w:rPr>
                <w:b/>
                <w:bCs/>
                <w:w w:val="105"/>
                <w:sz w:val="24"/>
                <w:szCs w:val="24"/>
                <w:lang w:val="en-GB"/>
              </w:rPr>
            </w:pPr>
            <w:r w:rsidRPr="00606CF0">
              <w:rPr>
                <w:b/>
                <w:bCs/>
                <w:sz w:val="24"/>
                <w:szCs w:val="24"/>
                <w:lang w:val="en-GB"/>
              </w:rPr>
              <w:t>≤</w:t>
            </w:r>
            <w:r w:rsidRPr="00606CF0">
              <w:rPr>
                <w:sz w:val="24"/>
                <w:szCs w:val="24"/>
                <w:lang w:val="en-GB"/>
              </w:rPr>
              <w:t> mg/l</w:t>
            </w:r>
          </w:p>
        </w:tc>
        <w:tc>
          <w:tcPr>
            <w:tcW w:w="1549" w:type="pct"/>
            <w:tcBorders>
              <w:top w:val="single" w:sz="6" w:space="0" w:color="000000"/>
              <w:left w:val="single" w:sz="6" w:space="0" w:color="000000"/>
              <w:bottom w:val="single" w:sz="6" w:space="0" w:color="000000"/>
              <w:right w:val="single" w:sz="6" w:space="0" w:color="000000"/>
            </w:tcBorders>
            <w:shd w:val="clear" w:color="auto" w:fill="E0E0E0"/>
            <w:hideMark/>
          </w:tcPr>
          <w:p w14:paraId="3D88A703" w14:textId="77777777" w:rsidR="00DB1628" w:rsidRPr="00606CF0" w:rsidRDefault="00DB1628" w:rsidP="00B258B9">
            <w:pPr>
              <w:pStyle w:val="TableParagraph"/>
              <w:keepNext/>
              <w:spacing w:before="64"/>
              <w:jc w:val="center"/>
              <w:rPr>
                <w:b/>
                <w:lang w:val="en-GB"/>
              </w:rPr>
            </w:pPr>
            <w:proofErr w:type="spellStart"/>
            <w:r w:rsidRPr="00606CF0">
              <w:rPr>
                <w:b/>
                <w:lang w:val="en-GB"/>
              </w:rPr>
              <w:t>Resistent</w:t>
            </w:r>
            <w:proofErr w:type="spellEnd"/>
          </w:p>
          <w:p w14:paraId="3E7C008C" w14:textId="77777777" w:rsidR="00DB1628" w:rsidRPr="00606CF0" w:rsidRDefault="00DB1628" w:rsidP="00B258B9">
            <w:pPr>
              <w:keepNext/>
              <w:kinsoku w:val="0"/>
              <w:overflowPunct w:val="0"/>
              <w:spacing w:line="228" w:lineRule="exact"/>
              <w:ind w:left="-1"/>
              <w:jc w:val="center"/>
              <w:rPr>
                <w:b/>
                <w:bCs/>
                <w:w w:val="105"/>
                <w:sz w:val="24"/>
                <w:szCs w:val="24"/>
                <w:lang w:val="en-GB"/>
              </w:rPr>
            </w:pPr>
            <w:r w:rsidRPr="00606CF0">
              <w:rPr>
                <w:sz w:val="24"/>
                <w:szCs w:val="24"/>
                <w:lang w:val="en-GB"/>
              </w:rPr>
              <w:t>&gt; mg/l</w:t>
            </w:r>
          </w:p>
        </w:tc>
      </w:tr>
      <w:tr w:rsidR="00DB1628" w:rsidRPr="00606CF0" w14:paraId="37E75295" w14:textId="77777777" w:rsidTr="007B2912">
        <w:trPr>
          <w:trHeight w:val="428"/>
        </w:trPr>
        <w:tc>
          <w:tcPr>
            <w:tcW w:w="2174" w:type="pct"/>
            <w:tcBorders>
              <w:top w:val="single" w:sz="6" w:space="0" w:color="000000"/>
              <w:left w:val="single" w:sz="6" w:space="0" w:color="000000"/>
              <w:bottom w:val="single" w:sz="6" w:space="0" w:color="000000"/>
              <w:right w:val="single" w:sz="6" w:space="0" w:color="000000"/>
            </w:tcBorders>
            <w:hideMark/>
          </w:tcPr>
          <w:p w14:paraId="15687E2C" w14:textId="77777777" w:rsidR="00DB1628" w:rsidRPr="00606CF0" w:rsidRDefault="00DB1628">
            <w:pPr>
              <w:pStyle w:val="TableParagraph"/>
              <w:ind w:left="102"/>
              <w:rPr>
                <w:bCs/>
                <w:i/>
                <w:lang w:val="en-GB"/>
              </w:rPr>
            </w:pPr>
            <w:r w:rsidRPr="00606CF0">
              <w:rPr>
                <w:bCs/>
                <w:i/>
                <w:iCs/>
                <w:lang w:val="en-GB"/>
              </w:rPr>
              <w:t>Staphylococcus</w:t>
            </w:r>
            <w:r w:rsidRPr="00606CF0">
              <w:rPr>
                <w:bCs/>
                <w:i/>
                <w:lang w:val="en-GB"/>
              </w:rPr>
              <w:t xml:space="preserve"> aureus</w:t>
            </w:r>
            <w:r w:rsidRPr="00606CF0">
              <w:rPr>
                <w:bCs/>
                <w:iCs/>
                <w:lang w:val="pl-PL"/>
              </w:rPr>
              <w:t>*</w:t>
            </w:r>
          </w:p>
        </w:tc>
        <w:tc>
          <w:tcPr>
            <w:tcW w:w="1277" w:type="pct"/>
            <w:tcBorders>
              <w:top w:val="single" w:sz="6" w:space="0" w:color="000000"/>
              <w:left w:val="single" w:sz="6" w:space="0" w:color="000000"/>
              <w:bottom w:val="single" w:sz="6" w:space="0" w:color="000000"/>
              <w:right w:val="single" w:sz="6" w:space="0" w:color="000000"/>
            </w:tcBorders>
            <w:hideMark/>
          </w:tcPr>
          <w:p w14:paraId="64BD0A91" w14:textId="77777777" w:rsidR="00DB1628" w:rsidRPr="00606CF0" w:rsidRDefault="00DB1628">
            <w:pPr>
              <w:pStyle w:val="TableParagraph"/>
              <w:ind w:left="102"/>
              <w:rPr>
                <w:vertAlign w:val="superscript"/>
                <w:lang w:val="en-GB"/>
              </w:rPr>
            </w:pPr>
            <w:r w:rsidRPr="00606CF0">
              <w:rPr>
                <w:lang w:val="en-GB"/>
              </w:rPr>
              <w:t>≤ 0,125 mg/l</w:t>
            </w:r>
          </w:p>
        </w:tc>
        <w:tc>
          <w:tcPr>
            <w:tcW w:w="1549" w:type="pct"/>
            <w:tcBorders>
              <w:top w:val="single" w:sz="6" w:space="0" w:color="000000"/>
              <w:left w:val="single" w:sz="6" w:space="0" w:color="000000"/>
              <w:bottom w:val="single" w:sz="6" w:space="0" w:color="000000"/>
              <w:right w:val="single" w:sz="6" w:space="0" w:color="000000"/>
            </w:tcBorders>
            <w:hideMark/>
          </w:tcPr>
          <w:p w14:paraId="434B3970" w14:textId="77777777" w:rsidR="00DB1628" w:rsidRPr="00606CF0" w:rsidRDefault="00DB1628">
            <w:pPr>
              <w:pStyle w:val="TableParagraph"/>
              <w:ind w:left="102"/>
              <w:rPr>
                <w:vertAlign w:val="superscript"/>
                <w:lang w:val="en-GB"/>
              </w:rPr>
            </w:pPr>
            <w:r w:rsidRPr="00606CF0">
              <w:rPr>
                <w:lang w:val="en-GB"/>
              </w:rPr>
              <w:t>&gt; 0,125 mg/l</w:t>
            </w:r>
          </w:p>
        </w:tc>
      </w:tr>
      <w:tr w:rsidR="00DB1628" w:rsidRPr="00606CF0" w14:paraId="7F528E8E" w14:textId="77777777" w:rsidTr="007B2912">
        <w:trPr>
          <w:trHeight w:val="499"/>
        </w:trPr>
        <w:tc>
          <w:tcPr>
            <w:tcW w:w="2174" w:type="pct"/>
            <w:tcBorders>
              <w:top w:val="single" w:sz="6" w:space="0" w:color="000000"/>
              <w:left w:val="single" w:sz="6" w:space="0" w:color="000000"/>
              <w:bottom w:val="single" w:sz="6" w:space="0" w:color="000000"/>
              <w:right w:val="single" w:sz="6" w:space="0" w:color="000000"/>
            </w:tcBorders>
            <w:hideMark/>
          </w:tcPr>
          <w:p w14:paraId="4057F040" w14:textId="77777777" w:rsidR="00DB1628" w:rsidRPr="00606CF0" w:rsidRDefault="00DB1628">
            <w:pPr>
              <w:pStyle w:val="TableParagraph"/>
              <w:ind w:left="102"/>
              <w:rPr>
                <w:bCs/>
                <w:i/>
                <w:iCs/>
                <w:lang w:val="en-GB"/>
              </w:rPr>
            </w:pPr>
            <w:r w:rsidRPr="00606CF0">
              <w:rPr>
                <w:bCs/>
                <w:i/>
                <w:iCs/>
                <w:lang w:val="en-GB"/>
              </w:rPr>
              <w:t>Staphylococcus</w:t>
            </w:r>
            <w:r w:rsidRPr="00606CF0">
              <w:rPr>
                <w:bCs/>
                <w:i/>
                <w:lang w:val="en-GB"/>
              </w:rPr>
              <w:t xml:space="preserve"> </w:t>
            </w:r>
            <w:proofErr w:type="spellStart"/>
            <w:r w:rsidRPr="00606CF0">
              <w:rPr>
                <w:bCs/>
                <w:i/>
                <w:lang w:val="en-GB"/>
              </w:rPr>
              <w:t>lugdunensis</w:t>
            </w:r>
            <w:proofErr w:type="spellEnd"/>
          </w:p>
        </w:tc>
        <w:tc>
          <w:tcPr>
            <w:tcW w:w="1277" w:type="pct"/>
            <w:tcBorders>
              <w:top w:val="single" w:sz="6" w:space="0" w:color="000000"/>
              <w:left w:val="single" w:sz="6" w:space="0" w:color="000000"/>
              <w:bottom w:val="single" w:sz="6" w:space="0" w:color="000000"/>
              <w:right w:val="single" w:sz="6" w:space="0" w:color="000000"/>
            </w:tcBorders>
            <w:hideMark/>
          </w:tcPr>
          <w:p w14:paraId="08A8A417" w14:textId="77777777" w:rsidR="00DB1628" w:rsidRPr="00606CF0" w:rsidRDefault="00DB1628">
            <w:pPr>
              <w:pStyle w:val="TableParagraph"/>
              <w:ind w:left="102"/>
              <w:rPr>
                <w:lang w:val="en-GB"/>
              </w:rPr>
            </w:pPr>
            <w:r w:rsidRPr="00606CF0">
              <w:rPr>
                <w:lang w:val="en-GB"/>
              </w:rPr>
              <w:t>≤ 0,125 mg/l</w:t>
            </w:r>
          </w:p>
        </w:tc>
        <w:tc>
          <w:tcPr>
            <w:tcW w:w="1549" w:type="pct"/>
            <w:tcBorders>
              <w:top w:val="single" w:sz="6" w:space="0" w:color="000000"/>
              <w:left w:val="single" w:sz="6" w:space="0" w:color="000000"/>
              <w:bottom w:val="single" w:sz="6" w:space="0" w:color="000000"/>
              <w:right w:val="single" w:sz="6" w:space="0" w:color="000000"/>
            </w:tcBorders>
            <w:hideMark/>
          </w:tcPr>
          <w:p w14:paraId="48ABBBDB" w14:textId="77777777" w:rsidR="00DB1628" w:rsidRPr="00606CF0" w:rsidRDefault="00DB1628">
            <w:pPr>
              <w:pStyle w:val="TableParagraph"/>
              <w:ind w:left="102"/>
              <w:rPr>
                <w:lang w:val="en-GB"/>
              </w:rPr>
            </w:pPr>
            <w:r w:rsidRPr="00606CF0">
              <w:rPr>
                <w:lang w:val="en-GB"/>
              </w:rPr>
              <w:t>&gt; 0,125 mg/l</w:t>
            </w:r>
          </w:p>
        </w:tc>
      </w:tr>
      <w:tr w:rsidR="00DB1628" w:rsidRPr="00606CF0" w14:paraId="475E79AB" w14:textId="77777777" w:rsidTr="007B2912">
        <w:trPr>
          <w:trHeight w:val="419"/>
        </w:trPr>
        <w:tc>
          <w:tcPr>
            <w:tcW w:w="2174" w:type="pct"/>
            <w:tcBorders>
              <w:top w:val="single" w:sz="6" w:space="0" w:color="000000"/>
              <w:left w:val="single" w:sz="6" w:space="0" w:color="000000"/>
              <w:bottom w:val="single" w:sz="6" w:space="0" w:color="000000"/>
              <w:right w:val="single" w:sz="6" w:space="0" w:color="000000"/>
            </w:tcBorders>
            <w:hideMark/>
          </w:tcPr>
          <w:p w14:paraId="1D33E12A" w14:textId="77777777" w:rsidR="00DB1628" w:rsidRPr="00606CF0" w:rsidRDefault="00DB1628">
            <w:pPr>
              <w:pStyle w:val="TableParagraph"/>
              <w:ind w:left="102"/>
              <w:rPr>
                <w:bCs/>
                <w:i/>
                <w:iCs/>
                <w:lang w:val="en-GB"/>
              </w:rPr>
            </w:pPr>
            <w:r w:rsidRPr="00606CF0">
              <w:rPr>
                <w:bCs/>
                <w:lang w:val="en-GB"/>
              </w:rPr>
              <w:t xml:space="preserve">Andre </w:t>
            </w:r>
            <w:proofErr w:type="spellStart"/>
            <w:r w:rsidRPr="0085700C">
              <w:rPr>
                <w:bCs/>
                <w:iCs/>
                <w:lang w:val="en-GB"/>
              </w:rPr>
              <w:t>stafylokokker</w:t>
            </w:r>
            <w:proofErr w:type="spellEnd"/>
            <w:r w:rsidRPr="00606CF0">
              <w:rPr>
                <w:bCs/>
                <w:iCs/>
                <w:lang w:val="pl-PL"/>
              </w:rPr>
              <w:t>*</w:t>
            </w:r>
          </w:p>
        </w:tc>
        <w:tc>
          <w:tcPr>
            <w:tcW w:w="1277" w:type="pct"/>
            <w:tcBorders>
              <w:top w:val="single" w:sz="6" w:space="0" w:color="000000"/>
              <w:left w:val="single" w:sz="6" w:space="0" w:color="000000"/>
              <w:bottom w:val="single" w:sz="6" w:space="0" w:color="000000"/>
              <w:right w:val="single" w:sz="6" w:space="0" w:color="000000"/>
            </w:tcBorders>
            <w:hideMark/>
          </w:tcPr>
          <w:p w14:paraId="6A51BA3C" w14:textId="77777777" w:rsidR="00DB1628" w:rsidRPr="00606CF0" w:rsidRDefault="00DB1628">
            <w:pPr>
              <w:pStyle w:val="TableParagraph"/>
              <w:ind w:left="102"/>
              <w:rPr>
                <w:vertAlign w:val="superscript"/>
                <w:lang w:val="en-GB"/>
              </w:rPr>
            </w:pPr>
            <w:r w:rsidRPr="00606CF0">
              <w:rPr>
                <w:vertAlign w:val="superscript"/>
                <w:lang w:val="en-GB"/>
              </w:rPr>
              <w:t>-</w:t>
            </w:r>
          </w:p>
        </w:tc>
        <w:tc>
          <w:tcPr>
            <w:tcW w:w="1549" w:type="pct"/>
            <w:tcBorders>
              <w:top w:val="single" w:sz="6" w:space="0" w:color="000000"/>
              <w:left w:val="single" w:sz="6" w:space="0" w:color="000000"/>
              <w:bottom w:val="single" w:sz="6" w:space="0" w:color="000000"/>
              <w:right w:val="single" w:sz="6" w:space="0" w:color="000000"/>
            </w:tcBorders>
            <w:hideMark/>
          </w:tcPr>
          <w:p w14:paraId="5C626F8E" w14:textId="77777777" w:rsidR="00DB1628" w:rsidRPr="00606CF0" w:rsidRDefault="00DB1628">
            <w:pPr>
              <w:pStyle w:val="TableParagraph"/>
              <w:ind w:left="102"/>
              <w:rPr>
                <w:vertAlign w:val="superscript"/>
                <w:lang w:val="en-GB"/>
              </w:rPr>
            </w:pPr>
            <w:r w:rsidRPr="00606CF0">
              <w:rPr>
                <w:vertAlign w:val="superscript"/>
                <w:lang w:val="en-GB"/>
              </w:rPr>
              <w:t>-</w:t>
            </w:r>
          </w:p>
        </w:tc>
      </w:tr>
      <w:tr w:rsidR="00DB1628" w:rsidRPr="00606CF0" w14:paraId="31641A84" w14:textId="77777777" w:rsidTr="007B2912">
        <w:trPr>
          <w:trHeight w:val="18"/>
        </w:trPr>
        <w:tc>
          <w:tcPr>
            <w:tcW w:w="2174" w:type="pct"/>
            <w:tcBorders>
              <w:top w:val="single" w:sz="6" w:space="0" w:color="000000"/>
              <w:left w:val="single" w:sz="6" w:space="0" w:color="000000"/>
              <w:bottom w:val="single" w:sz="6" w:space="0" w:color="000000"/>
              <w:right w:val="single" w:sz="6" w:space="0" w:color="000000"/>
            </w:tcBorders>
            <w:hideMark/>
          </w:tcPr>
          <w:p w14:paraId="0E6E8238" w14:textId="77777777" w:rsidR="00DB1628" w:rsidRPr="00606CF0" w:rsidRDefault="00DB1628">
            <w:pPr>
              <w:pStyle w:val="TableParagraph"/>
              <w:ind w:left="102"/>
              <w:rPr>
                <w:bCs/>
                <w:i/>
                <w:vertAlign w:val="superscript"/>
                <w:lang w:val="en-GB"/>
              </w:rPr>
            </w:pPr>
            <w:r w:rsidRPr="00606CF0">
              <w:rPr>
                <w:bCs/>
                <w:i/>
                <w:iCs/>
                <w:lang w:val="en-GB"/>
              </w:rPr>
              <w:t>Streptococcus</w:t>
            </w:r>
            <w:r w:rsidRPr="00606CF0">
              <w:rPr>
                <w:bCs/>
                <w:i/>
                <w:lang w:val="en-GB"/>
              </w:rPr>
              <w:t xml:space="preserve"> </w:t>
            </w:r>
            <w:r w:rsidRPr="0085700C">
              <w:rPr>
                <w:bCs/>
                <w:lang w:val="en-GB"/>
              </w:rPr>
              <w:t>spp</w:t>
            </w:r>
            <w:r w:rsidRPr="00606CF0">
              <w:rPr>
                <w:bCs/>
                <w:i/>
                <w:lang w:val="en-GB"/>
              </w:rPr>
              <w:t xml:space="preserve">. </w:t>
            </w:r>
            <w:r w:rsidRPr="00606CF0">
              <w:rPr>
                <w:bCs/>
                <w:lang w:val="en-GB"/>
              </w:rPr>
              <w:t>(</w:t>
            </w:r>
            <w:proofErr w:type="spellStart"/>
            <w:r w:rsidRPr="00606CF0">
              <w:rPr>
                <w:bCs/>
                <w:lang w:val="en-GB"/>
              </w:rPr>
              <w:t>gruppe</w:t>
            </w:r>
            <w:proofErr w:type="spellEnd"/>
            <w:r w:rsidRPr="00606CF0">
              <w:rPr>
                <w:bCs/>
                <w:lang w:val="en-GB"/>
              </w:rPr>
              <w:t xml:space="preserve"> A, B, C, G)</w:t>
            </w:r>
            <w:r w:rsidRPr="00606CF0">
              <w:rPr>
                <w:bCs/>
                <w:vertAlign w:val="superscript"/>
                <w:lang w:val="en-GB"/>
              </w:rPr>
              <w:t>1</w:t>
            </w:r>
          </w:p>
        </w:tc>
        <w:tc>
          <w:tcPr>
            <w:tcW w:w="1277" w:type="pct"/>
            <w:tcBorders>
              <w:top w:val="single" w:sz="6" w:space="0" w:color="000000"/>
              <w:left w:val="single" w:sz="6" w:space="0" w:color="000000"/>
              <w:bottom w:val="single" w:sz="6" w:space="0" w:color="000000"/>
              <w:right w:val="single" w:sz="6" w:space="0" w:color="000000"/>
            </w:tcBorders>
            <w:hideMark/>
          </w:tcPr>
          <w:p w14:paraId="408663CD" w14:textId="77777777" w:rsidR="00DB1628" w:rsidRPr="00606CF0" w:rsidRDefault="00DB1628">
            <w:pPr>
              <w:pStyle w:val="TableParagraph"/>
              <w:ind w:left="102"/>
              <w:rPr>
                <w:lang w:val="en-GB"/>
              </w:rPr>
            </w:pPr>
            <w:r w:rsidRPr="00606CF0">
              <w:rPr>
                <w:lang w:val="en-GB"/>
              </w:rPr>
              <w:t>≤ 0,25 mg/l</w:t>
            </w:r>
          </w:p>
        </w:tc>
        <w:tc>
          <w:tcPr>
            <w:tcW w:w="1549" w:type="pct"/>
            <w:tcBorders>
              <w:top w:val="single" w:sz="6" w:space="0" w:color="000000"/>
              <w:left w:val="single" w:sz="6" w:space="0" w:color="000000"/>
              <w:bottom w:val="single" w:sz="6" w:space="0" w:color="000000"/>
              <w:right w:val="single" w:sz="6" w:space="0" w:color="000000"/>
            </w:tcBorders>
            <w:hideMark/>
          </w:tcPr>
          <w:p w14:paraId="7EAF97EB" w14:textId="77777777" w:rsidR="00DB1628" w:rsidRPr="00606CF0" w:rsidRDefault="00DB1628">
            <w:pPr>
              <w:pStyle w:val="TableParagraph"/>
              <w:ind w:left="102"/>
              <w:rPr>
                <w:lang w:val="en-GB"/>
              </w:rPr>
            </w:pPr>
            <w:r w:rsidRPr="00606CF0">
              <w:rPr>
                <w:lang w:val="en-GB"/>
              </w:rPr>
              <w:t>&gt; 0,25 mg/l</w:t>
            </w:r>
          </w:p>
        </w:tc>
      </w:tr>
      <w:tr w:rsidR="00DB1628" w:rsidRPr="00606CF0" w14:paraId="5C461B06" w14:textId="77777777" w:rsidTr="007B2912">
        <w:trPr>
          <w:trHeight w:val="18"/>
        </w:trPr>
        <w:tc>
          <w:tcPr>
            <w:tcW w:w="2174" w:type="pct"/>
            <w:tcBorders>
              <w:top w:val="single" w:sz="6" w:space="0" w:color="000000"/>
              <w:left w:val="single" w:sz="6" w:space="0" w:color="000000"/>
              <w:bottom w:val="single" w:sz="6" w:space="0" w:color="000000"/>
              <w:right w:val="single" w:sz="6" w:space="0" w:color="000000"/>
            </w:tcBorders>
            <w:hideMark/>
          </w:tcPr>
          <w:p w14:paraId="685A1570" w14:textId="77777777" w:rsidR="00DB1628" w:rsidRPr="00606CF0" w:rsidRDefault="00DB1628">
            <w:pPr>
              <w:pStyle w:val="TableParagraph"/>
              <w:ind w:left="102"/>
              <w:rPr>
                <w:bCs/>
                <w:i/>
                <w:iCs/>
                <w:vertAlign w:val="superscript"/>
                <w:lang w:val="en-GB"/>
              </w:rPr>
            </w:pPr>
            <w:r w:rsidRPr="00606CF0">
              <w:rPr>
                <w:bCs/>
                <w:i/>
                <w:iCs/>
                <w:lang w:val="en-GB"/>
              </w:rPr>
              <w:t xml:space="preserve">Streptococcus agalactiae </w:t>
            </w:r>
            <w:r w:rsidRPr="00606CF0">
              <w:rPr>
                <w:bCs/>
                <w:iCs/>
                <w:lang w:val="en-GB"/>
              </w:rPr>
              <w:t>(</w:t>
            </w:r>
            <w:proofErr w:type="spellStart"/>
            <w:r w:rsidRPr="00606CF0">
              <w:rPr>
                <w:bCs/>
                <w:iCs/>
                <w:lang w:val="en-GB"/>
              </w:rPr>
              <w:t>gruppe</w:t>
            </w:r>
            <w:proofErr w:type="spellEnd"/>
            <w:r w:rsidRPr="00606CF0">
              <w:rPr>
                <w:bCs/>
                <w:iCs/>
                <w:lang w:val="en-GB"/>
              </w:rPr>
              <w:t xml:space="preserve"> B)</w:t>
            </w:r>
            <w:r w:rsidRPr="00606CF0">
              <w:rPr>
                <w:bCs/>
                <w:iCs/>
                <w:vertAlign w:val="superscript"/>
                <w:lang w:val="en-GB"/>
              </w:rPr>
              <w:t>2</w:t>
            </w:r>
          </w:p>
        </w:tc>
        <w:tc>
          <w:tcPr>
            <w:tcW w:w="1277" w:type="pct"/>
            <w:tcBorders>
              <w:top w:val="single" w:sz="6" w:space="0" w:color="000000"/>
              <w:left w:val="single" w:sz="6" w:space="0" w:color="000000"/>
              <w:bottom w:val="single" w:sz="6" w:space="0" w:color="000000"/>
              <w:right w:val="single" w:sz="6" w:space="0" w:color="000000"/>
            </w:tcBorders>
            <w:hideMark/>
          </w:tcPr>
          <w:p w14:paraId="62F56192" w14:textId="77777777" w:rsidR="00DB1628" w:rsidRPr="00606CF0" w:rsidRDefault="00DB1628">
            <w:pPr>
              <w:pStyle w:val="TableParagraph"/>
              <w:ind w:left="102"/>
              <w:rPr>
                <w:lang w:val="en-GB"/>
              </w:rPr>
            </w:pPr>
            <w:r w:rsidRPr="00606CF0">
              <w:rPr>
                <w:lang w:val="en-GB"/>
              </w:rPr>
              <w:t>≤ 0,125 mg/l</w:t>
            </w:r>
          </w:p>
        </w:tc>
        <w:tc>
          <w:tcPr>
            <w:tcW w:w="1549" w:type="pct"/>
            <w:tcBorders>
              <w:top w:val="single" w:sz="6" w:space="0" w:color="000000"/>
              <w:left w:val="single" w:sz="6" w:space="0" w:color="000000"/>
              <w:bottom w:val="single" w:sz="6" w:space="0" w:color="000000"/>
              <w:right w:val="single" w:sz="6" w:space="0" w:color="000000"/>
            </w:tcBorders>
            <w:hideMark/>
          </w:tcPr>
          <w:p w14:paraId="7AAD0FDA" w14:textId="77777777" w:rsidR="00DB1628" w:rsidRPr="00606CF0" w:rsidRDefault="00DB1628">
            <w:pPr>
              <w:pStyle w:val="TableParagraph"/>
              <w:ind w:left="102"/>
              <w:rPr>
                <w:lang w:val="en-GB"/>
              </w:rPr>
            </w:pPr>
            <w:r w:rsidRPr="00606CF0">
              <w:rPr>
                <w:lang w:val="en-GB"/>
              </w:rPr>
              <w:t>&gt; 0,125 mg/l</w:t>
            </w:r>
          </w:p>
        </w:tc>
      </w:tr>
      <w:tr w:rsidR="00DB1628" w:rsidRPr="00606CF0" w14:paraId="17E0EEC6" w14:textId="77777777" w:rsidTr="007B2912">
        <w:trPr>
          <w:trHeight w:val="369"/>
        </w:trPr>
        <w:tc>
          <w:tcPr>
            <w:tcW w:w="2174" w:type="pct"/>
            <w:tcBorders>
              <w:top w:val="single" w:sz="6" w:space="0" w:color="000000"/>
              <w:left w:val="single" w:sz="6" w:space="0" w:color="000000"/>
              <w:bottom w:val="single" w:sz="6" w:space="0" w:color="000000"/>
              <w:right w:val="single" w:sz="6" w:space="0" w:color="000000"/>
            </w:tcBorders>
            <w:hideMark/>
          </w:tcPr>
          <w:p w14:paraId="0887A6B3" w14:textId="77777777" w:rsidR="00DB1628" w:rsidRPr="00606CF0" w:rsidRDefault="00DB1628">
            <w:pPr>
              <w:pStyle w:val="TableParagraph"/>
              <w:ind w:left="102"/>
              <w:rPr>
                <w:bCs/>
                <w:vertAlign w:val="superscript"/>
                <w:lang w:val="en-GB"/>
              </w:rPr>
            </w:pPr>
            <w:r w:rsidRPr="00606CF0">
              <w:rPr>
                <w:bCs/>
                <w:i/>
                <w:iCs/>
                <w:lang w:val="en-GB"/>
              </w:rPr>
              <w:t>Streptococcus pneumoniae</w:t>
            </w:r>
            <w:r w:rsidRPr="00606CF0">
              <w:rPr>
                <w:bCs/>
                <w:vertAlign w:val="superscript"/>
                <w:lang w:val="en-GB"/>
              </w:rPr>
              <w:t>1</w:t>
            </w:r>
          </w:p>
        </w:tc>
        <w:tc>
          <w:tcPr>
            <w:tcW w:w="1277" w:type="pct"/>
            <w:tcBorders>
              <w:top w:val="single" w:sz="6" w:space="0" w:color="000000"/>
              <w:left w:val="single" w:sz="6" w:space="0" w:color="000000"/>
              <w:bottom w:val="single" w:sz="6" w:space="0" w:color="000000"/>
              <w:right w:val="single" w:sz="6" w:space="0" w:color="000000"/>
            </w:tcBorders>
            <w:hideMark/>
          </w:tcPr>
          <w:p w14:paraId="5712DB9F" w14:textId="77777777" w:rsidR="00DB1628" w:rsidRPr="00606CF0" w:rsidRDefault="00DB1628">
            <w:pPr>
              <w:pStyle w:val="TableParagraph"/>
              <w:ind w:left="102"/>
              <w:rPr>
                <w:lang w:val="en-GB"/>
              </w:rPr>
            </w:pPr>
            <w:r w:rsidRPr="00606CF0">
              <w:rPr>
                <w:lang w:val="en-GB"/>
              </w:rPr>
              <w:t>≤ 0,06 mg/l</w:t>
            </w:r>
          </w:p>
        </w:tc>
        <w:tc>
          <w:tcPr>
            <w:tcW w:w="1549" w:type="pct"/>
            <w:tcBorders>
              <w:top w:val="single" w:sz="6" w:space="0" w:color="000000"/>
              <w:left w:val="single" w:sz="6" w:space="0" w:color="000000"/>
              <w:bottom w:val="single" w:sz="6" w:space="0" w:color="000000"/>
              <w:right w:val="single" w:sz="6" w:space="0" w:color="000000"/>
            </w:tcBorders>
            <w:hideMark/>
          </w:tcPr>
          <w:p w14:paraId="09803E41" w14:textId="77777777" w:rsidR="00DB1628" w:rsidRPr="00606CF0" w:rsidRDefault="00DB1628">
            <w:pPr>
              <w:pStyle w:val="TableParagraph"/>
              <w:ind w:left="102"/>
              <w:rPr>
                <w:lang w:val="en-GB"/>
              </w:rPr>
            </w:pPr>
            <w:r w:rsidRPr="00606CF0">
              <w:rPr>
                <w:lang w:val="en-GB"/>
              </w:rPr>
              <w:t>&gt; 2 mg/l</w:t>
            </w:r>
          </w:p>
        </w:tc>
      </w:tr>
      <w:tr w:rsidR="00DB1628" w:rsidRPr="00606CF0" w14:paraId="590AE784" w14:textId="77777777" w:rsidTr="007B2912">
        <w:trPr>
          <w:trHeight w:val="403"/>
        </w:trPr>
        <w:tc>
          <w:tcPr>
            <w:tcW w:w="2174" w:type="pct"/>
            <w:tcBorders>
              <w:top w:val="single" w:sz="6" w:space="0" w:color="000000"/>
              <w:left w:val="single" w:sz="6" w:space="0" w:color="000000"/>
              <w:bottom w:val="single" w:sz="6" w:space="0" w:color="000000"/>
              <w:right w:val="single" w:sz="6" w:space="0" w:color="000000"/>
            </w:tcBorders>
            <w:hideMark/>
          </w:tcPr>
          <w:p w14:paraId="2B34ED62" w14:textId="77777777" w:rsidR="00DB1628" w:rsidRPr="00606CF0" w:rsidRDefault="00DB1628">
            <w:pPr>
              <w:pStyle w:val="TableParagraph"/>
              <w:ind w:left="102"/>
              <w:rPr>
                <w:bCs/>
                <w:vertAlign w:val="superscript"/>
                <w:lang w:val="en-GB"/>
              </w:rPr>
            </w:pPr>
            <w:r w:rsidRPr="00606CF0">
              <w:rPr>
                <w:bCs/>
                <w:i/>
                <w:iCs/>
                <w:lang w:val="en-GB"/>
              </w:rPr>
              <w:t>Streptococcus pneumoniae</w:t>
            </w:r>
            <w:r w:rsidRPr="00606CF0">
              <w:rPr>
                <w:bCs/>
                <w:vertAlign w:val="superscript"/>
                <w:lang w:val="en-GB"/>
              </w:rPr>
              <w:t>2</w:t>
            </w:r>
          </w:p>
        </w:tc>
        <w:tc>
          <w:tcPr>
            <w:tcW w:w="1277" w:type="pct"/>
            <w:tcBorders>
              <w:top w:val="single" w:sz="6" w:space="0" w:color="000000"/>
              <w:left w:val="single" w:sz="6" w:space="0" w:color="000000"/>
              <w:bottom w:val="single" w:sz="6" w:space="0" w:color="000000"/>
              <w:right w:val="single" w:sz="6" w:space="0" w:color="000000"/>
            </w:tcBorders>
            <w:hideMark/>
          </w:tcPr>
          <w:p w14:paraId="28839F12" w14:textId="77777777" w:rsidR="00DB1628" w:rsidRPr="00606CF0" w:rsidRDefault="00DB1628">
            <w:pPr>
              <w:pStyle w:val="TableParagraph"/>
              <w:ind w:left="102"/>
              <w:rPr>
                <w:lang w:val="en-GB"/>
              </w:rPr>
            </w:pPr>
            <w:r w:rsidRPr="00606CF0">
              <w:rPr>
                <w:lang w:val="en-GB"/>
              </w:rPr>
              <w:t>≤ 0,06 mg/l</w:t>
            </w:r>
          </w:p>
        </w:tc>
        <w:tc>
          <w:tcPr>
            <w:tcW w:w="1549" w:type="pct"/>
            <w:tcBorders>
              <w:top w:val="single" w:sz="6" w:space="0" w:color="000000"/>
              <w:left w:val="single" w:sz="6" w:space="0" w:color="000000"/>
              <w:bottom w:val="single" w:sz="6" w:space="0" w:color="000000"/>
              <w:right w:val="single" w:sz="6" w:space="0" w:color="000000"/>
            </w:tcBorders>
            <w:hideMark/>
          </w:tcPr>
          <w:p w14:paraId="5C7A408A" w14:textId="77777777" w:rsidR="00DB1628" w:rsidRPr="00606CF0" w:rsidRDefault="00DB1628">
            <w:pPr>
              <w:pStyle w:val="TableParagraph"/>
              <w:ind w:left="102"/>
              <w:rPr>
                <w:lang w:val="en-GB"/>
              </w:rPr>
            </w:pPr>
            <w:r w:rsidRPr="00606CF0">
              <w:rPr>
                <w:lang w:val="en-GB"/>
              </w:rPr>
              <w:t>&gt; 0,06 mg/l</w:t>
            </w:r>
          </w:p>
        </w:tc>
      </w:tr>
      <w:tr w:rsidR="00DB1628" w:rsidRPr="00606CF0" w14:paraId="62B8EE54" w14:textId="77777777" w:rsidTr="007B2912">
        <w:trPr>
          <w:trHeight w:val="408"/>
        </w:trPr>
        <w:tc>
          <w:tcPr>
            <w:tcW w:w="2174" w:type="pct"/>
            <w:tcBorders>
              <w:top w:val="single" w:sz="6" w:space="0" w:color="000000"/>
              <w:left w:val="single" w:sz="6" w:space="0" w:color="000000"/>
              <w:bottom w:val="single" w:sz="6" w:space="0" w:color="000000"/>
              <w:right w:val="single" w:sz="6" w:space="0" w:color="000000"/>
            </w:tcBorders>
            <w:hideMark/>
          </w:tcPr>
          <w:p w14:paraId="126096B0" w14:textId="77777777" w:rsidR="00DB1628" w:rsidRPr="00606CF0" w:rsidRDefault="00DB1628">
            <w:pPr>
              <w:pStyle w:val="TableParagraph"/>
              <w:rPr>
                <w:bCs/>
                <w:i/>
                <w:lang w:val="en-GB"/>
              </w:rPr>
            </w:pPr>
            <w:proofErr w:type="spellStart"/>
            <w:r w:rsidRPr="00606CF0">
              <w:rPr>
                <w:bCs/>
                <w:i/>
                <w:iCs/>
                <w:lang w:val="en-GB"/>
              </w:rPr>
              <w:t>Streptokokker</w:t>
            </w:r>
            <w:proofErr w:type="spellEnd"/>
            <w:r w:rsidRPr="00606CF0">
              <w:rPr>
                <w:bCs/>
                <w:lang w:val="en-GB"/>
              </w:rPr>
              <w:t xml:space="preserve"> </w:t>
            </w:r>
            <w:proofErr w:type="spellStart"/>
            <w:r w:rsidRPr="00606CF0">
              <w:rPr>
                <w:bCs/>
                <w:lang w:val="en-GB"/>
              </w:rPr>
              <w:t>i</w:t>
            </w:r>
            <w:proofErr w:type="spellEnd"/>
            <w:r w:rsidRPr="00606CF0">
              <w:rPr>
                <w:bCs/>
                <w:lang w:val="en-GB"/>
              </w:rPr>
              <w:t xml:space="preserve"> </w:t>
            </w:r>
            <w:proofErr w:type="spellStart"/>
            <w:r w:rsidRPr="00606CF0">
              <w:rPr>
                <w:bCs/>
                <w:i/>
                <w:iCs/>
                <w:lang w:val="en-GB"/>
              </w:rPr>
              <w:t>Viridans</w:t>
            </w:r>
            <w:r w:rsidRPr="00606CF0">
              <w:rPr>
                <w:bCs/>
                <w:lang w:val="en-GB"/>
              </w:rPr>
              <w:t>-gruppen</w:t>
            </w:r>
            <w:proofErr w:type="spellEnd"/>
          </w:p>
        </w:tc>
        <w:tc>
          <w:tcPr>
            <w:tcW w:w="1277" w:type="pct"/>
            <w:tcBorders>
              <w:top w:val="single" w:sz="6" w:space="0" w:color="000000"/>
              <w:left w:val="single" w:sz="6" w:space="0" w:color="000000"/>
              <w:bottom w:val="single" w:sz="6" w:space="0" w:color="000000"/>
              <w:right w:val="single" w:sz="6" w:space="0" w:color="000000"/>
            </w:tcBorders>
            <w:hideMark/>
          </w:tcPr>
          <w:p w14:paraId="1E818859" w14:textId="77777777" w:rsidR="00DB1628" w:rsidRPr="00606CF0" w:rsidRDefault="00DB1628">
            <w:pPr>
              <w:pStyle w:val="TableParagraph"/>
              <w:ind w:left="102"/>
              <w:rPr>
                <w:lang w:val="en-GB"/>
              </w:rPr>
            </w:pPr>
            <w:r w:rsidRPr="00606CF0">
              <w:rPr>
                <w:lang w:val="en-GB"/>
              </w:rPr>
              <w:t>≤ 0,25 mg/l</w:t>
            </w:r>
          </w:p>
        </w:tc>
        <w:tc>
          <w:tcPr>
            <w:tcW w:w="1549" w:type="pct"/>
            <w:tcBorders>
              <w:top w:val="single" w:sz="6" w:space="0" w:color="000000"/>
              <w:left w:val="single" w:sz="6" w:space="0" w:color="000000"/>
              <w:bottom w:val="single" w:sz="6" w:space="0" w:color="000000"/>
              <w:right w:val="single" w:sz="6" w:space="0" w:color="000000"/>
            </w:tcBorders>
            <w:hideMark/>
          </w:tcPr>
          <w:p w14:paraId="6A5890D3" w14:textId="77777777" w:rsidR="00DB1628" w:rsidRPr="00606CF0" w:rsidRDefault="00DB1628">
            <w:pPr>
              <w:pStyle w:val="TableParagraph"/>
              <w:ind w:left="102"/>
              <w:rPr>
                <w:lang w:val="en-GB"/>
              </w:rPr>
            </w:pPr>
            <w:r w:rsidRPr="00606CF0">
              <w:rPr>
                <w:lang w:val="en-GB"/>
              </w:rPr>
              <w:t>&gt; 2 mg/l</w:t>
            </w:r>
          </w:p>
        </w:tc>
      </w:tr>
      <w:tr w:rsidR="00DB1628" w:rsidRPr="00606CF0" w14:paraId="43E948A6" w14:textId="77777777" w:rsidTr="007B2912">
        <w:trPr>
          <w:trHeight w:val="355"/>
        </w:trPr>
        <w:tc>
          <w:tcPr>
            <w:tcW w:w="2174" w:type="pct"/>
            <w:tcBorders>
              <w:top w:val="single" w:sz="6" w:space="0" w:color="000000"/>
              <w:left w:val="single" w:sz="6" w:space="0" w:color="000000"/>
              <w:bottom w:val="single" w:sz="6" w:space="0" w:color="000000"/>
              <w:right w:val="single" w:sz="6" w:space="0" w:color="000000"/>
            </w:tcBorders>
            <w:hideMark/>
          </w:tcPr>
          <w:p w14:paraId="6B9BFA22" w14:textId="77777777" w:rsidR="00DB1628" w:rsidRPr="00606CF0" w:rsidRDefault="00DB1628">
            <w:pPr>
              <w:pStyle w:val="TableParagraph"/>
              <w:ind w:left="102"/>
              <w:rPr>
                <w:bCs/>
                <w:vertAlign w:val="superscript"/>
                <w:lang w:val="en-GB"/>
              </w:rPr>
            </w:pPr>
            <w:r w:rsidRPr="00606CF0">
              <w:rPr>
                <w:bCs/>
                <w:i/>
                <w:iCs/>
                <w:lang w:val="en-GB"/>
              </w:rPr>
              <w:t>Neisseria meningitidis</w:t>
            </w:r>
            <w:r w:rsidRPr="00606CF0">
              <w:rPr>
                <w:bCs/>
                <w:vertAlign w:val="superscript"/>
                <w:lang w:val="en-GB"/>
              </w:rPr>
              <w:t>3</w:t>
            </w:r>
          </w:p>
        </w:tc>
        <w:tc>
          <w:tcPr>
            <w:tcW w:w="1277" w:type="pct"/>
            <w:tcBorders>
              <w:top w:val="single" w:sz="6" w:space="0" w:color="000000"/>
              <w:left w:val="single" w:sz="6" w:space="0" w:color="000000"/>
              <w:bottom w:val="single" w:sz="6" w:space="0" w:color="000000"/>
              <w:right w:val="single" w:sz="6" w:space="0" w:color="000000"/>
            </w:tcBorders>
            <w:hideMark/>
          </w:tcPr>
          <w:p w14:paraId="59D7E096" w14:textId="77777777" w:rsidR="00DB1628" w:rsidRPr="00606CF0" w:rsidRDefault="00DB1628">
            <w:pPr>
              <w:pStyle w:val="TableParagraph"/>
              <w:ind w:left="102"/>
              <w:rPr>
                <w:lang w:val="en-GB"/>
              </w:rPr>
            </w:pPr>
            <w:r w:rsidRPr="00606CF0">
              <w:rPr>
                <w:lang w:val="en-GB"/>
              </w:rPr>
              <w:t>≤ 0,25 mg/l</w:t>
            </w:r>
          </w:p>
        </w:tc>
        <w:tc>
          <w:tcPr>
            <w:tcW w:w="1549" w:type="pct"/>
            <w:tcBorders>
              <w:top w:val="single" w:sz="6" w:space="0" w:color="000000"/>
              <w:left w:val="single" w:sz="6" w:space="0" w:color="000000"/>
              <w:bottom w:val="single" w:sz="6" w:space="0" w:color="000000"/>
              <w:right w:val="single" w:sz="6" w:space="0" w:color="000000"/>
            </w:tcBorders>
            <w:hideMark/>
          </w:tcPr>
          <w:p w14:paraId="49CFCC9C" w14:textId="77777777" w:rsidR="00DB1628" w:rsidRPr="00606CF0" w:rsidRDefault="00DB1628">
            <w:pPr>
              <w:pStyle w:val="TableParagraph"/>
              <w:ind w:left="102"/>
              <w:rPr>
                <w:lang w:val="en-GB"/>
              </w:rPr>
            </w:pPr>
            <w:r w:rsidRPr="00606CF0">
              <w:rPr>
                <w:lang w:val="en-GB"/>
              </w:rPr>
              <w:t>&gt; 0,25 mg/l</w:t>
            </w:r>
          </w:p>
        </w:tc>
      </w:tr>
      <w:tr w:rsidR="00DB1628" w:rsidRPr="00606CF0" w14:paraId="03470163" w14:textId="77777777" w:rsidTr="007B2912">
        <w:trPr>
          <w:trHeight w:val="321"/>
        </w:trPr>
        <w:tc>
          <w:tcPr>
            <w:tcW w:w="2174" w:type="pct"/>
            <w:tcBorders>
              <w:top w:val="single" w:sz="6" w:space="0" w:color="000000"/>
              <w:left w:val="single" w:sz="6" w:space="0" w:color="000000"/>
              <w:bottom w:val="single" w:sz="6" w:space="0" w:color="000000"/>
              <w:right w:val="single" w:sz="6" w:space="0" w:color="000000"/>
            </w:tcBorders>
            <w:hideMark/>
          </w:tcPr>
          <w:p w14:paraId="6794E92F" w14:textId="77777777" w:rsidR="00DB1628" w:rsidRPr="00606CF0" w:rsidRDefault="00DB1628">
            <w:pPr>
              <w:pStyle w:val="TableParagraph"/>
              <w:ind w:left="102"/>
              <w:rPr>
                <w:bCs/>
                <w:i/>
                <w:iCs/>
                <w:lang w:val="en-GB"/>
              </w:rPr>
            </w:pPr>
            <w:r w:rsidRPr="00606CF0">
              <w:rPr>
                <w:bCs/>
                <w:i/>
                <w:iCs/>
                <w:lang w:val="en-GB"/>
              </w:rPr>
              <w:t>Neisseria gonorrhoeae</w:t>
            </w:r>
          </w:p>
        </w:tc>
        <w:tc>
          <w:tcPr>
            <w:tcW w:w="1277" w:type="pct"/>
            <w:tcBorders>
              <w:top w:val="single" w:sz="6" w:space="0" w:color="000000"/>
              <w:left w:val="single" w:sz="6" w:space="0" w:color="000000"/>
              <w:bottom w:val="single" w:sz="6" w:space="0" w:color="000000"/>
              <w:right w:val="single" w:sz="6" w:space="0" w:color="000000"/>
            </w:tcBorders>
            <w:hideMark/>
          </w:tcPr>
          <w:p w14:paraId="56C2AAF5" w14:textId="77777777" w:rsidR="00DB1628" w:rsidRPr="00606CF0" w:rsidRDefault="00DB1628">
            <w:pPr>
              <w:pStyle w:val="TableParagraph"/>
              <w:ind w:left="102"/>
              <w:rPr>
                <w:lang w:val="en-GB"/>
              </w:rPr>
            </w:pPr>
            <w:r w:rsidRPr="00606CF0">
              <w:rPr>
                <w:lang w:val="en-GB"/>
              </w:rPr>
              <w:t>≤ 0,06 mg/l</w:t>
            </w:r>
          </w:p>
        </w:tc>
        <w:tc>
          <w:tcPr>
            <w:tcW w:w="1549" w:type="pct"/>
            <w:tcBorders>
              <w:top w:val="single" w:sz="6" w:space="0" w:color="000000"/>
              <w:left w:val="single" w:sz="6" w:space="0" w:color="000000"/>
              <w:bottom w:val="single" w:sz="6" w:space="0" w:color="000000"/>
              <w:right w:val="single" w:sz="6" w:space="0" w:color="000000"/>
            </w:tcBorders>
            <w:hideMark/>
          </w:tcPr>
          <w:p w14:paraId="05254EA7" w14:textId="77777777" w:rsidR="00DB1628" w:rsidRPr="00606CF0" w:rsidRDefault="00DB1628">
            <w:pPr>
              <w:pStyle w:val="TableParagraph"/>
              <w:ind w:left="102"/>
              <w:rPr>
                <w:lang w:val="en-GB"/>
              </w:rPr>
            </w:pPr>
            <w:r w:rsidRPr="00606CF0">
              <w:rPr>
                <w:lang w:val="en-GB"/>
              </w:rPr>
              <w:t>&gt; 1 mg/l</w:t>
            </w:r>
          </w:p>
        </w:tc>
      </w:tr>
      <w:tr w:rsidR="00DB1628" w:rsidRPr="00606CF0" w14:paraId="5DA41C82" w14:textId="77777777" w:rsidTr="007B2912">
        <w:trPr>
          <w:trHeight w:val="433"/>
        </w:trPr>
        <w:tc>
          <w:tcPr>
            <w:tcW w:w="2174" w:type="pct"/>
            <w:tcBorders>
              <w:top w:val="single" w:sz="6" w:space="0" w:color="000000"/>
              <w:left w:val="single" w:sz="6" w:space="0" w:color="000000"/>
              <w:bottom w:val="single" w:sz="6" w:space="0" w:color="000000"/>
              <w:right w:val="single" w:sz="6" w:space="0" w:color="000000"/>
            </w:tcBorders>
            <w:hideMark/>
          </w:tcPr>
          <w:p w14:paraId="560CE697" w14:textId="77777777" w:rsidR="00DB1628" w:rsidRPr="00606CF0" w:rsidRDefault="00DB1628">
            <w:pPr>
              <w:pStyle w:val="TableParagraph"/>
              <w:ind w:left="0"/>
              <w:rPr>
                <w:bCs/>
                <w:i/>
                <w:lang w:val="en-GB"/>
              </w:rPr>
            </w:pPr>
            <w:r w:rsidRPr="00606CF0">
              <w:rPr>
                <w:bCs/>
                <w:i/>
                <w:lang w:val="en-GB"/>
              </w:rPr>
              <w:t xml:space="preserve">  </w:t>
            </w:r>
            <w:proofErr w:type="spellStart"/>
            <w:r w:rsidRPr="00606CF0">
              <w:rPr>
                <w:bCs/>
                <w:i/>
                <w:lang w:val="en-GB"/>
              </w:rPr>
              <w:t>Prevotella</w:t>
            </w:r>
            <w:proofErr w:type="spellEnd"/>
            <w:r w:rsidRPr="00606CF0">
              <w:rPr>
                <w:bCs/>
                <w:i/>
                <w:lang w:val="en-GB"/>
              </w:rPr>
              <w:t xml:space="preserve"> </w:t>
            </w:r>
            <w:r w:rsidRPr="0085700C">
              <w:rPr>
                <w:bCs/>
                <w:lang w:val="en-GB"/>
              </w:rPr>
              <w:t>spp</w:t>
            </w:r>
            <w:r w:rsidRPr="00606CF0">
              <w:rPr>
                <w:bCs/>
                <w:i/>
                <w:lang w:val="en-GB"/>
              </w:rPr>
              <w:t>.</w:t>
            </w:r>
          </w:p>
        </w:tc>
        <w:tc>
          <w:tcPr>
            <w:tcW w:w="1277" w:type="pct"/>
            <w:tcBorders>
              <w:top w:val="single" w:sz="6" w:space="0" w:color="000000"/>
              <w:left w:val="single" w:sz="6" w:space="0" w:color="000000"/>
              <w:bottom w:val="single" w:sz="6" w:space="0" w:color="000000"/>
              <w:right w:val="single" w:sz="6" w:space="0" w:color="000000"/>
            </w:tcBorders>
            <w:hideMark/>
          </w:tcPr>
          <w:p w14:paraId="47F70E77" w14:textId="77777777" w:rsidR="00DB1628" w:rsidRPr="00606CF0" w:rsidRDefault="00DB1628">
            <w:pPr>
              <w:pStyle w:val="TableParagraph"/>
              <w:ind w:left="102"/>
              <w:rPr>
                <w:lang w:val="en-GB"/>
              </w:rPr>
            </w:pPr>
            <w:r w:rsidRPr="00606CF0">
              <w:rPr>
                <w:lang w:val="en-GB"/>
              </w:rPr>
              <w:t>≤ 0,5 mg/l</w:t>
            </w:r>
          </w:p>
        </w:tc>
        <w:tc>
          <w:tcPr>
            <w:tcW w:w="1549" w:type="pct"/>
            <w:tcBorders>
              <w:top w:val="single" w:sz="6" w:space="0" w:color="000000"/>
              <w:left w:val="single" w:sz="6" w:space="0" w:color="000000"/>
              <w:bottom w:val="single" w:sz="6" w:space="0" w:color="000000"/>
              <w:right w:val="single" w:sz="6" w:space="0" w:color="000000"/>
            </w:tcBorders>
            <w:hideMark/>
          </w:tcPr>
          <w:p w14:paraId="6BF2D361" w14:textId="77777777" w:rsidR="00DB1628" w:rsidRPr="00606CF0" w:rsidRDefault="00DB1628">
            <w:pPr>
              <w:pStyle w:val="TableParagraph"/>
              <w:ind w:left="102"/>
              <w:rPr>
                <w:lang w:val="en-GB"/>
              </w:rPr>
            </w:pPr>
            <w:r w:rsidRPr="00606CF0">
              <w:rPr>
                <w:lang w:val="en-GB"/>
              </w:rPr>
              <w:t>&gt; 0,5 mg/l</w:t>
            </w:r>
          </w:p>
        </w:tc>
      </w:tr>
      <w:tr w:rsidR="00DB1628" w:rsidRPr="00606CF0" w14:paraId="21A9DA01" w14:textId="77777777" w:rsidTr="007B2912">
        <w:trPr>
          <w:trHeight w:val="403"/>
        </w:trPr>
        <w:tc>
          <w:tcPr>
            <w:tcW w:w="2174" w:type="pct"/>
            <w:tcBorders>
              <w:top w:val="single" w:sz="6" w:space="0" w:color="000000"/>
              <w:left w:val="single" w:sz="6" w:space="0" w:color="000000"/>
              <w:bottom w:val="single" w:sz="6" w:space="0" w:color="000000"/>
              <w:right w:val="single" w:sz="6" w:space="0" w:color="000000"/>
            </w:tcBorders>
            <w:hideMark/>
          </w:tcPr>
          <w:p w14:paraId="7BE69332" w14:textId="77777777" w:rsidR="00DB1628" w:rsidRPr="00606CF0" w:rsidRDefault="00DB1628">
            <w:pPr>
              <w:pStyle w:val="TableParagraph"/>
              <w:ind w:left="102"/>
              <w:rPr>
                <w:bCs/>
                <w:i/>
                <w:lang w:val="en-GB"/>
              </w:rPr>
            </w:pPr>
            <w:r w:rsidRPr="00606CF0">
              <w:rPr>
                <w:bCs/>
                <w:i/>
                <w:lang w:val="en-GB"/>
              </w:rPr>
              <w:t xml:space="preserve">Fusobacterium </w:t>
            </w:r>
            <w:proofErr w:type="spellStart"/>
            <w:r w:rsidRPr="00606CF0">
              <w:rPr>
                <w:bCs/>
                <w:i/>
                <w:lang w:val="en-GB"/>
              </w:rPr>
              <w:t>necrophorum</w:t>
            </w:r>
            <w:proofErr w:type="spellEnd"/>
          </w:p>
        </w:tc>
        <w:tc>
          <w:tcPr>
            <w:tcW w:w="1277" w:type="pct"/>
            <w:tcBorders>
              <w:top w:val="single" w:sz="6" w:space="0" w:color="000000"/>
              <w:left w:val="single" w:sz="6" w:space="0" w:color="000000"/>
              <w:bottom w:val="single" w:sz="6" w:space="0" w:color="000000"/>
              <w:right w:val="single" w:sz="6" w:space="0" w:color="000000"/>
            </w:tcBorders>
            <w:hideMark/>
          </w:tcPr>
          <w:p w14:paraId="57A9DB8D" w14:textId="77777777" w:rsidR="00DB1628" w:rsidRPr="00606CF0" w:rsidRDefault="00DB1628">
            <w:pPr>
              <w:pStyle w:val="TableParagraph"/>
              <w:ind w:left="102"/>
              <w:rPr>
                <w:lang w:val="en-GB"/>
              </w:rPr>
            </w:pPr>
            <w:r w:rsidRPr="00606CF0">
              <w:rPr>
                <w:lang w:val="en-GB"/>
              </w:rPr>
              <w:t>≤ 0,06 mg/l</w:t>
            </w:r>
          </w:p>
        </w:tc>
        <w:tc>
          <w:tcPr>
            <w:tcW w:w="1549" w:type="pct"/>
            <w:tcBorders>
              <w:top w:val="single" w:sz="6" w:space="0" w:color="000000"/>
              <w:left w:val="single" w:sz="6" w:space="0" w:color="000000"/>
              <w:bottom w:val="single" w:sz="6" w:space="0" w:color="000000"/>
              <w:right w:val="single" w:sz="6" w:space="0" w:color="000000"/>
            </w:tcBorders>
            <w:hideMark/>
          </w:tcPr>
          <w:p w14:paraId="2A5889C3" w14:textId="77777777" w:rsidR="00DB1628" w:rsidRPr="00606CF0" w:rsidRDefault="00DB1628">
            <w:pPr>
              <w:pStyle w:val="TableParagraph"/>
              <w:ind w:left="102"/>
              <w:rPr>
                <w:lang w:val="en-GB"/>
              </w:rPr>
            </w:pPr>
            <w:r w:rsidRPr="00606CF0">
              <w:rPr>
                <w:lang w:val="en-GB"/>
              </w:rPr>
              <w:t>&gt; 0,06 mg/l</w:t>
            </w:r>
          </w:p>
        </w:tc>
      </w:tr>
      <w:tr w:rsidR="00DB1628" w:rsidRPr="00606CF0" w14:paraId="5BFE7A31" w14:textId="77777777" w:rsidTr="007B2912">
        <w:trPr>
          <w:trHeight w:val="433"/>
        </w:trPr>
        <w:tc>
          <w:tcPr>
            <w:tcW w:w="2174" w:type="pct"/>
            <w:tcBorders>
              <w:top w:val="single" w:sz="6" w:space="0" w:color="000000"/>
              <w:left w:val="single" w:sz="6" w:space="0" w:color="000000"/>
              <w:bottom w:val="single" w:sz="6" w:space="0" w:color="000000"/>
              <w:right w:val="single" w:sz="6" w:space="0" w:color="000000"/>
            </w:tcBorders>
            <w:hideMark/>
          </w:tcPr>
          <w:p w14:paraId="0C1D1BE1" w14:textId="77777777" w:rsidR="00DB1628" w:rsidRPr="00606CF0" w:rsidRDefault="00DB1628">
            <w:pPr>
              <w:pStyle w:val="TableParagraph"/>
              <w:ind w:left="102"/>
              <w:rPr>
                <w:bCs/>
                <w:i/>
                <w:lang w:val="en-GB"/>
              </w:rPr>
            </w:pPr>
            <w:r w:rsidRPr="00606CF0">
              <w:rPr>
                <w:bCs/>
                <w:i/>
                <w:lang w:val="en-GB"/>
              </w:rPr>
              <w:t>Clostridium perfringens</w:t>
            </w:r>
          </w:p>
        </w:tc>
        <w:tc>
          <w:tcPr>
            <w:tcW w:w="1277" w:type="pct"/>
            <w:tcBorders>
              <w:top w:val="single" w:sz="6" w:space="0" w:color="000000"/>
              <w:left w:val="single" w:sz="6" w:space="0" w:color="000000"/>
              <w:bottom w:val="single" w:sz="6" w:space="0" w:color="000000"/>
              <w:right w:val="single" w:sz="6" w:space="0" w:color="000000"/>
            </w:tcBorders>
            <w:hideMark/>
          </w:tcPr>
          <w:p w14:paraId="53C32D1A" w14:textId="77777777" w:rsidR="00DB1628" w:rsidRPr="00606CF0" w:rsidRDefault="00DB1628">
            <w:pPr>
              <w:pStyle w:val="TableParagraph"/>
              <w:ind w:left="102"/>
              <w:rPr>
                <w:lang w:val="en-GB"/>
              </w:rPr>
            </w:pPr>
            <w:r w:rsidRPr="00606CF0">
              <w:rPr>
                <w:lang w:val="en-GB"/>
              </w:rPr>
              <w:t>≤ 0,5 mg/l</w:t>
            </w:r>
          </w:p>
        </w:tc>
        <w:tc>
          <w:tcPr>
            <w:tcW w:w="1549" w:type="pct"/>
            <w:tcBorders>
              <w:top w:val="single" w:sz="6" w:space="0" w:color="000000"/>
              <w:left w:val="single" w:sz="6" w:space="0" w:color="000000"/>
              <w:bottom w:val="single" w:sz="6" w:space="0" w:color="000000"/>
              <w:right w:val="single" w:sz="6" w:space="0" w:color="000000"/>
            </w:tcBorders>
            <w:hideMark/>
          </w:tcPr>
          <w:p w14:paraId="01A6184A" w14:textId="77777777" w:rsidR="00DB1628" w:rsidRPr="00606CF0" w:rsidRDefault="00DB1628">
            <w:pPr>
              <w:pStyle w:val="TableParagraph"/>
              <w:ind w:left="102"/>
              <w:rPr>
                <w:lang w:val="en-GB"/>
              </w:rPr>
            </w:pPr>
            <w:r w:rsidRPr="00606CF0">
              <w:rPr>
                <w:lang w:val="en-GB"/>
              </w:rPr>
              <w:t>&gt; 0,5 mg/l</w:t>
            </w:r>
          </w:p>
        </w:tc>
      </w:tr>
      <w:tr w:rsidR="00DB1628" w:rsidRPr="00606CF0" w14:paraId="50A955DC" w14:textId="77777777" w:rsidTr="007B2912">
        <w:trPr>
          <w:trHeight w:val="433"/>
        </w:trPr>
        <w:tc>
          <w:tcPr>
            <w:tcW w:w="2174" w:type="pct"/>
            <w:tcBorders>
              <w:top w:val="single" w:sz="6" w:space="0" w:color="000000"/>
              <w:left w:val="single" w:sz="6" w:space="0" w:color="000000"/>
              <w:bottom w:val="single" w:sz="6" w:space="0" w:color="000000"/>
              <w:right w:val="single" w:sz="6" w:space="0" w:color="000000"/>
            </w:tcBorders>
            <w:hideMark/>
          </w:tcPr>
          <w:p w14:paraId="4CA28331" w14:textId="77777777" w:rsidR="00DB1628" w:rsidRPr="00606CF0" w:rsidRDefault="00DB1628">
            <w:pPr>
              <w:pStyle w:val="TableParagraph"/>
              <w:ind w:left="102"/>
              <w:rPr>
                <w:bCs/>
                <w:i/>
                <w:lang w:val="en-GB"/>
              </w:rPr>
            </w:pPr>
            <w:proofErr w:type="spellStart"/>
            <w:r w:rsidRPr="00606CF0">
              <w:rPr>
                <w:bCs/>
                <w:i/>
                <w:lang w:val="en-GB"/>
              </w:rPr>
              <w:t>Cutibacterium</w:t>
            </w:r>
            <w:proofErr w:type="spellEnd"/>
            <w:r w:rsidRPr="00606CF0">
              <w:rPr>
                <w:bCs/>
                <w:i/>
                <w:lang w:val="en-GB"/>
              </w:rPr>
              <w:t xml:space="preserve"> acnes</w:t>
            </w:r>
          </w:p>
        </w:tc>
        <w:tc>
          <w:tcPr>
            <w:tcW w:w="1277" w:type="pct"/>
            <w:tcBorders>
              <w:top w:val="single" w:sz="6" w:space="0" w:color="000000"/>
              <w:left w:val="single" w:sz="6" w:space="0" w:color="000000"/>
              <w:bottom w:val="single" w:sz="6" w:space="0" w:color="000000"/>
              <w:right w:val="single" w:sz="6" w:space="0" w:color="000000"/>
            </w:tcBorders>
            <w:hideMark/>
          </w:tcPr>
          <w:p w14:paraId="118FC87E" w14:textId="77777777" w:rsidR="00DB1628" w:rsidRPr="00606CF0" w:rsidRDefault="00DB1628">
            <w:pPr>
              <w:pStyle w:val="TableParagraph"/>
              <w:ind w:left="102"/>
              <w:rPr>
                <w:lang w:val="en-GB"/>
              </w:rPr>
            </w:pPr>
            <w:r w:rsidRPr="00606CF0">
              <w:rPr>
                <w:lang w:val="en-GB"/>
              </w:rPr>
              <w:t>≤ 0,06 mg/l</w:t>
            </w:r>
          </w:p>
        </w:tc>
        <w:tc>
          <w:tcPr>
            <w:tcW w:w="1549" w:type="pct"/>
            <w:tcBorders>
              <w:top w:val="single" w:sz="6" w:space="0" w:color="000000"/>
              <w:left w:val="single" w:sz="6" w:space="0" w:color="000000"/>
              <w:bottom w:val="single" w:sz="6" w:space="0" w:color="000000"/>
              <w:right w:val="single" w:sz="6" w:space="0" w:color="000000"/>
            </w:tcBorders>
            <w:hideMark/>
          </w:tcPr>
          <w:p w14:paraId="540B4D82" w14:textId="77777777" w:rsidR="00DB1628" w:rsidRPr="00606CF0" w:rsidRDefault="00DB1628">
            <w:pPr>
              <w:pStyle w:val="TableParagraph"/>
              <w:ind w:left="102"/>
              <w:rPr>
                <w:lang w:val="en-GB"/>
              </w:rPr>
            </w:pPr>
            <w:r w:rsidRPr="00606CF0">
              <w:rPr>
                <w:lang w:val="en-GB"/>
              </w:rPr>
              <w:t>&gt; 0,06 mg/l</w:t>
            </w:r>
          </w:p>
        </w:tc>
      </w:tr>
      <w:tr w:rsidR="00DB1628" w:rsidRPr="00606CF0" w14:paraId="2CED5FF4" w14:textId="77777777" w:rsidTr="007B2912">
        <w:trPr>
          <w:trHeight w:val="433"/>
        </w:trPr>
        <w:tc>
          <w:tcPr>
            <w:tcW w:w="2174" w:type="pct"/>
            <w:tcBorders>
              <w:top w:val="single" w:sz="6" w:space="0" w:color="000000"/>
              <w:left w:val="single" w:sz="6" w:space="0" w:color="000000"/>
              <w:bottom w:val="single" w:sz="6" w:space="0" w:color="000000"/>
              <w:right w:val="single" w:sz="6" w:space="0" w:color="000000"/>
            </w:tcBorders>
            <w:hideMark/>
          </w:tcPr>
          <w:p w14:paraId="0B4FA667" w14:textId="77777777" w:rsidR="00DB1628" w:rsidRPr="00606CF0" w:rsidRDefault="00DB1628">
            <w:pPr>
              <w:pStyle w:val="TableParagraph"/>
              <w:ind w:left="102"/>
              <w:rPr>
                <w:bCs/>
                <w:iCs/>
                <w:vertAlign w:val="superscript"/>
                <w:lang w:val="en-GB"/>
              </w:rPr>
            </w:pPr>
            <w:r w:rsidRPr="00606CF0">
              <w:rPr>
                <w:bCs/>
                <w:i/>
                <w:lang w:val="en-GB"/>
              </w:rPr>
              <w:t>Listeria monocytogenes</w:t>
            </w:r>
            <w:r w:rsidRPr="00606CF0">
              <w:rPr>
                <w:bCs/>
                <w:iCs/>
                <w:vertAlign w:val="superscript"/>
                <w:lang w:val="en-GB"/>
              </w:rPr>
              <w:t>2</w:t>
            </w:r>
          </w:p>
        </w:tc>
        <w:tc>
          <w:tcPr>
            <w:tcW w:w="1277" w:type="pct"/>
            <w:tcBorders>
              <w:top w:val="single" w:sz="6" w:space="0" w:color="000000"/>
              <w:left w:val="single" w:sz="6" w:space="0" w:color="000000"/>
              <w:bottom w:val="single" w:sz="6" w:space="0" w:color="000000"/>
              <w:right w:val="single" w:sz="6" w:space="0" w:color="000000"/>
            </w:tcBorders>
            <w:hideMark/>
          </w:tcPr>
          <w:p w14:paraId="09AF69DB" w14:textId="77777777" w:rsidR="00DB1628" w:rsidRPr="00606CF0" w:rsidRDefault="00DB1628">
            <w:pPr>
              <w:pStyle w:val="TableParagraph"/>
              <w:ind w:left="102"/>
              <w:rPr>
                <w:lang w:val="en-GB"/>
              </w:rPr>
            </w:pPr>
            <w:r w:rsidRPr="00606CF0">
              <w:rPr>
                <w:lang w:val="en-GB"/>
              </w:rPr>
              <w:t>≤ 1 mg/l</w:t>
            </w:r>
          </w:p>
        </w:tc>
        <w:tc>
          <w:tcPr>
            <w:tcW w:w="1549" w:type="pct"/>
            <w:tcBorders>
              <w:top w:val="single" w:sz="6" w:space="0" w:color="000000"/>
              <w:left w:val="single" w:sz="6" w:space="0" w:color="000000"/>
              <w:bottom w:val="single" w:sz="6" w:space="0" w:color="000000"/>
              <w:right w:val="single" w:sz="6" w:space="0" w:color="000000"/>
            </w:tcBorders>
            <w:hideMark/>
          </w:tcPr>
          <w:p w14:paraId="297C9F06" w14:textId="77777777" w:rsidR="00DB1628" w:rsidRPr="00606CF0" w:rsidRDefault="00DB1628">
            <w:pPr>
              <w:pStyle w:val="TableParagraph"/>
              <w:ind w:left="102"/>
              <w:rPr>
                <w:lang w:val="en-GB"/>
              </w:rPr>
            </w:pPr>
            <w:r w:rsidRPr="00606CF0">
              <w:rPr>
                <w:lang w:val="en-GB"/>
              </w:rPr>
              <w:t>&gt; 1 mg/l</w:t>
            </w:r>
          </w:p>
        </w:tc>
      </w:tr>
      <w:tr w:rsidR="00DB1628" w:rsidRPr="00606CF0" w14:paraId="1B099018" w14:textId="77777777" w:rsidTr="007B2912">
        <w:trPr>
          <w:trHeight w:val="366"/>
        </w:trPr>
        <w:tc>
          <w:tcPr>
            <w:tcW w:w="2174" w:type="pct"/>
            <w:tcBorders>
              <w:top w:val="single" w:sz="6" w:space="0" w:color="000000"/>
              <w:left w:val="single" w:sz="6" w:space="0" w:color="000000"/>
              <w:bottom w:val="single" w:sz="6" w:space="0" w:color="000000"/>
              <w:right w:val="single" w:sz="6" w:space="0" w:color="000000"/>
            </w:tcBorders>
            <w:hideMark/>
          </w:tcPr>
          <w:p w14:paraId="2986E504" w14:textId="77777777" w:rsidR="00DB1628" w:rsidRPr="00606CF0" w:rsidRDefault="00DB1628">
            <w:pPr>
              <w:pStyle w:val="TableParagraph"/>
              <w:ind w:left="102"/>
              <w:rPr>
                <w:bCs/>
                <w:i/>
                <w:lang w:val="en-GB"/>
              </w:rPr>
            </w:pPr>
            <w:r w:rsidRPr="00606CF0">
              <w:rPr>
                <w:bCs/>
                <w:i/>
                <w:lang w:val="en-GB"/>
              </w:rPr>
              <w:t xml:space="preserve">Pasteurella </w:t>
            </w:r>
            <w:proofErr w:type="spellStart"/>
            <w:r w:rsidRPr="00606CF0">
              <w:rPr>
                <w:bCs/>
                <w:i/>
                <w:lang w:val="en-GB"/>
              </w:rPr>
              <w:t>multocida</w:t>
            </w:r>
            <w:proofErr w:type="spellEnd"/>
          </w:p>
        </w:tc>
        <w:tc>
          <w:tcPr>
            <w:tcW w:w="1277" w:type="pct"/>
            <w:tcBorders>
              <w:top w:val="single" w:sz="6" w:space="0" w:color="000000"/>
              <w:left w:val="single" w:sz="6" w:space="0" w:color="000000"/>
              <w:bottom w:val="single" w:sz="6" w:space="0" w:color="000000"/>
              <w:right w:val="single" w:sz="6" w:space="0" w:color="000000"/>
            </w:tcBorders>
            <w:hideMark/>
          </w:tcPr>
          <w:p w14:paraId="370C87F8" w14:textId="77777777" w:rsidR="00DB1628" w:rsidRPr="00606CF0" w:rsidRDefault="00DB1628">
            <w:pPr>
              <w:pStyle w:val="TableParagraph"/>
              <w:ind w:left="102"/>
              <w:rPr>
                <w:lang w:val="en-GB"/>
              </w:rPr>
            </w:pPr>
            <w:r w:rsidRPr="00606CF0">
              <w:rPr>
                <w:lang w:val="en-GB"/>
              </w:rPr>
              <w:t>≤ 0,5 mg/l</w:t>
            </w:r>
          </w:p>
        </w:tc>
        <w:tc>
          <w:tcPr>
            <w:tcW w:w="1549" w:type="pct"/>
            <w:tcBorders>
              <w:top w:val="single" w:sz="6" w:space="0" w:color="000000"/>
              <w:left w:val="single" w:sz="6" w:space="0" w:color="000000"/>
              <w:bottom w:val="single" w:sz="6" w:space="0" w:color="000000"/>
              <w:right w:val="single" w:sz="6" w:space="0" w:color="000000"/>
            </w:tcBorders>
            <w:hideMark/>
          </w:tcPr>
          <w:p w14:paraId="76C913CD" w14:textId="77777777" w:rsidR="00DB1628" w:rsidRPr="00606CF0" w:rsidRDefault="00DB1628">
            <w:pPr>
              <w:pStyle w:val="TableParagraph"/>
              <w:ind w:left="102"/>
              <w:rPr>
                <w:lang w:val="en-GB"/>
              </w:rPr>
            </w:pPr>
            <w:r w:rsidRPr="00606CF0">
              <w:rPr>
                <w:lang w:val="en-GB"/>
              </w:rPr>
              <w:t>&gt; 0,5 mg/l</w:t>
            </w:r>
          </w:p>
        </w:tc>
      </w:tr>
      <w:tr w:rsidR="00DB1628" w:rsidRPr="00606CF0" w14:paraId="372B9963" w14:textId="77777777" w:rsidTr="007B2912">
        <w:trPr>
          <w:trHeight w:val="366"/>
        </w:trPr>
        <w:tc>
          <w:tcPr>
            <w:tcW w:w="2174" w:type="pct"/>
            <w:tcBorders>
              <w:top w:val="single" w:sz="6" w:space="0" w:color="000000"/>
              <w:left w:val="single" w:sz="6" w:space="0" w:color="000000"/>
              <w:bottom w:val="single" w:sz="6" w:space="0" w:color="000000"/>
              <w:right w:val="single" w:sz="6" w:space="0" w:color="000000"/>
            </w:tcBorders>
            <w:hideMark/>
          </w:tcPr>
          <w:p w14:paraId="58E99C7E" w14:textId="77777777" w:rsidR="00DB1628" w:rsidRPr="00606CF0" w:rsidRDefault="00DB1628">
            <w:pPr>
              <w:pStyle w:val="TableParagraph"/>
              <w:ind w:left="102"/>
              <w:rPr>
                <w:bCs/>
                <w:i/>
                <w:lang w:val="en-GB"/>
              </w:rPr>
            </w:pPr>
            <w:r w:rsidRPr="00606CF0">
              <w:rPr>
                <w:bCs/>
                <w:i/>
                <w:lang w:val="en-GB"/>
              </w:rPr>
              <w:t xml:space="preserve">Corynebacterium </w:t>
            </w:r>
            <w:r w:rsidRPr="0085700C">
              <w:rPr>
                <w:bCs/>
                <w:lang w:val="en-GB"/>
              </w:rPr>
              <w:t>spp</w:t>
            </w:r>
            <w:r w:rsidRPr="00606CF0">
              <w:rPr>
                <w:bCs/>
                <w:i/>
                <w:lang w:val="en-GB"/>
              </w:rPr>
              <w:t>.</w:t>
            </w:r>
          </w:p>
        </w:tc>
        <w:tc>
          <w:tcPr>
            <w:tcW w:w="1277" w:type="pct"/>
            <w:tcBorders>
              <w:top w:val="single" w:sz="6" w:space="0" w:color="000000"/>
              <w:left w:val="single" w:sz="6" w:space="0" w:color="000000"/>
              <w:bottom w:val="single" w:sz="6" w:space="0" w:color="000000"/>
              <w:right w:val="single" w:sz="6" w:space="0" w:color="000000"/>
            </w:tcBorders>
            <w:hideMark/>
          </w:tcPr>
          <w:p w14:paraId="15257B52" w14:textId="77777777" w:rsidR="00DB1628" w:rsidRPr="00606CF0" w:rsidRDefault="00DB1628">
            <w:pPr>
              <w:pStyle w:val="TableParagraph"/>
              <w:ind w:left="102"/>
              <w:rPr>
                <w:lang w:val="en-GB"/>
              </w:rPr>
            </w:pPr>
            <w:r w:rsidRPr="00606CF0">
              <w:rPr>
                <w:lang w:val="en-GB"/>
              </w:rPr>
              <w:t>≤ 0,125 mg/l</w:t>
            </w:r>
          </w:p>
        </w:tc>
        <w:tc>
          <w:tcPr>
            <w:tcW w:w="1549" w:type="pct"/>
            <w:tcBorders>
              <w:top w:val="single" w:sz="6" w:space="0" w:color="000000"/>
              <w:left w:val="single" w:sz="6" w:space="0" w:color="000000"/>
              <w:bottom w:val="single" w:sz="6" w:space="0" w:color="000000"/>
              <w:right w:val="single" w:sz="6" w:space="0" w:color="000000"/>
            </w:tcBorders>
            <w:hideMark/>
          </w:tcPr>
          <w:p w14:paraId="59F8C1B1" w14:textId="77777777" w:rsidR="00DB1628" w:rsidRPr="00606CF0" w:rsidRDefault="00DB1628">
            <w:pPr>
              <w:pStyle w:val="TableParagraph"/>
              <w:ind w:left="102"/>
              <w:rPr>
                <w:lang w:val="en-GB"/>
              </w:rPr>
            </w:pPr>
            <w:r w:rsidRPr="00606CF0">
              <w:rPr>
                <w:lang w:val="en-GB"/>
              </w:rPr>
              <w:t>&gt; 0,125 mg/l</w:t>
            </w:r>
          </w:p>
        </w:tc>
      </w:tr>
      <w:tr w:rsidR="00DB1628" w:rsidRPr="00606CF0" w14:paraId="038C1F34" w14:textId="77777777" w:rsidTr="007B2912">
        <w:trPr>
          <w:trHeight w:val="366"/>
        </w:trPr>
        <w:tc>
          <w:tcPr>
            <w:tcW w:w="2174" w:type="pct"/>
            <w:tcBorders>
              <w:top w:val="single" w:sz="6" w:space="0" w:color="000000"/>
              <w:left w:val="single" w:sz="6" w:space="0" w:color="000000"/>
              <w:bottom w:val="single" w:sz="6" w:space="0" w:color="000000"/>
              <w:right w:val="single" w:sz="6" w:space="0" w:color="000000"/>
            </w:tcBorders>
            <w:hideMark/>
          </w:tcPr>
          <w:p w14:paraId="1EA84EFF" w14:textId="77777777" w:rsidR="00DB1628" w:rsidRPr="00606CF0" w:rsidRDefault="00DB1628">
            <w:pPr>
              <w:pStyle w:val="TableParagraph"/>
              <w:ind w:left="102"/>
              <w:rPr>
                <w:bCs/>
                <w:i/>
                <w:lang w:val="en-GB"/>
              </w:rPr>
            </w:pPr>
            <w:proofErr w:type="spellStart"/>
            <w:r w:rsidRPr="00606CF0">
              <w:rPr>
                <w:bCs/>
                <w:i/>
                <w:lang w:val="en-GB"/>
              </w:rPr>
              <w:t>Aerococcus</w:t>
            </w:r>
            <w:proofErr w:type="spellEnd"/>
            <w:r w:rsidRPr="00606CF0">
              <w:rPr>
                <w:bCs/>
                <w:i/>
                <w:lang w:val="en-GB"/>
              </w:rPr>
              <w:t xml:space="preserve"> </w:t>
            </w:r>
            <w:proofErr w:type="spellStart"/>
            <w:r w:rsidRPr="00606CF0">
              <w:rPr>
                <w:bCs/>
                <w:i/>
                <w:lang w:val="en-GB"/>
              </w:rPr>
              <w:t>sanguinicola</w:t>
            </w:r>
            <w:proofErr w:type="spellEnd"/>
            <w:r w:rsidRPr="00606CF0">
              <w:rPr>
                <w:bCs/>
                <w:i/>
                <w:lang w:val="en-GB"/>
              </w:rPr>
              <w:t xml:space="preserve"> </w:t>
            </w:r>
            <w:proofErr w:type="spellStart"/>
            <w:r w:rsidRPr="00606CF0">
              <w:rPr>
                <w:bCs/>
                <w:i/>
                <w:lang w:val="en-GB"/>
              </w:rPr>
              <w:t>og</w:t>
            </w:r>
            <w:proofErr w:type="spellEnd"/>
            <w:r w:rsidRPr="00606CF0">
              <w:rPr>
                <w:bCs/>
                <w:i/>
                <w:lang w:val="en-GB"/>
              </w:rPr>
              <w:t xml:space="preserve"> </w:t>
            </w:r>
            <w:proofErr w:type="spellStart"/>
            <w:r w:rsidRPr="00606CF0">
              <w:rPr>
                <w:bCs/>
                <w:i/>
                <w:lang w:val="en-GB"/>
              </w:rPr>
              <w:t>urinae</w:t>
            </w:r>
            <w:proofErr w:type="spellEnd"/>
          </w:p>
        </w:tc>
        <w:tc>
          <w:tcPr>
            <w:tcW w:w="1277" w:type="pct"/>
            <w:tcBorders>
              <w:top w:val="single" w:sz="6" w:space="0" w:color="000000"/>
              <w:left w:val="single" w:sz="6" w:space="0" w:color="000000"/>
              <w:bottom w:val="single" w:sz="6" w:space="0" w:color="000000"/>
              <w:right w:val="single" w:sz="6" w:space="0" w:color="000000"/>
            </w:tcBorders>
            <w:hideMark/>
          </w:tcPr>
          <w:p w14:paraId="39EB52EC" w14:textId="77777777" w:rsidR="00DB1628" w:rsidRPr="00606CF0" w:rsidRDefault="00DB1628">
            <w:pPr>
              <w:pStyle w:val="TableParagraph"/>
              <w:ind w:left="102"/>
              <w:rPr>
                <w:lang w:val="en-GB"/>
              </w:rPr>
            </w:pPr>
            <w:r w:rsidRPr="00606CF0">
              <w:rPr>
                <w:lang w:val="en-GB"/>
              </w:rPr>
              <w:t>≤ 0,125 mg/l</w:t>
            </w:r>
          </w:p>
        </w:tc>
        <w:tc>
          <w:tcPr>
            <w:tcW w:w="1549" w:type="pct"/>
            <w:tcBorders>
              <w:top w:val="single" w:sz="6" w:space="0" w:color="000000"/>
              <w:left w:val="single" w:sz="6" w:space="0" w:color="000000"/>
              <w:bottom w:val="single" w:sz="6" w:space="0" w:color="000000"/>
              <w:right w:val="single" w:sz="6" w:space="0" w:color="000000"/>
            </w:tcBorders>
            <w:hideMark/>
          </w:tcPr>
          <w:p w14:paraId="13D8E9C0" w14:textId="77777777" w:rsidR="00DB1628" w:rsidRPr="00606CF0" w:rsidRDefault="00DB1628">
            <w:pPr>
              <w:pStyle w:val="TableParagraph"/>
              <w:ind w:left="102"/>
              <w:rPr>
                <w:lang w:val="en-GB"/>
              </w:rPr>
            </w:pPr>
            <w:r w:rsidRPr="00606CF0">
              <w:rPr>
                <w:lang w:val="en-GB"/>
              </w:rPr>
              <w:t>&gt; 0,125 mg/l</w:t>
            </w:r>
          </w:p>
        </w:tc>
      </w:tr>
      <w:tr w:rsidR="00DB1628" w:rsidRPr="00606CF0" w14:paraId="104D41D9" w14:textId="77777777" w:rsidTr="007B2912">
        <w:trPr>
          <w:trHeight w:val="18"/>
        </w:trPr>
        <w:tc>
          <w:tcPr>
            <w:tcW w:w="2174" w:type="pct"/>
            <w:tcBorders>
              <w:top w:val="single" w:sz="6" w:space="0" w:color="000000"/>
              <w:left w:val="single" w:sz="6" w:space="0" w:color="000000"/>
              <w:bottom w:val="single" w:sz="6" w:space="0" w:color="000000"/>
              <w:right w:val="single" w:sz="6" w:space="0" w:color="000000"/>
            </w:tcBorders>
            <w:hideMark/>
          </w:tcPr>
          <w:p w14:paraId="3195C710" w14:textId="77777777" w:rsidR="00DB1628" w:rsidRPr="00606CF0" w:rsidRDefault="00DB1628">
            <w:pPr>
              <w:pStyle w:val="TableParagraph"/>
              <w:ind w:left="102"/>
              <w:rPr>
                <w:bCs/>
                <w:i/>
                <w:lang w:val="en-GB"/>
              </w:rPr>
            </w:pPr>
            <w:proofErr w:type="spellStart"/>
            <w:r w:rsidRPr="00606CF0">
              <w:rPr>
                <w:bCs/>
                <w:i/>
                <w:lang w:val="en-GB"/>
              </w:rPr>
              <w:t>Kingella</w:t>
            </w:r>
            <w:proofErr w:type="spellEnd"/>
            <w:r w:rsidRPr="00606CF0">
              <w:rPr>
                <w:bCs/>
                <w:i/>
                <w:lang w:val="en-GB"/>
              </w:rPr>
              <w:t xml:space="preserve"> </w:t>
            </w:r>
            <w:proofErr w:type="spellStart"/>
            <w:r w:rsidRPr="00606CF0">
              <w:rPr>
                <w:bCs/>
                <w:i/>
                <w:lang w:val="en-GB"/>
              </w:rPr>
              <w:t>kingae</w:t>
            </w:r>
            <w:proofErr w:type="spellEnd"/>
          </w:p>
        </w:tc>
        <w:tc>
          <w:tcPr>
            <w:tcW w:w="1277" w:type="pct"/>
            <w:tcBorders>
              <w:top w:val="single" w:sz="6" w:space="0" w:color="000000"/>
              <w:left w:val="single" w:sz="6" w:space="0" w:color="000000"/>
              <w:bottom w:val="single" w:sz="6" w:space="0" w:color="000000"/>
              <w:right w:val="single" w:sz="6" w:space="0" w:color="000000"/>
            </w:tcBorders>
            <w:hideMark/>
          </w:tcPr>
          <w:p w14:paraId="5A027AFE" w14:textId="77777777" w:rsidR="00DB1628" w:rsidRPr="00606CF0" w:rsidRDefault="00DB1628">
            <w:pPr>
              <w:pStyle w:val="TableParagraph"/>
              <w:ind w:left="102"/>
              <w:rPr>
                <w:lang w:val="en-GB"/>
              </w:rPr>
            </w:pPr>
            <w:r w:rsidRPr="00606CF0">
              <w:rPr>
                <w:lang w:val="en-GB"/>
              </w:rPr>
              <w:t>≤ 0,03 mg/l</w:t>
            </w:r>
          </w:p>
        </w:tc>
        <w:tc>
          <w:tcPr>
            <w:tcW w:w="1549" w:type="pct"/>
            <w:tcBorders>
              <w:top w:val="single" w:sz="6" w:space="0" w:color="000000"/>
              <w:left w:val="single" w:sz="6" w:space="0" w:color="000000"/>
              <w:bottom w:val="single" w:sz="6" w:space="0" w:color="000000"/>
              <w:right w:val="single" w:sz="6" w:space="0" w:color="000000"/>
            </w:tcBorders>
            <w:hideMark/>
          </w:tcPr>
          <w:p w14:paraId="2C35355F" w14:textId="77777777" w:rsidR="00DB1628" w:rsidRPr="00606CF0" w:rsidRDefault="00DB1628">
            <w:pPr>
              <w:pStyle w:val="TableParagraph"/>
              <w:ind w:left="102"/>
              <w:rPr>
                <w:lang w:val="en-GB"/>
              </w:rPr>
            </w:pPr>
            <w:r w:rsidRPr="00606CF0">
              <w:rPr>
                <w:lang w:val="en-GB"/>
              </w:rPr>
              <w:t>&gt; 0,03 mg/l</w:t>
            </w:r>
          </w:p>
        </w:tc>
      </w:tr>
      <w:tr w:rsidR="00DB1628" w:rsidRPr="00606CF0" w14:paraId="27922204" w14:textId="77777777" w:rsidTr="007B2912">
        <w:trPr>
          <w:trHeight w:val="18"/>
        </w:trPr>
        <w:tc>
          <w:tcPr>
            <w:tcW w:w="2174" w:type="pct"/>
            <w:tcBorders>
              <w:top w:val="single" w:sz="6" w:space="0" w:color="000000"/>
              <w:left w:val="single" w:sz="6" w:space="0" w:color="000000"/>
              <w:bottom w:val="single" w:sz="6" w:space="0" w:color="000000"/>
              <w:right w:val="single" w:sz="6" w:space="0" w:color="000000"/>
            </w:tcBorders>
            <w:hideMark/>
          </w:tcPr>
          <w:p w14:paraId="7EE3EE7B" w14:textId="77777777" w:rsidR="00DB1628" w:rsidRPr="00606CF0" w:rsidRDefault="00DB1628">
            <w:pPr>
              <w:pStyle w:val="TableParagraph"/>
              <w:ind w:left="102"/>
              <w:rPr>
                <w:bCs/>
                <w:i/>
              </w:rPr>
            </w:pPr>
            <w:proofErr w:type="spellStart"/>
            <w:r w:rsidRPr="00606CF0">
              <w:rPr>
                <w:bCs/>
                <w:iCs/>
              </w:rPr>
              <w:t>Farmakokinetiske-farmakodynamiske</w:t>
            </w:r>
            <w:proofErr w:type="spellEnd"/>
            <w:r w:rsidRPr="00606CF0">
              <w:rPr>
                <w:bCs/>
                <w:iCs/>
              </w:rPr>
              <w:t xml:space="preserve"> (ikke-artsrelaterede) grænseværdier</w:t>
            </w:r>
          </w:p>
        </w:tc>
        <w:tc>
          <w:tcPr>
            <w:tcW w:w="1277" w:type="pct"/>
            <w:tcBorders>
              <w:top w:val="single" w:sz="6" w:space="0" w:color="000000"/>
              <w:left w:val="single" w:sz="6" w:space="0" w:color="000000"/>
              <w:bottom w:val="single" w:sz="6" w:space="0" w:color="000000"/>
              <w:right w:val="single" w:sz="6" w:space="0" w:color="000000"/>
            </w:tcBorders>
            <w:hideMark/>
          </w:tcPr>
          <w:p w14:paraId="0940DDEC" w14:textId="77777777" w:rsidR="00DB1628" w:rsidRPr="00606CF0" w:rsidRDefault="00DB1628">
            <w:pPr>
              <w:pStyle w:val="TableParagraph"/>
              <w:ind w:left="102"/>
              <w:rPr>
                <w:lang w:val="en-GB"/>
              </w:rPr>
            </w:pPr>
            <w:r w:rsidRPr="00606CF0">
              <w:rPr>
                <w:lang w:val="en-GB"/>
              </w:rPr>
              <w:t>≤ 0,25 mg/l</w:t>
            </w:r>
          </w:p>
        </w:tc>
        <w:tc>
          <w:tcPr>
            <w:tcW w:w="1549" w:type="pct"/>
            <w:tcBorders>
              <w:top w:val="single" w:sz="6" w:space="0" w:color="000000"/>
              <w:left w:val="single" w:sz="6" w:space="0" w:color="000000"/>
              <w:bottom w:val="single" w:sz="6" w:space="0" w:color="000000"/>
              <w:right w:val="single" w:sz="6" w:space="0" w:color="000000"/>
            </w:tcBorders>
            <w:hideMark/>
          </w:tcPr>
          <w:p w14:paraId="188E5651" w14:textId="77777777" w:rsidR="00DB1628" w:rsidRPr="00606CF0" w:rsidRDefault="00DB1628">
            <w:pPr>
              <w:pStyle w:val="TableParagraph"/>
              <w:ind w:left="102"/>
              <w:rPr>
                <w:lang w:val="en-GB"/>
              </w:rPr>
            </w:pPr>
            <w:r w:rsidRPr="00606CF0">
              <w:rPr>
                <w:lang w:val="en-GB"/>
              </w:rPr>
              <w:t>&gt; 2 mg/l</w:t>
            </w:r>
          </w:p>
        </w:tc>
      </w:tr>
    </w:tbl>
    <w:bookmarkEnd w:id="15"/>
    <w:p w14:paraId="2C2FBCF6" w14:textId="77777777" w:rsidR="00DB1628" w:rsidRPr="007C59C9" w:rsidRDefault="00DB1628" w:rsidP="00DB1628">
      <w:pPr>
        <w:pStyle w:val="Brdtekst"/>
        <w:widowControl/>
        <w:tabs>
          <w:tab w:val="left" w:pos="426"/>
        </w:tabs>
        <w:kinsoku w:val="0"/>
        <w:overflowPunct w:val="0"/>
        <w:spacing w:before="0"/>
        <w:ind w:left="0"/>
      </w:pPr>
      <w:r w:rsidRPr="007C59C9">
        <w:rPr>
          <w:vertAlign w:val="superscript"/>
        </w:rPr>
        <w:t>*</w:t>
      </w:r>
      <w:r w:rsidRPr="007C59C9">
        <w:t xml:space="preserve">De fleste stafylokokker er </w:t>
      </w:r>
      <w:proofErr w:type="spellStart"/>
      <w:r w:rsidRPr="007C59C9">
        <w:t>penicillinasedannende</w:t>
      </w:r>
      <w:proofErr w:type="spellEnd"/>
      <w:r w:rsidRPr="007C59C9">
        <w:t xml:space="preserve">, og nogle er resistente over for </w:t>
      </w:r>
      <w:proofErr w:type="spellStart"/>
      <w:r w:rsidRPr="007C59C9">
        <w:t>methicillin</w:t>
      </w:r>
      <w:proofErr w:type="spellEnd"/>
      <w:r w:rsidRPr="007C59C9">
        <w:t xml:space="preserve">. Begge mekanismer gør dem resistente over for </w:t>
      </w:r>
      <w:proofErr w:type="spellStart"/>
      <w:r w:rsidRPr="007C59C9">
        <w:t>benzylpenicillin</w:t>
      </w:r>
      <w:proofErr w:type="spellEnd"/>
      <w:r w:rsidRPr="007C59C9">
        <w:t xml:space="preserve">. Der findes på nuværende tidspunkt ingen metode til pålidelig påvisning af </w:t>
      </w:r>
      <w:proofErr w:type="spellStart"/>
      <w:r w:rsidRPr="007C59C9">
        <w:t>penicillinasedannelse</w:t>
      </w:r>
      <w:proofErr w:type="spellEnd"/>
      <w:r w:rsidRPr="007C59C9">
        <w:t xml:space="preserve"> hos </w:t>
      </w:r>
      <w:r w:rsidRPr="007C59C9">
        <w:rPr>
          <w:u w:val="single"/>
        </w:rPr>
        <w:t>alle arter</w:t>
      </w:r>
      <w:r w:rsidRPr="007C59C9">
        <w:t xml:space="preserve"> af stafylokokker.</w:t>
      </w:r>
    </w:p>
    <w:p w14:paraId="3E70E41D" w14:textId="77777777" w:rsidR="00DB1628" w:rsidRPr="007C59C9" w:rsidRDefault="00DB1628" w:rsidP="00DB1628">
      <w:pPr>
        <w:pStyle w:val="Brdtekst"/>
        <w:widowControl/>
        <w:tabs>
          <w:tab w:val="left" w:pos="426"/>
        </w:tabs>
        <w:kinsoku w:val="0"/>
        <w:overflowPunct w:val="0"/>
        <w:spacing w:before="0"/>
        <w:ind w:left="0"/>
        <w:rPr>
          <w:bCs/>
          <w:iCs/>
        </w:rPr>
      </w:pPr>
      <w:r w:rsidRPr="007C59C9">
        <w:rPr>
          <w:vertAlign w:val="superscript"/>
        </w:rPr>
        <w:t>1</w:t>
      </w:r>
      <w:r w:rsidRPr="007C59C9">
        <w:rPr>
          <w:bCs/>
          <w:iCs/>
        </w:rPr>
        <w:t>Andre indikationer end meningitis.</w:t>
      </w:r>
    </w:p>
    <w:p w14:paraId="0BEBEF99" w14:textId="77777777" w:rsidR="00DB1628" w:rsidRPr="007C59C9" w:rsidRDefault="00DB1628" w:rsidP="00DB1628">
      <w:pPr>
        <w:pStyle w:val="Brdtekst"/>
        <w:widowControl/>
        <w:tabs>
          <w:tab w:val="left" w:pos="426"/>
        </w:tabs>
        <w:kinsoku w:val="0"/>
        <w:overflowPunct w:val="0"/>
        <w:spacing w:before="0"/>
        <w:ind w:left="0"/>
        <w:rPr>
          <w:bCs/>
        </w:rPr>
      </w:pPr>
      <w:r w:rsidRPr="007C59C9">
        <w:rPr>
          <w:bCs/>
          <w:vertAlign w:val="superscript"/>
        </w:rPr>
        <w:t>2</w:t>
      </w:r>
      <w:r w:rsidRPr="007C59C9">
        <w:rPr>
          <w:bCs/>
        </w:rPr>
        <w:t>Indikationen meningitis.</w:t>
      </w:r>
    </w:p>
    <w:p w14:paraId="755389DC" w14:textId="77777777" w:rsidR="00DB1628" w:rsidRPr="007C59C9" w:rsidRDefault="00DB1628" w:rsidP="00DB1628">
      <w:pPr>
        <w:pStyle w:val="Brdtekst"/>
        <w:widowControl/>
        <w:tabs>
          <w:tab w:val="left" w:pos="426"/>
        </w:tabs>
        <w:kinsoku w:val="0"/>
        <w:overflowPunct w:val="0"/>
        <w:spacing w:before="0"/>
        <w:ind w:left="0"/>
      </w:pPr>
      <w:r w:rsidRPr="007C59C9">
        <w:rPr>
          <w:bCs/>
          <w:vertAlign w:val="superscript"/>
        </w:rPr>
        <w:t>3</w:t>
      </w:r>
      <w:r w:rsidRPr="007C59C9">
        <w:rPr>
          <w:bCs/>
        </w:rPr>
        <w:t>Alle indikationer.</w:t>
      </w:r>
    </w:p>
    <w:p w14:paraId="20DCAF7D" w14:textId="77777777" w:rsidR="00DB1628" w:rsidRPr="007C59C9" w:rsidRDefault="00DB1628" w:rsidP="00DB1628">
      <w:pPr>
        <w:pStyle w:val="Brdtekst"/>
        <w:widowControl/>
        <w:tabs>
          <w:tab w:val="left" w:pos="426"/>
        </w:tabs>
        <w:kinsoku w:val="0"/>
        <w:overflowPunct w:val="0"/>
        <w:spacing w:before="0"/>
        <w:ind w:left="0"/>
        <w:rPr>
          <w:lang w:val="en-GB"/>
        </w:rPr>
      </w:pPr>
    </w:p>
    <w:p w14:paraId="4D451DE9" w14:textId="77777777" w:rsidR="00DB1628" w:rsidRPr="007C59C9" w:rsidRDefault="00DB1628" w:rsidP="007B2912">
      <w:pPr>
        <w:pStyle w:val="Brdtekst"/>
        <w:widowControl/>
        <w:kinsoku w:val="0"/>
        <w:overflowPunct w:val="0"/>
        <w:spacing w:before="0"/>
        <w:ind w:left="851"/>
        <w:rPr>
          <w:i/>
          <w:iCs/>
        </w:rPr>
      </w:pPr>
      <w:bookmarkStart w:id="16" w:name="_Hlk100040955"/>
      <w:r w:rsidRPr="007C59C9">
        <w:rPr>
          <w:i/>
        </w:rPr>
        <w:t>Antibakterielt spektrum</w:t>
      </w:r>
    </w:p>
    <w:tbl>
      <w:tblPr>
        <w:tblW w:w="4491" w:type="pct"/>
        <w:tblInd w:w="846" w:type="dxa"/>
        <w:tblCellMar>
          <w:left w:w="0" w:type="dxa"/>
          <w:right w:w="0" w:type="dxa"/>
        </w:tblCellMar>
        <w:tblLook w:val="04A0" w:firstRow="1" w:lastRow="0" w:firstColumn="1" w:lastColumn="0" w:noHBand="0" w:noVBand="1"/>
      </w:tblPr>
      <w:tblGrid>
        <w:gridCol w:w="1999"/>
        <w:gridCol w:w="6649"/>
      </w:tblGrid>
      <w:tr w:rsidR="00DB1628" w:rsidRPr="007C59C9" w14:paraId="74DE453D" w14:textId="77777777" w:rsidTr="007B2912">
        <w:trPr>
          <w:trHeight w:val="20"/>
        </w:trPr>
        <w:tc>
          <w:tcPr>
            <w:tcW w:w="1156" w:type="pct"/>
            <w:tcBorders>
              <w:top w:val="single" w:sz="4" w:space="0" w:color="000000"/>
              <w:left w:val="single" w:sz="4" w:space="0" w:color="000000"/>
              <w:bottom w:val="single" w:sz="4" w:space="0" w:color="000000"/>
              <w:right w:val="single" w:sz="4" w:space="0" w:color="000000"/>
            </w:tcBorders>
            <w:hideMark/>
          </w:tcPr>
          <w:p w14:paraId="6F9942C4" w14:textId="77777777" w:rsidR="00DB1628" w:rsidRPr="007C59C9" w:rsidRDefault="00DB1628">
            <w:pPr>
              <w:pStyle w:val="TableParagraph"/>
              <w:widowControl/>
              <w:tabs>
                <w:tab w:val="left" w:pos="426"/>
              </w:tabs>
              <w:kinsoku w:val="0"/>
              <w:overflowPunct w:val="0"/>
              <w:spacing w:before="0"/>
              <w:ind w:left="0"/>
              <w:rPr>
                <w:lang w:val="en-GB"/>
              </w:rPr>
            </w:pPr>
            <w:proofErr w:type="spellStart"/>
            <w:r w:rsidRPr="007C59C9">
              <w:rPr>
                <w:lang w:val="en-GB"/>
              </w:rPr>
              <w:t>Følsom</w:t>
            </w:r>
            <w:proofErr w:type="spellEnd"/>
          </w:p>
        </w:tc>
        <w:tc>
          <w:tcPr>
            <w:tcW w:w="3844" w:type="pct"/>
            <w:tcBorders>
              <w:top w:val="single" w:sz="4" w:space="0" w:color="000000"/>
              <w:left w:val="single" w:sz="4" w:space="0" w:color="000000"/>
              <w:bottom w:val="single" w:sz="4" w:space="0" w:color="000000"/>
              <w:right w:val="single" w:sz="4" w:space="0" w:color="000000"/>
            </w:tcBorders>
            <w:hideMark/>
          </w:tcPr>
          <w:p w14:paraId="65A35236" w14:textId="77777777" w:rsidR="00DB1628" w:rsidRPr="007C59C9" w:rsidRDefault="00DB1628">
            <w:pPr>
              <w:pStyle w:val="TableParagraph"/>
              <w:widowControl/>
              <w:tabs>
                <w:tab w:val="left" w:pos="426"/>
              </w:tabs>
              <w:kinsoku w:val="0"/>
              <w:overflowPunct w:val="0"/>
              <w:spacing w:before="0"/>
              <w:ind w:left="0"/>
            </w:pPr>
            <w:r w:rsidRPr="007C59C9">
              <w:t xml:space="preserve">Streptokokker og </w:t>
            </w:r>
            <w:proofErr w:type="spellStart"/>
            <w:r w:rsidRPr="007C59C9">
              <w:t>pneumokokker</w:t>
            </w:r>
            <w:proofErr w:type="spellEnd"/>
            <w:r w:rsidRPr="007C59C9">
              <w:t xml:space="preserve"> </w:t>
            </w:r>
          </w:p>
          <w:p w14:paraId="4595C8F1" w14:textId="77777777" w:rsidR="00DB1628" w:rsidRPr="007C59C9" w:rsidRDefault="00DB1628">
            <w:pPr>
              <w:pStyle w:val="TableParagraph"/>
              <w:widowControl/>
              <w:tabs>
                <w:tab w:val="left" w:pos="426"/>
              </w:tabs>
              <w:kinsoku w:val="0"/>
              <w:overflowPunct w:val="0"/>
              <w:spacing w:before="0"/>
              <w:ind w:left="0"/>
            </w:pPr>
            <w:proofErr w:type="spellStart"/>
            <w:r w:rsidRPr="007C59C9">
              <w:rPr>
                <w:i/>
              </w:rPr>
              <w:t>Corynebacterium</w:t>
            </w:r>
            <w:proofErr w:type="spellEnd"/>
            <w:r w:rsidRPr="007C59C9">
              <w:rPr>
                <w:i/>
              </w:rPr>
              <w:t xml:space="preserve"> </w:t>
            </w:r>
            <w:proofErr w:type="spellStart"/>
            <w:r w:rsidRPr="007C59C9">
              <w:rPr>
                <w:i/>
              </w:rPr>
              <w:t>diphteriae</w:t>
            </w:r>
            <w:proofErr w:type="spellEnd"/>
            <w:r w:rsidRPr="007C59C9">
              <w:t xml:space="preserve"> </w:t>
            </w:r>
          </w:p>
          <w:p w14:paraId="1E4AB1E6" w14:textId="77777777" w:rsidR="00DB1628" w:rsidRPr="007C59C9" w:rsidRDefault="00DB1628">
            <w:pPr>
              <w:pStyle w:val="TableParagraph"/>
              <w:widowControl/>
              <w:tabs>
                <w:tab w:val="left" w:pos="426"/>
              </w:tabs>
              <w:kinsoku w:val="0"/>
              <w:overflowPunct w:val="0"/>
              <w:spacing w:before="0"/>
              <w:ind w:left="0"/>
            </w:pPr>
            <w:proofErr w:type="spellStart"/>
            <w:r w:rsidRPr="007C59C9">
              <w:t>Meningokokker</w:t>
            </w:r>
            <w:proofErr w:type="spellEnd"/>
          </w:p>
          <w:p w14:paraId="3297910F" w14:textId="77777777" w:rsidR="00DB1628" w:rsidRPr="007C59C9" w:rsidRDefault="00DB1628">
            <w:pPr>
              <w:pStyle w:val="TableParagraph"/>
              <w:widowControl/>
              <w:tabs>
                <w:tab w:val="left" w:pos="426"/>
              </w:tabs>
              <w:kinsoku w:val="0"/>
              <w:overflowPunct w:val="0"/>
              <w:spacing w:before="0"/>
              <w:ind w:left="0"/>
            </w:pPr>
            <w:r w:rsidRPr="007C59C9">
              <w:t xml:space="preserve">Gonokokker </w:t>
            </w:r>
          </w:p>
          <w:p w14:paraId="7BA4B161" w14:textId="77777777" w:rsidR="00DB1628" w:rsidRPr="007C59C9" w:rsidRDefault="00DB1628">
            <w:pPr>
              <w:pStyle w:val="TableParagraph"/>
              <w:widowControl/>
              <w:tabs>
                <w:tab w:val="left" w:pos="426"/>
              </w:tabs>
              <w:kinsoku w:val="0"/>
              <w:overflowPunct w:val="0"/>
              <w:spacing w:before="0"/>
              <w:ind w:left="0"/>
            </w:pPr>
            <w:proofErr w:type="spellStart"/>
            <w:r w:rsidRPr="007C59C9">
              <w:rPr>
                <w:i/>
              </w:rPr>
              <w:t>Pasteurella</w:t>
            </w:r>
            <w:proofErr w:type="spellEnd"/>
            <w:r w:rsidRPr="007C59C9">
              <w:rPr>
                <w:i/>
              </w:rPr>
              <w:t xml:space="preserve"> </w:t>
            </w:r>
            <w:proofErr w:type="spellStart"/>
            <w:r w:rsidRPr="007C59C9">
              <w:rPr>
                <w:i/>
              </w:rPr>
              <w:t>multocida</w:t>
            </w:r>
            <w:proofErr w:type="spellEnd"/>
            <w:r w:rsidRPr="007C59C9">
              <w:t xml:space="preserve"> </w:t>
            </w:r>
          </w:p>
          <w:p w14:paraId="7835DAA2" w14:textId="77777777" w:rsidR="00DB1628" w:rsidRPr="007C59C9" w:rsidRDefault="00DB1628">
            <w:pPr>
              <w:pStyle w:val="TableParagraph"/>
              <w:widowControl/>
              <w:tabs>
                <w:tab w:val="left" w:pos="426"/>
              </w:tabs>
              <w:kinsoku w:val="0"/>
              <w:overflowPunct w:val="0"/>
              <w:spacing w:before="0"/>
              <w:ind w:left="0"/>
            </w:pPr>
            <w:proofErr w:type="spellStart"/>
            <w:r w:rsidRPr="007C59C9">
              <w:t>Peptokokker</w:t>
            </w:r>
            <w:proofErr w:type="spellEnd"/>
            <w:r w:rsidRPr="007C59C9">
              <w:t xml:space="preserve"> </w:t>
            </w:r>
          </w:p>
          <w:p w14:paraId="4511778E" w14:textId="77777777" w:rsidR="00DB1628" w:rsidRPr="007C59C9" w:rsidRDefault="00DB1628">
            <w:pPr>
              <w:pStyle w:val="TableParagraph"/>
              <w:widowControl/>
              <w:tabs>
                <w:tab w:val="left" w:pos="426"/>
              </w:tabs>
              <w:kinsoku w:val="0"/>
              <w:overflowPunct w:val="0"/>
              <w:spacing w:before="0"/>
              <w:ind w:left="0"/>
            </w:pPr>
            <w:proofErr w:type="spellStart"/>
            <w:r w:rsidRPr="007C59C9">
              <w:t>Peptostreptokokker</w:t>
            </w:r>
            <w:proofErr w:type="spellEnd"/>
            <w:r w:rsidRPr="007C59C9">
              <w:t xml:space="preserve"> </w:t>
            </w:r>
          </w:p>
          <w:p w14:paraId="4A24626B" w14:textId="77777777" w:rsidR="00DB1628" w:rsidRPr="007C59C9" w:rsidRDefault="00DB1628">
            <w:pPr>
              <w:pStyle w:val="TableParagraph"/>
              <w:widowControl/>
              <w:tabs>
                <w:tab w:val="left" w:pos="426"/>
              </w:tabs>
              <w:kinsoku w:val="0"/>
              <w:overflowPunct w:val="0"/>
              <w:spacing w:before="0"/>
              <w:ind w:left="0"/>
              <w:rPr>
                <w:i/>
              </w:rPr>
            </w:pPr>
            <w:proofErr w:type="spellStart"/>
            <w:r w:rsidRPr="007C59C9">
              <w:rPr>
                <w:i/>
              </w:rPr>
              <w:t>Propionibacterium</w:t>
            </w:r>
            <w:proofErr w:type="spellEnd"/>
          </w:p>
          <w:p w14:paraId="70E088EC" w14:textId="77777777" w:rsidR="00DB1628" w:rsidRPr="007C59C9" w:rsidRDefault="00DB1628">
            <w:pPr>
              <w:pStyle w:val="TableParagraph"/>
              <w:widowControl/>
              <w:tabs>
                <w:tab w:val="left" w:pos="426"/>
              </w:tabs>
              <w:kinsoku w:val="0"/>
              <w:overflowPunct w:val="0"/>
              <w:spacing w:before="0"/>
              <w:ind w:left="0"/>
              <w:rPr>
                <w:i/>
                <w:lang w:val="en-US"/>
              </w:rPr>
            </w:pPr>
            <w:r w:rsidRPr="007C59C9">
              <w:rPr>
                <w:i/>
                <w:lang w:val="en-US"/>
              </w:rPr>
              <w:t xml:space="preserve">Clostridium perfringens </w:t>
            </w:r>
          </w:p>
          <w:p w14:paraId="70F1AEB5" w14:textId="77777777" w:rsidR="00DB1628" w:rsidRPr="007C59C9" w:rsidRDefault="00DB1628">
            <w:pPr>
              <w:pStyle w:val="TableParagraph"/>
              <w:widowControl/>
              <w:tabs>
                <w:tab w:val="left" w:pos="426"/>
              </w:tabs>
              <w:kinsoku w:val="0"/>
              <w:overflowPunct w:val="0"/>
              <w:spacing w:before="0"/>
              <w:ind w:left="0"/>
              <w:rPr>
                <w:i/>
                <w:lang w:val="en-US"/>
              </w:rPr>
            </w:pPr>
            <w:r w:rsidRPr="007C59C9">
              <w:rPr>
                <w:i/>
                <w:lang w:val="en-US"/>
              </w:rPr>
              <w:t xml:space="preserve">Clostridium tetani </w:t>
            </w:r>
          </w:p>
          <w:p w14:paraId="02C84208" w14:textId="77777777" w:rsidR="00DB1628" w:rsidRPr="007C59C9" w:rsidRDefault="00DB1628">
            <w:pPr>
              <w:pStyle w:val="TableParagraph"/>
              <w:widowControl/>
              <w:tabs>
                <w:tab w:val="left" w:pos="426"/>
              </w:tabs>
              <w:kinsoku w:val="0"/>
              <w:overflowPunct w:val="0"/>
              <w:spacing w:before="0"/>
              <w:ind w:left="0"/>
              <w:rPr>
                <w:lang w:val="en-US"/>
              </w:rPr>
            </w:pPr>
            <w:r w:rsidRPr="007C59C9">
              <w:rPr>
                <w:i/>
                <w:lang w:val="en-US"/>
              </w:rPr>
              <w:t>Actinomyces</w:t>
            </w:r>
            <w:r w:rsidRPr="007C59C9">
              <w:rPr>
                <w:lang w:val="en-US"/>
              </w:rPr>
              <w:t xml:space="preserve"> </w:t>
            </w:r>
          </w:p>
          <w:p w14:paraId="5799CC26" w14:textId="77777777" w:rsidR="00DB1628" w:rsidRPr="007C59C9" w:rsidRDefault="00DB1628">
            <w:pPr>
              <w:pStyle w:val="TableParagraph"/>
              <w:widowControl/>
              <w:tabs>
                <w:tab w:val="left" w:pos="426"/>
              </w:tabs>
              <w:kinsoku w:val="0"/>
              <w:overflowPunct w:val="0"/>
              <w:spacing w:before="0"/>
              <w:ind w:left="0"/>
              <w:rPr>
                <w:lang w:val="en-US"/>
              </w:rPr>
            </w:pPr>
            <w:proofErr w:type="spellStart"/>
            <w:r w:rsidRPr="007C59C9">
              <w:rPr>
                <w:lang w:val="en-US"/>
              </w:rPr>
              <w:t>Fusobakterier</w:t>
            </w:r>
            <w:proofErr w:type="spellEnd"/>
          </w:p>
          <w:p w14:paraId="4239C432" w14:textId="77777777" w:rsidR="00DB1628" w:rsidRPr="007C59C9" w:rsidRDefault="00DB1628">
            <w:pPr>
              <w:pStyle w:val="TableParagraph"/>
              <w:widowControl/>
              <w:tabs>
                <w:tab w:val="left" w:pos="426"/>
              </w:tabs>
              <w:kinsoku w:val="0"/>
              <w:overflowPunct w:val="0"/>
              <w:spacing w:before="0"/>
              <w:ind w:left="0"/>
              <w:rPr>
                <w:i/>
                <w:lang w:val="en-US"/>
              </w:rPr>
            </w:pPr>
            <w:proofErr w:type="spellStart"/>
            <w:r w:rsidRPr="007C59C9">
              <w:rPr>
                <w:i/>
                <w:lang w:val="en-US"/>
              </w:rPr>
              <w:lastRenderedPageBreak/>
              <w:t>Capnocytophaga</w:t>
            </w:r>
            <w:proofErr w:type="spellEnd"/>
            <w:r w:rsidRPr="007C59C9">
              <w:rPr>
                <w:i/>
                <w:lang w:val="en-US"/>
              </w:rPr>
              <w:t xml:space="preserve"> </w:t>
            </w:r>
            <w:proofErr w:type="spellStart"/>
            <w:r w:rsidRPr="007C59C9">
              <w:rPr>
                <w:i/>
                <w:lang w:val="en-US"/>
              </w:rPr>
              <w:t>canimorsus</w:t>
            </w:r>
            <w:proofErr w:type="spellEnd"/>
            <w:r w:rsidRPr="007C59C9">
              <w:rPr>
                <w:i/>
                <w:lang w:val="en-US"/>
              </w:rPr>
              <w:t xml:space="preserve"> </w:t>
            </w:r>
          </w:p>
          <w:p w14:paraId="3D287C58" w14:textId="77777777" w:rsidR="00DB1628" w:rsidRPr="007C59C9" w:rsidRDefault="00DB1628">
            <w:pPr>
              <w:pStyle w:val="TableParagraph"/>
              <w:widowControl/>
              <w:tabs>
                <w:tab w:val="left" w:pos="426"/>
              </w:tabs>
              <w:kinsoku w:val="0"/>
              <w:overflowPunct w:val="0"/>
              <w:spacing w:before="0"/>
              <w:ind w:left="0"/>
              <w:rPr>
                <w:i/>
                <w:iCs/>
                <w:lang w:val="en-GB"/>
              </w:rPr>
            </w:pPr>
            <w:r w:rsidRPr="007C59C9">
              <w:rPr>
                <w:i/>
                <w:lang w:val="en-GB"/>
              </w:rPr>
              <w:t>Borrelia</w:t>
            </w:r>
          </w:p>
          <w:p w14:paraId="55370F10" w14:textId="77777777" w:rsidR="00DB1628" w:rsidRPr="007C59C9" w:rsidRDefault="00DB1628">
            <w:pPr>
              <w:pStyle w:val="TableParagraph"/>
              <w:widowControl/>
              <w:tabs>
                <w:tab w:val="left" w:pos="426"/>
              </w:tabs>
              <w:kinsoku w:val="0"/>
              <w:overflowPunct w:val="0"/>
              <w:spacing w:before="0"/>
              <w:ind w:left="0"/>
              <w:rPr>
                <w:i/>
                <w:lang w:val="en-GB"/>
              </w:rPr>
            </w:pPr>
            <w:r w:rsidRPr="007C59C9">
              <w:rPr>
                <w:i/>
                <w:lang w:val="en-GB"/>
              </w:rPr>
              <w:t xml:space="preserve">Leptospira </w:t>
            </w:r>
            <w:proofErr w:type="spellStart"/>
            <w:r w:rsidRPr="007C59C9">
              <w:rPr>
                <w:i/>
                <w:lang w:val="en-GB"/>
              </w:rPr>
              <w:t>interrogans</w:t>
            </w:r>
            <w:proofErr w:type="spellEnd"/>
            <w:r w:rsidRPr="007C59C9">
              <w:rPr>
                <w:i/>
                <w:lang w:val="en-GB"/>
              </w:rPr>
              <w:t xml:space="preserve"> </w:t>
            </w:r>
          </w:p>
          <w:p w14:paraId="3C49C383" w14:textId="77777777" w:rsidR="00DB1628" w:rsidRPr="007C59C9" w:rsidRDefault="00DB1628">
            <w:pPr>
              <w:pStyle w:val="TableParagraph"/>
              <w:widowControl/>
              <w:tabs>
                <w:tab w:val="left" w:pos="426"/>
              </w:tabs>
              <w:kinsoku w:val="0"/>
              <w:overflowPunct w:val="0"/>
              <w:spacing w:before="0"/>
              <w:ind w:left="0"/>
              <w:rPr>
                <w:lang w:val="en-GB"/>
              </w:rPr>
            </w:pPr>
            <w:r w:rsidRPr="007C59C9">
              <w:rPr>
                <w:i/>
                <w:lang w:val="en-GB"/>
              </w:rPr>
              <w:t>Treponema pallidum</w:t>
            </w:r>
          </w:p>
        </w:tc>
      </w:tr>
      <w:tr w:rsidR="00DB1628" w:rsidRPr="007C59C9" w14:paraId="1FB89F58" w14:textId="77777777" w:rsidTr="007B2912">
        <w:trPr>
          <w:trHeight w:val="20"/>
        </w:trPr>
        <w:tc>
          <w:tcPr>
            <w:tcW w:w="1156" w:type="pct"/>
            <w:tcBorders>
              <w:top w:val="single" w:sz="4" w:space="0" w:color="000000"/>
              <w:left w:val="single" w:sz="4" w:space="0" w:color="000000"/>
              <w:bottom w:val="single" w:sz="4" w:space="0" w:color="000000"/>
              <w:right w:val="single" w:sz="4" w:space="0" w:color="000000"/>
            </w:tcBorders>
            <w:hideMark/>
          </w:tcPr>
          <w:p w14:paraId="0E132E66" w14:textId="77777777" w:rsidR="00DB1628" w:rsidRPr="007C59C9" w:rsidRDefault="00DB1628">
            <w:pPr>
              <w:pStyle w:val="TableParagraph"/>
              <w:widowControl/>
              <w:tabs>
                <w:tab w:val="left" w:pos="426"/>
              </w:tabs>
              <w:kinsoku w:val="0"/>
              <w:overflowPunct w:val="0"/>
              <w:spacing w:before="0"/>
              <w:ind w:left="0"/>
              <w:rPr>
                <w:lang w:val="en-GB"/>
              </w:rPr>
            </w:pPr>
            <w:proofErr w:type="spellStart"/>
            <w:r w:rsidRPr="007C59C9">
              <w:rPr>
                <w:lang w:val="en-GB"/>
              </w:rPr>
              <w:lastRenderedPageBreak/>
              <w:t>Intermediært</w:t>
            </w:r>
            <w:proofErr w:type="spellEnd"/>
            <w:r w:rsidRPr="007C59C9">
              <w:rPr>
                <w:lang w:val="en-GB"/>
              </w:rPr>
              <w:t xml:space="preserve"> </w:t>
            </w:r>
            <w:proofErr w:type="spellStart"/>
            <w:r w:rsidRPr="007C59C9">
              <w:rPr>
                <w:lang w:val="en-GB"/>
              </w:rPr>
              <w:t>følsom</w:t>
            </w:r>
            <w:proofErr w:type="spellEnd"/>
          </w:p>
        </w:tc>
        <w:tc>
          <w:tcPr>
            <w:tcW w:w="3844" w:type="pct"/>
            <w:tcBorders>
              <w:top w:val="single" w:sz="4" w:space="0" w:color="000000"/>
              <w:left w:val="single" w:sz="4" w:space="0" w:color="000000"/>
              <w:bottom w:val="single" w:sz="4" w:space="0" w:color="000000"/>
              <w:right w:val="single" w:sz="4" w:space="0" w:color="000000"/>
            </w:tcBorders>
            <w:hideMark/>
          </w:tcPr>
          <w:p w14:paraId="10E7AEA3" w14:textId="77777777" w:rsidR="00DB1628" w:rsidRPr="007C59C9" w:rsidRDefault="00DB1628">
            <w:pPr>
              <w:pStyle w:val="TableParagraph"/>
              <w:widowControl/>
              <w:tabs>
                <w:tab w:val="left" w:pos="426"/>
              </w:tabs>
              <w:kinsoku w:val="0"/>
              <w:overflowPunct w:val="0"/>
              <w:spacing w:before="0"/>
              <w:ind w:left="0"/>
              <w:rPr>
                <w:lang w:val="en-GB"/>
              </w:rPr>
            </w:pPr>
            <w:proofErr w:type="spellStart"/>
            <w:r w:rsidRPr="007C59C9">
              <w:rPr>
                <w:lang w:val="en-GB"/>
              </w:rPr>
              <w:t>Enterokokker</w:t>
            </w:r>
            <w:proofErr w:type="spellEnd"/>
            <w:r w:rsidRPr="007C59C9">
              <w:rPr>
                <w:lang w:val="en-GB"/>
              </w:rPr>
              <w:t>.</w:t>
            </w:r>
          </w:p>
          <w:p w14:paraId="232363CE" w14:textId="77777777" w:rsidR="00DB1628" w:rsidRPr="007C59C9" w:rsidRDefault="00DB1628">
            <w:pPr>
              <w:pStyle w:val="TableParagraph"/>
              <w:widowControl/>
              <w:tabs>
                <w:tab w:val="left" w:pos="426"/>
              </w:tabs>
              <w:kinsoku w:val="0"/>
              <w:overflowPunct w:val="0"/>
              <w:spacing w:before="0"/>
              <w:ind w:left="0"/>
              <w:rPr>
                <w:lang w:val="en-GB"/>
              </w:rPr>
            </w:pPr>
            <w:r w:rsidRPr="007C59C9">
              <w:rPr>
                <w:i/>
                <w:lang w:val="en-GB"/>
              </w:rPr>
              <w:t>Haemophilus influenzae</w:t>
            </w:r>
          </w:p>
        </w:tc>
      </w:tr>
      <w:tr w:rsidR="00DB1628" w:rsidRPr="007C59C9" w14:paraId="1FC2BFC1" w14:textId="77777777" w:rsidTr="007B2912">
        <w:trPr>
          <w:trHeight w:val="20"/>
        </w:trPr>
        <w:tc>
          <w:tcPr>
            <w:tcW w:w="1156" w:type="pct"/>
            <w:tcBorders>
              <w:top w:val="single" w:sz="4" w:space="0" w:color="000000"/>
              <w:left w:val="single" w:sz="4" w:space="0" w:color="000000"/>
              <w:bottom w:val="single" w:sz="4" w:space="0" w:color="000000"/>
              <w:right w:val="single" w:sz="4" w:space="0" w:color="000000"/>
            </w:tcBorders>
            <w:hideMark/>
          </w:tcPr>
          <w:p w14:paraId="08C5ADB7" w14:textId="77777777" w:rsidR="00DB1628" w:rsidRPr="007C59C9" w:rsidRDefault="00DB1628">
            <w:pPr>
              <w:pStyle w:val="TableParagraph"/>
              <w:widowControl/>
              <w:tabs>
                <w:tab w:val="left" w:pos="426"/>
              </w:tabs>
              <w:kinsoku w:val="0"/>
              <w:overflowPunct w:val="0"/>
              <w:spacing w:before="0"/>
              <w:ind w:left="0"/>
              <w:rPr>
                <w:lang w:val="en-GB"/>
              </w:rPr>
            </w:pPr>
            <w:proofErr w:type="spellStart"/>
            <w:r w:rsidRPr="007C59C9">
              <w:rPr>
                <w:lang w:val="en-GB"/>
              </w:rPr>
              <w:t>Resistent</w:t>
            </w:r>
            <w:proofErr w:type="spellEnd"/>
          </w:p>
        </w:tc>
        <w:tc>
          <w:tcPr>
            <w:tcW w:w="3844" w:type="pct"/>
            <w:tcBorders>
              <w:top w:val="single" w:sz="4" w:space="0" w:color="000000"/>
              <w:left w:val="single" w:sz="4" w:space="0" w:color="000000"/>
              <w:bottom w:val="single" w:sz="4" w:space="0" w:color="000000"/>
              <w:right w:val="single" w:sz="4" w:space="0" w:color="000000"/>
            </w:tcBorders>
            <w:hideMark/>
          </w:tcPr>
          <w:p w14:paraId="22A6088B" w14:textId="77777777" w:rsidR="00DB1628" w:rsidRPr="007C59C9" w:rsidRDefault="00DB1628">
            <w:pPr>
              <w:pStyle w:val="TableParagraph"/>
              <w:widowControl/>
              <w:tabs>
                <w:tab w:val="left" w:pos="426"/>
              </w:tabs>
              <w:kinsoku w:val="0"/>
              <w:overflowPunct w:val="0"/>
              <w:spacing w:before="0"/>
              <w:ind w:left="0"/>
            </w:pPr>
            <w:r w:rsidRPr="007C59C9">
              <w:t>Stafylokokker</w:t>
            </w:r>
          </w:p>
          <w:p w14:paraId="56A285C6" w14:textId="77777777" w:rsidR="00DB1628" w:rsidRPr="007C59C9" w:rsidRDefault="00DB1628">
            <w:pPr>
              <w:pStyle w:val="TableParagraph"/>
              <w:widowControl/>
              <w:tabs>
                <w:tab w:val="left" w:pos="426"/>
              </w:tabs>
              <w:kinsoku w:val="0"/>
              <w:overflowPunct w:val="0"/>
              <w:spacing w:before="0"/>
              <w:ind w:left="0"/>
              <w:rPr>
                <w:i/>
                <w:iCs/>
              </w:rPr>
            </w:pPr>
            <w:proofErr w:type="spellStart"/>
            <w:r w:rsidRPr="007C59C9">
              <w:rPr>
                <w:i/>
              </w:rPr>
              <w:t>Moraxella</w:t>
            </w:r>
            <w:proofErr w:type="spellEnd"/>
            <w:r w:rsidRPr="007C59C9">
              <w:rPr>
                <w:i/>
              </w:rPr>
              <w:t xml:space="preserve"> </w:t>
            </w:r>
            <w:proofErr w:type="spellStart"/>
            <w:r w:rsidRPr="007C59C9">
              <w:rPr>
                <w:i/>
              </w:rPr>
              <w:t>catarrhalis</w:t>
            </w:r>
            <w:proofErr w:type="spellEnd"/>
          </w:p>
          <w:p w14:paraId="33F2EF7F" w14:textId="77777777" w:rsidR="00DB1628" w:rsidRPr="007C59C9" w:rsidRDefault="00DB1628">
            <w:pPr>
              <w:pStyle w:val="TableParagraph"/>
              <w:widowControl/>
              <w:tabs>
                <w:tab w:val="left" w:pos="426"/>
              </w:tabs>
              <w:kinsoku w:val="0"/>
              <w:overflowPunct w:val="0"/>
              <w:spacing w:before="0"/>
              <w:ind w:left="0"/>
            </w:pPr>
            <w:proofErr w:type="spellStart"/>
            <w:r w:rsidRPr="007C59C9">
              <w:t>Betalaktamase</w:t>
            </w:r>
            <w:proofErr w:type="spellEnd"/>
            <w:r w:rsidRPr="007C59C9">
              <w:t xml:space="preserve">-dannende gonokokker </w:t>
            </w:r>
          </w:p>
          <w:p w14:paraId="09DAAA90" w14:textId="77777777" w:rsidR="00DB1628" w:rsidRPr="007C59C9" w:rsidRDefault="00DB1628">
            <w:pPr>
              <w:pStyle w:val="TableParagraph"/>
              <w:widowControl/>
              <w:tabs>
                <w:tab w:val="left" w:pos="426"/>
              </w:tabs>
              <w:kinsoku w:val="0"/>
              <w:overflowPunct w:val="0"/>
              <w:spacing w:before="0"/>
              <w:ind w:left="0"/>
            </w:pPr>
            <w:proofErr w:type="spellStart"/>
            <w:r w:rsidRPr="007C59C9">
              <w:t>Betalaktamase</w:t>
            </w:r>
            <w:proofErr w:type="spellEnd"/>
            <w:r w:rsidRPr="007C59C9">
              <w:t xml:space="preserve">-dannende </w:t>
            </w:r>
            <w:proofErr w:type="spellStart"/>
            <w:r w:rsidRPr="007C59C9">
              <w:rPr>
                <w:i/>
              </w:rPr>
              <w:t>Haemophilus</w:t>
            </w:r>
            <w:proofErr w:type="spellEnd"/>
            <w:r w:rsidRPr="007C59C9">
              <w:rPr>
                <w:i/>
              </w:rPr>
              <w:t xml:space="preserve"> </w:t>
            </w:r>
            <w:proofErr w:type="spellStart"/>
            <w:r w:rsidRPr="007C59C9">
              <w:rPr>
                <w:i/>
              </w:rPr>
              <w:t>influenzae</w:t>
            </w:r>
            <w:proofErr w:type="spellEnd"/>
            <w:r w:rsidRPr="007C59C9">
              <w:t xml:space="preserve"> </w:t>
            </w:r>
          </w:p>
          <w:p w14:paraId="24CE1E78" w14:textId="77777777" w:rsidR="00DB1628" w:rsidRPr="007C59C9" w:rsidRDefault="00DB1628">
            <w:pPr>
              <w:pStyle w:val="TableParagraph"/>
              <w:widowControl/>
              <w:tabs>
                <w:tab w:val="left" w:pos="426"/>
              </w:tabs>
              <w:kinsoku w:val="0"/>
              <w:overflowPunct w:val="0"/>
              <w:spacing w:before="0"/>
              <w:ind w:left="0"/>
            </w:pPr>
            <w:r w:rsidRPr="007C59C9">
              <w:t>Gramnegative tarmbakterier</w:t>
            </w:r>
          </w:p>
          <w:p w14:paraId="1273B85D" w14:textId="77777777" w:rsidR="00DB1628" w:rsidRPr="00DE3E0A" w:rsidRDefault="00DB1628">
            <w:pPr>
              <w:pStyle w:val="TableParagraph"/>
              <w:widowControl/>
              <w:tabs>
                <w:tab w:val="left" w:pos="426"/>
              </w:tabs>
              <w:kinsoku w:val="0"/>
              <w:overflowPunct w:val="0"/>
              <w:spacing w:before="0"/>
              <w:ind w:left="0"/>
              <w:rPr>
                <w:i/>
              </w:rPr>
            </w:pPr>
            <w:proofErr w:type="spellStart"/>
            <w:r w:rsidRPr="00DE3E0A">
              <w:rPr>
                <w:i/>
              </w:rPr>
              <w:t>Pseudomonas</w:t>
            </w:r>
            <w:proofErr w:type="spellEnd"/>
            <w:r w:rsidRPr="00DE3E0A">
              <w:rPr>
                <w:i/>
              </w:rPr>
              <w:t xml:space="preserve"> </w:t>
            </w:r>
          </w:p>
          <w:p w14:paraId="7C74884C" w14:textId="77777777" w:rsidR="00DB1628" w:rsidRPr="00DE3E0A" w:rsidRDefault="00DB1628">
            <w:pPr>
              <w:pStyle w:val="TableParagraph"/>
              <w:widowControl/>
              <w:tabs>
                <w:tab w:val="left" w:pos="426"/>
              </w:tabs>
              <w:kinsoku w:val="0"/>
              <w:overflowPunct w:val="0"/>
              <w:spacing w:before="0"/>
              <w:ind w:left="0"/>
              <w:rPr>
                <w:i/>
              </w:rPr>
            </w:pPr>
            <w:r w:rsidRPr="00DE3E0A">
              <w:rPr>
                <w:i/>
              </w:rPr>
              <w:t xml:space="preserve">Legionella </w:t>
            </w:r>
          </w:p>
          <w:p w14:paraId="1D9DB483" w14:textId="77777777" w:rsidR="00DB1628" w:rsidRPr="00DE3E0A" w:rsidRDefault="00DB1628">
            <w:pPr>
              <w:pStyle w:val="TableParagraph"/>
              <w:widowControl/>
              <w:tabs>
                <w:tab w:val="left" w:pos="426"/>
              </w:tabs>
              <w:kinsoku w:val="0"/>
              <w:overflowPunct w:val="0"/>
              <w:spacing w:before="0"/>
              <w:ind w:left="0"/>
              <w:rPr>
                <w:i/>
              </w:rPr>
            </w:pPr>
            <w:proofErr w:type="spellStart"/>
            <w:r w:rsidRPr="00DE3E0A">
              <w:rPr>
                <w:i/>
              </w:rPr>
              <w:t>Bacteroides</w:t>
            </w:r>
            <w:proofErr w:type="spellEnd"/>
            <w:r w:rsidRPr="00DE3E0A">
              <w:rPr>
                <w:i/>
              </w:rPr>
              <w:t xml:space="preserve"> </w:t>
            </w:r>
            <w:proofErr w:type="spellStart"/>
            <w:r w:rsidRPr="00DE3E0A">
              <w:rPr>
                <w:i/>
              </w:rPr>
              <w:t>fragilis</w:t>
            </w:r>
            <w:proofErr w:type="spellEnd"/>
            <w:r w:rsidRPr="00DE3E0A">
              <w:rPr>
                <w:i/>
              </w:rPr>
              <w:t xml:space="preserve">. </w:t>
            </w:r>
          </w:p>
          <w:p w14:paraId="4622C474" w14:textId="77777777" w:rsidR="00DB1628" w:rsidRPr="00DE3E0A" w:rsidRDefault="00DB1628">
            <w:pPr>
              <w:pStyle w:val="TableParagraph"/>
              <w:widowControl/>
              <w:tabs>
                <w:tab w:val="left" w:pos="426"/>
              </w:tabs>
              <w:kinsoku w:val="0"/>
              <w:overflowPunct w:val="0"/>
              <w:spacing w:before="0"/>
              <w:ind w:left="0"/>
            </w:pPr>
            <w:proofErr w:type="spellStart"/>
            <w:r w:rsidRPr="00DE3E0A">
              <w:rPr>
                <w:i/>
              </w:rPr>
              <w:t>Clostridioides</w:t>
            </w:r>
            <w:proofErr w:type="spellEnd"/>
            <w:r w:rsidRPr="00DE3E0A">
              <w:rPr>
                <w:i/>
              </w:rPr>
              <w:t xml:space="preserve"> difficile</w:t>
            </w:r>
            <w:r w:rsidRPr="00DE3E0A">
              <w:t xml:space="preserve"> </w:t>
            </w:r>
          </w:p>
          <w:p w14:paraId="3ED77F31" w14:textId="77777777" w:rsidR="00DB1628" w:rsidRPr="00DE3E0A" w:rsidRDefault="00DB1628">
            <w:pPr>
              <w:pStyle w:val="TableParagraph"/>
              <w:widowControl/>
              <w:tabs>
                <w:tab w:val="left" w:pos="426"/>
              </w:tabs>
              <w:kinsoku w:val="0"/>
              <w:overflowPunct w:val="0"/>
              <w:spacing w:before="0"/>
              <w:ind w:left="0"/>
            </w:pPr>
            <w:proofErr w:type="spellStart"/>
            <w:r w:rsidRPr="00DE3E0A">
              <w:t>Mycoplasma</w:t>
            </w:r>
            <w:proofErr w:type="spellEnd"/>
            <w:r w:rsidRPr="00DE3E0A">
              <w:t xml:space="preserve"> </w:t>
            </w:r>
          </w:p>
          <w:p w14:paraId="6C37479A" w14:textId="77777777" w:rsidR="00DB1628" w:rsidRPr="00DE3E0A" w:rsidRDefault="00DB1628">
            <w:pPr>
              <w:pStyle w:val="TableParagraph"/>
              <w:widowControl/>
              <w:tabs>
                <w:tab w:val="left" w:pos="426"/>
              </w:tabs>
              <w:kinsoku w:val="0"/>
              <w:overflowPunct w:val="0"/>
              <w:spacing w:before="0"/>
              <w:ind w:left="0"/>
            </w:pPr>
            <w:proofErr w:type="spellStart"/>
            <w:r w:rsidRPr="00DE3E0A">
              <w:rPr>
                <w:i/>
              </w:rPr>
              <w:t>Chlamydia</w:t>
            </w:r>
            <w:proofErr w:type="spellEnd"/>
          </w:p>
        </w:tc>
      </w:tr>
      <w:bookmarkEnd w:id="16"/>
    </w:tbl>
    <w:p w14:paraId="0D431CAB" w14:textId="77777777" w:rsidR="00DB1628" w:rsidRPr="00DE3E0A" w:rsidRDefault="00DB1628" w:rsidP="00606CF0">
      <w:pPr>
        <w:ind w:left="851"/>
        <w:rPr>
          <w:sz w:val="24"/>
          <w:szCs w:val="24"/>
        </w:rPr>
      </w:pPr>
    </w:p>
    <w:p w14:paraId="62AF7F85" w14:textId="77777777" w:rsidR="00DB1628" w:rsidRPr="007C59C9" w:rsidRDefault="00DB1628" w:rsidP="007B2912">
      <w:pPr>
        <w:ind w:left="851"/>
        <w:rPr>
          <w:sz w:val="24"/>
          <w:szCs w:val="24"/>
        </w:rPr>
      </w:pPr>
      <w:r w:rsidRPr="007C59C9">
        <w:rPr>
          <w:sz w:val="24"/>
          <w:szCs w:val="24"/>
        </w:rPr>
        <w:t xml:space="preserve">Resistens forekommer (1-10 %) hos </w:t>
      </w:r>
      <w:proofErr w:type="spellStart"/>
      <w:r w:rsidRPr="007C59C9">
        <w:rPr>
          <w:sz w:val="24"/>
          <w:szCs w:val="24"/>
        </w:rPr>
        <w:t>pneumokokker</w:t>
      </w:r>
      <w:proofErr w:type="spellEnd"/>
      <w:r w:rsidRPr="007C59C9">
        <w:rPr>
          <w:sz w:val="24"/>
          <w:szCs w:val="24"/>
        </w:rPr>
        <w:t xml:space="preserve">, </w:t>
      </w:r>
      <w:proofErr w:type="spellStart"/>
      <w:r w:rsidRPr="007C59C9">
        <w:rPr>
          <w:i/>
          <w:sz w:val="24"/>
          <w:szCs w:val="24"/>
        </w:rPr>
        <w:t>Enterococcus</w:t>
      </w:r>
      <w:proofErr w:type="spellEnd"/>
      <w:r w:rsidRPr="007C59C9">
        <w:rPr>
          <w:i/>
          <w:sz w:val="24"/>
          <w:szCs w:val="24"/>
        </w:rPr>
        <w:t xml:space="preserve"> </w:t>
      </w:r>
      <w:proofErr w:type="spellStart"/>
      <w:r w:rsidRPr="007C59C9">
        <w:rPr>
          <w:i/>
          <w:sz w:val="24"/>
          <w:szCs w:val="24"/>
        </w:rPr>
        <w:t>faecalis</w:t>
      </w:r>
      <w:proofErr w:type="spellEnd"/>
      <w:r w:rsidRPr="007C59C9">
        <w:rPr>
          <w:sz w:val="24"/>
          <w:szCs w:val="24"/>
        </w:rPr>
        <w:t xml:space="preserve">, gonokokker samt </w:t>
      </w:r>
      <w:proofErr w:type="spellStart"/>
      <w:r w:rsidRPr="007C59C9">
        <w:rPr>
          <w:i/>
          <w:sz w:val="24"/>
          <w:szCs w:val="24"/>
        </w:rPr>
        <w:t>Haemophilus</w:t>
      </w:r>
      <w:proofErr w:type="spellEnd"/>
      <w:r w:rsidRPr="007C59C9">
        <w:rPr>
          <w:i/>
          <w:sz w:val="24"/>
          <w:szCs w:val="24"/>
        </w:rPr>
        <w:t xml:space="preserve"> </w:t>
      </w:r>
      <w:proofErr w:type="spellStart"/>
      <w:r w:rsidRPr="007C59C9">
        <w:rPr>
          <w:i/>
          <w:sz w:val="24"/>
          <w:szCs w:val="24"/>
        </w:rPr>
        <w:t>influenzae</w:t>
      </w:r>
      <w:proofErr w:type="spellEnd"/>
      <w:r w:rsidRPr="007C59C9">
        <w:rPr>
          <w:i/>
          <w:sz w:val="24"/>
          <w:szCs w:val="24"/>
        </w:rPr>
        <w:t>.</w:t>
      </w:r>
    </w:p>
    <w:p w14:paraId="01BC0263" w14:textId="77777777" w:rsidR="00DB1628" w:rsidRPr="007C59C9" w:rsidRDefault="00DB1628" w:rsidP="007B2912">
      <w:pPr>
        <w:ind w:left="851"/>
        <w:rPr>
          <w:sz w:val="24"/>
          <w:szCs w:val="24"/>
        </w:rPr>
      </w:pPr>
      <w:r w:rsidRPr="007C59C9">
        <w:rPr>
          <w:sz w:val="24"/>
          <w:szCs w:val="24"/>
        </w:rPr>
        <w:t xml:space="preserve">Resistens er almindelig (&gt; 10 %) hos </w:t>
      </w:r>
      <w:proofErr w:type="spellStart"/>
      <w:r w:rsidRPr="007C59C9">
        <w:rPr>
          <w:i/>
          <w:sz w:val="24"/>
          <w:szCs w:val="24"/>
        </w:rPr>
        <w:t>Enterococcus</w:t>
      </w:r>
      <w:proofErr w:type="spellEnd"/>
      <w:r w:rsidRPr="007C59C9">
        <w:rPr>
          <w:i/>
          <w:sz w:val="24"/>
          <w:szCs w:val="24"/>
        </w:rPr>
        <w:t xml:space="preserve"> </w:t>
      </w:r>
      <w:proofErr w:type="spellStart"/>
      <w:r w:rsidRPr="007C59C9">
        <w:rPr>
          <w:i/>
          <w:sz w:val="24"/>
          <w:szCs w:val="24"/>
        </w:rPr>
        <w:t>faecium</w:t>
      </w:r>
      <w:proofErr w:type="spellEnd"/>
      <w:r w:rsidRPr="007C59C9">
        <w:rPr>
          <w:sz w:val="24"/>
          <w:szCs w:val="24"/>
        </w:rPr>
        <w:t>.</w:t>
      </w:r>
    </w:p>
    <w:p w14:paraId="24B4471D" w14:textId="77777777" w:rsidR="00DB1628" w:rsidRPr="007C59C9" w:rsidRDefault="00DB1628" w:rsidP="007B2912">
      <w:pPr>
        <w:ind w:left="851"/>
        <w:rPr>
          <w:sz w:val="24"/>
          <w:szCs w:val="24"/>
        </w:rPr>
      </w:pPr>
    </w:p>
    <w:p w14:paraId="3318F164" w14:textId="77777777" w:rsidR="00DB1628" w:rsidRPr="007C59C9" w:rsidRDefault="00DB1628" w:rsidP="007B2912">
      <w:pPr>
        <w:ind w:left="851"/>
        <w:rPr>
          <w:i/>
          <w:iCs/>
          <w:sz w:val="24"/>
          <w:szCs w:val="24"/>
        </w:rPr>
      </w:pPr>
      <w:r w:rsidRPr="007C59C9">
        <w:rPr>
          <w:i/>
          <w:sz w:val="24"/>
          <w:szCs w:val="24"/>
        </w:rPr>
        <w:t>Resistensmekanismer</w:t>
      </w:r>
    </w:p>
    <w:p w14:paraId="5EF1493E" w14:textId="77777777" w:rsidR="00DB1628" w:rsidRPr="007C59C9" w:rsidRDefault="00DB1628" w:rsidP="007B2912">
      <w:pPr>
        <w:ind w:left="851"/>
        <w:rPr>
          <w:sz w:val="24"/>
          <w:szCs w:val="24"/>
        </w:rPr>
      </w:pPr>
      <w:r w:rsidRPr="007C59C9">
        <w:rPr>
          <w:sz w:val="24"/>
          <w:szCs w:val="24"/>
        </w:rPr>
        <w:t xml:space="preserve">Resistens kan forekomme som følge af bakteriel syntese af et større antal </w:t>
      </w:r>
      <w:proofErr w:type="spellStart"/>
      <w:r w:rsidRPr="007C59C9">
        <w:rPr>
          <w:sz w:val="24"/>
          <w:szCs w:val="24"/>
        </w:rPr>
        <w:t>betalaktamaser</w:t>
      </w:r>
      <w:proofErr w:type="spellEnd"/>
      <w:r w:rsidRPr="007C59C9">
        <w:rPr>
          <w:sz w:val="24"/>
          <w:szCs w:val="24"/>
        </w:rPr>
        <w:t xml:space="preserve">, som hydrolyserer penicillinet. Flere af disse kan hæmmes med </w:t>
      </w:r>
      <w:proofErr w:type="spellStart"/>
      <w:r w:rsidRPr="007C59C9">
        <w:rPr>
          <w:sz w:val="24"/>
          <w:szCs w:val="24"/>
        </w:rPr>
        <w:t>clavulansyre</w:t>
      </w:r>
      <w:proofErr w:type="spellEnd"/>
      <w:r w:rsidRPr="007C59C9">
        <w:rPr>
          <w:sz w:val="24"/>
          <w:szCs w:val="24"/>
        </w:rPr>
        <w:t>. Derudover kan der forekomme resistens som følge af dannelse af modificerede penicillinbindende proteiner (PBP). Resistensen er ofte plasmid-medieret.</w:t>
      </w:r>
    </w:p>
    <w:p w14:paraId="6993A70A" w14:textId="77777777" w:rsidR="00DB1628" w:rsidRPr="007C59C9" w:rsidRDefault="00DB1628" w:rsidP="007B2912">
      <w:pPr>
        <w:ind w:left="851"/>
        <w:rPr>
          <w:sz w:val="24"/>
          <w:szCs w:val="24"/>
        </w:rPr>
      </w:pPr>
      <w:r w:rsidRPr="007C59C9">
        <w:rPr>
          <w:sz w:val="24"/>
          <w:szCs w:val="24"/>
        </w:rPr>
        <w:t xml:space="preserve">Krydsresistens forekommer inden for </w:t>
      </w:r>
      <w:proofErr w:type="spellStart"/>
      <w:r w:rsidRPr="007C59C9">
        <w:rPr>
          <w:sz w:val="24"/>
          <w:szCs w:val="24"/>
        </w:rPr>
        <w:t>betalaktam</w:t>
      </w:r>
      <w:proofErr w:type="spellEnd"/>
      <w:r w:rsidRPr="007C59C9">
        <w:rPr>
          <w:sz w:val="24"/>
          <w:szCs w:val="24"/>
        </w:rPr>
        <w:t xml:space="preserve">-gruppen (penicilliner og </w:t>
      </w:r>
      <w:proofErr w:type="spellStart"/>
      <w:r w:rsidRPr="007C59C9">
        <w:rPr>
          <w:sz w:val="24"/>
          <w:szCs w:val="24"/>
        </w:rPr>
        <w:t>cefalosporiner</w:t>
      </w:r>
      <w:proofErr w:type="spellEnd"/>
      <w:r w:rsidRPr="007C59C9">
        <w:rPr>
          <w:sz w:val="24"/>
          <w:szCs w:val="24"/>
        </w:rPr>
        <w:t>).</w:t>
      </w:r>
    </w:p>
    <w:p w14:paraId="607C0A77" w14:textId="77777777" w:rsidR="00DB1628" w:rsidRPr="007C59C9" w:rsidRDefault="00DB1628" w:rsidP="007B2912">
      <w:pPr>
        <w:ind w:left="851"/>
        <w:rPr>
          <w:sz w:val="24"/>
          <w:szCs w:val="24"/>
        </w:rPr>
      </w:pPr>
    </w:p>
    <w:p w14:paraId="11AA5D49" w14:textId="77777777" w:rsidR="00DB1628" w:rsidRPr="007C59C9" w:rsidRDefault="00DB1628" w:rsidP="007B2912">
      <w:pPr>
        <w:ind w:left="851"/>
        <w:rPr>
          <w:i/>
          <w:iCs/>
          <w:sz w:val="24"/>
          <w:szCs w:val="24"/>
        </w:rPr>
      </w:pPr>
      <w:r w:rsidRPr="007C59C9">
        <w:rPr>
          <w:i/>
          <w:sz w:val="24"/>
          <w:szCs w:val="24"/>
        </w:rPr>
        <w:t>Udvikling af resistens</w:t>
      </w:r>
    </w:p>
    <w:p w14:paraId="4FC97C21" w14:textId="77777777" w:rsidR="00DB1628" w:rsidRPr="007C59C9" w:rsidRDefault="00DB1628" w:rsidP="007B2912">
      <w:pPr>
        <w:ind w:left="851"/>
        <w:rPr>
          <w:sz w:val="24"/>
          <w:szCs w:val="24"/>
        </w:rPr>
      </w:pPr>
      <w:r w:rsidRPr="007C59C9">
        <w:rPr>
          <w:sz w:val="24"/>
          <w:szCs w:val="24"/>
        </w:rPr>
        <w:t xml:space="preserve">Penicillin-resistente </w:t>
      </w:r>
      <w:proofErr w:type="spellStart"/>
      <w:r w:rsidRPr="007C59C9">
        <w:rPr>
          <w:sz w:val="24"/>
          <w:szCs w:val="24"/>
        </w:rPr>
        <w:t>pneumokokker</w:t>
      </w:r>
      <w:proofErr w:type="spellEnd"/>
      <w:r w:rsidRPr="007C59C9">
        <w:rPr>
          <w:sz w:val="24"/>
          <w:szCs w:val="24"/>
        </w:rPr>
        <w:t xml:space="preserve"> er resistente over for </w:t>
      </w:r>
      <w:proofErr w:type="spellStart"/>
      <w:r w:rsidRPr="007C59C9">
        <w:rPr>
          <w:sz w:val="24"/>
          <w:szCs w:val="24"/>
        </w:rPr>
        <w:t>benzylpenicillin</w:t>
      </w:r>
      <w:proofErr w:type="spellEnd"/>
      <w:r w:rsidRPr="007C59C9">
        <w:rPr>
          <w:sz w:val="24"/>
          <w:szCs w:val="24"/>
        </w:rPr>
        <w:t>. Disse stammer er almindelige i visse dele af Europa.</w:t>
      </w:r>
    </w:p>
    <w:p w14:paraId="7FABEA2E" w14:textId="77777777" w:rsidR="00DB1628" w:rsidRPr="007C59C9" w:rsidRDefault="00DB1628" w:rsidP="007B2912">
      <w:pPr>
        <w:ind w:left="851"/>
        <w:rPr>
          <w:sz w:val="24"/>
          <w:szCs w:val="24"/>
        </w:rPr>
      </w:pPr>
      <w:r w:rsidRPr="007C59C9">
        <w:rPr>
          <w:sz w:val="24"/>
          <w:szCs w:val="24"/>
        </w:rPr>
        <w:t>Bakterieresistens varierer geografisk, og der bør indhentes oplysninger om de lokale resistensforhold hos det lokale mikrobiologiske laboratorium.</w:t>
      </w:r>
    </w:p>
    <w:p w14:paraId="607BB9C1" w14:textId="77777777" w:rsidR="009260DE" w:rsidRPr="007C59C9" w:rsidRDefault="009260DE" w:rsidP="009260DE">
      <w:pPr>
        <w:tabs>
          <w:tab w:val="left" w:pos="851"/>
        </w:tabs>
        <w:ind w:left="851"/>
        <w:rPr>
          <w:sz w:val="24"/>
          <w:szCs w:val="24"/>
        </w:rPr>
      </w:pPr>
    </w:p>
    <w:p w14:paraId="05921063" w14:textId="77777777" w:rsidR="009260DE" w:rsidRPr="007C59C9" w:rsidRDefault="009260DE" w:rsidP="009260DE">
      <w:pPr>
        <w:tabs>
          <w:tab w:val="left" w:pos="851"/>
        </w:tabs>
        <w:ind w:left="851" w:hanging="851"/>
        <w:rPr>
          <w:b/>
          <w:sz w:val="24"/>
          <w:szCs w:val="24"/>
        </w:rPr>
      </w:pPr>
      <w:r w:rsidRPr="007C59C9">
        <w:rPr>
          <w:b/>
          <w:sz w:val="24"/>
          <w:szCs w:val="24"/>
        </w:rPr>
        <w:t>5.2</w:t>
      </w:r>
      <w:r w:rsidRPr="007C59C9">
        <w:rPr>
          <w:b/>
          <w:sz w:val="24"/>
          <w:szCs w:val="24"/>
        </w:rPr>
        <w:tab/>
      </w:r>
      <w:proofErr w:type="spellStart"/>
      <w:r w:rsidRPr="007C59C9">
        <w:rPr>
          <w:b/>
          <w:sz w:val="24"/>
          <w:szCs w:val="24"/>
        </w:rPr>
        <w:t>Farmakokinetiske</w:t>
      </w:r>
      <w:proofErr w:type="spellEnd"/>
      <w:r w:rsidRPr="007C59C9">
        <w:rPr>
          <w:b/>
          <w:sz w:val="24"/>
          <w:szCs w:val="24"/>
        </w:rPr>
        <w:t xml:space="preserve"> egenskaber</w:t>
      </w:r>
    </w:p>
    <w:p w14:paraId="315A307B" w14:textId="77777777" w:rsidR="00DB1628" w:rsidRPr="007C59C9" w:rsidRDefault="00DB1628" w:rsidP="007B2912">
      <w:pPr>
        <w:ind w:left="851"/>
        <w:rPr>
          <w:sz w:val="24"/>
          <w:szCs w:val="24"/>
        </w:rPr>
      </w:pPr>
      <w:proofErr w:type="spellStart"/>
      <w:r w:rsidRPr="007C59C9">
        <w:rPr>
          <w:sz w:val="24"/>
          <w:szCs w:val="24"/>
        </w:rPr>
        <w:t>Benzylpenicillin</w:t>
      </w:r>
      <w:proofErr w:type="spellEnd"/>
      <w:r w:rsidRPr="007C59C9">
        <w:rPr>
          <w:sz w:val="24"/>
          <w:szCs w:val="24"/>
        </w:rPr>
        <w:t xml:space="preserve"> er ikke syrestabilt og bliver ikke fuldstændigt absorberet ved oral administration. Derfor bør </w:t>
      </w:r>
      <w:proofErr w:type="spellStart"/>
      <w:r w:rsidRPr="007C59C9">
        <w:rPr>
          <w:sz w:val="24"/>
          <w:szCs w:val="24"/>
        </w:rPr>
        <w:t>benzylpenicillin</w:t>
      </w:r>
      <w:proofErr w:type="spellEnd"/>
      <w:r w:rsidRPr="007C59C9">
        <w:rPr>
          <w:sz w:val="24"/>
          <w:szCs w:val="24"/>
        </w:rPr>
        <w:t xml:space="preserve"> administreres intramuskulært eller intravenøst. Efter intravenøs injektion af 3 g </w:t>
      </w:r>
      <w:proofErr w:type="spellStart"/>
      <w:r w:rsidRPr="007C59C9">
        <w:rPr>
          <w:sz w:val="24"/>
          <w:szCs w:val="24"/>
        </w:rPr>
        <w:t>benzylpenicillinnatrium</w:t>
      </w:r>
      <w:proofErr w:type="spellEnd"/>
      <w:r w:rsidRPr="007C59C9">
        <w:rPr>
          <w:sz w:val="24"/>
          <w:szCs w:val="24"/>
        </w:rPr>
        <w:t xml:space="preserve"> bør der opnås en maksimal serumkoncentration på 300-400 mikrogram/ml. Efter 4 timer er serumkoncentrationen faldet til cirka 3 mikrogram/ml. Den biologiske halveringstid i serum er 30-50 minutter, og proteinbindingsgraden er cirka 65 %. Elimination af </w:t>
      </w:r>
      <w:proofErr w:type="spellStart"/>
      <w:r w:rsidRPr="007C59C9">
        <w:rPr>
          <w:sz w:val="24"/>
          <w:szCs w:val="24"/>
        </w:rPr>
        <w:t>benzylpenicillin</w:t>
      </w:r>
      <w:proofErr w:type="spellEnd"/>
      <w:r w:rsidRPr="007C59C9">
        <w:rPr>
          <w:sz w:val="24"/>
          <w:szCs w:val="24"/>
        </w:rPr>
        <w:t xml:space="preserve"> sker primært i nyrerne via </w:t>
      </w:r>
      <w:proofErr w:type="spellStart"/>
      <w:r w:rsidRPr="007C59C9">
        <w:rPr>
          <w:sz w:val="24"/>
          <w:szCs w:val="24"/>
        </w:rPr>
        <w:t>tubulær</w:t>
      </w:r>
      <w:proofErr w:type="spellEnd"/>
      <w:r w:rsidRPr="007C59C9">
        <w:rPr>
          <w:sz w:val="24"/>
          <w:szCs w:val="24"/>
        </w:rPr>
        <w:t xml:space="preserve"> sekretion og </w:t>
      </w:r>
      <w:proofErr w:type="spellStart"/>
      <w:r w:rsidRPr="007C59C9">
        <w:rPr>
          <w:sz w:val="24"/>
          <w:szCs w:val="24"/>
        </w:rPr>
        <w:t>glomerulær</w:t>
      </w:r>
      <w:proofErr w:type="spellEnd"/>
      <w:r w:rsidRPr="007C59C9">
        <w:rPr>
          <w:sz w:val="24"/>
          <w:szCs w:val="24"/>
        </w:rPr>
        <w:t xml:space="preserve"> filtration. I løbet af 6 timer udskilles cirka 70 % af den administrerede dosis i aktiv form via urinen. </w:t>
      </w:r>
      <w:proofErr w:type="spellStart"/>
      <w:r w:rsidRPr="007C59C9">
        <w:rPr>
          <w:sz w:val="24"/>
          <w:szCs w:val="24"/>
        </w:rPr>
        <w:t>Benzylpenicillin</w:t>
      </w:r>
      <w:proofErr w:type="spellEnd"/>
      <w:r w:rsidRPr="007C59C9">
        <w:rPr>
          <w:sz w:val="24"/>
          <w:szCs w:val="24"/>
        </w:rPr>
        <w:t xml:space="preserve"> penetrerer blod-cerebrospinalvæske-barrieren bedre ved meningitis. Koncentrationen er i gennemsnit 10-30 % af koncentrationen i serum.</w:t>
      </w:r>
    </w:p>
    <w:p w14:paraId="2E6F072F" w14:textId="77777777" w:rsidR="009260DE" w:rsidRPr="007C59C9" w:rsidRDefault="009260DE" w:rsidP="009260DE">
      <w:pPr>
        <w:tabs>
          <w:tab w:val="left" w:pos="851"/>
        </w:tabs>
        <w:ind w:left="851"/>
        <w:rPr>
          <w:sz w:val="24"/>
          <w:szCs w:val="24"/>
        </w:rPr>
      </w:pPr>
    </w:p>
    <w:p w14:paraId="74735C5B" w14:textId="77777777" w:rsidR="009260DE" w:rsidRPr="007C59C9" w:rsidRDefault="009260DE" w:rsidP="009260DE">
      <w:pPr>
        <w:tabs>
          <w:tab w:val="left" w:pos="851"/>
        </w:tabs>
        <w:ind w:left="851" w:hanging="851"/>
        <w:rPr>
          <w:b/>
          <w:sz w:val="24"/>
          <w:szCs w:val="24"/>
        </w:rPr>
      </w:pPr>
      <w:r w:rsidRPr="007C59C9">
        <w:rPr>
          <w:b/>
          <w:sz w:val="24"/>
          <w:szCs w:val="24"/>
        </w:rPr>
        <w:t>5.3</w:t>
      </w:r>
      <w:r w:rsidRPr="007C59C9">
        <w:rPr>
          <w:b/>
          <w:sz w:val="24"/>
          <w:szCs w:val="24"/>
        </w:rPr>
        <w:tab/>
      </w:r>
      <w:r w:rsidR="00BD7931" w:rsidRPr="007C59C9">
        <w:rPr>
          <w:b/>
          <w:sz w:val="24"/>
          <w:szCs w:val="24"/>
        </w:rPr>
        <w:t>Non-</w:t>
      </w:r>
      <w:r w:rsidRPr="007C59C9">
        <w:rPr>
          <w:b/>
          <w:sz w:val="24"/>
          <w:szCs w:val="24"/>
        </w:rPr>
        <w:t>kliniske sikkerhedsdata</w:t>
      </w:r>
    </w:p>
    <w:p w14:paraId="3E58C6B3" w14:textId="77777777" w:rsidR="00DB1628" w:rsidRPr="007C59C9" w:rsidRDefault="00DB1628" w:rsidP="007B2912">
      <w:pPr>
        <w:ind w:left="851"/>
        <w:rPr>
          <w:sz w:val="24"/>
          <w:szCs w:val="24"/>
        </w:rPr>
      </w:pPr>
      <w:r w:rsidRPr="007C59C9">
        <w:rPr>
          <w:sz w:val="24"/>
          <w:szCs w:val="24"/>
        </w:rPr>
        <w:t xml:space="preserve">Non-kliniske data viser ingen speciel risiko for mennesker vurderet ud fra konventionelle studier af sikkerhedsfarmakologi, toksicitet efter gentagne doser, genotoksicitet, </w:t>
      </w:r>
      <w:proofErr w:type="spellStart"/>
      <w:r w:rsidRPr="007C59C9">
        <w:rPr>
          <w:sz w:val="24"/>
          <w:szCs w:val="24"/>
        </w:rPr>
        <w:t>karcinogent</w:t>
      </w:r>
      <w:proofErr w:type="spellEnd"/>
      <w:r w:rsidRPr="007C59C9">
        <w:rPr>
          <w:sz w:val="24"/>
          <w:szCs w:val="24"/>
        </w:rPr>
        <w:t xml:space="preserve"> potentiale samt reproduktions- og udviklingstoksicitet.</w:t>
      </w:r>
    </w:p>
    <w:p w14:paraId="21E33837" w14:textId="77777777" w:rsidR="009260DE" w:rsidRPr="007C59C9" w:rsidRDefault="009260DE" w:rsidP="009260DE">
      <w:pPr>
        <w:tabs>
          <w:tab w:val="left" w:pos="851"/>
        </w:tabs>
        <w:ind w:left="851"/>
        <w:rPr>
          <w:sz w:val="24"/>
          <w:szCs w:val="24"/>
        </w:rPr>
      </w:pPr>
    </w:p>
    <w:p w14:paraId="24F0561F" w14:textId="77777777" w:rsidR="009260DE" w:rsidRPr="007C59C9" w:rsidRDefault="009260DE" w:rsidP="009260DE">
      <w:pPr>
        <w:tabs>
          <w:tab w:val="left" w:pos="851"/>
        </w:tabs>
        <w:ind w:left="851"/>
        <w:rPr>
          <w:sz w:val="24"/>
          <w:szCs w:val="24"/>
        </w:rPr>
      </w:pPr>
    </w:p>
    <w:p w14:paraId="3324A952" w14:textId="77777777" w:rsidR="009260DE" w:rsidRPr="007C59C9" w:rsidRDefault="009260DE" w:rsidP="009260DE">
      <w:pPr>
        <w:tabs>
          <w:tab w:val="left" w:pos="851"/>
        </w:tabs>
        <w:ind w:left="851" w:hanging="851"/>
        <w:rPr>
          <w:b/>
          <w:sz w:val="24"/>
          <w:szCs w:val="24"/>
        </w:rPr>
      </w:pPr>
      <w:r w:rsidRPr="007C59C9">
        <w:rPr>
          <w:b/>
          <w:sz w:val="24"/>
          <w:szCs w:val="24"/>
        </w:rPr>
        <w:t>6.</w:t>
      </w:r>
      <w:r w:rsidRPr="007C59C9">
        <w:rPr>
          <w:b/>
          <w:sz w:val="24"/>
          <w:szCs w:val="24"/>
        </w:rPr>
        <w:tab/>
        <w:t>FARMACEUTISKE OPLYSNINGER</w:t>
      </w:r>
    </w:p>
    <w:p w14:paraId="20808243" w14:textId="77777777" w:rsidR="009260DE" w:rsidRPr="007C59C9" w:rsidRDefault="009260DE" w:rsidP="009260DE">
      <w:pPr>
        <w:tabs>
          <w:tab w:val="left" w:pos="851"/>
        </w:tabs>
        <w:ind w:left="851"/>
        <w:rPr>
          <w:sz w:val="24"/>
          <w:szCs w:val="24"/>
        </w:rPr>
      </w:pPr>
    </w:p>
    <w:p w14:paraId="7D120526" w14:textId="77777777" w:rsidR="009260DE" w:rsidRPr="007C59C9" w:rsidRDefault="009260DE" w:rsidP="009260DE">
      <w:pPr>
        <w:tabs>
          <w:tab w:val="left" w:pos="851"/>
        </w:tabs>
        <w:ind w:left="851" w:hanging="851"/>
        <w:rPr>
          <w:b/>
          <w:sz w:val="24"/>
          <w:szCs w:val="24"/>
        </w:rPr>
      </w:pPr>
      <w:r w:rsidRPr="007C59C9">
        <w:rPr>
          <w:b/>
          <w:sz w:val="24"/>
          <w:szCs w:val="24"/>
        </w:rPr>
        <w:t>6.1</w:t>
      </w:r>
      <w:r w:rsidRPr="007C59C9">
        <w:rPr>
          <w:b/>
          <w:sz w:val="24"/>
          <w:szCs w:val="24"/>
        </w:rPr>
        <w:tab/>
        <w:t>Hjælpestoffer</w:t>
      </w:r>
    </w:p>
    <w:p w14:paraId="1B005D76" w14:textId="77777777" w:rsidR="00DB1628" w:rsidRPr="007C59C9" w:rsidRDefault="00DB1628" w:rsidP="007B2912">
      <w:pPr>
        <w:ind w:left="851"/>
        <w:rPr>
          <w:sz w:val="24"/>
          <w:szCs w:val="24"/>
        </w:rPr>
      </w:pPr>
      <w:r w:rsidRPr="007C59C9">
        <w:rPr>
          <w:sz w:val="24"/>
          <w:szCs w:val="24"/>
        </w:rPr>
        <w:t>Ingen.</w:t>
      </w:r>
    </w:p>
    <w:p w14:paraId="73CA0D82" w14:textId="77777777" w:rsidR="009260DE" w:rsidRPr="007C59C9" w:rsidRDefault="009260DE" w:rsidP="009260DE">
      <w:pPr>
        <w:tabs>
          <w:tab w:val="left" w:pos="851"/>
        </w:tabs>
        <w:ind w:left="851"/>
        <w:rPr>
          <w:sz w:val="24"/>
          <w:szCs w:val="24"/>
        </w:rPr>
      </w:pPr>
    </w:p>
    <w:p w14:paraId="29751EC7" w14:textId="77777777" w:rsidR="009260DE" w:rsidRPr="007C59C9" w:rsidRDefault="009260DE" w:rsidP="009260DE">
      <w:pPr>
        <w:tabs>
          <w:tab w:val="left" w:pos="851"/>
        </w:tabs>
        <w:ind w:left="851" w:hanging="851"/>
        <w:rPr>
          <w:b/>
          <w:sz w:val="24"/>
          <w:szCs w:val="24"/>
        </w:rPr>
      </w:pPr>
      <w:r w:rsidRPr="007C59C9">
        <w:rPr>
          <w:b/>
          <w:sz w:val="24"/>
          <w:szCs w:val="24"/>
        </w:rPr>
        <w:t>6.2</w:t>
      </w:r>
      <w:r w:rsidRPr="007C59C9">
        <w:rPr>
          <w:b/>
          <w:sz w:val="24"/>
          <w:szCs w:val="24"/>
        </w:rPr>
        <w:tab/>
        <w:t>Uforligeligheder</w:t>
      </w:r>
    </w:p>
    <w:p w14:paraId="0D2A7729" w14:textId="02893B70" w:rsidR="009260DE" w:rsidRPr="007C59C9" w:rsidRDefault="00DB1628" w:rsidP="00606CF0">
      <w:pPr>
        <w:ind w:left="851"/>
        <w:rPr>
          <w:sz w:val="24"/>
          <w:szCs w:val="24"/>
        </w:rPr>
      </w:pPr>
      <w:r w:rsidRPr="007C59C9">
        <w:rPr>
          <w:sz w:val="24"/>
          <w:szCs w:val="24"/>
        </w:rPr>
        <w:t>Da der ikke foreligger studier af eventuelle uforligeligheder, må dette lægemiddel ikke blandes med andre lægemidler.</w:t>
      </w:r>
    </w:p>
    <w:p w14:paraId="312A2295" w14:textId="77777777" w:rsidR="009260DE" w:rsidRPr="007C59C9" w:rsidRDefault="009260DE" w:rsidP="009260DE">
      <w:pPr>
        <w:tabs>
          <w:tab w:val="left" w:pos="851"/>
        </w:tabs>
        <w:ind w:left="851"/>
        <w:rPr>
          <w:sz w:val="24"/>
          <w:szCs w:val="24"/>
        </w:rPr>
      </w:pPr>
    </w:p>
    <w:p w14:paraId="387D7AEE" w14:textId="77777777" w:rsidR="009260DE" w:rsidRPr="007C59C9" w:rsidRDefault="009260DE" w:rsidP="009260DE">
      <w:pPr>
        <w:tabs>
          <w:tab w:val="left" w:pos="851"/>
        </w:tabs>
        <w:ind w:left="851" w:hanging="851"/>
        <w:rPr>
          <w:b/>
          <w:sz w:val="24"/>
          <w:szCs w:val="24"/>
        </w:rPr>
      </w:pPr>
      <w:r w:rsidRPr="007C59C9">
        <w:rPr>
          <w:b/>
          <w:sz w:val="24"/>
          <w:szCs w:val="24"/>
        </w:rPr>
        <w:t>6.3</w:t>
      </w:r>
      <w:r w:rsidRPr="007C59C9">
        <w:rPr>
          <w:b/>
          <w:sz w:val="24"/>
          <w:szCs w:val="24"/>
        </w:rPr>
        <w:tab/>
        <w:t>Opbevaringstid</w:t>
      </w:r>
    </w:p>
    <w:p w14:paraId="522CEC5B" w14:textId="28431EA6" w:rsidR="00DB1628" w:rsidRPr="007C59C9" w:rsidRDefault="00DB1628" w:rsidP="007B2912">
      <w:pPr>
        <w:ind w:left="851"/>
        <w:rPr>
          <w:sz w:val="24"/>
          <w:szCs w:val="24"/>
        </w:rPr>
      </w:pPr>
      <w:r w:rsidRPr="007C59C9">
        <w:rPr>
          <w:sz w:val="24"/>
          <w:szCs w:val="24"/>
        </w:rPr>
        <w:t>30 måneder.</w:t>
      </w:r>
    </w:p>
    <w:p w14:paraId="2074499C" w14:textId="77777777" w:rsidR="00DB1628" w:rsidRPr="007C59C9" w:rsidRDefault="00DB1628" w:rsidP="007B2912">
      <w:pPr>
        <w:ind w:left="851"/>
        <w:rPr>
          <w:sz w:val="24"/>
          <w:szCs w:val="24"/>
        </w:rPr>
      </w:pPr>
    </w:p>
    <w:p w14:paraId="2838A463" w14:textId="77777777" w:rsidR="00DB1628" w:rsidRPr="007C59C9" w:rsidRDefault="00DB1628" w:rsidP="007B2912">
      <w:pPr>
        <w:ind w:left="851"/>
        <w:rPr>
          <w:sz w:val="24"/>
          <w:szCs w:val="24"/>
        </w:rPr>
      </w:pPr>
      <w:bookmarkStart w:id="17" w:name="_Hlk73434580"/>
      <w:r w:rsidRPr="007C59C9">
        <w:rPr>
          <w:sz w:val="24"/>
          <w:szCs w:val="24"/>
        </w:rPr>
        <w:t xml:space="preserve">Efter </w:t>
      </w:r>
      <w:proofErr w:type="spellStart"/>
      <w:r w:rsidRPr="007C59C9">
        <w:rPr>
          <w:sz w:val="24"/>
          <w:szCs w:val="24"/>
        </w:rPr>
        <w:t>rekonstitution</w:t>
      </w:r>
      <w:proofErr w:type="spellEnd"/>
      <w:r w:rsidRPr="007C59C9">
        <w:rPr>
          <w:sz w:val="24"/>
          <w:szCs w:val="24"/>
        </w:rPr>
        <w:t xml:space="preserve"> </w:t>
      </w:r>
    </w:p>
    <w:p w14:paraId="20074514" w14:textId="77777777" w:rsidR="00DB1628" w:rsidRPr="007C59C9" w:rsidRDefault="00DB1628" w:rsidP="007B2912">
      <w:pPr>
        <w:ind w:left="851"/>
        <w:rPr>
          <w:sz w:val="24"/>
          <w:szCs w:val="24"/>
        </w:rPr>
      </w:pPr>
      <w:r w:rsidRPr="007C59C9">
        <w:rPr>
          <w:sz w:val="24"/>
          <w:szCs w:val="24"/>
        </w:rPr>
        <w:t>Må ikke opbevares i køleskab.</w:t>
      </w:r>
    </w:p>
    <w:p w14:paraId="51F1E54F" w14:textId="77777777" w:rsidR="00DB1628" w:rsidRPr="007C59C9" w:rsidRDefault="00DB1628" w:rsidP="007B2912">
      <w:pPr>
        <w:ind w:left="851"/>
        <w:rPr>
          <w:sz w:val="24"/>
          <w:szCs w:val="24"/>
        </w:rPr>
      </w:pPr>
      <w:r w:rsidRPr="007C59C9">
        <w:rPr>
          <w:sz w:val="24"/>
          <w:szCs w:val="24"/>
        </w:rPr>
        <w:t>Der er påvist kemisk og fysisk stabilitet i 4-12 timer efter ibrugtagning ved 25 °C.</w:t>
      </w:r>
    </w:p>
    <w:p w14:paraId="47F6E7C2" w14:textId="77777777" w:rsidR="00DB1628" w:rsidRPr="007C59C9" w:rsidRDefault="00DB1628" w:rsidP="007B2912">
      <w:pPr>
        <w:ind w:left="851"/>
        <w:rPr>
          <w:sz w:val="24"/>
          <w:szCs w:val="24"/>
        </w:rPr>
      </w:pPr>
      <w:r w:rsidRPr="007C59C9">
        <w:rPr>
          <w:sz w:val="24"/>
          <w:szCs w:val="24"/>
        </w:rPr>
        <w:t>Ud fra et mikrobiologisk synspunkt bør præparatet anvendes med det samme, medmindre den anvendte metode til åbning/</w:t>
      </w:r>
      <w:proofErr w:type="spellStart"/>
      <w:r w:rsidRPr="007C59C9">
        <w:rPr>
          <w:sz w:val="24"/>
          <w:szCs w:val="24"/>
        </w:rPr>
        <w:t>rekonstitution</w:t>
      </w:r>
      <w:proofErr w:type="spellEnd"/>
      <w:r w:rsidRPr="007C59C9">
        <w:rPr>
          <w:sz w:val="24"/>
          <w:szCs w:val="24"/>
        </w:rPr>
        <w:t>/fortynding udelukker risikoen for mikrobiel kontaminering. </w:t>
      </w:r>
    </w:p>
    <w:p w14:paraId="6625D212" w14:textId="77777777" w:rsidR="00DB1628" w:rsidRPr="007C59C9" w:rsidRDefault="00DB1628" w:rsidP="007B2912">
      <w:pPr>
        <w:ind w:left="851"/>
        <w:rPr>
          <w:sz w:val="24"/>
          <w:szCs w:val="24"/>
        </w:rPr>
      </w:pPr>
      <w:r w:rsidRPr="007C59C9">
        <w:rPr>
          <w:sz w:val="24"/>
          <w:szCs w:val="24"/>
        </w:rPr>
        <w:t>Hvis det ikke anvendes med det samme, er brugeren ansvarlig for opbevaringstiden og -betingelserne efter anbrud.</w:t>
      </w:r>
      <w:bookmarkStart w:id="18" w:name="_Hlk73438619"/>
      <w:bookmarkEnd w:id="17"/>
    </w:p>
    <w:bookmarkEnd w:id="18"/>
    <w:p w14:paraId="53F8D926" w14:textId="77777777" w:rsidR="00DB1628" w:rsidRPr="007C59C9" w:rsidRDefault="00DB1628" w:rsidP="007B2912">
      <w:pPr>
        <w:ind w:left="851"/>
        <w:rPr>
          <w:sz w:val="24"/>
          <w:szCs w:val="24"/>
        </w:rPr>
      </w:pPr>
      <w:r w:rsidRPr="007C59C9">
        <w:rPr>
          <w:sz w:val="24"/>
          <w:szCs w:val="24"/>
        </w:rPr>
        <w:t xml:space="preserve">Efter </w:t>
      </w:r>
      <w:proofErr w:type="spellStart"/>
      <w:r w:rsidRPr="007C59C9">
        <w:rPr>
          <w:sz w:val="24"/>
          <w:szCs w:val="24"/>
        </w:rPr>
        <w:t>rekonstitution</w:t>
      </w:r>
      <w:proofErr w:type="spellEnd"/>
      <w:r w:rsidRPr="007C59C9">
        <w:rPr>
          <w:sz w:val="24"/>
          <w:szCs w:val="24"/>
        </w:rPr>
        <w:t xml:space="preserve"> skal præparatet beskyttes mod lys.</w:t>
      </w:r>
    </w:p>
    <w:p w14:paraId="33F26D9E" w14:textId="77777777" w:rsidR="009260DE" w:rsidRPr="007C59C9" w:rsidRDefault="009260DE" w:rsidP="009260DE">
      <w:pPr>
        <w:tabs>
          <w:tab w:val="left" w:pos="851"/>
        </w:tabs>
        <w:ind w:left="851"/>
        <w:rPr>
          <w:sz w:val="24"/>
          <w:szCs w:val="24"/>
        </w:rPr>
      </w:pPr>
    </w:p>
    <w:p w14:paraId="76642029" w14:textId="77777777" w:rsidR="009260DE" w:rsidRPr="007C59C9" w:rsidRDefault="009260DE" w:rsidP="009260DE">
      <w:pPr>
        <w:tabs>
          <w:tab w:val="left" w:pos="851"/>
        </w:tabs>
        <w:ind w:left="851" w:hanging="851"/>
        <w:rPr>
          <w:b/>
          <w:sz w:val="24"/>
          <w:szCs w:val="24"/>
        </w:rPr>
      </w:pPr>
      <w:r w:rsidRPr="007C59C9">
        <w:rPr>
          <w:b/>
          <w:sz w:val="24"/>
          <w:szCs w:val="24"/>
        </w:rPr>
        <w:t>6.4</w:t>
      </w:r>
      <w:r w:rsidRPr="007C59C9">
        <w:rPr>
          <w:b/>
          <w:sz w:val="24"/>
          <w:szCs w:val="24"/>
        </w:rPr>
        <w:tab/>
        <w:t>Særlige opbevaringsforhold</w:t>
      </w:r>
    </w:p>
    <w:p w14:paraId="7E91A5F2" w14:textId="77777777" w:rsidR="00DB1628" w:rsidRPr="007C59C9" w:rsidRDefault="00DB1628" w:rsidP="007B2912">
      <w:pPr>
        <w:ind w:left="851"/>
        <w:rPr>
          <w:sz w:val="24"/>
          <w:szCs w:val="24"/>
        </w:rPr>
      </w:pPr>
      <w:r w:rsidRPr="007C59C9">
        <w:rPr>
          <w:sz w:val="24"/>
          <w:szCs w:val="24"/>
        </w:rPr>
        <w:t>Dette lægemiddel kræver ingen særlige forholdsregler vedrørende opbevaringen.</w:t>
      </w:r>
    </w:p>
    <w:p w14:paraId="349827A1" w14:textId="77777777" w:rsidR="00DB1628" w:rsidRPr="007C59C9" w:rsidRDefault="00DB1628" w:rsidP="007B2912">
      <w:pPr>
        <w:ind w:left="851"/>
        <w:rPr>
          <w:sz w:val="24"/>
          <w:szCs w:val="24"/>
          <w:highlight w:val="yellow"/>
        </w:rPr>
      </w:pPr>
      <w:r w:rsidRPr="007C59C9">
        <w:rPr>
          <w:sz w:val="24"/>
          <w:szCs w:val="24"/>
        </w:rPr>
        <w:t xml:space="preserve">Opbevaringsforhold efter </w:t>
      </w:r>
      <w:proofErr w:type="spellStart"/>
      <w:r w:rsidRPr="007C59C9">
        <w:rPr>
          <w:sz w:val="24"/>
          <w:szCs w:val="24"/>
        </w:rPr>
        <w:t>rekonstitution</w:t>
      </w:r>
      <w:proofErr w:type="spellEnd"/>
      <w:r w:rsidRPr="007C59C9">
        <w:rPr>
          <w:sz w:val="24"/>
          <w:szCs w:val="24"/>
        </w:rPr>
        <w:t xml:space="preserve"> af lægemidlet, se pkt. 6.3.</w:t>
      </w:r>
    </w:p>
    <w:p w14:paraId="067B7BF5" w14:textId="77777777" w:rsidR="009260DE" w:rsidRPr="007C59C9" w:rsidRDefault="009260DE" w:rsidP="009260DE">
      <w:pPr>
        <w:tabs>
          <w:tab w:val="left" w:pos="851"/>
        </w:tabs>
        <w:ind w:left="851"/>
        <w:rPr>
          <w:sz w:val="24"/>
          <w:szCs w:val="24"/>
        </w:rPr>
      </w:pPr>
    </w:p>
    <w:p w14:paraId="4A4F1489" w14:textId="77777777" w:rsidR="009260DE" w:rsidRPr="007C59C9" w:rsidRDefault="009260DE" w:rsidP="009260DE">
      <w:pPr>
        <w:tabs>
          <w:tab w:val="left" w:pos="851"/>
        </w:tabs>
        <w:ind w:left="851" w:hanging="851"/>
        <w:rPr>
          <w:b/>
          <w:sz w:val="24"/>
          <w:szCs w:val="24"/>
        </w:rPr>
      </w:pPr>
      <w:r w:rsidRPr="007C59C9">
        <w:rPr>
          <w:b/>
          <w:sz w:val="24"/>
          <w:szCs w:val="24"/>
        </w:rPr>
        <w:t>6.5</w:t>
      </w:r>
      <w:r w:rsidRPr="007C59C9">
        <w:rPr>
          <w:b/>
          <w:sz w:val="24"/>
          <w:szCs w:val="24"/>
        </w:rPr>
        <w:tab/>
        <w:t>Emballagetype og pakningsstørrelser</w:t>
      </w:r>
    </w:p>
    <w:p w14:paraId="790DC582" w14:textId="77777777" w:rsidR="00DB1628" w:rsidRPr="007C59C9" w:rsidRDefault="00DB1628" w:rsidP="007B2912">
      <w:pPr>
        <w:ind w:left="851"/>
        <w:rPr>
          <w:sz w:val="24"/>
          <w:szCs w:val="24"/>
        </w:rPr>
      </w:pPr>
      <w:r w:rsidRPr="007C59C9">
        <w:rPr>
          <w:sz w:val="24"/>
          <w:szCs w:val="24"/>
        </w:rPr>
        <w:t>Farveløse, gennemsigtige hætteglas, der er fremstillet af natrium-calcium-</w:t>
      </w:r>
      <w:proofErr w:type="spellStart"/>
      <w:r w:rsidRPr="007C59C9">
        <w:rPr>
          <w:sz w:val="24"/>
          <w:szCs w:val="24"/>
        </w:rPr>
        <w:t>silicat</w:t>
      </w:r>
      <w:proofErr w:type="spellEnd"/>
      <w:r w:rsidRPr="007C59C9">
        <w:rPr>
          <w:sz w:val="24"/>
          <w:szCs w:val="24"/>
        </w:rPr>
        <w:t xml:space="preserve">-glas (type III), med en nominel kapacitet på 20 ml. </w:t>
      </w:r>
      <w:bookmarkStart w:id="19" w:name="_Hlk99098118"/>
      <w:r w:rsidRPr="007C59C9">
        <w:rPr>
          <w:sz w:val="24"/>
          <w:szCs w:val="24"/>
        </w:rPr>
        <w:t xml:space="preserve">Hætteglassene er lukket med en grå prop af </w:t>
      </w:r>
      <w:proofErr w:type="spellStart"/>
      <w:r w:rsidRPr="007C59C9">
        <w:rPr>
          <w:sz w:val="24"/>
          <w:szCs w:val="24"/>
        </w:rPr>
        <w:t>chlorobutylgummi</w:t>
      </w:r>
      <w:proofErr w:type="spellEnd"/>
      <w:r w:rsidRPr="007C59C9">
        <w:rPr>
          <w:sz w:val="24"/>
          <w:szCs w:val="24"/>
        </w:rPr>
        <w:t xml:space="preserve"> (type I) og krympehætter af aluminium. </w:t>
      </w:r>
      <w:bookmarkEnd w:id="19"/>
    </w:p>
    <w:p w14:paraId="205F0696" w14:textId="77777777" w:rsidR="00DB1628" w:rsidRPr="007C59C9" w:rsidRDefault="00DB1628" w:rsidP="007B2912">
      <w:pPr>
        <w:ind w:left="851"/>
        <w:rPr>
          <w:sz w:val="24"/>
          <w:szCs w:val="24"/>
        </w:rPr>
      </w:pPr>
      <w:r w:rsidRPr="007C59C9">
        <w:rPr>
          <w:sz w:val="24"/>
          <w:szCs w:val="24"/>
        </w:rPr>
        <w:t>1 eller 10 hætteglas i en papæske.</w:t>
      </w:r>
    </w:p>
    <w:p w14:paraId="788C73CB" w14:textId="77777777" w:rsidR="00DB1628" w:rsidRPr="007C59C9" w:rsidRDefault="00DB1628" w:rsidP="007B2912">
      <w:pPr>
        <w:ind w:left="851"/>
        <w:rPr>
          <w:sz w:val="24"/>
          <w:szCs w:val="24"/>
        </w:rPr>
      </w:pPr>
    </w:p>
    <w:p w14:paraId="3F4321A4" w14:textId="77777777" w:rsidR="00DB1628" w:rsidRPr="007C59C9" w:rsidRDefault="00DB1628" w:rsidP="007B2912">
      <w:pPr>
        <w:ind w:left="851"/>
        <w:rPr>
          <w:sz w:val="24"/>
          <w:szCs w:val="24"/>
        </w:rPr>
      </w:pPr>
      <w:r w:rsidRPr="007C59C9">
        <w:rPr>
          <w:sz w:val="24"/>
          <w:szCs w:val="24"/>
        </w:rPr>
        <w:t>Ikke alle pakningsstørrelser er nødvendigvis markedsført.</w:t>
      </w:r>
    </w:p>
    <w:p w14:paraId="0F5D10AB" w14:textId="77777777" w:rsidR="009260DE" w:rsidRPr="007C59C9" w:rsidRDefault="009260DE" w:rsidP="009260DE">
      <w:pPr>
        <w:tabs>
          <w:tab w:val="left" w:pos="851"/>
        </w:tabs>
        <w:ind w:left="851"/>
        <w:rPr>
          <w:sz w:val="24"/>
          <w:szCs w:val="24"/>
        </w:rPr>
      </w:pPr>
    </w:p>
    <w:p w14:paraId="005525A0" w14:textId="77777777" w:rsidR="009260DE" w:rsidRPr="007C59C9" w:rsidRDefault="009260DE" w:rsidP="009260DE">
      <w:pPr>
        <w:tabs>
          <w:tab w:val="left" w:pos="851"/>
        </w:tabs>
        <w:ind w:left="851" w:hanging="851"/>
        <w:rPr>
          <w:b/>
          <w:sz w:val="24"/>
          <w:szCs w:val="24"/>
        </w:rPr>
      </w:pPr>
      <w:r w:rsidRPr="007C59C9">
        <w:rPr>
          <w:b/>
          <w:sz w:val="24"/>
          <w:szCs w:val="24"/>
        </w:rPr>
        <w:t>6.6</w:t>
      </w:r>
      <w:r w:rsidRPr="007C59C9">
        <w:rPr>
          <w:b/>
          <w:sz w:val="24"/>
          <w:szCs w:val="24"/>
        </w:rPr>
        <w:tab/>
        <w:t xml:space="preserve">Regler for </w:t>
      </w:r>
      <w:r w:rsidR="00BD7931" w:rsidRPr="007C59C9">
        <w:rPr>
          <w:b/>
          <w:sz w:val="24"/>
          <w:szCs w:val="24"/>
        </w:rPr>
        <w:t>bortskaffelse</w:t>
      </w:r>
      <w:r w:rsidRPr="007C59C9">
        <w:rPr>
          <w:b/>
          <w:sz w:val="24"/>
          <w:szCs w:val="24"/>
        </w:rPr>
        <w:t xml:space="preserve"> og anden håndtering</w:t>
      </w:r>
    </w:p>
    <w:p w14:paraId="1C558776" w14:textId="77777777" w:rsidR="00606CF0" w:rsidRDefault="00606CF0" w:rsidP="007B2912">
      <w:pPr>
        <w:ind w:left="851"/>
        <w:rPr>
          <w:sz w:val="24"/>
          <w:szCs w:val="24"/>
        </w:rPr>
      </w:pPr>
    </w:p>
    <w:p w14:paraId="64DE5F7B" w14:textId="31FB9A27" w:rsidR="00DB1628" w:rsidRPr="00606CF0" w:rsidRDefault="00DB1628" w:rsidP="007B2912">
      <w:pPr>
        <w:ind w:left="851"/>
        <w:rPr>
          <w:sz w:val="24"/>
          <w:szCs w:val="24"/>
          <w:u w:val="single"/>
        </w:rPr>
      </w:pPr>
      <w:r w:rsidRPr="00606CF0">
        <w:rPr>
          <w:sz w:val="24"/>
          <w:szCs w:val="24"/>
          <w:u w:val="single"/>
        </w:rPr>
        <w:t>Intramuskulær injektion</w:t>
      </w:r>
    </w:p>
    <w:p w14:paraId="4201EC91" w14:textId="77777777" w:rsidR="00DB1628" w:rsidRPr="007C59C9" w:rsidRDefault="00DB1628" w:rsidP="007B2912">
      <w:pPr>
        <w:ind w:left="851"/>
        <w:rPr>
          <w:sz w:val="24"/>
          <w:szCs w:val="24"/>
        </w:rPr>
      </w:pPr>
      <w:bookmarkStart w:id="20" w:name="_Hlk58321409"/>
      <w:r w:rsidRPr="007C59C9">
        <w:rPr>
          <w:sz w:val="24"/>
          <w:szCs w:val="24"/>
        </w:rPr>
        <w:t xml:space="preserve">Lægemidlet skal injiceres i store muskelgrupper. </w:t>
      </w:r>
      <w:bookmarkEnd w:id="20"/>
    </w:p>
    <w:p w14:paraId="0A29363F" w14:textId="77777777" w:rsidR="00216733" w:rsidRDefault="00216733" w:rsidP="00216733">
      <w:pPr>
        <w:ind w:left="851"/>
        <w:rPr>
          <w:b/>
          <w:bCs/>
          <w:sz w:val="24"/>
          <w:szCs w:val="24"/>
        </w:rPr>
      </w:pPr>
      <w:r>
        <w:rPr>
          <w:b/>
          <w:bCs/>
          <w:sz w:val="24"/>
          <w:szCs w:val="24"/>
        </w:rPr>
        <w:t xml:space="preserve">Doser over 1,67 millioner IE (svarende til 0,9 g </w:t>
      </w:r>
      <w:proofErr w:type="spellStart"/>
      <w:r>
        <w:rPr>
          <w:b/>
          <w:bCs/>
          <w:sz w:val="24"/>
          <w:szCs w:val="24"/>
        </w:rPr>
        <w:t>benzylpenicillin</w:t>
      </w:r>
      <w:proofErr w:type="spellEnd"/>
      <w:r>
        <w:rPr>
          <w:b/>
          <w:bCs/>
          <w:sz w:val="24"/>
          <w:szCs w:val="24"/>
        </w:rPr>
        <w:t>) må ikke injiceres på ét sted.</w:t>
      </w:r>
    </w:p>
    <w:p w14:paraId="6AC5B0DD" w14:textId="77777777" w:rsidR="00DB1628" w:rsidRPr="007C59C9" w:rsidRDefault="00DB1628" w:rsidP="007B2912">
      <w:pPr>
        <w:ind w:left="851"/>
        <w:rPr>
          <w:sz w:val="24"/>
          <w:szCs w:val="24"/>
        </w:rPr>
      </w:pPr>
      <w:r w:rsidRPr="007C59C9">
        <w:rPr>
          <w:sz w:val="24"/>
          <w:szCs w:val="24"/>
        </w:rPr>
        <w:t>Oplysninger om klargøring af opløsningen - se tabellen nedenfor</w:t>
      </w:r>
    </w:p>
    <w:p w14:paraId="3D1F0EA3" w14:textId="77777777" w:rsidR="00DB1628" w:rsidRPr="007C59C9" w:rsidRDefault="00DB1628" w:rsidP="007B2912">
      <w:pPr>
        <w:ind w:left="851"/>
        <w:rPr>
          <w:sz w:val="24"/>
          <w:szCs w:val="24"/>
        </w:rPr>
      </w:pPr>
    </w:p>
    <w:p w14:paraId="6B8162E5" w14:textId="77777777" w:rsidR="00DB1628" w:rsidRPr="007C59C9" w:rsidRDefault="00DB1628" w:rsidP="007B2912">
      <w:pPr>
        <w:ind w:left="851"/>
        <w:rPr>
          <w:sz w:val="24"/>
          <w:szCs w:val="24"/>
        </w:rPr>
      </w:pPr>
      <w:r w:rsidRPr="007C59C9">
        <w:rPr>
          <w:sz w:val="24"/>
          <w:szCs w:val="24"/>
        </w:rPr>
        <w:t xml:space="preserve">Klargøringsmetode, </w:t>
      </w:r>
      <w:proofErr w:type="spellStart"/>
      <w:r w:rsidRPr="007C59C9">
        <w:rPr>
          <w:sz w:val="24"/>
          <w:szCs w:val="24"/>
        </w:rPr>
        <w:t>solvenser</w:t>
      </w:r>
      <w:proofErr w:type="spellEnd"/>
      <w:r w:rsidRPr="007C59C9">
        <w:rPr>
          <w:sz w:val="24"/>
          <w:szCs w:val="24"/>
        </w:rPr>
        <w:t xml:space="preserve"> og opløsningens stabilitet efter klargøring afhængigt af den anvendte solvens er angivet i tabellen nedenfor.</w:t>
      </w:r>
    </w:p>
    <w:p w14:paraId="5DBBE9AB" w14:textId="77777777" w:rsidR="00DB1628" w:rsidRPr="007C59C9" w:rsidRDefault="00DB1628" w:rsidP="00DB1628">
      <w:pPr>
        <w:pStyle w:val="Brdtekst"/>
        <w:widowControl/>
        <w:tabs>
          <w:tab w:val="left" w:pos="426"/>
        </w:tabs>
        <w:kinsoku w:val="0"/>
        <w:overflowPunct w:val="0"/>
        <w:spacing w:before="0"/>
        <w:ind w:left="0"/>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927"/>
        <w:gridCol w:w="1758"/>
        <w:gridCol w:w="1467"/>
        <w:gridCol w:w="1876"/>
        <w:gridCol w:w="2600"/>
      </w:tblGrid>
      <w:tr w:rsidR="00216733" w:rsidRPr="00606CF0" w14:paraId="29161E76" w14:textId="77777777" w:rsidTr="007B2912">
        <w:trPr>
          <w:cantSplit/>
          <w:trHeight w:val="547"/>
          <w:jc w:val="center"/>
        </w:trPr>
        <w:tc>
          <w:tcPr>
            <w:tcW w:w="1001" w:type="pct"/>
            <w:tcBorders>
              <w:top w:val="single" w:sz="4" w:space="0" w:color="auto"/>
              <w:left w:val="single" w:sz="4" w:space="0" w:color="auto"/>
              <w:bottom w:val="single" w:sz="4" w:space="0" w:color="auto"/>
              <w:right w:val="single" w:sz="6" w:space="0" w:color="auto"/>
            </w:tcBorders>
            <w:vAlign w:val="center"/>
            <w:hideMark/>
          </w:tcPr>
          <w:p w14:paraId="0D003657" w14:textId="77777777" w:rsidR="00216733" w:rsidRPr="00606CF0" w:rsidRDefault="00216733" w:rsidP="0085700C">
            <w:pPr>
              <w:keepNext/>
              <w:tabs>
                <w:tab w:val="left" w:pos="0"/>
              </w:tabs>
              <w:rPr>
                <w:sz w:val="22"/>
                <w:szCs w:val="22"/>
              </w:rPr>
            </w:pPr>
            <w:bookmarkStart w:id="21" w:name="_Hlk100057659"/>
            <w:r w:rsidRPr="00606CF0">
              <w:rPr>
                <w:sz w:val="22"/>
                <w:szCs w:val="22"/>
              </w:rPr>
              <w:lastRenderedPageBreak/>
              <w:t>Administrationsvej</w:t>
            </w:r>
          </w:p>
        </w:tc>
        <w:tc>
          <w:tcPr>
            <w:tcW w:w="913" w:type="pct"/>
            <w:tcBorders>
              <w:top w:val="single" w:sz="4" w:space="0" w:color="auto"/>
              <w:left w:val="single" w:sz="6" w:space="0" w:color="auto"/>
              <w:bottom w:val="single" w:sz="4" w:space="0" w:color="auto"/>
              <w:right w:val="single" w:sz="6" w:space="0" w:color="auto"/>
            </w:tcBorders>
            <w:vAlign w:val="center"/>
            <w:hideMark/>
          </w:tcPr>
          <w:p w14:paraId="5C316CB0" w14:textId="77777777" w:rsidR="00216733" w:rsidRPr="00606CF0" w:rsidRDefault="00216733" w:rsidP="0085700C">
            <w:pPr>
              <w:keepNext/>
              <w:tabs>
                <w:tab w:val="left" w:pos="426"/>
              </w:tabs>
              <w:rPr>
                <w:sz w:val="22"/>
                <w:szCs w:val="22"/>
              </w:rPr>
            </w:pPr>
            <w:r w:rsidRPr="00606CF0">
              <w:rPr>
                <w:sz w:val="22"/>
                <w:szCs w:val="22"/>
              </w:rPr>
              <w:t>Solvens</w:t>
            </w:r>
          </w:p>
        </w:tc>
        <w:tc>
          <w:tcPr>
            <w:tcW w:w="762" w:type="pct"/>
            <w:tcBorders>
              <w:top w:val="single" w:sz="4" w:space="0" w:color="auto"/>
              <w:left w:val="single" w:sz="6" w:space="0" w:color="auto"/>
              <w:bottom w:val="single" w:sz="4" w:space="0" w:color="auto"/>
              <w:right w:val="single" w:sz="6" w:space="0" w:color="auto"/>
            </w:tcBorders>
            <w:vAlign w:val="center"/>
            <w:hideMark/>
          </w:tcPr>
          <w:p w14:paraId="6F2387E8" w14:textId="77777777" w:rsidR="00216733" w:rsidRPr="00606CF0" w:rsidRDefault="00216733" w:rsidP="0085700C">
            <w:pPr>
              <w:keepNext/>
              <w:tabs>
                <w:tab w:val="left" w:pos="426"/>
              </w:tabs>
              <w:rPr>
                <w:sz w:val="22"/>
                <w:szCs w:val="22"/>
              </w:rPr>
            </w:pPr>
            <w:r w:rsidRPr="00606CF0">
              <w:rPr>
                <w:sz w:val="22"/>
                <w:szCs w:val="22"/>
              </w:rPr>
              <w:t xml:space="preserve">Emballage til </w:t>
            </w:r>
            <w:proofErr w:type="spellStart"/>
            <w:r w:rsidRPr="00606CF0">
              <w:rPr>
                <w:sz w:val="22"/>
                <w:szCs w:val="22"/>
              </w:rPr>
              <w:t>rekonstitueret</w:t>
            </w:r>
            <w:proofErr w:type="spellEnd"/>
            <w:r w:rsidRPr="00606CF0">
              <w:rPr>
                <w:sz w:val="22"/>
                <w:szCs w:val="22"/>
              </w:rPr>
              <w:t xml:space="preserve"> opløsning</w:t>
            </w:r>
          </w:p>
        </w:tc>
        <w:tc>
          <w:tcPr>
            <w:tcW w:w="974" w:type="pct"/>
            <w:tcBorders>
              <w:top w:val="single" w:sz="4" w:space="0" w:color="auto"/>
              <w:left w:val="single" w:sz="6" w:space="0" w:color="auto"/>
              <w:bottom w:val="single" w:sz="4" w:space="0" w:color="auto"/>
              <w:right w:val="single" w:sz="6" w:space="0" w:color="auto"/>
            </w:tcBorders>
            <w:vAlign w:val="center"/>
            <w:hideMark/>
          </w:tcPr>
          <w:p w14:paraId="4121C5AB" w14:textId="77777777" w:rsidR="00216733" w:rsidRPr="00606CF0" w:rsidRDefault="00216733" w:rsidP="0085700C">
            <w:pPr>
              <w:keepNext/>
              <w:tabs>
                <w:tab w:val="left" w:pos="426"/>
              </w:tabs>
              <w:rPr>
                <w:sz w:val="22"/>
                <w:szCs w:val="22"/>
              </w:rPr>
            </w:pPr>
            <w:r w:rsidRPr="00606CF0">
              <w:rPr>
                <w:sz w:val="22"/>
                <w:szCs w:val="22"/>
              </w:rPr>
              <w:t xml:space="preserve">Holdbarhed efter </w:t>
            </w:r>
            <w:proofErr w:type="spellStart"/>
            <w:r w:rsidRPr="00606CF0">
              <w:rPr>
                <w:sz w:val="22"/>
                <w:szCs w:val="22"/>
              </w:rPr>
              <w:t>rekonstitution</w:t>
            </w:r>
            <w:proofErr w:type="spellEnd"/>
            <w:r w:rsidRPr="00606CF0">
              <w:rPr>
                <w:sz w:val="22"/>
                <w:szCs w:val="22"/>
              </w:rPr>
              <w:t xml:space="preserve"> </w:t>
            </w:r>
          </w:p>
          <w:p w14:paraId="47A90AA9" w14:textId="77777777" w:rsidR="00216733" w:rsidRPr="00606CF0" w:rsidRDefault="00216733" w:rsidP="0085700C">
            <w:pPr>
              <w:keepNext/>
              <w:tabs>
                <w:tab w:val="left" w:pos="426"/>
              </w:tabs>
              <w:rPr>
                <w:sz w:val="22"/>
                <w:szCs w:val="22"/>
              </w:rPr>
            </w:pPr>
            <w:r w:rsidRPr="00606CF0">
              <w:rPr>
                <w:sz w:val="22"/>
                <w:szCs w:val="22"/>
              </w:rPr>
              <w:t>[timer/temperatur]</w:t>
            </w:r>
          </w:p>
        </w:tc>
        <w:tc>
          <w:tcPr>
            <w:tcW w:w="1350" w:type="pct"/>
            <w:tcBorders>
              <w:top w:val="single" w:sz="4" w:space="0" w:color="auto"/>
              <w:left w:val="single" w:sz="6" w:space="0" w:color="auto"/>
              <w:bottom w:val="single" w:sz="4" w:space="0" w:color="auto"/>
              <w:right w:val="single" w:sz="4" w:space="0" w:color="auto"/>
            </w:tcBorders>
            <w:vAlign w:val="center"/>
            <w:hideMark/>
          </w:tcPr>
          <w:p w14:paraId="3B0AD18F" w14:textId="1A2E2543" w:rsidR="00216733" w:rsidRPr="00606CF0" w:rsidRDefault="00216733" w:rsidP="0085700C">
            <w:pPr>
              <w:keepNext/>
              <w:tabs>
                <w:tab w:val="left" w:pos="426"/>
              </w:tabs>
              <w:rPr>
                <w:sz w:val="22"/>
                <w:szCs w:val="22"/>
              </w:rPr>
            </w:pPr>
            <w:r>
              <w:rPr>
                <w:sz w:val="22"/>
                <w:szCs w:val="22"/>
              </w:rPr>
              <w:t>Klargøringsmetode</w:t>
            </w:r>
          </w:p>
        </w:tc>
      </w:tr>
      <w:tr w:rsidR="00216733" w:rsidRPr="00606CF0" w14:paraId="78662D4B" w14:textId="77777777" w:rsidTr="007B2912">
        <w:trPr>
          <w:cantSplit/>
          <w:trHeight w:val="259"/>
          <w:jc w:val="center"/>
        </w:trPr>
        <w:tc>
          <w:tcPr>
            <w:tcW w:w="1001" w:type="pct"/>
            <w:tcBorders>
              <w:top w:val="single" w:sz="4" w:space="0" w:color="auto"/>
              <w:left w:val="single" w:sz="4" w:space="0" w:color="auto"/>
              <w:bottom w:val="single" w:sz="6" w:space="0" w:color="auto"/>
              <w:right w:val="single" w:sz="6" w:space="0" w:color="auto"/>
            </w:tcBorders>
            <w:vAlign w:val="center"/>
            <w:hideMark/>
          </w:tcPr>
          <w:p w14:paraId="509B6198" w14:textId="77777777" w:rsidR="00216733" w:rsidRPr="00606CF0" w:rsidRDefault="00216733" w:rsidP="00216733">
            <w:pPr>
              <w:tabs>
                <w:tab w:val="left" w:pos="0"/>
              </w:tabs>
              <w:rPr>
                <w:sz w:val="22"/>
                <w:szCs w:val="22"/>
              </w:rPr>
            </w:pPr>
            <w:r w:rsidRPr="00606CF0">
              <w:rPr>
                <w:sz w:val="22"/>
                <w:szCs w:val="22"/>
              </w:rPr>
              <w:t>Intramuskulær injektion</w:t>
            </w:r>
          </w:p>
        </w:tc>
        <w:tc>
          <w:tcPr>
            <w:tcW w:w="913" w:type="pct"/>
            <w:tcBorders>
              <w:top w:val="single" w:sz="4" w:space="0" w:color="auto"/>
              <w:left w:val="single" w:sz="6" w:space="0" w:color="auto"/>
              <w:bottom w:val="single" w:sz="6" w:space="0" w:color="auto"/>
              <w:right w:val="single" w:sz="6" w:space="0" w:color="auto"/>
            </w:tcBorders>
            <w:vAlign w:val="center"/>
            <w:hideMark/>
          </w:tcPr>
          <w:p w14:paraId="73FBDE0E" w14:textId="77777777" w:rsidR="00216733" w:rsidRPr="00606CF0" w:rsidRDefault="00216733" w:rsidP="00216733">
            <w:pPr>
              <w:tabs>
                <w:tab w:val="left" w:pos="426"/>
              </w:tabs>
              <w:rPr>
                <w:sz w:val="22"/>
                <w:szCs w:val="22"/>
              </w:rPr>
            </w:pPr>
            <w:r w:rsidRPr="00606CF0">
              <w:rPr>
                <w:sz w:val="22"/>
                <w:szCs w:val="22"/>
              </w:rPr>
              <w:t>Vand til injektionsvæsker</w:t>
            </w:r>
          </w:p>
        </w:tc>
        <w:tc>
          <w:tcPr>
            <w:tcW w:w="762" w:type="pct"/>
            <w:tcBorders>
              <w:top w:val="single" w:sz="4" w:space="0" w:color="auto"/>
              <w:left w:val="single" w:sz="6" w:space="0" w:color="auto"/>
              <w:bottom w:val="single" w:sz="6" w:space="0" w:color="auto"/>
              <w:right w:val="single" w:sz="6" w:space="0" w:color="auto"/>
            </w:tcBorders>
            <w:vAlign w:val="center"/>
            <w:hideMark/>
          </w:tcPr>
          <w:p w14:paraId="2082B720" w14:textId="77777777" w:rsidR="00216733" w:rsidRPr="00606CF0" w:rsidRDefault="00216733" w:rsidP="00216733">
            <w:pPr>
              <w:tabs>
                <w:tab w:val="left" w:pos="426"/>
              </w:tabs>
              <w:rPr>
                <w:sz w:val="22"/>
                <w:szCs w:val="22"/>
              </w:rPr>
            </w:pPr>
            <w:r w:rsidRPr="00606CF0">
              <w:rPr>
                <w:sz w:val="22"/>
                <w:szCs w:val="22"/>
              </w:rPr>
              <w:t>Glas</w:t>
            </w:r>
          </w:p>
        </w:tc>
        <w:tc>
          <w:tcPr>
            <w:tcW w:w="974" w:type="pct"/>
            <w:tcBorders>
              <w:top w:val="single" w:sz="4" w:space="0" w:color="auto"/>
              <w:left w:val="single" w:sz="6" w:space="0" w:color="auto"/>
              <w:bottom w:val="single" w:sz="6" w:space="0" w:color="auto"/>
              <w:right w:val="single" w:sz="6" w:space="0" w:color="auto"/>
            </w:tcBorders>
            <w:vAlign w:val="center"/>
            <w:hideMark/>
          </w:tcPr>
          <w:p w14:paraId="51B7F9CD" w14:textId="77777777" w:rsidR="00216733" w:rsidRPr="00606CF0" w:rsidRDefault="00216733" w:rsidP="00216733">
            <w:pPr>
              <w:tabs>
                <w:tab w:val="left" w:pos="426"/>
              </w:tabs>
              <w:rPr>
                <w:sz w:val="22"/>
                <w:szCs w:val="22"/>
              </w:rPr>
            </w:pPr>
            <w:r w:rsidRPr="00606CF0">
              <w:rPr>
                <w:sz w:val="22"/>
                <w:szCs w:val="22"/>
              </w:rPr>
              <w:t xml:space="preserve">Anvendes umiddelbart efter </w:t>
            </w:r>
            <w:proofErr w:type="spellStart"/>
            <w:r w:rsidRPr="00606CF0">
              <w:rPr>
                <w:sz w:val="22"/>
                <w:szCs w:val="22"/>
              </w:rPr>
              <w:t>rekonstitution</w:t>
            </w:r>
            <w:proofErr w:type="spellEnd"/>
          </w:p>
        </w:tc>
        <w:tc>
          <w:tcPr>
            <w:tcW w:w="1350" w:type="pct"/>
            <w:tcBorders>
              <w:top w:val="single" w:sz="4" w:space="0" w:color="auto"/>
              <w:left w:val="single" w:sz="6" w:space="0" w:color="auto"/>
              <w:bottom w:val="single" w:sz="6" w:space="0" w:color="auto"/>
              <w:right w:val="single" w:sz="4" w:space="0" w:color="auto"/>
            </w:tcBorders>
            <w:vAlign w:val="center"/>
            <w:hideMark/>
          </w:tcPr>
          <w:p w14:paraId="0D7BD46E" w14:textId="77777777" w:rsidR="00216733" w:rsidRDefault="00216733" w:rsidP="00216733">
            <w:pPr>
              <w:tabs>
                <w:tab w:val="left" w:pos="426"/>
              </w:tabs>
              <w:rPr>
                <w:sz w:val="22"/>
                <w:szCs w:val="22"/>
              </w:rPr>
            </w:pPr>
            <w:r>
              <w:rPr>
                <w:sz w:val="22"/>
                <w:szCs w:val="22"/>
              </w:rPr>
              <w:t xml:space="preserve">5 millioner IE (3,1 g) opløses i </w:t>
            </w:r>
          </w:p>
          <w:p w14:paraId="353975BA" w14:textId="629127BF" w:rsidR="00216733" w:rsidRPr="00606CF0" w:rsidRDefault="00216733" w:rsidP="00216733">
            <w:pPr>
              <w:tabs>
                <w:tab w:val="left" w:pos="426"/>
              </w:tabs>
              <w:rPr>
                <w:sz w:val="22"/>
                <w:szCs w:val="22"/>
              </w:rPr>
            </w:pPr>
            <w:r>
              <w:rPr>
                <w:sz w:val="22"/>
                <w:szCs w:val="22"/>
              </w:rPr>
              <w:t>12-18 ml vand til injektionsvæsker</w:t>
            </w:r>
          </w:p>
        </w:tc>
      </w:tr>
      <w:tr w:rsidR="00216733" w:rsidRPr="00606CF0" w14:paraId="390C9AA2" w14:textId="77777777" w:rsidTr="007B2912">
        <w:trPr>
          <w:cantSplit/>
          <w:trHeight w:val="259"/>
          <w:jc w:val="center"/>
        </w:trPr>
        <w:tc>
          <w:tcPr>
            <w:tcW w:w="1001" w:type="pct"/>
            <w:vMerge w:val="restart"/>
            <w:tcBorders>
              <w:top w:val="single" w:sz="6" w:space="0" w:color="auto"/>
              <w:left w:val="single" w:sz="4" w:space="0" w:color="auto"/>
              <w:bottom w:val="single" w:sz="4" w:space="0" w:color="auto"/>
              <w:right w:val="single" w:sz="6" w:space="0" w:color="auto"/>
            </w:tcBorders>
            <w:vAlign w:val="center"/>
            <w:hideMark/>
          </w:tcPr>
          <w:p w14:paraId="02E49674" w14:textId="77777777" w:rsidR="00216733" w:rsidRPr="00606CF0" w:rsidRDefault="00216733" w:rsidP="00216733">
            <w:pPr>
              <w:tabs>
                <w:tab w:val="left" w:pos="0"/>
              </w:tabs>
              <w:rPr>
                <w:sz w:val="22"/>
                <w:szCs w:val="22"/>
              </w:rPr>
            </w:pPr>
            <w:r w:rsidRPr="00606CF0">
              <w:rPr>
                <w:sz w:val="22"/>
                <w:szCs w:val="22"/>
              </w:rPr>
              <w:t>Intravenøs injektion</w:t>
            </w:r>
          </w:p>
        </w:tc>
        <w:tc>
          <w:tcPr>
            <w:tcW w:w="913" w:type="pct"/>
            <w:tcBorders>
              <w:top w:val="single" w:sz="6" w:space="0" w:color="auto"/>
              <w:left w:val="single" w:sz="6" w:space="0" w:color="auto"/>
              <w:bottom w:val="single" w:sz="4" w:space="0" w:color="auto"/>
              <w:right w:val="single" w:sz="6" w:space="0" w:color="auto"/>
            </w:tcBorders>
            <w:vAlign w:val="center"/>
            <w:hideMark/>
          </w:tcPr>
          <w:p w14:paraId="166C8B87" w14:textId="77777777" w:rsidR="00216733" w:rsidRPr="00606CF0" w:rsidRDefault="00216733" w:rsidP="00216733">
            <w:pPr>
              <w:tabs>
                <w:tab w:val="left" w:pos="426"/>
              </w:tabs>
              <w:rPr>
                <w:sz w:val="22"/>
                <w:szCs w:val="22"/>
              </w:rPr>
            </w:pPr>
            <w:r w:rsidRPr="00606CF0">
              <w:rPr>
                <w:sz w:val="22"/>
                <w:szCs w:val="22"/>
              </w:rPr>
              <w:t>Vand til injektionsvæsker</w:t>
            </w:r>
          </w:p>
        </w:tc>
        <w:tc>
          <w:tcPr>
            <w:tcW w:w="762" w:type="pct"/>
            <w:tcBorders>
              <w:top w:val="single" w:sz="6" w:space="0" w:color="auto"/>
              <w:left w:val="single" w:sz="6" w:space="0" w:color="auto"/>
              <w:bottom w:val="single" w:sz="4" w:space="0" w:color="auto"/>
              <w:right w:val="single" w:sz="6" w:space="0" w:color="auto"/>
            </w:tcBorders>
            <w:vAlign w:val="center"/>
            <w:hideMark/>
          </w:tcPr>
          <w:p w14:paraId="5D31740A" w14:textId="77777777" w:rsidR="00216733" w:rsidRPr="00606CF0" w:rsidRDefault="00216733" w:rsidP="00216733">
            <w:pPr>
              <w:tabs>
                <w:tab w:val="left" w:pos="426"/>
              </w:tabs>
              <w:rPr>
                <w:sz w:val="22"/>
                <w:szCs w:val="22"/>
              </w:rPr>
            </w:pPr>
            <w:r w:rsidRPr="00606CF0">
              <w:rPr>
                <w:sz w:val="22"/>
                <w:szCs w:val="22"/>
              </w:rPr>
              <w:t>Glas</w:t>
            </w:r>
          </w:p>
        </w:tc>
        <w:tc>
          <w:tcPr>
            <w:tcW w:w="974" w:type="pct"/>
            <w:vMerge w:val="restart"/>
            <w:tcBorders>
              <w:top w:val="single" w:sz="6" w:space="0" w:color="auto"/>
              <w:left w:val="single" w:sz="6" w:space="0" w:color="auto"/>
              <w:bottom w:val="single" w:sz="4" w:space="0" w:color="auto"/>
              <w:right w:val="single" w:sz="6" w:space="0" w:color="auto"/>
            </w:tcBorders>
            <w:vAlign w:val="center"/>
            <w:hideMark/>
          </w:tcPr>
          <w:p w14:paraId="4D3D84BD" w14:textId="77777777" w:rsidR="00216733" w:rsidRPr="00606CF0" w:rsidRDefault="00216733" w:rsidP="00216733">
            <w:pPr>
              <w:tabs>
                <w:tab w:val="left" w:pos="426"/>
              </w:tabs>
              <w:rPr>
                <w:sz w:val="22"/>
                <w:szCs w:val="22"/>
              </w:rPr>
            </w:pPr>
            <w:r w:rsidRPr="00606CF0">
              <w:rPr>
                <w:sz w:val="22"/>
                <w:szCs w:val="22"/>
              </w:rPr>
              <w:t xml:space="preserve">Anvendes umiddelbart efter </w:t>
            </w:r>
            <w:proofErr w:type="spellStart"/>
            <w:r w:rsidRPr="00606CF0">
              <w:rPr>
                <w:sz w:val="22"/>
                <w:szCs w:val="22"/>
              </w:rPr>
              <w:t>rekonstitution</w:t>
            </w:r>
            <w:proofErr w:type="spellEnd"/>
          </w:p>
        </w:tc>
        <w:tc>
          <w:tcPr>
            <w:tcW w:w="1350" w:type="pct"/>
            <w:vMerge w:val="restart"/>
            <w:tcBorders>
              <w:top w:val="single" w:sz="6" w:space="0" w:color="auto"/>
              <w:left w:val="single" w:sz="6" w:space="0" w:color="auto"/>
              <w:bottom w:val="single" w:sz="4" w:space="0" w:color="auto"/>
              <w:right w:val="single" w:sz="4" w:space="0" w:color="auto"/>
            </w:tcBorders>
            <w:vAlign w:val="center"/>
            <w:hideMark/>
          </w:tcPr>
          <w:p w14:paraId="4A7718DE" w14:textId="77777777" w:rsidR="00216733" w:rsidRDefault="00216733" w:rsidP="00216733">
            <w:pPr>
              <w:tabs>
                <w:tab w:val="left" w:pos="426"/>
              </w:tabs>
              <w:rPr>
                <w:sz w:val="22"/>
                <w:szCs w:val="22"/>
              </w:rPr>
            </w:pPr>
            <w:r>
              <w:rPr>
                <w:sz w:val="22"/>
                <w:szCs w:val="22"/>
              </w:rPr>
              <w:t xml:space="preserve">5 millioner IE (3,1 g) opløses i </w:t>
            </w:r>
          </w:p>
          <w:p w14:paraId="23B38546" w14:textId="5601DD3B" w:rsidR="00216733" w:rsidRPr="00606CF0" w:rsidRDefault="00216733" w:rsidP="00216733">
            <w:pPr>
              <w:tabs>
                <w:tab w:val="left" w:pos="426"/>
              </w:tabs>
              <w:rPr>
                <w:sz w:val="22"/>
                <w:szCs w:val="22"/>
              </w:rPr>
            </w:pPr>
            <w:r>
              <w:rPr>
                <w:sz w:val="22"/>
                <w:szCs w:val="22"/>
              </w:rPr>
              <w:t>10, 20 eller 40 ml vand til injektionsvæsker</w:t>
            </w:r>
          </w:p>
        </w:tc>
      </w:tr>
      <w:tr w:rsidR="00216733" w:rsidRPr="00606CF0" w14:paraId="4A6F9E86" w14:textId="77777777" w:rsidTr="007B2912">
        <w:trPr>
          <w:cantSplit/>
          <w:trHeight w:val="277"/>
          <w:jc w:val="center"/>
        </w:trPr>
        <w:tc>
          <w:tcPr>
            <w:tcW w:w="1001" w:type="pct"/>
            <w:vMerge/>
            <w:tcBorders>
              <w:top w:val="single" w:sz="6" w:space="0" w:color="auto"/>
              <w:left w:val="single" w:sz="4" w:space="0" w:color="auto"/>
              <w:bottom w:val="single" w:sz="4" w:space="0" w:color="auto"/>
              <w:right w:val="single" w:sz="6" w:space="0" w:color="auto"/>
            </w:tcBorders>
            <w:vAlign w:val="center"/>
            <w:hideMark/>
          </w:tcPr>
          <w:p w14:paraId="33950847" w14:textId="77777777" w:rsidR="00216733" w:rsidRPr="00606CF0" w:rsidRDefault="00216733" w:rsidP="00216733">
            <w:pPr>
              <w:rPr>
                <w:sz w:val="22"/>
                <w:szCs w:val="22"/>
              </w:rPr>
            </w:pPr>
          </w:p>
        </w:tc>
        <w:tc>
          <w:tcPr>
            <w:tcW w:w="913" w:type="pct"/>
            <w:tcBorders>
              <w:top w:val="single" w:sz="4" w:space="0" w:color="auto"/>
              <w:left w:val="single" w:sz="6" w:space="0" w:color="auto"/>
              <w:bottom w:val="single" w:sz="4" w:space="0" w:color="auto"/>
              <w:right w:val="single" w:sz="6" w:space="0" w:color="auto"/>
            </w:tcBorders>
            <w:vAlign w:val="center"/>
            <w:hideMark/>
          </w:tcPr>
          <w:p w14:paraId="776B53F2" w14:textId="77777777" w:rsidR="00216733" w:rsidRPr="00606CF0" w:rsidRDefault="00216733" w:rsidP="00216733">
            <w:pPr>
              <w:tabs>
                <w:tab w:val="left" w:pos="426"/>
              </w:tabs>
              <w:rPr>
                <w:sz w:val="22"/>
                <w:szCs w:val="22"/>
              </w:rPr>
            </w:pPr>
            <w:r w:rsidRPr="00606CF0">
              <w:rPr>
                <w:sz w:val="22"/>
                <w:szCs w:val="22"/>
              </w:rPr>
              <w:t>Vand til injektionsvæsker</w:t>
            </w:r>
          </w:p>
        </w:tc>
        <w:tc>
          <w:tcPr>
            <w:tcW w:w="762" w:type="pct"/>
            <w:tcBorders>
              <w:top w:val="single" w:sz="4" w:space="0" w:color="auto"/>
              <w:left w:val="single" w:sz="6" w:space="0" w:color="auto"/>
              <w:bottom w:val="single" w:sz="4" w:space="0" w:color="auto"/>
              <w:right w:val="single" w:sz="6" w:space="0" w:color="auto"/>
            </w:tcBorders>
            <w:vAlign w:val="center"/>
            <w:hideMark/>
          </w:tcPr>
          <w:p w14:paraId="6B80680B" w14:textId="77777777" w:rsidR="00216733" w:rsidRPr="00606CF0" w:rsidRDefault="00216733" w:rsidP="00216733">
            <w:pPr>
              <w:tabs>
                <w:tab w:val="left" w:pos="426"/>
              </w:tabs>
              <w:rPr>
                <w:sz w:val="22"/>
                <w:szCs w:val="22"/>
              </w:rPr>
            </w:pPr>
            <w:r w:rsidRPr="00606CF0">
              <w:rPr>
                <w:sz w:val="22"/>
                <w:szCs w:val="22"/>
              </w:rPr>
              <w:t>Glas</w:t>
            </w:r>
          </w:p>
        </w:tc>
        <w:tc>
          <w:tcPr>
            <w:tcW w:w="974" w:type="pct"/>
            <w:vMerge/>
            <w:tcBorders>
              <w:top w:val="single" w:sz="6" w:space="0" w:color="auto"/>
              <w:left w:val="single" w:sz="6" w:space="0" w:color="auto"/>
              <w:bottom w:val="single" w:sz="4" w:space="0" w:color="auto"/>
              <w:right w:val="single" w:sz="6" w:space="0" w:color="auto"/>
            </w:tcBorders>
            <w:vAlign w:val="center"/>
            <w:hideMark/>
          </w:tcPr>
          <w:p w14:paraId="38245506" w14:textId="77777777" w:rsidR="00216733" w:rsidRPr="00606CF0" w:rsidRDefault="00216733" w:rsidP="00216733">
            <w:pPr>
              <w:rPr>
                <w:sz w:val="22"/>
                <w:szCs w:val="22"/>
              </w:rPr>
            </w:pPr>
          </w:p>
        </w:tc>
        <w:tc>
          <w:tcPr>
            <w:tcW w:w="1350" w:type="pct"/>
            <w:vMerge/>
            <w:tcBorders>
              <w:top w:val="single" w:sz="6" w:space="0" w:color="auto"/>
              <w:left w:val="single" w:sz="6" w:space="0" w:color="auto"/>
              <w:bottom w:val="single" w:sz="4" w:space="0" w:color="auto"/>
              <w:right w:val="single" w:sz="4" w:space="0" w:color="auto"/>
            </w:tcBorders>
            <w:vAlign w:val="center"/>
            <w:hideMark/>
          </w:tcPr>
          <w:p w14:paraId="64DE97BA" w14:textId="77777777" w:rsidR="00216733" w:rsidRPr="00606CF0" w:rsidRDefault="00216733" w:rsidP="00216733">
            <w:pPr>
              <w:rPr>
                <w:sz w:val="22"/>
                <w:szCs w:val="22"/>
              </w:rPr>
            </w:pPr>
          </w:p>
        </w:tc>
      </w:tr>
      <w:tr w:rsidR="00216733" w:rsidRPr="00606CF0" w14:paraId="47D1EB18" w14:textId="77777777" w:rsidTr="007B2912">
        <w:trPr>
          <w:cantSplit/>
          <w:trHeight w:val="267"/>
          <w:jc w:val="center"/>
        </w:trPr>
        <w:tc>
          <w:tcPr>
            <w:tcW w:w="1001" w:type="pct"/>
            <w:vMerge/>
            <w:tcBorders>
              <w:top w:val="single" w:sz="6" w:space="0" w:color="auto"/>
              <w:left w:val="single" w:sz="4" w:space="0" w:color="auto"/>
              <w:bottom w:val="single" w:sz="4" w:space="0" w:color="auto"/>
              <w:right w:val="single" w:sz="6" w:space="0" w:color="auto"/>
            </w:tcBorders>
            <w:vAlign w:val="center"/>
            <w:hideMark/>
          </w:tcPr>
          <w:p w14:paraId="3721605C" w14:textId="77777777" w:rsidR="00216733" w:rsidRPr="00606CF0" w:rsidRDefault="00216733" w:rsidP="00216733">
            <w:pPr>
              <w:rPr>
                <w:sz w:val="22"/>
                <w:szCs w:val="22"/>
              </w:rPr>
            </w:pPr>
          </w:p>
        </w:tc>
        <w:tc>
          <w:tcPr>
            <w:tcW w:w="913" w:type="pct"/>
            <w:tcBorders>
              <w:top w:val="single" w:sz="4" w:space="0" w:color="auto"/>
              <w:left w:val="single" w:sz="6" w:space="0" w:color="auto"/>
              <w:bottom w:val="single" w:sz="6" w:space="0" w:color="auto"/>
              <w:right w:val="single" w:sz="6" w:space="0" w:color="auto"/>
            </w:tcBorders>
            <w:vAlign w:val="center"/>
            <w:hideMark/>
          </w:tcPr>
          <w:p w14:paraId="167A6F8F" w14:textId="77777777" w:rsidR="00216733" w:rsidRPr="00606CF0" w:rsidRDefault="00216733" w:rsidP="00216733">
            <w:pPr>
              <w:tabs>
                <w:tab w:val="left" w:pos="426"/>
              </w:tabs>
              <w:rPr>
                <w:sz w:val="22"/>
                <w:szCs w:val="22"/>
              </w:rPr>
            </w:pPr>
            <w:r w:rsidRPr="00606CF0">
              <w:rPr>
                <w:sz w:val="22"/>
                <w:szCs w:val="22"/>
              </w:rPr>
              <w:t>Vand til injektionsvæsker</w:t>
            </w:r>
          </w:p>
        </w:tc>
        <w:tc>
          <w:tcPr>
            <w:tcW w:w="762" w:type="pct"/>
            <w:tcBorders>
              <w:top w:val="single" w:sz="4" w:space="0" w:color="auto"/>
              <w:left w:val="single" w:sz="6" w:space="0" w:color="auto"/>
              <w:bottom w:val="single" w:sz="6" w:space="0" w:color="auto"/>
              <w:right w:val="single" w:sz="6" w:space="0" w:color="auto"/>
            </w:tcBorders>
            <w:vAlign w:val="center"/>
            <w:hideMark/>
          </w:tcPr>
          <w:p w14:paraId="72167506" w14:textId="77777777" w:rsidR="00216733" w:rsidRPr="00606CF0" w:rsidRDefault="00216733" w:rsidP="00216733">
            <w:pPr>
              <w:tabs>
                <w:tab w:val="left" w:pos="426"/>
              </w:tabs>
              <w:rPr>
                <w:sz w:val="22"/>
                <w:szCs w:val="22"/>
              </w:rPr>
            </w:pPr>
            <w:r w:rsidRPr="00606CF0">
              <w:rPr>
                <w:sz w:val="22"/>
                <w:szCs w:val="22"/>
              </w:rPr>
              <w:t>Glas</w:t>
            </w:r>
          </w:p>
        </w:tc>
        <w:tc>
          <w:tcPr>
            <w:tcW w:w="974" w:type="pct"/>
            <w:vMerge/>
            <w:tcBorders>
              <w:top w:val="single" w:sz="6" w:space="0" w:color="auto"/>
              <w:left w:val="single" w:sz="6" w:space="0" w:color="auto"/>
              <w:bottom w:val="single" w:sz="4" w:space="0" w:color="auto"/>
              <w:right w:val="single" w:sz="6" w:space="0" w:color="auto"/>
            </w:tcBorders>
            <w:vAlign w:val="center"/>
            <w:hideMark/>
          </w:tcPr>
          <w:p w14:paraId="62944A3C" w14:textId="77777777" w:rsidR="00216733" w:rsidRPr="00606CF0" w:rsidRDefault="00216733" w:rsidP="00216733">
            <w:pPr>
              <w:rPr>
                <w:sz w:val="22"/>
                <w:szCs w:val="22"/>
              </w:rPr>
            </w:pPr>
          </w:p>
        </w:tc>
        <w:tc>
          <w:tcPr>
            <w:tcW w:w="1350" w:type="pct"/>
            <w:vMerge/>
            <w:tcBorders>
              <w:top w:val="single" w:sz="6" w:space="0" w:color="auto"/>
              <w:left w:val="single" w:sz="6" w:space="0" w:color="auto"/>
              <w:bottom w:val="single" w:sz="4" w:space="0" w:color="auto"/>
              <w:right w:val="single" w:sz="4" w:space="0" w:color="auto"/>
            </w:tcBorders>
            <w:vAlign w:val="center"/>
            <w:hideMark/>
          </w:tcPr>
          <w:p w14:paraId="6DF0BEBB" w14:textId="77777777" w:rsidR="00216733" w:rsidRPr="00606CF0" w:rsidRDefault="00216733" w:rsidP="00216733">
            <w:pPr>
              <w:rPr>
                <w:sz w:val="22"/>
                <w:szCs w:val="22"/>
              </w:rPr>
            </w:pPr>
          </w:p>
        </w:tc>
      </w:tr>
      <w:tr w:rsidR="00216733" w:rsidRPr="00606CF0" w14:paraId="4CBA97B4" w14:textId="77777777" w:rsidTr="007B2912">
        <w:trPr>
          <w:cantSplit/>
          <w:trHeight w:val="694"/>
          <w:jc w:val="center"/>
        </w:trPr>
        <w:tc>
          <w:tcPr>
            <w:tcW w:w="1001" w:type="pct"/>
            <w:vMerge w:val="restart"/>
            <w:tcBorders>
              <w:top w:val="single" w:sz="4" w:space="0" w:color="auto"/>
              <w:left w:val="single" w:sz="4" w:space="0" w:color="auto"/>
              <w:bottom w:val="single" w:sz="4" w:space="0" w:color="auto"/>
              <w:right w:val="single" w:sz="6" w:space="0" w:color="auto"/>
            </w:tcBorders>
            <w:vAlign w:val="center"/>
            <w:hideMark/>
          </w:tcPr>
          <w:p w14:paraId="5B34C591" w14:textId="77777777" w:rsidR="00216733" w:rsidRPr="00606CF0" w:rsidRDefault="00216733" w:rsidP="00216733">
            <w:pPr>
              <w:tabs>
                <w:tab w:val="left" w:pos="0"/>
              </w:tabs>
              <w:rPr>
                <w:sz w:val="22"/>
                <w:szCs w:val="22"/>
              </w:rPr>
            </w:pPr>
            <w:r w:rsidRPr="00606CF0">
              <w:rPr>
                <w:sz w:val="22"/>
                <w:szCs w:val="22"/>
              </w:rPr>
              <w:t>Intermitterende intravenøs infusion</w:t>
            </w:r>
          </w:p>
        </w:tc>
        <w:tc>
          <w:tcPr>
            <w:tcW w:w="913" w:type="pct"/>
            <w:tcBorders>
              <w:top w:val="single" w:sz="6" w:space="0" w:color="auto"/>
              <w:left w:val="single" w:sz="6" w:space="0" w:color="auto"/>
              <w:bottom w:val="single" w:sz="4" w:space="0" w:color="auto"/>
              <w:right w:val="single" w:sz="6" w:space="0" w:color="auto"/>
            </w:tcBorders>
            <w:vAlign w:val="center"/>
            <w:hideMark/>
          </w:tcPr>
          <w:p w14:paraId="128C4151" w14:textId="77777777" w:rsidR="00216733" w:rsidRPr="00606CF0" w:rsidRDefault="00216733" w:rsidP="00216733">
            <w:pPr>
              <w:tabs>
                <w:tab w:val="left" w:pos="426"/>
              </w:tabs>
              <w:rPr>
                <w:sz w:val="22"/>
                <w:szCs w:val="22"/>
              </w:rPr>
            </w:pPr>
            <w:r w:rsidRPr="00606CF0">
              <w:rPr>
                <w:sz w:val="22"/>
                <w:szCs w:val="22"/>
              </w:rPr>
              <w:t>NaCl 0,9 %</w:t>
            </w:r>
          </w:p>
        </w:tc>
        <w:tc>
          <w:tcPr>
            <w:tcW w:w="762" w:type="pct"/>
            <w:tcBorders>
              <w:top w:val="single" w:sz="6" w:space="0" w:color="auto"/>
              <w:left w:val="single" w:sz="6" w:space="0" w:color="auto"/>
              <w:bottom w:val="single" w:sz="4" w:space="0" w:color="auto"/>
              <w:right w:val="single" w:sz="6" w:space="0" w:color="auto"/>
            </w:tcBorders>
            <w:vAlign w:val="center"/>
            <w:hideMark/>
          </w:tcPr>
          <w:p w14:paraId="29B27AA6" w14:textId="77777777" w:rsidR="00216733" w:rsidRPr="00606CF0" w:rsidRDefault="00216733" w:rsidP="00216733">
            <w:pPr>
              <w:tabs>
                <w:tab w:val="left" w:pos="426"/>
              </w:tabs>
              <w:rPr>
                <w:sz w:val="22"/>
                <w:szCs w:val="22"/>
              </w:rPr>
            </w:pPr>
            <w:r w:rsidRPr="00606CF0">
              <w:rPr>
                <w:sz w:val="22"/>
                <w:szCs w:val="22"/>
              </w:rPr>
              <w:t>PO</w:t>
            </w:r>
          </w:p>
          <w:p w14:paraId="3F17EAF3" w14:textId="77777777" w:rsidR="00216733" w:rsidRPr="00606CF0" w:rsidRDefault="00216733" w:rsidP="00216733">
            <w:pPr>
              <w:tabs>
                <w:tab w:val="left" w:pos="426"/>
              </w:tabs>
              <w:rPr>
                <w:sz w:val="22"/>
                <w:szCs w:val="22"/>
              </w:rPr>
            </w:pPr>
            <w:r w:rsidRPr="00606CF0">
              <w:rPr>
                <w:sz w:val="22"/>
                <w:szCs w:val="22"/>
              </w:rPr>
              <w:t>(</w:t>
            </w:r>
            <w:proofErr w:type="spellStart"/>
            <w:r w:rsidRPr="00606CF0">
              <w:rPr>
                <w:sz w:val="22"/>
                <w:szCs w:val="22"/>
              </w:rPr>
              <w:t>polyolefin</w:t>
            </w:r>
            <w:proofErr w:type="spellEnd"/>
            <w:r w:rsidRPr="00606CF0">
              <w:rPr>
                <w:sz w:val="22"/>
                <w:szCs w:val="22"/>
              </w:rPr>
              <w:t>)</w:t>
            </w:r>
          </w:p>
          <w:p w14:paraId="139D5268" w14:textId="77777777" w:rsidR="00216733" w:rsidRPr="00606CF0" w:rsidRDefault="00216733" w:rsidP="00216733">
            <w:pPr>
              <w:tabs>
                <w:tab w:val="left" w:pos="426"/>
              </w:tabs>
              <w:rPr>
                <w:sz w:val="22"/>
                <w:szCs w:val="22"/>
              </w:rPr>
            </w:pPr>
            <w:r w:rsidRPr="00606CF0">
              <w:rPr>
                <w:sz w:val="22"/>
                <w:szCs w:val="22"/>
              </w:rPr>
              <w:t>pose/beholder</w:t>
            </w:r>
          </w:p>
        </w:tc>
        <w:tc>
          <w:tcPr>
            <w:tcW w:w="974" w:type="pct"/>
            <w:tcBorders>
              <w:top w:val="single" w:sz="4" w:space="0" w:color="auto"/>
              <w:left w:val="single" w:sz="6" w:space="0" w:color="auto"/>
              <w:bottom w:val="single" w:sz="4" w:space="0" w:color="auto"/>
              <w:right w:val="single" w:sz="6" w:space="0" w:color="auto"/>
            </w:tcBorders>
            <w:vAlign w:val="center"/>
          </w:tcPr>
          <w:p w14:paraId="156F295D" w14:textId="77777777" w:rsidR="00216733" w:rsidRPr="00606CF0" w:rsidRDefault="00216733" w:rsidP="00216733">
            <w:pPr>
              <w:tabs>
                <w:tab w:val="left" w:pos="-142"/>
              </w:tabs>
              <w:rPr>
                <w:sz w:val="22"/>
                <w:szCs w:val="22"/>
              </w:rPr>
            </w:pPr>
            <w:r w:rsidRPr="00606CF0">
              <w:rPr>
                <w:sz w:val="22"/>
                <w:szCs w:val="22"/>
              </w:rPr>
              <w:t xml:space="preserve">12 timer/25 °C </w:t>
            </w:r>
          </w:p>
          <w:p w14:paraId="6492967F" w14:textId="77777777" w:rsidR="00216733" w:rsidRPr="00606CF0" w:rsidRDefault="00216733" w:rsidP="00216733">
            <w:pPr>
              <w:tabs>
                <w:tab w:val="left" w:pos="426"/>
              </w:tabs>
              <w:rPr>
                <w:sz w:val="22"/>
                <w:szCs w:val="22"/>
              </w:rPr>
            </w:pPr>
          </w:p>
        </w:tc>
        <w:tc>
          <w:tcPr>
            <w:tcW w:w="1350" w:type="pct"/>
            <w:vMerge w:val="restart"/>
            <w:tcBorders>
              <w:top w:val="single" w:sz="4" w:space="0" w:color="auto"/>
              <w:left w:val="single" w:sz="6" w:space="0" w:color="auto"/>
              <w:bottom w:val="single" w:sz="4" w:space="0" w:color="auto"/>
              <w:right w:val="single" w:sz="4" w:space="0" w:color="auto"/>
            </w:tcBorders>
            <w:vAlign w:val="center"/>
            <w:hideMark/>
          </w:tcPr>
          <w:p w14:paraId="66A46B70" w14:textId="75A4782D" w:rsidR="00216733" w:rsidRPr="00606CF0" w:rsidRDefault="00216733" w:rsidP="00216733">
            <w:pPr>
              <w:tabs>
                <w:tab w:val="left" w:pos="426"/>
              </w:tabs>
              <w:rPr>
                <w:sz w:val="22"/>
                <w:szCs w:val="22"/>
              </w:rPr>
            </w:pPr>
            <w:r>
              <w:rPr>
                <w:sz w:val="22"/>
                <w:szCs w:val="22"/>
              </w:rPr>
              <w:t xml:space="preserve">5 millioner IE (3,1 g) opløses i 100 ml vand til injektionsvæsker eller isotonisk </w:t>
            </w:r>
            <w:proofErr w:type="spellStart"/>
            <w:r>
              <w:rPr>
                <w:sz w:val="22"/>
                <w:szCs w:val="22"/>
              </w:rPr>
              <w:t>natriumchloridopløsning</w:t>
            </w:r>
            <w:proofErr w:type="spellEnd"/>
          </w:p>
        </w:tc>
      </w:tr>
      <w:tr w:rsidR="00216733" w:rsidRPr="00606CF0" w14:paraId="4E1BD19C" w14:textId="77777777" w:rsidTr="007B2912">
        <w:trPr>
          <w:cantSplit/>
          <w:trHeight w:val="623"/>
          <w:jc w:val="center"/>
        </w:trPr>
        <w:tc>
          <w:tcPr>
            <w:tcW w:w="1001" w:type="pct"/>
            <w:vMerge/>
            <w:tcBorders>
              <w:top w:val="single" w:sz="4" w:space="0" w:color="auto"/>
              <w:left w:val="single" w:sz="4" w:space="0" w:color="auto"/>
              <w:bottom w:val="single" w:sz="4" w:space="0" w:color="auto"/>
              <w:right w:val="single" w:sz="6" w:space="0" w:color="auto"/>
            </w:tcBorders>
            <w:vAlign w:val="center"/>
            <w:hideMark/>
          </w:tcPr>
          <w:p w14:paraId="2D5AC370" w14:textId="77777777" w:rsidR="00216733" w:rsidRPr="00606CF0" w:rsidRDefault="00216733" w:rsidP="00216733">
            <w:pPr>
              <w:rPr>
                <w:sz w:val="22"/>
                <w:szCs w:val="22"/>
              </w:rPr>
            </w:pPr>
          </w:p>
        </w:tc>
        <w:tc>
          <w:tcPr>
            <w:tcW w:w="913" w:type="pct"/>
            <w:tcBorders>
              <w:top w:val="single" w:sz="4" w:space="0" w:color="auto"/>
              <w:left w:val="single" w:sz="6" w:space="0" w:color="auto"/>
              <w:bottom w:val="single" w:sz="4" w:space="0" w:color="auto"/>
              <w:right w:val="single" w:sz="6" w:space="0" w:color="auto"/>
            </w:tcBorders>
            <w:vAlign w:val="center"/>
            <w:hideMark/>
          </w:tcPr>
          <w:p w14:paraId="0E085A82" w14:textId="77777777" w:rsidR="00216733" w:rsidRPr="00606CF0" w:rsidRDefault="00216733" w:rsidP="00216733">
            <w:pPr>
              <w:tabs>
                <w:tab w:val="left" w:pos="426"/>
              </w:tabs>
              <w:rPr>
                <w:sz w:val="22"/>
                <w:szCs w:val="22"/>
              </w:rPr>
            </w:pPr>
            <w:r w:rsidRPr="00606CF0">
              <w:rPr>
                <w:sz w:val="22"/>
                <w:szCs w:val="22"/>
              </w:rPr>
              <w:t>Vand til injektionsvæsker</w:t>
            </w:r>
          </w:p>
        </w:tc>
        <w:tc>
          <w:tcPr>
            <w:tcW w:w="762" w:type="pct"/>
            <w:tcBorders>
              <w:top w:val="single" w:sz="4" w:space="0" w:color="auto"/>
              <w:left w:val="single" w:sz="6" w:space="0" w:color="auto"/>
              <w:bottom w:val="single" w:sz="4" w:space="0" w:color="auto"/>
              <w:right w:val="single" w:sz="6" w:space="0" w:color="auto"/>
            </w:tcBorders>
            <w:vAlign w:val="center"/>
            <w:hideMark/>
          </w:tcPr>
          <w:p w14:paraId="7184F741" w14:textId="77777777" w:rsidR="00216733" w:rsidRPr="00606CF0" w:rsidRDefault="00216733" w:rsidP="00216733">
            <w:pPr>
              <w:tabs>
                <w:tab w:val="left" w:pos="426"/>
              </w:tabs>
              <w:rPr>
                <w:sz w:val="22"/>
                <w:szCs w:val="22"/>
              </w:rPr>
            </w:pPr>
            <w:r w:rsidRPr="00606CF0">
              <w:rPr>
                <w:sz w:val="22"/>
                <w:szCs w:val="22"/>
              </w:rPr>
              <w:t>PO</w:t>
            </w:r>
          </w:p>
          <w:p w14:paraId="150E6423" w14:textId="77777777" w:rsidR="00216733" w:rsidRPr="00606CF0" w:rsidRDefault="00216733" w:rsidP="00216733">
            <w:pPr>
              <w:tabs>
                <w:tab w:val="left" w:pos="426"/>
              </w:tabs>
              <w:rPr>
                <w:sz w:val="22"/>
                <w:szCs w:val="22"/>
              </w:rPr>
            </w:pPr>
            <w:r w:rsidRPr="00606CF0">
              <w:rPr>
                <w:sz w:val="22"/>
                <w:szCs w:val="22"/>
              </w:rPr>
              <w:t>pose/beholder</w:t>
            </w:r>
          </w:p>
        </w:tc>
        <w:tc>
          <w:tcPr>
            <w:tcW w:w="974" w:type="pct"/>
            <w:tcBorders>
              <w:top w:val="single" w:sz="4" w:space="0" w:color="auto"/>
              <w:left w:val="single" w:sz="6" w:space="0" w:color="auto"/>
              <w:bottom w:val="single" w:sz="4" w:space="0" w:color="auto"/>
              <w:right w:val="single" w:sz="6" w:space="0" w:color="auto"/>
            </w:tcBorders>
            <w:vAlign w:val="center"/>
            <w:hideMark/>
          </w:tcPr>
          <w:p w14:paraId="64245F5D" w14:textId="77777777" w:rsidR="00216733" w:rsidRPr="00606CF0" w:rsidRDefault="00216733" w:rsidP="00216733">
            <w:pPr>
              <w:tabs>
                <w:tab w:val="left" w:pos="426"/>
              </w:tabs>
              <w:rPr>
                <w:sz w:val="22"/>
                <w:szCs w:val="22"/>
              </w:rPr>
            </w:pPr>
            <w:r w:rsidRPr="00606CF0">
              <w:rPr>
                <w:sz w:val="22"/>
                <w:szCs w:val="22"/>
              </w:rPr>
              <w:t>12 timer/25 °C</w:t>
            </w:r>
          </w:p>
        </w:tc>
        <w:tc>
          <w:tcPr>
            <w:tcW w:w="1350" w:type="pct"/>
            <w:vMerge/>
            <w:tcBorders>
              <w:top w:val="single" w:sz="4" w:space="0" w:color="auto"/>
              <w:left w:val="single" w:sz="6" w:space="0" w:color="auto"/>
              <w:bottom w:val="single" w:sz="4" w:space="0" w:color="auto"/>
              <w:right w:val="single" w:sz="4" w:space="0" w:color="auto"/>
            </w:tcBorders>
            <w:vAlign w:val="center"/>
            <w:hideMark/>
          </w:tcPr>
          <w:p w14:paraId="626B6C04" w14:textId="77777777" w:rsidR="00216733" w:rsidRPr="00606CF0" w:rsidRDefault="00216733" w:rsidP="00216733">
            <w:pPr>
              <w:rPr>
                <w:sz w:val="22"/>
                <w:szCs w:val="22"/>
              </w:rPr>
            </w:pPr>
          </w:p>
        </w:tc>
      </w:tr>
      <w:tr w:rsidR="00216733" w:rsidRPr="00606CF0" w14:paraId="3FD91257" w14:textId="77777777" w:rsidTr="007B2912">
        <w:trPr>
          <w:cantSplit/>
          <w:trHeight w:val="486"/>
          <w:jc w:val="center"/>
        </w:trPr>
        <w:tc>
          <w:tcPr>
            <w:tcW w:w="1001" w:type="pct"/>
            <w:vMerge w:val="restart"/>
            <w:tcBorders>
              <w:top w:val="single" w:sz="4" w:space="0" w:color="auto"/>
              <w:left w:val="single" w:sz="4" w:space="0" w:color="auto"/>
              <w:bottom w:val="single" w:sz="4" w:space="0" w:color="auto"/>
              <w:right w:val="single" w:sz="6" w:space="0" w:color="auto"/>
            </w:tcBorders>
            <w:vAlign w:val="center"/>
            <w:hideMark/>
          </w:tcPr>
          <w:p w14:paraId="1C4526B0" w14:textId="77777777" w:rsidR="00216733" w:rsidRPr="00606CF0" w:rsidRDefault="00216733" w:rsidP="00216733">
            <w:pPr>
              <w:tabs>
                <w:tab w:val="left" w:pos="0"/>
              </w:tabs>
              <w:rPr>
                <w:sz w:val="22"/>
                <w:szCs w:val="22"/>
              </w:rPr>
            </w:pPr>
            <w:r w:rsidRPr="00606CF0">
              <w:rPr>
                <w:sz w:val="22"/>
                <w:szCs w:val="22"/>
              </w:rPr>
              <w:t>Kontinuerlig intravenøs infusion</w:t>
            </w:r>
          </w:p>
        </w:tc>
        <w:tc>
          <w:tcPr>
            <w:tcW w:w="913" w:type="pct"/>
            <w:vMerge w:val="restart"/>
            <w:tcBorders>
              <w:top w:val="single" w:sz="4" w:space="0" w:color="auto"/>
              <w:left w:val="single" w:sz="6" w:space="0" w:color="auto"/>
              <w:bottom w:val="single" w:sz="6" w:space="0" w:color="auto"/>
              <w:right w:val="single" w:sz="6" w:space="0" w:color="auto"/>
            </w:tcBorders>
            <w:vAlign w:val="center"/>
            <w:hideMark/>
          </w:tcPr>
          <w:p w14:paraId="23E9FFB0" w14:textId="77777777" w:rsidR="00216733" w:rsidRPr="00606CF0" w:rsidRDefault="00216733" w:rsidP="00216733">
            <w:pPr>
              <w:tabs>
                <w:tab w:val="left" w:pos="426"/>
              </w:tabs>
              <w:rPr>
                <w:sz w:val="22"/>
                <w:szCs w:val="22"/>
              </w:rPr>
            </w:pPr>
            <w:r w:rsidRPr="00606CF0">
              <w:rPr>
                <w:sz w:val="22"/>
                <w:szCs w:val="22"/>
              </w:rPr>
              <w:t>Vand til injektionsvæsker (20 ml) + NaCl 0,9 % (500 ml)</w:t>
            </w:r>
          </w:p>
        </w:tc>
        <w:tc>
          <w:tcPr>
            <w:tcW w:w="762" w:type="pct"/>
            <w:tcBorders>
              <w:top w:val="single" w:sz="4" w:space="0" w:color="auto"/>
              <w:left w:val="single" w:sz="6" w:space="0" w:color="auto"/>
              <w:bottom w:val="single" w:sz="6" w:space="0" w:color="auto"/>
              <w:right w:val="single" w:sz="6" w:space="0" w:color="auto"/>
            </w:tcBorders>
            <w:vAlign w:val="center"/>
            <w:hideMark/>
          </w:tcPr>
          <w:p w14:paraId="6302BCEE" w14:textId="77777777" w:rsidR="00216733" w:rsidRPr="00606CF0" w:rsidRDefault="00216733" w:rsidP="00216733">
            <w:pPr>
              <w:tabs>
                <w:tab w:val="left" w:pos="426"/>
              </w:tabs>
              <w:rPr>
                <w:sz w:val="22"/>
                <w:szCs w:val="22"/>
              </w:rPr>
            </w:pPr>
            <w:r w:rsidRPr="00606CF0">
              <w:rPr>
                <w:sz w:val="22"/>
                <w:szCs w:val="22"/>
              </w:rPr>
              <w:t>PO</w:t>
            </w:r>
          </w:p>
          <w:p w14:paraId="7B16E6ED" w14:textId="77777777" w:rsidR="00216733" w:rsidRPr="00606CF0" w:rsidRDefault="00216733" w:rsidP="00216733">
            <w:pPr>
              <w:tabs>
                <w:tab w:val="left" w:pos="426"/>
              </w:tabs>
              <w:rPr>
                <w:sz w:val="22"/>
                <w:szCs w:val="22"/>
              </w:rPr>
            </w:pPr>
            <w:r w:rsidRPr="00606CF0">
              <w:rPr>
                <w:sz w:val="22"/>
                <w:szCs w:val="22"/>
              </w:rPr>
              <w:t>pose/beholder</w:t>
            </w:r>
          </w:p>
        </w:tc>
        <w:tc>
          <w:tcPr>
            <w:tcW w:w="974" w:type="pct"/>
            <w:tcBorders>
              <w:top w:val="single" w:sz="4" w:space="0" w:color="auto"/>
              <w:left w:val="single" w:sz="6" w:space="0" w:color="auto"/>
              <w:bottom w:val="single" w:sz="6" w:space="0" w:color="auto"/>
              <w:right w:val="single" w:sz="6" w:space="0" w:color="auto"/>
            </w:tcBorders>
            <w:vAlign w:val="center"/>
            <w:hideMark/>
          </w:tcPr>
          <w:p w14:paraId="38A60497" w14:textId="77777777" w:rsidR="00216733" w:rsidRPr="00606CF0" w:rsidRDefault="00216733" w:rsidP="00216733">
            <w:pPr>
              <w:tabs>
                <w:tab w:val="left" w:pos="426"/>
              </w:tabs>
              <w:rPr>
                <w:sz w:val="22"/>
                <w:szCs w:val="22"/>
              </w:rPr>
            </w:pPr>
            <w:r w:rsidRPr="00606CF0">
              <w:rPr>
                <w:sz w:val="22"/>
                <w:szCs w:val="22"/>
              </w:rPr>
              <w:t>8 timer/25 °C</w:t>
            </w:r>
          </w:p>
        </w:tc>
        <w:tc>
          <w:tcPr>
            <w:tcW w:w="1350" w:type="pct"/>
            <w:vMerge w:val="restart"/>
            <w:tcBorders>
              <w:top w:val="single" w:sz="4" w:space="0" w:color="auto"/>
              <w:left w:val="single" w:sz="6" w:space="0" w:color="auto"/>
              <w:bottom w:val="single" w:sz="6" w:space="0" w:color="auto"/>
              <w:right w:val="single" w:sz="4" w:space="0" w:color="auto"/>
            </w:tcBorders>
            <w:vAlign w:val="center"/>
            <w:hideMark/>
          </w:tcPr>
          <w:p w14:paraId="540ADD4F" w14:textId="2FCC6D1C" w:rsidR="00216733" w:rsidRPr="00606CF0" w:rsidRDefault="00216733" w:rsidP="00216733">
            <w:pPr>
              <w:tabs>
                <w:tab w:val="left" w:pos="426"/>
              </w:tabs>
              <w:rPr>
                <w:sz w:val="22"/>
                <w:szCs w:val="22"/>
              </w:rPr>
            </w:pPr>
            <w:r>
              <w:rPr>
                <w:sz w:val="22"/>
                <w:szCs w:val="22"/>
              </w:rPr>
              <w:t xml:space="preserve">5 millioner IE (3,1 g) opløses i 20 ml vand til injektionsvæsker. Den derved opnåede opløsning bør straks tilføjes til 500 ml isotonisk </w:t>
            </w:r>
            <w:proofErr w:type="spellStart"/>
            <w:r>
              <w:rPr>
                <w:sz w:val="22"/>
                <w:szCs w:val="22"/>
              </w:rPr>
              <w:t>natriumchloridopløsning</w:t>
            </w:r>
            <w:proofErr w:type="spellEnd"/>
            <w:r>
              <w:rPr>
                <w:sz w:val="22"/>
                <w:szCs w:val="22"/>
              </w:rPr>
              <w:t xml:space="preserve"> (0,9 %).</w:t>
            </w:r>
          </w:p>
        </w:tc>
      </w:tr>
      <w:tr w:rsidR="00216733" w:rsidRPr="00606CF0" w14:paraId="79BBDF6E" w14:textId="77777777" w:rsidTr="007B2912">
        <w:trPr>
          <w:cantSplit/>
          <w:trHeight w:val="550"/>
          <w:jc w:val="center"/>
        </w:trPr>
        <w:tc>
          <w:tcPr>
            <w:tcW w:w="1001" w:type="pct"/>
            <w:vMerge/>
            <w:tcBorders>
              <w:top w:val="single" w:sz="4" w:space="0" w:color="auto"/>
              <w:left w:val="single" w:sz="4" w:space="0" w:color="auto"/>
              <w:bottom w:val="single" w:sz="4" w:space="0" w:color="auto"/>
              <w:right w:val="single" w:sz="6" w:space="0" w:color="auto"/>
            </w:tcBorders>
            <w:vAlign w:val="center"/>
            <w:hideMark/>
          </w:tcPr>
          <w:p w14:paraId="05A16A00" w14:textId="77777777" w:rsidR="00216733" w:rsidRPr="00606CF0" w:rsidRDefault="00216733" w:rsidP="00216733">
            <w:pPr>
              <w:rPr>
                <w:sz w:val="22"/>
                <w:szCs w:val="22"/>
              </w:rPr>
            </w:pPr>
          </w:p>
        </w:tc>
        <w:tc>
          <w:tcPr>
            <w:tcW w:w="913" w:type="pct"/>
            <w:vMerge/>
            <w:tcBorders>
              <w:top w:val="single" w:sz="4" w:space="0" w:color="auto"/>
              <w:left w:val="single" w:sz="6" w:space="0" w:color="auto"/>
              <w:bottom w:val="single" w:sz="6" w:space="0" w:color="auto"/>
              <w:right w:val="single" w:sz="6" w:space="0" w:color="auto"/>
            </w:tcBorders>
            <w:vAlign w:val="center"/>
            <w:hideMark/>
          </w:tcPr>
          <w:p w14:paraId="1C6C460A" w14:textId="77777777" w:rsidR="00216733" w:rsidRPr="00606CF0" w:rsidRDefault="00216733" w:rsidP="00216733">
            <w:pPr>
              <w:rPr>
                <w:sz w:val="22"/>
                <w:szCs w:val="22"/>
              </w:rPr>
            </w:pPr>
          </w:p>
        </w:tc>
        <w:tc>
          <w:tcPr>
            <w:tcW w:w="762" w:type="pct"/>
            <w:tcBorders>
              <w:top w:val="single" w:sz="6" w:space="0" w:color="auto"/>
              <w:left w:val="single" w:sz="6" w:space="0" w:color="auto"/>
              <w:bottom w:val="single" w:sz="6" w:space="0" w:color="auto"/>
              <w:right w:val="single" w:sz="6" w:space="0" w:color="auto"/>
            </w:tcBorders>
            <w:vAlign w:val="center"/>
            <w:hideMark/>
          </w:tcPr>
          <w:p w14:paraId="00C79E6A" w14:textId="77777777" w:rsidR="00216733" w:rsidRPr="00606CF0" w:rsidRDefault="00216733" w:rsidP="00216733">
            <w:pPr>
              <w:tabs>
                <w:tab w:val="left" w:pos="426"/>
              </w:tabs>
              <w:rPr>
                <w:sz w:val="22"/>
                <w:szCs w:val="22"/>
              </w:rPr>
            </w:pPr>
            <w:r w:rsidRPr="00606CF0">
              <w:rPr>
                <w:sz w:val="22"/>
                <w:szCs w:val="22"/>
              </w:rPr>
              <w:t>PVC</w:t>
            </w:r>
          </w:p>
          <w:p w14:paraId="05150581" w14:textId="77777777" w:rsidR="00216733" w:rsidRPr="00606CF0" w:rsidRDefault="00216733" w:rsidP="00216733">
            <w:pPr>
              <w:tabs>
                <w:tab w:val="left" w:pos="426"/>
              </w:tabs>
              <w:rPr>
                <w:sz w:val="22"/>
                <w:szCs w:val="22"/>
              </w:rPr>
            </w:pPr>
            <w:r w:rsidRPr="00606CF0">
              <w:rPr>
                <w:sz w:val="22"/>
                <w:szCs w:val="22"/>
              </w:rPr>
              <w:t>pose/beholder</w:t>
            </w:r>
          </w:p>
        </w:tc>
        <w:tc>
          <w:tcPr>
            <w:tcW w:w="974" w:type="pct"/>
            <w:tcBorders>
              <w:top w:val="single" w:sz="6" w:space="0" w:color="auto"/>
              <w:left w:val="single" w:sz="6" w:space="0" w:color="auto"/>
              <w:bottom w:val="single" w:sz="6" w:space="0" w:color="auto"/>
              <w:right w:val="single" w:sz="6" w:space="0" w:color="auto"/>
            </w:tcBorders>
            <w:vAlign w:val="center"/>
            <w:hideMark/>
          </w:tcPr>
          <w:p w14:paraId="1280D3CC" w14:textId="77777777" w:rsidR="00216733" w:rsidRPr="00606CF0" w:rsidRDefault="00216733" w:rsidP="00216733">
            <w:pPr>
              <w:tabs>
                <w:tab w:val="left" w:pos="426"/>
              </w:tabs>
              <w:rPr>
                <w:sz w:val="22"/>
                <w:szCs w:val="22"/>
              </w:rPr>
            </w:pPr>
            <w:r w:rsidRPr="00606CF0">
              <w:rPr>
                <w:sz w:val="22"/>
                <w:szCs w:val="22"/>
              </w:rPr>
              <w:t>4 timer/25 °C</w:t>
            </w:r>
          </w:p>
        </w:tc>
        <w:tc>
          <w:tcPr>
            <w:tcW w:w="1350" w:type="pct"/>
            <w:vMerge/>
            <w:tcBorders>
              <w:top w:val="single" w:sz="4" w:space="0" w:color="auto"/>
              <w:left w:val="single" w:sz="6" w:space="0" w:color="auto"/>
              <w:bottom w:val="single" w:sz="6" w:space="0" w:color="auto"/>
              <w:right w:val="single" w:sz="4" w:space="0" w:color="auto"/>
            </w:tcBorders>
            <w:vAlign w:val="center"/>
            <w:hideMark/>
          </w:tcPr>
          <w:p w14:paraId="734A0557" w14:textId="77777777" w:rsidR="00216733" w:rsidRPr="00606CF0" w:rsidRDefault="00216733" w:rsidP="00216733">
            <w:pPr>
              <w:rPr>
                <w:sz w:val="22"/>
                <w:szCs w:val="22"/>
              </w:rPr>
            </w:pPr>
          </w:p>
        </w:tc>
      </w:tr>
      <w:tr w:rsidR="00216733" w:rsidRPr="00606CF0" w14:paraId="7F926A54" w14:textId="77777777" w:rsidTr="007B2912">
        <w:trPr>
          <w:cantSplit/>
          <w:trHeight w:val="997"/>
          <w:jc w:val="center"/>
        </w:trPr>
        <w:tc>
          <w:tcPr>
            <w:tcW w:w="1001" w:type="pct"/>
            <w:vMerge/>
            <w:tcBorders>
              <w:top w:val="single" w:sz="4" w:space="0" w:color="auto"/>
              <w:left w:val="single" w:sz="4" w:space="0" w:color="auto"/>
              <w:bottom w:val="single" w:sz="4" w:space="0" w:color="auto"/>
              <w:right w:val="single" w:sz="6" w:space="0" w:color="auto"/>
            </w:tcBorders>
            <w:vAlign w:val="center"/>
            <w:hideMark/>
          </w:tcPr>
          <w:p w14:paraId="377788E8" w14:textId="77777777" w:rsidR="00216733" w:rsidRPr="00606CF0" w:rsidRDefault="00216733" w:rsidP="00216733">
            <w:pPr>
              <w:rPr>
                <w:sz w:val="22"/>
                <w:szCs w:val="22"/>
              </w:rPr>
            </w:pPr>
          </w:p>
        </w:tc>
        <w:tc>
          <w:tcPr>
            <w:tcW w:w="913" w:type="pct"/>
            <w:tcBorders>
              <w:top w:val="single" w:sz="6" w:space="0" w:color="auto"/>
              <w:left w:val="single" w:sz="6" w:space="0" w:color="auto"/>
              <w:bottom w:val="single" w:sz="4" w:space="0" w:color="auto"/>
              <w:right w:val="single" w:sz="6" w:space="0" w:color="auto"/>
            </w:tcBorders>
            <w:vAlign w:val="center"/>
            <w:hideMark/>
          </w:tcPr>
          <w:p w14:paraId="7FCBEF30" w14:textId="77777777" w:rsidR="00216733" w:rsidRPr="00606CF0" w:rsidRDefault="00216733" w:rsidP="00216733">
            <w:pPr>
              <w:tabs>
                <w:tab w:val="left" w:pos="426"/>
              </w:tabs>
              <w:rPr>
                <w:sz w:val="22"/>
                <w:szCs w:val="22"/>
              </w:rPr>
            </w:pPr>
            <w:r w:rsidRPr="00606CF0">
              <w:rPr>
                <w:sz w:val="22"/>
                <w:szCs w:val="22"/>
              </w:rPr>
              <w:t>Vand til injektionsvæsker (20 ml) + NaCl 0,9 % (500 ml)</w:t>
            </w:r>
          </w:p>
        </w:tc>
        <w:tc>
          <w:tcPr>
            <w:tcW w:w="762" w:type="pct"/>
            <w:tcBorders>
              <w:top w:val="single" w:sz="6" w:space="0" w:color="auto"/>
              <w:left w:val="single" w:sz="6" w:space="0" w:color="auto"/>
              <w:bottom w:val="single" w:sz="4" w:space="0" w:color="auto"/>
              <w:right w:val="single" w:sz="6" w:space="0" w:color="auto"/>
            </w:tcBorders>
            <w:vAlign w:val="center"/>
            <w:hideMark/>
          </w:tcPr>
          <w:p w14:paraId="4DA40C82" w14:textId="77777777" w:rsidR="00216733" w:rsidRPr="00606CF0" w:rsidRDefault="00216733" w:rsidP="00216733">
            <w:pPr>
              <w:tabs>
                <w:tab w:val="left" w:pos="426"/>
              </w:tabs>
              <w:rPr>
                <w:sz w:val="22"/>
                <w:szCs w:val="22"/>
              </w:rPr>
            </w:pPr>
            <w:r w:rsidRPr="00606CF0">
              <w:rPr>
                <w:sz w:val="22"/>
                <w:szCs w:val="22"/>
              </w:rPr>
              <w:t>PO</w:t>
            </w:r>
          </w:p>
          <w:p w14:paraId="2980ABAC" w14:textId="77777777" w:rsidR="00216733" w:rsidRPr="00606CF0" w:rsidRDefault="00216733" w:rsidP="00216733">
            <w:pPr>
              <w:tabs>
                <w:tab w:val="left" w:pos="426"/>
              </w:tabs>
              <w:rPr>
                <w:sz w:val="22"/>
                <w:szCs w:val="22"/>
              </w:rPr>
            </w:pPr>
            <w:r w:rsidRPr="00606CF0">
              <w:rPr>
                <w:sz w:val="22"/>
                <w:szCs w:val="22"/>
              </w:rPr>
              <w:t>pose/beholder</w:t>
            </w:r>
          </w:p>
        </w:tc>
        <w:tc>
          <w:tcPr>
            <w:tcW w:w="974" w:type="pct"/>
            <w:tcBorders>
              <w:top w:val="single" w:sz="6" w:space="0" w:color="auto"/>
              <w:left w:val="single" w:sz="6" w:space="0" w:color="auto"/>
              <w:bottom w:val="single" w:sz="4" w:space="0" w:color="auto"/>
              <w:right w:val="single" w:sz="6" w:space="0" w:color="auto"/>
            </w:tcBorders>
            <w:vAlign w:val="center"/>
            <w:hideMark/>
          </w:tcPr>
          <w:p w14:paraId="4846B429" w14:textId="77777777" w:rsidR="00216733" w:rsidRPr="00606CF0" w:rsidRDefault="00216733" w:rsidP="00216733">
            <w:pPr>
              <w:tabs>
                <w:tab w:val="left" w:pos="426"/>
              </w:tabs>
              <w:rPr>
                <w:sz w:val="22"/>
                <w:szCs w:val="22"/>
              </w:rPr>
            </w:pPr>
            <w:r w:rsidRPr="00606CF0">
              <w:rPr>
                <w:sz w:val="22"/>
                <w:szCs w:val="22"/>
              </w:rPr>
              <w:t>8 timer/25 °C</w:t>
            </w:r>
          </w:p>
        </w:tc>
        <w:tc>
          <w:tcPr>
            <w:tcW w:w="1350" w:type="pct"/>
            <w:tcBorders>
              <w:top w:val="single" w:sz="6" w:space="0" w:color="auto"/>
              <w:left w:val="single" w:sz="6" w:space="0" w:color="auto"/>
              <w:bottom w:val="single" w:sz="4" w:space="0" w:color="auto"/>
              <w:right w:val="single" w:sz="4" w:space="0" w:color="auto"/>
            </w:tcBorders>
            <w:vAlign w:val="center"/>
            <w:hideMark/>
          </w:tcPr>
          <w:p w14:paraId="5B7A5818" w14:textId="3D0FEC23" w:rsidR="00216733" w:rsidRPr="00606CF0" w:rsidRDefault="00216733" w:rsidP="00216733">
            <w:pPr>
              <w:tabs>
                <w:tab w:val="left" w:pos="426"/>
              </w:tabs>
              <w:rPr>
                <w:sz w:val="22"/>
                <w:szCs w:val="22"/>
              </w:rPr>
            </w:pPr>
            <w:r>
              <w:rPr>
                <w:sz w:val="22"/>
                <w:szCs w:val="22"/>
              </w:rPr>
              <w:t xml:space="preserve">10 millioner IE (6,2 g) opløses i 20 ml vand til injektionsvæsker. Den derved opnåede opløsning bør straks tilføjes til 500 ml isotonisk </w:t>
            </w:r>
            <w:proofErr w:type="spellStart"/>
            <w:r>
              <w:rPr>
                <w:sz w:val="22"/>
                <w:szCs w:val="22"/>
              </w:rPr>
              <w:t>natriumchloridopløsning</w:t>
            </w:r>
            <w:proofErr w:type="spellEnd"/>
            <w:r>
              <w:rPr>
                <w:sz w:val="22"/>
                <w:szCs w:val="22"/>
              </w:rPr>
              <w:t xml:space="preserve"> (0,9 %).</w:t>
            </w:r>
          </w:p>
        </w:tc>
      </w:tr>
      <w:bookmarkEnd w:id="21"/>
    </w:tbl>
    <w:p w14:paraId="2F062203" w14:textId="77777777" w:rsidR="00DB1628" w:rsidRPr="007C59C9" w:rsidRDefault="00DB1628" w:rsidP="00DB1628">
      <w:pPr>
        <w:pStyle w:val="Brdtekst"/>
        <w:widowControl/>
        <w:tabs>
          <w:tab w:val="left" w:pos="426"/>
        </w:tabs>
        <w:kinsoku w:val="0"/>
        <w:overflowPunct w:val="0"/>
        <w:spacing w:before="0"/>
        <w:ind w:left="0"/>
      </w:pPr>
    </w:p>
    <w:p w14:paraId="19538C8F" w14:textId="77777777" w:rsidR="00DB1628" w:rsidRPr="007C59C9" w:rsidRDefault="00DB1628" w:rsidP="007B2912">
      <w:pPr>
        <w:ind w:left="851"/>
        <w:rPr>
          <w:sz w:val="24"/>
          <w:szCs w:val="24"/>
        </w:rPr>
      </w:pPr>
      <w:r w:rsidRPr="007C59C9">
        <w:rPr>
          <w:sz w:val="24"/>
          <w:szCs w:val="24"/>
        </w:rPr>
        <w:t xml:space="preserve">Opløsningen skal gennemses inden brug. Opløsningen skal være klar og praktisk taget uden partikler. </w:t>
      </w:r>
    </w:p>
    <w:p w14:paraId="3543F7A8" w14:textId="77777777" w:rsidR="00DB1628" w:rsidRPr="007C59C9" w:rsidRDefault="00DB1628" w:rsidP="007B2912">
      <w:pPr>
        <w:ind w:left="851"/>
        <w:rPr>
          <w:sz w:val="24"/>
          <w:szCs w:val="24"/>
        </w:rPr>
      </w:pPr>
    </w:p>
    <w:p w14:paraId="0B80BA3B" w14:textId="77777777" w:rsidR="00DB1628" w:rsidRPr="007C59C9" w:rsidRDefault="00DB1628" w:rsidP="007B2912">
      <w:pPr>
        <w:ind w:left="851"/>
        <w:rPr>
          <w:sz w:val="24"/>
          <w:szCs w:val="24"/>
        </w:rPr>
      </w:pPr>
      <w:r w:rsidRPr="007C59C9">
        <w:rPr>
          <w:sz w:val="24"/>
          <w:szCs w:val="24"/>
        </w:rPr>
        <w:t>Ikke anvendt lægemiddel samt affald heraf skal bortskaffes i henhold til lokale retningslinjer.</w:t>
      </w:r>
    </w:p>
    <w:p w14:paraId="2189A00E" w14:textId="77777777" w:rsidR="009260DE" w:rsidRPr="007C59C9" w:rsidRDefault="009260DE" w:rsidP="000730CA">
      <w:pPr>
        <w:tabs>
          <w:tab w:val="left" w:pos="851"/>
        </w:tabs>
        <w:ind w:left="851"/>
        <w:rPr>
          <w:sz w:val="24"/>
          <w:szCs w:val="24"/>
        </w:rPr>
      </w:pPr>
    </w:p>
    <w:p w14:paraId="37CDF973" w14:textId="77777777" w:rsidR="009260DE" w:rsidRPr="007C59C9" w:rsidRDefault="009260DE" w:rsidP="009260DE">
      <w:pPr>
        <w:tabs>
          <w:tab w:val="left" w:pos="851"/>
        </w:tabs>
        <w:ind w:left="851" w:hanging="851"/>
        <w:rPr>
          <w:b/>
          <w:sz w:val="24"/>
          <w:szCs w:val="24"/>
        </w:rPr>
      </w:pPr>
      <w:r w:rsidRPr="007C59C9">
        <w:rPr>
          <w:b/>
          <w:sz w:val="24"/>
          <w:szCs w:val="24"/>
        </w:rPr>
        <w:t>7.</w:t>
      </w:r>
      <w:r w:rsidRPr="007C59C9">
        <w:rPr>
          <w:b/>
          <w:sz w:val="24"/>
          <w:szCs w:val="24"/>
        </w:rPr>
        <w:tab/>
        <w:t>INDEHAVER AF MARKEDSFØRINGSTILLADELSEN</w:t>
      </w:r>
    </w:p>
    <w:p w14:paraId="3C4C7D0A" w14:textId="77777777" w:rsidR="00DB1628" w:rsidRPr="007C59C9" w:rsidRDefault="00DB1628" w:rsidP="007B2912">
      <w:pPr>
        <w:ind w:left="851"/>
        <w:rPr>
          <w:b/>
          <w:bCs/>
          <w:sz w:val="24"/>
          <w:szCs w:val="24"/>
        </w:rPr>
      </w:pPr>
      <w:proofErr w:type="spellStart"/>
      <w:r w:rsidRPr="007C59C9">
        <w:rPr>
          <w:sz w:val="24"/>
          <w:szCs w:val="24"/>
        </w:rPr>
        <w:t>Tarchomińskie</w:t>
      </w:r>
      <w:proofErr w:type="spellEnd"/>
      <w:r w:rsidRPr="007C59C9">
        <w:rPr>
          <w:sz w:val="24"/>
          <w:szCs w:val="24"/>
        </w:rPr>
        <w:t xml:space="preserve"> </w:t>
      </w:r>
      <w:proofErr w:type="spellStart"/>
      <w:r w:rsidRPr="007C59C9">
        <w:rPr>
          <w:sz w:val="24"/>
          <w:szCs w:val="24"/>
        </w:rPr>
        <w:t>Zakłady</w:t>
      </w:r>
      <w:proofErr w:type="spellEnd"/>
      <w:r w:rsidRPr="007C59C9">
        <w:rPr>
          <w:sz w:val="24"/>
          <w:szCs w:val="24"/>
        </w:rPr>
        <w:t xml:space="preserve"> </w:t>
      </w:r>
      <w:proofErr w:type="spellStart"/>
      <w:r w:rsidRPr="007C59C9">
        <w:rPr>
          <w:sz w:val="24"/>
          <w:szCs w:val="24"/>
        </w:rPr>
        <w:t>Farmaceutyczne</w:t>
      </w:r>
      <w:proofErr w:type="spellEnd"/>
      <w:r w:rsidRPr="007C59C9">
        <w:rPr>
          <w:sz w:val="24"/>
          <w:szCs w:val="24"/>
        </w:rPr>
        <w:t xml:space="preserve"> „</w:t>
      </w:r>
      <w:proofErr w:type="spellStart"/>
      <w:r w:rsidRPr="007C59C9">
        <w:rPr>
          <w:sz w:val="24"/>
          <w:szCs w:val="24"/>
        </w:rPr>
        <w:t>Polfa</w:t>
      </w:r>
      <w:proofErr w:type="spellEnd"/>
      <w:r w:rsidRPr="007C59C9">
        <w:rPr>
          <w:sz w:val="24"/>
          <w:szCs w:val="24"/>
        </w:rPr>
        <w:t xml:space="preserve">” </w:t>
      </w:r>
      <w:proofErr w:type="spellStart"/>
      <w:r w:rsidRPr="007C59C9">
        <w:rPr>
          <w:sz w:val="24"/>
          <w:szCs w:val="24"/>
        </w:rPr>
        <w:t>Spółka</w:t>
      </w:r>
      <w:proofErr w:type="spellEnd"/>
      <w:r w:rsidRPr="007C59C9">
        <w:rPr>
          <w:sz w:val="24"/>
          <w:szCs w:val="24"/>
        </w:rPr>
        <w:t xml:space="preserve"> </w:t>
      </w:r>
      <w:proofErr w:type="spellStart"/>
      <w:r w:rsidRPr="007C59C9">
        <w:rPr>
          <w:sz w:val="24"/>
          <w:szCs w:val="24"/>
        </w:rPr>
        <w:t>Akcyjna</w:t>
      </w:r>
      <w:proofErr w:type="spellEnd"/>
    </w:p>
    <w:p w14:paraId="5D65CD43" w14:textId="77777777" w:rsidR="00DB1628" w:rsidRPr="007C59C9" w:rsidRDefault="00DB1628" w:rsidP="007B2912">
      <w:pPr>
        <w:ind w:left="851"/>
        <w:rPr>
          <w:sz w:val="24"/>
          <w:szCs w:val="24"/>
        </w:rPr>
      </w:pPr>
      <w:proofErr w:type="spellStart"/>
      <w:r w:rsidRPr="007C59C9">
        <w:rPr>
          <w:sz w:val="24"/>
          <w:szCs w:val="24"/>
        </w:rPr>
        <w:t>ul</w:t>
      </w:r>
      <w:proofErr w:type="spellEnd"/>
      <w:r w:rsidRPr="007C59C9">
        <w:rPr>
          <w:sz w:val="24"/>
          <w:szCs w:val="24"/>
        </w:rPr>
        <w:t xml:space="preserve">. A. </w:t>
      </w:r>
      <w:proofErr w:type="spellStart"/>
      <w:r w:rsidRPr="007C59C9">
        <w:rPr>
          <w:sz w:val="24"/>
          <w:szCs w:val="24"/>
        </w:rPr>
        <w:t>Fleminga</w:t>
      </w:r>
      <w:proofErr w:type="spellEnd"/>
      <w:r w:rsidRPr="007C59C9">
        <w:rPr>
          <w:sz w:val="24"/>
          <w:szCs w:val="24"/>
        </w:rPr>
        <w:t xml:space="preserve"> 2</w:t>
      </w:r>
      <w:r w:rsidRPr="007C59C9">
        <w:rPr>
          <w:sz w:val="24"/>
          <w:szCs w:val="24"/>
        </w:rPr>
        <w:tab/>
      </w:r>
    </w:p>
    <w:p w14:paraId="25805B02" w14:textId="77777777" w:rsidR="00DB1628" w:rsidRPr="007C59C9" w:rsidRDefault="00DB1628" w:rsidP="007B2912">
      <w:pPr>
        <w:ind w:left="851"/>
        <w:rPr>
          <w:sz w:val="24"/>
          <w:szCs w:val="24"/>
        </w:rPr>
      </w:pPr>
      <w:r w:rsidRPr="007C59C9">
        <w:rPr>
          <w:sz w:val="24"/>
          <w:szCs w:val="24"/>
        </w:rPr>
        <w:t>03-176 Warszawa</w:t>
      </w:r>
    </w:p>
    <w:p w14:paraId="48302322" w14:textId="77777777" w:rsidR="00DB1628" w:rsidRPr="007C59C9" w:rsidRDefault="00DB1628" w:rsidP="007B2912">
      <w:pPr>
        <w:ind w:left="851"/>
        <w:rPr>
          <w:sz w:val="24"/>
          <w:szCs w:val="24"/>
        </w:rPr>
      </w:pPr>
      <w:r w:rsidRPr="007C59C9">
        <w:rPr>
          <w:sz w:val="24"/>
          <w:szCs w:val="24"/>
        </w:rPr>
        <w:t>Polen</w:t>
      </w:r>
    </w:p>
    <w:p w14:paraId="14E8BF22" w14:textId="77777777" w:rsidR="009260DE" w:rsidRPr="007C59C9" w:rsidRDefault="009260DE" w:rsidP="007B2912">
      <w:pPr>
        <w:ind w:left="851"/>
        <w:rPr>
          <w:sz w:val="24"/>
          <w:szCs w:val="24"/>
        </w:rPr>
      </w:pPr>
    </w:p>
    <w:p w14:paraId="3FF93D5D" w14:textId="77777777" w:rsidR="00641C65" w:rsidRPr="007C59C9" w:rsidRDefault="00641C65" w:rsidP="007B2912">
      <w:pPr>
        <w:ind w:left="851"/>
        <w:rPr>
          <w:sz w:val="24"/>
          <w:szCs w:val="24"/>
        </w:rPr>
      </w:pPr>
      <w:r w:rsidRPr="007C59C9">
        <w:rPr>
          <w:b/>
          <w:sz w:val="24"/>
          <w:szCs w:val="24"/>
        </w:rPr>
        <w:t>Repræsentant</w:t>
      </w:r>
    </w:p>
    <w:p w14:paraId="00FFB245" w14:textId="77777777" w:rsidR="00DB1628" w:rsidRPr="007C59C9" w:rsidRDefault="00DB1628" w:rsidP="007B2912">
      <w:pPr>
        <w:ind w:left="851"/>
        <w:rPr>
          <w:sz w:val="24"/>
          <w:szCs w:val="24"/>
        </w:rPr>
      </w:pPr>
      <w:r w:rsidRPr="007C59C9">
        <w:rPr>
          <w:sz w:val="24"/>
          <w:szCs w:val="24"/>
        </w:rPr>
        <w:t>EQL Pharma AB</w:t>
      </w:r>
    </w:p>
    <w:p w14:paraId="6C66AE8C" w14:textId="77777777" w:rsidR="00DB1628" w:rsidRPr="007C59C9" w:rsidRDefault="00DB1628" w:rsidP="007B2912">
      <w:pPr>
        <w:ind w:left="851"/>
        <w:rPr>
          <w:sz w:val="24"/>
          <w:szCs w:val="24"/>
        </w:rPr>
      </w:pPr>
      <w:proofErr w:type="spellStart"/>
      <w:r w:rsidRPr="007C59C9">
        <w:rPr>
          <w:sz w:val="24"/>
          <w:szCs w:val="24"/>
        </w:rPr>
        <w:t>Stortorget</w:t>
      </w:r>
      <w:proofErr w:type="spellEnd"/>
      <w:r w:rsidRPr="007C59C9">
        <w:rPr>
          <w:sz w:val="24"/>
          <w:szCs w:val="24"/>
        </w:rPr>
        <w:t xml:space="preserve"> 1</w:t>
      </w:r>
    </w:p>
    <w:p w14:paraId="3A431484" w14:textId="77777777" w:rsidR="00DB1628" w:rsidRPr="007C59C9" w:rsidRDefault="00DB1628" w:rsidP="007B2912">
      <w:pPr>
        <w:ind w:left="851"/>
        <w:rPr>
          <w:sz w:val="24"/>
          <w:szCs w:val="24"/>
        </w:rPr>
      </w:pPr>
      <w:r w:rsidRPr="007C59C9">
        <w:rPr>
          <w:sz w:val="24"/>
          <w:szCs w:val="24"/>
        </w:rPr>
        <w:t>222 23 Lund</w:t>
      </w:r>
    </w:p>
    <w:p w14:paraId="3A76E14C" w14:textId="77777777" w:rsidR="00DB1628" w:rsidRPr="007C59C9" w:rsidRDefault="00DB1628" w:rsidP="007B2912">
      <w:pPr>
        <w:ind w:left="851"/>
        <w:rPr>
          <w:sz w:val="24"/>
          <w:szCs w:val="24"/>
        </w:rPr>
      </w:pPr>
      <w:r w:rsidRPr="007C59C9">
        <w:rPr>
          <w:sz w:val="24"/>
          <w:szCs w:val="24"/>
        </w:rPr>
        <w:t>Sverige</w:t>
      </w:r>
    </w:p>
    <w:p w14:paraId="2D95141E" w14:textId="77777777" w:rsidR="00641C65" w:rsidRPr="007C59C9" w:rsidRDefault="00641C65" w:rsidP="009260DE">
      <w:pPr>
        <w:tabs>
          <w:tab w:val="left" w:pos="851"/>
        </w:tabs>
        <w:ind w:left="851"/>
        <w:rPr>
          <w:sz w:val="24"/>
          <w:szCs w:val="24"/>
        </w:rPr>
      </w:pPr>
    </w:p>
    <w:p w14:paraId="4B318D14" w14:textId="77777777" w:rsidR="009260DE" w:rsidRPr="007C59C9" w:rsidRDefault="009260DE" w:rsidP="009260DE">
      <w:pPr>
        <w:tabs>
          <w:tab w:val="left" w:pos="851"/>
        </w:tabs>
        <w:ind w:left="851" w:hanging="851"/>
        <w:rPr>
          <w:b/>
          <w:sz w:val="24"/>
          <w:szCs w:val="24"/>
        </w:rPr>
      </w:pPr>
      <w:r w:rsidRPr="007C59C9">
        <w:rPr>
          <w:b/>
          <w:sz w:val="24"/>
          <w:szCs w:val="24"/>
        </w:rPr>
        <w:lastRenderedPageBreak/>
        <w:t>8.</w:t>
      </w:r>
      <w:r w:rsidRPr="007C59C9">
        <w:rPr>
          <w:b/>
          <w:sz w:val="24"/>
          <w:szCs w:val="24"/>
        </w:rPr>
        <w:tab/>
        <w:t>MARKEDSFØRINGSTILLADELSESNUMMER (</w:t>
      </w:r>
      <w:r w:rsidR="00BF6243" w:rsidRPr="007C59C9">
        <w:rPr>
          <w:b/>
          <w:sz w:val="24"/>
          <w:szCs w:val="24"/>
        </w:rPr>
        <w:t>-</w:t>
      </w:r>
      <w:r w:rsidRPr="007C59C9">
        <w:rPr>
          <w:b/>
          <w:sz w:val="24"/>
          <w:szCs w:val="24"/>
        </w:rPr>
        <w:t>NUMRE)</w:t>
      </w:r>
    </w:p>
    <w:p w14:paraId="46FE0B5C" w14:textId="4D0AC702" w:rsidR="009260DE" w:rsidRPr="007C59C9" w:rsidRDefault="00DB1628" w:rsidP="009260DE">
      <w:pPr>
        <w:tabs>
          <w:tab w:val="left" w:pos="851"/>
        </w:tabs>
        <w:ind w:left="851"/>
        <w:rPr>
          <w:sz w:val="24"/>
          <w:szCs w:val="24"/>
        </w:rPr>
      </w:pPr>
      <w:r w:rsidRPr="007C59C9">
        <w:rPr>
          <w:sz w:val="24"/>
          <w:szCs w:val="24"/>
        </w:rPr>
        <w:t>66541</w:t>
      </w:r>
    </w:p>
    <w:p w14:paraId="1B06B31F" w14:textId="77777777" w:rsidR="009260DE" w:rsidRPr="007C59C9" w:rsidRDefault="009260DE" w:rsidP="009260DE">
      <w:pPr>
        <w:tabs>
          <w:tab w:val="left" w:pos="851"/>
        </w:tabs>
        <w:ind w:left="851"/>
        <w:jc w:val="both"/>
        <w:rPr>
          <w:sz w:val="24"/>
          <w:szCs w:val="24"/>
        </w:rPr>
      </w:pPr>
    </w:p>
    <w:p w14:paraId="6B1278E9" w14:textId="77777777" w:rsidR="009260DE" w:rsidRPr="007C59C9" w:rsidRDefault="009260DE" w:rsidP="009260DE">
      <w:pPr>
        <w:tabs>
          <w:tab w:val="left" w:pos="851"/>
        </w:tabs>
        <w:ind w:left="851" w:hanging="851"/>
        <w:rPr>
          <w:b/>
          <w:sz w:val="24"/>
          <w:szCs w:val="24"/>
        </w:rPr>
      </w:pPr>
      <w:r w:rsidRPr="007C59C9">
        <w:rPr>
          <w:b/>
          <w:sz w:val="24"/>
          <w:szCs w:val="24"/>
        </w:rPr>
        <w:t>9.</w:t>
      </w:r>
      <w:r w:rsidRPr="007C59C9">
        <w:rPr>
          <w:b/>
          <w:sz w:val="24"/>
          <w:szCs w:val="24"/>
        </w:rPr>
        <w:tab/>
        <w:t>DATO FOR FØRSTE MARKEDSFØRINGSTILLADELSE</w:t>
      </w:r>
    </w:p>
    <w:p w14:paraId="3EB57BE1" w14:textId="2C50A607" w:rsidR="009260DE" w:rsidRPr="007C59C9" w:rsidRDefault="00F964B5" w:rsidP="009260DE">
      <w:pPr>
        <w:tabs>
          <w:tab w:val="left" w:pos="851"/>
        </w:tabs>
        <w:ind w:left="851"/>
        <w:rPr>
          <w:sz w:val="24"/>
          <w:szCs w:val="24"/>
        </w:rPr>
      </w:pPr>
      <w:r>
        <w:rPr>
          <w:sz w:val="24"/>
          <w:szCs w:val="24"/>
        </w:rPr>
        <w:t>14. december 2022</w:t>
      </w:r>
    </w:p>
    <w:p w14:paraId="535E3CAE" w14:textId="77777777" w:rsidR="009260DE" w:rsidRPr="007C59C9" w:rsidRDefault="009260DE" w:rsidP="009260DE">
      <w:pPr>
        <w:tabs>
          <w:tab w:val="left" w:pos="851"/>
        </w:tabs>
        <w:ind w:left="851"/>
        <w:rPr>
          <w:sz w:val="24"/>
          <w:szCs w:val="24"/>
        </w:rPr>
      </w:pPr>
    </w:p>
    <w:p w14:paraId="614AC629" w14:textId="77777777" w:rsidR="009260DE" w:rsidRPr="007C59C9" w:rsidRDefault="009260DE" w:rsidP="009260DE">
      <w:pPr>
        <w:tabs>
          <w:tab w:val="left" w:pos="851"/>
        </w:tabs>
        <w:ind w:left="851" w:hanging="851"/>
        <w:rPr>
          <w:b/>
          <w:sz w:val="24"/>
          <w:szCs w:val="24"/>
        </w:rPr>
      </w:pPr>
      <w:r w:rsidRPr="007C59C9">
        <w:rPr>
          <w:b/>
          <w:sz w:val="24"/>
          <w:szCs w:val="24"/>
        </w:rPr>
        <w:t>10.</w:t>
      </w:r>
      <w:r w:rsidRPr="007C59C9">
        <w:rPr>
          <w:b/>
          <w:sz w:val="24"/>
          <w:szCs w:val="24"/>
        </w:rPr>
        <w:tab/>
        <w:t>DATO FOR ÆNDRING AF TEKSTEN</w:t>
      </w:r>
    </w:p>
    <w:p w14:paraId="0CA102C4" w14:textId="0DB41D44" w:rsidR="009260DE" w:rsidRPr="007C59C9" w:rsidRDefault="00407359" w:rsidP="009260DE">
      <w:pPr>
        <w:tabs>
          <w:tab w:val="left" w:pos="851"/>
        </w:tabs>
        <w:ind w:left="851"/>
        <w:rPr>
          <w:sz w:val="24"/>
          <w:szCs w:val="24"/>
        </w:rPr>
      </w:pPr>
      <w:r w:rsidRPr="00407359">
        <w:rPr>
          <w:sz w:val="24"/>
          <w:szCs w:val="24"/>
        </w:rPr>
        <w:t>4. oktober 2023</w:t>
      </w:r>
    </w:p>
    <w:sectPr w:rsidR="009260DE" w:rsidRPr="007C59C9"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F41E7" w14:textId="77777777" w:rsidR="003F5A34" w:rsidRDefault="003F5A34">
      <w:r>
        <w:separator/>
      </w:r>
    </w:p>
  </w:endnote>
  <w:endnote w:type="continuationSeparator" w:id="0">
    <w:p w14:paraId="29ACFAA1" w14:textId="77777777" w:rsidR="003F5A34" w:rsidRDefault="003F5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97AC3" w14:textId="77777777" w:rsidR="000259B9" w:rsidRDefault="000259B9">
    <w:pPr>
      <w:pStyle w:val="Sidefod"/>
      <w:pBdr>
        <w:bottom w:val="single" w:sz="6" w:space="1" w:color="auto"/>
      </w:pBdr>
    </w:pPr>
  </w:p>
  <w:p w14:paraId="14F770F8" w14:textId="77777777" w:rsidR="000259B9" w:rsidRDefault="000259B9" w:rsidP="00C42586">
    <w:pPr>
      <w:pStyle w:val="Sidefod"/>
      <w:tabs>
        <w:tab w:val="clear" w:pos="4819"/>
        <w:tab w:val="left" w:pos="8505"/>
      </w:tabs>
      <w:rPr>
        <w:i/>
        <w:sz w:val="18"/>
        <w:szCs w:val="18"/>
      </w:rPr>
    </w:pPr>
  </w:p>
  <w:p w14:paraId="73B5A3AC" w14:textId="27AA1EA7"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F964B5">
      <w:rPr>
        <w:i/>
        <w:noProof/>
        <w:sz w:val="18"/>
        <w:szCs w:val="18"/>
      </w:rPr>
      <w:t>Penicryl, pulver til injektions--infusionsvæske, opløsning 3,1 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7FB9C" w14:textId="77777777" w:rsidR="003F5A34" w:rsidRDefault="003F5A34">
      <w:r>
        <w:separator/>
      </w:r>
    </w:p>
  </w:footnote>
  <w:footnote w:type="continuationSeparator" w:id="0">
    <w:p w14:paraId="57312D78" w14:textId="77777777" w:rsidR="003F5A34" w:rsidRDefault="003F5A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6985AF5"/>
    <w:multiLevelType w:val="hybridMultilevel"/>
    <w:tmpl w:val="EC6A1B8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 w15:restartNumberingAfterBreak="0">
    <w:nsid w:val="2DE30790"/>
    <w:multiLevelType w:val="hybridMultilevel"/>
    <w:tmpl w:val="97260A3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3CE78CA"/>
    <w:multiLevelType w:val="hybridMultilevel"/>
    <w:tmpl w:val="7118107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7" w15:restartNumberingAfterBreak="0">
    <w:nsid w:val="48C91D51"/>
    <w:multiLevelType w:val="hybridMultilevel"/>
    <w:tmpl w:val="C21A156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799A6076"/>
    <w:multiLevelType w:val="hybridMultilevel"/>
    <w:tmpl w:val="9578925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6"/>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A34"/>
    <w:rsid w:val="000259B9"/>
    <w:rsid w:val="00041491"/>
    <w:rsid w:val="00050D16"/>
    <w:rsid w:val="000730CA"/>
    <w:rsid w:val="00074F2A"/>
    <w:rsid w:val="000A1CA8"/>
    <w:rsid w:val="000A466B"/>
    <w:rsid w:val="000B058C"/>
    <w:rsid w:val="000D68B0"/>
    <w:rsid w:val="000E4EE6"/>
    <w:rsid w:val="001454E2"/>
    <w:rsid w:val="00206CE8"/>
    <w:rsid w:val="0021526C"/>
    <w:rsid w:val="00216733"/>
    <w:rsid w:val="00283A2B"/>
    <w:rsid w:val="002B30AD"/>
    <w:rsid w:val="002C1EC0"/>
    <w:rsid w:val="002C2C01"/>
    <w:rsid w:val="003A29AE"/>
    <w:rsid w:val="003A32D7"/>
    <w:rsid w:val="003B4074"/>
    <w:rsid w:val="003C769A"/>
    <w:rsid w:val="003D3A90"/>
    <w:rsid w:val="003F1838"/>
    <w:rsid w:val="003F5A34"/>
    <w:rsid w:val="00407359"/>
    <w:rsid w:val="0045746C"/>
    <w:rsid w:val="0049104B"/>
    <w:rsid w:val="004E3B12"/>
    <w:rsid w:val="00532310"/>
    <w:rsid w:val="00565F0F"/>
    <w:rsid w:val="00594A86"/>
    <w:rsid w:val="00596D86"/>
    <w:rsid w:val="00606CF0"/>
    <w:rsid w:val="00637F5A"/>
    <w:rsid w:val="00641C65"/>
    <w:rsid w:val="006560B1"/>
    <w:rsid w:val="006756DD"/>
    <w:rsid w:val="006D7077"/>
    <w:rsid w:val="0071241E"/>
    <w:rsid w:val="00737275"/>
    <w:rsid w:val="00740EEC"/>
    <w:rsid w:val="0078011A"/>
    <w:rsid w:val="00782AF4"/>
    <w:rsid w:val="00790EE7"/>
    <w:rsid w:val="007B2912"/>
    <w:rsid w:val="007B6649"/>
    <w:rsid w:val="007C59C9"/>
    <w:rsid w:val="0082576E"/>
    <w:rsid w:val="0085700C"/>
    <w:rsid w:val="008E556B"/>
    <w:rsid w:val="008E5BF0"/>
    <w:rsid w:val="00907F75"/>
    <w:rsid w:val="009260DE"/>
    <w:rsid w:val="0093258A"/>
    <w:rsid w:val="00971BEF"/>
    <w:rsid w:val="009C7BA3"/>
    <w:rsid w:val="009D1F5A"/>
    <w:rsid w:val="00A10294"/>
    <w:rsid w:val="00B003BF"/>
    <w:rsid w:val="00B258B9"/>
    <w:rsid w:val="00B373D7"/>
    <w:rsid w:val="00B55271"/>
    <w:rsid w:val="00BB2A4F"/>
    <w:rsid w:val="00BD7931"/>
    <w:rsid w:val="00BF6243"/>
    <w:rsid w:val="00C36276"/>
    <w:rsid w:val="00C42586"/>
    <w:rsid w:val="00C44AAF"/>
    <w:rsid w:val="00C45F6B"/>
    <w:rsid w:val="00C60CCD"/>
    <w:rsid w:val="00C63E35"/>
    <w:rsid w:val="00C84483"/>
    <w:rsid w:val="00C95551"/>
    <w:rsid w:val="00CB20D7"/>
    <w:rsid w:val="00D020B0"/>
    <w:rsid w:val="00D11748"/>
    <w:rsid w:val="00D237F6"/>
    <w:rsid w:val="00D34D98"/>
    <w:rsid w:val="00D366CF"/>
    <w:rsid w:val="00D93992"/>
    <w:rsid w:val="00DB1628"/>
    <w:rsid w:val="00DE3E0A"/>
    <w:rsid w:val="00E108AA"/>
    <w:rsid w:val="00E3749A"/>
    <w:rsid w:val="00E7437F"/>
    <w:rsid w:val="00E865B8"/>
    <w:rsid w:val="00EC0B9B"/>
    <w:rsid w:val="00ED5E9F"/>
    <w:rsid w:val="00F66D4F"/>
    <w:rsid w:val="00F964B5"/>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6138A3"/>
  <w15:chartTrackingRefBased/>
  <w15:docId w15:val="{D4525DC7-3B2B-49AD-9D07-281030DA2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link w:val="Overskrift3Tegn"/>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DB1628"/>
    <w:pPr>
      <w:widowControl w:val="0"/>
      <w:autoSpaceDE w:val="0"/>
      <w:autoSpaceDN w:val="0"/>
      <w:adjustRightInd w:val="0"/>
      <w:spacing w:before="2"/>
      <w:ind w:left="118"/>
    </w:pPr>
    <w:rPr>
      <w:sz w:val="24"/>
      <w:szCs w:val="24"/>
    </w:rPr>
  </w:style>
  <w:style w:type="character" w:customStyle="1" w:styleId="BrdtekstTegn">
    <w:name w:val="Brødtekst Tegn"/>
    <w:basedOn w:val="Standardskrifttypeiafsnit"/>
    <w:link w:val="Brdtekst"/>
    <w:uiPriority w:val="1"/>
    <w:semiHidden/>
    <w:rsid w:val="00DB1628"/>
    <w:rPr>
      <w:sz w:val="24"/>
      <w:szCs w:val="24"/>
      <w:lang w:eastAsia="en-US"/>
    </w:rPr>
  </w:style>
  <w:style w:type="character" w:customStyle="1" w:styleId="normaltextrun">
    <w:name w:val="normaltextrun"/>
    <w:basedOn w:val="Standardskrifttypeiafsnit"/>
    <w:rsid w:val="00DB1628"/>
  </w:style>
  <w:style w:type="character" w:customStyle="1" w:styleId="eop">
    <w:name w:val="eop"/>
    <w:basedOn w:val="Standardskrifttypeiafsnit"/>
    <w:rsid w:val="00DB1628"/>
  </w:style>
  <w:style w:type="character" w:customStyle="1" w:styleId="jlqj4b">
    <w:name w:val="jlqj4b"/>
    <w:basedOn w:val="Standardskrifttypeiafsnit"/>
    <w:rsid w:val="00DB1628"/>
  </w:style>
  <w:style w:type="table" w:styleId="Tabel-Gitter">
    <w:name w:val="Table Grid"/>
    <w:basedOn w:val="Tabel-Normal"/>
    <w:uiPriority w:val="39"/>
    <w:rsid w:val="00DB1628"/>
    <w:rPr>
      <w:rFonts w:ascii="Calibri" w:hAnsi="Calibri"/>
      <w:lang w:val="en-GB"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B1628"/>
    <w:pPr>
      <w:widowControl w:val="0"/>
      <w:autoSpaceDE w:val="0"/>
      <w:autoSpaceDN w:val="0"/>
      <w:adjustRightInd w:val="0"/>
      <w:spacing w:before="1"/>
      <w:ind w:left="65"/>
    </w:pPr>
    <w:rPr>
      <w:sz w:val="24"/>
      <w:szCs w:val="24"/>
    </w:rPr>
  </w:style>
  <w:style w:type="character" w:customStyle="1" w:styleId="Overskrift3Tegn">
    <w:name w:val="Overskrift 3 Tegn"/>
    <w:basedOn w:val="Standardskrifttypeiafsnit"/>
    <w:link w:val="Overskrift3"/>
    <w:rsid w:val="00DB1628"/>
    <w:rPr>
      <w:rFonts w:ascii="Arial" w:hAnsi="Arial"/>
      <w:sz w:val="24"/>
      <w:lang w:eastAsia="en-US"/>
    </w:rPr>
  </w:style>
  <w:style w:type="paragraph" w:styleId="Listeafsnit">
    <w:name w:val="List Paragraph"/>
    <w:basedOn w:val="Normal"/>
    <w:uiPriority w:val="34"/>
    <w:qFormat/>
    <w:rsid w:val="007C59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7500">
      <w:bodyDiv w:val="1"/>
      <w:marLeft w:val="0"/>
      <w:marRight w:val="0"/>
      <w:marTop w:val="0"/>
      <w:marBottom w:val="0"/>
      <w:divBdr>
        <w:top w:val="none" w:sz="0" w:space="0" w:color="auto"/>
        <w:left w:val="none" w:sz="0" w:space="0" w:color="auto"/>
        <w:bottom w:val="none" w:sz="0" w:space="0" w:color="auto"/>
        <w:right w:val="none" w:sz="0" w:space="0" w:color="auto"/>
      </w:divBdr>
    </w:div>
    <w:div w:id="7393801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0530542">
      <w:bodyDiv w:val="1"/>
      <w:marLeft w:val="0"/>
      <w:marRight w:val="0"/>
      <w:marTop w:val="0"/>
      <w:marBottom w:val="0"/>
      <w:divBdr>
        <w:top w:val="none" w:sz="0" w:space="0" w:color="auto"/>
        <w:left w:val="none" w:sz="0" w:space="0" w:color="auto"/>
        <w:bottom w:val="none" w:sz="0" w:space="0" w:color="auto"/>
        <w:right w:val="none" w:sz="0" w:space="0" w:color="auto"/>
      </w:divBdr>
    </w:div>
    <w:div w:id="213852561">
      <w:bodyDiv w:val="1"/>
      <w:marLeft w:val="0"/>
      <w:marRight w:val="0"/>
      <w:marTop w:val="0"/>
      <w:marBottom w:val="0"/>
      <w:divBdr>
        <w:top w:val="none" w:sz="0" w:space="0" w:color="auto"/>
        <w:left w:val="none" w:sz="0" w:space="0" w:color="auto"/>
        <w:bottom w:val="none" w:sz="0" w:space="0" w:color="auto"/>
        <w:right w:val="none" w:sz="0" w:space="0" w:color="auto"/>
      </w:divBdr>
    </w:div>
    <w:div w:id="318581484">
      <w:bodyDiv w:val="1"/>
      <w:marLeft w:val="0"/>
      <w:marRight w:val="0"/>
      <w:marTop w:val="0"/>
      <w:marBottom w:val="0"/>
      <w:divBdr>
        <w:top w:val="none" w:sz="0" w:space="0" w:color="auto"/>
        <w:left w:val="none" w:sz="0" w:space="0" w:color="auto"/>
        <w:bottom w:val="none" w:sz="0" w:space="0" w:color="auto"/>
        <w:right w:val="none" w:sz="0" w:space="0" w:color="auto"/>
      </w:divBdr>
    </w:div>
    <w:div w:id="332267880">
      <w:bodyDiv w:val="1"/>
      <w:marLeft w:val="0"/>
      <w:marRight w:val="0"/>
      <w:marTop w:val="0"/>
      <w:marBottom w:val="0"/>
      <w:divBdr>
        <w:top w:val="none" w:sz="0" w:space="0" w:color="auto"/>
        <w:left w:val="none" w:sz="0" w:space="0" w:color="auto"/>
        <w:bottom w:val="none" w:sz="0" w:space="0" w:color="auto"/>
        <w:right w:val="none" w:sz="0" w:space="0" w:color="auto"/>
      </w:divBdr>
    </w:div>
    <w:div w:id="361982163">
      <w:bodyDiv w:val="1"/>
      <w:marLeft w:val="0"/>
      <w:marRight w:val="0"/>
      <w:marTop w:val="0"/>
      <w:marBottom w:val="0"/>
      <w:divBdr>
        <w:top w:val="none" w:sz="0" w:space="0" w:color="auto"/>
        <w:left w:val="none" w:sz="0" w:space="0" w:color="auto"/>
        <w:bottom w:val="none" w:sz="0" w:space="0" w:color="auto"/>
        <w:right w:val="none" w:sz="0" w:space="0" w:color="auto"/>
      </w:divBdr>
    </w:div>
    <w:div w:id="427775643">
      <w:bodyDiv w:val="1"/>
      <w:marLeft w:val="0"/>
      <w:marRight w:val="0"/>
      <w:marTop w:val="0"/>
      <w:marBottom w:val="0"/>
      <w:divBdr>
        <w:top w:val="none" w:sz="0" w:space="0" w:color="auto"/>
        <w:left w:val="none" w:sz="0" w:space="0" w:color="auto"/>
        <w:bottom w:val="none" w:sz="0" w:space="0" w:color="auto"/>
        <w:right w:val="none" w:sz="0" w:space="0" w:color="auto"/>
      </w:divBdr>
    </w:div>
    <w:div w:id="499656719">
      <w:bodyDiv w:val="1"/>
      <w:marLeft w:val="0"/>
      <w:marRight w:val="0"/>
      <w:marTop w:val="0"/>
      <w:marBottom w:val="0"/>
      <w:divBdr>
        <w:top w:val="none" w:sz="0" w:space="0" w:color="auto"/>
        <w:left w:val="none" w:sz="0" w:space="0" w:color="auto"/>
        <w:bottom w:val="none" w:sz="0" w:space="0" w:color="auto"/>
        <w:right w:val="none" w:sz="0" w:space="0" w:color="auto"/>
      </w:divBdr>
    </w:div>
    <w:div w:id="548998343">
      <w:bodyDiv w:val="1"/>
      <w:marLeft w:val="0"/>
      <w:marRight w:val="0"/>
      <w:marTop w:val="0"/>
      <w:marBottom w:val="0"/>
      <w:divBdr>
        <w:top w:val="none" w:sz="0" w:space="0" w:color="auto"/>
        <w:left w:val="none" w:sz="0" w:space="0" w:color="auto"/>
        <w:bottom w:val="none" w:sz="0" w:space="0" w:color="auto"/>
        <w:right w:val="none" w:sz="0" w:space="0" w:color="auto"/>
      </w:divBdr>
    </w:div>
    <w:div w:id="573971932">
      <w:bodyDiv w:val="1"/>
      <w:marLeft w:val="0"/>
      <w:marRight w:val="0"/>
      <w:marTop w:val="0"/>
      <w:marBottom w:val="0"/>
      <w:divBdr>
        <w:top w:val="none" w:sz="0" w:space="0" w:color="auto"/>
        <w:left w:val="none" w:sz="0" w:space="0" w:color="auto"/>
        <w:bottom w:val="none" w:sz="0" w:space="0" w:color="auto"/>
        <w:right w:val="none" w:sz="0" w:space="0" w:color="auto"/>
      </w:divBdr>
    </w:div>
    <w:div w:id="588393164">
      <w:bodyDiv w:val="1"/>
      <w:marLeft w:val="0"/>
      <w:marRight w:val="0"/>
      <w:marTop w:val="0"/>
      <w:marBottom w:val="0"/>
      <w:divBdr>
        <w:top w:val="none" w:sz="0" w:space="0" w:color="auto"/>
        <w:left w:val="none" w:sz="0" w:space="0" w:color="auto"/>
        <w:bottom w:val="none" w:sz="0" w:space="0" w:color="auto"/>
        <w:right w:val="none" w:sz="0" w:space="0" w:color="auto"/>
      </w:divBdr>
    </w:div>
    <w:div w:id="656766892">
      <w:bodyDiv w:val="1"/>
      <w:marLeft w:val="0"/>
      <w:marRight w:val="0"/>
      <w:marTop w:val="0"/>
      <w:marBottom w:val="0"/>
      <w:divBdr>
        <w:top w:val="none" w:sz="0" w:space="0" w:color="auto"/>
        <w:left w:val="none" w:sz="0" w:space="0" w:color="auto"/>
        <w:bottom w:val="none" w:sz="0" w:space="0" w:color="auto"/>
        <w:right w:val="none" w:sz="0" w:space="0" w:color="auto"/>
      </w:divBdr>
    </w:div>
    <w:div w:id="689989468">
      <w:bodyDiv w:val="1"/>
      <w:marLeft w:val="0"/>
      <w:marRight w:val="0"/>
      <w:marTop w:val="0"/>
      <w:marBottom w:val="0"/>
      <w:divBdr>
        <w:top w:val="none" w:sz="0" w:space="0" w:color="auto"/>
        <w:left w:val="none" w:sz="0" w:space="0" w:color="auto"/>
        <w:bottom w:val="none" w:sz="0" w:space="0" w:color="auto"/>
        <w:right w:val="none" w:sz="0" w:space="0" w:color="auto"/>
      </w:divBdr>
    </w:div>
    <w:div w:id="1030108988">
      <w:bodyDiv w:val="1"/>
      <w:marLeft w:val="0"/>
      <w:marRight w:val="0"/>
      <w:marTop w:val="0"/>
      <w:marBottom w:val="0"/>
      <w:divBdr>
        <w:top w:val="none" w:sz="0" w:space="0" w:color="auto"/>
        <w:left w:val="none" w:sz="0" w:space="0" w:color="auto"/>
        <w:bottom w:val="none" w:sz="0" w:space="0" w:color="auto"/>
        <w:right w:val="none" w:sz="0" w:space="0" w:color="auto"/>
      </w:divBdr>
    </w:div>
    <w:div w:id="1160924005">
      <w:bodyDiv w:val="1"/>
      <w:marLeft w:val="0"/>
      <w:marRight w:val="0"/>
      <w:marTop w:val="0"/>
      <w:marBottom w:val="0"/>
      <w:divBdr>
        <w:top w:val="none" w:sz="0" w:space="0" w:color="auto"/>
        <w:left w:val="none" w:sz="0" w:space="0" w:color="auto"/>
        <w:bottom w:val="none" w:sz="0" w:space="0" w:color="auto"/>
        <w:right w:val="none" w:sz="0" w:space="0" w:color="auto"/>
      </w:divBdr>
    </w:div>
    <w:div w:id="1225530806">
      <w:bodyDiv w:val="1"/>
      <w:marLeft w:val="0"/>
      <w:marRight w:val="0"/>
      <w:marTop w:val="0"/>
      <w:marBottom w:val="0"/>
      <w:divBdr>
        <w:top w:val="none" w:sz="0" w:space="0" w:color="auto"/>
        <w:left w:val="none" w:sz="0" w:space="0" w:color="auto"/>
        <w:bottom w:val="none" w:sz="0" w:space="0" w:color="auto"/>
        <w:right w:val="none" w:sz="0" w:space="0" w:color="auto"/>
      </w:divBdr>
    </w:div>
    <w:div w:id="1323776631">
      <w:bodyDiv w:val="1"/>
      <w:marLeft w:val="0"/>
      <w:marRight w:val="0"/>
      <w:marTop w:val="0"/>
      <w:marBottom w:val="0"/>
      <w:divBdr>
        <w:top w:val="none" w:sz="0" w:space="0" w:color="auto"/>
        <w:left w:val="none" w:sz="0" w:space="0" w:color="auto"/>
        <w:bottom w:val="none" w:sz="0" w:space="0" w:color="auto"/>
        <w:right w:val="none" w:sz="0" w:space="0" w:color="auto"/>
      </w:divBdr>
    </w:div>
    <w:div w:id="1345211110">
      <w:bodyDiv w:val="1"/>
      <w:marLeft w:val="0"/>
      <w:marRight w:val="0"/>
      <w:marTop w:val="0"/>
      <w:marBottom w:val="0"/>
      <w:divBdr>
        <w:top w:val="none" w:sz="0" w:space="0" w:color="auto"/>
        <w:left w:val="none" w:sz="0" w:space="0" w:color="auto"/>
        <w:bottom w:val="none" w:sz="0" w:space="0" w:color="auto"/>
        <w:right w:val="none" w:sz="0" w:space="0" w:color="auto"/>
      </w:divBdr>
    </w:div>
    <w:div w:id="1464470865">
      <w:bodyDiv w:val="1"/>
      <w:marLeft w:val="0"/>
      <w:marRight w:val="0"/>
      <w:marTop w:val="0"/>
      <w:marBottom w:val="0"/>
      <w:divBdr>
        <w:top w:val="none" w:sz="0" w:space="0" w:color="auto"/>
        <w:left w:val="none" w:sz="0" w:space="0" w:color="auto"/>
        <w:bottom w:val="none" w:sz="0" w:space="0" w:color="auto"/>
        <w:right w:val="none" w:sz="0" w:space="0" w:color="auto"/>
      </w:divBdr>
    </w:div>
    <w:div w:id="1720740385">
      <w:bodyDiv w:val="1"/>
      <w:marLeft w:val="0"/>
      <w:marRight w:val="0"/>
      <w:marTop w:val="0"/>
      <w:marBottom w:val="0"/>
      <w:divBdr>
        <w:top w:val="none" w:sz="0" w:space="0" w:color="auto"/>
        <w:left w:val="none" w:sz="0" w:space="0" w:color="auto"/>
        <w:bottom w:val="none" w:sz="0" w:space="0" w:color="auto"/>
        <w:right w:val="none" w:sz="0" w:space="0" w:color="auto"/>
      </w:divBdr>
    </w:div>
    <w:div w:id="1732188432">
      <w:bodyDiv w:val="1"/>
      <w:marLeft w:val="0"/>
      <w:marRight w:val="0"/>
      <w:marTop w:val="0"/>
      <w:marBottom w:val="0"/>
      <w:divBdr>
        <w:top w:val="none" w:sz="0" w:space="0" w:color="auto"/>
        <w:left w:val="none" w:sz="0" w:space="0" w:color="auto"/>
        <w:bottom w:val="none" w:sz="0" w:space="0" w:color="auto"/>
        <w:right w:val="none" w:sz="0" w:space="0" w:color="auto"/>
      </w:divBdr>
    </w:div>
    <w:div w:id="173273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23</TotalTime>
  <Pages>11</Pages>
  <Words>2637</Words>
  <Characters>18105</Characters>
  <Application>Microsoft Office Word</Application>
  <DocSecurity>0</DocSecurity>
  <Lines>150</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Winther Andersen</dc:creator>
  <cp:keywords/>
  <dc:description>2023051632_x000d_
SPC pkt. 4.2, 4.4, 6.6</dc:description>
  <cp:lastModifiedBy>Betty Winther Andersen</cp:lastModifiedBy>
  <cp:revision>7</cp:revision>
  <cp:lastPrinted>2012-08-22T08:53:00Z</cp:lastPrinted>
  <dcterms:created xsi:type="dcterms:W3CDTF">2023-10-02T11:44:00Z</dcterms:created>
  <dcterms:modified xsi:type="dcterms:W3CDTF">2023-10-02T12:07:00Z</dcterms:modified>
</cp:coreProperties>
</file>