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105FA" w14:textId="623C9276" w:rsidR="009260DE" w:rsidRPr="00CF5197" w:rsidRDefault="0021526C" w:rsidP="00FD0D32">
      <w:pPr>
        <w:rPr>
          <w:b/>
          <w:sz w:val="24"/>
          <w:szCs w:val="24"/>
        </w:rPr>
      </w:pPr>
      <w:bookmarkStart w:id="0" w:name="_GoBack"/>
      <w:bookmarkEnd w:id="0"/>
      <w:r w:rsidRPr="00CF5197">
        <w:rPr>
          <w:noProof/>
          <w:sz w:val="24"/>
          <w:szCs w:val="24"/>
          <w:lang w:eastAsia="da-DK"/>
        </w:rPr>
        <w:drawing>
          <wp:anchor distT="0" distB="0" distL="114300" distR="114300" simplePos="0" relativeHeight="251658240" behindDoc="0" locked="0" layoutInCell="1" allowOverlap="1" wp14:anchorId="0BDA91B6" wp14:editId="5B14AB3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F5197">
        <w:rPr>
          <w:sz w:val="24"/>
          <w:szCs w:val="24"/>
        </w:rPr>
        <w:br w:type="textWrapping" w:clear="all"/>
      </w:r>
    </w:p>
    <w:p w14:paraId="31FF3178" w14:textId="4AFFF539" w:rsidR="009260DE" w:rsidRPr="00CF5197" w:rsidRDefault="009260DE" w:rsidP="009260DE">
      <w:pPr>
        <w:pStyle w:val="Titel"/>
        <w:tabs>
          <w:tab w:val="right" w:pos="9356"/>
        </w:tabs>
        <w:jc w:val="left"/>
        <w:rPr>
          <w:b w:val="0"/>
          <w:szCs w:val="24"/>
          <w:lang w:eastAsia="en-US"/>
        </w:rPr>
      </w:pPr>
      <w:r w:rsidRPr="00CF5197">
        <w:rPr>
          <w:b w:val="0"/>
          <w:szCs w:val="24"/>
          <w:lang w:eastAsia="en-US"/>
        </w:rPr>
        <w:tab/>
      </w:r>
      <w:r w:rsidR="00575AAF">
        <w:rPr>
          <w:szCs w:val="24"/>
        </w:rPr>
        <w:t>9. oktober 2024</w:t>
      </w:r>
    </w:p>
    <w:p w14:paraId="2619A6C8" w14:textId="77777777" w:rsidR="009260DE" w:rsidRPr="00CF5197" w:rsidRDefault="009260DE" w:rsidP="009260DE">
      <w:pPr>
        <w:pStyle w:val="Titel"/>
        <w:tabs>
          <w:tab w:val="left" w:pos="8222"/>
        </w:tabs>
        <w:jc w:val="left"/>
        <w:rPr>
          <w:b w:val="0"/>
          <w:szCs w:val="24"/>
        </w:rPr>
      </w:pPr>
    </w:p>
    <w:p w14:paraId="4120067F" w14:textId="77777777" w:rsidR="009260DE" w:rsidRPr="00CF5197" w:rsidRDefault="009260DE" w:rsidP="009260DE">
      <w:pPr>
        <w:pStyle w:val="Titel"/>
        <w:jc w:val="left"/>
        <w:rPr>
          <w:b w:val="0"/>
          <w:szCs w:val="24"/>
        </w:rPr>
      </w:pPr>
    </w:p>
    <w:p w14:paraId="04A606B0" w14:textId="77777777" w:rsidR="009260DE" w:rsidRPr="00CF5197" w:rsidRDefault="009260DE" w:rsidP="009260DE">
      <w:pPr>
        <w:pStyle w:val="Titel"/>
        <w:jc w:val="left"/>
        <w:rPr>
          <w:b w:val="0"/>
          <w:szCs w:val="24"/>
        </w:rPr>
      </w:pPr>
    </w:p>
    <w:p w14:paraId="705B4B87" w14:textId="77777777" w:rsidR="009260DE" w:rsidRPr="00CF5197" w:rsidRDefault="009260DE" w:rsidP="009260DE">
      <w:pPr>
        <w:jc w:val="center"/>
        <w:rPr>
          <w:b/>
          <w:sz w:val="24"/>
          <w:szCs w:val="24"/>
        </w:rPr>
      </w:pPr>
      <w:r w:rsidRPr="00CF5197">
        <w:rPr>
          <w:b/>
          <w:sz w:val="24"/>
          <w:szCs w:val="24"/>
        </w:rPr>
        <w:t>PRODUKTRESUMÉ</w:t>
      </w:r>
    </w:p>
    <w:p w14:paraId="796D5FB8" w14:textId="77777777" w:rsidR="009260DE" w:rsidRPr="00CF5197" w:rsidRDefault="009260DE" w:rsidP="009260DE">
      <w:pPr>
        <w:jc w:val="center"/>
        <w:rPr>
          <w:b/>
          <w:sz w:val="24"/>
          <w:szCs w:val="24"/>
        </w:rPr>
      </w:pPr>
    </w:p>
    <w:p w14:paraId="73FE0269" w14:textId="77777777" w:rsidR="009260DE" w:rsidRPr="00CF5197" w:rsidRDefault="009260DE" w:rsidP="009260DE">
      <w:pPr>
        <w:jc w:val="center"/>
        <w:rPr>
          <w:b/>
          <w:sz w:val="24"/>
          <w:szCs w:val="24"/>
        </w:rPr>
      </w:pPr>
      <w:r w:rsidRPr="00CF5197">
        <w:rPr>
          <w:b/>
          <w:sz w:val="24"/>
          <w:szCs w:val="24"/>
        </w:rPr>
        <w:t>for</w:t>
      </w:r>
    </w:p>
    <w:p w14:paraId="72AF7DFD" w14:textId="77777777" w:rsidR="000B058C" w:rsidRPr="00CF5197" w:rsidRDefault="000B058C" w:rsidP="009260DE">
      <w:pPr>
        <w:jc w:val="center"/>
        <w:rPr>
          <w:b/>
          <w:sz w:val="24"/>
          <w:szCs w:val="24"/>
        </w:rPr>
      </w:pPr>
    </w:p>
    <w:p w14:paraId="4B836939" w14:textId="77777777" w:rsidR="007A4746" w:rsidRPr="00CF5197" w:rsidRDefault="007A4746" w:rsidP="009260DE">
      <w:pPr>
        <w:jc w:val="center"/>
        <w:rPr>
          <w:b/>
          <w:sz w:val="24"/>
          <w:szCs w:val="24"/>
        </w:rPr>
      </w:pPr>
      <w:proofErr w:type="spellStart"/>
      <w:r w:rsidRPr="00CF5197">
        <w:rPr>
          <w:b/>
          <w:sz w:val="24"/>
          <w:szCs w:val="24"/>
        </w:rPr>
        <w:t>Pentamidine</w:t>
      </w:r>
      <w:proofErr w:type="spellEnd"/>
      <w:r w:rsidRPr="00CF5197">
        <w:rPr>
          <w:b/>
          <w:sz w:val="24"/>
          <w:szCs w:val="24"/>
        </w:rPr>
        <w:t xml:space="preserve"> "</w:t>
      </w:r>
      <w:proofErr w:type="spellStart"/>
      <w:r w:rsidRPr="00CF5197">
        <w:rPr>
          <w:b/>
          <w:sz w:val="24"/>
          <w:szCs w:val="24"/>
        </w:rPr>
        <w:t>Tillomed</w:t>
      </w:r>
      <w:proofErr w:type="spellEnd"/>
      <w:r w:rsidRPr="00CF5197">
        <w:rPr>
          <w:b/>
          <w:sz w:val="24"/>
          <w:szCs w:val="24"/>
        </w:rPr>
        <w:t xml:space="preserve">", pulver til injektions-/infusionsvæske, opløsning </w:t>
      </w:r>
    </w:p>
    <w:p w14:paraId="518138E3" w14:textId="634E3CE8" w:rsidR="009260DE" w:rsidRPr="00CF5197" w:rsidRDefault="007A4746" w:rsidP="009260DE">
      <w:pPr>
        <w:jc w:val="center"/>
        <w:rPr>
          <w:b/>
          <w:sz w:val="24"/>
          <w:szCs w:val="24"/>
        </w:rPr>
      </w:pPr>
      <w:r w:rsidRPr="00CF5197">
        <w:rPr>
          <w:b/>
          <w:sz w:val="24"/>
          <w:szCs w:val="24"/>
        </w:rPr>
        <w:t xml:space="preserve">eller pulver til opløsning til </w:t>
      </w:r>
      <w:proofErr w:type="spellStart"/>
      <w:r w:rsidRPr="00CF5197">
        <w:rPr>
          <w:b/>
          <w:sz w:val="24"/>
          <w:szCs w:val="24"/>
        </w:rPr>
        <w:t>nebulisator</w:t>
      </w:r>
      <w:proofErr w:type="spellEnd"/>
    </w:p>
    <w:p w14:paraId="65703E8B" w14:textId="77777777" w:rsidR="009260DE" w:rsidRPr="00CF5197" w:rsidRDefault="009260DE" w:rsidP="009260DE">
      <w:pPr>
        <w:jc w:val="both"/>
        <w:rPr>
          <w:sz w:val="24"/>
          <w:szCs w:val="24"/>
        </w:rPr>
      </w:pPr>
    </w:p>
    <w:p w14:paraId="1E1C51C9" w14:textId="77777777" w:rsidR="009260DE" w:rsidRPr="00CF5197" w:rsidRDefault="009260DE" w:rsidP="009260DE">
      <w:pPr>
        <w:jc w:val="both"/>
        <w:rPr>
          <w:sz w:val="24"/>
          <w:szCs w:val="24"/>
        </w:rPr>
      </w:pPr>
    </w:p>
    <w:p w14:paraId="3F7A4617" w14:textId="77777777" w:rsidR="009260DE" w:rsidRPr="00CF5197" w:rsidRDefault="009260DE" w:rsidP="009260DE">
      <w:pPr>
        <w:tabs>
          <w:tab w:val="left" w:pos="851"/>
        </w:tabs>
        <w:ind w:left="851" w:hanging="851"/>
        <w:rPr>
          <w:b/>
          <w:sz w:val="24"/>
          <w:szCs w:val="24"/>
        </w:rPr>
      </w:pPr>
      <w:r w:rsidRPr="00CF5197">
        <w:rPr>
          <w:b/>
          <w:sz w:val="24"/>
          <w:szCs w:val="24"/>
        </w:rPr>
        <w:t>0.</w:t>
      </w:r>
      <w:r w:rsidRPr="00CF5197">
        <w:rPr>
          <w:b/>
          <w:sz w:val="24"/>
          <w:szCs w:val="24"/>
        </w:rPr>
        <w:tab/>
        <w:t>D.SP.NR.</w:t>
      </w:r>
    </w:p>
    <w:p w14:paraId="50DFB16D" w14:textId="1AFB3148" w:rsidR="009260DE" w:rsidRPr="00CF5197" w:rsidRDefault="007A4746" w:rsidP="009260DE">
      <w:pPr>
        <w:tabs>
          <w:tab w:val="left" w:pos="851"/>
        </w:tabs>
        <w:ind w:left="851"/>
        <w:rPr>
          <w:sz w:val="24"/>
          <w:szCs w:val="24"/>
        </w:rPr>
      </w:pPr>
      <w:r w:rsidRPr="00CF5197">
        <w:rPr>
          <w:sz w:val="24"/>
          <w:szCs w:val="24"/>
        </w:rPr>
        <w:t>33324</w:t>
      </w:r>
    </w:p>
    <w:p w14:paraId="30A690F8" w14:textId="77777777" w:rsidR="009260DE" w:rsidRPr="00CF5197" w:rsidRDefault="009260DE" w:rsidP="009260DE">
      <w:pPr>
        <w:tabs>
          <w:tab w:val="left" w:pos="851"/>
        </w:tabs>
        <w:ind w:left="851"/>
        <w:rPr>
          <w:sz w:val="24"/>
          <w:szCs w:val="24"/>
        </w:rPr>
      </w:pPr>
    </w:p>
    <w:p w14:paraId="011442EE" w14:textId="77777777" w:rsidR="009260DE" w:rsidRPr="00CF5197" w:rsidRDefault="009260DE" w:rsidP="009260DE">
      <w:pPr>
        <w:tabs>
          <w:tab w:val="left" w:pos="851"/>
        </w:tabs>
        <w:ind w:left="851" w:hanging="851"/>
        <w:rPr>
          <w:b/>
          <w:sz w:val="24"/>
          <w:szCs w:val="24"/>
        </w:rPr>
      </w:pPr>
      <w:r w:rsidRPr="00CF5197">
        <w:rPr>
          <w:b/>
          <w:sz w:val="24"/>
          <w:szCs w:val="24"/>
        </w:rPr>
        <w:t>1.</w:t>
      </w:r>
      <w:r w:rsidRPr="00CF5197">
        <w:rPr>
          <w:b/>
          <w:sz w:val="24"/>
          <w:szCs w:val="24"/>
        </w:rPr>
        <w:tab/>
        <w:t>LÆGEMIDLETS NAVN</w:t>
      </w:r>
    </w:p>
    <w:p w14:paraId="015846DB" w14:textId="7C23AD2E" w:rsidR="009260DE" w:rsidRPr="00CF5197" w:rsidRDefault="007A4746" w:rsidP="009260DE">
      <w:pPr>
        <w:tabs>
          <w:tab w:val="left" w:pos="851"/>
        </w:tabs>
        <w:ind w:left="851"/>
        <w:rPr>
          <w:sz w:val="24"/>
          <w:szCs w:val="24"/>
        </w:rPr>
      </w:pPr>
      <w:proofErr w:type="spellStart"/>
      <w:r w:rsidRPr="00CF5197">
        <w:rPr>
          <w:sz w:val="24"/>
          <w:szCs w:val="24"/>
        </w:rPr>
        <w:t>Pentamidine</w:t>
      </w:r>
      <w:proofErr w:type="spellEnd"/>
      <w:r w:rsidRPr="00CF5197">
        <w:rPr>
          <w:sz w:val="24"/>
          <w:szCs w:val="24"/>
        </w:rPr>
        <w:t xml:space="preserve"> "</w:t>
      </w:r>
      <w:proofErr w:type="spellStart"/>
      <w:r w:rsidRPr="00CF5197">
        <w:rPr>
          <w:sz w:val="24"/>
          <w:szCs w:val="24"/>
        </w:rPr>
        <w:t>Tillomed</w:t>
      </w:r>
      <w:proofErr w:type="spellEnd"/>
      <w:r w:rsidRPr="00CF5197">
        <w:rPr>
          <w:sz w:val="24"/>
          <w:szCs w:val="24"/>
        </w:rPr>
        <w:t>"</w:t>
      </w:r>
    </w:p>
    <w:p w14:paraId="32A30159" w14:textId="77777777" w:rsidR="009260DE" w:rsidRPr="00CF5197" w:rsidRDefault="009260DE" w:rsidP="009260DE">
      <w:pPr>
        <w:tabs>
          <w:tab w:val="left" w:pos="851"/>
        </w:tabs>
        <w:ind w:left="851"/>
        <w:rPr>
          <w:sz w:val="24"/>
          <w:szCs w:val="24"/>
        </w:rPr>
      </w:pPr>
    </w:p>
    <w:p w14:paraId="327784BE" w14:textId="77777777" w:rsidR="009260DE" w:rsidRPr="00CF5197" w:rsidRDefault="009260DE" w:rsidP="009260DE">
      <w:pPr>
        <w:tabs>
          <w:tab w:val="left" w:pos="851"/>
        </w:tabs>
        <w:ind w:left="851" w:hanging="851"/>
        <w:rPr>
          <w:b/>
          <w:sz w:val="24"/>
          <w:szCs w:val="24"/>
        </w:rPr>
      </w:pPr>
      <w:r w:rsidRPr="00CF5197">
        <w:rPr>
          <w:b/>
          <w:sz w:val="24"/>
          <w:szCs w:val="24"/>
        </w:rPr>
        <w:t>2.</w:t>
      </w:r>
      <w:r w:rsidRPr="00CF5197">
        <w:rPr>
          <w:b/>
          <w:sz w:val="24"/>
          <w:szCs w:val="24"/>
        </w:rPr>
        <w:tab/>
        <w:t>KVALITATIV OG KVANTITATIV SAMMENSÆTNING</w:t>
      </w:r>
    </w:p>
    <w:p w14:paraId="19595543" w14:textId="77777777" w:rsidR="007A4746" w:rsidRPr="00CF5197" w:rsidRDefault="007A4746" w:rsidP="00FD0D32">
      <w:pPr>
        <w:ind w:left="851"/>
        <w:rPr>
          <w:noProof/>
          <w:sz w:val="24"/>
          <w:szCs w:val="24"/>
          <w:lang w:eastAsia="en-GB"/>
        </w:rPr>
      </w:pPr>
      <w:r w:rsidRPr="00CF5197">
        <w:rPr>
          <w:sz w:val="24"/>
          <w:szCs w:val="24"/>
        </w:rPr>
        <w:t xml:space="preserve">Et hætteglas indeholder 300 mg </w:t>
      </w:r>
      <w:bookmarkStart w:id="1" w:name="_Hlk179291280"/>
      <w:proofErr w:type="spellStart"/>
      <w:r w:rsidRPr="00CF5197">
        <w:rPr>
          <w:sz w:val="24"/>
          <w:szCs w:val="24"/>
        </w:rPr>
        <w:t>pentamidindiisetionat</w:t>
      </w:r>
      <w:bookmarkEnd w:id="1"/>
      <w:proofErr w:type="spellEnd"/>
      <w:r w:rsidRPr="00CF5197">
        <w:rPr>
          <w:sz w:val="24"/>
          <w:szCs w:val="24"/>
        </w:rPr>
        <w:t>.</w:t>
      </w:r>
    </w:p>
    <w:p w14:paraId="1328AFE7" w14:textId="77777777" w:rsidR="007A4746" w:rsidRPr="00CF5197" w:rsidRDefault="007A4746" w:rsidP="00FD0D32">
      <w:pPr>
        <w:ind w:left="851"/>
        <w:rPr>
          <w:noProof/>
          <w:sz w:val="24"/>
          <w:szCs w:val="24"/>
        </w:rPr>
      </w:pPr>
    </w:p>
    <w:p w14:paraId="1AF0EC1D" w14:textId="77777777" w:rsidR="007A4746" w:rsidRPr="00CF5197" w:rsidRDefault="007A4746" w:rsidP="00FD0D32">
      <w:pPr>
        <w:ind w:left="851"/>
        <w:rPr>
          <w:noProof/>
          <w:sz w:val="24"/>
          <w:szCs w:val="24"/>
        </w:rPr>
      </w:pPr>
      <w:r w:rsidRPr="00CF5197">
        <w:rPr>
          <w:sz w:val="24"/>
          <w:szCs w:val="24"/>
        </w:rPr>
        <w:t>Alle hjælpestoffer er anført under pkt. 6.1.</w:t>
      </w:r>
    </w:p>
    <w:p w14:paraId="6F5BDF6C" w14:textId="77777777" w:rsidR="009260DE" w:rsidRPr="00CF5197" w:rsidRDefault="009260DE" w:rsidP="009260DE">
      <w:pPr>
        <w:tabs>
          <w:tab w:val="left" w:pos="851"/>
        </w:tabs>
        <w:ind w:left="851"/>
        <w:rPr>
          <w:sz w:val="24"/>
          <w:szCs w:val="24"/>
        </w:rPr>
      </w:pPr>
    </w:p>
    <w:p w14:paraId="32972237" w14:textId="77777777" w:rsidR="009260DE" w:rsidRPr="00CF5197" w:rsidRDefault="009260DE" w:rsidP="009260DE">
      <w:pPr>
        <w:tabs>
          <w:tab w:val="left" w:pos="851"/>
        </w:tabs>
        <w:ind w:left="851" w:hanging="851"/>
        <w:rPr>
          <w:b/>
          <w:sz w:val="24"/>
          <w:szCs w:val="24"/>
        </w:rPr>
      </w:pPr>
      <w:r w:rsidRPr="00CF5197">
        <w:rPr>
          <w:b/>
          <w:sz w:val="24"/>
          <w:szCs w:val="24"/>
        </w:rPr>
        <w:t>3.</w:t>
      </w:r>
      <w:r w:rsidRPr="00CF5197">
        <w:rPr>
          <w:b/>
          <w:sz w:val="24"/>
          <w:szCs w:val="24"/>
        </w:rPr>
        <w:tab/>
        <w:t>LÆGEMIDDELFORM</w:t>
      </w:r>
    </w:p>
    <w:p w14:paraId="6B77F590" w14:textId="5C88F36D" w:rsidR="007A4746" w:rsidRPr="00CF5197" w:rsidRDefault="007A4746" w:rsidP="007D5C8A">
      <w:pPr>
        <w:ind w:left="851"/>
        <w:rPr>
          <w:sz w:val="24"/>
          <w:szCs w:val="24"/>
          <w:lang w:eastAsia="en-GB"/>
        </w:rPr>
      </w:pPr>
      <w:r w:rsidRPr="00CF5197">
        <w:rPr>
          <w:sz w:val="24"/>
          <w:szCs w:val="24"/>
        </w:rPr>
        <w:t xml:space="preserve">Pulver til injektions-/infusionsvæske, opløsning eller pulver til opløsning til </w:t>
      </w:r>
      <w:proofErr w:type="spellStart"/>
      <w:r w:rsidRPr="00CF5197">
        <w:rPr>
          <w:sz w:val="24"/>
          <w:szCs w:val="24"/>
        </w:rPr>
        <w:t>nebulisator</w:t>
      </w:r>
      <w:proofErr w:type="spellEnd"/>
    </w:p>
    <w:p w14:paraId="74149031" w14:textId="77777777" w:rsidR="007A4746" w:rsidRPr="00CF5197" w:rsidRDefault="007A4746" w:rsidP="007D5C8A">
      <w:pPr>
        <w:ind w:left="851"/>
        <w:rPr>
          <w:bCs/>
          <w:iCs/>
          <w:sz w:val="24"/>
          <w:szCs w:val="24"/>
        </w:rPr>
      </w:pPr>
    </w:p>
    <w:p w14:paraId="53ECA3CE" w14:textId="77777777" w:rsidR="007A4746" w:rsidRPr="00CF5197" w:rsidRDefault="007A4746" w:rsidP="007D5C8A">
      <w:pPr>
        <w:ind w:left="851"/>
        <w:rPr>
          <w:sz w:val="24"/>
          <w:szCs w:val="24"/>
        </w:rPr>
      </w:pPr>
      <w:r w:rsidRPr="00CF5197">
        <w:rPr>
          <w:sz w:val="24"/>
          <w:szCs w:val="24"/>
        </w:rPr>
        <w:t xml:space="preserve">Hvidt til </w:t>
      </w:r>
      <w:proofErr w:type="spellStart"/>
      <w:r w:rsidRPr="00CF5197">
        <w:rPr>
          <w:sz w:val="24"/>
          <w:szCs w:val="24"/>
        </w:rPr>
        <w:t>off-white</w:t>
      </w:r>
      <w:proofErr w:type="spellEnd"/>
      <w:r w:rsidRPr="00CF5197">
        <w:rPr>
          <w:sz w:val="24"/>
          <w:szCs w:val="24"/>
        </w:rPr>
        <w:t xml:space="preserve"> frysetørret pulver/kage.</w:t>
      </w:r>
    </w:p>
    <w:p w14:paraId="3DCF994A" w14:textId="77777777" w:rsidR="009260DE" w:rsidRPr="00CF5197" w:rsidRDefault="009260DE" w:rsidP="009260DE">
      <w:pPr>
        <w:tabs>
          <w:tab w:val="left" w:pos="851"/>
        </w:tabs>
        <w:ind w:left="851"/>
        <w:rPr>
          <w:sz w:val="24"/>
          <w:szCs w:val="24"/>
        </w:rPr>
      </w:pPr>
    </w:p>
    <w:p w14:paraId="603882B9" w14:textId="77777777" w:rsidR="009260DE" w:rsidRPr="00CF5197" w:rsidRDefault="009260DE" w:rsidP="009260DE">
      <w:pPr>
        <w:tabs>
          <w:tab w:val="left" w:pos="851"/>
        </w:tabs>
        <w:ind w:left="851"/>
        <w:rPr>
          <w:sz w:val="24"/>
          <w:szCs w:val="24"/>
        </w:rPr>
      </w:pPr>
    </w:p>
    <w:p w14:paraId="72FBE10D" w14:textId="77777777" w:rsidR="009260DE" w:rsidRPr="00CF5197" w:rsidRDefault="009260DE" w:rsidP="009260DE">
      <w:pPr>
        <w:tabs>
          <w:tab w:val="left" w:pos="851"/>
        </w:tabs>
        <w:ind w:left="851" w:hanging="851"/>
        <w:rPr>
          <w:b/>
          <w:sz w:val="24"/>
          <w:szCs w:val="24"/>
        </w:rPr>
      </w:pPr>
      <w:r w:rsidRPr="00CF5197">
        <w:rPr>
          <w:b/>
          <w:sz w:val="24"/>
          <w:szCs w:val="24"/>
        </w:rPr>
        <w:t>4.</w:t>
      </w:r>
      <w:r w:rsidRPr="00CF5197">
        <w:rPr>
          <w:b/>
          <w:sz w:val="24"/>
          <w:szCs w:val="24"/>
        </w:rPr>
        <w:tab/>
        <w:t>KLINISKE OPLYSNINGER</w:t>
      </w:r>
    </w:p>
    <w:p w14:paraId="43F59480" w14:textId="77777777" w:rsidR="009260DE" w:rsidRPr="00CF5197" w:rsidRDefault="009260DE" w:rsidP="009260DE">
      <w:pPr>
        <w:tabs>
          <w:tab w:val="left" w:pos="851"/>
        </w:tabs>
        <w:ind w:left="851"/>
        <w:rPr>
          <w:b/>
          <w:sz w:val="24"/>
          <w:szCs w:val="24"/>
        </w:rPr>
      </w:pPr>
    </w:p>
    <w:p w14:paraId="3F4ED82E" w14:textId="77777777" w:rsidR="009260DE" w:rsidRPr="00CF5197" w:rsidRDefault="009260DE" w:rsidP="009260DE">
      <w:pPr>
        <w:tabs>
          <w:tab w:val="left" w:pos="851"/>
        </w:tabs>
        <w:ind w:left="851" w:hanging="851"/>
        <w:rPr>
          <w:b/>
          <w:sz w:val="24"/>
          <w:szCs w:val="24"/>
          <w:u w:val="single"/>
        </w:rPr>
      </w:pPr>
      <w:r w:rsidRPr="00CF5197">
        <w:rPr>
          <w:b/>
          <w:sz w:val="24"/>
          <w:szCs w:val="24"/>
        </w:rPr>
        <w:t>4.1</w:t>
      </w:r>
      <w:r w:rsidRPr="00CF5197">
        <w:rPr>
          <w:b/>
          <w:sz w:val="24"/>
          <w:szCs w:val="24"/>
        </w:rPr>
        <w:tab/>
        <w:t>Terapeutiske indikationer</w:t>
      </w:r>
    </w:p>
    <w:p w14:paraId="224FC8C1" w14:textId="77777777" w:rsidR="007A4746" w:rsidRPr="00CF5197" w:rsidRDefault="007A4746" w:rsidP="007D5C8A">
      <w:pPr>
        <w:ind w:left="851"/>
        <w:rPr>
          <w:sz w:val="24"/>
          <w:szCs w:val="24"/>
          <w:lang w:eastAsia="en-GB"/>
        </w:rPr>
      </w:pPr>
      <w:proofErr w:type="spellStart"/>
      <w:r w:rsidRPr="00CF5197">
        <w:rPr>
          <w:sz w:val="24"/>
          <w:szCs w:val="24"/>
        </w:rPr>
        <w:t>Pentamidindiisetionat</w:t>
      </w:r>
      <w:proofErr w:type="spellEnd"/>
      <w:r w:rsidRPr="00CF5197">
        <w:rPr>
          <w:sz w:val="24"/>
          <w:szCs w:val="24"/>
        </w:rPr>
        <w:t xml:space="preserve"> er indiceret til voksne og børn til</w:t>
      </w:r>
    </w:p>
    <w:p w14:paraId="69D563AF" w14:textId="77777777" w:rsidR="007A4746" w:rsidRPr="00CF5197" w:rsidRDefault="007A4746" w:rsidP="00CF5197">
      <w:pPr>
        <w:pStyle w:val="Listeafsnit"/>
        <w:numPr>
          <w:ilvl w:val="0"/>
          <w:numId w:val="14"/>
        </w:numPr>
        <w:spacing w:after="0"/>
        <w:ind w:left="1276" w:hanging="425"/>
        <w:jc w:val="left"/>
        <w:rPr>
          <w:sz w:val="24"/>
          <w:szCs w:val="24"/>
        </w:rPr>
      </w:pPr>
      <w:r w:rsidRPr="00CF5197">
        <w:rPr>
          <w:sz w:val="24"/>
          <w:szCs w:val="24"/>
        </w:rPr>
        <w:t xml:space="preserve">Profylakse og behandling af lungebetændelse forårsaget af </w:t>
      </w:r>
      <w:proofErr w:type="spellStart"/>
      <w:r w:rsidRPr="00CF5197">
        <w:rPr>
          <w:i/>
          <w:iCs/>
          <w:sz w:val="24"/>
          <w:szCs w:val="24"/>
        </w:rPr>
        <w:t>Pneumocystis</w:t>
      </w:r>
      <w:proofErr w:type="spellEnd"/>
      <w:r w:rsidRPr="00CF5197">
        <w:rPr>
          <w:i/>
          <w:iCs/>
          <w:sz w:val="24"/>
          <w:szCs w:val="24"/>
        </w:rPr>
        <w:t xml:space="preserve"> </w:t>
      </w:r>
      <w:proofErr w:type="spellStart"/>
      <w:r w:rsidRPr="00CF5197">
        <w:rPr>
          <w:i/>
          <w:iCs/>
          <w:sz w:val="24"/>
          <w:szCs w:val="24"/>
        </w:rPr>
        <w:t>jirovecii</w:t>
      </w:r>
      <w:proofErr w:type="spellEnd"/>
      <w:r w:rsidRPr="00CF5197">
        <w:rPr>
          <w:sz w:val="24"/>
          <w:szCs w:val="24"/>
        </w:rPr>
        <w:t xml:space="preserve"> (tidligere </w:t>
      </w:r>
      <w:proofErr w:type="spellStart"/>
      <w:r w:rsidRPr="00CF5197">
        <w:rPr>
          <w:i/>
          <w:iCs/>
          <w:sz w:val="24"/>
          <w:szCs w:val="24"/>
        </w:rPr>
        <w:t>Pneumocystis</w:t>
      </w:r>
      <w:proofErr w:type="spellEnd"/>
      <w:r w:rsidRPr="00CF5197">
        <w:rPr>
          <w:i/>
          <w:iCs/>
          <w:sz w:val="24"/>
          <w:szCs w:val="24"/>
        </w:rPr>
        <w:t xml:space="preserve"> </w:t>
      </w:r>
      <w:proofErr w:type="spellStart"/>
      <w:r w:rsidRPr="00CF5197">
        <w:rPr>
          <w:i/>
          <w:iCs/>
          <w:sz w:val="24"/>
          <w:szCs w:val="24"/>
        </w:rPr>
        <w:t>carinii</w:t>
      </w:r>
      <w:proofErr w:type="spellEnd"/>
      <w:r w:rsidRPr="00CF5197">
        <w:rPr>
          <w:sz w:val="24"/>
          <w:szCs w:val="24"/>
        </w:rPr>
        <w:t>).</w:t>
      </w:r>
    </w:p>
    <w:p w14:paraId="3A5E2D08" w14:textId="77777777" w:rsidR="007A4746" w:rsidRPr="00CF5197" w:rsidRDefault="007A4746" w:rsidP="00CF5197">
      <w:pPr>
        <w:pStyle w:val="Listeafsnit"/>
        <w:numPr>
          <w:ilvl w:val="0"/>
          <w:numId w:val="14"/>
        </w:numPr>
        <w:spacing w:after="0"/>
        <w:ind w:left="1276" w:hanging="425"/>
        <w:jc w:val="left"/>
        <w:rPr>
          <w:sz w:val="24"/>
          <w:szCs w:val="24"/>
        </w:rPr>
      </w:pPr>
      <w:r w:rsidRPr="00CF5197">
        <w:rPr>
          <w:sz w:val="24"/>
          <w:szCs w:val="24"/>
        </w:rPr>
        <w:t xml:space="preserve">Behandling af </w:t>
      </w:r>
      <w:proofErr w:type="spellStart"/>
      <w:r w:rsidRPr="00CF5197">
        <w:rPr>
          <w:sz w:val="24"/>
          <w:szCs w:val="24"/>
        </w:rPr>
        <w:t>visceral</w:t>
      </w:r>
      <w:proofErr w:type="spellEnd"/>
      <w:r w:rsidRPr="00CF5197">
        <w:rPr>
          <w:sz w:val="24"/>
          <w:szCs w:val="24"/>
        </w:rPr>
        <w:t xml:space="preserve"> og </w:t>
      </w:r>
      <w:proofErr w:type="spellStart"/>
      <w:r w:rsidRPr="00CF5197">
        <w:rPr>
          <w:sz w:val="24"/>
          <w:szCs w:val="24"/>
        </w:rPr>
        <w:t>kutan</w:t>
      </w:r>
      <w:proofErr w:type="spellEnd"/>
      <w:r w:rsidRPr="00CF5197">
        <w:rPr>
          <w:sz w:val="24"/>
          <w:szCs w:val="24"/>
        </w:rPr>
        <w:t xml:space="preserve"> </w:t>
      </w:r>
      <w:proofErr w:type="spellStart"/>
      <w:r w:rsidRPr="00CF5197">
        <w:rPr>
          <w:sz w:val="24"/>
          <w:szCs w:val="24"/>
        </w:rPr>
        <w:t>leishmaniasis</w:t>
      </w:r>
      <w:proofErr w:type="spellEnd"/>
      <w:r w:rsidRPr="00CF5197">
        <w:rPr>
          <w:sz w:val="24"/>
          <w:szCs w:val="24"/>
        </w:rPr>
        <w:t>.</w:t>
      </w:r>
    </w:p>
    <w:p w14:paraId="49F25A6E" w14:textId="77777777" w:rsidR="007A4746" w:rsidRPr="00CF5197" w:rsidRDefault="007A4746" w:rsidP="00CF5197">
      <w:pPr>
        <w:pStyle w:val="Listeafsnit"/>
        <w:numPr>
          <w:ilvl w:val="0"/>
          <w:numId w:val="14"/>
        </w:numPr>
        <w:spacing w:after="0"/>
        <w:ind w:left="1276" w:hanging="425"/>
        <w:jc w:val="left"/>
        <w:rPr>
          <w:sz w:val="24"/>
          <w:szCs w:val="24"/>
        </w:rPr>
      </w:pPr>
      <w:r w:rsidRPr="00CF5197">
        <w:rPr>
          <w:sz w:val="24"/>
          <w:szCs w:val="24"/>
        </w:rPr>
        <w:t xml:space="preserve">Behandling af tidlige stadier af human afrikansk </w:t>
      </w:r>
      <w:proofErr w:type="spellStart"/>
      <w:r w:rsidRPr="00CF5197">
        <w:rPr>
          <w:sz w:val="24"/>
          <w:szCs w:val="24"/>
        </w:rPr>
        <w:t>trypanosomiasis</w:t>
      </w:r>
      <w:proofErr w:type="spellEnd"/>
      <w:r w:rsidRPr="00CF5197">
        <w:rPr>
          <w:sz w:val="24"/>
          <w:szCs w:val="24"/>
        </w:rPr>
        <w:t xml:space="preserve"> forårsaget af </w:t>
      </w:r>
      <w:proofErr w:type="spellStart"/>
      <w:r w:rsidRPr="00CF5197">
        <w:rPr>
          <w:i/>
          <w:sz w:val="24"/>
          <w:szCs w:val="24"/>
        </w:rPr>
        <w:t>Trypanosoma</w:t>
      </w:r>
      <w:proofErr w:type="spellEnd"/>
      <w:r w:rsidRPr="00CF5197">
        <w:rPr>
          <w:i/>
          <w:sz w:val="24"/>
          <w:szCs w:val="24"/>
        </w:rPr>
        <w:t xml:space="preserve"> </w:t>
      </w:r>
      <w:proofErr w:type="spellStart"/>
      <w:r w:rsidRPr="00CF5197">
        <w:rPr>
          <w:i/>
          <w:sz w:val="24"/>
          <w:szCs w:val="24"/>
        </w:rPr>
        <w:t>brucei</w:t>
      </w:r>
      <w:proofErr w:type="spellEnd"/>
      <w:r w:rsidRPr="00CF5197">
        <w:rPr>
          <w:i/>
          <w:sz w:val="24"/>
          <w:szCs w:val="24"/>
        </w:rPr>
        <w:t xml:space="preserve"> </w:t>
      </w:r>
      <w:proofErr w:type="spellStart"/>
      <w:r w:rsidRPr="00CF5197">
        <w:rPr>
          <w:i/>
          <w:sz w:val="24"/>
          <w:szCs w:val="24"/>
        </w:rPr>
        <w:t>gambiense</w:t>
      </w:r>
      <w:proofErr w:type="spellEnd"/>
      <w:r w:rsidRPr="00CF5197">
        <w:rPr>
          <w:sz w:val="24"/>
          <w:szCs w:val="24"/>
        </w:rPr>
        <w:t>.</w:t>
      </w:r>
    </w:p>
    <w:p w14:paraId="71841596" w14:textId="77777777" w:rsidR="007A4746" w:rsidRPr="00CF5197" w:rsidRDefault="007A4746" w:rsidP="007D5C8A">
      <w:pPr>
        <w:ind w:left="851"/>
        <w:rPr>
          <w:sz w:val="24"/>
          <w:szCs w:val="24"/>
        </w:rPr>
      </w:pPr>
      <w:r w:rsidRPr="00CF5197">
        <w:rPr>
          <w:sz w:val="24"/>
          <w:szCs w:val="24"/>
        </w:rPr>
        <w:t xml:space="preserve">Anvendelse af </w:t>
      </w:r>
      <w:proofErr w:type="spellStart"/>
      <w:r w:rsidRPr="00CF5197">
        <w:rPr>
          <w:sz w:val="24"/>
          <w:szCs w:val="24"/>
        </w:rPr>
        <w:t>antiprotozoale</w:t>
      </w:r>
      <w:proofErr w:type="spellEnd"/>
      <w:r w:rsidRPr="00CF5197">
        <w:rPr>
          <w:sz w:val="24"/>
          <w:szCs w:val="24"/>
        </w:rPr>
        <w:t xml:space="preserve"> midler skal ske i henhold til officielle retningslinjer.</w:t>
      </w:r>
    </w:p>
    <w:p w14:paraId="6EED92E8" w14:textId="31062ED7" w:rsidR="00AC540A" w:rsidRDefault="00AC540A">
      <w:pPr>
        <w:rPr>
          <w:sz w:val="24"/>
          <w:szCs w:val="24"/>
        </w:rPr>
      </w:pPr>
      <w:r>
        <w:rPr>
          <w:sz w:val="24"/>
          <w:szCs w:val="24"/>
        </w:rPr>
        <w:br w:type="page"/>
      </w:r>
    </w:p>
    <w:p w14:paraId="553FC505" w14:textId="77777777" w:rsidR="009260DE" w:rsidRPr="00CF5197" w:rsidRDefault="009260DE" w:rsidP="009260DE">
      <w:pPr>
        <w:tabs>
          <w:tab w:val="left" w:pos="851"/>
        </w:tabs>
        <w:ind w:left="851"/>
        <w:rPr>
          <w:sz w:val="24"/>
          <w:szCs w:val="24"/>
        </w:rPr>
      </w:pPr>
    </w:p>
    <w:p w14:paraId="2B29B157" w14:textId="77777777" w:rsidR="009260DE" w:rsidRPr="00CF5197" w:rsidRDefault="009260DE" w:rsidP="009260DE">
      <w:pPr>
        <w:tabs>
          <w:tab w:val="left" w:pos="851"/>
        </w:tabs>
        <w:ind w:left="851" w:hanging="851"/>
        <w:rPr>
          <w:b/>
          <w:sz w:val="24"/>
          <w:szCs w:val="24"/>
        </w:rPr>
      </w:pPr>
      <w:r w:rsidRPr="00CF5197">
        <w:rPr>
          <w:b/>
          <w:sz w:val="24"/>
          <w:szCs w:val="24"/>
        </w:rPr>
        <w:t>4.2</w:t>
      </w:r>
      <w:r w:rsidRPr="00CF5197">
        <w:rPr>
          <w:b/>
          <w:sz w:val="24"/>
          <w:szCs w:val="24"/>
        </w:rPr>
        <w:tab/>
        <w:t xml:space="preserve">Dosering og </w:t>
      </w:r>
      <w:r w:rsidR="002C1EC0" w:rsidRPr="00CF5197">
        <w:rPr>
          <w:b/>
          <w:sz w:val="24"/>
          <w:szCs w:val="24"/>
        </w:rPr>
        <w:t>administration</w:t>
      </w:r>
    </w:p>
    <w:p w14:paraId="0B4ECC15" w14:textId="77777777" w:rsidR="00CF5197" w:rsidRDefault="00CF5197" w:rsidP="007D5C8A">
      <w:pPr>
        <w:ind w:left="851"/>
        <w:rPr>
          <w:sz w:val="24"/>
          <w:szCs w:val="24"/>
        </w:rPr>
      </w:pPr>
    </w:p>
    <w:p w14:paraId="1AC52FD0" w14:textId="5A3701D9" w:rsidR="007A4746" w:rsidRPr="00CF5197" w:rsidRDefault="007A4746" w:rsidP="007D5C8A">
      <w:pPr>
        <w:ind w:left="851"/>
        <w:rPr>
          <w:sz w:val="24"/>
          <w:szCs w:val="24"/>
          <w:u w:val="single"/>
          <w:lang w:eastAsia="en-GB"/>
        </w:rPr>
      </w:pPr>
      <w:r w:rsidRPr="00CF5197">
        <w:rPr>
          <w:sz w:val="24"/>
          <w:szCs w:val="24"/>
          <w:u w:val="single"/>
        </w:rPr>
        <w:t>Dosering</w:t>
      </w:r>
    </w:p>
    <w:p w14:paraId="19C80E37" w14:textId="77777777" w:rsidR="007A4746" w:rsidRPr="00CF5197" w:rsidRDefault="007A4746" w:rsidP="007D5C8A">
      <w:pPr>
        <w:ind w:left="851"/>
        <w:rPr>
          <w:sz w:val="24"/>
          <w:szCs w:val="24"/>
        </w:rPr>
      </w:pPr>
      <w:r w:rsidRPr="00CF5197">
        <w:rPr>
          <w:sz w:val="24"/>
          <w:szCs w:val="24"/>
        </w:rPr>
        <w:t>Følgende dosisanbefalinger gælder for voksne, unge, børn og spædbørn:</w:t>
      </w:r>
    </w:p>
    <w:p w14:paraId="33813C3E" w14:textId="77777777" w:rsidR="007A4746" w:rsidRPr="00CF5197" w:rsidRDefault="007A4746" w:rsidP="007D5C8A">
      <w:pPr>
        <w:ind w:left="851"/>
        <w:rPr>
          <w:sz w:val="24"/>
          <w:szCs w:val="24"/>
        </w:rPr>
      </w:pPr>
    </w:p>
    <w:p w14:paraId="70647F9D" w14:textId="77777777" w:rsidR="007A4746" w:rsidRPr="00CF5197" w:rsidRDefault="007A4746" w:rsidP="007D5C8A">
      <w:pPr>
        <w:ind w:left="851"/>
        <w:rPr>
          <w:sz w:val="24"/>
          <w:szCs w:val="24"/>
          <w:u w:val="single"/>
        </w:rPr>
      </w:pPr>
      <w:r w:rsidRPr="00CF5197">
        <w:rPr>
          <w:sz w:val="24"/>
          <w:szCs w:val="24"/>
          <w:u w:val="single"/>
        </w:rPr>
        <w:t xml:space="preserve">Lungebetændelse forårsaget af </w:t>
      </w:r>
      <w:proofErr w:type="spellStart"/>
      <w:r w:rsidRPr="00CF5197">
        <w:rPr>
          <w:i/>
          <w:sz w:val="24"/>
          <w:szCs w:val="24"/>
          <w:u w:val="single"/>
        </w:rPr>
        <w:t>Pneumocystis</w:t>
      </w:r>
      <w:proofErr w:type="spellEnd"/>
      <w:r w:rsidRPr="00CF5197">
        <w:rPr>
          <w:i/>
          <w:sz w:val="24"/>
          <w:szCs w:val="24"/>
          <w:u w:val="single"/>
        </w:rPr>
        <w:t xml:space="preserve"> </w:t>
      </w:r>
      <w:proofErr w:type="spellStart"/>
      <w:r w:rsidRPr="00CF5197">
        <w:rPr>
          <w:i/>
          <w:sz w:val="24"/>
          <w:szCs w:val="24"/>
          <w:u w:val="single"/>
        </w:rPr>
        <w:t>jirovecii</w:t>
      </w:r>
      <w:proofErr w:type="spellEnd"/>
      <w:r w:rsidRPr="00CF5197">
        <w:rPr>
          <w:i/>
          <w:sz w:val="24"/>
          <w:szCs w:val="24"/>
          <w:u w:val="single"/>
        </w:rPr>
        <w:t xml:space="preserve"> </w:t>
      </w:r>
      <w:r w:rsidRPr="00CF5197">
        <w:rPr>
          <w:sz w:val="24"/>
          <w:szCs w:val="24"/>
          <w:u w:val="single"/>
        </w:rPr>
        <w:t>(tidligere</w:t>
      </w:r>
      <w:r w:rsidRPr="00CF5197">
        <w:rPr>
          <w:i/>
          <w:sz w:val="24"/>
          <w:szCs w:val="24"/>
          <w:u w:val="single"/>
        </w:rPr>
        <w:t xml:space="preserve"> </w:t>
      </w:r>
      <w:proofErr w:type="spellStart"/>
      <w:r w:rsidRPr="00CF5197">
        <w:rPr>
          <w:i/>
          <w:sz w:val="24"/>
          <w:szCs w:val="24"/>
          <w:u w:val="single"/>
        </w:rPr>
        <w:t>Pneumocystis</w:t>
      </w:r>
      <w:proofErr w:type="spellEnd"/>
      <w:r w:rsidRPr="00CF5197">
        <w:rPr>
          <w:i/>
          <w:sz w:val="24"/>
          <w:szCs w:val="24"/>
          <w:u w:val="single"/>
        </w:rPr>
        <w:t xml:space="preserve"> </w:t>
      </w:r>
      <w:proofErr w:type="spellStart"/>
      <w:r w:rsidRPr="00CF5197">
        <w:rPr>
          <w:i/>
          <w:sz w:val="24"/>
          <w:szCs w:val="24"/>
          <w:u w:val="single"/>
        </w:rPr>
        <w:t>carinii</w:t>
      </w:r>
      <w:proofErr w:type="spellEnd"/>
      <w:r w:rsidRPr="00CF5197">
        <w:rPr>
          <w:sz w:val="24"/>
          <w:szCs w:val="24"/>
          <w:u w:val="single"/>
        </w:rPr>
        <w:t>)</w:t>
      </w:r>
    </w:p>
    <w:p w14:paraId="5A809209" w14:textId="77777777" w:rsidR="007A4746" w:rsidRPr="00CF5197" w:rsidRDefault="007A4746" w:rsidP="007D5C8A">
      <w:pPr>
        <w:ind w:left="851"/>
        <w:rPr>
          <w:i/>
          <w:iCs/>
          <w:sz w:val="24"/>
          <w:szCs w:val="24"/>
        </w:rPr>
      </w:pPr>
      <w:r w:rsidRPr="00CF5197">
        <w:rPr>
          <w:i/>
          <w:sz w:val="24"/>
          <w:szCs w:val="24"/>
        </w:rPr>
        <w:t>Profylakse</w:t>
      </w:r>
    </w:p>
    <w:p w14:paraId="116F419B" w14:textId="77777777" w:rsidR="007A4746" w:rsidRPr="00CF5197" w:rsidRDefault="007A4746" w:rsidP="007D5C8A">
      <w:pPr>
        <w:ind w:left="851"/>
        <w:rPr>
          <w:sz w:val="24"/>
          <w:szCs w:val="24"/>
        </w:rPr>
      </w:pPr>
      <w:r w:rsidRPr="00CF5197">
        <w:rPr>
          <w:sz w:val="24"/>
          <w:szCs w:val="24"/>
        </w:rPr>
        <w:t xml:space="preserve">Inhalation af </w:t>
      </w:r>
      <w:proofErr w:type="spellStart"/>
      <w:r w:rsidRPr="00CF5197">
        <w:rPr>
          <w:sz w:val="24"/>
          <w:szCs w:val="24"/>
        </w:rPr>
        <w:t>pentamidin</w:t>
      </w:r>
      <w:proofErr w:type="spellEnd"/>
      <w:r w:rsidRPr="00CF5197">
        <w:rPr>
          <w:sz w:val="24"/>
          <w:szCs w:val="24"/>
        </w:rPr>
        <w:t xml:space="preserve"> anbefales til profylakse af lungebetændelse forårsaget af </w:t>
      </w:r>
      <w:proofErr w:type="spellStart"/>
      <w:r w:rsidRPr="00CF5197">
        <w:rPr>
          <w:i/>
          <w:sz w:val="24"/>
          <w:szCs w:val="24"/>
        </w:rPr>
        <w:t>Pneumocystis</w:t>
      </w:r>
      <w:proofErr w:type="spellEnd"/>
      <w:r w:rsidRPr="00CF5197">
        <w:rPr>
          <w:i/>
          <w:sz w:val="24"/>
          <w:szCs w:val="24"/>
        </w:rPr>
        <w:t xml:space="preserve"> </w:t>
      </w:r>
      <w:proofErr w:type="spellStart"/>
      <w:r w:rsidRPr="00CF5197">
        <w:rPr>
          <w:i/>
          <w:sz w:val="24"/>
          <w:szCs w:val="24"/>
        </w:rPr>
        <w:t>jirovecii</w:t>
      </w:r>
      <w:proofErr w:type="spellEnd"/>
      <w:r w:rsidRPr="00CF5197">
        <w:rPr>
          <w:i/>
          <w:sz w:val="24"/>
          <w:szCs w:val="24"/>
        </w:rPr>
        <w:t xml:space="preserve"> </w:t>
      </w:r>
      <w:r w:rsidRPr="00CF5197">
        <w:rPr>
          <w:sz w:val="24"/>
          <w:szCs w:val="24"/>
        </w:rPr>
        <w:t>(se ”Administration”).</w:t>
      </w:r>
    </w:p>
    <w:p w14:paraId="7434A515" w14:textId="77777777" w:rsidR="007A4746" w:rsidRPr="00CF5197" w:rsidRDefault="007A4746" w:rsidP="007D5C8A">
      <w:pPr>
        <w:ind w:left="851"/>
        <w:rPr>
          <w:sz w:val="24"/>
          <w:szCs w:val="24"/>
        </w:rPr>
      </w:pPr>
      <w:r w:rsidRPr="00CF5197">
        <w:rPr>
          <w:sz w:val="24"/>
          <w:szCs w:val="24"/>
        </w:rPr>
        <w:t xml:space="preserve">Dosis til inhalation til voksne er 150 mg </w:t>
      </w:r>
      <w:proofErr w:type="spellStart"/>
      <w:r w:rsidRPr="00CF5197">
        <w:rPr>
          <w:sz w:val="24"/>
          <w:szCs w:val="24"/>
        </w:rPr>
        <w:t>pentamidindiisetionat</w:t>
      </w:r>
      <w:proofErr w:type="spellEnd"/>
      <w:r w:rsidRPr="00CF5197">
        <w:rPr>
          <w:sz w:val="24"/>
          <w:szCs w:val="24"/>
        </w:rPr>
        <w:t xml:space="preserve"> hver anden uge eller en dosis på 300 mg en gang om måneden.</w:t>
      </w:r>
    </w:p>
    <w:p w14:paraId="22AE054D" w14:textId="77777777" w:rsidR="007A4746" w:rsidRPr="00CF5197" w:rsidRDefault="007A4746" w:rsidP="007D5C8A">
      <w:pPr>
        <w:ind w:left="851"/>
        <w:rPr>
          <w:sz w:val="24"/>
          <w:szCs w:val="24"/>
          <w:lang w:val="nl-NL"/>
        </w:rPr>
      </w:pPr>
    </w:p>
    <w:p w14:paraId="090E1964" w14:textId="77777777" w:rsidR="007A4746" w:rsidRPr="00CF5197" w:rsidRDefault="007A4746" w:rsidP="007D5C8A">
      <w:pPr>
        <w:ind w:left="851"/>
        <w:rPr>
          <w:i/>
          <w:sz w:val="24"/>
          <w:szCs w:val="24"/>
        </w:rPr>
      </w:pPr>
      <w:r w:rsidRPr="00CF5197">
        <w:rPr>
          <w:i/>
          <w:sz w:val="24"/>
          <w:szCs w:val="24"/>
        </w:rPr>
        <w:t>Behandling</w:t>
      </w:r>
    </w:p>
    <w:p w14:paraId="7CF0D090" w14:textId="77777777" w:rsidR="007A4746" w:rsidRPr="00CF5197" w:rsidRDefault="007A4746" w:rsidP="007D5C8A">
      <w:pPr>
        <w:ind w:left="851"/>
        <w:rPr>
          <w:sz w:val="24"/>
          <w:szCs w:val="24"/>
        </w:rPr>
      </w:pPr>
      <w:r w:rsidRPr="00CF5197">
        <w:rPr>
          <w:sz w:val="24"/>
          <w:szCs w:val="24"/>
        </w:rPr>
        <w:t xml:space="preserve">Til behandling af lungebetændelse forårsaget af </w:t>
      </w:r>
      <w:proofErr w:type="spellStart"/>
      <w:r w:rsidRPr="00CF5197">
        <w:rPr>
          <w:i/>
          <w:sz w:val="24"/>
          <w:szCs w:val="24"/>
        </w:rPr>
        <w:t>Pneumocystis</w:t>
      </w:r>
      <w:proofErr w:type="spellEnd"/>
      <w:r w:rsidRPr="00CF5197">
        <w:rPr>
          <w:i/>
          <w:sz w:val="24"/>
          <w:szCs w:val="24"/>
        </w:rPr>
        <w:t xml:space="preserve"> </w:t>
      </w:r>
      <w:proofErr w:type="spellStart"/>
      <w:r w:rsidRPr="00CF5197">
        <w:rPr>
          <w:i/>
          <w:sz w:val="24"/>
          <w:szCs w:val="24"/>
        </w:rPr>
        <w:t>jirovecii</w:t>
      </w:r>
      <w:proofErr w:type="spellEnd"/>
      <w:r w:rsidRPr="00CF5197">
        <w:rPr>
          <w:i/>
          <w:sz w:val="24"/>
          <w:szCs w:val="24"/>
        </w:rPr>
        <w:t xml:space="preserve"> </w:t>
      </w:r>
      <w:r w:rsidRPr="00CF5197">
        <w:rPr>
          <w:sz w:val="24"/>
          <w:szCs w:val="24"/>
        </w:rPr>
        <w:t>anbefales langsom intravenøs infusion af lægemidlet (se ”Administration” nedenfor).</w:t>
      </w:r>
    </w:p>
    <w:p w14:paraId="3D7E3034" w14:textId="77777777" w:rsidR="007A4746" w:rsidRPr="00CF5197" w:rsidRDefault="007A4746" w:rsidP="007D5C8A">
      <w:pPr>
        <w:ind w:left="851"/>
        <w:rPr>
          <w:sz w:val="24"/>
          <w:szCs w:val="24"/>
        </w:rPr>
      </w:pPr>
      <w:r w:rsidRPr="00CF5197">
        <w:rPr>
          <w:sz w:val="24"/>
          <w:szCs w:val="24"/>
        </w:rPr>
        <w:t xml:space="preserve">4 mg </w:t>
      </w:r>
      <w:proofErr w:type="spellStart"/>
      <w:r w:rsidRPr="00CF5197">
        <w:rPr>
          <w:sz w:val="24"/>
          <w:szCs w:val="24"/>
        </w:rPr>
        <w:t>pentamidindiisetionat</w:t>
      </w:r>
      <w:proofErr w:type="spellEnd"/>
      <w:r w:rsidRPr="00CF5197">
        <w:rPr>
          <w:sz w:val="24"/>
          <w:szCs w:val="24"/>
        </w:rPr>
        <w:t xml:space="preserve"> pr. kg legemsvægt en gang dagligt og helst ved langsom intravenøs infusion over 60 minutter. Den anbefalede behandlingsvarighed for PCP er 21 dage.</w:t>
      </w:r>
    </w:p>
    <w:p w14:paraId="2D0C1987" w14:textId="77777777" w:rsidR="007A4746" w:rsidRPr="00CF5197" w:rsidRDefault="007A4746" w:rsidP="007D5C8A">
      <w:pPr>
        <w:ind w:left="851"/>
        <w:rPr>
          <w:sz w:val="24"/>
          <w:szCs w:val="24"/>
        </w:rPr>
      </w:pPr>
    </w:p>
    <w:p w14:paraId="443C1354" w14:textId="77777777" w:rsidR="007A4746" w:rsidRPr="00CF5197" w:rsidRDefault="007A4746" w:rsidP="007D5C8A">
      <w:pPr>
        <w:ind w:left="851"/>
        <w:rPr>
          <w:sz w:val="24"/>
          <w:szCs w:val="24"/>
          <w:u w:val="single"/>
        </w:rPr>
      </w:pPr>
      <w:proofErr w:type="spellStart"/>
      <w:r w:rsidRPr="00CF5197">
        <w:rPr>
          <w:sz w:val="24"/>
          <w:szCs w:val="24"/>
          <w:u w:val="single"/>
        </w:rPr>
        <w:t>Leishmaniasis</w:t>
      </w:r>
      <w:proofErr w:type="spellEnd"/>
    </w:p>
    <w:p w14:paraId="4FBE5BB3" w14:textId="77777777" w:rsidR="007A4746" w:rsidRPr="00CF5197" w:rsidRDefault="007A4746" w:rsidP="007D5C8A">
      <w:pPr>
        <w:ind w:left="851"/>
        <w:rPr>
          <w:bCs/>
          <w:sz w:val="24"/>
          <w:szCs w:val="24"/>
        </w:rPr>
      </w:pPr>
      <w:proofErr w:type="spellStart"/>
      <w:r w:rsidRPr="00CF5197">
        <w:rPr>
          <w:i/>
          <w:sz w:val="24"/>
          <w:szCs w:val="24"/>
        </w:rPr>
        <w:t>Visceral</w:t>
      </w:r>
      <w:proofErr w:type="spellEnd"/>
      <w:r w:rsidRPr="00CF5197">
        <w:rPr>
          <w:sz w:val="24"/>
          <w:szCs w:val="24"/>
        </w:rPr>
        <w:t>: 3</w:t>
      </w:r>
      <w:r w:rsidRPr="00CF5197">
        <w:rPr>
          <w:sz w:val="24"/>
          <w:szCs w:val="24"/>
        </w:rPr>
        <w:noBreakHyphen/>
        <w:t xml:space="preserve">4 mg </w:t>
      </w:r>
      <w:proofErr w:type="spellStart"/>
      <w:r w:rsidRPr="00CF5197">
        <w:rPr>
          <w:sz w:val="24"/>
          <w:szCs w:val="24"/>
        </w:rPr>
        <w:t>pentamidindiisetionat</w:t>
      </w:r>
      <w:proofErr w:type="spellEnd"/>
      <w:r w:rsidRPr="00CF5197">
        <w:rPr>
          <w:sz w:val="24"/>
          <w:szCs w:val="24"/>
        </w:rPr>
        <w:t xml:space="preserve"> pr. kg legemsvægt hver anden dag med intramuskulær injektion. Antal doser må ikke overstige 10. Det er dog muligt at administrere en ekstra behandlingscyklus, såfremt det er nødvendigt.</w:t>
      </w:r>
    </w:p>
    <w:p w14:paraId="54D0C83B" w14:textId="77777777" w:rsidR="007A4746" w:rsidRPr="00CF5197" w:rsidRDefault="007A4746" w:rsidP="007D5C8A">
      <w:pPr>
        <w:ind w:left="851"/>
        <w:rPr>
          <w:bCs/>
          <w:sz w:val="24"/>
          <w:szCs w:val="24"/>
          <w:lang w:val="nl-NL"/>
        </w:rPr>
      </w:pPr>
    </w:p>
    <w:p w14:paraId="689E4FFB" w14:textId="77777777" w:rsidR="007A4746" w:rsidRPr="00CF5197" w:rsidRDefault="007A4746" w:rsidP="007D5C8A">
      <w:pPr>
        <w:ind w:left="851"/>
        <w:rPr>
          <w:bCs/>
          <w:sz w:val="24"/>
          <w:szCs w:val="24"/>
        </w:rPr>
      </w:pPr>
      <w:proofErr w:type="spellStart"/>
      <w:r w:rsidRPr="00CF5197">
        <w:rPr>
          <w:i/>
          <w:sz w:val="24"/>
          <w:szCs w:val="24"/>
        </w:rPr>
        <w:t>Kutan</w:t>
      </w:r>
      <w:proofErr w:type="spellEnd"/>
      <w:r w:rsidRPr="00CF5197">
        <w:rPr>
          <w:sz w:val="24"/>
          <w:szCs w:val="24"/>
        </w:rPr>
        <w:t>: 3</w:t>
      </w:r>
      <w:r w:rsidRPr="00CF5197">
        <w:rPr>
          <w:sz w:val="24"/>
          <w:szCs w:val="24"/>
        </w:rPr>
        <w:noBreakHyphen/>
        <w:t xml:space="preserve">4 mg </w:t>
      </w:r>
      <w:proofErr w:type="spellStart"/>
      <w:r w:rsidRPr="00CF5197">
        <w:rPr>
          <w:sz w:val="24"/>
          <w:szCs w:val="24"/>
        </w:rPr>
        <w:t>pentamidindiisetionat</w:t>
      </w:r>
      <w:proofErr w:type="spellEnd"/>
      <w:r w:rsidRPr="00CF5197">
        <w:rPr>
          <w:sz w:val="24"/>
          <w:szCs w:val="24"/>
        </w:rPr>
        <w:t xml:space="preserve"> pr. kg legemsvægt hver anden dag i 3</w:t>
      </w:r>
      <w:r w:rsidRPr="00CF5197">
        <w:rPr>
          <w:sz w:val="24"/>
          <w:szCs w:val="24"/>
        </w:rPr>
        <w:noBreakHyphen/>
        <w:t>4 doser pr. intramuskulær injektion eller intravenøs infusion.</w:t>
      </w:r>
    </w:p>
    <w:p w14:paraId="1C6F3424" w14:textId="77777777" w:rsidR="007A4746" w:rsidRPr="00CF5197" w:rsidRDefault="007A4746" w:rsidP="007D5C8A">
      <w:pPr>
        <w:ind w:left="851"/>
        <w:rPr>
          <w:bCs/>
          <w:sz w:val="24"/>
          <w:szCs w:val="24"/>
          <w:u w:val="single"/>
          <w:lang w:val="nl-NL"/>
        </w:rPr>
      </w:pPr>
    </w:p>
    <w:p w14:paraId="71300864" w14:textId="77777777" w:rsidR="007A4746" w:rsidRPr="00CF5197" w:rsidRDefault="007A4746" w:rsidP="007D5C8A">
      <w:pPr>
        <w:ind w:left="851"/>
        <w:rPr>
          <w:bCs/>
          <w:sz w:val="24"/>
          <w:szCs w:val="24"/>
          <w:u w:val="single"/>
        </w:rPr>
      </w:pPr>
      <w:r w:rsidRPr="00CF5197">
        <w:rPr>
          <w:sz w:val="24"/>
          <w:szCs w:val="24"/>
          <w:u w:val="single"/>
        </w:rPr>
        <w:t xml:space="preserve">Human afrikansk </w:t>
      </w:r>
      <w:proofErr w:type="spellStart"/>
      <w:r w:rsidRPr="00CF5197">
        <w:rPr>
          <w:sz w:val="24"/>
          <w:szCs w:val="24"/>
          <w:u w:val="single"/>
        </w:rPr>
        <w:t>trypanosomiasis</w:t>
      </w:r>
      <w:proofErr w:type="spellEnd"/>
    </w:p>
    <w:p w14:paraId="5ABED0D3" w14:textId="77777777" w:rsidR="007A4746" w:rsidRPr="00CF5197" w:rsidRDefault="007A4746" w:rsidP="007D5C8A">
      <w:pPr>
        <w:ind w:left="851"/>
        <w:rPr>
          <w:bCs/>
          <w:sz w:val="24"/>
          <w:szCs w:val="24"/>
        </w:rPr>
      </w:pPr>
      <w:r w:rsidRPr="00CF5197">
        <w:rPr>
          <w:sz w:val="24"/>
          <w:szCs w:val="24"/>
        </w:rPr>
        <w:t xml:space="preserve">4 mg </w:t>
      </w:r>
      <w:proofErr w:type="spellStart"/>
      <w:r w:rsidRPr="00CF5197">
        <w:rPr>
          <w:sz w:val="24"/>
          <w:szCs w:val="24"/>
        </w:rPr>
        <w:t>pentamidindiisetionat</w:t>
      </w:r>
      <w:proofErr w:type="spellEnd"/>
      <w:r w:rsidRPr="00CF5197">
        <w:rPr>
          <w:sz w:val="24"/>
          <w:szCs w:val="24"/>
        </w:rPr>
        <w:t xml:space="preserve"> pr. kg legemsvægt en gang dagligt eller hver anden dag. </w:t>
      </w:r>
      <w:proofErr w:type="spellStart"/>
      <w:r w:rsidRPr="00CF5197">
        <w:rPr>
          <w:sz w:val="24"/>
          <w:szCs w:val="24"/>
        </w:rPr>
        <w:t>Pentamidin</w:t>
      </w:r>
      <w:proofErr w:type="spellEnd"/>
      <w:r w:rsidRPr="00CF5197">
        <w:rPr>
          <w:sz w:val="24"/>
          <w:szCs w:val="24"/>
        </w:rPr>
        <w:t xml:space="preserve"> injiceres intramuskulært eller </w:t>
      </w:r>
      <w:proofErr w:type="spellStart"/>
      <w:r w:rsidRPr="00CF5197">
        <w:rPr>
          <w:sz w:val="24"/>
          <w:szCs w:val="24"/>
        </w:rPr>
        <w:t>infunderes</w:t>
      </w:r>
      <w:proofErr w:type="spellEnd"/>
      <w:r w:rsidRPr="00CF5197">
        <w:rPr>
          <w:sz w:val="24"/>
          <w:szCs w:val="24"/>
        </w:rPr>
        <w:t xml:space="preserve"> intravenøst med op til i alt 7</w:t>
      </w:r>
      <w:r w:rsidRPr="00CF5197">
        <w:rPr>
          <w:sz w:val="24"/>
          <w:szCs w:val="24"/>
        </w:rPr>
        <w:noBreakHyphen/>
        <w:t>10 doser (se ”Administration”).</w:t>
      </w:r>
    </w:p>
    <w:p w14:paraId="655E0917" w14:textId="77777777" w:rsidR="007A4746" w:rsidRPr="00CF5197" w:rsidRDefault="007A4746" w:rsidP="007D5C8A">
      <w:pPr>
        <w:ind w:left="851"/>
        <w:rPr>
          <w:bCs/>
          <w:sz w:val="24"/>
          <w:szCs w:val="24"/>
        </w:rPr>
      </w:pPr>
    </w:p>
    <w:p w14:paraId="638F9A69" w14:textId="77777777" w:rsidR="007A4746" w:rsidRPr="00CF5197" w:rsidRDefault="007A4746" w:rsidP="007D5C8A">
      <w:pPr>
        <w:ind w:left="851"/>
        <w:rPr>
          <w:bCs/>
          <w:sz w:val="24"/>
          <w:szCs w:val="24"/>
          <w:u w:val="single"/>
        </w:rPr>
      </w:pPr>
      <w:r w:rsidRPr="00CF5197">
        <w:rPr>
          <w:sz w:val="24"/>
          <w:szCs w:val="24"/>
          <w:u w:val="single"/>
        </w:rPr>
        <w:t>Særlige populationer</w:t>
      </w:r>
    </w:p>
    <w:p w14:paraId="17238CEE" w14:textId="77777777" w:rsidR="007A4746" w:rsidRPr="00CF5197" w:rsidRDefault="007A4746" w:rsidP="007D5C8A">
      <w:pPr>
        <w:ind w:left="851"/>
        <w:rPr>
          <w:i/>
          <w:sz w:val="24"/>
          <w:szCs w:val="24"/>
        </w:rPr>
      </w:pPr>
      <w:r w:rsidRPr="00CF5197">
        <w:rPr>
          <w:i/>
          <w:sz w:val="24"/>
          <w:szCs w:val="24"/>
        </w:rPr>
        <w:t>Nedsat nyrefunktion:</w:t>
      </w:r>
    </w:p>
    <w:p w14:paraId="49E257AF" w14:textId="77777777" w:rsidR="007A4746" w:rsidRPr="00CF5197" w:rsidRDefault="007A4746" w:rsidP="007D5C8A">
      <w:pPr>
        <w:ind w:left="851"/>
        <w:rPr>
          <w:bCs/>
          <w:sz w:val="24"/>
          <w:szCs w:val="24"/>
        </w:rPr>
      </w:pPr>
      <w:r w:rsidRPr="00CF5197">
        <w:rPr>
          <w:sz w:val="24"/>
          <w:szCs w:val="24"/>
        </w:rPr>
        <w:t>Dosisjustering er nødvendig i tilfælde af svært nedsat nyrefunktion (</w:t>
      </w:r>
      <w:proofErr w:type="spellStart"/>
      <w:r w:rsidRPr="00CF5197">
        <w:rPr>
          <w:sz w:val="24"/>
          <w:szCs w:val="24"/>
        </w:rPr>
        <w:t>kreatininclearance</w:t>
      </w:r>
      <w:proofErr w:type="spellEnd"/>
      <w:r w:rsidRPr="00CF5197">
        <w:rPr>
          <w:sz w:val="24"/>
          <w:szCs w:val="24"/>
        </w:rPr>
        <w:t xml:space="preserve"> &lt;10 ml/min.):</w:t>
      </w:r>
    </w:p>
    <w:p w14:paraId="0B4AAA85" w14:textId="77777777" w:rsidR="007A4746" w:rsidRPr="00CF5197" w:rsidRDefault="007A4746" w:rsidP="00CF5197">
      <w:pPr>
        <w:pStyle w:val="Listeafsnit"/>
        <w:numPr>
          <w:ilvl w:val="0"/>
          <w:numId w:val="15"/>
        </w:numPr>
        <w:spacing w:after="0"/>
        <w:ind w:left="1276" w:hanging="425"/>
        <w:jc w:val="left"/>
        <w:rPr>
          <w:bCs/>
          <w:sz w:val="24"/>
          <w:szCs w:val="24"/>
        </w:rPr>
      </w:pPr>
      <w:r w:rsidRPr="00CF5197">
        <w:rPr>
          <w:sz w:val="24"/>
          <w:szCs w:val="24"/>
        </w:rPr>
        <w:t xml:space="preserve">Ved livstruende lungebetændelse forårsaget af </w:t>
      </w:r>
      <w:proofErr w:type="spellStart"/>
      <w:r w:rsidRPr="00CF5197">
        <w:rPr>
          <w:i/>
          <w:sz w:val="24"/>
          <w:szCs w:val="24"/>
        </w:rPr>
        <w:t>Pneumocystis</w:t>
      </w:r>
      <w:proofErr w:type="spellEnd"/>
      <w:r w:rsidRPr="00CF5197">
        <w:rPr>
          <w:i/>
          <w:sz w:val="24"/>
          <w:szCs w:val="24"/>
        </w:rPr>
        <w:t xml:space="preserve"> </w:t>
      </w:r>
      <w:proofErr w:type="spellStart"/>
      <w:r w:rsidRPr="00CF5197">
        <w:rPr>
          <w:i/>
          <w:sz w:val="24"/>
          <w:szCs w:val="24"/>
        </w:rPr>
        <w:t>jirovecii</w:t>
      </w:r>
      <w:proofErr w:type="spellEnd"/>
      <w:r w:rsidRPr="00CF5197">
        <w:rPr>
          <w:i/>
          <w:sz w:val="24"/>
          <w:szCs w:val="24"/>
        </w:rPr>
        <w:t xml:space="preserve"> </w:t>
      </w:r>
      <w:r w:rsidRPr="00CF5197">
        <w:rPr>
          <w:sz w:val="24"/>
          <w:szCs w:val="24"/>
        </w:rPr>
        <w:t xml:space="preserve">gives 4 mg </w:t>
      </w:r>
      <w:proofErr w:type="spellStart"/>
      <w:r w:rsidRPr="00CF5197">
        <w:rPr>
          <w:sz w:val="24"/>
          <w:szCs w:val="24"/>
        </w:rPr>
        <w:t>pentamidindiisetionat</w:t>
      </w:r>
      <w:proofErr w:type="spellEnd"/>
      <w:r w:rsidRPr="00CF5197">
        <w:rPr>
          <w:sz w:val="24"/>
          <w:szCs w:val="24"/>
        </w:rPr>
        <w:t xml:space="preserve"> pr. kg legemsvægt en gang dagligt i 7</w:t>
      </w:r>
      <w:r w:rsidRPr="00CF5197">
        <w:rPr>
          <w:sz w:val="24"/>
          <w:szCs w:val="24"/>
        </w:rPr>
        <w:noBreakHyphen/>
        <w:t>10 dage. Derefter gives dosen hver 2. dag med mindst 14 doser i alt.</w:t>
      </w:r>
    </w:p>
    <w:p w14:paraId="4A7C70E7" w14:textId="77777777" w:rsidR="007A4746" w:rsidRPr="00CF5197" w:rsidRDefault="007A4746" w:rsidP="00CF5197">
      <w:pPr>
        <w:pStyle w:val="Listeafsnit"/>
        <w:numPr>
          <w:ilvl w:val="0"/>
          <w:numId w:val="15"/>
        </w:numPr>
        <w:spacing w:after="0"/>
        <w:ind w:left="1276" w:hanging="425"/>
        <w:jc w:val="left"/>
        <w:rPr>
          <w:bCs/>
          <w:sz w:val="24"/>
          <w:szCs w:val="24"/>
        </w:rPr>
      </w:pPr>
      <w:r w:rsidRPr="00CF5197">
        <w:rPr>
          <w:sz w:val="24"/>
          <w:szCs w:val="24"/>
        </w:rPr>
        <w:t xml:space="preserve">Ved mindre alvorlige tilfælde af lungebetændelse forårsaget af </w:t>
      </w:r>
      <w:proofErr w:type="spellStart"/>
      <w:r w:rsidRPr="00CF5197">
        <w:rPr>
          <w:i/>
          <w:sz w:val="24"/>
          <w:szCs w:val="24"/>
        </w:rPr>
        <w:t>Pneumocystis</w:t>
      </w:r>
      <w:proofErr w:type="spellEnd"/>
      <w:r w:rsidRPr="00CF5197">
        <w:rPr>
          <w:i/>
          <w:sz w:val="24"/>
          <w:szCs w:val="24"/>
        </w:rPr>
        <w:t xml:space="preserve"> </w:t>
      </w:r>
      <w:proofErr w:type="spellStart"/>
      <w:r w:rsidRPr="00CF5197">
        <w:rPr>
          <w:i/>
          <w:sz w:val="24"/>
          <w:szCs w:val="24"/>
        </w:rPr>
        <w:t>jirovecii</w:t>
      </w:r>
      <w:proofErr w:type="spellEnd"/>
      <w:r w:rsidRPr="00CF5197">
        <w:rPr>
          <w:i/>
          <w:sz w:val="24"/>
          <w:szCs w:val="24"/>
        </w:rPr>
        <w:t xml:space="preserve"> </w:t>
      </w:r>
      <w:r w:rsidRPr="00CF5197">
        <w:rPr>
          <w:sz w:val="24"/>
          <w:szCs w:val="24"/>
        </w:rPr>
        <w:t xml:space="preserve">gives 4 mg </w:t>
      </w:r>
      <w:proofErr w:type="spellStart"/>
      <w:r w:rsidRPr="00CF5197">
        <w:rPr>
          <w:sz w:val="24"/>
          <w:szCs w:val="24"/>
        </w:rPr>
        <w:t>pentamidindiisetionat</w:t>
      </w:r>
      <w:proofErr w:type="spellEnd"/>
      <w:r w:rsidRPr="00CF5197">
        <w:rPr>
          <w:sz w:val="24"/>
          <w:szCs w:val="24"/>
        </w:rPr>
        <w:t xml:space="preserve"> pr. kg legemsvægt hver anden dag.</w:t>
      </w:r>
    </w:p>
    <w:p w14:paraId="23043DCA" w14:textId="77777777" w:rsidR="007A4746" w:rsidRPr="00CF5197" w:rsidRDefault="007A4746" w:rsidP="00CF5197">
      <w:pPr>
        <w:pStyle w:val="Listeafsnit"/>
        <w:numPr>
          <w:ilvl w:val="0"/>
          <w:numId w:val="15"/>
        </w:numPr>
        <w:spacing w:after="0"/>
        <w:ind w:left="1276" w:hanging="425"/>
        <w:jc w:val="left"/>
        <w:rPr>
          <w:bCs/>
          <w:sz w:val="24"/>
          <w:szCs w:val="24"/>
        </w:rPr>
      </w:pPr>
      <w:r w:rsidRPr="00CF5197">
        <w:rPr>
          <w:sz w:val="24"/>
          <w:szCs w:val="24"/>
        </w:rPr>
        <w:t xml:space="preserve">Ved </w:t>
      </w:r>
      <w:proofErr w:type="spellStart"/>
      <w:r w:rsidRPr="00CF5197">
        <w:rPr>
          <w:sz w:val="24"/>
          <w:szCs w:val="24"/>
        </w:rPr>
        <w:t>trypanosomiasis</w:t>
      </w:r>
      <w:proofErr w:type="spellEnd"/>
      <w:r w:rsidRPr="00CF5197">
        <w:rPr>
          <w:sz w:val="24"/>
          <w:szCs w:val="24"/>
        </w:rPr>
        <w:t xml:space="preserve"> og </w:t>
      </w:r>
      <w:proofErr w:type="spellStart"/>
      <w:r w:rsidRPr="00CF5197">
        <w:rPr>
          <w:sz w:val="24"/>
          <w:szCs w:val="24"/>
        </w:rPr>
        <w:t>leishmaniasis</w:t>
      </w:r>
      <w:proofErr w:type="spellEnd"/>
      <w:r w:rsidRPr="00CF5197">
        <w:rPr>
          <w:sz w:val="24"/>
          <w:szCs w:val="24"/>
        </w:rPr>
        <w:t xml:space="preserve"> bør dosisintervallet ikke være under 48 timer.</w:t>
      </w:r>
    </w:p>
    <w:p w14:paraId="74C32920" w14:textId="77777777" w:rsidR="007A4746" w:rsidRPr="00CF5197" w:rsidRDefault="007A4746" w:rsidP="007D5C8A">
      <w:pPr>
        <w:ind w:left="851"/>
        <w:rPr>
          <w:bCs/>
          <w:sz w:val="24"/>
          <w:szCs w:val="24"/>
        </w:rPr>
      </w:pPr>
      <w:r w:rsidRPr="00CF5197">
        <w:rPr>
          <w:sz w:val="24"/>
          <w:szCs w:val="24"/>
        </w:rPr>
        <w:t>I tilfælde af lettere nedsat nyrefunktion bør der gå mindst 36 timer mellem doserne.</w:t>
      </w:r>
    </w:p>
    <w:p w14:paraId="7E0D9A0C" w14:textId="77777777" w:rsidR="007A4746" w:rsidRPr="00CF5197" w:rsidRDefault="007A4746" w:rsidP="007D5C8A">
      <w:pPr>
        <w:ind w:left="851"/>
        <w:rPr>
          <w:bCs/>
          <w:sz w:val="24"/>
          <w:szCs w:val="24"/>
        </w:rPr>
      </w:pPr>
    </w:p>
    <w:p w14:paraId="6ADBAE13" w14:textId="77777777" w:rsidR="007A4746" w:rsidRPr="00CF5197" w:rsidRDefault="007A4746" w:rsidP="007D5C8A">
      <w:pPr>
        <w:ind w:left="851"/>
        <w:rPr>
          <w:bCs/>
          <w:i/>
          <w:sz w:val="24"/>
          <w:szCs w:val="24"/>
        </w:rPr>
      </w:pPr>
      <w:r w:rsidRPr="00CF5197">
        <w:rPr>
          <w:i/>
          <w:sz w:val="24"/>
          <w:szCs w:val="24"/>
        </w:rPr>
        <w:t>Nedsat leverfunktion:</w:t>
      </w:r>
    </w:p>
    <w:p w14:paraId="08B20884" w14:textId="77777777" w:rsidR="007A4746" w:rsidRPr="00CF5197" w:rsidRDefault="007A4746" w:rsidP="007D5C8A">
      <w:pPr>
        <w:ind w:left="851"/>
        <w:rPr>
          <w:sz w:val="24"/>
          <w:szCs w:val="24"/>
        </w:rPr>
      </w:pPr>
      <w:r w:rsidRPr="00CF5197">
        <w:rPr>
          <w:sz w:val="24"/>
          <w:szCs w:val="24"/>
        </w:rPr>
        <w:t>Ingen specifikke dosisanbefalinger. Hos patienter med et fald i leverfunktionen skal fordelene ved at fortsætte behandlingen opveje den potentielle risiko.</w:t>
      </w:r>
    </w:p>
    <w:p w14:paraId="30FD5BF0" w14:textId="77777777" w:rsidR="007A4746" w:rsidRPr="00CF5197" w:rsidRDefault="007A4746" w:rsidP="007D5C8A">
      <w:pPr>
        <w:ind w:left="851"/>
        <w:rPr>
          <w:sz w:val="24"/>
          <w:szCs w:val="24"/>
        </w:rPr>
      </w:pPr>
    </w:p>
    <w:p w14:paraId="02BCD192" w14:textId="77777777" w:rsidR="007A4746" w:rsidRPr="00CF5197" w:rsidRDefault="007A4746" w:rsidP="007D5C8A">
      <w:pPr>
        <w:ind w:left="851"/>
        <w:rPr>
          <w:bCs/>
          <w:i/>
          <w:sz w:val="24"/>
          <w:szCs w:val="24"/>
        </w:rPr>
      </w:pPr>
      <w:r w:rsidRPr="00CF5197">
        <w:rPr>
          <w:i/>
          <w:sz w:val="24"/>
          <w:szCs w:val="24"/>
        </w:rPr>
        <w:t>Ældre:</w:t>
      </w:r>
    </w:p>
    <w:p w14:paraId="20C0772D" w14:textId="77777777" w:rsidR="007A4746" w:rsidRPr="00CF5197" w:rsidRDefault="007A4746" w:rsidP="007D5C8A">
      <w:pPr>
        <w:ind w:left="851"/>
        <w:rPr>
          <w:bCs/>
          <w:sz w:val="24"/>
          <w:szCs w:val="24"/>
        </w:rPr>
      </w:pPr>
      <w:r w:rsidRPr="00CF5197">
        <w:rPr>
          <w:sz w:val="24"/>
          <w:szCs w:val="24"/>
        </w:rPr>
        <w:t>Ingen specifikke dosisanbefalinger.</w:t>
      </w:r>
    </w:p>
    <w:p w14:paraId="12A8C87A" w14:textId="77777777" w:rsidR="007A4746" w:rsidRPr="00CF5197" w:rsidRDefault="007A4746" w:rsidP="007D5C8A">
      <w:pPr>
        <w:ind w:left="851"/>
        <w:rPr>
          <w:bCs/>
          <w:sz w:val="24"/>
          <w:szCs w:val="24"/>
        </w:rPr>
      </w:pPr>
    </w:p>
    <w:p w14:paraId="701FB39A" w14:textId="77777777" w:rsidR="007A4746" w:rsidRPr="00CF5197" w:rsidRDefault="007A4746" w:rsidP="007D5C8A">
      <w:pPr>
        <w:ind w:left="851"/>
        <w:rPr>
          <w:i/>
          <w:iCs/>
          <w:sz w:val="24"/>
          <w:szCs w:val="24"/>
        </w:rPr>
      </w:pPr>
      <w:r w:rsidRPr="00CF5197">
        <w:rPr>
          <w:i/>
          <w:sz w:val="24"/>
          <w:szCs w:val="24"/>
        </w:rPr>
        <w:t>Pædiatrisk population:</w:t>
      </w:r>
    </w:p>
    <w:p w14:paraId="0B3A1F7F" w14:textId="77777777" w:rsidR="007A4746" w:rsidRPr="00CF5197" w:rsidRDefault="007A4746" w:rsidP="007D5C8A">
      <w:pPr>
        <w:ind w:left="851"/>
        <w:rPr>
          <w:bCs/>
          <w:sz w:val="24"/>
          <w:szCs w:val="24"/>
        </w:rPr>
      </w:pPr>
      <w:r w:rsidRPr="00CF5197">
        <w:rPr>
          <w:sz w:val="24"/>
          <w:szCs w:val="24"/>
        </w:rPr>
        <w:t>For spædbørn, børn og unge gælder ovenstående dosisanbefalinger.</w:t>
      </w:r>
    </w:p>
    <w:p w14:paraId="587E7A40" w14:textId="77777777" w:rsidR="007A4746" w:rsidRPr="00CF5197" w:rsidRDefault="007A4746" w:rsidP="007D5C8A">
      <w:pPr>
        <w:ind w:left="851"/>
        <w:rPr>
          <w:bCs/>
          <w:sz w:val="24"/>
          <w:szCs w:val="24"/>
        </w:rPr>
      </w:pPr>
    </w:p>
    <w:p w14:paraId="07CFC93E" w14:textId="77777777" w:rsidR="007A4746" w:rsidRPr="00CF5197" w:rsidRDefault="007A4746" w:rsidP="007D5C8A">
      <w:pPr>
        <w:ind w:left="851"/>
        <w:rPr>
          <w:sz w:val="24"/>
          <w:szCs w:val="24"/>
          <w:u w:val="single"/>
        </w:rPr>
      </w:pPr>
      <w:r w:rsidRPr="00CF5197">
        <w:rPr>
          <w:sz w:val="24"/>
          <w:szCs w:val="24"/>
          <w:u w:val="single"/>
        </w:rPr>
        <w:t>Administration</w:t>
      </w:r>
    </w:p>
    <w:p w14:paraId="496808FE" w14:textId="77777777" w:rsidR="007A4746" w:rsidRPr="00CF5197" w:rsidRDefault="007A4746" w:rsidP="007D5C8A">
      <w:pPr>
        <w:ind w:left="851"/>
        <w:rPr>
          <w:bCs/>
          <w:sz w:val="24"/>
          <w:szCs w:val="24"/>
        </w:rPr>
      </w:pPr>
      <w:r w:rsidRPr="00CF5197">
        <w:rPr>
          <w:sz w:val="24"/>
          <w:szCs w:val="24"/>
        </w:rPr>
        <w:t xml:space="preserve">Til intramuskulær injektion, intravenøs infusion eller inhalation efter </w:t>
      </w:r>
      <w:proofErr w:type="spellStart"/>
      <w:r w:rsidRPr="00CF5197">
        <w:rPr>
          <w:sz w:val="24"/>
          <w:szCs w:val="24"/>
        </w:rPr>
        <w:t>rekonstituering</w:t>
      </w:r>
      <w:proofErr w:type="spellEnd"/>
      <w:r w:rsidRPr="00CF5197">
        <w:rPr>
          <w:sz w:val="24"/>
          <w:szCs w:val="24"/>
        </w:rPr>
        <w:t>/fortynding.</w:t>
      </w:r>
    </w:p>
    <w:p w14:paraId="372DDE54" w14:textId="77777777" w:rsidR="007A4746" w:rsidRPr="00CF5197" w:rsidRDefault="007A4746" w:rsidP="007D5C8A">
      <w:pPr>
        <w:ind w:left="851"/>
        <w:rPr>
          <w:bCs/>
          <w:sz w:val="24"/>
          <w:szCs w:val="24"/>
        </w:rPr>
      </w:pPr>
    </w:p>
    <w:p w14:paraId="75B6FF20" w14:textId="77777777" w:rsidR="007A4746" w:rsidRPr="00CF5197" w:rsidRDefault="007A4746" w:rsidP="007D5C8A">
      <w:pPr>
        <w:ind w:left="851"/>
        <w:rPr>
          <w:bCs/>
          <w:sz w:val="24"/>
          <w:szCs w:val="24"/>
        </w:rPr>
      </w:pPr>
      <w:r w:rsidRPr="00CF5197">
        <w:rPr>
          <w:sz w:val="24"/>
          <w:szCs w:val="24"/>
        </w:rPr>
        <w:t>Afhængigt af indikationen administreres lægemidlet med intramuskulær injektion, intravenøs infusion eller inhalation (næsemaske er ikke egnet).</w:t>
      </w:r>
    </w:p>
    <w:p w14:paraId="08665AD3" w14:textId="77777777" w:rsidR="007A4746" w:rsidRPr="00CF5197" w:rsidRDefault="007A4746" w:rsidP="007D5C8A">
      <w:pPr>
        <w:ind w:left="851"/>
        <w:rPr>
          <w:bCs/>
          <w:sz w:val="24"/>
          <w:szCs w:val="24"/>
        </w:rPr>
      </w:pPr>
    </w:p>
    <w:p w14:paraId="59B70F37" w14:textId="77777777" w:rsidR="007A4746" w:rsidRPr="00CF5197" w:rsidRDefault="007A4746" w:rsidP="007D5C8A">
      <w:pPr>
        <w:ind w:left="851"/>
        <w:rPr>
          <w:bCs/>
          <w:iCs/>
          <w:sz w:val="24"/>
          <w:szCs w:val="24"/>
        </w:rPr>
      </w:pPr>
      <w:r w:rsidRPr="00CF5197">
        <w:rPr>
          <w:sz w:val="24"/>
          <w:szCs w:val="24"/>
        </w:rPr>
        <w:t>Infusionen/injektionen bør udføres med ekstra forsigtighed og med patienten i liggende stilling (se pkt. 4.4)</w:t>
      </w:r>
    </w:p>
    <w:p w14:paraId="5ECFA485" w14:textId="77777777" w:rsidR="007A4746" w:rsidRPr="00CF5197" w:rsidRDefault="007A4746" w:rsidP="007D5C8A">
      <w:pPr>
        <w:ind w:left="851"/>
        <w:rPr>
          <w:bCs/>
          <w:iCs/>
          <w:sz w:val="24"/>
          <w:szCs w:val="24"/>
        </w:rPr>
      </w:pPr>
    </w:p>
    <w:p w14:paraId="5EE75F9A" w14:textId="77777777" w:rsidR="007A4746" w:rsidRPr="00CF5197" w:rsidRDefault="007A4746" w:rsidP="007D5C8A">
      <w:pPr>
        <w:ind w:left="851"/>
        <w:rPr>
          <w:bCs/>
          <w:sz w:val="24"/>
          <w:szCs w:val="24"/>
        </w:rPr>
      </w:pPr>
      <w:r w:rsidRPr="00CF5197">
        <w:rPr>
          <w:sz w:val="24"/>
          <w:szCs w:val="24"/>
        </w:rPr>
        <w:t xml:space="preserve">For instruktioner om </w:t>
      </w:r>
      <w:proofErr w:type="spellStart"/>
      <w:r w:rsidRPr="00CF5197">
        <w:rPr>
          <w:sz w:val="24"/>
          <w:szCs w:val="24"/>
        </w:rPr>
        <w:t>rekonstitution</w:t>
      </w:r>
      <w:proofErr w:type="spellEnd"/>
      <w:r w:rsidRPr="00CF5197">
        <w:rPr>
          <w:sz w:val="24"/>
          <w:szCs w:val="24"/>
        </w:rPr>
        <w:t xml:space="preserve"> og fortynding af lægemidlet før administration, se pkt. 6.6.</w:t>
      </w:r>
    </w:p>
    <w:p w14:paraId="6D4B7640" w14:textId="77777777" w:rsidR="007A4746" w:rsidRPr="00CF5197" w:rsidRDefault="007A4746" w:rsidP="007D5C8A">
      <w:pPr>
        <w:ind w:left="851"/>
        <w:rPr>
          <w:bCs/>
          <w:sz w:val="24"/>
          <w:szCs w:val="24"/>
        </w:rPr>
      </w:pPr>
    </w:p>
    <w:p w14:paraId="03047741" w14:textId="77777777" w:rsidR="007A4746" w:rsidRPr="00CF5197" w:rsidRDefault="007A4746" w:rsidP="007D5C8A">
      <w:pPr>
        <w:ind w:left="851"/>
        <w:rPr>
          <w:bCs/>
          <w:sz w:val="24"/>
          <w:szCs w:val="24"/>
          <w:u w:val="single"/>
        </w:rPr>
      </w:pPr>
      <w:r w:rsidRPr="00CF5197">
        <w:rPr>
          <w:sz w:val="24"/>
          <w:szCs w:val="24"/>
          <w:u w:val="single"/>
        </w:rPr>
        <w:t>Bemærkninger til inhalation:</w:t>
      </w:r>
    </w:p>
    <w:p w14:paraId="5D5FB1C8" w14:textId="77777777" w:rsidR="007A4746" w:rsidRPr="00CF5197" w:rsidRDefault="007A4746" w:rsidP="007D5C8A">
      <w:pPr>
        <w:ind w:left="851"/>
        <w:rPr>
          <w:bCs/>
          <w:sz w:val="24"/>
          <w:szCs w:val="24"/>
        </w:rPr>
      </w:pPr>
      <w:r w:rsidRPr="00CF5197">
        <w:rPr>
          <w:sz w:val="24"/>
          <w:szCs w:val="24"/>
        </w:rPr>
        <w:t xml:space="preserve">Da </w:t>
      </w:r>
      <w:proofErr w:type="spellStart"/>
      <w:r w:rsidRPr="00CF5197">
        <w:rPr>
          <w:sz w:val="24"/>
          <w:szCs w:val="24"/>
        </w:rPr>
        <w:t>patogenerne</w:t>
      </w:r>
      <w:proofErr w:type="spellEnd"/>
      <w:r w:rsidRPr="00CF5197">
        <w:rPr>
          <w:sz w:val="24"/>
          <w:szCs w:val="24"/>
        </w:rPr>
        <w:t xml:space="preserve"> ved lungebetændelse forårsaget af </w:t>
      </w:r>
      <w:proofErr w:type="spellStart"/>
      <w:r w:rsidRPr="00CF5197">
        <w:rPr>
          <w:i/>
          <w:sz w:val="24"/>
          <w:szCs w:val="24"/>
        </w:rPr>
        <w:t>Pneumocystis</w:t>
      </w:r>
      <w:proofErr w:type="spellEnd"/>
      <w:r w:rsidRPr="00CF5197">
        <w:rPr>
          <w:i/>
          <w:sz w:val="24"/>
          <w:szCs w:val="24"/>
        </w:rPr>
        <w:t xml:space="preserve"> </w:t>
      </w:r>
      <w:proofErr w:type="spellStart"/>
      <w:r w:rsidRPr="00CF5197">
        <w:rPr>
          <w:i/>
          <w:sz w:val="24"/>
          <w:szCs w:val="24"/>
        </w:rPr>
        <w:t>jirovecii</w:t>
      </w:r>
      <w:proofErr w:type="spellEnd"/>
      <w:r w:rsidRPr="00CF5197">
        <w:rPr>
          <w:i/>
          <w:sz w:val="24"/>
          <w:szCs w:val="24"/>
        </w:rPr>
        <w:t xml:space="preserve"> </w:t>
      </w:r>
      <w:r w:rsidRPr="00CF5197">
        <w:rPr>
          <w:sz w:val="24"/>
          <w:szCs w:val="24"/>
        </w:rPr>
        <w:t xml:space="preserve">er lokaliseret i luftsækkene (alveolerne), er det vigtigt, at de </w:t>
      </w:r>
      <w:proofErr w:type="spellStart"/>
      <w:r w:rsidRPr="00CF5197">
        <w:rPr>
          <w:sz w:val="24"/>
          <w:szCs w:val="24"/>
        </w:rPr>
        <w:t>nebuliserede</w:t>
      </w:r>
      <w:proofErr w:type="spellEnd"/>
      <w:r w:rsidRPr="00CF5197">
        <w:rPr>
          <w:sz w:val="24"/>
          <w:szCs w:val="24"/>
        </w:rPr>
        <w:t xml:space="preserve"> </w:t>
      </w:r>
      <w:proofErr w:type="spellStart"/>
      <w:r w:rsidRPr="00CF5197">
        <w:rPr>
          <w:sz w:val="24"/>
          <w:szCs w:val="24"/>
        </w:rPr>
        <w:t>pentamidinpartikler</w:t>
      </w:r>
      <w:proofErr w:type="spellEnd"/>
      <w:r w:rsidRPr="00CF5197">
        <w:rPr>
          <w:sz w:val="24"/>
          <w:szCs w:val="24"/>
        </w:rPr>
        <w:t xml:space="preserve"> også når derud. Den optimale partikelstørrelse for alveolær deponering er mellem 1 og 5 µm. Derfor må kun egnede </w:t>
      </w:r>
      <w:proofErr w:type="spellStart"/>
      <w:r w:rsidRPr="00CF5197">
        <w:rPr>
          <w:sz w:val="24"/>
          <w:szCs w:val="24"/>
        </w:rPr>
        <w:t>nebulistorer</w:t>
      </w:r>
      <w:proofErr w:type="spellEnd"/>
      <w:r w:rsidRPr="00CF5197">
        <w:rPr>
          <w:sz w:val="24"/>
          <w:szCs w:val="24"/>
        </w:rPr>
        <w:t xml:space="preserve"> anvendes til inhalationsbehandling med </w:t>
      </w:r>
      <w:proofErr w:type="spellStart"/>
      <w:r w:rsidRPr="00CF5197">
        <w:rPr>
          <w:sz w:val="24"/>
          <w:szCs w:val="24"/>
        </w:rPr>
        <w:t>pentamidin</w:t>
      </w:r>
      <w:proofErr w:type="spellEnd"/>
      <w:r w:rsidRPr="00CF5197">
        <w:rPr>
          <w:sz w:val="24"/>
          <w:szCs w:val="24"/>
        </w:rPr>
        <w:t>.</w:t>
      </w:r>
    </w:p>
    <w:p w14:paraId="3B343634" w14:textId="77777777" w:rsidR="007A4746" w:rsidRPr="00CF5197" w:rsidRDefault="007A4746" w:rsidP="007D5C8A">
      <w:pPr>
        <w:ind w:left="851"/>
        <w:rPr>
          <w:bCs/>
          <w:sz w:val="24"/>
          <w:szCs w:val="24"/>
        </w:rPr>
      </w:pPr>
    </w:p>
    <w:p w14:paraId="5D102CA0" w14:textId="77777777" w:rsidR="007A4746" w:rsidRPr="00CF5197" w:rsidRDefault="007A4746" w:rsidP="007D5C8A">
      <w:pPr>
        <w:ind w:left="851"/>
        <w:rPr>
          <w:sz w:val="24"/>
          <w:szCs w:val="24"/>
        </w:rPr>
      </w:pPr>
      <w:r w:rsidRPr="00CF5197">
        <w:rPr>
          <w:sz w:val="24"/>
          <w:szCs w:val="24"/>
        </w:rPr>
        <w:t xml:space="preserve">Den nyligt klargjorte opløsning administreres ved inhalation med en passende </w:t>
      </w:r>
      <w:proofErr w:type="spellStart"/>
      <w:r w:rsidRPr="00CF5197">
        <w:rPr>
          <w:sz w:val="24"/>
          <w:szCs w:val="24"/>
        </w:rPr>
        <w:t>nebulisator</w:t>
      </w:r>
      <w:proofErr w:type="spellEnd"/>
      <w:r w:rsidRPr="00CF5197">
        <w:rPr>
          <w:sz w:val="24"/>
          <w:szCs w:val="24"/>
        </w:rPr>
        <w:t xml:space="preserve">, f.eks. </w:t>
      </w:r>
      <w:proofErr w:type="spellStart"/>
      <w:r w:rsidRPr="00CF5197">
        <w:rPr>
          <w:sz w:val="24"/>
          <w:szCs w:val="24"/>
        </w:rPr>
        <w:t>Respirgard</w:t>
      </w:r>
      <w:proofErr w:type="spellEnd"/>
      <w:r w:rsidRPr="00CF5197">
        <w:rPr>
          <w:sz w:val="24"/>
          <w:szCs w:val="24"/>
        </w:rPr>
        <w:t xml:space="preserve"> II (varemærke tilhørende </w:t>
      </w:r>
      <w:proofErr w:type="spellStart"/>
      <w:r w:rsidRPr="00CF5197">
        <w:rPr>
          <w:sz w:val="24"/>
          <w:szCs w:val="24"/>
        </w:rPr>
        <w:t>Marquest</w:t>
      </w:r>
      <w:proofErr w:type="spellEnd"/>
      <w:r w:rsidRPr="00CF5197">
        <w:rPr>
          <w:sz w:val="24"/>
          <w:szCs w:val="24"/>
        </w:rPr>
        <w:t xml:space="preserve"> Medical Products Inc.), </w:t>
      </w:r>
      <w:proofErr w:type="spellStart"/>
      <w:r w:rsidRPr="00CF5197">
        <w:rPr>
          <w:sz w:val="24"/>
          <w:szCs w:val="24"/>
        </w:rPr>
        <w:t>Modified</w:t>
      </w:r>
      <w:proofErr w:type="spellEnd"/>
      <w:r w:rsidRPr="00CF5197">
        <w:rPr>
          <w:sz w:val="24"/>
          <w:szCs w:val="24"/>
        </w:rPr>
        <w:t xml:space="preserve"> </w:t>
      </w:r>
      <w:proofErr w:type="spellStart"/>
      <w:r w:rsidRPr="00CF5197">
        <w:rPr>
          <w:sz w:val="24"/>
          <w:szCs w:val="24"/>
        </w:rPr>
        <w:t>Acorn</w:t>
      </w:r>
      <w:proofErr w:type="spellEnd"/>
      <w:r w:rsidRPr="00CF5197">
        <w:rPr>
          <w:sz w:val="24"/>
          <w:szCs w:val="24"/>
        </w:rPr>
        <w:t xml:space="preserve"> system 22 (varemærke tilhørende </w:t>
      </w:r>
      <w:proofErr w:type="spellStart"/>
      <w:r w:rsidRPr="00CF5197">
        <w:rPr>
          <w:sz w:val="24"/>
          <w:szCs w:val="24"/>
        </w:rPr>
        <w:t>Medic</w:t>
      </w:r>
      <w:proofErr w:type="spellEnd"/>
      <w:r w:rsidRPr="00CF5197">
        <w:rPr>
          <w:sz w:val="24"/>
          <w:szCs w:val="24"/>
        </w:rPr>
        <w:t>-Aid) eller en tilsvarende anordning med enten en kompressor eller et oxygen-rørsystem med en flowhastighed på 6 til 10 liter/minut.</w:t>
      </w:r>
    </w:p>
    <w:p w14:paraId="508CD7C2" w14:textId="77777777" w:rsidR="007A4746" w:rsidRPr="00CF5197" w:rsidRDefault="007A4746" w:rsidP="007D5C8A">
      <w:pPr>
        <w:ind w:left="851"/>
        <w:rPr>
          <w:sz w:val="24"/>
          <w:szCs w:val="24"/>
        </w:rPr>
      </w:pPr>
    </w:p>
    <w:p w14:paraId="463DFAF4" w14:textId="77777777" w:rsidR="007A4746" w:rsidRPr="00CF5197" w:rsidRDefault="007A4746" w:rsidP="007D5C8A">
      <w:pPr>
        <w:ind w:left="851"/>
        <w:rPr>
          <w:sz w:val="24"/>
          <w:szCs w:val="24"/>
        </w:rPr>
      </w:pPr>
      <w:proofErr w:type="spellStart"/>
      <w:r w:rsidRPr="00CF5197">
        <w:rPr>
          <w:sz w:val="24"/>
          <w:szCs w:val="24"/>
        </w:rPr>
        <w:t>Nebulisatoren</w:t>
      </w:r>
      <w:proofErr w:type="spellEnd"/>
      <w:r w:rsidRPr="00CF5197">
        <w:rPr>
          <w:sz w:val="24"/>
          <w:szCs w:val="24"/>
        </w:rPr>
        <w:t xml:space="preserve"> bør anvendes i et særskilt, lukket rum med god ventilation. Kun personale med passende værnemidler (maske, briller, handsker) bør være i rummet, når der anvendes </w:t>
      </w:r>
      <w:proofErr w:type="spellStart"/>
      <w:r w:rsidRPr="00CF5197">
        <w:rPr>
          <w:sz w:val="24"/>
          <w:szCs w:val="24"/>
        </w:rPr>
        <w:t>nebulisator</w:t>
      </w:r>
      <w:proofErr w:type="spellEnd"/>
      <w:r w:rsidRPr="00CF5197">
        <w:rPr>
          <w:sz w:val="24"/>
          <w:szCs w:val="24"/>
        </w:rPr>
        <w:t>.</w:t>
      </w:r>
    </w:p>
    <w:p w14:paraId="52D13570" w14:textId="77777777" w:rsidR="007A4746" w:rsidRPr="00CF5197" w:rsidRDefault="007A4746" w:rsidP="007D5C8A">
      <w:pPr>
        <w:ind w:left="851"/>
        <w:rPr>
          <w:sz w:val="24"/>
          <w:szCs w:val="24"/>
        </w:rPr>
      </w:pPr>
    </w:p>
    <w:p w14:paraId="3EFBD883" w14:textId="77777777" w:rsidR="007A4746" w:rsidRPr="00CF5197" w:rsidRDefault="007A4746" w:rsidP="007D5C8A">
      <w:pPr>
        <w:ind w:left="851"/>
        <w:rPr>
          <w:bCs/>
          <w:sz w:val="24"/>
          <w:szCs w:val="24"/>
        </w:rPr>
      </w:pPr>
      <w:r w:rsidRPr="00CF5197">
        <w:rPr>
          <w:sz w:val="24"/>
          <w:szCs w:val="24"/>
        </w:rPr>
        <w:t xml:space="preserve">Der bør anvendes et passende velfungerende envejssystem, således at </w:t>
      </w:r>
      <w:proofErr w:type="spellStart"/>
      <w:r w:rsidRPr="00CF5197">
        <w:rPr>
          <w:sz w:val="24"/>
          <w:szCs w:val="24"/>
        </w:rPr>
        <w:t>nebulisatoren</w:t>
      </w:r>
      <w:proofErr w:type="spellEnd"/>
      <w:r w:rsidRPr="00CF5197">
        <w:rPr>
          <w:sz w:val="24"/>
          <w:szCs w:val="24"/>
        </w:rPr>
        <w:t xml:space="preserve"> opbevarer lægemiddelaerosolerne under udånding og opsamler udåndet </w:t>
      </w:r>
      <w:proofErr w:type="spellStart"/>
      <w:r w:rsidRPr="00CF5197">
        <w:rPr>
          <w:sz w:val="24"/>
          <w:szCs w:val="24"/>
        </w:rPr>
        <w:t>pentamidin</w:t>
      </w:r>
      <w:proofErr w:type="spellEnd"/>
      <w:r w:rsidRPr="00CF5197">
        <w:rPr>
          <w:sz w:val="24"/>
          <w:szCs w:val="24"/>
        </w:rPr>
        <w:t xml:space="preserve"> i en beholder. Der bør monteres et filter på udsugningen for at reducere forurening af atmosfæren. Det tilrådes at anvende en passende udsugningsslange, som føres direkte ud gennem et vindue til den ydre atmosfære. Der bør udvises forsigtighed for at sikre, at forbipasserende ikke udsættes for udsugningsluften.</w:t>
      </w:r>
    </w:p>
    <w:p w14:paraId="5EADF6B9" w14:textId="77777777" w:rsidR="007A4746" w:rsidRPr="00CF5197" w:rsidRDefault="007A4746" w:rsidP="007D5C8A">
      <w:pPr>
        <w:ind w:left="851"/>
        <w:rPr>
          <w:bCs/>
          <w:sz w:val="24"/>
          <w:szCs w:val="24"/>
        </w:rPr>
      </w:pPr>
    </w:p>
    <w:p w14:paraId="52DF0EF1" w14:textId="77777777" w:rsidR="007A4746" w:rsidRPr="00CF5197" w:rsidRDefault="007A4746" w:rsidP="007D5C8A">
      <w:pPr>
        <w:ind w:left="851"/>
        <w:rPr>
          <w:bCs/>
          <w:sz w:val="24"/>
          <w:szCs w:val="24"/>
        </w:rPr>
      </w:pPr>
      <w:r w:rsidRPr="00CF5197">
        <w:rPr>
          <w:sz w:val="24"/>
          <w:szCs w:val="24"/>
        </w:rPr>
        <w:t xml:space="preserve">Alle omkringstående, herunder medicinsk personale, kvinder i den fødedygtige alder, gravide kvinder, børn og personer med astma i anamnesen, bør undgå eksponering for luftbåren </w:t>
      </w:r>
      <w:proofErr w:type="spellStart"/>
      <w:r w:rsidRPr="00CF5197">
        <w:rPr>
          <w:sz w:val="24"/>
          <w:szCs w:val="24"/>
        </w:rPr>
        <w:t>pentamidin</w:t>
      </w:r>
      <w:proofErr w:type="spellEnd"/>
      <w:r w:rsidRPr="00CF5197">
        <w:rPr>
          <w:sz w:val="24"/>
          <w:szCs w:val="24"/>
        </w:rPr>
        <w:t xml:space="preserve"> som følge af </w:t>
      </w:r>
      <w:proofErr w:type="spellStart"/>
      <w:r w:rsidRPr="00CF5197">
        <w:rPr>
          <w:sz w:val="24"/>
          <w:szCs w:val="24"/>
        </w:rPr>
        <w:t>nebulisatorbrug</w:t>
      </w:r>
      <w:proofErr w:type="spellEnd"/>
      <w:r w:rsidRPr="00CF5197">
        <w:rPr>
          <w:sz w:val="24"/>
          <w:szCs w:val="24"/>
        </w:rPr>
        <w:t>.</w:t>
      </w:r>
    </w:p>
    <w:p w14:paraId="524D176E" w14:textId="77777777" w:rsidR="007A4746" w:rsidRPr="00CF5197" w:rsidRDefault="007A4746" w:rsidP="007D5C8A">
      <w:pPr>
        <w:ind w:left="851"/>
        <w:rPr>
          <w:bCs/>
          <w:sz w:val="24"/>
          <w:szCs w:val="24"/>
        </w:rPr>
      </w:pPr>
    </w:p>
    <w:p w14:paraId="7288B5AB" w14:textId="77777777" w:rsidR="007A4746" w:rsidRPr="00CF5197" w:rsidRDefault="007A4746" w:rsidP="007D5C8A">
      <w:pPr>
        <w:ind w:left="851"/>
        <w:rPr>
          <w:sz w:val="24"/>
          <w:szCs w:val="24"/>
        </w:rPr>
      </w:pPr>
      <w:r w:rsidRPr="00CF5197">
        <w:rPr>
          <w:sz w:val="24"/>
          <w:szCs w:val="24"/>
        </w:rPr>
        <w:t xml:space="preserve">For at minimere kontaminering af indendørsluften, når </w:t>
      </w:r>
      <w:proofErr w:type="spellStart"/>
      <w:r w:rsidRPr="00CF5197">
        <w:rPr>
          <w:sz w:val="24"/>
          <w:szCs w:val="24"/>
        </w:rPr>
        <w:t>pentamidin</w:t>
      </w:r>
      <w:proofErr w:type="spellEnd"/>
      <w:r w:rsidRPr="00CF5197">
        <w:rPr>
          <w:sz w:val="24"/>
          <w:szCs w:val="24"/>
        </w:rPr>
        <w:t xml:space="preserve"> anvendes som aerosol, skal de tilsvarende funktionsrum ventileres hyppigt og grundigt, og inhalatorsystemerne skal slukkes under inhalationspauserne.</w:t>
      </w:r>
    </w:p>
    <w:p w14:paraId="01AE51BE" w14:textId="77777777" w:rsidR="007A4746" w:rsidRPr="00CF5197" w:rsidRDefault="007A4746" w:rsidP="007D5C8A">
      <w:pPr>
        <w:ind w:left="851"/>
        <w:rPr>
          <w:sz w:val="24"/>
          <w:szCs w:val="24"/>
        </w:rPr>
      </w:pPr>
    </w:p>
    <w:p w14:paraId="178299CD" w14:textId="77777777" w:rsidR="007A4746" w:rsidRPr="00CF5197" w:rsidRDefault="007A4746" w:rsidP="007D5C8A">
      <w:pPr>
        <w:ind w:left="851"/>
        <w:rPr>
          <w:sz w:val="24"/>
          <w:szCs w:val="24"/>
        </w:rPr>
      </w:pPr>
      <w:r w:rsidRPr="00CF5197">
        <w:rPr>
          <w:sz w:val="24"/>
          <w:szCs w:val="24"/>
        </w:rPr>
        <w:t xml:space="preserve">Dosisækvivalens: 4 mg </w:t>
      </w:r>
      <w:proofErr w:type="spellStart"/>
      <w:r w:rsidRPr="00CF5197">
        <w:rPr>
          <w:sz w:val="24"/>
          <w:szCs w:val="24"/>
        </w:rPr>
        <w:t>pentamidindiisetionat</w:t>
      </w:r>
      <w:proofErr w:type="spellEnd"/>
      <w:r w:rsidRPr="00CF5197">
        <w:rPr>
          <w:sz w:val="24"/>
          <w:szCs w:val="24"/>
        </w:rPr>
        <w:t xml:space="preserve"> indeholder 2,3 mg </w:t>
      </w:r>
      <w:proofErr w:type="spellStart"/>
      <w:r w:rsidRPr="00CF5197">
        <w:rPr>
          <w:sz w:val="24"/>
          <w:szCs w:val="24"/>
        </w:rPr>
        <w:t>pentamidinbase</w:t>
      </w:r>
      <w:proofErr w:type="spellEnd"/>
      <w:r w:rsidRPr="00CF5197">
        <w:rPr>
          <w:sz w:val="24"/>
          <w:szCs w:val="24"/>
        </w:rPr>
        <w:t xml:space="preserve">; 1 mg </w:t>
      </w:r>
      <w:proofErr w:type="spellStart"/>
      <w:r w:rsidRPr="00CF5197">
        <w:rPr>
          <w:sz w:val="24"/>
          <w:szCs w:val="24"/>
        </w:rPr>
        <w:t>pentamidinbase</w:t>
      </w:r>
      <w:proofErr w:type="spellEnd"/>
      <w:r w:rsidRPr="00CF5197">
        <w:rPr>
          <w:sz w:val="24"/>
          <w:szCs w:val="24"/>
        </w:rPr>
        <w:t xml:space="preserve"> svarer til 1,74 mg </w:t>
      </w:r>
      <w:proofErr w:type="spellStart"/>
      <w:r w:rsidRPr="00CF5197">
        <w:rPr>
          <w:sz w:val="24"/>
          <w:szCs w:val="24"/>
        </w:rPr>
        <w:t>pentamidindiisetionat</w:t>
      </w:r>
      <w:proofErr w:type="spellEnd"/>
      <w:r w:rsidRPr="00CF5197">
        <w:rPr>
          <w:sz w:val="24"/>
          <w:szCs w:val="24"/>
        </w:rPr>
        <w:t>.</w:t>
      </w:r>
    </w:p>
    <w:p w14:paraId="085314A9" w14:textId="77777777" w:rsidR="007A4746" w:rsidRPr="00CF5197" w:rsidRDefault="007A4746" w:rsidP="007D5C8A">
      <w:pPr>
        <w:ind w:left="851"/>
        <w:rPr>
          <w:sz w:val="24"/>
          <w:szCs w:val="24"/>
        </w:rPr>
      </w:pPr>
    </w:p>
    <w:p w14:paraId="764C50F0" w14:textId="77777777" w:rsidR="007A4746" w:rsidRPr="00CF5197" w:rsidRDefault="007A4746" w:rsidP="007D5C8A">
      <w:pPr>
        <w:ind w:left="851"/>
        <w:rPr>
          <w:sz w:val="24"/>
          <w:szCs w:val="24"/>
        </w:rPr>
      </w:pPr>
      <w:r w:rsidRPr="00CF5197">
        <w:rPr>
          <w:sz w:val="24"/>
          <w:szCs w:val="24"/>
        </w:rPr>
        <w:lastRenderedPageBreak/>
        <w:t xml:space="preserve">Fortrængningsværdi: 300 mg </w:t>
      </w:r>
      <w:proofErr w:type="spellStart"/>
      <w:r w:rsidRPr="00CF5197">
        <w:rPr>
          <w:sz w:val="24"/>
          <w:szCs w:val="24"/>
        </w:rPr>
        <w:t>pentamidindiisetionat</w:t>
      </w:r>
      <w:proofErr w:type="spellEnd"/>
      <w:r w:rsidRPr="00CF5197">
        <w:rPr>
          <w:sz w:val="24"/>
          <w:szCs w:val="24"/>
        </w:rPr>
        <w:t xml:space="preserve"> fortrænger ca. 0,15 ml vand.</w:t>
      </w:r>
    </w:p>
    <w:p w14:paraId="68C9F435" w14:textId="77777777" w:rsidR="007A4746" w:rsidRPr="00CF5197" w:rsidRDefault="007A4746" w:rsidP="007D5C8A">
      <w:pPr>
        <w:ind w:left="851"/>
        <w:rPr>
          <w:sz w:val="24"/>
          <w:szCs w:val="24"/>
        </w:rPr>
      </w:pPr>
    </w:p>
    <w:p w14:paraId="26AA7A2F" w14:textId="77777777" w:rsidR="007A4746" w:rsidRPr="00CF5197" w:rsidRDefault="007A4746" w:rsidP="007D5C8A">
      <w:pPr>
        <w:ind w:left="851"/>
        <w:rPr>
          <w:sz w:val="24"/>
          <w:szCs w:val="24"/>
        </w:rPr>
      </w:pPr>
      <w:r w:rsidRPr="00CF5197">
        <w:rPr>
          <w:sz w:val="24"/>
          <w:szCs w:val="24"/>
        </w:rPr>
        <w:t>5</w:t>
      </w:r>
      <w:r w:rsidRPr="00CF5197">
        <w:rPr>
          <w:sz w:val="24"/>
          <w:szCs w:val="24"/>
        </w:rPr>
        <w:noBreakHyphen/>
        <w:t xml:space="preserve">10 minutter før inhalationsbehandlingen anvendes der en </w:t>
      </w:r>
      <w:proofErr w:type="spellStart"/>
      <w:r w:rsidRPr="00CF5197">
        <w:rPr>
          <w:sz w:val="24"/>
          <w:szCs w:val="24"/>
        </w:rPr>
        <w:t>bronkodilatator</w:t>
      </w:r>
      <w:proofErr w:type="spellEnd"/>
      <w:r w:rsidRPr="00CF5197">
        <w:rPr>
          <w:sz w:val="24"/>
          <w:szCs w:val="24"/>
        </w:rPr>
        <w:t xml:space="preserve"> som </w:t>
      </w:r>
      <w:r w:rsidRPr="00CF5197">
        <w:rPr>
          <w:color w:val="000000"/>
          <w:sz w:val="24"/>
          <w:szCs w:val="24"/>
        </w:rPr>
        <w:t>doseringsspray med måleenhed</w:t>
      </w:r>
      <w:r w:rsidRPr="00CF5197">
        <w:rPr>
          <w:sz w:val="24"/>
          <w:szCs w:val="24"/>
        </w:rPr>
        <w:t xml:space="preserve"> (MDI). Der er indberetninger om </w:t>
      </w:r>
      <w:proofErr w:type="spellStart"/>
      <w:r w:rsidRPr="00CF5197">
        <w:rPr>
          <w:sz w:val="24"/>
          <w:szCs w:val="24"/>
        </w:rPr>
        <w:t>bronkospasme</w:t>
      </w:r>
      <w:proofErr w:type="spellEnd"/>
      <w:r w:rsidRPr="00CF5197">
        <w:rPr>
          <w:sz w:val="24"/>
          <w:szCs w:val="24"/>
        </w:rPr>
        <w:t xml:space="preserve"> efter brug af </w:t>
      </w:r>
      <w:proofErr w:type="spellStart"/>
      <w:r w:rsidRPr="00CF5197">
        <w:rPr>
          <w:sz w:val="24"/>
          <w:szCs w:val="24"/>
        </w:rPr>
        <w:t>nebulisator</w:t>
      </w:r>
      <w:proofErr w:type="spellEnd"/>
      <w:r w:rsidRPr="00CF5197">
        <w:rPr>
          <w:sz w:val="24"/>
          <w:szCs w:val="24"/>
        </w:rPr>
        <w:t xml:space="preserve"> (se pkt. 4.8). Det har især været tilfældet hos patienter med rygning eller astma i anamnesen. Dette kan kontrolleres med forudgående brug af </w:t>
      </w:r>
      <w:proofErr w:type="spellStart"/>
      <w:r w:rsidRPr="00CF5197">
        <w:rPr>
          <w:sz w:val="24"/>
          <w:szCs w:val="24"/>
        </w:rPr>
        <w:t>bronkodilatatorer</w:t>
      </w:r>
      <w:proofErr w:type="spellEnd"/>
      <w:r w:rsidRPr="00CF5197">
        <w:rPr>
          <w:sz w:val="24"/>
          <w:szCs w:val="24"/>
        </w:rPr>
        <w:t>.</w:t>
      </w:r>
    </w:p>
    <w:p w14:paraId="751E2A3F" w14:textId="77777777" w:rsidR="007A4746" w:rsidRPr="00CF5197" w:rsidRDefault="007A4746" w:rsidP="007D5C8A">
      <w:pPr>
        <w:ind w:left="851"/>
        <w:rPr>
          <w:sz w:val="24"/>
          <w:szCs w:val="24"/>
        </w:rPr>
      </w:pPr>
    </w:p>
    <w:p w14:paraId="2147B68A" w14:textId="77777777" w:rsidR="007A4746" w:rsidRPr="00CF5197" w:rsidRDefault="007A4746" w:rsidP="007D5C8A">
      <w:pPr>
        <w:ind w:left="851"/>
        <w:rPr>
          <w:sz w:val="24"/>
          <w:szCs w:val="24"/>
        </w:rPr>
      </w:pPr>
      <w:r w:rsidRPr="00CF5197">
        <w:rPr>
          <w:sz w:val="24"/>
          <w:szCs w:val="24"/>
        </w:rPr>
        <w:t>Kun klare opløsninger, som stort set er fri for partikler, må anvendes.</w:t>
      </w:r>
    </w:p>
    <w:p w14:paraId="00A41083" w14:textId="77777777" w:rsidR="009260DE" w:rsidRPr="00CF5197" w:rsidRDefault="009260DE" w:rsidP="009260DE">
      <w:pPr>
        <w:tabs>
          <w:tab w:val="left" w:pos="851"/>
        </w:tabs>
        <w:ind w:left="851"/>
        <w:rPr>
          <w:sz w:val="24"/>
          <w:szCs w:val="24"/>
        </w:rPr>
      </w:pPr>
    </w:p>
    <w:p w14:paraId="311A1914" w14:textId="77777777" w:rsidR="009260DE" w:rsidRPr="00CF5197" w:rsidRDefault="009260DE" w:rsidP="009260DE">
      <w:pPr>
        <w:tabs>
          <w:tab w:val="left" w:pos="851"/>
        </w:tabs>
        <w:ind w:left="851" w:hanging="851"/>
        <w:rPr>
          <w:b/>
          <w:sz w:val="24"/>
          <w:szCs w:val="24"/>
        </w:rPr>
      </w:pPr>
      <w:r w:rsidRPr="00CF5197">
        <w:rPr>
          <w:b/>
          <w:sz w:val="24"/>
          <w:szCs w:val="24"/>
        </w:rPr>
        <w:t>4.3</w:t>
      </w:r>
      <w:r w:rsidRPr="00CF5197">
        <w:rPr>
          <w:b/>
          <w:sz w:val="24"/>
          <w:szCs w:val="24"/>
        </w:rPr>
        <w:tab/>
        <w:t>Kontraindikationer</w:t>
      </w:r>
    </w:p>
    <w:p w14:paraId="5FD79F67" w14:textId="77777777" w:rsidR="007A4746" w:rsidRPr="00CF5197" w:rsidRDefault="007A4746" w:rsidP="007D5C8A">
      <w:pPr>
        <w:ind w:left="851"/>
        <w:rPr>
          <w:rFonts w:eastAsia="Arial Unicode MS"/>
          <w:sz w:val="24"/>
          <w:szCs w:val="24"/>
        </w:rPr>
      </w:pPr>
      <w:r w:rsidRPr="00CF5197">
        <w:rPr>
          <w:sz w:val="24"/>
          <w:szCs w:val="24"/>
        </w:rPr>
        <w:t>Overfølsomhed over for det aktive stof.</w:t>
      </w:r>
    </w:p>
    <w:p w14:paraId="41661138" w14:textId="77777777" w:rsidR="009260DE" w:rsidRPr="00CF5197" w:rsidRDefault="009260DE" w:rsidP="009260DE">
      <w:pPr>
        <w:tabs>
          <w:tab w:val="left" w:pos="851"/>
        </w:tabs>
        <w:ind w:left="851"/>
        <w:rPr>
          <w:sz w:val="24"/>
          <w:szCs w:val="24"/>
        </w:rPr>
      </w:pPr>
    </w:p>
    <w:p w14:paraId="03AF58AE" w14:textId="77777777" w:rsidR="009260DE" w:rsidRPr="00CF5197" w:rsidRDefault="009260DE" w:rsidP="009260DE">
      <w:pPr>
        <w:tabs>
          <w:tab w:val="left" w:pos="851"/>
        </w:tabs>
        <w:ind w:left="851" w:hanging="851"/>
        <w:rPr>
          <w:b/>
          <w:sz w:val="24"/>
          <w:szCs w:val="24"/>
        </w:rPr>
      </w:pPr>
      <w:r w:rsidRPr="00CF5197">
        <w:rPr>
          <w:b/>
          <w:sz w:val="24"/>
          <w:szCs w:val="24"/>
        </w:rPr>
        <w:t>4.4</w:t>
      </w:r>
      <w:r w:rsidRPr="00CF5197">
        <w:rPr>
          <w:b/>
          <w:sz w:val="24"/>
          <w:szCs w:val="24"/>
        </w:rPr>
        <w:tab/>
        <w:t>Særlige advarsler og forsigtighedsregler vedrørende brugen</w:t>
      </w:r>
    </w:p>
    <w:p w14:paraId="11CD4B89" w14:textId="77777777" w:rsidR="007A4746" w:rsidRPr="00CF5197" w:rsidRDefault="007A4746" w:rsidP="007D5C8A">
      <w:pPr>
        <w:ind w:left="851"/>
        <w:rPr>
          <w:sz w:val="24"/>
          <w:szCs w:val="24"/>
          <w:lang w:eastAsia="en-GB"/>
        </w:rPr>
      </w:pPr>
      <w:proofErr w:type="spellStart"/>
      <w:r w:rsidRPr="00CF5197">
        <w:rPr>
          <w:sz w:val="24"/>
          <w:szCs w:val="24"/>
        </w:rPr>
        <w:t>Pentamidin</w:t>
      </w:r>
      <w:proofErr w:type="spellEnd"/>
      <w:r w:rsidRPr="00CF5197">
        <w:rPr>
          <w:sz w:val="24"/>
          <w:szCs w:val="24"/>
        </w:rPr>
        <w:t xml:space="preserve"> bør anvendes med forsigtighed hos patienter med hypertension, hypotension, </w:t>
      </w:r>
      <w:proofErr w:type="spellStart"/>
      <w:r w:rsidRPr="00CF5197">
        <w:rPr>
          <w:sz w:val="24"/>
          <w:szCs w:val="24"/>
        </w:rPr>
        <w:t>hyperglykæmi</w:t>
      </w:r>
      <w:proofErr w:type="spellEnd"/>
      <w:r w:rsidRPr="00CF5197">
        <w:rPr>
          <w:sz w:val="24"/>
          <w:szCs w:val="24"/>
        </w:rPr>
        <w:t xml:space="preserve">, hypoglykæmi, </w:t>
      </w:r>
      <w:proofErr w:type="spellStart"/>
      <w:r w:rsidRPr="00CF5197">
        <w:rPr>
          <w:sz w:val="24"/>
          <w:szCs w:val="24"/>
        </w:rPr>
        <w:t>hypokalcæmi</w:t>
      </w:r>
      <w:proofErr w:type="spellEnd"/>
      <w:r w:rsidRPr="00CF5197">
        <w:rPr>
          <w:sz w:val="24"/>
          <w:szCs w:val="24"/>
        </w:rPr>
        <w:t xml:space="preserve">, </w:t>
      </w:r>
      <w:proofErr w:type="spellStart"/>
      <w:r w:rsidRPr="00CF5197">
        <w:rPr>
          <w:sz w:val="24"/>
          <w:szCs w:val="24"/>
        </w:rPr>
        <w:t>leukopeni</w:t>
      </w:r>
      <w:proofErr w:type="spellEnd"/>
      <w:r w:rsidRPr="00CF5197">
        <w:rPr>
          <w:sz w:val="24"/>
          <w:szCs w:val="24"/>
        </w:rPr>
        <w:t xml:space="preserve">, </w:t>
      </w:r>
      <w:proofErr w:type="spellStart"/>
      <w:r w:rsidRPr="00CF5197">
        <w:rPr>
          <w:sz w:val="24"/>
          <w:szCs w:val="24"/>
        </w:rPr>
        <w:t>trombocytopeni</w:t>
      </w:r>
      <w:proofErr w:type="spellEnd"/>
      <w:r w:rsidRPr="00CF5197">
        <w:rPr>
          <w:sz w:val="24"/>
          <w:szCs w:val="24"/>
        </w:rPr>
        <w:t xml:space="preserve"> eller anæmi samt nedsat lever- og nyrefunktion. Hos disse patienter er særligt tæt monitorering af de tilsvarende laboratorieparametre indiceret.</w:t>
      </w:r>
    </w:p>
    <w:p w14:paraId="0BD7936D" w14:textId="77777777" w:rsidR="007A4746" w:rsidRPr="00CF5197" w:rsidRDefault="007A4746" w:rsidP="007D5C8A">
      <w:pPr>
        <w:ind w:left="851"/>
        <w:rPr>
          <w:sz w:val="24"/>
          <w:szCs w:val="24"/>
        </w:rPr>
      </w:pPr>
    </w:p>
    <w:p w14:paraId="683F691A" w14:textId="77777777" w:rsidR="007A4746" w:rsidRPr="00CF5197" w:rsidRDefault="007A4746" w:rsidP="007D5C8A">
      <w:pPr>
        <w:ind w:left="851"/>
        <w:rPr>
          <w:sz w:val="24"/>
          <w:szCs w:val="24"/>
        </w:rPr>
      </w:pPr>
      <w:r w:rsidRPr="00CF5197">
        <w:rPr>
          <w:sz w:val="24"/>
          <w:szCs w:val="24"/>
        </w:rPr>
        <w:t xml:space="preserve">Der har været indberetninger om dødelige tilfælde af svær hypotension, hypoglykæmi, akut </w:t>
      </w:r>
      <w:proofErr w:type="spellStart"/>
      <w:r w:rsidRPr="00CF5197">
        <w:rPr>
          <w:sz w:val="24"/>
          <w:szCs w:val="24"/>
        </w:rPr>
        <w:t>pankreatitis</w:t>
      </w:r>
      <w:proofErr w:type="spellEnd"/>
      <w:r w:rsidRPr="00CF5197">
        <w:rPr>
          <w:sz w:val="24"/>
          <w:szCs w:val="24"/>
        </w:rPr>
        <w:t xml:space="preserve"> og </w:t>
      </w:r>
      <w:proofErr w:type="spellStart"/>
      <w:r w:rsidRPr="00CF5197">
        <w:rPr>
          <w:sz w:val="24"/>
          <w:szCs w:val="24"/>
        </w:rPr>
        <w:t>hjertearytmier</w:t>
      </w:r>
      <w:proofErr w:type="spellEnd"/>
      <w:r w:rsidRPr="00CF5197">
        <w:rPr>
          <w:sz w:val="24"/>
          <w:szCs w:val="24"/>
        </w:rPr>
        <w:t xml:space="preserve"> i forbindelse med intravenøs og intramuskulær administration af </w:t>
      </w:r>
      <w:proofErr w:type="spellStart"/>
      <w:r w:rsidRPr="00CF5197">
        <w:rPr>
          <w:sz w:val="24"/>
          <w:szCs w:val="24"/>
        </w:rPr>
        <w:t>pentamidinbehandling</w:t>
      </w:r>
      <w:proofErr w:type="spellEnd"/>
      <w:r w:rsidRPr="00CF5197">
        <w:rPr>
          <w:sz w:val="24"/>
          <w:szCs w:val="24"/>
        </w:rPr>
        <w:t xml:space="preserve">. Før administration skal blodtrykket kontrolleres med patienten i rygliggende stilling. Da der kan være et pludseligt og kraftigt fald i blodtrykket efter injektion af </w:t>
      </w:r>
      <w:proofErr w:type="spellStart"/>
      <w:r w:rsidRPr="00CF5197">
        <w:rPr>
          <w:sz w:val="24"/>
          <w:szCs w:val="24"/>
        </w:rPr>
        <w:t>pentamidin</w:t>
      </w:r>
      <w:proofErr w:type="spellEnd"/>
      <w:r w:rsidRPr="00CF5197">
        <w:rPr>
          <w:sz w:val="24"/>
          <w:szCs w:val="24"/>
        </w:rPr>
        <w:t xml:space="preserve">, skal patienten ligge ned, når lægemidlet administreres. Blodtrykket overvåges kontinuerligt under administration af </w:t>
      </w:r>
      <w:proofErr w:type="spellStart"/>
      <w:r w:rsidRPr="00CF5197">
        <w:rPr>
          <w:sz w:val="24"/>
          <w:szCs w:val="24"/>
        </w:rPr>
        <w:t>pentamidin</w:t>
      </w:r>
      <w:proofErr w:type="spellEnd"/>
      <w:r w:rsidRPr="00CF5197">
        <w:rPr>
          <w:sz w:val="24"/>
          <w:szCs w:val="24"/>
        </w:rPr>
        <w:t xml:space="preserve"> og jævnligt, indtil behandlingen er afsluttet.</w:t>
      </w:r>
    </w:p>
    <w:p w14:paraId="63B0069A" w14:textId="77777777" w:rsidR="007A4746" w:rsidRPr="00CF5197" w:rsidRDefault="007A4746" w:rsidP="007D5C8A">
      <w:pPr>
        <w:ind w:left="851"/>
        <w:rPr>
          <w:sz w:val="24"/>
          <w:szCs w:val="24"/>
          <w:lang w:val="nl-NL"/>
        </w:rPr>
      </w:pPr>
    </w:p>
    <w:p w14:paraId="72FA1AF5" w14:textId="77777777" w:rsidR="007A4746" w:rsidRPr="00CF5197" w:rsidRDefault="007A4746" w:rsidP="007D5C8A">
      <w:pPr>
        <w:ind w:left="851"/>
        <w:rPr>
          <w:sz w:val="24"/>
          <w:szCs w:val="24"/>
        </w:rPr>
      </w:pPr>
      <w:r w:rsidRPr="00CF5197">
        <w:rPr>
          <w:sz w:val="24"/>
          <w:szCs w:val="24"/>
        </w:rPr>
        <w:t>Inhalationsbehandling bør også udføres med forsigtighed og under lægelig supervision. Patienten monitoreres for udvikling af symptomer på en svær bivirkning.</w:t>
      </w:r>
    </w:p>
    <w:p w14:paraId="7FE9211C" w14:textId="77777777" w:rsidR="007A4746" w:rsidRPr="00CF5197" w:rsidRDefault="007A4746" w:rsidP="007D5C8A">
      <w:pPr>
        <w:ind w:left="851"/>
        <w:rPr>
          <w:sz w:val="24"/>
          <w:szCs w:val="24"/>
        </w:rPr>
      </w:pPr>
    </w:p>
    <w:p w14:paraId="2DA835F8" w14:textId="77777777" w:rsidR="007A4746" w:rsidRPr="00CF5197" w:rsidRDefault="007A4746" w:rsidP="007D5C8A">
      <w:pPr>
        <w:ind w:left="851"/>
        <w:rPr>
          <w:sz w:val="24"/>
          <w:szCs w:val="24"/>
        </w:rPr>
      </w:pPr>
      <w:r w:rsidRPr="00CF5197">
        <w:rPr>
          <w:sz w:val="24"/>
          <w:szCs w:val="24"/>
        </w:rPr>
        <w:t xml:space="preserve">Der har været indberetninger om </w:t>
      </w:r>
      <w:proofErr w:type="spellStart"/>
      <w:r w:rsidRPr="00CF5197">
        <w:rPr>
          <w:sz w:val="24"/>
          <w:szCs w:val="24"/>
        </w:rPr>
        <w:t>bronkospasme</w:t>
      </w:r>
      <w:proofErr w:type="spellEnd"/>
      <w:r w:rsidRPr="00CF5197">
        <w:rPr>
          <w:sz w:val="24"/>
          <w:szCs w:val="24"/>
        </w:rPr>
        <w:t xml:space="preserve"> ved inhalation med </w:t>
      </w:r>
      <w:proofErr w:type="spellStart"/>
      <w:r w:rsidRPr="00CF5197">
        <w:rPr>
          <w:sz w:val="24"/>
          <w:szCs w:val="24"/>
        </w:rPr>
        <w:t>nebulisator</w:t>
      </w:r>
      <w:proofErr w:type="spellEnd"/>
      <w:r w:rsidRPr="00CF5197">
        <w:rPr>
          <w:sz w:val="24"/>
          <w:szCs w:val="24"/>
        </w:rPr>
        <w:t xml:space="preserve"> (se pkt. 4.8), især hos patienter med astma eller rygning i anamnesen. Administration af en inhaleret </w:t>
      </w:r>
      <w:proofErr w:type="spellStart"/>
      <w:r w:rsidRPr="00CF5197">
        <w:rPr>
          <w:sz w:val="24"/>
          <w:szCs w:val="24"/>
        </w:rPr>
        <w:t>bronkodilatator</w:t>
      </w:r>
      <w:proofErr w:type="spellEnd"/>
      <w:r w:rsidRPr="00CF5197">
        <w:rPr>
          <w:sz w:val="24"/>
          <w:szCs w:val="24"/>
        </w:rPr>
        <w:t xml:space="preserve"> på forhånd reducerer hoste og </w:t>
      </w:r>
      <w:proofErr w:type="spellStart"/>
      <w:r w:rsidRPr="00CF5197">
        <w:rPr>
          <w:sz w:val="24"/>
          <w:szCs w:val="24"/>
        </w:rPr>
        <w:t>bronkospasme</w:t>
      </w:r>
      <w:proofErr w:type="spellEnd"/>
      <w:r w:rsidRPr="00CF5197">
        <w:rPr>
          <w:sz w:val="24"/>
          <w:szCs w:val="24"/>
        </w:rPr>
        <w:t xml:space="preserve"> og forbedrer deponeringen af aerosoler.</w:t>
      </w:r>
    </w:p>
    <w:p w14:paraId="292B3C3E" w14:textId="77777777" w:rsidR="007A4746" w:rsidRPr="00CF5197" w:rsidRDefault="007A4746" w:rsidP="007D5C8A">
      <w:pPr>
        <w:ind w:left="851"/>
        <w:rPr>
          <w:sz w:val="24"/>
          <w:szCs w:val="24"/>
        </w:rPr>
      </w:pPr>
    </w:p>
    <w:p w14:paraId="7AB2E57F" w14:textId="77777777" w:rsidR="007A4746" w:rsidRPr="00CF5197" w:rsidRDefault="007A4746" w:rsidP="007D5C8A">
      <w:pPr>
        <w:ind w:left="851"/>
        <w:rPr>
          <w:sz w:val="24"/>
          <w:szCs w:val="24"/>
        </w:rPr>
      </w:pPr>
      <w:proofErr w:type="spellStart"/>
      <w:r w:rsidRPr="00CF5197">
        <w:rPr>
          <w:sz w:val="24"/>
          <w:szCs w:val="24"/>
        </w:rPr>
        <w:t>Pentamidindiisetionat</w:t>
      </w:r>
      <w:proofErr w:type="spellEnd"/>
      <w:r w:rsidRPr="00CF5197">
        <w:rPr>
          <w:sz w:val="24"/>
          <w:szCs w:val="24"/>
        </w:rPr>
        <w:t xml:space="preserve"> kan forlænge QT-intervallet. Der har været indberetninger om lejlighedsvise </w:t>
      </w:r>
      <w:proofErr w:type="spellStart"/>
      <w:r w:rsidRPr="00CF5197">
        <w:rPr>
          <w:sz w:val="24"/>
          <w:szCs w:val="24"/>
        </w:rPr>
        <w:t>hjertearytmier</w:t>
      </w:r>
      <w:proofErr w:type="spellEnd"/>
      <w:r w:rsidRPr="00CF5197">
        <w:rPr>
          <w:sz w:val="24"/>
          <w:szCs w:val="24"/>
        </w:rPr>
        <w:t xml:space="preserve"> som </w:t>
      </w:r>
      <w:proofErr w:type="spellStart"/>
      <w:r w:rsidRPr="00CF5197">
        <w:rPr>
          <w:sz w:val="24"/>
          <w:szCs w:val="24"/>
        </w:rPr>
        <w:t>Torsades</w:t>
      </w:r>
      <w:proofErr w:type="spellEnd"/>
      <w:r w:rsidRPr="00CF5197">
        <w:rPr>
          <w:sz w:val="24"/>
          <w:szCs w:val="24"/>
        </w:rPr>
        <w:t xml:space="preserve"> de Pointes, som tyder på forlængelse af QT-intervallet, under behandling med </w:t>
      </w:r>
      <w:proofErr w:type="spellStart"/>
      <w:r w:rsidRPr="00CF5197">
        <w:rPr>
          <w:sz w:val="24"/>
          <w:szCs w:val="24"/>
        </w:rPr>
        <w:t>pentamidindiisetionat</w:t>
      </w:r>
      <w:proofErr w:type="spellEnd"/>
      <w:r w:rsidRPr="00CF5197">
        <w:rPr>
          <w:sz w:val="24"/>
          <w:szCs w:val="24"/>
        </w:rPr>
        <w:t xml:space="preserve">. </w:t>
      </w:r>
      <w:proofErr w:type="spellStart"/>
      <w:r w:rsidRPr="00CF5197">
        <w:rPr>
          <w:sz w:val="24"/>
          <w:szCs w:val="24"/>
        </w:rPr>
        <w:t>Pentamidindiisetionat</w:t>
      </w:r>
      <w:proofErr w:type="spellEnd"/>
      <w:r w:rsidRPr="00CF5197">
        <w:rPr>
          <w:sz w:val="24"/>
          <w:szCs w:val="24"/>
        </w:rPr>
        <w:t xml:space="preserve"> bør derfor anvendes med forsigtighed hos patienter, der har forhøjet risiko for at udvikle </w:t>
      </w:r>
      <w:proofErr w:type="spellStart"/>
      <w:r w:rsidRPr="00CF5197">
        <w:rPr>
          <w:sz w:val="24"/>
          <w:szCs w:val="24"/>
        </w:rPr>
        <w:t>hjertearytmier</w:t>
      </w:r>
      <w:proofErr w:type="spellEnd"/>
      <w:r w:rsidRPr="00CF5197">
        <w:rPr>
          <w:sz w:val="24"/>
          <w:szCs w:val="24"/>
        </w:rPr>
        <w:t xml:space="preserve"> som </w:t>
      </w:r>
      <w:proofErr w:type="spellStart"/>
      <w:r w:rsidRPr="00CF5197">
        <w:rPr>
          <w:sz w:val="24"/>
          <w:szCs w:val="24"/>
        </w:rPr>
        <w:t>hjertearytmier</w:t>
      </w:r>
      <w:proofErr w:type="spellEnd"/>
      <w:r w:rsidRPr="00CF5197">
        <w:rPr>
          <w:sz w:val="24"/>
          <w:szCs w:val="24"/>
        </w:rPr>
        <w:t xml:space="preserve"> med forlænget QT-syndrom, hjertesygdom (f.eks. koronararteriesygdom, hjertesvigt), kendte </w:t>
      </w:r>
      <w:proofErr w:type="spellStart"/>
      <w:r w:rsidRPr="00CF5197">
        <w:rPr>
          <w:sz w:val="24"/>
          <w:szCs w:val="24"/>
        </w:rPr>
        <w:t>ventrikulære</w:t>
      </w:r>
      <w:proofErr w:type="spellEnd"/>
      <w:r w:rsidRPr="00CF5197">
        <w:rPr>
          <w:sz w:val="24"/>
          <w:szCs w:val="24"/>
        </w:rPr>
        <w:t xml:space="preserve"> </w:t>
      </w:r>
      <w:proofErr w:type="spellStart"/>
      <w:r w:rsidRPr="00CF5197">
        <w:rPr>
          <w:sz w:val="24"/>
          <w:szCs w:val="24"/>
        </w:rPr>
        <w:t>arytmier</w:t>
      </w:r>
      <w:proofErr w:type="spellEnd"/>
      <w:r w:rsidRPr="00CF5197">
        <w:rPr>
          <w:sz w:val="24"/>
          <w:szCs w:val="24"/>
        </w:rPr>
        <w:t>, bradykardi (&lt;50 </w:t>
      </w:r>
      <w:proofErr w:type="spellStart"/>
      <w:r w:rsidRPr="00CF5197">
        <w:rPr>
          <w:sz w:val="24"/>
          <w:szCs w:val="24"/>
        </w:rPr>
        <w:t>bpm</w:t>
      </w:r>
      <w:proofErr w:type="spellEnd"/>
      <w:r w:rsidRPr="00CF5197">
        <w:rPr>
          <w:sz w:val="24"/>
          <w:szCs w:val="24"/>
        </w:rPr>
        <w:t xml:space="preserve">), </w:t>
      </w:r>
      <w:proofErr w:type="spellStart"/>
      <w:r w:rsidRPr="00CF5197">
        <w:rPr>
          <w:sz w:val="24"/>
          <w:szCs w:val="24"/>
        </w:rPr>
        <w:t>ukorrigeret</w:t>
      </w:r>
      <w:proofErr w:type="spellEnd"/>
      <w:r w:rsidRPr="00CF5197">
        <w:rPr>
          <w:sz w:val="24"/>
          <w:szCs w:val="24"/>
        </w:rPr>
        <w:t xml:space="preserve"> </w:t>
      </w:r>
      <w:proofErr w:type="spellStart"/>
      <w:r w:rsidRPr="00CF5197">
        <w:rPr>
          <w:sz w:val="24"/>
          <w:szCs w:val="24"/>
        </w:rPr>
        <w:t>hypokaliæmi</w:t>
      </w:r>
      <w:proofErr w:type="spellEnd"/>
      <w:r w:rsidRPr="00CF5197">
        <w:rPr>
          <w:sz w:val="24"/>
          <w:szCs w:val="24"/>
        </w:rPr>
        <w:t xml:space="preserve"> og/eller </w:t>
      </w:r>
      <w:proofErr w:type="spellStart"/>
      <w:r w:rsidRPr="00CF5197">
        <w:rPr>
          <w:sz w:val="24"/>
          <w:szCs w:val="24"/>
        </w:rPr>
        <w:t>hypomagnesiæmi</w:t>
      </w:r>
      <w:proofErr w:type="spellEnd"/>
      <w:r w:rsidRPr="00CF5197">
        <w:rPr>
          <w:sz w:val="24"/>
          <w:szCs w:val="24"/>
        </w:rPr>
        <w:t xml:space="preserve"> eller under samtidig administration af </w:t>
      </w:r>
      <w:proofErr w:type="spellStart"/>
      <w:r w:rsidRPr="00CF5197">
        <w:rPr>
          <w:sz w:val="24"/>
          <w:szCs w:val="24"/>
        </w:rPr>
        <w:t>pentamidindiisetionat</w:t>
      </w:r>
      <w:proofErr w:type="spellEnd"/>
      <w:r w:rsidRPr="00CF5197">
        <w:rPr>
          <w:sz w:val="24"/>
          <w:szCs w:val="24"/>
        </w:rPr>
        <w:t xml:space="preserve"> og QT-forlængende midler (se pkt. 4.5). Monitorering af </w:t>
      </w:r>
      <w:proofErr w:type="spellStart"/>
      <w:r w:rsidRPr="00CF5197">
        <w:rPr>
          <w:sz w:val="24"/>
          <w:szCs w:val="24"/>
        </w:rPr>
        <w:t>QTc</w:t>
      </w:r>
      <w:proofErr w:type="spellEnd"/>
      <w:r w:rsidRPr="00CF5197">
        <w:rPr>
          <w:sz w:val="24"/>
          <w:szCs w:val="24"/>
        </w:rPr>
        <w:t>-intervallet er nødvendigt hos patienter med kendt eller mistanke om hjertesygdom, eller som samtidig tager QT-forlængende lægemidler.</w:t>
      </w:r>
    </w:p>
    <w:p w14:paraId="3C1B2436" w14:textId="77777777" w:rsidR="007A4746" w:rsidRPr="00CF5197" w:rsidRDefault="007A4746" w:rsidP="007D5C8A">
      <w:pPr>
        <w:ind w:left="851"/>
        <w:rPr>
          <w:sz w:val="24"/>
          <w:szCs w:val="24"/>
        </w:rPr>
      </w:pPr>
    </w:p>
    <w:p w14:paraId="7848F4D2" w14:textId="77777777" w:rsidR="007A4746" w:rsidRPr="00CF5197" w:rsidRDefault="007A4746" w:rsidP="007D5C8A">
      <w:pPr>
        <w:ind w:left="851"/>
        <w:rPr>
          <w:sz w:val="24"/>
          <w:szCs w:val="24"/>
        </w:rPr>
      </w:pPr>
      <w:r w:rsidRPr="00CF5197">
        <w:rPr>
          <w:sz w:val="24"/>
          <w:szCs w:val="24"/>
        </w:rPr>
        <w:t xml:space="preserve">Der bør udvises særlig forsigtighed, når </w:t>
      </w:r>
      <w:proofErr w:type="spellStart"/>
      <w:r w:rsidRPr="00CF5197">
        <w:rPr>
          <w:sz w:val="24"/>
          <w:szCs w:val="24"/>
        </w:rPr>
        <w:t>QTc</w:t>
      </w:r>
      <w:proofErr w:type="spellEnd"/>
      <w:r w:rsidRPr="00CF5197">
        <w:rPr>
          <w:sz w:val="24"/>
          <w:szCs w:val="24"/>
        </w:rPr>
        <w:t xml:space="preserve">-intervallet overstiger 500 ms under behandling. Kontinuerlig monitorering af hjertefunktionen bør overvejes i disse tilfælde. Hvis </w:t>
      </w:r>
      <w:proofErr w:type="spellStart"/>
      <w:r w:rsidRPr="00CF5197">
        <w:rPr>
          <w:sz w:val="24"/>
          <w:szCs w:val="24"/>
        </w:rPr>
        <w:t>QTc</w:t>
      </w:r>
      <w:proofErr w:type="spellEnd"/>
      <w:r w:rsidRPr="00CF5197">
        <w:rPr>
          <w:sz w:val="24"/>
          <w:szCs w:val="24"/>
        </w:rPr>
        <w:t xml:space="preserve"> intervallet overstiger 550 ms, bør der overvejes alternativ behandling.</w:t>
      </w:r>
    </w:p>
    <w:p w14:paraId="21E507E3" w14:textId="5549631F" w:rsidR="00034766" w:rsidRDefault="00034766">
      <w:pPr>
        <w:rPr>
          <w:sz w:val="24"/>
          <w:szCs w:val="24"/>
        </w:rPr>
      </w:pPr>
      <w:r>
        <w:rPr>
          <w:sz w:val="24"/>
          <w:szCs w:val="24"/>
        </w:rPr>
        <w:br w:type="page"/>
      </w:r>
    </w:p>
    <w:p w14:paraId="7B6C90FF" w14:textId="77777777" w:rsidR="007A4746" w:rsidRPr="00CF5197" w:rsidRDefault="007A4746" w:rsidP="007D5C8A">
      <w:pPr>
        <w:ind w:left="851"/>
        <w:rPr>
          <w:sz w:val="24"/>
          <w:szCs w:val="24"/>
        </w:rPr>
      </w:pPr>
    </w:p>
    <w:p w14:paraId="6A6C6302" w14:textId="77777777" w:rsidR="007A4746" w:rsidRPr="00CF5197" w:rsidRDefault="007A4746" w:rsidP="007D5C8A">
      <w:pPr>
        <w:ind w:left="851"/>
        <w:rPr>
          <w:i/>
          <w:sz w:val="24"/>
          <w:szCs w:val="24"/>
          <w:u w:val="single"/>
        </w:rPr>
      </w:pPr>
      <w:r w:rsidRPr="00CF5197">
        <w:rPr>
          <w:i/>
          <w:sz w:val="24"/>
          <w:szCs w:val="24"/>
          <w:u w:val="single"/>
        </w:rPr>
        <w:t>Andre forsigtighedsregler</w:t>
      </w:r>
    </w:p>
    <w:p w14:paraId="5B1F31DF" w14:textId="77777777" w:rsidR="007A4746" w:rsidRPr="00CF5197" w:rsidRDefault="007A4746" w:rsidP="007D5C8A">
      <w:pPr>
        <w:ind w:left="851"/>
        <w:rPr>
          <w:sz w:val="24"/>
          <w:szCs w:val="24"/>
        </w:rPr>
      </w:pPr>
      <w:r w:rsidRPr="00CF5197">
        <w:rPr>
          <w:sz w:val="24"/>
          <w:szCs w:val="24"/>
        </w:rPr>
        <w:t>Følgende undersøgelser bør udføres jævnligt:</w:t>
      </w:r>
    </w:p>
    <w:p w14:paraId="56C9124D" w14:textId="77777777" w:rsidR="007A4746" w:rsidRPr="00CF5197" w:rsidRDefault="007A4746" w:rsidP="00CF5197">
      <w:pPr>
        <w:pStyle w:val="Listeafsnit"/>
        <w:numPr>
          <w:ilvl w:val="0"/>
          <w:numId w:val="16"/>
        </w:numPr>
        <w:spacing w:after="0"/>
        <w:ind w:left="1276" w:hanging="425"/>
        <w:jc w:val="left"/>
        <w:rPr>
          <w:sz w:val="24"/>
          <w:szCs w:val="24"/>
        </w:rPr>
      </w:pPr>
      <w:proofErr w:type="spellStart"/>
      <w:r w:rsidRPr="00CF5197">
        <w:rPr>
          <w:sz w:val="24"/>
          <w:szCs w:val="24"/>
        </w:rPr>
        <w:t>Karbamid</w:t>
      </w:r>
      <w:proofErr w:type="spellEnd"/>
      <w:r w:rsidRPr="00CF5197">
        <w:rPr>
          <w:sz w:val="24"/>
          <w:szCs w:val="24"/>
        </w:rPr>
        <w:t xml:space="preserve"> i blodet og </w:t>
      </w:r>
      <w:proofErr w:type="spellStart"/>
      <w:r w:rsidRPr="00CF5197">
        <w:rPr>
          <w:sz w:val="24"/>
          <w:szCs w:val="24"/>
        </w:rPr>
        <w:t>kreatinin</w:t>
      </w:r>
      <w:proofErr w:type="spellEnd"/>
      <w:r w:rsidRPr="00CF5197">
        <w:rPr>
          <w:sz w:val="24"/>
          <w:szCs w:val="24"/>
        </w:rPr>
        <w:t xml:space="preserve"> i serum dagligt under behandlingen.</w:t>
      </w:r>
    </w:p>
    <w:p w14:paraId="7ACFE917" w14:textId="77777777" w:rsidR="007A4746" w:rsidRPr="00CF5197" w:rsidRDefault="007A4746" w:rsidP="00CF5197">
      <w:pPr>
        <w:pStyle w:val="Listeafsnit"/>
        <w:numPr>
          <w:ilvl w:val="0"/>
          <w:numId w:val="16"/>
        </w:numPr>
        <w:spacing w:after="0"/>
        <w:ind w:left="1276" w:hanging="425"/>
        <w:jc w:val="left"/>
        <w:rPr>
          <w:sz w:val="24"/>
          <w:szCs w:val="24"/>
        </w:rPr>
      </w:pPr>
      <w:r w:rsidRPr="00CF5197">
        <w:rPr>
          <w:sz w:val="24"/>
          <w:szCs w:val="24"/>
        </w:rPr>
        <w:t>Fuld blodtælling hver dag under behandlingen.</w:t>
      </w:r>
    </w:p>
    <w:p w14:paraId="152DFE63" w14:textId="77777777" w:rsidR="007A4746" w:rsidRPr="00CF5197" w:rsidRDefault="007A4746" w:rsidP="00CF5197">
      <w:pPr>
        <w:pStyle w:val="Listeafsnit"/>
        <w:numPr>
          <w:ilvl w:val="0"/>
          <w:numId w:val="16"/>
        </w:numPr>
        <w:spacing w:after="0"/>
        <w:ind w:left="1276" w:hanging="425"/>
        <w:jc w:val="left"/>
        <w:rPr>
          <w:sz w:val="24"/>
          <w:szCs w:val="24"/>
        </w:rPr>
      </w:pPr>
      <w:r w:rsidRPr="00CF5197">
        <w:rPr>
          <w:sz w:val="24"/>
          <w:szCs w:val="24"/>
        </w:rPr>
        <w:t xml:space="preserve">Fastende blodsukker hver dag under behandlingen og med jævne mellemrum efter behandlingens afslutning. I nogle tilfælde er der forekommet </w:t>
      </w:r>
      <w:proofErr w:type="spellStart"/>
      <w:r w:rsidRPr="00CF5197">
        <w:rPr>
          <w:sz w:val="24"/>
          <w:szCs w:val="24"/>
        </w:rPr>
        <w:t>hyperglykæmi</w:t>
      </w:r>
      <w:proofErr w:type="spellEnd"/>
      <w:r w:rsidRPr="00CF5197">
        <w:rPr>
          <w:sz w:val="24"/>
          <w:szCs w:val="24"/>
        </w:rPr>
        <w:t xml:space="preserve"> og diabetes mellitus flere måneder efter behandlingens afslutning.</w:t>
      </w:r>
    </w:p>
    <w:p w14:paraId="2084C627" w14:textId="0724CE7B" w:rsidR="007A4746" w:rsidRPr="00CF5197" w:rsidRDefault="007A4746" w:rsidP="00CF5197">
      <w:pPr>
        <w:pStyle w:val="Listeafsnit"/>
        <w:numPr>
          <w:ilvl w:val="0"/>
          <w:numId w:val="16"/>
        </w:numPr>
        <w:spacing w:after="0"/>
        <w:ind w:left="1276" w:hanging="425"/>
        <w:jc w:val="left"/>
        <w:rPr>
          <w:sz w:val="24"/>
          <w:szCs w:val="24"/>
        </w:rPr>
      </w:pPr>
      <w:r w:rsidRPr="00CF5197">
        <w:rPr>
          <w:sz w:val="24"/>
          <w:szCs w:val="24"/>
        </w:rPr>
        <w:t xml:space="preserve">Leverfunktionstest, især bilirubin, basisk fosfatase, </w:t>
      </w:r>
      <w:proofErr w:type="spellStart"/>
      <w:r w:rsidRPr="00CF5197">
        <w:rPr>
          <w:sz w:val="24"/>
          <w:szCs w:val="24"/>
        </w:rPr>
        <w:t>aspartat-aminotransferase</w:t>
      </w:r>
      <w:proofErr w:type="spellEnd"/>
      <w:r w:rsidRPr="00CF5197">
        <w:rPr>
          <w:sz w:val="24"/>
          <w:szCs w:val="24"/>
        </w:rPr>
        <w:t xml:space="preserve"> (ASAT) og </w:t>
      </w:r>
      <w:proofErr w:type="spellStart"/>
      <w:r w:rsidRPr="00CF5197">
        <w:rPr>
          <w:sz w:val="24"/>
          <w:szCs w:val="24"/>
        </w:rPr>
        <w:t>alanin-aminotransferase</w:t>
      </w:r>
      <w:proofErr w:type="spellEnd"/>
      <w:r w:rsidRPr="00CF5197">
        <w:rPr>
          <w:sz w:val="24"/>
          <w:szCs w:val="24"/>
        </w:rPr>
        <w:t xml:space="preserve"> (ALAT). Hvis baselineværdierne er normale, og hvis der kun er mindre ændringer under behandlingen, er ugentlig prøvetagning tilstrækkelig. Hvis baselineværdierne eller værdierne under behandlingen er forhøjede, skal testene udføres en gang om ugen, medmindre patienten behandles med andre </w:t>
      </w:r>
      <w:proofErr w:type="spellStart"/>
      <w:r w:rsidRPr="00CF5197">
        <w:rPr>
          <w:sz w:val="24"/>
          <w:szCs w:val="24"/>
        </w:rPr>
        <w:t>hepatotoksiske</w:t>
      </w:r>
      <w:proofErr w:type="spellEnd"/>
      <w:r w:rsidRPr="00CF5197">
        <w:rPr>
          <w:sz w:val="24"/>
          <w:szCs w:val="24"/>
        </w:rPr>
        <w:t xml:space="preserve"> midler, hvor de da bør kontrolleres ca. hver 3.</w:t>
      </w:r>
      <w:r w:rsidRPr="00CF5197">
        <w:rPr>
          <w:sz w:val="24"/>
          <w:szCs w:val="24"/>
        </w:rPr>
        <w:noBreakHyphen/>
        <w:t>5. dag.</w:t>
      </w:r>
    </w:p>
    <w:p w14:paraId="20B283C3" w14:textId="77777777" w:rsidR="007A4746" w:rsidRPr="00CF5197" w:rsidRDefault="007A4746" w:rsidP="00CF5197">
      <w:pPr>
        <w:pStyle w:val="Listeafsnit"/>
        <w:numPr>
          <w:ilvl w:val="0"/>
          <w:numId w:val="16"/>
        </w:numPr>
        <w:spacing w:after="0"/>
        <w:ind w:left="1276" w:hanging="425"/>
        <w:jc w:val="left"/>
        <w:rPr>
          <w:sz w:val="24"/>
          <w:szCs w:val="24"/>
        </w:rPr>
      </w:pPr>
      <w:r w:rsidRPr="00CF5197">
        <w:rPr>
          <w:sz w:val="24"/>
          <w:szCs w:val="24"/>
        </w:rPr>
        <w:t>Serumkalcium en gang om ugen, serummagnesium to gange om ugen.</w:t>
      </w:r>
    </w:p>
    <w:p w14:paraId="7B758F27" w14:textId="77777777" w:rsidR="007A4746" w:rsidRPr="00CF5197" w:rsidRDefault="007A4746" w:rsidP="00CF5197">
      <w:pPr>
        <w:pStyle w:val="Listeafsnit"/>
        <w:numPr>
          <w:ilvl w:val="0"/>
          <w:numId w:val="16"/>
        </w:numPr>
        <w:spacing w:after="0"/>
        <w:ind w:left="1276" w:hanging="425"/>
        <w:jc w:val="left"/>
        <w:rPr>
          <w:sz w:val="24"/>
          <w:szCs w:val="24"/>
        </w:rPr>
      </w:pPr>
      <w:r w:rsidRPr="00CF5197">
        <w:rPr>
          <w:sz w:val="24"/>
          <w:szCs w:val="24"/>
        </w:rPr>
        <w:t>Urinanalyse og bestemmelse af serumelektrolytter dagligt under behandlingen.</w:t>
      </w:r>
    </w:p>
    <w:p w14:paraId="6801B7A9" w14:textId="77777777" w:rsidR="007A4746" w:rsidRPr="00CF5197" w:rsidRDefault="007A4746" w:rsidP="00CF5197">
      <w:pPr>
        <w:pStyle w:val="Listeafsnit"/>
        <w:numPr>
          <w:ilvl w:val="0"/>
          <w:numId w:val="16"/>
        </w:numPr>
        <w:spacing w:after="0"/>
        <w:ind w:left="1276" w:hanging="425"/>
        <w:jc w:val="left"/>
        <w:rPr>
          <w:sz w:val="24"/>
          <w:szCs w:val="24"/>
        </w:rPr>
      </w:pPr>
      <w:r w:rsidRPr="00CF5197">
        <w:rPr>
          <w:sz w:val="24"/>
          <w:szCs w:val="24"/>
        </w:rPr>
        <w:t>Elektrokardiogrammer med jævne mellemrum.</w:t>
      </w:r>
    </w:p>
    <w:p w14:paraId="24EFCF33" w14:textId="77777777" w:rsidR="007A4746" w:rsidRPr="00CF5197" w:rsidRDefault="007A4746" w:rsidP="007D5C8A">
      <w:pPr>
        <w:ind w:left="851"/>
        <w:rPr>
          <w:sz w:val="24"/>
          <w:szCs w:val="24"/>
          <w:lang w:val="en-US"/>
        </w:rPr>
      </w:pPr>
    </w:p>
    <w:p w14:paraId="1EEC9439" w14:textId="77777777" w:rsidR="007A4746" w:rsidRPr="00CF5197" w:rsidRDefault="007A4746" w:rsidP="007D5C8A">
      <w:pPr>
        <w:ind w:left="851"/>
        <w:rPr>
          <w:sz w:val="24"/>
          <w:szCs w:val="24"/>
        </w:rPr>
      </w:pPr>
      <w:r w:rsidRPr="00CF5197">
        <w:rPr>
          <w:sz w:val="24"/>
          <w:szCs w:val="24"/>
        </w:rPr>
        <w:t xml:space="preserve">Fordelen ved </w:t>
      </w:r>
      <w:proofErr w:type="spellStart"/>
      <w:r w:rsidRPr="00CF5197">
        <w:rPr>
          <w:sz w:val="24"/>
          <w:szCs w:val="24"/>
        </w:rPr>
        <w:t>pentamidin</w:t>
      </w:r>
      <w:proofErr w:type="spellEnd"/>
      <w:r w:rsidRPr="00CF5197">
        <w:rPr>
          <w:sz w:val="24"/>
          <w:szCs w:val="24"/>
        </w:rPr>
        <w:t>-inhalationsbehandling hos patienter med høj risiko for pneumothorax bør afvejes med de kliniske konsekvenser af en sådan hændelse.</w:t>
      </w:r>
    </w:p>
    <w:p w14:paraId="39D23CC8" w14:textId="77777777" w:rsidR="009260DE" w:rsidRPr="00CF5197" w:rsidRDefault="009260DE" w:rsidP="009260DE">
      <w:pPr>
        <w:tabs>
          <w:tab w:val="left" w:pos="851"/>
        </w:tabs>
        <w:ind w:left="851"/>
        <w:rPr>
          <w:sz w:val="24"/>
          <w:szCs w:val="24"/>
        </w:rPr>
      </w:pPr>
    </w:p>
    <w:p w14:paraId="5172A995" w14:textId="77777777" w:rsidR="009260DE" w:rsidRPr="00CF5197" w:rsidRDefault="009260DE" w:rsidP="009260DE">
      <w:pPr>
        <w:tabs>
          <w:tab w:val="left" w:pos="851"/>
        </w:tabs>
        <w:ind w:left="851" w:hanging="851"/>
        <w:rPr>
          <w:b/>
          <w:sz w:val="24"/>
          <w:szCs w:val="24"/>
        </w:rPr>
      </w:pPr>
      <w:r w:rsidRPr="00CF5197">
        <w:rPr>
          <w:b/>
          <w:sz w:val="24"/>
          <w:szCs w:val="24"/>
        </w:rPr>
        <w:t>4.5</w:t>
      </w:r>
      <w:r w:rsidRPr="00CF5197">
        <w:rPr>
          <w:b/>
          <w:sz w:val="24"/>
          <w:szCs w:val="24"/>
        </w:rPr>
        <w:tab/>
        <w:t>Interaktion med andre lægemidler og andre former for interaktion</w:t>
      </w:r>
    </w:p>
    <w:p w14:paraId="15C5EE4D" w14:textId="77777777" w:rsidR="007A4746" w:rsidRPr="00CF5197" w:rsidRDefault="007A4746" w:rsidP="007D5C8A">
      <w:pPr>
        <w:ind w:left="851"/>
        <w:rPr>
          <w:sz w:val="24"/>
          <w:szCs w:val="24"/>
        </w:rPr>
      </w:pPr>
      <w:r w:rsidRPr="00CF5197">
        <w:rPr>
          <w:sz w:val="24"/>
          <w:szCs w:val="24"/>
        </w:rPr>
        <w:t xml:space="preserve">Samtidig brug af </w:t>
      </w:r>
      <w:proofErr w:type="spellStart"/>
      <w:r w:rsidRPr="00CF5197">
        <w:rPr>
          <w:sz w:val="24"/>
          <w:szCs w:val="24"/>
        </w:rPr>
        <w:t>didanosin</w:t>
      </w:r>
      <w:proofErr w:type="spellEnd"/>
      <w:r w:rsidRPr="00CF5197">
        <w:rPr>
          <w:sz w:val="24"/>
          <w:szCs w:val="24"/>
        </w:rPr>
        <w:t xml:space="preserve"> er forbundet med forhøjet risiko for </w:t>
      </w:r>
      <w:proofErr w:type="spellStart"/>
      <w:r w:rsidRPr="00CF5197">
        <w:rPr>
          <w:sz w:val="24"/>
          <w:szCs w:val="24"/>
        </w:rPr>
        <w:t>pankreatitis</w:t>
      </w:r>
      <w:proofErr w:type="spellEnd"/>
      <w:r w:rsidRPr="00CF5197">
        <w:rPr>
          <w:sz w:val="24"/>
          <w:szCs w:val="24"/>
        </w:rPr>
        <w:t>.</w:t>
      </w:r>
    </w:p>
    <w:p w14:paraId="6553C4E8" w14:textId="77777777" w:rsidR="007A4746" w:rsidRPr="00CF5197" w:rsidRDefault="007A4746" w:rsidP="007D5C8A">
      <w:pPr>
        <w:ind w:left="851"/>
        <w:rPr>
          <w:sz w:val="24"/>
          <w:szCs w:val="24"/>
        </w:rPr>
      </w:pPr>
    </w:p>
    <w:p w14:paraId="59B5D651" w14:textId="77777777" w:rsidR="007A4746" w:rsidRPr="00CF5197" w:rsidRDefault="007A4746" w:rsidP="007D5C8A">
      <w:pPr>
        <w:ind w:left="851"/>
        <w:rPr>
          <w:sz w:val="24"/>
          <w:szCs w:val="24"/>
        </w:rPr>
      </w:pPr>
      <w:r w:rsidRPr="00CF5197">
        <w:rPr>
          <w:sz w:val="24"/>
          <w:szCs w:val="24"/>
        </w:rPr>
        <w:t xml:space="preserve">Samtidig administration af </w:t>
      </w:r>
      <w:proofErr w:type="spellStart"/>
      <w:r w:rsidRPr="00CF5197">
        <w:rPr>
          <w:sz w:val="24"/>
          <w:szCs w:val="24"/>
        </w:rPr>
        <w:t>foscarnet</w:t>
      </w:r>
      <w:proofErr w:type="spellEnd"/>
      <w:r w:rsidRPr="00CF5197">
        <w:rPr>
          <w:sz w:val="24"/>
          <w:szCs w:val="24"/>
        </w:rPr>
        <w:t xml:space="preserve"> kan forårsage svært nedsat nyrefunktion og </w:t>
      </w:r>
      <w:proofErr w:type="spellStart"/>
      <w:r w:rsidRPr="00CF5197">
        <w:rPr>
          <w:sz w:val="24"/>
          <w:szCs w:val="24"/>
        </w:rPr>
        <w:t>hypokalcæmi</w:t>
      </w:r>
      <w:proofErr w:type="spellEnd"/>
      <w:r w:rsidRPr="00CF5197">
        <w:rPr>
          <w:sz w:val="24"/>
          <w:szCs w:val="24"/>
        </w:rPr>
        <w:t>.</w:t>
      </w:r>
    </w:p>
    <w:p w14:paraId="2FEBB9B1" w14:textId="77777777" w:rsidR="007A4746" w:rsidRPr="00CF5197" w:rsidRDefault="007A4746" w:rsidP="007D5C8A">
      <w:pPr>
        <w:ind w:left="851"/>
        <w:rPr>
          <w:sz w:val="24"/>
          <w:szCs w:val="24"/>
        </w:rPr>
      </w:pPr>
    </w:p>
    <w:p w14:paraId="013F9418" w14:textId="77777777" w:rsidR="007A4746" w:rsidRPr="00CF5197" w:rsidRDefault="007A4746" w:rsidP="007D5C8A">
      <w:pPr>
        <w:ind w:left="851"/>
        <w:rPr>
          <w:sz w:val="24"/>
          <w:szCs w:val="24"/>
        </w:rPr>
      </w:pPr>
      <w:r w:rsidRPr="00CF5197">
        <w:rPr>
          <w:sz w:val="24"/>
          <w:szCs w:val="24"/>
        </w:rPr>
        <w:t xml:space="preserve">Systemisk behandling med </w:t>
      </w:r>
      <w:proofErr w:type="spellStart"/>
      <w:r w:rsidRPr="00CF5197">
        <w:rPr>
          <w:sz w:val="24"/>
          <w:szCs w:val="24"/>
        </w:rPr>
        <w:t>pentamidin</w:t>
      </w:r>
      <w:proofErr w:type="spellEnd"/>
      <w:r w:rsidRPr="00CF5197">
        <w:rPr>
          <w:sz w:val="24"/>
          <w:szCs w:val="24"/>
        </w:rPr>
        <w:t xml:space="preserve"> og </w:t>
      </w:r>
      <w:proofErr w:type="spellStart"/>
      <w:r w:rsidRPr="00CF5197">
        <w:rPr>
          <w:sz w:val="24"/>
          <w:szCs w:val="24"/>
        </w:rPr>
        <w:t>amphotericin</w:t>
      </w:r>
      <w:proofErr w:type="spellEnd"/>
      <w:r w:rsidRPr="00CF5197">
        <w:rPr>
          <w:sz w:val="24"/>
          <w:szCs w:val="24"/>
        </w:rPr>
        <w:t xml:space="preserve"> B er forbundet med svært nedsat nyrefunktion. Der er ikke beskrevet </w:t>
      </w:r>
      <w:proofErr w:type="spellStart"/>
      <w:r w:rsidRPr="00CF5197">
        <w:rPr>
          <w:sz w:val="24"/>
          <w:szCs w:val="24"/>
        </w:rPr>
        <w:t>nefrotoksisk</w:t>
      </w:r>
      <w:proofErr w:type="spellEnd"/>
      <w:r w:rsidRPr="00CF5197">
        <w:rPr>
          <w:sz w:val="24"/>
          <w:szCs w:val="24"/>
        </w:rPr>
        <w:t xml:space="preserve"> interaktion med inhalationsbehandling med </w:t>
      </w:r>
      <w:proofErr w:type="spellStart"/>
      <w:r w:rsidRPr="00CF5197">
        <w:rPr>
          <w:sz w:val="24"/>
          <w:szCs w:val="24"/>
        </w:rPr>
        <w:t>pentamidin</w:t>
      </w:r>
      <w:proofErr w:type="spellEnd"/>
      <w:r w:rsidRPr="00CF5197">
        <w:rPr>
          <w:sz w:val="24"/>
          <w:szCs w:val="24"/>
        </w:rPr>
        <w:t>.</w:t>
      </w:r>
    </w:p>
    <w:p w14:paraId="7F21198F" w14:textId="77777777" w:rsidR="007A4746" w:rsidRPr="00CF5197" w:rsidRDefault="007A4746" w:rsidP="007D5C8A">
      <w:pPr>
        <w:ind w:left="851"/>
        <w:rPr>
          <w:sz w:val="24"/>
          <w:szCs w:val="24"/>
        </w:rPr>
      </w:pPr>
    </w:p>
    <w:p w14:paraId="33DE6FAC" w14:textId="77777777" w:rsidR="007A4746" w:rsidRPr="00CF5197" w:rsidRDefault="007A4746" w:rsidP="007D5C8A">
      <w:pPr>
        <w:ind w:left="851"/>
        <w:rPr>
          <w:sz w:val="24"/>
          <w:szCs w:val="24"/>
        </w:rPr>
      </w:pPr>
      <w:r w:rsidRPr="00CF5197">
        <w:rPr>
          <w:sz w:val="24"/>
          <w:szCs w:val="24"/>
        </w:rPr>
        <w:t xml:space="preserve">Der bør udvises forsigtighed ved samtidig administration af præparater, der forlænger QT-intervallet, f.eks. </w:t>
      </w:r>
      <w:proofErr w:type="spellStart"/>
      <w:r w:rsidRPr="00CF5197">
        <w:rPr>
          <w:sz w:val="24"/>
          <w:szCs w:val="24"/>
        </w:rPr>
        <w:t>phenothiazin</w:t>
      </w:r>
      <w:proofErr w:type="spellEnd"/>
      <w:r w:rsidRPr="00CF5197">
        <w:rPr>
          <w:sz w:val="24"/>
          <w:szCs w:val="24"/>
        </w:rPr>
        <w:t xml:space="preserve">, tricykliske </w:t>
      </w:r>
      <w:proofErr w:type="spellStart"/>
      <w:r w:rsidRPr="00CF5197">
        <w:rPr>
          <w:sz w:val="24"/>
          <w:szCs w:val="24"/>
        </w:rPr>
        <w:t>antidepressiva</w:t>
      </w:r>
      <w:proofErr w:type="spellEnd"/>
      <w:r w:rsidRPr="00CF5197">
        <w:rPr>
          <w:sz w:val="24"/>
          <w:szCs w:val="24"/>
        </w:rPr>
        <w:t xml:space="preserve">, </w:t>
      </w:r>
      <w:proofErr w:type="spellStart"/>
      <w:r w:rsidRPr="00CF5197">
        <w:rPr>
          <w:sz w:val="24"/>
          <w:szCs w:val="24"/>
        </w:rPr>
        <w:t>terfenadin</w:t>
      </w:r>
      <w:proofErr w:type="spellEnd"/>
      <w:r w:rsidRPr="00CF5197">
        <w:rPr>
          <w:sz w:val="24"/>
          <w:szCs w:val="24"/>
        </w:rPr>
        <w:t xml:space="preserve">, </w:t>
      </w:r>
      <w:proofErr w:type="spellStart"/>
      <w:r w:rsidRPr="00CF5197">
        <w:rPr>
          <w:sz w:val="24"/>
          <w:szCs w:val="24"/>
        </w:rPr>
        <w:t>astemizol</w:t>
      </w:r>
      <w:proofErr w:type="spellEnd"/>
      <w:r w:rsidRPr="00CF5197">
        <w:rPr>
          <w:sz w:val="24"/>
          <w:szCs w:val="24"/>
        </w:rPr>
        <w:t xml:space="preserve">, intravenøs </w:t>
      </w:r>
      <w:proofErr w:type="spellStart"/>
      <w:r w:rsidRPr="00CF5197">
        <w:rPr>
          <w:sz w:val="24"/>
          <w:szCs w:val="24"/>
        </w:rPr>
        <w:t>erythromycin</w:t>
      </w:r>
      <w:proofErr w:type="spellEnd"/>
      <w:r w:rsidRPr="00CF5197">
        <w:rPr>
          <w:sz w:val="24"/>
          <w:szCs w:val="24"/>
        </w:rPr>
        <w:t xml:space="preserve">, </w:t>
      </w:r>
      <w:proofErr w:type="spellStart"/>
      <w:r w:rsidRPr="00CF5197">
        <w:rPr>
          <w:sz w:val="24"/>
          <w:szCs w:val="24"/>
        </w:rPr>
        <w:t>halofantrin</w:t>
      </w:r>
      <w:proofErr w:type="spellEnd"/>
      <w:r w:rsidRPr="00CF5197">
        <w:rPr>
          <w:sz w:val="24"/>
          <w:szCs w:val="24"/>
        </w:rPr>
        <w:t xml:space="preserve"> og </w:t>
      </w:r>
      <w:proofErr w:type="spellStart"/>
      <w:r w:rsidRPr="00CF5197">
        <w:rPr>
          <w:sz w:val="24"/>
          <w:szCs w:val="24"/>
        </w:rPr>
        <w:t>quinoloner</w:t>
      </w:r>
      <w:proofErr w:type="spellEnd"/>
      <w:r w:rsidRPr="00CF5197">
        <w:rPr>
          <w:sz w:val="24"/>
          <w:szCs w:val="24"/>
        </w:rPr>
        <w:t xml:space="preserve"> (se også pkt. 4.4).</w:t>
      </w:r>
    </w:p>
    <w:p w14:paraId="644CF968" w14:textId="77777777" w:rsidR="009260DE" w:rsidRPr="00CF5197" w:rsidRDefault="009260DE" w:rsidP="009260DE">
      <w:pPr>
        <w:tabs>
          <w:tab w:val="left" w:pos="851"/>
        </w:tabs>
        <w:ind w:left="851"/>
        <w:rPr>
          <w:sz w:val="24"/>
          <w:szCs w:val="24"/>
        </w:rPr>
      </w:pPr>
    </w:p>
    <w:p w14:paraId="7808EA16" w14:textId="77777777" w:rsidR="009260DE" w:rsidRPr="00CF5197" w:rsidRDefault="009260DE" w:rsidP="009260DE">
      <w:pPr>
        <w:tabs>
          <w:tab w:val="left" w:pos="851"/>
        </w:tabs>
        <w:ind w:left="851" w:hanging="851"/>
        <w:rPr>
          <w:b/>
          <w:sz w:val="24"/>
          <w:szCs w:val="24"/>
        </w:rPr>
      </w:pPr>
      <w:r w:rsidRPr="00CF5197">
        <w:rPr>
          <w:b/>
          <w:sz w:val="24"/>
          <w:szCs w:val="24"/>
        </w:rPr>
        <w:t>4.6</w:t>
      </w:r>
      <w:r w:rsidRPr="00CF5197">
        <w:rPr>
          <w:b/>
          <w:sz w:val="24"/>
          <w:szCs w:val="24"/>
        </w:rPr>
        <w:tab/>
      </w:r>
      <w:r w:rsidR="0071241E" w:rsidRPr="00CF5197">
        <w:rPr>
          <w:b/>
          <w:sz w:val="24"/>
          <w:szCs w:val="24"/>
        </w:rPr>
        <w:t>Fertilitet, g</w:t>
      </w:r>
      <w:r w:rsidRPr="00CF5197">
        <w:rPr>
          <w:b/>
          <w:sz w:val="24"/>
          <w:szCs w:val="24"/>
        </w:rPr>
        <w:t>raviditet og amning</w:t>
      </w:r>
    </w:p>
    <w:p w14:paraId="06A871B1" w14:textId="77777777" w:rsidR="00744935" w:rsidRDefault="00744935" w:rsidP="007D5C8A">
      <w:pPr>
        <w:ind w:left="851"/>
        <w:rPr>
          <w:sz w:val="24"/>
          <w:szCs w:val="24"/>
        </w:rPr>
      </w:pPr>
    </w:p>
    <w:p w14:paraId="55702CDE" w14:textId="2B01FF36" w:rsidR="007A4746" w:rsidRPr="00744935" w:rsidRDefault="007A4746" w:rsidP="007D5C8A">
      <w:pPr>
        <w:ind w:left="851"/>
        <w:rPr>
          <w:noProof/>
          <w:sz w:val="24"/>
          <w:szCs w:val="24"/>
          <w:u w:val="single"/>
          <w:lang w:eastAsia="en-GB"/>
        </w:rPr>
      </w:pPr>
      <w:r w:rsidRPr="00744935">
        <w:rPr>
          <w:sz w:val="24"/>
          <w:szCs w:val="24"/>
          <w:u w:val="single"/>
        </w:rPr>
        <w:t>Graviditet</w:t>
      </w:r>
    </w:p>
    <w:p w14:paraId="4B761C6F" w14:textId="77777777" w:rsidR="007A4746" w:rsidRPr="00CF5197" w:rsidRDefault="007A4746" w:rsidP="007D5C8A">
      <w:pPr>
        <w:ind w:left="851"/>
        <w:rPr>
          <w:bCs/>
          <w:sz w:val="24"/>
          <w:szCs w:val="24"/>
        </w:rPr>
      </w:pPr>
      <w:r w:rsidRPr="00CF5197">
        <w:rPr>
          <w:sz w:val="24"/>
          <w:szCs w:val="24"/>
        </w:rPr>
        <w:t xml:space="preserve">Der er ingen eller meget begrænsede data fra anvendelse af </w:t>
      </w:r>
      <w:proofErr w:type="spellStart"/>
      <w:r w:rsidRPr="00CF5197">
        <w:rPr>
          <w:sz w:val="24"/>
          <w:szCs w:val="24"/>
        </w:rPr>
        <w:t>pentamidin</w:t>
      </w:r>
      <w:proofErr w:type="spellEnd"/>
      <w:r w:rsidRPr="00CF5197">
        <w:rPr>
          <w:sz w:val="24"/>
          <w:szCs w:val="24"/>
        </w:rPr>
        <w:t xml:space="preserve"> til gravide kvinder. Dyreforsøg har påvist reproduktionstoksicitet (se pkt. 5.3). Der er indberetning om en ufrivillig abort efter inhalation af </w:t>
      </w:r>
      <w:proofErr w:type="spellStart"/>
      <w:r w:rsidRPr="00CF5197">
        <w:rPr>
          <w:sz w:val="24"/>
          <w:szCs w:val="24"/>
        </w:rPr>
        <w:t>pentamidin</w:t>
      </w:r>
      <w:proofErr w:type="spellEnd"/>
      <w:r w:rsidRPr="00CF5197">
        <w:rPr>
          <w:sz w:val="24"/>
          <w:szCs w:val="24"/>
        </w:rPr>
        <w:t xml:space="preserve"> til profylakse i første trimester af graviditeten. </w:t>
      </w:r>
      <w:proofErr w:type="spellStart"/>
      <w:r w:rsidRPr="00CF5197">
        <w:rPr>
          <w:sz w:val="24"/>
          <w:szCs w:val="24"/>
        </w:rPr>
        <w:t>Pentamidindiisetionat</w:t>
      </w:r>
      <w:proofErr w:type="spellEnd"/>
      <w:r w:rsidRPr="00CF5197">
        <w:rPr>
          <w:sz w:val="24"/>
          <w:szCs w:val="24"/>
        </w:rPr>
        <w:t xml:space="preserve"> bør ikke anvendes under graviditet, medmindre kvindens kliniske tilstand kræver behandling med </w:t>
      </w:r>
      <w:proofErr w:type="spellStart"/>
      <w:r w:rsidRPr="00CF5197">
        <w:rPr>
          <w:sz w:val="24"/>
          <w:szCs w:val="24"/>
        </w:rPr>
        <w:t>pentamidin</w:t>
      </w:r>
      <w:proofErr w:type="spellEnd"/>
      <w:r w:rsidRPr="00CF5197">
        <w:rPr>
          <w:sz w:val="24"/>
          <w:szCs w:val="24"/>
        </w:rPr>
        <w:t>.</w:t>
      </w:r>
    </w:p>
    <w:p w14:paraId="0D2DBBB9" w14:textId="77777777" w:rsidR="007A4746" w:rsidRPr="00CF5197" w:rsidRDefault="007A4746" w:rsidP="007D5C8A">
      <w:pPr>
        <w:ind w:left="851"/>
        <w:rPr>
          <w:bCs/>
          <w:sz w:val="24"/>
          <w:szCs w:val="24"/>
        </w:rPr>
      </w:pPr>
    </w:p>
    <w:p w14:paraId="2E87632D" w14:textId="77777777" w:rsidR="007A4746" w:rsidRPr="00744935" w:rsidRDefault="007A4746" w:rsidP="007D5C8A">
      <w:pPr>
        <w:ind w:left="851"/>
        <w:rPr>
          <w:sz w:val="24"/>
          <w:szCs w:val="24"/>
          <w:u w:val="single"/>
        </w:rPr>
      </w:pPr>
      <w:r w:rsidRPr="00744935">
        <w:rPr>
          <w:sz w:val="24"/>
          <w:szCs w:val="24"/>
          <w:u w:val="single"/>
        </w:rPr>
        <w:t xml:space="preserve">Amning </w:t>
      </w:r>
    </w:p>
    <w:p w14:paraId="1AF48D51" w14:textId="77777777" w:rsidR="007A4746" w:rsidRPr="00CF5197" w:rsidRDefault="007A4746" w:rsidP="007D5C8A">
      <w:pPr>
        <w:ind w:left="851"/>
        <w:rPr>
          <w:bCs/>
          <w:sz w:val="24"/>
          <w:szCs w:val="24"/>
        </w:rPr>
      </w:pPr>
      <w:r w:rsidRPr="00CF5197">
        <w:rPr>
          <w:sz w:val="24"/>
          <w:szCs w:val="24"/>
        </w:rPr>
        <w:t xml:space="preserve">Det er ukendt, om </w:t>
      </w:r>
      <w:proofErr w:type="spellStart"/>
      <w:r w:rsidRPr="00CF5197">
        <w:rPr>
          <w:sz w:val="24"/>
          <w:szCs w:val="24"/>
        </w:rPr>
        <w:t>pentamidin</w:t>
      </w:r>
      <w:proofErr w:type="spellEnd"/>
      <w:r w:rsidRPr="00CF5197">
        <w:rPr>
          <w:sz w:val="24"/>
          <w:szCs w:val="24"/>
        </w:rPr>
        <w:t xml:space="preserve">/metabolitter udskilles i modermælk. Amning skal ophøre under behandling med </w:t>
      </w:r>
      <w:proofErr w:type="spellStart"/>
      <w:r w:rsidRPr="00CF5197">
        <w:rPr>
          <w:sz w:val="24"/>
          <w:szCs w:val="24"/>
        </w:rPr>
        <w:t>pentamidin</w:t>
      </w:r>
      <w:proofErr w:type="spellEnd"/>
      <w:r w:rsidRPr="00CF5197">
        <w:rPr>
          <w:sz w:val="24"/>
          <w:szCs w:val="24"/>
        </w:rPr>
        <w:t>.</w:t>
      </w:r>
    </w:p>
    <w:p w14:paraId="32DE1958" w14:textId="77777777" w:rsidR="007A4746" w:rsidRPr="00CF5197" w:rsidRDefault="007A4746" w:rsidP="007D5C8A">
      <w:pPr>
        <w:ind w:left="851"/>
        <w:rPr>
          <w:bCs/>
          <w:sz w:val="24"/>
          <w:szCs w:val="24"/>
        </w:rPr>
      </w:pPr>
    </w:p>
    <w:p w14:paraId="0D7F124C" w14:textId="77777777" w:rsidR="007A4746" w:rsidRPr="00744935" w:rsidRDefault="007A4746" w:rsidP="007D5C8A">
      <w:pPr>
        <w:ind w:left="851"/>
        <w:rPr>
          <w:sz w:val="24"/>
          <w:szCs w:val="24"/>
          <w:u w:val="single"/>
        </w:rPr>
      </w:pPr>
      <w:r w:rsidRPr="00744935">
        <w:rPr>
          <w:sz w:val="24"/>
          <w:szCs w:val="24"/>
          <w:u w:val="single"/>
        </w:rPr>
        <w:t>Fertilitet</w:t>
      </w:r>
    </w:p>
    <w:p w14:paraId="5EEDB278" w14:textId="77777777" w:rsidR="007A4746" w:rsidRPr="00CF5197" w:rsidRDefault="007A4746" w:rsidP="007D5C8A">
      <w:pPr>
        <w:ind w:left="851"/>
        <w:rPr>
          <w:sz w:val="24"/>
          <w:szCs w:val="24"/>
        </w:rPr>
      </w:pPr>
      <w:r w:rsidRPr="00CF5197">
        <w:rPr>
          <w:sz w:val="24"/>
          <w:szCs w:val="24"/>
        </w:rPr>
        <w:t xml:space="preserve">Der er ingen kliniske- eller dyredata vedrørende </w:t>
      </w:r>
      <w:proofErr w:type="spellStart"/>
      <w:r w:rsidRPr="00CF5197">
        <w:rPr>
          <w:sz w:val="24"/>
          <w:szCs w:val="24"/>
        </w:rPr>
        <w:t>pentamidins</w:t>
      </w:r>
      <w:proofErr w:type="spellEnd"/>
      <w:r w:rsidRPr="00CF5197">
        <w:rPr>
          <w:sz w:val="24"/>
          <w:szCs w:val="24"/>
        </w:rPr>
        <w:t xml:space="preserve"> indvirkning på fertiliteten.</w:t>
      </w:r>
    </w:p>
    <w:p w14:paraId="454EA2CF" w14:textId="77777777" w:rsidR="009260DE" w:rsidRPr="00CF5197" w:rsidRDefault="009260DE" w:rsidP="009260DE">
      <w:pPr>
        <w:tabs>
          <w:tab w:val="left" w:pos="851"/>
        </w:tabs>
        <w:ind w:left="851"/>
        <w:rPr>
          <w:sz w:val="24"/>
          <w:szCs w:val="24"/>
        </w:rPr>
      </w:pPr>
    </w:p>
    <w:p w14:paraId="74C8A960" w14:textId="77777777" w:rsidR="009260DE" w:rsidRPr="00CF5197" w:rsidRDefault="009260DE" w:rsidP="009260DE">
      <w:pPr>
        <w:tabs>
          <w:tab w:val="left" w:pos="851"/>
        </w:tabs>
        <w:ind w:left="851" w:hanging="851"/>
        <w:rPr>
          <w:b/>
          <w:sz w:val="24"/>
          <w:szCs w:val="24"/>
        </w:rPr>
      </w:pPr>
      <w:r w:rsidRPr="00CF5197">
        <w:rPr>
          <w:b/>
          <w:sz w:val="24"/>
          <w:szCs w:val="24"/>
        </w:rPr>
        <w:lastRenderedPageBreak/>
        <w:t>4.7</w:t>
      </w:r>
      <w:r w:rsidRPr="00CF5197">
        <w:rPr>
          <w:b/>
          <w:sz w:val="24"/>
          <w:szCs w:val="24"/>
        </w:rPr>
        <w:tab/>
        <w:t xml:space="preserve">Virkning på evnen til at føre motorkøretøj </w:t>
      </w:r>
      <w:r w:rsidR="0071241E" w:rsidRPr="00CF5197">
        <w:rPr>
          <w:b/>
          <w:sz w:val="24"/>
          <w:szCs w:val="24"/>
        </w:rPr>
        <w:t>og</w:t>
      </w:r>
      <w:r w:rsidRPr="00CF5197">
        <w:rPr>
          <w:b/>
          <w:sz w:val="24"/>
          <w:szCs w:val="24"/>
        </w:rPr>
        <w:t xml:space="preserve"> betjene maskiner</w:t>
      </w:r>
    </w:p>
    <w:p w14:paraId="063B6C53" w14:textId="77777777" w:rsidR="007A4746" w:rsidRPr="00CF5197" w:rsidRDefault="007A4746" w:rsidP="007D5C8A">
      <w:pPr>
        <w:ind w:left="851"/>
        <w:rPr>
          <w:sz w:val="24"/>
          <w:szCs w:val="24"/>
          <w:lang w:eastAsia="en-GB"/>
        </w:rPr>
      </w:pPr>
      <w:r w:rsidRPr="00CF5197">
        <w:rPr>
          <w:sz w:val="24"/>
          <w:szCs w:val="24"/>
        </w:rPr>
        <w:t>Ikke mærkning.</w:t>
      </w:r>
    </w:p>
    <w:p w14:paraId="30B74DDF" w14:textId="77777777" w:rsidR="007A4746" w:rsidRPr="00CF5197" w:rsidRDefault="007A4746" w:rsidP="007D5C8A">
      <w:pPr>
        <w:ind w:left="851"/>
        <w:rPr>
          <w:sz w:val="24"/>
          <w:szCs w:val="24"/>
        </w:rPr>
      </w:pPr>
    </w:p>
    <w:p w14:paraId="033333D0" w14:textId="77777777" w:rsidR="007A4746" w:rsidRPr="00CF5197" w:rsidRDefault="007A4746" w:rsidP="007D5C8A">
      <w:pPr>
        <w:ind w:left="851"/>
        <w:rPr>
          <w:sz w:val="24"/>
          <w:szCs w:val="24"/>
        </w:rPr>
      </w:pPr>
      <w:proofErr w:type="spellStart"/>
      <w:r w:rsidRPr="00CF5197">
        <w:rPr>
          <w:sz w:val="24"/>
          <w:szCs w:val="24"/>
        </w:rPr>
        <w:t>Pentamidin</w:t>
      </w:r>
      <w:proofErr w:type="spellEnd"/>
      <w:r w:rsidRPr="00CF5197">
        <w:rPr>
          <w:sz w:val="24"/>
          <w:szCs w:val="24"/>
        </w:rPr>
        <w:t xml:space="preserve"> påvirker ikke eller kun i ubetydelig grad evnen til at føre motorkøretøj og betjene maskiner.</w:t>
      </w:r>
    </w:p>
    <w:p w14:paraId="5E577732" w14:textId="77777777" w:rsidR="007A4746" w:rsidRPr="00CF5197" w:rsidRDefault="007A4746" w:rsidP="007D5C8A">
      <w:pPr>
        <w:ind w:left="851"/>
        <w:rPr>
          <w:sz w:val="24"/>
          <w:szCs w:val="24"/>
        </w:rPr>
      </w:pPr>
    </w:p>
    <w:p w14:paraId="5C84A1B1" w14:textId="77777777" w:rsidR="007A4746" w:rsidRPr="00CF5197" w:rsidRDefault="007A4746" w:rsidP="007D5C8A">
      <w:pPr>
        <w:ind w:left="851"/>
        <w:rPr>
          <w:sz w:val="24"/>
          <w:szCs w:val="24"/>
        </w:rPr>
      </w:pPr>
      <w:r w:rsidRPr="00CF5197">
        <w:rPr>
          <w:sz w:val="24"/>
          <w:szCs w:val="24"/>
        </w:rPr>
        <w:t>I betragtning af de potentielle bivirkninger (f.eks. svimmelhed, synkope og andet) tilrådes forsigtighed.</w:t>
      </w:r>
    </w:p>
    <w:p w14:paraId="7103C4A6" w14:textId="77777777" w:rsidR="009260DE" w:rsidRPr="00CF5197" w:rsidRDefault="009260DE" w:rsidP="009260DE">
      <w:pPr>
        <w:tabs>
          <w:tab w:val="left" w:pos="851"/>
        </w:tabs>
        <w:ind w:left="851"/>
        <w:rPr>
          <w:sz w:val="24"/>
          <w:szCs w:val="24"/>
        </w:rPr>
      </w:pPr>
    </w:p>
    <w:p w14:paraId="389C0E4A" w14:textId="77777777" w:rsidR="009260DE" w:rsidRPr="00CF5197" w:rsidRDefault="009260DE" w:rsidP="009260DE">
      <w:pPr>
        <w:tabs>
          <w:tab w:val="left" w:pos="851"/>
        </w:tabs>
        <w:ind w:left="851" w:hanging="851"/>
        <w:rPr>
          <w:b/>
          <w:sz w:val="24"/>
          <w:szCs w:val="24"/>
        </w:rPr>
      </w:pPr>
      <w:r w:rsidRPr="00CF5197">
        <w:rPr>
          <w:b/>
          <w:sz w:val="24"/>
          <w:szCs w:val="24"/>
        </w:rPr>
        <w:t>4.8</w:t>
      </w:r>
      <w:r w:rsidRPr="00CF5197">
        <w:rPr>
          <w:b/>
          <w:sz w:val="24"/>
          <w:szCs w:val="24"/>
        </w:rPr>
        <w:tab/>
        <w:t>Bivirkninger</w:t>
      </w:r>
    </w:p>
    <w:p w14:paraId="0DB2BCDC" w14:textId="77777777" w:rsidR="007A4746" w:rsidRPr="00CF5197" w:rsidRDefault="007A4746" w:rsidP="007D5C8A">
      <w:pPr>
        <w:ind w:left="851"/>
        <w:rPr>
          <w:rFonts w:eastAsia="Arial Unicode MS"/>
          <w:sz w:val="24"/>
          <w:szCs w:val="24"/>
        </w:rPr>
      </w:pPr>
      <w:r w:rsidRPr="00CF5197">
        <w:rPr>
          <w:sz w:val="24"/>
          <w:szCs w:val="24"/>
        </w:rPr>
        <w:t>Hyppigheden af bivirkninger er baseret på følgende kategorier:</w:t>
      </w:r>
    </w:p>
    <w:p w14:paraId="1D03F9CC" w14:textId="77777777" w:rsidR="007A4746" w:rsidRPr="00CF5197" w:rsidRDefault="007A4746" w:rsidP="007D5C8A">
      <w:pPr>
        <w:ind w:left="851"/>
        <w:rPr>
          <w:sz w:val="24"/>
          <w:szCs w:val="24"/>
        </w:rPr>
      </w:pPr>
      <w:r w:rsidRPr="00CF5197">
        <w:rPr>
          <w:sz w:val="24"/>
          <w:szCs w:val="24"/>
        </w:rPr>
        <w:t>meget almindelig (≥1/10), almindelig (≥1/100; &lt;1/10), ikke almindelig (≥1/1.000; &lt;1/100), sjælden (≥1/10.000; &lt;1/1.000), meget sjælden (&lt;1/10.000) og ikke kendt (kan ikke estimeres ud fra forhåndenværende data).</w:t>
      </w:r>
    </w:p>
    <w:p w14:paraId="3C92D197" w14:textId="77777777" w:rsidR="007A4746" w:rsidRPr="00CF5197" w:rsidRDefault="007A4746" w:rsidP="007D5C8A">
      <w:pPr>
        <w:ind w:left="851"/>
        <w:rPr>
          <w:sz w:val="24"/>
          <w:szCs w:val="24"/>
        </w:rPr>
      </w:pPr>
    </w:p>
    <w:p w14:paraId="677F5675" w14:textId="77777777" w:rsidR="007A4746" w:rsidRPr="00CF5197" w:rsidRDefault="007A4746" w:rsidP="007D5C8A">
      <w:pPr>
        <w:ind w:left="851"/>
        <w:rPr>
          <w:sz w:val="24"/>
          <w:szCs w:val="24"/>
          <w:u w:val="single"/>
        </w:rPr>
      </w:pPr>
      <w:r w:rsidRPr="00CF5197">
        <w:rPr>
          <w:sz w:val="24"/>
          <w:szCs w:val="24"/>
          <w:u w:val="single"/>
        </w:rPr>
        <w:t>Bivirkninger ved parenteral administration</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600"/>
        <w:gridCol w:w="1734"/>
        <w:gridCol w:w="4288"/>
      </w:tblGrid>
      <w:tr w:rsidR="007A4746" w:rsidRPr="00575AAF" w14:paraId="5F97500D" w14:textId="77777777" w:rsidTr="007D5C8A">
        <w:trPr>
          <w:trHeight w:val="225"/>
          <w:tblHeader/>
        </w:trPr>
        <w:tc>
          <w:tcPr>
            <w:tcW w:w="1871" w:type="pct"/>
            <w:tcBorders>
              <w:top w:val="outset" w:sz="6" w:space="0" w:color="auto"/>
              <w:left w:val="outset" w:sz="6" w:space="0" w:color="auto"/>
              <w:bottom w:val="outset" w:sz="6" w:space="0" w:color="auto"/>
              <w:right w:val="outset" w:sz="6" w:space="0" w:color="auto"/>
            </w:tcBorders>
            <w:shd w:val="clear" w:color="auto" w:fill="FFFFFF"/>
            <w:hideMark/>
          </w:tcPr>
          <w:p w14:paraId="6CF63EC7" w14:textId="77777777" w:rsidR="007A4746" w:rsidRPr="00575AAF" w:rsidRDefault="007A4746" w:rsidP="00034766">
            <w:pPr>
              <w:rPr>
                <w:b/>
                <w:sz w:val="22"/>
                <w:szCs w:val="22"/>
              </w:rPr>
            </w:pPr>
            <w:proofErr w:type="spellStart"/>
            <w:r w:rsidRPr="00575AAF">
              <w:rPr>
                <w:b/>
                <w:sz w:val="22"/>
                <w:szCs w:val="22"/>
              </w:rPr>
              <w:t>MedDRA</w:t>
            </w:r>
            <w:proofErr w:type="spellEnd"/>
            <w:r w:rsidRPr="00575AAF">
              <w:rPr>
                <w:b/>
                <w:sz w:val="22"/>
                <w:szCs w:val="22"/>
              </w:rPr>
              <w:t>-systemorganklasse</w:t>
            </w: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3DD34371" w14:textId="77777777" w:rsidR="007A4746" w:rsidRPr="00575AAF" w:rsidRDefault="007A4746" w:rsidP="00034766">
            <w:pPr>
              <w:rPr>
                <w:b/>
                <w:sz w:val="22"/>
                <w:szCs w:val="22"/>
              </w:rPr>
            </w:pPr>
            <w:r w:rsidRPr="00575AAF">
              <w:rPr>
                <w:b/>
                <w:sz w:val="22"/>
                <w:szCs w:val="22"/>
              </w:rPr>
              <w:t>Hyppighed</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6CCF164C" w14:textId="77777777" w:rsidR="007A4746" w:rsidRPr="00575AAF" w:rsidRDefault="007A4746" w:rsidP="00034766">
            <w:pPr>
              <w:rPr>
                <w:b/>
                <w:sz w:val="22"/>
                <w:szCs w:val="22"/>
              </w:rPr>
            </w:pPr>
            <w:r w:rsidRPr="00575AAF">
              <w:rPr>
                <w:b/>
                <w:sz w:val="22"/>
                <w:szCs w:val="22"/>
              </w:rPr>
              <w:t>Bivirkning</w:t>
            </w:r>
          </w:p>
        </w:tc>
      </w:tr>
      <w:tr w:rsidR="007A4746" w:rsidRPr="00575AAF" w14:paraId="18F71777" w14:textId="77777777" w:rsidTr="007D5C8A">
        <w:trPr>
          <w:trHeight w:val="225"/>
          <w:tblHeader/>
        </w:trPr>
        <w:tc>
          <w:tcPr>
            <w:tcW w:w="1871" w:type="pct"/>
            <w:tcBorders>
              <w:top w:val="outset" w:sz="6" w:space="0" w:color="auto"/>
              <w:left w:val="outset" w:sz="6" w:space="0" w:color="auto"/>
              <w:bottom w:val="outset" w:sz="6" w:space="0" w:color="auto"/>
              <w:right w:val="outset" w:sz="6" w:space="0" w:color="auto"/>
            </w:tcBorders>
            <w:shd w:val="clear" w:color="auto" w:fill="FFFFFF"/>
            <w:hideMark/>
          </w:tcPr>
          <w:p w14:paraId="4AE6F909" w14:textId="77777777" w:rsidR="007A4746" w:rsidRPr="00575AAF" w:rsidRDefault="007A4746" w:rsidP="00034766">
            <w:pPr>
              <w:rPr>
                <w:b/>
                <w:bCs/>
                <w:sz w:val="22"/>
                <w:szCs w:val="22"/>
              </w:rPr>
            </w:pPr>
            <w:r w:rsidRPr="00575AAF">
              <w:rPr>
                <w:b/>
                <w:sz w:val="22"/>
                <w:szCs w:val="22"/>
              </w:rPr>
              <w:t>Blod og lymfesystem</w:t>
            </w: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19ECA0D8" w14:textId="77777777" w:rsidR="007A4746" w:rsidRPr="00575AAF" w:rsidRDefault="007A4746" w:rsidP="00034766">
            <w:pPr>
              <w:rPr>
                <w:bCs/>
                <w:i/>
                <w:sz w:val="22"/>
                <w:szCs w:val="22"/>
              </w:rPr>
            </w:pPr>
            <w:r w:rsidRPr="00575AAF">
              <w:rPr>
                <w:i/>
                <w:sz w:val="22"/>
                <w:szCs w:val="22"/>
              </w:rPr>
              <w:t>Almindelig</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25E33864" w14:textId="77777777" w:rsidR="007A4746" w:rsidRPr="00575AAF" w:rsidRDefault="007A4746" w:rsidP="00034766">
            <w:pPr>
              <w:rPr>
                <w:bCs/>
                <w:sz w:val="22"/>
                <w:szCs w:val="22"/>
              </w:rPr>
            </w:pPr>
            <w:r w:rsidRPr="00575AAF">
              <w:rPr>
                <w:sz w:val="22"/>
                <w:szCs w:val="22"/>
              </w:rPr>
              <w:t xml:space="preserve">Anæmi, </w:t>
            </w:r>
            <w:proofErr w:type="spellStart"/>
            <w:r w:rsidRPr="00575AAF">
              <w:rPr>
                <w:sz w:val="22"/>
                <w:szCs w:val="22"/>
              </w:rPr>
              <w:t>leukopeni</w:t>
            </w:r>
            <w:proofErr w:type="spellEnd"/>
            <w:r w:rsidRPr="00575AAF">
              <w:rPr>
                <w:sz w:val="22"/>
                <w:szCs w:val="22"/>
              </w:rPr>
              <w:t xml:space="preserve"> og </w:t>
            </w:r>
            <w:proofErr w:type="spellStart"/>
            <w:r w:rsidRPr="00575AAF">
              <w:rPr>
                <w:sz w:val="22"/>
                <w:szCs w:val="22"/>
              </w:rPr>
              <w:t>trombocytopeni</w:t>
            </w:r>
            <w:proofErr w:type="spellEnd"/>
            <w:r w:rsidRPr="00575AAF">
              <w:rPr>
                <w:sz w:val="22"/>
                <w:szCs w:val="22"/>
              </w:rPr>
              <w:t xml:space="preserve">* </w:t>
            </w:r>
          </w:p>
        </w:tc>
      </w:tr>
      <w:tr w:rsidR="007A4746" w:rsidRPr="00575AAF" w14:paraId="00356400" w14:textId="77777777" w:rsidTr="007D5C8A">
        <w:trPr>
          <w:trHeight w:val="225"/>
          <w:tblHeader/>
        </w:trPr>
        <w:tc>
          <w:tcPr>
            <w:tcW w:w="1871" w:type="pct"/>
            <w:tcBorders>
              <w:top w:val="outset" w:sz="6" w:space="0" w:color="auto"/>
              <w:left w:val="outset" w:sz="6" w:space="0" w:color="auto"/>
              <w:bottom w:val="outset" w:sz="6" w:space="0" w:color="auto"/>
              <w:right w:val="outset" w:sz="6" w:space="0" w:color="auto"/>
            </w:tcBorders>
            <w:shd w:val="clear" w:color="auto" w:fill="FFFFFF"/>
            <w:hideMark/>
          </w:tcPr>
          <w:p w14:paraId="5A4C007A" w14:textId="77777777" w:rsidR="007A4746" w:rsidRPr="00575AAF" w:rsidRDefault="007A4746" w:rsidP="00034766">
            <w:pPr>
              <w:rPr>
                <w:b/>
                <w:bCs/>
                <w:sz w:val="22"/>
                <w:szCs w:val="22"/>
              </w:rPr>
            </w:pPr>
            <w:r w:rsidRPr="00575AAF">
              <w:rPr>
                <w:b/>
                <w:sz w:val="22"/>
                <w:szCs w:val="22"/>
              </w:rPr>
              <w:t>Immunsystemet</w:t>
            </w: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30BB36C4" w14:textId="77777777" w:rsidR="007A4746" w:rsidRPr="00575AAF" w:rsidRDefault="007A4746" w:rsidP="00034766">
            <w:pPr>
              <w:rPr>
                <w:bCs/>
                <w:i/>
                <w:sz w:val="22"/>
                <w:szCs w:val="22"/>
              </w:rPr>
            </w:pPr>
            <w:r w:rsidRPr="00575AAF">
              <w:rPr>
                <w:i/>
                <w:sz w:val="22"/>
                <w:szCs w:val="22"/>
              </w:rPr>
              <w:t>Ikke kendt</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1930CD01" w14:textId="77777777" w:rsidR="007A4746" w:rsidRPr="00575AAF" w:rsidRDefault="007A4746" w:rsidP="00034766">
            <w:pPr>
              <w:rPr>
                <w:bCs/>
                <w:sz w:val="22"/>
                <w:szCs w:val="22"/>
              </w:rPr>
            </w:pPr>
            <w:r w:rsidRPr="00575AAF">
              <w:rPr>
                <w:sz w:val="22"/>
                <w:szCs w:val="22"/>
              </w:rPr>
              <w:t xml:space="preserve">Overfølsomhedsreaktioner inklusive </w:t>
            </w:r>
            <w:proofErr w:type="spellStart"/>
            <w:r w:rsidRPr="00575AAF">
              <w:rPr>
                <w:sz w:val="22"/>
                <w:szCs w:val="22"/>
              </w:rPr>
              <w:t>anafylaktisk</w:t>
            </w:r>
            <w:proofErr w:type="spellEnd"/>
            <w:r w:rsidRPr="00575AAF">
              <w:rPr>
                <w:sz w:val="22"/>
                <w:szCs w:val="22"/>
              </w:rPr>
              <w:t xml:space="preserve"> reaktion, </w:t>
            </w:r>
            <w:proofErr w:type="spellStart"/>
            <w:r w:rsidRPr="00575AAF">
              <w:rPr>
                <w:sz w:val="22"/>
                <w:szCs w:val="22"/>
              </w:rPr>
              <w:t>angioødem</w:t>
            </w:r>
            <w:proofErr w:type="spellEnd"/>
            <w:r w:rsidRPr="00575AAF">
              <w:rPr>
                <w:sz w:val="22"/>
                <w:szCs w:val="22"/>
              </w:rPr>
              <w:t xml:space="preserve"> og </w:t>
            </w:r>
            <w:proofErr w:type="spellStart"/>
            <w:r w:rsidRPr="00575AAF">
              <w:rPr>
                <w:sz w:val="22"/>
                <w:szCs w:val="22"/>
              </w:rPr>
              <w:t>anafylaktisk</w:t>
            </w:r>
            <w:proofErr w:type="spellEnd"/>
            <w:r w:rsidRPr="00575AAF">
              <w:rPr>
                <w:sz w:val="22"/>
                <w:szCs w:val="22"/>
              </w:rPr>
              <w:t xml:space="preserve"> </w:t>
            </w:r>
            <w:proofErr w:type="spellStart"/>
            <w:r w:rsidRPr="00575AAF">
              <w:rPr>
                <w:sz w:val="22"/>
                <w:szCs w:val="22"/>
              </w:rPr>
              <w:t>shock</w:t>
            </w:r>
            <w:proofErr w:type="spellEnd"/>
            <w:r w:rsidRPr="00575AAF">
              <w:rPr>
                <w:sz w:val="22"/>
                <w:szCs w:val="22"/>
              </w:rPr>
              <w:t>*</w:t>
            </w:r>
          </w:p>
        </w:tc>
      </w:tr>
      <w:tr w:rsidR="007A4746" w:rsidRPr="00575AAF" w14:paraId="1E99FFE6" w14:textId="77777777" w:rsidTr="007D5C8A">
        <w:trPr>
          <w:trHeight w:val="225"/>
          <w:tblHeader/>
        </w:trPr>
        <w:tc>
          <w:tcPr>
            <w:tcW w:w="187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B4A162A" w14:textId="77777777" w:rsidR="007A4746" w:rsidRPr="00575AAF" w:rsidRDefault="007A4746" w:rsidP="00034766">
            <w:pPr>
              <w:rPr>
                <w:b/>
                <w:bCs/>
                <w:sz w:val="22"/>
                <w:szCs w:val="22"/>
              </w:rPr>
            </w:pPr>
            <w:r w:rsidRPr="00575AAF">
              <w:rPr>
                <w:b/>
                <w:sz w:val="22"/>
                <w:szCs w:val="22"/>
              </w:rPr>
              <w:t xml:space="preserve">Metabolisme og ernæring </w:t>
            </w: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04410BA6" w14:textId="77777777" w:rsidR="007A4746" w:rsidRPr="00575AAF" w:rsidRDefault="007A4746" w:rsidP="00034766">
            <w:pPr>
              <w:rPr>
                <w:bCs/>
                <w:i/>
                <w:sz w:val="22"/>
                <w:szCs w:val="22"/>
              </w:rPr>
            </w:pPr>
            <w:r w:rsidRPr="00575AAF">
              <w:rPr>
                <w:i/>
                <w:sz w:val="22"/>
                <w:szCs w:val="22"/>
              </w:rPr>
              <w:t>Meget almindelig</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4E689E9E" w14:textId="77777777" w:rsidR="007A4746" w:rsidRPr="00575AAF" w:rsidRDefault="007A4746" w:rsidP="00034766">
            <w:pPr>
              <w:rPr>
                <w:bCs/>
                <w:sz w:val="22"/>
                <w:szCs w:val="22"/>
              </w:rPr>
            </w:pPr>
            <w:proofErr w:type="spellStart"/>
            <w:r w:rsidRPr="00575AAF">
              <w:rPr>
                <w:sz w:val="22"/>
                <w:szCs w:val="22"/>
              </w:rPr>
              <w:t>Azotemi</w:t>
            </w:r>
            <w:proofErr w:type="spellEnd"/>
          </w:p>
        </w:tc>
      </w:tr>
      <w:tr w:rsidR="007A4746" w:rsidRPr="00575AAF" w14:paraId="7B040373" w14:textId="77777777" w:rsidTr="007D5C8A">
        <w:trPr>
          <w:trHeight w:val="225"/>
          <w:tblHeader/>
        </w:trPr>
        <w:tc>
          <w:tcPr>
            <w:tcW w:w="187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FACEA2" w14:textId="77777777" w:rsidR="007A4746" w:rsidRPr="00575AAF" w:rsidRDefault="007A4746" w:rsidP="00034766">
            <w:pPr>
              <w:rPr>
                <w:b/>
                <w:bCs/>
                <w:sz w:val="22"/>
                <w:szCs w:val="22"/>
                <w:lang w:eastAsia="en-GB"/>
              </w:rPr>
            </w:pP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74D5D98A" w14:textId="77777777" w:rsidR="007A4746" w:rsidRPr="00575AAF" w:rsidRDefault="007A4746" w:rsidP="00034766">
            <w:pPr>
              <w:rPr>
                <w:bCs/>
                <w:i/>
                <w:sz w:val="22"/>
                <w:szCs w:val="22"/>
              </w:rPr>
            </w:pPr>
            <w:r w:rsidRPr="00575AAF">
              <w:rPr>
                <w:i/>
                <w:sz w:val="22"/>
                <w:szCs w:val="22"/>
              </w:rPr>
              <w:t>Almindelig</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4B078848" w14:textId="77777777" w:rsidR="007A4746" w:rsidRPr="00575AAF" w:rsidRDefault="007A4746" w:rsidP="00034766">
            <w:pPr>
              <w:rPr>
                <w:bCs/>
                <w:sz w:val="22"/>
                <w:szCs w:val="22"/>
              </w:rPr>
            </w:pPr>
            <w:r w:rsidRPr="00575AAF">
              <w:rPr>
                <w:sz w:val="22"/>
                <w:szCs w:val="22"/>
              </w:rPr>
              <w:t xml:space="preserve">Hypoglykæmi, </w:t>
            </w:r>
            <w:proofErr w:type="spellStart"/>
            <w:r w:rsidRPr="00575AAF">
              <w:rPr>
                <w:sz w:val="22"/>
                <w:szCs w:val="22"/>
              </w:rPr>
              <w:t>hyperglykæmi</w:t>
            </w:r>
            <w:proofErr w:type="spellEnd"/>
            <w:r w:rsidRPr="00575AAF">
              <w:rPr>
                <w:sz w:val="22"/>
                <w:szCs w:val="22"/>
              </w:rPr>
              <w:t xml:space="preserve">, diabetes mellitus (også vedvarende), </w:t>
            </w:r>
            <w:proofErr w:type="spellStart"/>
            <w:r w:rsidRPr="00575AAF">
              <w:rPr>
                <w:sz w:val="22"/>
                <w:szCs w:val="22"/>
              </w:rPr>
              <w:t>hypomagnesiæmi</w:t>
            </w:r>
            <w:proofErr w:type="spellEnd"/>
            <w:r w:rsidRPr="00575AAF">
              <w:rPr>
                <w:sz w:val="22"/>
                <w:szCs w:val="22"/>
              </w:rPr>
              <w:t xml:space="preserve">, </w:t>
            </w:r>
            <w:proofErr w:type="spellStart"/>
            <w:r w:rsidRPr="00575AAF">
              <w:rPr>
                <w:sz w:val="22"/>
                <w:szCs w:val="22"/>
              </w:rPr>
              <w:t>hyperkaliæmi</w:t>
            </w:r>
            <w:proofErr w:type="spellEnd"/>
            <w:r w:rsidRPr="00575AAF">
              <w:rPr>
                <w:sz w:val="22"/>
                <w:szCs w:val="22"/>
              </w:rPr>
              <w:t xml:space="preserve"> og </w:t>
            </w:r>
            <w:proofErr w:type="spellStart"/>
            <w:r w:rsidRPr="00575AAF">
              <w:rPr>
                <w:sz w:val="22"/>
                <w:szCs w:val="22"/>
              </w:rPr>
              <w:t>hypokalcæmi</w:t>
            </w:r>
            <w:proofErr w:type="spellEnd"/>
            <w:r w:rsidRPr="00575AAF">
              <w:rPr>
                <w:sz w:val="22"/>
                <w:szCs w:val="22"/>
              </w:rPr>
              <w:t>*</w:t>
            </w:r>
          </w:p>
        </w:tc>
      </w:tr>
      <w:tr w:rsidR="007A4746" w:rsidRPr="00575AAF" w14:paraId="2335CAD1" w14:textId="77777777" w:rsidTr="007D5C8A">
        <w:trPr>
          <w:trHeight w:val="225"/>
          <w:tblHeader/>
        </w:trPr>
        <w:tc>
          <w:tcPr>
            <w:tcW w:w="187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405560D" w14:textId="77777777" w:rsidR="007A4746" w:rsidRPr="00575AAF" w:rsidRDefault="007A4746" w:rsidP="00034766">
            <w:pPr>
              <w:rPr>
                <w:b/>
                <w:bCs/>
                <w:sz w:val="22"/>
                <w:szCs w:val="22"/>
              </w:rPr>
            </w:pPr>
            <w:r w:rsidRPr="00575AAF">
              <w:rPr>
                <w:b/>
                <w:sz w:val="22"/>
                <w:szCs w:val="22"/>
              </w:rPr>
              <w:t>Nervesystemet</w:t>
            </w: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3BC3138E" w14:textId="77777777" w:rsidR="007A4746" w:rsidRPr="00575AAF" w:rsidRDefault="007A4746" w:rsidP="00034766">
            <w:pPr>
              <w:rPr>
                <w:bCs/>
                <w:i/>
                <w:sz w:val="22"/>
                <w:szCs w:val="22"/>
              </w:rPr>
            </w:pPr>
            <w:r w:rsidRPr="00575AAF">
              <w:rPr>
                <w:i/>
                <w:sz w:val="22"/>
                <w:szCs w:val="22"/>
              </w:rPr>
              <w:t>Almindelig</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45D1F877" w14:textId="77777777" w:rsidR="007A4746" w:rsidRPr="00575AAF" w:rsidRDefault="007A4746" w:rsidP="00034766">
            <w:pPr>
              <w:rPr>
                <w:bCs/>
                <w:sz w:val="22"/>
                <w:szCs w:val="22"/>
              </w:rPr>
            </w:pPr>
            <w:r w:rsidRPr="00575AAF">
              <w:rPr>
                <w:sz w:val="22"/>
                <w:szCs w:val="22"/>
              </w:rPr>
              <w:t>Synkope og svimmelhed</w:t>
            </w:r>
          </w:p>
        </w:tc>
      </w:tr>
      <w:tr w:rsidR="007A4746" w:rsidRPr="00575AAF" w14:paraId="68FE22D7" w14:textId="77777777" w:rsidTr="007D5C8A">
        <w:trPr>
          <w:trHeight w:val="225"/>
          <w:tblHeader/>
        </w:trPr>
        <w:tc>
          <w:tcPr>
            <w:tcW w:w="187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B288BE" w14:textId="77777777" w:rsidR="007A4746" w:rsidRPr="00575AAF" w:rsidRDefault="007A4746" w:rsidP="00034766">
            <w:pPr>
              <w:rPr>
                <w:b/>
                <w:bCs/>
                <w:sz w:val="22"/>
                <w:szCs w:val="22"/>
                <w:lang w:eastAsia="en-GB"/>
              </w:rPr>
            </w:pP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1934D28B" w14:textId="77777777" w:rsidR="007A4746" w:rsidRPr="00575AAF" w:rsidRDefault="007A4746" w:rsidP="00034766">
            <w:pPr>
              <w:rPr>
                <w:bCs/>
                <w:i/>
                <w:sz w:val="22"/>
                <w:szCs w:val="22"/>
              </w:rPr>
            </w:pPr>
            <w:r w:rsidRPr="00575AAF">
              <w:rPr>
                <w:i/>
                <w:sz w:val="22"/>
                <w:szCs w:val="22"/>
              </w:rPr>
              <w:t>Ikke kendt</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1A7DD918" w14:textId="77777777" w:rsidR="007A4746" w:rsidRPr="00575AAF" w:rsidRDefault="007A4746" w:rsidP="00034766">
            <w:pPr>
              <w:rPr>
                <w:bCs/>
                <w:sz w:val="22"/>
                <w:szCs w:val="22"/>
              </w:rPr>
            </w:pPr>
            <w:proofErr w:type="spellStart"/>
            <w:r w:rsidRPr="00575AAF">
              <w:rPr>
                <w:sz w:val="22"/>
                <w:szCs w:val="22"/>
              </w:rPr>
              <w:t>Paræstesi</w:t>
            </w:r>
            <w:proofErr w:type="spellEnd"/>
            <w:r w:rsidRPr="00575AAF">
              <w:rPr>
                <w:sz w:val="22"/>
                <w:szCs w:val="22"/>
              </w:rPr>
              <w:t xml:space="preserve"> i ekstremiteterne, </w:t>
            </w:r>
            <w:proofErr w:type="spellStart"/>
            <w:r w:rsidRPr="00575AAF">
              <w:rPr>
                <w:sz w:val="22"/>
                <w:szCs w:val="22"/>
              </w:rPr>
              <w:t>hypæstesi</w:t>
            </w:r>
            <w:proofErr w:type="spellEnd"/>
            <w:r w:rsidRPr="00575AAF">
              <w:rPr>
                <w:sz w:val="22"/>
                <w:szCs w:val="22"/>
              </w:rPr>
              <w:t xml:space="preserve"> (perioral </w:t>
            </w:r>
            <w:proofErr w:type="spellStart"/>
            <w:r w:rsidRPr="00575AAF">
              <w:rPr>
                <w:sz w:val="22"/>
                <w:szCs w:val="22"/>
              </w:rPr>
              <w:t>hypæstesi</w:t>
            </w:r>
            <w:proofErr w:type="spellEnd"/>
            <w:r w:rsidRPr="00575AAF">
              <w:rPr>
                <w:sz w:val="22"/>
                <w:szCs w:val="22"/>
              </w:rPr>
              <w:t xml:space="preserve">, </w:t>
            </w:r>
            <w:proofErr w:type="spellStart"/>
            <w:r w:rsidRPr="00575AAF">
              <w:rPr>
                <w:sz w:val="22"/>
                <w:szCs w:val="22"/>
              </w:rPr>
              <w:t>facial</w:t>
            </w:r>
            <w:proofErr w:type="spellEnd"/>
            <w:r w:rsidRPr="00575AAF">
              <w:rPr>
                <w:sz w:val="22"/>
                <w:szCs w:val="22"/>
              </w:rPr>
              <w:t xml:space="preserve"> </w:t>
            </w:r>
            <w:proofErr w:type="spellStart"/>
            <w:proofErr w:type="gramStart"/>
            <w:r w:rsidRPr="00575AAF">
              <w:rPr>
                <w:sz w:val="22"/>
                <w:szCs w:val="22"/>
              </w:rPr>
              <w:t>hypæstesi</w:t>
            </w:r>
            <w:proofErr w:type="spellEnd"/>
            <w:r w:rsidRPr="00575AAF">
              <w:rPr>
                <w:sz w:val="22"/>
                <w:szCs w:val="22"/>
              </w:rPr>
              <w:t>)</w:t>
            </w:r>
            <w:r w:rsidRPr="00575AAF">
              <w:rPr>
                <w:sz w:val="22"/>
                <w:szCs w:val="22"/>
                <w:vertAlign w:val="superscript"/>
              </w:rPr>
              <w:t>#</w:t>
            </w:r>
            <w:proofErr w:type="gramEnd"/>
            <w:r w:rsidRPr="00575AAF">
              <w:rPr>
                <w:sz w:val="22"/>
                <w:szCs w:val="22"/>
              </w:rPr>
              <w:t xml:space="preserve"> </w:t>
            </w:r>
          </w:p>
        </w:tc>
      </w:tr>
      <w:tr w:rsidR="007A4746" w:rsidRPr="00575AAF" w14:paraId="183DE882" w14:textId="77777777" w:rsidTr="007D5C8A">
        <w:trPr>
          <w:trHeight w:val="225"/>
          <w:tblHeader/>
        </w:trPr>
        <w:tc>
          <w:tcPr>
            <w:tcW w:w="187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788B89FD" w14:textId="77777777" w:rsidR="007A4746" w:rsidRPr="00575AAF" w:rsidRDefault="007A4746" w:rsidP="00034766">
            <w:pPr>
              <w:rPr>
                <w:b/>
                <w:bCs/>
                <w:sz w:val="22"/>
                <w:szCs w:val="22"/>
              </w:rPr>
            </w:pPr>
            <w:r w:rsidRPr="00575AAF">
              <w:rPr>
                <w:b/>
                <w:sz w:val="22"/>
                <w:szCs w:val="22"/>
              </w:rPr>
              <w:t>Hjerte</w:t>
            </w: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1C39A0BB" w14:textId="77777777" w:rsidR="007A4746" w:rsidRPr="00575AAF" w:rsidRDefault="007A4746" w:rsidP="00034766">
            <w:pPr>
              <w:rPr>
                <w:bCs/>
                <w:i/>
                <w:sz w:val="22"/>
                <w:szCs w:val="22"/>
              </w:rPr>
            </w:pPr>
            <w:r w:rsidRPr="00575AAF">
              <w:rPr>
                <w:i/>
                <w:sz w:val="22"/>
                <w:szCs w:val="22"/>
              </w:rPr>
              <w:t>Sjælden</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69D7D61C" w14:textId="77777777" w:rsidR="007A4746" w:rsidRPr="00575AAF" w:rsidRDefault="007A4746" w:rsidP="00034766">
            <w:pPr>
              <w:rPr>
                <w:sz w:val="22"/>
                <w:szCs w:val="22"/>
              </w:rPr>
            </w:pPr>
            <w:r w:rsidRPr="00575AAF">
              <w:rPr>
                <w:sz w:val="22"/>
                <w:szCs w:val="22"/>
              </w:rPr>
              <w:t xml:space="preserve">Forlænget QT-interval, </w:t>
            </w:r>
            <w:proofErr w:type="spellStart"/>
            <w:r w:rsidRPr="00575AAF">
              <w:rPr>
                <w:sz w:val="22"/>
                <w:szCs w:val="22"/>
              </w:rPr>
              <w:t>arytmi</w:t>
            </w:r>
            <w:proofErr w:type="spellEnd"/>
            <w:r w:rsidRPr="00575AAF">
              <w:rPr>
                <w:sz w:val="22"/>
                <w:szCs w:val="22"/>
              </w:rPr>
              <w:t>*</w:t>
            </w:r>
          </w:p>
        </w:tc>
      </w:tr>
      <w:tr w:rsidR="007A4746" w:rsidRPr="00575AAF" w14:paraId="5AA3D754" w14:textId="77777777" w:rsidTr="007D5C8A">
        <w:trPr>
          <w:trHeight w:val="225"/>
          <w:tblHeader/>
        </w:trPr>
        <w:tc>
          <w:tcPr>
            <w:tcW w:w="187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0D9221" w14:textId="77777777" w:rsidR="007A4746" w:rsidRPr="00575AAF" w:rsidRDefault="007A4746" w:rsidP="00034766">
            <w:pPr>
              <w:rPr>
                <w:b/>
                <w:bCs/>
                <w:sz w:val="22"/>
                <w:szCs w:val="22"/>
                <w:lang w:eastAsia="en-GB"/>
              </w:rPr>
            </w:pP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15ABB9BB" w14:textId="77777777" w:rsidR="007A4746" w:rsidRPr="00575AAF" w:rsidRDefault="007A4746" w:rsidP="00034766">
            <w:pPr>
              <w:rPr>
                <w:bCs/>
                <w:i/>
                <w:sz w:val="22"/>
                <w:szCs w:val="22"/>
              </w:rPr>
            </w:pPr>
            <w:r w:rsidRPr="00575AAF">
              <w:rPr>
                <w:i/>
                <w:sz w:val="22"/>
                <w:szCs w:val="22"/>
              </w:rPr>
              <w:t>Ikke kendt</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7801082E" w14:textId="77777777" w:rsidR="007A4746" w:rsidRPr="00575AAF" w:rsidRDefault="007A4746" w:rsidP="00034766">
            <w:pPr>
              <w:rPr>
                <w:sz w:val="22"/>
                <w:szCs w:val="22"/>
              </w:rPr>
            </w:pPr>
            <w:proofErr w:type="spellStart"/>
            <w:r w:rsidRPr="00575AAF">
              <w:rPr>
                <w:sz w:val="22"/>
                <w:szCs w:val="22"/>
              </w:rPr>
              <w:t>Torsades</w:t>
            </w:r>
            <w:proofErr w:type="spellEnd"/>
            <w:r w:rsidRPr="00575AAF">
              <w:rPr>
                <w:sz w:val="22"/>
                <w:szCs w:val="22"/>
              </w:rPr>
              <w:t xml:space="preserve"> de Pointes, bradykardi</w:t>
            </w:r>
          </w:p>
        </w:tc>
      </w:tr>
      <w:tr w:rsidR="007A4746" w:rsidRPr="00575AAF" w14:paraId="29AE506F" w14:textId="77777777" w:rsidTr="007D5C8A">
        <w:trPr>
          <w:trHeight w:val="225"/>
          <w:tblHeader/>
        </w:trPr>
        <w:tc>
          <w:tcPr>
            <w:tcW w:w="1871" w:type="pct"/>
            <w:tcBorders>
              <w:top w:val="nil"/>
              <w:left w:val="outset" w:sz="6" w:space="0" w:color="auto"/>
              <w:bottom w:val="outset" w:sz="6" w:space="0" w:color="auto"/>
              <w:right w:val="outset" w:sz="6" w:space="0" w:color="auto"/>
            </w:tcBorders>
            <w:shd w:val="clear" w:color="auto" w:fill="FFFFFF"/>
            <w:hideMark/>
          </w:tcPr>
          <w:p w14:paraId="5A888CDA" w14:textId="77777777" w:rsidR="007A4746" w:rsidRPr="00575AAF" w:rsidRDefault="007A4746" w:rsidP="00034766">
            <w:pPr>
              <w:rPr>
                <w:b/>
                <w:bCs/>
                <w:sz w:val="22"/>
                <w:szCs w:val="22"/>
              </w:rPr>
            </w:pPr>
            <w:proofErr w:type="spellStart"/>
            <w:r w:rsidRPr="00575AAF">
              <w:rPr>
                <w:b/>
                <w:sz w:val="22"/>
                <w:szCs w:val="22"/>
              </w:rPr>
              <w:t>Vaskulære</w:t>
            </w:r>
            <w:proofErr w:type="spellEnd"/>
            <w:r w:rsidRPr="00575AAF">
              <w:rPr>
                <w:b/>
                <w:sz w:val="22"/>
                <w:szCs w:val="22"/>
              </w:rPr>
              <w:t xml:space="preserve"> sygdomme</w:t>
            </w: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43907125" w14:textId="77777777" w:rsidR="007A4746" w:rsidRPr="00575AAF" w:rsidRDefault="007A4746" w:rsidP="00034766">
            <w:pPr>
              <w:rPr>
                <w:bCs/>
                <w:i/>
                <w:sz w:val="22"/>
                <w:szCs w:val="22"/>
              </w:rPr>
            </w:pPr>
            <w:r w:rsidRPr="00575AAF">
              <w:rPr>
                <w:i/>
                <w:sz w:val="22"/>
                <w:szCs w:val="22"/>
              </w:rPr>
              <w:t>Almindelig</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17516C24" w14:textId="77777777" w:rsidR="007A4746" w:rsidRPr="00575AAF" w:rsidRDefault="007A4746" w:rsidP="00034766">
            <w:pPr>
              <w:rPr>
                <w:sz w:val="22"/>
                <w:szCs w:val="22"/>
              </w:rPr>
            </w:pPr>
            <w:r w:rsidRPr="00575AAF">
              <w:rPr>
                <w:sz w:val="22"/>
                <w:szCs w:val="22"/>
              </w:rPr>
              <w:t xml:space="preserve">Hypertension eller hypotension*, kredsløbskollaps, </w:t>
            </w:r>
            <w:proofErr w:type="spellStart"/>
            <w:r w:rsidRPr="00575AAF">
              <w:rPr>
                <w:sz w:val="22"/>
                <w:szCs w:val="22"/>
              </w:rPr>
              <w:t>hedestigninger</w:t>
            </w:r>
            <w:proofErr w:type="spellEnd"/>
          </w:p>
        </w:tc>
      </w:tr>
      <w:tr w:rsidR="007A4746" w:rsidRPr="00575AAF" w14:paraId="07DE3369" w14:textId="77777777" w:rsidTr="007D5C8A">
        <w:trPr>
          <w:trHeight w:val="225"/>
          <w:tblHeader/>
        </w:trPr>
        <w:tc>
          <w:tcPr>
            <w:tcW w:w="187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F50845F" w14:textId="77777777" w:rsidR="007A4746" w:rsidRPr="00575AAF" w:rsidRDefault="007A4746" w:rsidP="00034766">
            <w:pPr>
              <w:rPr>
                <w:b/>
                <w:bCs/>
                <w:sz w:val="22"/>
                <w:szCs w:val="22"/>
              </w:rPr>
            </w:pPr>
            <w:r w:rsidRPr="00575AAF">
              <w:rPr>
                <w:b/>
                <w:sz w:val="22"/>
                <w:szCs w:val="22"/>
              </w:rPr>
              <w:t>Mave-tarm-kanalen</w:t>
            </w: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6EF30661" w14:textId="77777777" w:rsidR="007A4746" w:rsidRPr="00575AAF" w:rsidRDefault="007A4746" w:rsidP="00034766">
            <w:pPr>
              <w:rPr>
                <w:bCs/>
                <w:i/>
                <w:sz w:val="22"/>
                <w:szCs w:val="22"/>
              </w:rPr>
            </w:pPr>
            <w:r w:rsidRPr="00575AAF">
              <w:rPr>
                <w:i/>
                <w:sz w:val="22"/>
                <w:szCs w:val="22"/>
              </w:rPr>
              <w:t>Almindelig</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7C489738" w14:textId="77777777" w:rsidR="007A4746" w:rsidRPr="00575AAF" w:rsidRDefault="007A4746" w:rsidP="00034766">
            <w:pPr>
              <w:rPr>
                <w:sz w:val="22"/>
                <w:szCs w:val="22"/>
              </w:rPr>
            </w:pPr>
            <w:r w:rsidRPr="00575AAF">
              <w:rPr>
                <w:sz w:val="22"/>
                <w:szCs w:val="22"/>
              </w:rPr>
              <w:t>Kvalme, opkastning, smagsforstyrrelser</w:t>
            </w:r>
          </w:p>
        </w:tc>
      </w:tr>
      <w:tr w:rsidR="007A4746" w:rsidRPr="00575AAF" w14:paraId="215B8A7F" w14:textId="77777777" w:rsidTr="007D5C8A">
        <w:trPr>
          <w:trHeight w:val="225"/>
          <w:tblHeader/>
        </w:trPr>
        <w:tc>
          <w:tcPr>
            <w:tcW w:w="187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67048E" w14:textId="77777777" w:rsidR="007A4746" w:rsidRPr="00575AAF" w:rsidRDefault="007A4746" w:rsidP="00034766">
            <w:pPr>
              <w:rPr>
                <w:b/>
                <w:bCs/>
                <w:sz w:val="22"/>
                <w:szCs w:val="22"/>
                <w:lang w:eastAsia="en-GB"/>
              </w:rPr>
            </w:pP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7526AB60" w14:textId="77777777" w:rsidR="007A4746" w:rsidRPr="00575AAF" w:rsidRDefault="007A4746" w:rsidP="00034766">
            <w:pPr>
              <w:rPr>
                <w:bCs/>
                <w:i/>
                <w:sz w:val="22"/>
                <w:szCs w:val="22"/>
              </w:rPr>
            </w:pPr>
            <w:r w:rsidRPr="00575AAF">
              <w:rPr>
                <w:i/>
                <w:sz w:val="22"/>
                <w:szCs w:val="22"/>
              </w:rPr>
              <w:t>Sjælden</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67898260" w14:textId="77777777" w:rsidR="007A4746" w:rsidRPr="00575AAF" w:rsidRDefault="007A4746" w:rsidP="00034766">
            <w:pPr>
              <w:rPr>
                <w:sz w:val="22"/>
                <w:szCs w:val="22"/>
              </w:rPr>
            </w:pPr>
            <w:proofErr w:type="spellStart"/>
            <w:r w:rsidRPr="00575AAF">
              <w:rPr>
                <w:sz w:val="22"/>
                <w:szCs w:val="22"/>
              </w:rPr>
              <w:t>Pankreatitis</w:t>
            </w:r>
            <w:proofErr w:type="spellEnd"/>
            <w:r w:rsidRPr="00575AAF">
              <w:rPr>
                <w:sz w:val="22"/>
                <w:szCs w:val="22"/>
              </w:rPr>
              <w:t xml:space="preserve">* </w:t>
            </w:r>
          </w:p>
        </w:tc>
      </w:tr>
      <w:tr w:rsidR="007A4746" w:rsidRPr="00575AAF" w14:paraId="5901F484" w14:textId="77777777" w:rsidTr="007D5C8A">
        <w:trPr>
          <w:trHeight w:val="225"/>
          <w:tblHeader/>
        </w:trPr>
        <w:tc>
          <w:tcPr>
            <w:tcW w:w="1871" w:type="pct"/>
            <w:tcBorders>
              <w:top w:val="outset" w:sz="6" w:space="0" w:color="auto"/>
              <w:left w:val="outset" w:sz="6" w:space="0" w:color="auto"/>
              <w:bottom w:val="outset" w:sz="6" w:space="0" w:color="auto"/>
              <w:right w:val="outset" w:sz="6" w:space="0" w:color="auto"/>
            </w:tcBorders>
            <w:shd w:val="clear" w:color="auto" w:fill="FFFFFF"/>
            <w:hideMark/>
          </w:tcPr>
          <w:p w14:paraId="4FDCFA02" w14:textId="77777777" w:rsidR="007A4746" w:rsidRPr="00575AAF" w:rsidRDefault="007A4746" w:rsidP="00034766">
            <w:pPr>
              <w:rPr>
                <w:b/>
                <w:bCs/>
                <w:sz w:val="22"/>
                <w:szCs w:val="22"/>
              </w:rPr>
            </w:pPr>
            <w:r w:rsidRPr="00575AAF">
              <w:rPr>
                <w:b/>
                <w:sz w:val="22"/>
                <w:szCs w:val="22"/>
              </w:rPr>
              <w:t>Lever og galdeveje</w:t>
            </w: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6B7010B1" w14:textId="77777777" w:rsidR="007A4746" w:rsidRPr="00575AAF" w:rsidRDefault="007A4746" w:rsidP="00034766">
            <w:pPr>
              <w:rPr>
                <w:bCs/>
                <w:i/>
                <w:sz w:val="22"/>
                <w:szCs w:val="22"/>
              </w:rPr>
            </w:pPr>
            <w:r w:rsidRPr="00575AAF">
              <w:rPr>
                <w:i/>
                <w:sz w:val="22"/>
                <w:szCs w:val="22"/>
              </w:rPr>
              <w:t>Almindelig</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453D3AB4" w14:textId="77777777" w:rsidR="007A4746" w:rsidRPr="00575AAF" w:rsidRDefault="007A4746" w:rsidP="00034766">
            <w:pPr>
              <w:rPr>
                <w:sz w:val="22"/>
                <w:szCs w:val="22"/>
              </w:rPr>
            </w:pPr>
            <w:r w:rsidRPr="00575AAF">
              <w:rPr>
                <w:sz w:val="22"/>
                <w:szCs w:val="22"/>
              </w:rPr>
              <w:t xml:space="preserve">Leverforandringer, unormale værdier ved leverfunktionstest </w:t>
            </w:r>
          </w:p>
        </w:tc>
      </w:tr>
      <w:tr w:rsidR="007A4746" w:rsidRPr="00575AAF" w14:paraId="2326D025" w14:textId="77777777" w:rsidTr="007D5C8A">
        <w:trPr>
          <w:trHeight w:val="225"/>
          <w:tblHeader/>
        </w:trPr>
        <w:tc>
          <w:tcPr>
            <w:tcW w:w="187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B0E3FB9" w14:textId="77777777" w:rsidR="007A4746" w:rsidRPr="00575AAF" w:rsidRDefault="007A4746" w:rsidP="00034766">
            <w:pPr>
              <w:rPr>
                <w:b/>
                <w:bCs/>
                <w:sz w:val="22"/>
                <w:szCs w:val="22"/>
              </w:rPr>
            </w:pPr>
            <w:r w:rsidRPr="00575AAF">
              <w:rPr>
                <w:b/>
                <w:sz w:val="22"/>
                <w:szCs w:val="22"/>
              </w:rPr>
              <w:t>Hud og subkutane væv</w:t>
            </w: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2CAF78E5" w14:textId="77777777" w:rsidR="007A4746" w:rsidRPr="00575AAF" w:rsidRDefault="007A4746" w:rsidP="00034766">
            <w:pPr>
              <w:rPr>
                <w:bCs/>
                <w:i/>
                <w:sz w:val="22"/>
                <w:szCs w:val="22"/>
              </w:rPr>
            </w:pPr>
            <w:r w:rsidRPr="00575AAF">
              <w:rPr>
                <w:i/>
                <w:sz w:val="22"/>
                <w:szCs w:val="22"/>
              </w:rPr>
              <w:t>Almindelig</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62BDB71D" w14:textId="77777777" w:rsidR="007A4746" w:rsidRPr="00575AAF" w:rsidRDefault="007A4746" w:rsidP="00034766">
            <w:pPr>
              <w:rPr>
                <w:sz w:val="22"/>
                <w:szCs w:val="22"/>
              </w:rPr>
            </w:pPr>
            <w:r w:rsidRPr="00575AAF">
              <w:rPr>
                <w:sz w:val="22"/>
                <w:szCs w:val="22"/>
              </w:rPr>
              <w:t>Udslæt</w:t>
            </w:r>
          </w:p>
        </w:tc>
      </w:tr>
      <w:tr w:rsidR="007A4746" w:rsidRPr="00575AAF" w14:paraId="422FD549" w14:textId="77777777" w:rsidTr="007D5C8A">
        <w:trPr>
          <w:trHeight w:val="225"/>
          <w:tblHeader/>
        </w:trPr>
        <w:tc>
          <w:tcPr>
            <w:tcW w:w="187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0BD18B" w14:textId="77777777" w:rsidR="007A4746" w:rsidRPr="00575AAF" w:rsidRDefault="007A4746" w:rsidP="00034766">
            <w:pPr>
              <w:rPr>
                <w:b/>
                <w:bCs/>
                <w:sz w:val="22"/>
                <w:szCs w:val="22"/>
                <w:lang w:eastAsia="en-GB"/>
              </w:rPr>
            </w:pP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17727A85" w14:textId="77777777" w:rsidR="007A4746" w:rsidRPr="00575AAF" w:rsidRDefault="007A4746" w:rsidP="00034766">
            <w:pPr>
              <w:rPr>
                <w:bCs/>
                <w:i/>
                <w:sz w:val="22"/>
                <w:szCs w:val="22"/>
              </w:rPr>
            </w:pPr>
            <w:r w:rsidRPr="00575AAF">
              <w:rPr>
                <w:i/>
                <w:sz w:val="22"/>
                <w:szCs w:val="22"/>
              </w:rPr>
              <w:t>Ikke kendt</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1DD2FC90" w14:textId="77777777" w:rsidR="007A4746" w:rsidRPr="00575AAF" w:rsidRDefault="007A4746" w:rsidP="00034766">
            <w:pPr>
              <w:rPr>
                <w:sz w:val="22"/>
                <w:szCs w:val="22"/>
              </w:rPr>
            </w:pPr>
            <w:r w:rsidRPr="00575AAF">
              <w:rPr>
                <w:sz w:val="22"/>
                <w:szCs w:val="22"/>
              </w:rPr>
              <w:t xml:space="preserve">Stevens-Johnsons syndrom, toksisk </w:t>
            </w:r>
            <w:proofErr w:type="spellStart"/>
            <w:r w:rsidRPr="00575AAF">
              <w:rPr>
                <w:sz w:val="22"/>
                <w:szCs w:val="22"/>
              </w:rPr>
              <w:t>epidermal</w:t>
            </w:r>
            <w:proofErr w:type="spellEnd"/>
            <w:r w:rsidRPr="00575AAF">
              <w:rPr>
                <w:sz w:val="22"/>
                <w:szCs w:val="22"/>
              </w:rPr>
              <w:t xml:space="preserve"> </w:t>
            </w:r>
            <w:proofErr w:type="spellStart"/>
            <w:r w:rsidRPr="00575AAF">
              <w:rPr>
                <w:sz w:val="22"/>
                <w:szCs w:val="22"/>
              </w:rPr>
              <w:t>nekrolyse</w:t>
            </w:r>
            <w:proofErr w:type="spellEnd"/>
          </w:p>
        </w:tc>
      </w:tr>
      <w:tr w:rsidR="007A4746" w:rsidRPr="00575AAF" w14:paraId="3A674FFE" w14:textId="77777777" w:rsidTr="007D5C8A">
        <w:trPr>
          <w:trHeight w:val="225"/>
          <w:tblHeader/>
        </w:trPr>
        <w:tc>
          <w:tcPr>
            <w:tcW w:w="1871" w:type="pct"/>
            <w:tcBorders>
              <w:top w:val="outset" w:sz="6" w:space="0" w:color="auto"/>
              <w:left w:val="outset" w:sz="6" w:space="0" w:color="auto"/>
              <w:bottom w:val="outset" w:sz="6" w:space="0" w:color="auto"/>
              <w:right w:val="outset" w:sz="6" w:space="0" w:color="auto"/>
            </w:tcBorders>
            <w:shd w:val="clear" w:color="auto" w:fill="FFFFFF"/>
            <w:hideMark/>
          </w:tcPr>
          <w:p w14:paraId="40163B78" w14:textId="77777777" w:rsidR="007A4746" w:rsidRPr="00575AAF" w:rsidRDefault="007A4746" w:rsidP="00034766">
            <w:pPr>
              <w:rPr>
                <w:b/>
                <w:bCs/>
                <w:sz w:val="22"/>
                <w:szCs w:val="22"/>
              </w:rPr>
            </w:pPr>
            <w:r w:rsidRPr="00575AAF">
              <w:rPr>
                <w:b/>
                <w:sz w:val="22"/>
                <w:szCs w:val="22"/>
              </w:rPr>
              <w:t>Nyrer og urinveje</w:t>
            </w: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2FF43E4A" w14:textId="77777777" w:rsidR="007A4746" w:rsidRPr="00575AAF" w:rsidRDefault="007A4746" w:rsidP="00034766">
            <w:pPr>
              <w:rPr>
                <w:bCs/>
                <w:i/>
                <w:sz w:val="22"/>
                <w:szCs w:val="22"/>
              </w:rPr>
            </w:pPr>
            <w:r w:rsidRPr="00575AAF">
              <w:rPr>
                <w:i/>
                <w:sz w:val="22"/>
                <w:szCs w:val="22"/>
              </w:rPr>
              <w:t>Meget almindelig</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4806729A" w14:textId="77777777" w:rsidR="007A4746" w:rsidRPr="00575AAF" w:rsidRDefault="007A4746" w:rsidP="00034766">
            <w:pPr>
              <w:rPr>
                <w:sz w:val="22"/>
                <w:szCs w:val="22"/>
              </w:rPr>
            </w:pPr>
            <w:r w:rsidRPr="00575AAF">
              <w:rPr>
                <w:sz w:val="22"/>
                <w:szCs w:val="22"/>
              </w:rPr>
              <w:t>Akut nyresvigt*, makroskopisk hæmaturi</w:t>
            </w:r>
          </w:p>
        </w:tc>
      </w:tr>
      <w:tr w:rsidR="007A4746" w:rsidRPr="00575AAF" w14:paraId="674D5A6B" w14:textId="77777777" w:rsidTr="007D5C8A">
        <w:trPr>
          <w:trHeight w:val="225"/>
          <w:tblHeader/>
        </w:trPr>
        <w:tc>
          <w:tcPr>
            <w:tcW w:w="187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8749925" w14:textId="77777777" w:rsidR="007A4746" w:rsidRPr="00575AAF" w:rsidRDefault="007A4746" w:rsidP="00034766">
            <w:pPr>
              <w:rPr>
                <w:b/>
                <w:bCs/>
                <w:sz w:val="22"/>
                <w:szCs w:val="22"/>
              </w:rPr>
            </w:pPr>
            <w:r w:rsidRPr="00575AAF">
              <w:rPr>
                <w:b/>
                <w:sz w:val="22"/>
                <w:szCs w:val="22"/>
              </w:rPr>
              <w:t>Almene symptomer og reaktioner på administrationsstedet</w:t>
            </w: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1C23DA10" w14:textId="77777777" w:rsidR="007A4746" w:rsidRPr="00575AAF" w:rsidRDefault="007A4746" w:rsidP="00034766">
            <w:pPr>
              <w:rPr>
                <w:bCs/>
                <w:i/>
                <w:sz w:val="22"/>
                <w:szCs w:val="22"/>
              </w:rPr>
            </w:pPr>
            <w:r w:rsidRPr="00575AAF">
              <w:rPr>
                <w:i/>
                <w:sz w:val="22"/>
                <w:szCs w:val="22"/>
              </w:rPr>
              <w:t>Meget almindelig</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26716571" w14:textId="77777777" w:rsidR="007A4746" w:rsidRPr="00575AAF" w:rsidRDefault="007A4746" w:rsidP="00034766">
            <w:pPr>
              <w:rPr>
                <w:sz w:val="22"/>
                <w:szCs w:val="22"/>
              </w:rPr>
            </w:pPr>
            <w:r w:rsidRPr="00575AAF">
              <w:rPr>
                <w:sz w:val="22"/>
                <w:szCs w:val="22"/>
              </w:rPr>
              <w:t xml:space="preserve">Lokale reaktioner: sværhedsgrad fra hævelse, inflammation og smerter til </w:t>
            </w:r>
            <w:proofErr w:type="spellStart"/>
            <w:r w:rsidRPr="00575AAF">
              <w:rPr>
                <w:sz w:val="22"/>
                <w:szCs w:val="22"/>
              </w:rPr>
              <w:t>induration</w:t>
            </w:r>
            <w:proofErr w:type="spellEnd"/>
            <w:r w:rsidRPr="00575AAF">
              <w:rPr>
                <w:sz w:val="22"/>
                <w:szCs w:val="22"/>
              </w:rPr>
              <w:t>, abscesdannelse og muskelnekrose</w:t>
            </w:r>
          </w:p>
        </w:tc>
      </w:tr>
      <w:tr w:rsidR="007A4746" w:rsidRPr="00575AAF" w14:paraId="513E36DC" w14:textId="77777777" w:rsidTr="007D5C8A">
        <w:trPr>
          <w:trHeight w:val="225"/>
          <w:tblHeader/>
        </w:trPr>
        <w:tc>
          <w:tcPr>
            <w:tcW w:w="187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92A7D2" w14:textId="77777777" w:rsidR="007A4746" w:rsidRPr="00575AAF" w:rsidRDefault="007A4746" w:rsidP="00034766">
            <w:pPr>
              <w:rPr>
                <w:b/>
                <w:bCs/>
                <w:sz w:val="22"/>
                <w:szCs w:val="22"/>
                <w:lang w:eastAsia="en-GB"/>
              </w:rPr>
            </w:pPr>
          </w:p>
        </w:tc>
        <w:tc>
          <w:tcPr>
            <w:tcW w:w="901" w:type="pct"/>
            <w:tcBorders>
              <w:top w:val="outset" w:sz="6" w:space="0" w:color="auto"/>
              <w:left w:val="outset" w:sz="6" w:space="0" w:color="auto"/>
              <w:bottom w:val="outset" w:sz="6" w:space="0" w:color="auto"/>
              <w:right w:val="outset" w:sz="6" w:space="0" w:color="auto"/>
            </w:tcBorders>
            <w:shd w:val="clear" w:color="auto" w:fill="FFFFFF"/>
            <w:hideMark/>
          </w:tcPr>
          <w:p w14:paraId="1E3CDAD0" w14:textId="77777777" w:rsidR="007A4746" w:rsidRPr="00575AAF" w:rsidRDefault="007A4746" w:rsidP="00034766">
            <w:pPr>
              <w:rPr>
                <w:bCs/>
                <w:i/>
                <w:sz w:val="22"/>
                <w:szCs w:val="22"/>
              </w:rPr>
            </w:pPr>
            <w:r w:rsidRPr="00575AAF">
              <w:rPr>
                <w:i/>
                <w:sz w:val="22"/>
                <w:szCs w:val="22"/>
              </w:rPr>
              <w:t>Ikke kendt</w:t>
            </w:r>
          </w:p>
        </w:tc>
        <w:tc>
          <w:tcPr>
            <w:tcW w:w="2228" w:type="pct"/>
            <w:tcBorders>
              <w:top w:val="outset" w:sz="6" w:space="0" w:color="auto"/>
              <w:left w:val="outset" w:sz="6" w:space="0" w:color="auto"/>
              <w:bottom w:val="outset" w:sz="6" w:space="0" w:color="auto"/>
              <w:right w:val="outset" w:sz="6" w:space="0" w:color="auto"/>
            </w:tcBorders>
            <w:shd w:val="clear" w:color="auto" w:fill="FFFFFF"/>
            <w:hideMark/>
          </w:tcPr>
          <w:p w14:paraId="1FA327E5" w14:textId="77777777" w:rsidR="007A4746" w:rsidRPr="00575AAF" w:rsidRDefault="007A4746" w:rsidP="00034766">
            <w:pPr>
              <w:rPr>
                <w:sz w:val="22"/>
                <w:szCs w:val="22"/>
              </w:rPr>
            </w:pPr>
            <w:proofErr w:type="spellStart"/>
            <w:r w:rsidRPr="00575AAF">
              <w:rPr>
                <w:sz w:val="22"/>
                <w:szCs w:val="22"/>
              </w:rPr>
              <w:t>Rabdomyolyse</w:t>
            </w:r>
            <w:proofErr w:type="spellEnd"/>
            <w:r w:rsidRPr="00575AAF">
              <w:rPr>
                <w:sz w:val="22"/>
                <w:szCs w:val="22"/>
              </w:rPr>
              <w:t xml:space="preserve"> efter intramuskulær administration</w:t>
            </w:r>
          </w:p>
        </w:tc>
      </w:tr>
    </w:tbl>
    <w:p w14:paraId="5ACB7860" w14:textId="138CEF23" w:rsidR="007A4746" w:rsidRPr="00CF5197" w:rsidRDefault="007A4746" w:rsidP="00744935">
      <w:pPr>
        <w:autoSpaceDE w:val="0"/>
        <w:autoSpaceDN w:val="0"/>
        <w:adjustRightInd w:val="0"/>
        <w:ind w:left="284" w:hanging="284"/>
        <w:rPr>
          <w:sz w:val="24"/>
          <w:szCs w:val="24"/>
          <w:lang w:eastAsia="en-GB"/>
        </w:rPr>
      </w:pPr>
      <w:r w:rsidRPr="00CF5197">
        <w:rPr>
          <w:sz w:val="24"/>
          <w:szCs w:val="24"/>
        </w:rPr>
        <w:t>*</w:t>
      </w:r>
      <w:r w:rsidR="00744935">
        <w:rPr>
          <w:sz w:val="24"/>
          <w:szCs w:val="24"/>
        </w:rPr>
        <w:tab/>
      </w:r>
      <w:r w:rsidRPr="00CF5197">
        <w:rPr>
          <w:sz w:val="24"/>
          <w:szCs w:val="24"/>
        </w:rPr>
        <w:t>Potentielt livstruende</w:t>
      </w:r>
    </w:p>
    <w:p w14:paraId="4AD5EEA4" w14:textId="20BED8E6" w:rsidR="007A4746" w:rsidRPr="00CF5197" w:rsidRDefault="007A4746" w:rsidP="00744935">
      <w:pPr>
        <w:autoSpaceDE w:val="0"/>
        <w:autoSpaceDN w:val="0"/>
        <w:adjustRightInd w:val="0"/>
        <w:ind w:left="284" w:hanging="284"/>
        <w:rPr>
          <w:sz w:val="24"/>
          <w:szCs w:val="24"/>
        </w:rPr>
      </w:pPr>
      <w:r w:rsidRPr="00CF5197">
        <w:rPr>
          <w:sz w:val="24"/>
          <w:szCs w:val="24"/>
          <w:vertAlign w:val="superscript"/>
        </w:rPr>
        <w:t>#</w:t>
      </w:r>
      <w:r w:rsidR="00744935">
        <w:rPr>
          <w:sz w:val="24"/>
          <w:szCs w:val="24"/>
          <w:vertAlign w:val="superscript"/>
        </w:rPr>
        <w:tab/>
      </w:r>
      <w:r w:rsidRPr="00CF5197">
        <w:rPr>
          <w:sz w:val="24"/>
          <w:szCs w:val="24"/>
        </w:rPr>
        <w:t>Opstod under eller kort efter intravenøs infusion og forsvandt, da infusionen blev afsluttet eller afbrudt</w:t>
      </w:r>
    </w:p>
    <w:p w14:paraId="0C30D569" w14:textId="31E086B1" w:rsidR="00034766" w:rsidRDefault="00034766">
      <w:pPr>
        <w:rPr>
          <w:sz w:val="24"/>
          <w:szCs w:val="24"/>
          <w:u w:val="single"/>
        </w:rPr>
      </w:pPr>
      <w:r>
        <w:rPr>
          <w:sz w:val="24"/>
          <w:szCs w:val="24"/>
          <w:u w:val="single"/>
        </w:rPr>
        <w:br w:type="page"/>
      </w:r>
    </w:p>
    <w:p w14:paraId="0D9BFF9C" w14:textId="77777777" w:rsidR="007A4746" w:rsidRPr="00CF5197" w:rsidRDefault="007A4746" w:rsidP="007A4746">
      <w:pPr>
        <w:autoSpaceDE w:val="0"/>
        <w:autoSpaceDN w:val="0"/>
        <w:adjustRightInd w:val="0"/>
        <w:rPr>
          <w:sz w:val="24"/>
          <w:szCs w:val="24"/>
          <w:u w:val="single"/>
        </w:rPr>
      </w:pPr>
    </w:p>
    <w:p w14:paraId="4877C9BA" w14:textId="77777777" w:rsidR="007A4746" w:rsidRPr="00CF5197" w:rsidRDefault="007A4746" w:rsidP="007A4746">
      <w:pPr>
        <w:autoSpaceDE w:val="0"/>
        <w:autoSpaceDN w:val="0"/>
        <w:adjustRightInd w:val="0"/>
        <w:rPr>
          <w:i/>
          <w:sz w:val="24"/>
          <w:szCs w:val="24"/>
          <w:u w:val="single"/>
        </w:rPr>
      </w:pPr>
      <w:r w:rsidRPr="00CF5197">
        <w:rPr>
          <w:i/>
          <w:sz w:val="24"/>
          <w:szCs w:val="24"/>
          <w:u w:val="single"/>
        </w:rPr>
        <w:t>Bivirkninger ved inhalationsadministration</w:t>
      </w:r>
    </w:p>
    <w:p w14:paraId="3682C155" w14:textId="77777777" w:rsidR="007A4746" w:rsidRPr="00CF5197" w:rsidRDefault="007A4746" w:rsidP="007A4746">
      <w:pPr>
        <w:autoSpaceDE w:val="0"/>
        <w:autoSpaceDN w:val="0"/>
        <w:adjustRightInd w:val="0"/>
        <w:rPr>
          <w:sz w:val="24"/>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601"/>
        <w:gridCol w:w="1445"/>
        <w:gridCol w:w="4576"/>
      </w:tblGrid>
      <w:tr w:rsidR="007A4746" w:rsidRPr="00575AAF" w14:paraId="17CED0D0" w14:textId="77777777" w:rsidTr="007D5C8A">
        <w:trPr>
          <w:trHeight w:val="225"/>
          <w:tblHeader/>
        </w:trPr>
        <w:tc>
          <w:tcPr>
            <w:tcW w:w="1871" w:type="pct"/>
            <w:tcBorders>
              <w:top w:val="outset" w:sz="6" w:space="0" w:color="auto"/>
              <w:left w:val="outset" w:sz="6" w:space="0" w:color="auto"/>
              <w:bottom w:val="outset" w:sz="6" w:space="0" w:color="auto"/>
              <w:right w:val="outset" w:sz="6" w:space="0" w:color="auto"/>
            </w:tcBorders>
            <w:shd w:val="clear" w:color="auto" w:fill="FFFFFF"/>
            <w:hideMark/>
          </w:tcPr>
          <w:p w14:paraId="513FAEC6" w14:textId="77777777" w:rsidR="007A4746" w:rsidRPr="00575AAF" w:rsidRDefault="007A4746" w:rsidP="00034766">
            <w:pPr>
              <w:rPr>
                <w:b/>
                <w:sz w:val="22"/>
                <w:szCs w:val="22"/>
              </w:rPr>
            </w:pPr>
            <w:proofErr w:type="spellStart"/>
            <w:r w:rsidRPr="00575AAF">
              <w:rPr>
                <w:b/>
                <w:sz w:val="22"/>
                <w:szCs w:val="22"/>
              </w:rPr>
              <w:t>MedDRA</w:t>
            </w:r>
            <w:proofErr w:type="spellEnd"/>
            <w:r w:rsidRPr="00575AAF">
              <w:rPr>
                <w:b/>
                <w:sz w:val="22"/>
                <w:szCs w:val="22"/>
              </w:rPr>
              <w:t>-systemorganklasse</w:t>
            </w: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1320B40E" w14:textId="77777777" w:rsidR="007A4746" w:rsidRPr="00575AAF" w:rsidRDefault="007A4746" w:rsidP="00034766">
            <w:pPr>
              <w:rPr>
                <w:b/>
                <w:sz w:val="22"/>
                <w:szCs w:val="22"/>
              </w:rPr>
            </w:pPr>
            <w:r w:rsidRPr="00575AAF">
              <w:rPr>
                <w:b/>
                <w:sz w:val="22"/>
                <w:szCs w:val="22"/>
              </w:rPr>
              <w:t>Hyppighed</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68A8338F" w14:textId="77777777" w:rsidR="007A4746" w:rsidRPr="00575AAF" w:rsidRDefault="007A4746" w:rsidP="00034766">
            <w:pPr>
              <w:rPr>
                <w:b/>
                <w:sz w:val="22"/>
                <w:szCs w:val="22"/>
              </w:rPr>
            </w:pPr>
            <w:r w:rsidRPr="00575AAF">
              <w:rPr>
                <w:b/>
                <w:sz w:val="22"/>
                <w:szCs w:val="22"/>
              </w:rPr>
              <w:t>Bivirkning</w:t>
            </w:r>
          </w:p>
        </w:tc>
      </w:tr>
      <w:tr w:rsidR="007A4746" w:rsidRPr="00575AAF" w14:paraId="26951E94" w14:textId="77777777" w:rsidTr="007D5C8A">
        <w:trPr>
          <w:trHeight w:val="225"/>
          <w:tblHeader/>
        </w:trPr>
        <w:tc>
          <w:tcPr>
            <w:tcW w:w="1871" w:type="pct"/>
            <w:tcBorders>
              <w:top w:val="outset" w:sz="6" w:space="0" w:color="auto"/>
              <w:left w:val="outset" w:sz="6" w:space="0" w:color="auto"/>
              <w:bottom w:val="outset" w:sz="6" w:space="0" w:color="auto"/>
              <w:right w:val="outset" w:sz="6" w:space="0" w:color="auto"/>
            </w:tcBorders>
            <w:shd w:val="clear" w:color="auto" w:fill="FFFFFF"/>
            <w:hideMark/>
          </w:tcPr>
          <w:p w14:paraId="742D898F" w14:textId="77777777" w:rsidR="007A4746" w:rsidRPr="00575AAF" w:rsidRDefault="007A4746" w:rsidP="00034766">
            <w:pPr>
              <w:rPr>
                <w:b/>
                <w:bCs/>
                <w:sz w:val="22"/>
                <w:szCs w:val="22"/>
              </w:rPr>
            </w:pPr>
            <w:r w:rsidRPr="00575AAF">
              <w:rPr>
                <w:b/>
                <w:sz w:val="22"/>
                <w:szCs w:val="22"/>
              </w:rPr>
              <w:t>Immunsystemet</w:t>
            </w: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12033687" w14:textId="77777777" w:rsidR="007A4746" w:rsidRPr="00575AAF" w:rsidRDefault="007A4746" w:rsidP="00034766">
            <w:pPr>
              <w:rPr>
                <w:bCs/>
                <w:i/>
                <w:sz w:val="22"/>
                <w:szCs w:val="22"/>
              </w:rPr>
            </w:pPr>
            <w:r w:rsidRPr="00575AAF">
              <w:rPr>
                <w:i/>
                <w:sz w:val="22"/>
                <w:szCs w:val="22"/>
              </w:rPr>
              <w:t>Ikke kendt</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204F8B06" w14:textId="77777777" w:rsidR="007A4746" w:rsidRPr="00575AAF" w:rsidRDefault="007A4746" w:rsidP="00034766">
            <w:pPr>
              <w:rPr>
                <w:bCs/>
                <w:sz w:val="22"/>
                <w:szCs w:val="22"/>
              </w:rPr>
            </w:pPr>
            <w:r w:rsidRPr="00575AAF">
              <w:rPr>
                <w:sz w:val="22"/>
                <w:szCs w:val="22"/>
              </w:rPr>
              <w:t xml:space="preserve">Overfølsomhedsreaktioner, inklusive </w:t>
            </w:r>
            <w:proofErr w:type="spellStart"/>
            <w:r w:rsidRPr="00575AAF">
              <w:rPr>
                <w:sz w:val="22"/>
                <w:szCs w:val="22"/>
              </w:rPr>
              <w:t>anafylaktisk</w:t>
            </w:r>
            <w:proofErr w:type="spellEnd"/>
            <w:r w:rsidRPr="00575AAF">
              <w:rPr>
                <w:sz w:val="22"/>
                <w:szCs w:val="22"/>
              </w:rPr>
              <w:t xml:space="preserve"> reaktion, </w:t>
            </w:r>
            <w:proofErr w:type="spellStart"/>
            <w:r w:rsidRPr="00575AAF">
              <w:rPr>
                <w:sz w:val="22"/>
                <w:szCs w:val="22"/>
              </w:rPr>
              <w:t>angioødem</w:t>
            </w:r>
            <w:proofErr w:type="spellEnd"/>
            <w:r w:rsidRPr="00575AAF">
              <w:rPr>
                <w:sz w:val="22"/>
                <w:szCs w:val="22"/>
              </w:rPr>
              <w:t xml:space="preserve"> og </w:t>
            </w:r>
            <w:proofErr w:type="spellStart"/>
            <w:r w:rsidRPr="00575AAF">
              <w:rPr>
                <w:sz w:val="22"/>
                <w:szCs w:val="22"/>
              </w:rPr>
              <w:t>anafylaktisk</w:t>
            </w:r>
            <w:proofErr w:type="spellEnd"/>
            <w:r w:rsidRPr="00575AAF">
              <w:rPr>
                <w:sz w:val="22"/>
                <w:szCs w:val="22"/>
              </w:rPr>
              <w:t xml:space="preserve"> </w:t>
            </w:r>
            <w:proofErr w:type="spellStart"/>
            <w:r w:rsidRPr="00575AAF">
              <w:rPr>
                <w:sz w:val="22"/>
                <w:szCs w:val="22"/>
              </w:rPr>
              <w:t>shock</w:t>
            </w:r>
            <w:proofErr w:type="spellEnd"/>
            <w:r w:rsidRPr="00575AAF">
              <w:rPr>
                <w:sz w:val="22"/>
                <w:szCs w:val="22"/>
              </w:rPr>
              <w:t xml:space="preserve"> (potentielt livstruende)</w:t>
            </w:r>
          </w:p>
        </w:tc>
      </w:tr>
      <w:tr w:rsidR="007A4746" w:rsidRPr="00575AAF" w14:paraId="519B7E01" w14:textId="77777777" w:rsidTr="007D5C8A">
        <w:trPr>
          <w:trHeight w:val="225"/>
          <w:tblHeader/>
        </w:trPr>
        <w:tc>
          <w:tcPr>
            <w:tcW w:w="1871" w:type="pct"/>
            <w:tcBorders>
              <w:top w:val="outset" w:sz="6" w:space="0" w:color="auto"/>
              <w:left w:val="outset" w:sz="6" w:space="0" w:color="auto"/>
              <w:bottom w:val="nil"/>
              <w:right w:val="outset" w:sz="6" w:space="0" w:color="auto"/>
            </w:tcBorders>
            <w:shd w:val="clear" w:color="auto" w:fill="FFFFFF"/>
            <w:hideMark/>
          </w:tcPr>
          <w:p w14:paraId="41C2CC7D" w14:textId="77777777" w:rsidR="007A4746" w:rsidRPr="00575AAF" w:rsidRDefault="007A4746" w:rsidP="00034766">
            <w:pPr>
              <w:rPr>
                <w:b/>
                <w:bCs/>
                <w:sz w:val="22"/>
                <w:szCs w:val="22"/>
              </w:rPr>
            </w:pPr>
            <w:r w:rsidRPr="00575AAF">
              <w:rPr>
                <w:b/>
                <w:sz w:val="22"/>
                <w:szCs w:val="22"/>
              </w:rPr>
              <w:t xml:space="preserve">Metabolisme og ernæring </w:t>
            </w: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692B9E24" w14:textId="77777777" w:rsidR="007A4746" w:rsidRPr="00575AAF" w:rsidRDefault="007A4746" w:rsidP="00034766">
            <w:pPr>
              <w:rPr>
                <w:bCs/>
                <w:i/>
                <w:sz w:val="22"/>
                <w:szCs w:val="22"/>
              </w:rPr>
            </w:pPr>
            <w:r w:rsidRPr="00575AAF">
              <w:rPr>
                <w:i/>
                <w:sz w:val="22"/>
                <w:szCs w:val="22"/>
              </w:rPr>
              <w:t>Ikke kendt</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495EB6E6" w14:textId="77777777" w:rsidR="007A4746" w:rsidRPr="00575AAF" w:rsidRDefault="007A4746" w:rsidP="00034766">
            <w:pPr>
              <w:rPr>
                <w:bCs/>
                <w:sz w:val="22"/>
                <w:szCs w:val="22"/>
              </w:rPr>
            </w:pPr>
            <w:r w:rsidRPr="00575AAF">
              <w:rPr>
                <w:sz w:val="22"/>
                <w:szCs w:val="22"/>
              </w:rPr>
              <w:t>Hypoglykæmi</w:t>
            </w:r>
          </w:p>
        </w:tc>
      </w:tr>
      <w:tr w:rsidR="007A4746" w:rsidRPr="00575AAF" w14:paraId="6DAFF01B" w14:textId="77777777" w:rsidTr="007D5C8A">
        <w:trPr>
          <w:trHeight w:val="225"/>
          <w:tblHeader/>
        </w:trPr>
        <w:tc>
          <w:tcPr>
            <w:tcW w:w="1871" w:type="pct"/>
            <w:tcBorders>
              <w:top w:val="outset" w:sz="6" w:space="0" w:color="auto"/>
              <w:left w:val="outset" w:sz="6" w:space="0" w:color="auto"/>
              <w:bottom w:val="nil"/>
              <w:right w:val="outset" w:sz="6" w:space="0" w:color="auto"/>
            </w:tcBorders>
            <w:shd w:val="clear" w:color="auto" w:fill="FFFFFF"/>
            <w:hideMark/>
          </w:tcPr>
          <w:p w14:paraId="553DCE25" w14:textId="77777777" w:rsidR="007A4746" w:rsidRPr="00575AAF" w:rsidRDefault="007A4746" w:rsidP="00034766">
            <w:pPr>
              <w:rPr>
                <w:b/>
                <w:bCs/>
                <w:sz w:val="22"/>
                <w:szCs w:val="22"/>
              </w:rPr>
            </w:pPr>
            <w:r w:rsidRPr="00575AAF">
              <w:rPr>
                <w:b/>
                <w:sz w:val="22"/>
                <w:szCs w:val="22"/>
              </w:rPr>
              <w:t>Nervesystemet</w:t>
            </w: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3F1A3CDB" w14:textId="77777777" w:rsidR="007A4746" w:rsidRPr="00575AAF" w:rsidRDefault="007A4746" w:rsidP="00034766">
            <w:pPr>
              <w:rPr>
                <w:bCs/>
                <w:i/>
                <w:sz w:val="22"/>
                <w:szCs w:val="22"/>
              </w:rPr>
            </w:pPr>
            <w:r w:rsidRPr="00575AAF">
              <w:rPr>
                <w:i/>
                <w:sz w:val="22"/>
                <w:szCs w:val="22"/>
              </w:rPr>
              <w:t>Ikke kendt</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6C9D681C" w14:textId="77777777" w:rsidR="007A4746" w:rsidRPr="00575AAF" w:rsidRDefault="007A4746" w:rsidP="00034766">
            <w:pPr>
              <w:rPr>
                <w:bCs/>
                <w:sz w:val="22"/>
                <w:szCs w:val="22"/>
              </w:rPr>
            </w:pPr>
            <w:r w:rsidRPr="00575AAF">
              <w:rPr>
                <w:sz w:val="22"/>
                <w:szCs w:val="22"/>
              </w:rPr>
              <w:t>Svimmelhed</w:t>
            </w:r>
          </w:p>
        </w:tc>
      </w:tr>
      <w:tr w:rsidR="007A4746" w:rsidRPr="00575AAF" w14:paraId="5F881FD1" w14:textId="77777777" w:rsidTr="007D5C8A">
        <w:trPr>
          <w:trHeight w:val="225"/>
          <w:tblHeader/>
        </w:trPr>
        <w:tc>
          <w:tcPr>
            <w:tcW w:w="1871" w:type="pct"/>
            <w:tcBorders>
              <w:top w:val="outset" w:sz="6" w:space="0" w:color="auto"/>
              <w:left w:val="outset" w:sz="6" w:space="0" w:color="auto"/>
              <w:bottom w:val="nil"/>
              <w:right w:val="outset" w:sz="6" w:space="0" w:color="auto"/>
            </w:tcBorders>
            <w:shd w:val="clear" w:color="auto" w:fill="FFFFFF"/>
            <w:hideMark/>
          </w:tcPr>
          <w:p w14:paraId="119B386B" w14:textId="77777777" w:rsidR="007A4746" w:rsidRPr="00575AAF" w:rsidRDefault="007A4746" w:rsidP="00034766">
            <w:pPr>
              <w:rPr>
                <w:b/>
                <w:bCs/>
                <w:sz w:val="22"/>
                <w:szCs w:val="22"/>
              </w:rPr>
            </w:pPr>
            <w:r w:rsidRPr="00575AAF">
              <w:rPr>
                <w:b/>
                <w:sz w:val="22"/>
                <w:szCs w:val="22"/>
              </w:rPr>
              <w:t>Øjne</w:t>
            </w: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0AD0170C" w14:textId="77777777" w:rsidR="007A4746" w:rsidRPr="00575AAF" w:rsidRDefault="007A4746" w:rsidP="00034766">
            <w:pPr>
              <w:rPr>
                <w:bCs/>
                <w:i/>
                <w:sz w:val="22"/>
                <w:szCs w:val="22"/>
              </w:rPr>
            </w:pPr>
            <w:r w:rsidRPr="00575AAF">
              <w:rPr>
                <w:i/>
                <w:sz w:val="22"/>
                <w:szCs w:val="22"/>
              </w:rPr>
              <w:t>Ikke kendt</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6C10E759" w14:textId="77777777" w:rsidR="007A4746" w:rsidRPr="00575AAF" w:rsidRDefault="007A4746" w:rsidP="00034766">
            <w:pPr>
              <w:rPr>
                <w:sz w:val="22"/>
                <w:szCs w:val="22"/>
              </w:rPr>
            </w:pPr>
            <w:proofErr w:type="spellStart"/>
            <w:r w:rsidRPr="00575AAF">
              <w:rPr>
                <w:sz w:val="22"/>
                <w:szCs w:val="22"/>
              </w:rPr>
              <w:t>Konjunktivitis</w:t>
            </w:r>
            <w:proofErr w:type="spellEnd"/>
            <w:r w:rsidRPr="00575AAF">
              <w:rPr>
                <w:sz w:val="22"/>
                <w:szCs w:val="22"/>
              </w:rPr>
              <w:t xml:space="preserve"> (efter utilsigtet kontakt af aerosol med øjnene)</w:t>
            </w:r>
          </w:p>
        </w:tc>
      </w:tr>
      <w:tr w:rsidR="007A4746" w:rsidRPr="00575AAF" w14:paraId="1B21AAB4" w14:textId="77777777" w:rsidTr="007D5C8A">
        <w:trPr>
          <w:trHeight w:val="225"/>
          <w:tblHeader/>
        </w:trPr>
        <w:tc>
          <w:tcPr>
            <w:tcW w:w="1871" w:type="pct"/>
            <w:tcBorders>
              <w:top w:val="outset" w:sz="6" w:space="0" w:color="auto"/>
              <w:left w:val="outset" w:sz="6" w:space="0" w:color="auto"/>
              <w:bottom w:val="nil"/>
              <w:right w:val="outset" w:sz="6" w:space="0" w:color="auto"/>
            </w:tcBorders>
            <w:shd w:val="clear" w:color="auto" w:fill="FFFFFF"/>
            <w:hideMark/>
          </w:tcPr>
          <w:p w14:paraId="043970B8" w14:textId="77777777" w:rsidR="007A4746" w:rsidRPr="00575AAF" w:rsidRDefault="007A4746" w:rsidP="00034766">
            <w:pPr>
              <w:rPr>
                <w:b/>
                <w:bCs/>
                <w:sz w:val="22"/>
                <w:szCs w:val="22"/>
              </w:rPr>
            </w:pPr>
            <w:r w:rsidRPr="00575AAF">
              <w:rPr>
                <w:b/>
                <w:sz w:val="22"/>
                <w:szCs w:val="22"/>
              </w:rPr>
              <w:t>Hjerte</w:t>
            </w: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2AA5E384" w14:textId="77777777" w:rsidR="007A4746" w:rsidRPr="00575AAF" w:rsidRDefault="007A4746" w:rsidP="00034766">
            <w:pPr>
              <w:rPr>
                <w:bCs/>
                <w:i/>
                <w:sz w:val="22"/>
                <w:szCs w:val="22"/>
              </w:rPr>
            </w:pPr>
            <w:r w:rsidRPr="00575AAF">
              <w:rPr>
                <w:i/>
                <w:sz w:val="22"/>
                <w:szCs w:val="22"/>
              </w:rPr>
              <w:t>Ikke kendt</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3915F9EC" w14:textId="77777777" w:rsidR="007A4746" w:rsidRPr="00575AAF" w:rsidRDefault="007A4746" w:rsidP="00034766">
            <w:pPr>
              <w:rPr>
                <w:sz w:val="22"/>
                <w:szCs w:val="22"/>
              </w:rPr>
            </w:pPr>
            <w:r w:rsidRPr="00575AAF">
              <w:rPr>
                <w:sz w:val="22"/>
                <w:szCs w:val="22"/>
              </w:rPr>
              <w:t>Bradykardi</w:t>
            </w:r>
          </w:p>
        </w:tc>
      </w:tr>
      <w:tr w:rsidR="007A4746" w:rsidRPr="00575AAF" w14:paraId="516C4F7C" w14:textId="77777777" w:rsidTr="007D5C8A">
        <w:trPr>
          <w:trHeight w:val="225"/>
          <w:tblHeader/>
        </w:trPr>
        <w:tc>
          <w:tcPr>
            <w:tcW w:w="1871" w:type="pct"/>
            <w:tcBorders>
              <w:top w:val="outset" w:sz="6" w:space="0" w:color="auto"/>
              <w:left w:val="outset" w:sz="6" w:space="0" w:color="auto"/>
              <w:bottom w:val="outset" w:sz="6" w:space="0" w:color="auto"/>
              <w:right w:val="outset" w:sz="6" w:space="0" w:color="auto"/>
            </w:tcBorders>
            <w:shd w:val="clear" w:color="auto" w:fill="FFFFFF"/>
            <w:hideMark/>
          </w:tcPr>
          <w:p w14:paraId="759E784E" w14:textId="77777777" w:rsidR="007A4746" w:rsidRPr="00575AAF" w:rsidRDefault="007A4746" w:rsidP="00034766">
            <w:pPr>
              <w:rPr>
                <w:b/>
                <w:bCs/>
                <w:sz w:val="22"/>
                <w:szCs w:val="22"/>
              </w:rPr>
            </w:pPr>
            <w:proofErr w:type="spellStart"/>
            <w:r w:rsidRPr="00575AAF">
              <w:rPr>
                <w:b/>
                <w:sz w:val="22"/>
                <w:szCs w:val="22"/>
              </w:rPr>
              <w:t>Vaskulære</w:t>
            </w:r>
            <w:proofErr w:type="spellEnd"/>
            <w:r w:rsidRPr="00575AAF">
              <w:rPr>
                <w:b/>
                <w:sz w:val="22"/>
                <w:szCs w:val="22"/>
              </w:rPr>
              <w:t xml:space="preserve"> sygdomme</w:t>
            </w: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5B7A3C06" w14:textId="77777777" w:rsidR="007A4746" w:rsidRPr="00575AAF" w:rsidRDefault="007A4746" w:rsidP="00034766">
            <w:pPr>
              <w:rPr>
                <w:bCs/>
                <w:i/>
                <w:sz w:val="22"/>
                <w:szCs w:val="22"/>
              </w:rPr>
            </w:pPr>
            <w:r w:rsidRPr="00575AAF">
              <w:rPr>
                <w:i/>
                <w:sz w:val="22"/>
                <w:szCs w:val="22"/>
              </w:rPr>
              <w:t>Ikke kendt</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7B5D9D66" w14:textId="77777777" w:rsidR="007A4746" w:rsidRPr="00575AAF" w:rsidRDefault="007A4746" w:rsidP="00034766">
            <w:pPr>
              <w:rPr>
                <w:sz w:val="22"/>
                <w:szCs w:val="22"/>
              </w:rPr>
            </w:pPr>
            <w:r w:rsidRPr="00575AAF">
              <w:rPr>
                <w:sz w:val="22"/>
                <w:szCs w:val="22"/>
              </w:rPr>
              <w:t>Hypotension</w:t>
            </w:r>
          </w:p>
        </w:tc>
      </w:tr>
      <w:tr w:rsidR="007A4746" w:rsidRPr="00575AAF" w14:paraId="59758468" w14:textId="77777777" w:rsidTr="007D5C8A">
        <w:trPr>
          <w:trHeight w:val="225"/>
          <w:tblHeader/>
        </w:trPr>
        <w:tc>
          <w:tcPr>
            <w:tcW w:w="187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3322495" w14:textId="77777777" w:rsidR="007A4746" w:rsidRPr="00575AAF" w:rsidRDefault="007A4746" w:rsidP="00034766">
            <w:pPr>
              <w:rPr>
                <w:b/>
                <w:bCs/>
                <w:sz w:val="22"/>
                <w:szCs w:val="22"/>
              </w:rPr>
            </w:pPr>
            <w:r w:rsidRPr="00575AAF">
              <w:rPr>
                <w:b/>
                <w:sz w:val="22"/>
                <w:szCs w:val="22"/>
              </w:rPr>
              <w:t xml:space="preserve">Luftveje, thorax og </w:t>
            </w:r>
            <w:proofErr w:type="spellStart"/>
            <w:r w:rsidRPr="00575AAF">
              <w:rPr>
                <w:b/>
                <w:sz w:val="22"/>
                <w:szCs w:val="22"/>
              </w:rPr>
              <w:t>mediastinum</w:t>
            </w:r>
            <w:proofErr w:type="spellEnd"/>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75B24E7A" w14:textId="77777777" w:rsidR="007A4746" w:rsidRPr="00575AAF" w:rsidRDefault="007A4746" w:rsidP="00034766">
            <w:pPr>
              <w:rPr>
                <w:bCs/>
                <w:i/>
                <w:sz w:val="22"/>
                <w:szCs w:val="22"/>
              </w:rPr>
            </w:pPr>
            <w:r w:rsidRPr="00575AAF">
              <w:rPr>
                <w:i/>
                <w:sz w:val="22"/>
                <w:szCs w:val="22"/>
              </w:rPr>
              <w:t>Almindelig</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5479A32B" w14:textId="77777777" w:rsidR="007A4746" w:rsidRPr="00575AAF" w:rsidRDefault="007A4746" w:rsidP="00034766">
            <w:pPr>
              <w:rPr>
                <w:sz w:val="22"/>
                <w:szCs w:val="22"/>
              </w:rPr>
            </w:pPr>
            <w:r w:rsidRPr="00575AAF">
              <w:rPr>
                <w:sz w:val="22"/>
                <w:szCs w:val="22"/>
              </w:rPr>
              <w:t xml:space="preserve">Lokale reaktioner af varierende sværhedsgrad: hoste, dyspnø, hvæsende vejrtrækning, </w:t>
            </w:r>
            <w:proofErr w:type="spellStart"/>
            <w:r w:rsidRPr="00575AAF">
              <w:rPr>
                <w:sz w:val="22"/>
                <w:szCs w:val="22"/>
              </w:rPr>
              <w:t>bronkospasme</w:t>
            </w:r>
            <w:proofErr w:type="spellEnd"/>
            <w:r w:rsidRPr="00575AAF">
              <w:rPr>
                <w:sz w:val="22"/>
                <w:szCs w:val="22"/>
              </w:rPr>
              <w:t xml:space="preserve">, især hos rygere eller astmatikere, som sædvanligvis kan undgås ved forudgående administration af en </w:t>
            </w:r>
            <w:proofErr w:type="spellStart"/>
            <w:r w:rsidRPr="00575AAF">
              <w:rPr>
                <w:sz w:val="22"/>
                <w:szCs w:val="22"/>
              </w:rPr>
              <w:t>bronkodilatator</w:t>
            </w:r>
            <w:proofErr w:type="spellEnd"/>
          </w:p>
        </w:tc>
      </w:tr>
      <w:tr w:rsidR="007A4746" w:rsidRPr="00575AAF" w14:paraId="36D72AA1" w14:textId="77777777" w:rsidTr="007D5C8A">
        <w:trPr>
          <w:trHeight w:val="225"/>
          <w:tblHeader/>
        </w:trPr>
        <w:tc>
          <w:tcPr>
            <w:tcW w:w="187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65772E" w14:textId="77777777" w:rsidR="007A4746" w:rsidRPr="00575AAF" w:rsidRDefault="007A4746" w:rsidP="00034766">
            <w:pPr>
              <w:rPr>
                <w:b/>
                <w:bCs/>
                <w:sz w:val="22"/>
                <w:szCs w:val="22"/>
                <w:lang w:eastAsia="en-GB"/>
              </w:rPr>
            </w:pP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2B99DAAE" w14:textId="77777777" w:rsidR="007A4746" w:rsidRPr="00575AAF" w:rsidRDefault="007A4746" w:rsidP="00034766">
            <w:pPr>
              <w:rPr>
                <w:bCs/>
                <w:i/>
                <w:sz w:val="22"/>
                <w:szCs w:val="22"/>
              </w:rPr>
            </w:pPr>
            <w:r w:rsidRPr="00575AAF">
              <w:rPr>
                <w:i/>
                <w:sz w:val="22"/>
                <w:szCs w:val="22"/>
              </w:rPr>
              <w:t>Sjælden</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48671D2D" w14:textId="77777777" w:rsidR="007A4746" w:rsidRPr="00575AAF" w:rsidRDefault="007A4746" w:rsidP="00034766">
            <w:pPr>
              <w:rPr>
                <w:sz w:val="22"/>
                <w:szCs w:val="22"/>
              </w:rPr>
            </w:pPr>
            <w:proofErr w:type="spellStart"/>
            <w:r w:rsidRPr="00575AAF">
              <w:rPr>
                <w:sz w:val="22"/>
                <w:szCs w:val="22"/>
              </w:rPr>
              <w:t>Eosinofil</w:t>
            </w:r>
            <w:proofErr w:type="spellEnd"/>
            <w:r w:rsidRPr="00575AAF">
              <w:rPr>
                <w:sz w:val="22"/>
                <w:szCs w:val="22"/>
              </w:rPr>
              <w:t xml:space="preserve"> pneumoni</w:t>
            </w:r>
          </w:p>
        </w:tc>
      </w:tr>
      <w:tr w:rsidR="007A4746" w:rsidRPr="00575AAF" w14:paraId="757D973F" w14:textId="77777777" w:rsidTr="007D5C8A">
        <w:trPr>
          <w:trHeight w:val="225"/>
          <w:tblHeader/>
        </w:trPr>
        <w:tc>
          <w:tcPr>
            <w:tcW w:w="187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8B2FD0" w14:textId="77777777" w:rsidR="007A4746" w:rsidRPr="00575AAF" w:rsidRDefault="007A4746" w:rsidP="00034766">
            <w:pPr>
              <w:rPr>
                <w:b/>
                <w:bCs/>
                <w:sz w:val="22"/>
                <w:szCs w:val="22"/>
                <w:lang w:eastAsia="en-GB"/>
              </w:rPr>
            </w:pP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31B629C9" w14:textId="77777777" w:rsidR="007A4746" w:rsidRPr="00575AAF" w:rsidRDefault="007A4746" w:rsidP="00034766">
            <w:pPr>
              <w:rPr>
                <w:bCs/>
                <w:i/>
                <w:sz w:val="22"/>
                <w:szCs w:val="22"/>
              </w:rPr>
            </w:pPr>
            <w:r w:rsidRPr="00575AAF">
              <w:rPr>
                <w:i/>
                <w:sz w:val="22"/>
                <w:szCs w:val="22"/>
              </w:rPr>
              <w:t>Ikke kendt</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346DDB2A" w14:textId="77777777" w:rsidR="007A4746" w:rsidRPr="00575AAF" w:rsidRDefault="007A4746" w:rsidP="00034766">
            <w:pPr>
              <w:rPr>
                <w:sz w:val="22"/>
                <w:szCs w:val="22"/>
              </w:rPr>
            </w:pPr>
            <w:r w:rsidRPr="00575AAF">
              <w:rPr>
                <w:sz w:val="22"/>
                <w:szCs w:val="22"/>
              </w:rPr>
              <w:t xml:space="preserve">Pneumothorax (efter tidligere lungebetændelse forårsaget af </w:t>
            </w:r>
            <w:proofErr w:type="spellStart"/>
            <w:r w:rsidRPr="00575AAF">
              <w:rPr>
                <w:i/>
                <w:sz w:val="22"/>
                <w:szCs w:val="22"/>
              </w:rPr>
              <w:t>Pneumocystis</w:t>
            </w:r>
            <w:proofErr w:type="spellEnd"/>
            <w:r w:rsidRPr="00575AAF">
              <w:rPr>
                <w:i/>
                <w:sz w:val="22"/>
                <w:szCs w:val="22"/>
              </w:rPr>
              <w:t xml:space="preserve"> </w:t>
            </w:r>
            <w:proofErr w:type="spellStart"/>
            <w:r w:rsidRPr="00575AAF">
              <w:rPr>
                <w:i/>
                <w:sz w:val="22"/>
                <w:szCs w:val="22"/>
              </w:rPr>
              <w:t>jirovecii</w:t>
            </w:r>
            <w:proofErr w:type="spellEnd"/>
            <w:r w:rsidRPr="00575AAF">
              <w:rPr>
                <w:sz w:val="22"/>
                <w:szCs w:val="22"/>
              </w:rPr>
              <w:t xml:space="preserve"> (PCP)), </w:t>
            </w:r>
            <w:proofErr w:type="spellStart"/>
            <w:r w:rsidRPr="00575AAF">
              <w:rPr>
                <w:sz w:val="22"/>
                <w:szCs w:val="22"/>
              </w:rPr>
              <w:t>hæmoptyse</w:t>
            </w:r>
            <w:proofErr w:type="spellEnd"/>
          </w:p>
        </w:tc>
      </w:tr>
      <w:tr w:rsidR="007A4746" w:rsidRPr="00575AAF" w14:paraId="7D6FCACD" w14:textId="77777777" w:rsidTr="007D5C8A">
        <w:trPr>
          <w:trHeight w:val="225"/>
          <w:tblHeader/>
        </w:trPr>
        <w:tc>
          <w:tcPr>
            <w:tcW w:w="187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6E20468B" w14:textId="77777777" w:rsidR="007A4746" w:rsidRPr="00575AAF" w:rsidRDefault="007A4746" w:rsidP="00034766">
            <w:pPr>
              <w:rPr>
                <w:b/>
                <w:bCs/>
                <w:sz w:val="22"/>
                <w:szCs w:val="22"/>
              </w:rPr>
            </w:pPr>
            <w:r w:rsidRPr="00575AAF">
              <w:rPr>
                <w:b/>
                <w:sz w:val="22"/>
                <w:szCs w:val="22"/>
              </w:rPr>
              <w:t>Mave-tarm-kanalen</w:t>
            </w: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673F29AC" w14:textId="77777777" w:rsidR="007A4746" w:rsidRPr="00575AAF" w:rsidRDefault="007A4746" w:rsidP="00034766">
            <w:pPr>
              <w:rPr>
                <w:bCs/>
                <w:i/>
                <w:sz w:val="22"/>
                <w:szCs w:val="22"/>
              </w:rPr>
            </w:pPr>
            <w:r w:rsidRPr="00575AAF">
              <w:rPr>
                <w:i/>
                <w:sz w:val="22"/>
                <w:szCs w:val="22"/>
              </w:rPr>
              <w:t>Almindelig</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7D2E89F7" w14:textId="77777777" w:rsidR="007A4746" w:rsidRPr="00575AAF" w:rsidRDefault="007A4746" w:rsidP="00034766">
            <w:pPr>
              <w:rPr>
                <w:sz w:val="22"/>
                <w:szCs w:val="22"/>
              </w:rPr>
            </w:pPr>
            <w:proofErr w:type="spellStart"/>
            <w:r w:rsidRPr="00575AAF">
              <w:rPr>
                <w:sz w:val="22"/>
                <w:szCs w:val="22"/>
              </w:rPr>
              <w:t>Dysgeusi</w:t>
            </w:r>
            <w:proofErr w:type="spellEnd"/>
            <w:r w:rsidRPr="00575AAF">
              <w:rPr>
                <w:sz w:val="22"/>
                <w:szCs w:val="22"/>
              </w:rPr>
              <w:t>, kvalme</w:t>
            </w:r>
          </w:p>
        </w:tc>
      </w:tr>
      <w:tr w:rsidR="007A4746" w:rsidRPr="00575AAF" w14:paraId="13CAF4F0" w14:textId="77777777" w:rsidTr="007D5C8A">
        <w:trPr>
          <w:trHeight w:val="225"/>
          <w:tblHeader/>
        </w:trPr>
        <w:tc>
          <w:tcPr>
            <w:tcW w:w="187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C42743" w14:textId="77777777" w:rsidR="007A4746" w:rsidRPr="00575AAF" w:rsidRDefault="007A4746" w:rsidP="00034766">
            <w:pPr>
              <w:rPr>
                <w:b/>
                <w:bCs/>
                <w:sz w:val="22"/>
                <w:szCs w:val="22"/>
                <w:lang w:eastAsia="en-GB"/>
              </w:rPr>
            </w:pP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34231ADE" w14:textId="77777777" w:rsidR="007A4746" w:rsidRPr="00575AAF" w:rsidRDefault="007A4746" w:rsidP="00034766">
            <w:pPr>
              <w:rPr>
                <w:bCs/>
                <w:i/>
                <w:sz w:val="22"/>
                <w:szCs w:val="22"/>
              </w:rPr>
            </w:pPr>
            <w:r w:rsidRPr="00575AAF">
              <w:rPr>
                <w:i/>
                <w:sz w:val="22"/>
                <w:szCs w:val="22"/>
              </w:rPr>
              <w:t>Ikke kendt</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41CA9535" w14:textId="77777777" w:rsidR="007A4746" w:rsidRPr="00575AAF" w:rsidRDefault="007A4746" w:rsidP="00034766">
            <w:pPr>
              <w:rPr>
                <w:sz w:val="22"/>
                <w:szCs w:val="22"/>
              </w:rPr>
            </w:pPr>
            <w:r w:rsidRPr="00575AAF">
              <w:rPr>
                <w:sz w:val="22"/>
                <w:szCs w:val="22"/>
              </w:rPr>
              <w:t xml:space="preserve">Spytflåd, halsbrand, opkastning, akut </w:t>
            </w:r>
            <w:proofErr w:type="spellStart"/>
            <w:r w:rsidRPr="00575AAF">
              <w:rPr>
                <w:sz w:val="22"/>
                <w:szCs w:val="22"/>
              </w:rPr>
              <w:t>pankreatitis</w:t>
            </w:r>
            <w:proofErr w:type="spellEnd"/>
          </w:p>
        </w:tc>
      </w:tr>
      <w:tr w:rsidR="007A4746" w:rsidRPr="00575AAF" w14:paraId="4B22DBB4" w14:textId="77777777" w:rsidTr="007D5C8A">
        <w:trPr>
          <w:trHeight w:val="225"/>
          <w:tblHeader/>
        </w:trPr>
        <w:tc>
          <w:tcPr>
            <w:tcW w:w="1871" w:type="pct"/>
            <w:tcBorders>
              <w:top w:val="outset" w:sz="6" w:space="0" w:color="auto"/>
              <w:left w:val="outset" w:sz="6" w:space="0" w:color="auto"/>
              <w:bottom w:val="nil"/>
              <w:right w:val="outset" w:sz="6" w:space="0" w:color="auto"/>
            </w:tcBorders>
            <w:shd w:val="clear" w:color="auto" w:fill="FFFFFF"/>
            <w:hideMark/>
          </w:tcPr>
          <w:p w14:paraId="6C235721" w14:textId="77777777" w:rsidR="007A4746" w:rsidRPr="00575AAF" w:rsidRDefault="007A4746" w:rsidP="00034766">
            <w:pPr>
              <w:rPr>
                <w:b/>
                <w:bCs/>
                <w:sz w:val="22"/>
                <w:szCs w:val="22"/>
              </w:rPr>
            </w:pPr>
            <w:r w:rsidRPr="00575AAF">
              <w:rPr>
                <w:b/>
                <w:sz w:val="22"/>
                <w:szCs w:val="22"/>
              </w:rPr>
              <w:t>Hud og subkutane væv</w:t>
            </w: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22D272D1" w14:textId="77777777" w:rsidR="007A4746" w:rsidRPr="00575AAF" w:rsidRDefault="007A4746" w:rsidP="00034766">
            <w:pPr>
              <w:rPr>
                <w:bCs/>
                <w:i/>
                <w:sz w:val="22"/>
                <w:szCs w:val="22"/>
              </w:rPr>
            </w:pPr>
            <w:r w:rsidRPr="00575AAF">
              <w:rPr>
                <w:i/>
                <w:sz w:val="22"/>
                <w:szCs w:val="22"/>
              </w:rPr>
              <w:t>Ikke kendt</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7E8B9011" w14:textId="77777777" w:rsidR="007A4746" w:rsidRPr="00575AAF" w:rsidRDefault="007A4746" w:rsidP="00034766">
            <w:pPr>
              <w:rPr>
                <w:sz w:val="22"/>
                <w:szCs w:val="22"/>
              </w:rPr>
            </w:pPr>
            <w:r w:rsidRPr="00575AAF">
              <w:rPr>
                <w:sz w:val="22"/>
                <w:szCs w:val="22"/>
              </w:rPr>
              <w:t xml:space="preserve">Udslæt, </w:t>
            </w:r>
            <w:proofErr w:type="spellStart"/>
            <w:r w:rsidRPr="00575AAF">
              <w:rPr>
                <w:sz w:val="22"/>
                <w:szCs w:val="22"/>
              </w:rPr>
              <w:t>urtikarielt</w:t>
            </w:r>
            <w:proofErr w:type="spellEnd"/>
            <w:r w:rsidRPr="00575AAF">
              <w:rPr>
                <w:sz w:val="22"/>
                <w:szCs w:val="22"/>
              </w:rPr>
              <w:t xml:space="preserve"> og </w:t>
            </w:r>
            <w:proofErr w:type="spellStart"/>
            <w:r w:rsidRPr="00575AAF">
              <w:rPr>
                <w:sz w:val="22"/>
                <w:szCs w:val="22"/>
              </w:rPr>
              <w:t>makulopapuløst</w:t>
            </w:r>
            <w:proofErr w:type="spellEnd"/>
            <w:r w:rsidRPr="00575AAF">
              <w:rPr>
                <w:sz w:val="22"/>
                <w:szCs w:val="22"/>
              </w:rPr>
              <w:t xml:space="preserve"> udslæt, </w:t>
            </w:r>
            <w:proofErr w:type="spellStart"/>
            <w:r w:rsidRPr="00575AAF">
              <w:rPr>
                <w:sz w:val="22"/>
                <w:szCs w:val="22"/>
              </w:rPr>
              <w:t>epidermal</w:t>
            </w:r>
            <w:proofErr w:type="spellEnd"/>
            <w:r w:rsidRPr="00575AAF">
              <w:rPr>
                <w:sz w:val="22"/>
                <w:szCs w:val="22"/>
              </w:rPr>
              <w:t xml:space="preserve"> </w:t>
            </w:r>
            <w:proofErr w:type="spellStart"/>
            <w:r w:rsidRPr="00575AAF">
              <w:rPr>
                <w:sz w:val="22"/>
                <w:szCs w:val="22"/>
              </w:rPr>
              <w:t>nekrolyse</w:t>
            </w:r>
            <w:proofErr w:type="spellEnd"/>
          </w:p>
        </w:tc>
      </w:tr>
      <w:tr w:rsidR="007A4746" w:rsidRPr="00575AAF" w14:paraId="1E064EFB" w14:textId="77777777" w:rsidTr="007D5C8A">
        <w:trPr>
          <w:trHeight w:val="225"/>
          <w:tblHeader/>
        </w:trPr>
        <w:tc>
          <w:tcPr>
            <w:tcW w:w="1871" w:type="pct"/>
            <w:tcBorders>
              <w:top w:val="outset" w:sz="6" w:space="0" w:color="auto"/>
              <w:left w:val="outset" w:sz="6" w:space="0" w:color="auto"/>
              <w:bottom w:val="nil"/>
              <w:right w:val="outset" w:sz="6" w:space="0" w:color="auto"/>
            </w:tcBorders>
            <w:shd w:val="clear" w:color="auto" w:fill="FFFFFF"/>
            <w:hideMark/>
          </w:tcPr>
          <w:p w14:paraId="1353683A" w14:textId="77777777" w:rsidR="007A4746" w:rsidRPr="00575AAF" w:rsidRDefault="007A4746" w:rsidP="00034766">
            <w:pPr>
              <w:rPr>
                <w:b/>
                <w:bCs/>
                <w:sz w:val="22"/>
                <w:szCs w:val="22"/>
              </w:rPr>
            </w:pPr>
            <w:r w:rsidRPr="00575AAF">
              <w:rPr>
                <w:b/>
                <w:sz w:val="22"/>
                <w:szCs w:val="22"/>
              </w:rPr>
              <w:t>Nyrer og urinveje</w:t>
            </w: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01D238C3" w14:textId="77777777" w:rsidR="007A4746" w:rsidRPr="00575AAF" w:rsidRDefault="007A4746" w:rsidP="00034766">
            <w:pPr>
              <w:rPr>
                <w:bCs/>
                <w:i/>
                <w:sz w:val="22"/>
                <w:szCs w:val="22"/>
              </w:rPr>
            </w:pPr>
            <w:r w:rsidRPr="00575AAF">
              <w:rPr>
                <w:i/>
                <w:sz w:val="22"/>
                <w:szCs w:val="22"/>
              </w:rPr>
              <w:t>Ikke kendt</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78D85373" w14:textId="77777777" w:rsidR="007A4746" w:rsidRPr="00575AAF" w:rsidRDefault="007A4746" w:rsidP="00034766">
            <w:pPr>
              <w:rPr>
                <w:sz w:val="22"/>
                <w:szCs w:val="22"/>
              </w:rPr>
            </w:pPr>
            <w:r w:rsidRPr="00575AAF">
              <w:rPr>
                <w:sz w:val="22"/>
                <w:szCs w:val="22"/>
              </w:rPr>
              <w:t>Nyresvigt</w:t>
            </w:r>
          </w:p>
        </w:tc>
      </w:tr>
      <w:tr w:rsidR="007A4746" w:rsidRPr="00575AAF" w14:paraId="2853B94A" w14:textId="77777777" w:rsidTr="007D5C8A">
        <w:trPr>
          <w:trHeight w:val="225"/>
          <w:tblHeader/>
        </w:trPr>
        <w:tc>
          <w:tcPr>
            <w:tcW w:w="1871" w:type="pct"/>
            <w:tcBorders>
              <w:top w:val="outset" w:sz="6" w:space="0" w:color="auto"/>
              <w:left w:val="outset" w:sz="6" w:space="0" w:color="auto"/>
              <w:bottom w:val="outset" w:sz="6" w:space="0" w:color="auto"/>
              <w:right w:val="outset" w:sz="6" w:space="0" w:color="auto"/>
            </w:tcBorders>
            <w:shd w:val="clear" w:color="auto" w:fill="FFFFFF"/>
            <w:hideMark/>
          </w:tcPr>
          <w:p w14:paraId="7310A276" w14:textId="77777777" w:rsidR="007A4746" w:rsidRPr="00575AAF" w:rsidRDefault="007A4746" w:rsidP="00034766">
            <w:pPr>
              <w:rPr>
                <w:b/>
                <w:bCs/>
                <w:sz w:val="22"/>
                <w:szCs w:val="22"/>
              </w:rPr>
            </w:pPr>
            <w:r w:rsidRPr="00575AAF">
              <w:rPr>
                <w:b/>
                <w:sz w:val="22"/>
                <w:szCs w:val="22"/>
              </w:rPr>
              <w:t>Almene symptomer og reaktioner på administrationsstedet</w:t>
            </w: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14:paraId="60357A4F" w14:textId="77777777" w:rsidR="007A4746" w:rsidRPr="00575AAF" w:rsidRDefault="007A4746" w:rsidP="00034766">
            <w:pPr>
              <w:rPr>
                <w:bCs/>
                <w:i/>
                <w:sz w:val="22"/>
                <w:szCs w:val="22"/>
              </w:rPr>
            </w:pPr>
            <w:r w:rsidRPr="00575AAF">
              <w:rPr>
                <w:i/>
                <w:sz w:val="22"/>
                <w:szCs w:val="22"/>
              </w:rPr>
              <w:t>Ikke kendt</w:t>
            </w:r>
          </w:p>
        </w:tc>
        <w:tc>
          <w:tcPr>
            <w:tcW w:w="2378" w:type="pct"/>
            <w:tcBorders>
              <w:top w:val="outset" w:sz="6" w:space="0" w:color="auto"/>
              <w:left w:val="outset" w:sz="6" w:space="0" w:color="auto"/>
              <w:bottom w:val="outset" w:sz="6" w:space="0" w:color="auto"/>
              <w:right w:val="outset" w:sz="6" w:space="0" w:color="auto"/>
            </w:tcBorders>
            <w:shd w:val="clear" w:color="auto" w:fill="FFFFFF"/>
            <w:hideMark/>
          </w:tcPr>
          <w:p w14:paraId="7EA202D6" w14:textId="77777777" w:rsidR="007A4746" w:rsidRPr="00575AAF" w:rsidRDefault="007A4746" w:rsidP="00034766">
            <w:pPr>
              <w:rPr>
                <w:sz w:val="22"/>
                <w:szCs w:val="22"/>
              </w:rPr>
            </w:pPr>
            <w:r w:rsidRPr="00575AAF">
              <w:rPr>
                <w:sz w:val="22"/>
                <w:szCs w:val="22"/>
              </w:rPr>
              <w:t>Feber, nedsat appetit, træthed</w:t>
            </w:r>
          </w:p>
        </w:tc>
      </w:tr>
    </w:tbl>
    <w:p w14:paraId="2EF814F0" w14:textId="77777777" w:rsidR="007A4746" w:rsidRPr="00CF5197" w:rsidRDefault="007A4746" w:rsidP="007D5C8A">
      <w:pPr>
        <w:autoSpaceDE w:val="0"/>
        <w:autoSpaceDN w:val="0"/>
        <w:adjustRightInd w:val="0"/>
        <w:ind w:left="851"/>
        <w:rPr>
          <w:sz w:val="24"/>
          <w:szCs w:val="24"/>
          <w:lang w:eastAsia="en-GB"/>
        </w:rPr>
      </w:pPr>
      <w:r w:rsidRPr="00CF5197">
        <w:rPr>
          <w:i/>
          <w:sz w:val="24"/>
          <w:szCs w:val="24"/>
        </w:rPr>
        <w:t>Bemærk</w:t>
      </w:r>
      <w:r w:rsidRPr="00CF5197">
        <w:rPr>
          <w:sz w:val="24"/>
          <w:szCs w:val="24"/>
        </w:rPr>
        <w:t>:</w:t>
      </w:r>
    </w:p>
    <w:p w14:paraId="7E4818D8" w14:textId="77777777" w:rsidR="007A4746" w:rsidRPr="00CF5197" w:rsidRDefault="007A4746" w:rsidP="007D5C8A">
      <w:pPr>
        <w:autoSpaceDE w:val="0"/>
        <w:autoSpaceDN w:val="0"/>
        <w:adjustRightInd w:val="0"/>
        <w:ind w:left="851"/>
        <w:rPr>
          <w:sz w:val="24"/>
          <w:szCs w:val="24"/>
        </w:rPr>
      </w:pPr>
      <w:r w:rsidRPr="00CF5197">
        <w:rPr>
          <w:sz w:val="24"/>
          <w:szCs w:val="24"/>
        </w:rPr>
        <w:t xml:space="preserve">Da svære samt af og til livstruende bivirkninger (se ovenfor) ikke kan udelukkes med inhalationsbehandling med </w:t>
      </w:r>
      <w:proofErr w:type="spellStart"/>
      <w:r w:rsidRPr="00CF5197">
        <w:rPr>
          <w:sz w:val="24"/>
          <w:szCs w:val="24"/>
        </w:rPr>
        <w:t>pentamidin</w:t>
      </w:r>
      <w:proofErr w:type="spellEnd"/>
      <w:r w:rsidRPr="00CF5197">
        <w:rPr>
          <w:sz w:val="24"/>
          <w:szCs w:val="24"/>
        </w:rPr>
        <w:t>, skal patienterne monitoreres tæt for udvikling af svære bivirkninger.</w:t>
      </w:r>
    </w:p>
    <w:p w14:paraId="2EEE189F" w14:textId="77777777" w:rsidR="007A4746" w:rsidRPr="00CF5197" w:rsidRDefault="007A4746" w:rsidP="007D5C8A">
      <w:pPr>
        <w:autoSpaceDE w:val="0"/>
        <w:autoSpaceDN w:val="0"/>
        <w:adjustRightInd w:val="0"/>
        <w:ind w:left="851"/>
        <w:rPr>
          <w:sz w:val="24"/>
          <w:szCs w:val="24"/>
        </w:rPr>
      </w:pPr>
    </w:p>
    <w:p w14:paraId="7F3352DD" w14:textId="77777777" w:rsidR="007A4746" w:rsidRPr="00CF5197" w:rsidRDefault="007A4746" w:rsidP="007D5C8A">
      <w:pPr>
        <w:autoSpaceDE w:val="0"/>
        <w:autoSpaceDN w:val="0"/>
        <w:adjustRightInd w:val="0"/>
        <w:ind w:left="851"/>
        <w:rPr>
          <w:sz w:val="24"/>
          <w:szCs w:val="24"/>
          <w:u w:val="single"/>
        </w:rPr>
      </w:pPr>
      <w:r w:rsidRPr="00CF5197">
        <w:rPr>
          <w:sz w:val="24"/>
          <w:szCs w:val="24"/>
          <w:u w:val="single"/>
        </w:rPr>
        <w:t>Indberetning af formodede bivirkninger</w:t>
      </w:r>
    </w:p>
    <w:p w14:paraId="6EFEF6F2" w14:textId="77777777" w:rsidR="007A4746" w:rsidRPr="00CF5197" w:rsidRDefault="007A4746" w:rsidP="007D5C8A">
      <w:pPr>
        <w:autoSpaceDE w:val="0"/>
        <w:autoSpaceDN w:val="0"/>
        <w:adjustRightInd w:val="0"/>
        <w:ind w:left="851"/>
        <w:rPr>
          <w:sz w:val="24"/>
          <w:szCs w:val="24"/>
        </w:rPr>
      </w:pPr>
      <w:r w:rsidRPr="00CF5197">
        <w:rPr>
          <w:sz w:val="24"/>
          <w:szCs w:val="24"/>
        </w:rPr>
        <w:t>Når lægemidlet er godkendt, er indberetning af formodede bivirkninger vigtig. Det muliggør løbende overvågning af benefit/</w:t>
      </w:r>
      <w:proofErr w:type="spellStart"/>
      <w:r w:rsidRPr="00CF5197">
        <w:rPr>
          <w:sz w:val="24"/>
          <w:szCs w:val="24"/>
        </w:rPr>
        <w:t>risk</w:t>
      </w:r>
      <w:proofErr w:type="spellEnd"/>
      <w:r w:rsidRPr="00CF5197">
        <w:rPr>
          <w:sz w:val="24"/>
          <w:szCs w:val="24"/>
        </w:rPr>
        <w:t>-forholdet for lægemidlet. Sundhedspersoner anmodes om at indberette alle formodede bivirkninger via</w:t>
      </w:r>
    </w:p>
    <w:p w14:paraId="46549C1F" w14:textId="77777777" w:rsidR="007A4746" w:rsidRPr="00CF5197" w:rsidRDefault="007A4746" w:rsidP="007D5C8A">
      <w:pPr>
        <w:autoSpaceDE w:val="0"/>
        <w:autoSpaceDN w:val="0"/>
        <w:adjustRightInd w:val="0"/>
        <w:ind w:left="851"/>
        <w:rPr>
          <w:sz w:val="24"/>
          <w:szCs w:val="24"/>
        </w:rPr>
      </w:pPr>
    </w:p>
    <w:p w14:paraId="36F634FE" w14:textId="77777777" w:rsidR="007A4746" w:rsidRPr="00CF5197" w:rsidRDefault="007A4746" w:rsidP="007D5C8A">
      <w:pPr>
        <w:autoSpaceDE w:val="0"/>
        <w:autoSpaceDN w:val="0"/>
        <w:adjustRightInd w:val="0"/>
        <w:ind w:left="851"/>
        <w:rPr>
          <w:sz w:val="24"/>
          <w:szCs w:val="24"/>
        </w:rPr>
      </w:pPr>
      <w:r w:rsidRPr="00CF5197">
        <w:rPr>
          <w:sz w:val="24"/>
          <w:szCs w:val="24"/>
        </w:rPr>
        <w:t>Lægemiddelstyrelsen</w:t>
      </w:r>
    </w:p>
    <w:p w14:paraId="1E5BC50C" w14:textId="77777777" w:rsidR="007A4746" w:rsidRPr="00CF5197" w:rsidRDefault="007A4746" w:rsidP="007D5C8A">
      <w:pPr>
        <w:autoSpaceDE w:val="0"/>
        <w:autoSpaceDN w:val="0"/>
        <w:adjustRightInd w:val="0"/>
        <w:ind w:left="851"/>
        <w:rPr>
          <w:sz w:val="24"/>
          <w:szCs w:val="24"/>
        </w:rPr>
      </w:pPr>
      <w:r w:rsidRPr="00CF5197">
        <w:rPr>
          <w:sz w:val="24"/>
          <w:szCs w:val="24"/>
        </w:rPr>
        <w:t>Axel Heides Gade 1</w:t>
      </w:r>
    </w:p>
    <w:p w14:paraId="41A32FDB" w14:textId="77777777" w:rsidR="007A4746" w:rsidRPr="00CF5197" w:rsidRDefault="007A4746" w:rsidP="007D5C8A">
      <w:pPr>
        <w:autoSpaceDE w:val="0"/>
        <w:autoSpaceDN w:val="0"/>
        <w:adjustRightInd w:val="0"/>
        <w:ind w:left="851"/>
        <w:rPr>
          <w:sz w:val="24"/>
          <w:szCs w:val="24"/>
        </w:rPr>
      </w:pPr>
      <w:r w:rsidRPr="00CF5197">
        <w:rPr>
          <w:sz w:val="24"/>
          <w:szCs w:val="24"/>
        </w:rPr>
        <w:t>DK-2300 København S</w:t>
      </w:r>
    </w:p>
    <w:p w14:paraId="2C6FBDE0" w14:textId="77777777" w:rsidR="007A4746" w:rsidRPr="00CF5197" w:rsidRDefault="007A4746" w:rsidP="007D5C8A">
      <w:pPr>
        <w:autoSpaceDE w:val="0"/>
        <w:autoSpaceDN w:val="0"/>
        <w:adjustRightInd w:val="0"/>
        <w:ind w:left="851"/>
        <w:rPr>
          <w:color w:val="000000" w:themeColor="text1"/>
          <w:sz w:val="24"/>
          <w:szCs w:val="24"/>
        </w:rPr>
      </w:pPr>
      <w:r w:rsidRPr="00CF5197">
        <w:rPr>
          <w:sz w:val="24"/>
          <w:szCs w:val="24"/>
        </w:rPr>
        <w:t xml:space="preserve">Websted: </w:t>
      </w:r>
      <w:hyperlink r:id="rId8" w:history="1">
        <w:r w:rsidRPr="00CF5197">
          <w:rPr>
            <w:rStyle w:val="Hyperlink"/>
            <w:sz w:val="24"/>
            <w:szCs w:val="24"/>
          </w:rPr>
          <w:t>www.meldenbivirkning.dk</w:t>
        </w:r>
      </w:hyperlink>
    </w:p>
    <w:p w14:paraId="19AE4C06" w14:textId="5B89E88C" w:rsidR="00034766" w:rsidRDefault="00034766">
      <w:pPr>
        <w:rPr>
          <w:sz w:val="24"/>
          <w:szCs w:val="24"/>
        </w:rPr>
      </w:pPr>
      <w:r>
        <w:rPr>
          <w:sz w:val="24"/>
          <w:szCs w:val="24"/>
        </w:rPr>
        <w:br w:type="page"/>
      </w:r>
    </w:p>
    <w:p w14:paraId="54AB1AD3" w14:textId="77777777" w:rsidR="009260DE" w:rsidRPr="00CF5197" w:rsidRDefault="009260DE" w:rsidP="00A10294">
      <w:pPr>
        <w:tabs>
          <w:tab w:val="left" w:pos="851"/>
        </w:tabs>
        <w:ind w:left="851"/>
        <w:rPr>
          <w:sz w:val="24"/>
          <w:szCs w:val="24"/>
        </w:rPr>
      </w:pPr>
    </w:p>
    <w:p w14:paraId="4EA7314F" w14:textId="77777777" w:rsidR="009260DE" w:rsidRPr="00CF5197" w:rsidRDefault="009260DE" w:rsidP="009260DE">
      <w:pPr>
        <w:tabs>
          <w:tab w:val="left" w:pos="851"/>
        </w:tabs>
        <w:ind w:left="851" w:hanging="851"/>
        <w:rPr>
          <w:b/>
          <w:sz w:val="24"/>
          <w:szCs w:val="24"/>
        </w:rPr>
      </w:pPr>
      <w:r w:rsidRPr="00CF5197">
        <w:rPr>
          <w:b/>
          <w:sz w:val="24"/>
          <w:szCs w:val="24"/>
        </w:rPr>
        <w:t>4.9</w:t>
      </w:r>
      <w:r w:rsidRPr="00CF5197">
        <w:rPr>
          <w:b/>
          <w:sz w:val="24"/>
          <w:szCs w:val="24"/>
        </w:rPr>
        <w:tab/>
        <w:t>Overdosering</w:t>
      </w:r>
    </w:p>
    <w:p w14:paraId="0C5BC5A2" w14:textId="77777777" w:rsidR="007A4746" w:rsidRPr="00CF5197" w:rsidRDefault="007A4746" w:rsidP="007D5C8A">
      <w:pPr>
        <w:ind w:left="851"/>
        <w:rPr>
          <w:rFonts w:eastAsia="Arial Unicode MS"/>
          <w:sz w:val="24"/>
          <w:szCs w:val="24"/>
        </w:rPr>
      </w:pPr>
      <w:r w:rsidRPr="00CF5197">
        <w:rPr>
          <w:sz w:val="24"/>
          <w:szCs w:val="24"/>
        </w:rPr>
        <w:t xml:space="preserve">Der har været indberetninger om </w:t>
      </w:r>
      <w:proofErr w:type="spellStart"/>
      <w:r w:rsidRPr="00CF5197">
        <w:rPr>
          <w:sz w:val="24"/>
          <w:szCs w:val="24"/>
        </w:rPr>
        <w:t>hjertearytmier</w:t>
      </w:r>
      <w:proofErr w:type="spellEnd"/>
      <w:r w:rsidRPr="00CF5197">
        <w:rPr>
          <w:sz w:val="24"/>
          <w:szCs w:val="24"/>
        </w:rPr>
        <w:t xml:space="preserve"> som </w:t>
      </w:r>
      <w:proofErr w:type="spellStart"/>
      <w:r w:rsidRPr="00CF5197">
        <w:rPr>
          <w:sz w:val="24"/>
          <w:szCs w:val="24"/>
        </w:rPr>
        <w:t>Torsades</w:t>
      </w:r>
      <w:proofErr w:type="spellEnd"/>
      <w:r w:rsidRPr="00CF5197">
        <w:rPr>
          <w:sz w:val="24"/>
          <w:szCs w:val="24"/>
        </w:rPr>
        <w:t xml:space="preserve"> de Pointes efter en overdosis med </w:t>
      </w:r>
      <w:proofErr w:type="spellStart"/>
      <w:r w:rsidRPr="00CF5197">
        <w:rPr>
          <w:sz w:val="24"/>
          <w:szCs w:val="24"/>
        </w:rPr>
        <w:t>pentamidindiisetionat</w:t>
      </w:r>
      <w:proofErr w:type="spellEnd"/>
      <w:r w:rsidRPr="00CF5197">
        <w:rPr>
          <w:sz w:val="24"/>
          <w:szCs w:val="24"/>
        </w:rPr>
        <w:t>.</w:t>
      </w:r>
    </w:p>
    <w:p w14:paraId="37B99106" w14:textId="77777777" w:rsidR="007A4746" w:rsidRPr="00CF5197" w:rsidRDefault="007A4746" w:rsidP="007D5C8A">
      <w:pPr>
        <w:ind w:left="851"/>
        <w:rPr>
          <w:rFonts w:eastAsia="Arial Unicode MS"/>
          <w:sz w:val="24"/>
          <w:szCs w:val="24"/>
        </w:rPr>
      </w:pPr>
    </w:p>
    <w:p w14:paraId="64FD5D5B" w14:textId="77777777" w:rsidR="007A4746" w:rsidRPr="00CF5197" w:rsidRDefault="007A4746" w:rsidP="007D5C8A">
      <w:pPr>
        <w:ind w:left="851"/>
        <w:rPr>
          <w:rFonts w:eastAsia="Arial Unicode MS"/>
          <w:sz w:val="24"/>
          <w:szCs w:val="24"/>
        </w:rPr>
      </w:pPr>
      <w:r w:rsidRPr="00CF5197">
        <w:rPr>
          <w:sz w:val="24"/>
          <w:szCs w:val="24"/>
        </w:rPr>
        <w:t>Behandlingen er symptombehandling.</w:t>
      </w:r>
    </w:p>
    <w:p w14:paraId="5E1EB81F" w14:textId="77777777" w:rsidR="009260DE" w:rsidRPr="00CF5197" w:rsidRDefault="009260DE" w:rsidP="009260DE">
      <w:pPr>
        <w:tabs>
          <w:tab w:val="left" w:pos="851"/>
        </w:tabs>
        <w:ind w:left="851"/>
        <w:rPr>
          <w:sz w:val="24"/>
          <w:szCs w:val="24"/>
        </w:rPr>
      </w:pPr>
    </w:p>
    <w:p w14:paraId="5B8A5C32" w14:textId="77777777" w:rsidR="009260DE" w:rsidRPr="00CF5197" w:rsidRDefault="009260DE" w:rsidP="009260DE">
      <w:pPr>
        <w:tabs>
          <w:tab w:val="left" w:pos="851"/>
        </w:tabs>
        <w:ind w:left="851" w:hanging="851"/>
        <w:rPr>
          <w:b/>
          <w:sz w:val="24"/>
          <w:szCs w:val="24"/>
        </w:rPr>
      </w:pPr>
      <w:r w:rsidRPr="00CF5197">
        <w:rPr>
          <w:b/>
          <w:sz w:val="24"/>
          <w:szCs w:val="24"/>
        </w:rPr>
        <w:t>4.10</w:t>
      </w:r>
      <w:r w:rsidRPr="00CF5197">
        <w:rPr>
          <w:b/>
          <w:sz w:val="24"/>
          <w:szCs w:val="24"/>
        </w:rPr>
        <w:tab/>
        <w:t>Udlevering</w:t>
      </w:r>
    </w:p>
    <w:p w14:paraId="65FFC952" w14:textId="6866C2C9" w:rsidR="009260DE" w:rsidRPr="00CF5197" w:rsidRDefault="007A4746" w:rsidP="009260DE">
      <w:pPr>
        <w:tabs>
          <w:tab w:val="left" w:pos="851"/>
        </w:tabs>
        <w:ind w:left="851"/>
        <w:rPr>
          <w:sz w:val="24"/>
          <w:szCs w:val="24"/>
        </w:rPr>
      </w:pPr>
      <w:r w:rsidRPr="00CF5197">
        <w:rPr>
          <w:sz w:val="24"/>
          <w:szCs w:val="24"/>
        </w:rPr>
        <w:t>BEGR (kun til sygehuse)</w:t>
      </w:r>
    </w:p>
    <w:p w14:paraId="20DB42DB" w14:textId="77777777" w:rsidR="009260DE" w:rsidRPr="00CF5197" w:rsidRDefault="009260DE" w:rsidP="009260DE">
      <w:pPr>
        <w:tabs>
          <w:tab w:val="left" w:pos="851"/>
        </w:tabs>
        <w:ind w:left="851"/>
        <w:rPr>
          <w:sz w:val="24"/>
          <w:szCs w:val="24"/>
        </w:rPr>
      </w:pPr>
    </w:p>
    <w:p w14:paraId="16A08CE6" w14:textId="77777777" w:rsidR="009260DE" w:rsidRPr="00CF5197" w:rsidRDefault="009260DE" w:rsidP="009260DE">
      <w:pPr>
        <w:tabs>
          <w:tab w:val="left" w:pos="851"/>
        </w:tabs>
        <w:ind w:left="851"/>
        <w:rPr>
          <w:sz w:val="24"/>
          <w:szCs w:val="24"/>
        </w:rPr>
      </w:pPr>
    </w:p>
    <w:p w14:paraId="284A1605" w14:textId="77777777" w:rsidR="009260DE" w:rsidRPr="00CF5197" w:rsidRDefault="009260DE" w:rsidP="009260DE">
      <w:pPr>
        <w:tabs>
          <w:tab w:val="left" w:pos="851"/>
        </w:tabs>
        <w:ind w:left="851" w:hanging="851"/>
        <w:rPr>
          <w:b/>
          <w:sz w:val="24"/>
          <w:szCs w:val="24"/>
        </w:rPr>
      </w:pPr>
      <w:r w:rsidRPr="00CF5197">
        <w:rPr>
          <w:b/>
          <w:sz w:val="24"/>
          <w:szCs w:val="24"/>
        </w:rPr>
        <w:t>5.</w:t>
      </w:r>
      <w:r w:rsidRPr="00CF5197">
        <w:rPr>
          <w:b/>
          <w:sz w:val="24"/>
          <w:szCs w:val="24"/>
        </w:rPr>
        <w:tab/>
        <w:t>FARMAKOLOGISKE EGENSKABER</w:t>
      </w:r>
    </w:p>
    <w:p w14:paraId="3D3B75B7" w14:textId="77777777" w:rsidR="009260DE" w:rsidRPr="00CF5197" w:rsidRDefault="009260DE" w:rsidP="009260DE">
      <w:pPr>
        <w:tabs>
          <w:tab w:val="left" w:pos="851"/>
        </w:tabs>
        <w:ind w:left="851"/>
        <w:rPr>
          <w:sz w:val="24"/>
          <w:szCs w:val="24"/>
        </w:rPr>
      </w:pPr>
    </w:p>
    <w:p w14:paraId="2D1FB44A" w14:textId="77777777" w:rsidR="009260DE" w:rsidRPr="00CF5197" w:rsidRDefault="009260DE" w:rsidP="009260DE">
      <w:pPr>
        <w:tabs>
          <w:tab w:val="num" w:pos="851"/>
        </w:tabs>
        <w:ind w:left="851" w:hanging="851"/>
        <w:rPr>
          <w:b/>
          <w:sz w:val="24"/>
          <w:szCs w:val="24"/>
        </w:rPr>
      </w:pPr>
      <w:r w:rsidRPr="00CF5197">
        <w:rPr>
          <w:b/>
          <w:sz w:val="24"/>
          <w:szCs w:val="24"/>
        </w:rPr>
        <w:t>5.1</w:t>
      </w:r>
      <w:r w:rsidRPr="00CF5197">
        <w:rPr>
          <w:b/>
          <w:sz w:val="24"/>
          <w:szCs w:val="24"/>
        </w:rPr>
        <w:tab/>
      </w:r>
      <w:proofErr w:type="spellStart"/>
      <w:r w:rsidRPr="00CF5197">
        <w:rPr>
          <w:b/>
          <w:sz w:val="24"/>
          <w:szCs w:val="24"/>
        </w:rPr>
        <w:t>Farmakodynamiske</w:t>
      </w:r>
      <w:proofErr w:type="spellEnd"/>
      <w:r w:rsidRPr="00CF5197">
        <w:rPr>
          <w:b/>
          <w:sz w:val="24"/>
          <w:szCs w:val="24"/>
        </w:rPr>
        <w:t xml:space="preserve"> egenskaber</w:t>
      </w:r>
    </w:p>
    <w:p w14:paraId="4E6D07E4" w14:textId="5D9C1028" w:rsidR="007A4746" w:rsidRPr="00CF5197" w:rsidRDefault="007A4746" w:rsidP="007D5C8A">
      <w:pPr>
        <w:ind w:left="851"/>
        <w:rPr>
          <w:rFonts w:eastAsia="Arial Unicode MS"/>
          <w:sz w:val="24"/>
          <w:szCs w:val="24"/>
        </w:rPr>
      </w:pPr>
      <w:proofErr w:type="spellStart"/>
      <w:r w:rsidRPr="00CF5197">
        <w:rPr>
          <w:sz w:val="24"/>
          <w:szCs w:val="24"/>
        </w:rPr>
        <w:t>Farmakoterapeutisk</w:t>
      </w:r>
      <w:proofErr w:type="spellEnd"/>
      <w:r w:rsidRPr="00CF5197">
        <w:rPr>
          <w:sz w:val="24"/>
          <w:szCs w:val="24"/>
        </w:rPr>
        <w:t xml:space="preserve"> klassifikation: </w:t>
      </w:r>
      <w:proofErr w:type="spellStart"/>
      <w:r w:rsidRPr="00CF5197">
        <w:rPr>
          <w:sz w:val="24"/>
          <w:szCs w:val="24"/>
        </w:rPr>
        <w:t>Antiprotozoale</w:t>
      </w:r>
      <w:proofErr w:type="spellEnd"/>
      <w:r w:rsidRPr="00CF5197">
        <w:rPr>
          <w:sz w:val="24"/>
          <w:szCs w:val="24"/>
        </w:rPr>
        <w:t xml:space="preserve"> midler mod </w:t>
      </w:r>
      <w:proofErr w:type="spellStart"/>
      <w:r w:rsidRPr="00CF5197">
        <w:rPr>
          <w:sz w:val="24"/>
          <w:szCs w:val="24"/>
        </w:rPr>
        <w:t>leishmaniasis</w:t>
      </w:r>
      <w:proofErr w:type="spellEnd"/>
      <w:r w:rsidRPr="00CF5197">
        <w:rPr>
          <w:sz w:val="24"/>
          <w:szCs w:val="24"/>
        </w:rPr>
        <w:t xml:space="preserve"> og </w:t>
      </w:r>
      <w:proofErr w:type="spellStart"/>
      <w:r w:rsidRPr="00CF5197">
        <w:rPr>
          <w:sz w:val="24"/>
          <w:szCs w:val="24"/>
        </w:rPr>
        <w:t>trypanosomiasis</w:t>
      </w:r>
      <w:proofErr w:type="spellEnd"/>
      <w:r w:rsidRPr="00CF5197">
        <w:rPr>
          <w:sz w:val="24"/>
          <w:szCs w:val="24"/>
        </w:rPr>
        <w:t xml:space="preserve">, andre midler mod </w:t>
      </w:r>
      <w:proofErr w:type="spellStart"/>
      <w:r w:rsidRPr="00CF5197">
        <w:rPr>
          <w:sz w:val="24"/>
          <w:szCs w:val="24"/>
        </w:rPr>
        <w:t>leishmaniasis</w:t>
      </w:r>
      <w:proofErr w:type="spellEnd"/>
      <w:r w:rsidRPr="00CF5197">
        <w:rPr>
          <w:sz w:val="24"/>
          <w:szCs w:val="24"/>
        </w:rPr>
        <w:t xml:space="preserve"> og </w:t>
      </w:r>
      <w:proofErr w:type="spellStart"/>
      <w:r w:rsidRPr="00CF5197">
        <w:rPr>
          <w:sz w:val="24"/>
          <w:szCs w:val="24"/>
        </w:rPr>
        <w:t>trypanosomiasis</w:t>
      </w:r>
      <w:proofErr w:type="spellEnd"/>
      <w:r w:rsidR="000A00DF">
        <w:rPr>
          <w:sz w:val="24"/>
          <w:szCs w:val="24"/>
        </w:rPr>
        <w:t xml:space="preserve">, </w:t>
      </w:r>
      <w:r w:rsidRPr="00CF5197">
        <w:rPr>
          <w:sz w:val="24"/>
          <w:szCs w:val="24"/>
        </w:rPr>
        <w:t>ATC-kode: P01CX01.</w:t>
      </w:r>
    </w:p>
    <w:p w14:paraId="47D48A1F" w14:textId="77777777" w:rsidR="007A4746" w:rsidRPr="00CF5197" w:rsidRDefault="007A4746" w:rsidP="007D5C8A">
      <w:pPr>
        <w:ind w:left="851"/>
        <w:rPr>
          <w:rFonts w:eastAsia="Arial Unicode MS"/>
          <w:sz w:val="24"/>
          <w:szCs w:val="24"/>
        </w:rPr>
      </w:pPr>
    </w:p>
    <w:p w14:paraId="3FC3AE5D" w14:textId="77777777" w:rsidR="007A4746" w:rsidRPr="00CF5197" w:rsidRDefault="007A4746" w:rsidP="007D5C8A">
      <w:pPr>
        <w:ind w:left="851"/>
        <w:rPr>
          <w:rFonts w:eastAsia="Arial Unicode MS"/>
          <w:sz w:val="24"/>
          <w:szCs w:val="24"/>
          <w:u w:val="single"/>
        </w:rPr>
      </w:pPr>
      <w:r w:rsidRPr="00CF5197">
        <w:rPr>
          <w:sz w:val="24"/>
          <w:szCs w:val="24"/>
          <w:u w:val="single"/>
        </w:rPr>
        <w:t>Virkningsmekanisme</w:t>
      </w:r>
    </w:p>
    <w:p w14:paraId="5104FD3A" w14:textId="77777777" w:rsidR="007A4746" w:rsidRPr="00CF5197" w:rsidRDefault="007A4746" w:rsidP="007D5C8A">
      <w:pPr>
        <w:ind w:left="851"/>
        <w:rPr>
          <w:rFonts w:eastAsia="Arial Unicode MS"/>
          <w:sz w:val="24"/>
          <w:szCs w:val="24"/>
        </w:rPr>
      </w:pPr>
      <w:r w:rsidRPr="00CF5197">
        <w:rPr>
          <w:sz w:val="24"/>
          <w:szCs w:val="24"/>
        </w:rPr>
        <w:t xml:space="preserve">Det </w:t>
      </w:r>
      <w:proofErr w:type="spellStart"/>
      <w:r w:rsidRPr="00CF5197">
        <w:rPr>
          <w:sz w:val="24"/>
          <w:szCs w:val="24"/>
        </w:rPr>
        <w:t>antiprotozoonotiske</w:t>
      </w:r>
      <w:proofErr w:type="spellEnd"/>
      <w:r w:rsidRPr="00CF5197">
        <w:rPr>
          <w:sz w:val="24"/>
          <w:szCs w:val="24"/>
        </w:rPr>
        <w:t xml:space="preserve"> middel </w:t>
      </w:r>
      <w:proofErr w:type="spellStart"/>
      <w:r w:rsidRPr="00CF5197">
        <w:rPr>
          <w:sz w:val="24"/>
          <w:szCs w:val="24"/>
        </w:rPr>
        <w:t>pentamidin</w:t>
      </w:r>
      <w:proofErr w:type="spellEnd"/>
      <w:r w:rsidRPr="00CF5197">
        <w:rPr>
          <w:sz w:val="24"/>
          <w:szCs w:val="24"/>
        </w:rPr>
        <w:t xml:space="preserve"> er en aromatisk </w:t>
      </w:r>
      <w:proofErr w:type="spellStart"/>
      <w:r w:rsidRPr="00CF5197">
        <w:rPr>
          <w:sz w:val="24"/>
          <w:szCs w:val="24"/>
        </w:rPr>
        <w:t>diamidin</w:t>
      </w:r>
      <w:proofErr w:type="spellEnd"/>
      <w:r w:rsidRPr="00CF5197">
        <w:rPr>
          <w:sz w:val="24"/>
          <w:szCs w:val="24"/>
        </w:rPr>
        <w:t xml:space="preserve">, som udøver sin virkning gennem interaktioner med DNA, interfererer med </w:t>
      </w:r>
      <w:proofErr w:type="spellStart"/>
      <w:r w:rsidRPr="00CF5197">
        <w:rPr>
          <w:sz w:val="24"/>
          <w:szCs w:val="24"/>
        </w:rPr>
        <w:t>folsyremetabolismen</w:t>
      </w:r>
      <w:proofErr w:type="spellEnd"/>
      <w:r w:rsidRPr="00CF5197">
        <w:rPr>
          <w:sz w:val="24"/>
          <w:szCs w:val="24"/>
        </w:rPr>
        <w:t xml:space="preserve"> og hæmmer RNA- og proteinsyntesen.</w:t>
      </w:r>
    </w:p>
    <w:p w14:paraId="477372EF" w14:textId="77777777" w:rsidR="007A4746" w:rsidRPr="00CF5197" w:rsidRDefault="007A4746" w:rsidP="007D5C8A">
      <w:pPr>
        <w:ind w:left="851"/>
        <w:rPr>
          <w:rFonts w:eastAsia="Arial Unicode MS"/>
          <w:sz w:val="24"/>
          <w:szCs w:val="24"/>
        </w:rPr>
      </w:pPr>
    </w:p>
    <w:p w14:paraId="330D2500" w14:textId="77777777" w:rsidR="007A4746" w:rsidRPr="00CF5197" w:rsidRDefault="007A4746" w:rsidP="007D5C8A">
      <w:pPr>
        <w:ind w:left="851"/>
        <w:rPr>
          <w:rFonts w:eastAsia="Arial Unicode MS"/>
          <w:sz w:val="24"/>
          <w:szCs w:val="24"/>
          <w:u w:val="single"/>
        </w:rPr>
      </w:pPr>
      <w:r w:rsidRPr="00CF5197">
        <w:rPr>
          <w:sz w:val="24"/>
          <w:szCs w:val="24"/>
          <w:u w:val="single"/>
        </w:rPr>
        <w:t>Resistensmekanisme</w:t>
      </w:r>
    </w:p>
    <w:p w14:paraId="1A51333D" w14:textId="2A12075F" w:rsidR="007A4746" w:rsidRDefault="007A4746" w:rsidP="007D5C8A">
      <w:pPr>
        <w:ind w:left="851"/>
        <w:rPr>
          <w:sz w:val="24"/>
          <w:szCs w:val="24"/>
        </w:rPr>
      </w:pPr>
      <w:proofErr w:type="spellStart"/>
      <w:r w:rsidRPr="00CF5197">
        <w:rPr>
          <w:sz w:val="24"/>
          <w:szCs w:val="24"/>
        </w:rPr>
        <w:t>Pentamidinresistens</w:t>
      </w:r>
      <w:proofErr w:type="spellEnd"/>
      <w:r w:rsidRPr="00CF5197">
        <w:rPr>
          <w:sz w:val="24"/>
          <w:szCs w:val="24"/>
        </w:rPr>
        <w:t xml:space="preserve"> mod </w:t>
      </w:r>
      <w:proofErr w:type="spellStart"/>
      <w:r w:rsidRPr="00CF5197">
        <w:rPr>
          <w:i/>
          <w:sz w:val="24"/>
          <w:szCs w:val="24"/>
        </w:rPr>
        <w:t>Leishmania</w:t>
      </w:r>
      <w:proofErr w:type="spellEnd"/>
      <w:r w:rsidRPr="00CF5197">
        <w:rPr>
          <w:i/>
          <w:sz w:val="24"/>
          <w:szCs w:val="24"/>
        </w:rPr>
        <w:t xml:space="preserve"> </w:t>
      </w:r>
      <w:proofErr w:type="spellStart"/>
      <w:r w:rsidRPr="00CF5197">
        <w:rPr>
          <w:sz w:val="24"/>
          <w:szCs w:val="24"/>
        </w:rPr>
        <w:t>spp</w:t>
      </w:r>
      <w:proofErr w:type="spellEnd"/>
      <w:r w:rsidRPr="00CF5197">
        <w:rPr>
          <w:sz w:val="24"/>
          <w:szCs w:val="24"/>
        </w:rPr>
        <w:t xml:space="preserve">. er </w:t>
      </w:r>
      <w:proofErr w:type="spellStart"/>
      <w:r w:rsidRPr="00CF5197">
        <w:rPr>
          <w:sz w:val="24"/>
          <w:szCs w:val="24"/>
        </w:rPr>
        <w:t>multifaktoriel</w:t>
      </w:r>
      <w:proofErr w:type="spellEnd"/>
      <w:r w:rsidRPr="00CF5197">
        <w:rPr>
          <w:sz w:val="24"/>
          <w:szCs w:val="24"/>
        </w:rPr>
        <w:t xml:space="preserve"> og medieres af flere energiafhængige molekylepumper, som ændrer transporten af </w:t>
      </w:r>
      <w:proofErr w:type="spellStart"/>
      <w:r w:rsidRPr="00CF5197">
        <w:rPr>
          <w:sz w:val="24"/>
          <w:szCs w:val="24"/>
        </w:rPr>
        <w:t>pentamidin</w:t>
      </w:r>
      <w:proofErr w:type="spellEnd"/>
      <w:r w:rsidRPr="00CF5197">
        <w:rPr>
          <w:sz w:val="24"/>
          <w:szCs w:val="24"/>
        </w:rPr>
        <w:t xml:space="preserve"> ind i og ud af parasitten. Modifikation af tre forskellige transportproteiner, som er ansvarlige for transporten af </w:t>
      </w:r>
      <w:proofErr w:type="spellStart"/>
      <w:r w:rsidRPr="00CF5197">
        <w:rPr>
          <w:sz w:val="24"/>
          <w:szCs w:val="24"/>
        </w:rPr>
        <w:t>pentamidin</w:t>
      </w:r>
      <w:proofErr w:type="spellEnd"/>
      <w:r w:rsidRPr="00CF5197">
        <w:rPr>
          <w:sz w:val="24"/>
          <w:szCs w:val="24"/>
        </w:rPr>
        <w:t xml:space="preserve">, kan mediere resistens, herunder en ATP-bindende kassettetransportør (ABC), </w:t>
      </w:r>
      <w:proofErr w:type="spellStart"/>
      <w:r w:rsidRPr="00CF5197">
        <w:rPr>
          <w:sz w:val="24"/>
          <w:szCs w:val="24"/>
        </w:rPr>
        <w:t>pentamidinresistensprotein</w:t>
      </w:r>
      <w:proofErr w:type="spellEnd"/>
      <w:r w:rsidRPr="00CF5197">
        <w:rPr>
          <w:sz w:val="24"/>
          <w:szCs w:val="24"/>
        </w:rPr>
        <w:t xml:space="preserve"> 1 (PRP1) og en </w:t>
      </w:r>
      <w:proofErr w:type="spellStart"/>
      <w:r w:rsidRPr="00CF5197">
        <w:rPr>
          <w:sz w:val="24"/>
          <w:szCs w:val="24"/>
        </w:rPr>
        <w:t>P-glykoprotein</w:t>
      </w:r>
      <w:r w:rsidR="000523AA">
        <w:rPr>
          <w:sz w:val="24"/>
          <w:szCs w:val="24"/>
        </w:rPr>
        <w:softHyphen/>
      </w:r>
      <w:r w:rsidRPr="00CF5197">
        <w:rPr>
          <w:sz w:val="24"/>
          <w:szCs w:val="24"/>
        </w:rPr>
        <w:t>homolog</w:t>
      </w:r>
      <w:proofErr w:type="spellEnd"/>
      <w:r w:rsidRPr="00CF5197">
        <w:rPr>
          <w:sz w:val="24"/>
          <w:szCs w:val="24"/>
        </w:rPr>
        <w:t xml:space="preserve">, som forårsager </w:t>
      </w:r>
      <w:proofErr w:type="spellStart"/>
      <w:r w:rsidRPr="00CF5197">
        <w:rPr>
          <w:sz w:val="24"/>
          <w:szCs w:val="24"/>
        </w:rPr>
        <w:t>effluks</w:t>
      </w:r>
      <w:proofErr w:type="spellEnd"/>
      <w:r w:rsidRPr="00CF5197">
        <w:rPr>
          <w:sz w:val="24"/>
          <w:szCs w:val="24"/>
        </w:rPr>
        <w:t xml:space="preserve"> af </w:t>
      </w:r>
      <w:proofErr w:type="spellStart"/>
      <w:r w:rsidRPr="00CF5197">
        <w:rPr>
          <w:sz w:val="24"/>
          <w:szCs w:val="24"/>
        </w:rPr>
        <w:t>pentamidin</w:t>
      </w:r>
      <w:proofErr w:type="spellEnd"/>
      <w:r w:rsidRPr="00CF5197">
        <w:rPr>
          <w:sz w:val="24"/>
          <w:szCs w:val="24"/>
        </w:rPr>
        <w:t xml:space="preserve"> fra parasitten. </w:t>
      </w:r>
      <w:proofErr w:type="spellStart"/>
      <w:r w:rsidRPr="00CF5197">
        <w:rPr>
          <w:sz w:val="24"/>
          <w:szCs w:val="24"/>
        </w:rPr>
        <w:t>Pentamidinfølsomme</w:t>
      </w:r>
      <w:proofErr w:type="spellEnd"/>
      <w:r w:rsidRPr="00CF5197">
        <w:rPr>
          <w:sz w:val="24"/>
          <w:szCs w:val="24"/>
        </w:rPr>
        <w:t xml:space="preserve"> </w:t>
      </w:r>
      <w:r w:rsidRPr="00CF5197">
        <w:rPr>
          <w:i/>
          <w:sz w:val="24"/>
          <w:szCs w:val="24"/>
        </w:rPr>
        <w:t xml:space="preserve">L. </w:t>
      </w:r>
      <w:proofErr w:type="spellStart"/>
      <w:r w:rsidRPr="00CF5197">
        <w:rPr>
          <w:i/>
          <w:sz w:val="24"/>
          <w:szCs w:val="24"/>
        </w:rPr>
        <w:t>infantum</w:t>
      </w:r>
      <w:r w:rsidRPr="00CF5197">
        <w:rPr>
          <w:sz w:val="24"/>
          <w:szCs w:val="24"/>
        </w:rPr>
        <w:t>-amastigoter</w:t>
      </w:r>
      <w:proofErr w:type="spellEnd"/>
      <w:r w:rsidRPr="00CF5197">
        <w:rPr>
          <w:sz w:val="24"/>
          <w:szCs w:val="24"/>
        </w:rPr>
        <w:t xml:space="preserve"> kan blive </w:t>
      </w:r>
      <w:proofErr w:type="spellStart"/>
      <w:r w:rsidRPr="00CF5197">
        <w:rPr>
          <w:sz w:val="24"/>
          <w:szCs w:val="24"/>
        </w:rPr>
        <w:t>pentamidineresistente</w:t>
      </w:r>
      <w:proofErr w:type="spellEnd"/>
      <w:r w:rsidRPr="00CF5197">
        <w:rPr>
          <w:sz w:val="24"/>
          <w:szCs w:val="24"/>
        </w:rPr>
        <w:t xml:space="preserve">, hvis de </w:t>
      </w:r>
      <w:proofErr w:type="spellStart"/>
      <w:r w:rsidRPr="00CF5197">
        <w:rPr>
          <w:sz w:val="24"/>
          <w:szCs w:val="24"/>
        </w:rPr>
        <w:t>transfekteres</w:t>
      </w:r>
      <w:proofErr w:type="spellEnd"/>
      <w:r w:rsidRPr="00CF5197">
        <w:rPr>
          <w:sz w:val="24"/>
          <w:szCs w:val="24"/>
        </w:rPr>
        <w:t xml:space="preserve"> med PRP1-gener. </w:t>
      </w:r>
      <w:proofErr w:type="spellStart"/>
      <w:r w:rsidRPr="00CF5197">
        <w:rPr>
          <w:sz w:val="24"/>
          <w:szCs w:val="24"/>
        </w:rPr>
        <w:t>Kalciumkanalblokkeren</w:t>
      </w:r>
      <w:proofErr w:type="spellEnd"/>
      <w:r w:rsidRPr="00CF5197">
        <w:rPr>
          <w:sz w:val="24"/>
          <w:szCs w:val="24"/>
        </w:rPr>
        <w:t xml:space="preserve"> </w:t>
      </w:r>
      <w:proofErr w:type="spellStart"/>
      <w:r w:rsidRPr="00CF5197">
        <w:rPr>
          <w:sz w:val="24"/>
          <w:szCs w:val="24"/>
        </w:rPr>
        <w:t>verapamil</w:t>
      </w:r>
      <w:proofErr w:type="spellEnd"/>
      <w:r w:rsidRPr="00CF5197">
        <w:rPr>
          <w:sz w:val="24"/>
          <w:szCs w:val="24"/>
        </w:rPr>
        <w:t xml:space="preserve"> (ved terapeutisk koncentration) kan revertere effekten af PRP1-genet og genoprette </w:t>
      </w:r>
      <w:proofErr w:type="spellStart"/>
      <w:r w:rsidRPr="00CF5197">
        <w:rPr>
          <w:sz w:val="24"/>
          <w:szCs w:val="24"/>
        </w:rPr>
        <w:t>pentamidinfølsomheden</w:t>
      </w:r>
      <w:proofErr w:type="spellEnd"/>
      <w:r w:rsidRPr="00CF5197">
        <w:rPr>
          <w:sz w:val="24"/>
          <w:szCs w:val="24"/>
        </w:rPr>
        <w:t xml:space="preserve"> </w:t>
      </w:r>
      <w:r w:rsidRPr="00CF5197">
        <w:rPr>
          <w:i/>
          <w:sz w:val="24"/>
          <w:szCs w:val="24"/>
        </w:rPr>
        <w:t xml:space="preserve">in </w:t>
      </w:r>
      <w:proofErr w:type="spellStart"/>
      <w:r w:rsidRPr="00CF5197">
        <w:rPr>
          <w:i/>
          <w:sz w:val="24"/>
          <w:szCs w:val="24"/>
        </w:rPr>
        <w:t>vitro</w:t>
      </w:r>
      <w:proofErr w:type="spellEnd"/>
      <w:r w:rsidRPr="00CF5197">
        <w:rPr>
          <w:sz w:val="24"/>
          <w:szCs w:val="24"/>
        </w:rPr>
        <w:t xml:space="preserve">. Hos </w:t>
      </w:r>
      <w:r w:rsidRPr="00CF5197">
        <w:rPr>
          <w:i/>
          <w:sz w:val="24"/>
          <w:szCs w:val="24"/>
        </w:rPr>
        <w:t xml:space="preserve">T. </w:t>
      </w:r>
      <w:proofErr w:type="spellStart"/>
      <w:r w:rsidRPr="00CF5197">
        <w:rPr>
          <w:i/>
          <w:sz w:val="24"/>
          <w:szCs w:val="24"/>
        </w:rPr>
        <w:t>brucei</w:t>
      </w:r>
      <w:proofErr w:type="spellEnd"/>
      <w:r w:rsidRPr="00CF5197">
        <w:rPr>
          <w:i/>
          <w:sz w:val="24"/>
          <w:szCs w:val="24"/>
        </w:rPr>
        <w:t xml:space="preserve"> </w:t>
      </w:r>
      <w:proofErr w:type="spellStart"/>
      <w:r w:rsidRPr="00CF5197">
        <w:rPr>
          <w:i/>
          <w:sz w:val="24"/>
          <w:szCs w:val="24"/>
        </w:rPr>
        <w:t>gambiense</w:t>
      </w:r>
      <w:proofErr w:type="spellEnd"/>
      <w:r w:rsidRPr="00CF5197">
        <w:rPr>
          <w:sz w:val="24"/>
          <w:szCs w:val="24"/>
        </w:rPr>
        <w:t xml:space="preserve"> er der identificeret mutationer i et </w:t>
      </w:r>
      <w:proofErr w:type="spellStart"/>
      <w:r w:rsidRPr="00CF5197">
        <w:rPr>
          <w:sz w:val="24"/>
          <w:szCs w:val="24"/>
        </w:rPr>
        <w:t>aquaporingen</w:t>
      </w:r>
      <w:proofErr w:type="spellEnd"/>
      <w:r w:rsidRPr="00CF5197">
        <w:rPr>
          <w:sz w:val="24"/>
          <w:szCs w:val="24"/>
        </w:rPr>
        <w:t xml:space="preserve"> (</w:t>
      </w:r>
      <w:proofErr w:type="spellStart"/>
      <w:r w:rsidRPr="00CF5197">
        <w:rPr>
          <w:sz w:val="24"/>
          <w:szCs w:val="24"/>
        </w:rPr>
        <w:t>aquaglyceroporin</w:t>
      </w:r>
      <w:proofErr w:type="spellEnd"/>
      <w:r w:rsidRPr="00CF5197">
        <w:rPr>
          <w:sz w:val="24"/>
          <w:szCs w:val="24"/>
        </w:rPr>
        <w:t xml:space="preserve"> TbAQP2), som giver krydsresistens mod både </w:t>
      </w:r>
      <w:proofErr w:type="spellStart"/>
      <w:r w:rsidRPr="00CF5197">
        <w:rPr>
          <w:sz w:val="24"/>
          <w:szCs w:val="24"/>
        </w:rPr>
        <w:t>pentamidin</w:t>
      </w:r>
      <w:proofErr w:type="spellEnd"/>
      <w:r w:rsidRPr="00CF5197">
        <w:rPr>
          <w:sz w:val="24"/>
          <w:szCs w:val="24"/>
        </w:rPr>
        <w:t xml:space="preserve"> og </w:t>
      </w:r>
      <w:proofErr w:type="spellStart"/>
      <w:r w:rsidRPr="00CF5197">
        <w:rPr>
          <w:sz w:val="24"/>
          <w:szCs w:val="24"/>
        </w:rPr>
        <w:t>melaminophenylarseniklægemidler</w:t>
      </w:r>
      <w:proofErr w:type="spellEnd"/>
      <w:r w:rsidRPr="00CF5197">
        <w:rPr>
          <w:sz w:val="24"/>
          <w:szCs w:val="24"/>
        </w:rPr>
        <w:t xml:space="preserve"> (</w:t>
      </w:r>
      <w:proofErr w:type="spellStart"/>
      <w:r w:rsidRPr="00CF5197">
        <w:rPr>
          <w:sz w:val="24"/>
          <w:szCs w:val="24"/>
        </w:rPr>
        <w:t>melarsoprol</w:t>
      </w:r>
      <w:proofErr w:type="spellEnd"/>
      <w:r w:rsidRPr="00CF5197">
        <w:rPr>
          <w:sz w:val="24"/>
          <w:szCs w:val="24"/>
        </w:rPr>
        <w:t>/</w:t>
      </w:r>
      <w:proofErr w:type="spellStart"/>
      <w:r w:rsidRPr="00CF5197">
        <w:rPr>
          <w:sz w:val="24"/>
          <w:szCs w:val="24"/>
        </w:rPr>
        <w:t>cymelarsan</w:t>
      </w:r>
      <w:proofErr w:type="spellEnd"/>
      <w:r w:rsidRPr="00CF5197">
        <w:rPr>
          <w:sz w:val="24"/>
          <w:szCs w:val="24"/>
        </w:rPr>
        <w:t xml:space="preserve">). </w:t>
      </w:r>
      <w:proofErr w:type="spellStart"/>
      <w:r w:rsidRPr="00CF5197">
        <w:rPr>
          <w:sz w:val="24"/>
          <w:szCs w:val="24"/>
        </w:rPr>
        <w:t>Pentamidin</w:t>
      </w:r>
      <w:proofErr w:type="spellEnd"/>
      <w:r w:rsidRPr="00CF5197">
        <w:rPr>
          <w:sz w:val="24"/>
          <w:szCs w:val="24"/>
        </w:rPr>
        <w:t xml:space="preserve"> binder sig til vildtype-</w:t>
      </w:r>
      <w:proofErr w:type="spellStart"/>
      <w:r w:rsidRPr="00CF5197">
        <w:rPr>
          <w:sz w:val="24"/>
          <w:szCs w:val="24"/>
        </w:rPr>
        <w:t>aquaglyceroporin</w:t>
      </w:r>
      <w:proofErr w:type="spellEnd"/>
      <w:r w:rsidRPr="00CF5197">
        <w:rPr>
          <w:sz w:val="24"/>
          <w:szCs w:val="24"/>
        </w:rPr>
        <w:t xml:space="preserve"> i nanomolære koncentrationer og inaktivere </w:t>
      </w:r>
      <w:proofErr w:type="spellStart"/>
      <w:r w:rsidRPr="00CF5197">
        <w:rPr>
          <w:sz w:val="24"/>
          <w:szCs w:val="24"/>
        </w:rPr>
        <w:t>porinkanalaktiviteten</w:t>
      </w:r>
      <w:proofErr w:type="spellEnd"/>
      <w:r w:rsidRPr="00CF5197">
        <w:rPr>
          <w:sz w:val="24"/>
          <w:szCs w:val="24"/>
        </w:rPr>
        <w:t xml:space="preserve">, som bidrager til at opretholde osmotisk balance og </w:t>
      </w:r>
      <w:proofErr w:type="spellStart"/>
      <w:r w:rsidRPr="00CF5197">
        <w:rPr>
          <w:sz w:val="24"/>
          <w:szCs w:val="24"/>
        </w:rPr>
        <w:t>tovejsflow</w:t>
      </w:r>
      <w:proofErr w:type="spellEnd"/>
      <w:r w:rsidRPr="00CF5197">
        <w:rPr>
          <w:sz w:val="24"/>
          <w:szCs w:val="24"/>
        </w:rPr>
        <w:t xml:space="preserve"> af </w:t>
      </w:r>
      <w:proofErr w:type="spellStart"/>
      <w:r w:rsidRPr="00CF5197">
        <w:rPr>
          <w:sz w:val="24"/>
          <w:szCs w:val="24"/>
        </w:rPr>
        <w:t>solutter</w:t>
      </w:r>
      <w:proofErr w:type="spellEnd"/>
      <w:r w:rsidRPr="00CF5197">
        <w:rPr>
          <w:sz w:val="24"/>
          <w:szCs w:val="24"/>
        </w:rPr>
        <w:t xml:space="preserve">. Mutationerne hæmmer </w:t>
      </w:r>
      <w:proofErr w:type="spellStart"/>
      <w:r w:rsidRPr="00CF5197">
        <w:rPr>
          <w:sz w:val="24"/>
          <w:szCs w:val="24"/>
        </w:rPr>
        <w:t>pentamidins</w:t>
      </w:r>
      <w:proofErr w:type="spellEnd"/>
      <w:r w:rsidRPr="00CF5197">
        <w:rPr>
          <w:sz w:val="24"/>
          <w:szCs w:val="24"/>
        </w:rPr>
        <w:t xml:space="preserve"> binding til dette kanalprotein.</w:t>
      </w:r>
    </w:p>
    <w:p w14:paraId="65A0E791" w14:textId="77777777" w:rsidR="000A00DF" w:rsidRPr="00CF5197" w:rsidRDefault="000A00DF" w:rsidP="007D5C8A">
      <w:pPr>
        <w:ind w:left="851"/>
        <w:rPr>
          <w:rFonts w:eastAsia="Arial Unicode MS"/>
          <w:sz w:val="24"/>
          <w:szCs w:val="24"/>
        </w:rPr>
      </w:pPr>
    </w:p>
    <w:p w14:paraId="66629CB2" w14:textId="77777777" w:rsidR="009260DE" w:rsidRPr="00CF5197" w:rsidRDefault="009260DE" w:rsidP="009260DE">
      <w:pPr>
        <w:tabs>
          <w:tab w:val="left" w:pos="851"/>
        </w:tabs>
        <w:ind w:left="851" w:hanging="851"/>
        <w:rPr>
          <w:b/>
          <w:sz w:val="24"/>
          <w:szCs w:val="24"/>
        </w:rPr>
      </w:pPr>
      <w:r w:rsidRPr="00CF5197">
        <w:rPr>
          <w:b/>
          <w:sz w:val="24"/>
          <w:szCs w:val="24"/>
        </w:rPr>
        <w:t>5.2</w:t>
      </w:r>
      <w:r w:rsidRPr="00CF5197">
        <w:rPr>
          <w:b/>
          <w:sz w:val="24"/>
          <w:szCs w:val="24"/>
        </w:rPr>
        <w:tab/>
      </w:r>
      <w:proofErr w:type="spellStart"/>
      <w:r w:rsidRPr="00CF5197">
        <w:rPr>
          <w:b/>
          <w:sz w:val="24"/>
          <w:szCs w:val="24"/>
        </w:rPr>
        <w:t>Farmakokinetiske</w:t>
      </w:r>
      <w:proofErr w:type="spellEnd"/>
      <w:r w:rsidRPr="00CF5197">
        <w:rPr>
          <w:b/>
          <w:sz w:val="24"/>
          <w:szCs w:val="24"/>
        </w:rPr>
        <w:t xml:space="preserve"> egenskaber</w:t>
      </w:r>
    </w:p>
    <w:p w14:paraId="3C997A1B" w14:textId="77777777" w:rsidR="007A4746" w:rsidRPr="00CF5197" w:rsidRDefault="007A4746" w:rsidP="007D5C8A">
      <w:pPr>
        <w:ind w:left="851"/>
        <w:rPr>
          <w:sz w:val="24"/>
          <w:szCs w:val="24"/>
        </w:rPr>
      </w:pPr>
      <w:r w:rsidRPr="00CF5197">
        <w:rPr>
          <w:sz w:val="24"/>
          <w:szCs w:val="24"/>
        </w:rPr>
        <w:t xml:space="preserve">Efter intravenøs infusion af 4 mg </w:t>
      </w:r>
      <w:proofErr w:type="spellStart"/>
      <w:r w:rsidRPr="00CF5197">
        <w:rPr>
          <w:sz w:val="24"/>
          <w:szCs w:val="24"/>
        </w:rPr>
        <w:t>pentamidindiisetionat</w:t>
      </w:r>
      <w:proofErr w:type="spellEnd"/>
      <w:r w:rsidRPr="00CF5197">
        <w:rPr>
          <w:sz w:val="24"/>
          <w:szCs w:val="24"/>
        </w:rPr>
        <w:t xml:space="preserve"> pr. kg legemsvægt over 2 timer nås den maksimale plasmakoncentration på ca. 0,5 </w:t>
      </w:r>
      <w:proofErr w:type="spellStart"/>
      <w:r w:rsidRPr="00CF5197">
        <w:rPr>
          <w:sz w:val="24"/>
          <w:szCs w:val="24"/>
        </w:rPr>
        <w:t>μg</w:t>
      </w:r>
      <w:proofErr w:type="spellEnd"/>
      <w:r w:rsidRPr="00CF5197">
        <w:rPr>
          <w:sz w:val="24"/>
          <w:szCs w:val="24"/>
        </w:rPr>
        <w:t>/ml, efter intramuskulær injektion af den samme dosis er den maksimale plasmakoncentration ca. 0,2 </w:t>
      </w:r>
      <w:proofErr w:type="spellStart"/>
      <w:r w:rsidRPr="00CF5197">
        <w:rPr>
          <w:sz w:val="24"/>
          <w:szCs w:val="24"/>
        </w:rPr>
        <w:t>μg</w:t>
      </w:r>
      <w:proofErr w:type="spellEnd"/>
      <w:r w:rsidRPr="00CF5197">
        <w:rPr>
          <w:sz w:val="24"/>
          <w:szCs w:val="24"/>
        </w:rPr>
        <w:t>/ml.</w:t>
      </w:r>
    </w:p>
    <w:p w14:paraId="66EE41B0" w14:textId="77777777" w:rsidR="007A4746" w:rsidRPr="00CF5197" w:rsidRDefault="007A4746" w:rsidP="007A4746">
      <w:pPr>
        <w:rPr>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57"/>
        <w:gridCol w:w="3035"/>
        <w:gridCol w:w="2736"/>
      </w:tblGrid>
      <w:tr w:rsidR="007A4746" w:rsidRPr="00CF5197" w14:paraId="512442AB" w14:textId="77777777" w:rsidTr="000A00DF">
        <w:trPr>
          <w:trHeight w:val="253"/>
          <w:tblHeader/>
        </w:trPr>
        <w:tc>
          <w:tcPr>
            <w:tcW w:w="2003" w:type="pct"/>
            <w:tcBorders>
              <w:top w:val="single" w:sz="4" w:space="0" w:color="000000"/>
              <w:left w:val="single" w:sz="4" w:space="0" w:color="000000"/>
              <w:bottom w:val="single" w:sz="4" w:space="0" w:color="000000"/>
              <w:right w:val="single" w:sz="4" w:space="0" w:color="000000"/>
            </w:tcBorders>
            <w:hideMark/>
          </w:tcPr>
          <w:p w14:paraId="5D5ADBA5" w14:textId="77777777" w:rsidR="007A4746" w:rsidRPr="00CF5197" w:rsidRDefault="007A4746">
            <w:pPr>
              <w:pStyle w:val="TableParagraph"/>
              <w:ind w:left="194" w:right="186"/>
              <w:rPr>
                <w:b/>
                <w:sz w:val="24"/>
                <w:szCs w:val="24"/>
              </w:rPr>
            </w:pPr>
            <w:r w:rsidRPr="00CF5197">
              <w:rPr>
                <w:b/>
                <w:sz w:val="24"/>
                <w:szCs w:val="24"/>
              </w:rPr>
              <w:lastRenderedPageBreak/>
              <w:t>Periode</w:t>
            </w:r>
          </w:p>
        </w:tc>
        <w:tc>
          <w:tcPr>
            <w:tcW w:w="1576" w:type="pct"/>
            <w:tcBorders>
              <w:top w:val="single" w:sz="4" w:space="0" w:color="000000"/>
              <w:left w:val="single" w:sz="4" w:space="0" w:color="000000"/>
              <w:bottom w:val="single" w:sz="4" w:space="0" w:color="000000"/>
              <w:right w:val="single" w:sz="4" w:space="0" w:color="000000"/>
            </w:tcBorders>
            <w:hideMark/>
          </w:tcPr>
          <w:p w14:paraId="01A93990" w14:textId="77777777" w:rsidR="007A4746" w:rsidRPr="00CF5197" w:rsidRDefault="007A4746">
            <w:pPr>
              <w:pStyle w:val="TableParagraph"/>
              <w:ind w:left="261"/>
              <w:rPr>
                <w:b/>
                <w:sz w:val="24"/>
                <w:szCs w:val="24"/>
              </w:rPr>
            </w:pPr>
            <w:r w:rsidRPr="00CF5197">
              <w:rPr>
                <w:b/>
                <w:sz w:val="24"/>
                <w:szCs w:val="24"/>
              </w:rPr>
              <w:t>intravenøs administration (</w:t>
            </w:r>
            <w:proofErr w:type="spellStart"/>
            <w:r w:rsidRPr="00CF5197">
              <w:rPr>
                <w:b/>
                <w:sz w:val="24"/>
                <w:szCs w:val="24"/>
              </w:rPr>
              <w:t>ng</w:t>
            </w:r>
            <w:proofErr w:type="spellEnd"/>
            <w:r w:rsidRPr="00CF5197">
              <w:rPr>
                <w:b/>
                <w:sz w:val="24"/>
                <w:szCs w:val="24"/>
              </w:rPr>
              <w:t>/</w:t>
            </w:r>
            <w:proofErr w:type="gramStart"/>
            <w:r w:rsidRPr="00CF5197">
              <w:rPr>
                <w:b/>
                <w:sz w:val="24"/>
                <w:szCs w:val="24"/>
              </w:rPr>
              <w:t>ml)*</w:t>
            </w:r>
            <w:proofErr w:type="gramEnd"/>
          </w:p>
        </w:tc>
        <w:tc>
          <w:tcPr>
            <w:tcW w:w="1422" w:type="pct"/>
            <w:tcBorders>
              <w:top w:val="single" w:sz="4" w:space="0" w:color="000000"/>
              <w:left w:val="single" w:sz="4" w:space="0" w:color="000000"/>
              <w:bottom w:val="single" w:sz="4" w:space="0" w:color="000000"/>
              <w:right w:val="single" w:sz="4" w:space="0" w:color="000000"/>
            </w:tcBorders>
            <w:hideMark/>
          </w:tcPr>
          <w:p w14:paraId="5411FD03" w14:textId="77777777" w:rsidR="007A4746" w:rsidRPr="00CF5197" w:rsidRDefault="007A4746">
            <w:pPr>
              <w:pStyle w:val="TableParagraph"/>
              <w:ind w:left="350"/>
              <w:rPr>
                <w:b/>
                <w:sz w:val="24"/>
                <w:szCs w:val="24"/>
              </w:rPr>
            </w:pPr>
            <w:r w:rsidRPr="00CF5197">
              <w:rPr>
                <w:b/>
                <w:sz w:val="24"/>
                <w:szCs w:val="24"/>
              </w:rPr>
              <w:t>intramuskulær administration (</w:t>
            </w:r>
            <w:proofErr w:type="spellStart"/>
            <w:r w:rsidRPr="00CF5197">
              <w:rPr>
                <w:b/>
                <w:sz w:val="24"/>
                <w:szCs w:val="24"/>
              </w:rPr>
              <w:t>ng</w:t>
            </w:r>
            <w:proofErr w:type="spellEnd"/>
            <w:r w:rsidRPr="00CF5197">
              <w:rPr>
                <w:b/>
                <w:sz w:val="24"/>
                <w:szCs w:val="24"/>
              </w:rPr>
              <w:t>/</w:t>
            </w:r>
            <w:proofErr w:type="gramStart"/>
            <w:r w:rsidRPr="00CF5197">
              <w:rPr>
                <w:b/>
                <w:sz w:val="24"/>
                <w:szCs w:val="24"/>
              </w:rPr>
              <w:t>ml)*</w:t>
            </w:r>
            <w:proofErr w:type="gramEnd"/>
          </w:p>
        </w:tc>
      </w:tr>
      <w:tr w:rsidR="007A4746" w:rsidRPr="00CF5197" w14:paraId="54C20BC1" w14:textId="77777777" w:rsidTr="000A00DF">
        <w:trPr>
          <w:trHeight w:val="251"/>
          <w:tblHeader/>
        </w:trPr>
        <w:tc>
          <w:tcPr>
            <w:tcW w:w="2003" w:type="pct"/>
            <w:tcBorders>
              <w:top w:val="single" w:sz="4" w:space="0" w:color="000000"/>
              <w:left w:val="single" w:sz="4" w:space="0" w:color="000000"/>
              <w:bottom w:val="single" w:sz="4" w:space="0" w:color="000000"/>
              <w:right w:val="single" w:sz="4" w:space="0" w:color="000000"/>
            </w:tcBorders>
            <w:hideMark/>
          </w:tcPr>
          <w:p w14:paraId="771E729C" w14:textId="77777777" w:rsidR="007A4746" w:rsidRPr="00CF5197" w:rsidRDefault="007A4746">
            <w:pPr>
              <w:pStyle w:val="TableParagraph"/>
              <w:ind w:left="193" w:right="186"/>
              <w:jc w:val="center"/>
              <w:rPr>
                <w:sz w:val="24"/>
                <w:szCs w:val="24"/>
              </w:rPr>
            </w:pPr>
            <w:r w:rsidRPr="00CF5197">
              <w:rPr>
                <w:sz w:val="24"/>
                <w:szCs w:val="24"/>
              </w:rPr>
              <w:t>20 min./15 min.</w:t>
            </w:r>
          </w:p>
        </w:tc>
        <w:tc>
          <w:tcPr>
            <w:tcW w:w="1576" w:type="pct"/>
            <w:tcBorders>
              <w:top w:val="single" w:sz="4" w:space="0" w:color="000000"/>
              <w:left w:val="single" w:sz="4" w:space="0" w:color="000000"/>
              <w:bottom w:val="single" w:sz="4" w:space="0" w:color="000000"/>
              <w:right w:val="single" w:sz="4" w:space="0" w:color="000000"/>
            </w:tcBorders>
            <w:hideMark/>
          </w:tcPr>
          <w:p w14:paraId="661FB85D" w14:textId="77777777" w:rsidR="007A4746" w:rsidRPr="00CF5197" w:rsidRDefault="007A4746">
            <w:pPr>
              <w:pStyle w:val="TableParagraph"/>
              <w:ind w:left="614" w:right="603"/>
              <w:jc w:val="center"/>
              <w:rPr>
                <w:sz w:val="24"/>
                <w:szCs w:val="24"/>
              </w:rPr>
            </w:pPr>
            <w:r w:rsidRPr="00CF5197">
              <w:rPr>
                <w:sz w:val="24"/>
                <w:szCs w:val="24"/>
              </w:rPr>
              <w:t>277 ± 184</w:t>
            </w:r>
          </w:p>
        </w:tc>
        <w:tc>
          <w:tcPr>
            <w:tcW w:w="1422" w:type="pct"/>
            <w:tcBorders>
              <w:top w:val="single" w:sz="4" w:space="0" w:color="000000"/>
              <w:left w:val="single" w:sz="4" w:space="0" w:color="000000"/>
              <w:bottom w:val="single" w:sz="4" w:space="0" w:color="000000"/>
              <w:right w:val="single" w:sz="4" w:space="0" w:color="000000"/>
            </w:tcBorders>
            <w:hideMark/>
          </w:tcPr>
          <w:p w14:paraId="69F0C4FD" w14:textId="77777777" w:rsidR="007A4746" w:rsidRPr="00CF5197" w:rsidRDefault="007A4746">
            <w:pPr>
              <w:pStyle w:val="TableParagraph"/>
              <w:ind w:left="681" w:right="675"/>
              <w:jc w:val="center"/>
              <w:rPr>
                <w:sz w:val="24"/>
                <w:szCs w:val="24"/>
              </w:rPr>
            </w:pPr>
            <w:r w:rsidRPr="00CF5197">
              <w:rPr>
                <w:sz w:val="24"/>
                <w:szCs w:val="24"/>
              </w:rPr>
              <w:t>96,2 ± 94,1</w:t>
            </w:r>
          </w:p>
        </w:tc>
      </w:tr>
      <w:tr w:rsidR="007A4746" w:rsidRPr="00CF5197" w14:paraId="1F1E71F9" w14:textId="77777777" w:rsidTr="000A00DF">
        <w:trPr>
          <w:trHeight w:val="253"/>
          <w:tblHeader/>
        </w:trPr>
        <w:tc>
          <w:tcPr>
            <w:tcW w:w="2003" w:type="pct"/>
            <w:tcBorders>
              <w:top w:val="single" w:sz="4" w:space="0" w:color="000000"/>
              <w:left w:val="single" w:sz="4" w:space="0" w:color="000000"/>
              <w:bottom w:val="single" w:sz="4" w:space="0" w:color="000000"/>
              <w:right w:val="single" w:sz="4" w:space="0" w:color="000000"/>
            </w:tcBorders>
            <w:hideMark/>
          </w:tcPr>
          <w:p w14:paraId="3349CFE5" w14:textId="77777777" w:rsidR="007A4746" w:rsidRPr="00CF5197" w:rsidRDefault="007A4746">
            <w:pPr>
              <w:pStyle w:val="TableParagraph"/>
              <w:ind w:left="193" w:right="186"/>
              <w:jc w:val="center"/>
              <w:rPr>
                <w:sz w:val="24"/>
                <w:szCs w:val="24"/>
              </w:rPr>
            </w:pPr>
            <w:r w:rsidRPr="00CF5197">
              <w:rPr>
                <w:sz w:val="24"/>
                <w:szCs w:val="24"/>
              </w:rPr>
              <w:t>40 min./30 min.</w:t>
            </w:r>
          </w:p>
        </w:tc>
        <w:tc>
          <w:tcPr>
            <w:tcW w:w="1576" w:type="pct"/>
            <w:tcBorders>
              <w:top w:val="single" w:sz="4" w:space="0" w:color="000000"/>
              <w:left w:val="single" w:sz="4" w:space="0" w:color="000000"/>
              <w:bottom w:val="single" w:sz="4" w:space="0" w:color="000000"/>
              <w:right w:val="single" w:sz="4" w:space="0" w:color="000000"/>
            </w:tcBorders>
            <w:hideMark/>
          </w:tcPr>
          <w:p w14:paraId="31B9436F" w14:textId="77777777" w:rsidR="007A4746" w:rsidRPr="00CF5197" w:rsidRDefault="007A4746">
            <w:pPr>
              <w:pStyle w:val="TableParagraph"/>
              <w:ind w:left="614" w:right="603"/>
              <w:jc w:val="center"/>
              <w:rPr>
                <w:sz w:val="24"/>
                <w:szCs w:val="24"/>
              </w:rPr>
            </w:pPr>
            <w:r w:rsidRPr="00CF5197">
              <w:rPr>
                <w:sz w:val="24"/>
                <w:szCs w:val="24"/>
              </w:rPr>
              <w:t>330 ± 153</w:t>
            </w:r>
          </w:p>
        </w:tc>
        <w:tc>
          <w:tcPr>
            <w:tcW w:w="1422" w:type="pct"/>
            <w:tcBorders>
              <w:top w:val="single" w:sz="4" w:space="0" w:color="000000"/>
              <w:left w:val="single" w:sz="4" w:space="0" w:color="000000"/>
              <w:bottom w:val="single" w:sz="4" w:space="0" w:color="000000"/>
              <w:right w:val="single" w:sz="4" w:space="0" w:color="000000"/>
            </w:tcBorders>
            <w:hideMark/>
          </w:tcPr>
          <w:p w14:paraId="2B5CB87E" w14:textId="77777777" w:rsidR="007A4746" w:rsidRPr="00CF5197" w:rsidRDefault="007A4746">
            <w:pPr>
              <w:pStyle w:val="TableParagraph"/>
              <w:ind w:left="681" w:right="672"/>
              <w:jc w:val="center"/>
              <w:rPr>
                <w:sz w:val="24"/>
                <w:szCs w:val="24"/>
              </w:rPr>
            </w:pPr>
            <w:r w:rsidRPr="00CF5197">
              <w:rPr>
                <w:sz w:val="24"/>
                <w:szCs w:val="24"/>
              </w:rPr>
              <w:t>199 ± 59,0</w:t>
            </w:r>
          </w:p>
        </w:tc>
      </w:tr>
      <w:tr w:rsidR="007A4746" w:rsidRPr="00CF5197" w14:paraId="2FB54032" w14:textId="77777777" w:rsidTr="000A00DF">
        <w:trPr>
          <w:trHeight w:val="251"/>
          <w:tblHeader/>
        </w:trPr>
        <w:tc>
          <w:tcPr>
            <w:tcW w:w="2003" w:type="pct"/>
            <w:tcBorders>
              <w:top w:val="single" w:sz="4" w:space="0" w:color="000000"/>
              <w:left w:val="single" w:sz="4" w:space="0" w:color="000000"/>
              <w:bottom w:val="single" w:sz="4" w:space="0" w:color="000000"/>
              <w:right w:val="single" w:sz="4" w:space="0" w:color="000000"/>
            </w:tcBorders>
            <w:hideMark/>
          </w:tcPr>
          <w:p w14:paraId="6E0719C6" w14:textId="77777777" w:rsidR="007A4746" w:rsidRPr="00CF5197" w:rsidRDefault="007A4746">
            <w:pPr>
              <w:pStyle w:val="TableParagraph"/>
              <w:ind w:left="195" w:right="186"/>
              <w:jc w:val="center"/>
              <w:rPr>
                <w:sz w:val="24"/>
                <w:szCs w:val="24"/>
              </w:rPr>
            </w:pPr>
            <w:r w:rsidRPr="00CF5197">
              <w:rPr>
                <w:sz w:val="24"/>
                <w:szCs w:val="24"/>
              </w:rPr>
              <w:t>1 time</w:t>
            </w:r>
          </w:p>
        </w:tc>
        <w:tc>
          <w:tcPr>
            <w:tcW w:w="1576" w:type="pct"/>
            <w:tcBorders>
              <w:top w:val="single" w:sz="4" w:space="0" w:color="000000"/>
              <w:left w:val="single" w:sz="4" w:space="0" w:color="000000"/>
              <w:bottom w:val="single" w:sz="4" w:space="0" w:color="000000"/>
              <w:right w:val="single" w:sz="4" w:space="0" w:color="000000"/>
            </w:tcBorders>
            <w:hideMark/>
          </w:tcPr>
          <w:p w14:paraId="2174A33D" w14:textId="77777777" w:rsidR="007A4746" w:rsidRPr="00CF5197" w:rsidRDefault="007A4746">
            <w:pPr>
              <w:pStyle w:val="TableParagraph"/>
              <w:ind w:left="614" w:right="603"/>
              <w:jc w:val="center"/>
              <w:rPr>
                <w:sz w:val="24"/>
                <w:szCs w:val="24"/>
              </w:rPr>
            </w:pPr>
            <w:r w:rsidRPr="00CF5197">
              <w:rPr>
                <w:sz w:val="24"/>
                <w:szCs w:val="24"/>
              </w:rPr>
              <w:t>404 ± 251</w:t>
            </w:r>
          </w:p>
        </w:tc>
        <w:tc>
          <w:tcPr>
            <w:tcW w:w="1422" w:type="pct"/>
            <w:tcBorders>
              <w:top w:val="single" w:sz="4" w:space="0" w:color="000000"/>
              <w:left w:val="single" w:sz="4" w:space="0" w:color="000000"/>
              <w:bottom w:val="single" w:sz="4" w:space="0" w:color="000000"/>
              <w:right w:val="single" w:sz="4" w:space="0" w:color="000000"/>
            </w:tcBorders>
            <w:hideMark/>
          </w:tcPr>
          <w:p w14:paraId="12A71AA1" w14:textId="77777777" w:rsidR="007A4746" w:rsidRPr="00CF5197" w:rsidRDefault="007A4746">
            <w:pPr>
              <w:pStyle w:val="TableParagraph"/>
              <w:ind w:left="681" w:right="672"/>
              <w:jc w:val="center"/>
              <w:rPr>
                <w:sz w:val="24"/>
                <w:szCs w:val="24"/>
              </w:rPr>
            </w:pPr>
            <w:r w:rsidRPr="00CF5197">
              <w:rPr>
                <w:sz w:val="24"/>
                <w:szCs w:val="24"/>
              </w:rPr>
              <w:t>170 ± 51,2</w:t>
            </w:r>
          </w:p>
        </w:tc>
      </w:tr>
      <w:tr w:rsidR="007A4746" w:rsidRPr="00CF5197" w14:paraId="66780703" w14:textId="77777777" w:rsidTr="000A00DF">
        <w:trPr>
          <w:trHeight w:val="253"/>
          <w:tblHeader/>
        </w:trPr>
        <w:tc>
          <w:tcPr>
            <w:tcW w:w="2003" w:type="pct"/>
            <w:tcBorders>
              <w:top w:val="single" w:sz="4" w:space="0" w:color="000000"/>
              <w:left w:val="single" w:sz="4" w:space="0" w:color="000000"/>
              <w:bottom w:val="single" w:sz="4" w:space="0" w:color="000000"/>
              <w:right w:val="single" w:sz="4" w:space="0" w:color="000000"/>
            </w:tcBorders>
            <w:hideMark/>
          </w:tcPr>
          <w:p w14:paraId="576C905C" w14:textId="77777777" w:rsidR="007A4746" w:rsidRPr="00CF5197" w:rsidRDefault="007A4746">
            <w:pPr>
              <w:pStyle w:val="TableParagraph"/>
              <w:ind w:left="195" w:right="186"/>
              <w:jc w:val="center"/>
              <w:rPr>
                <w:sz w:val="24"/>
                <w:szCs w:val="24"/>
              </w:rPr>
            </w:pPr>
            <w:r w:rsidRPr="00CF5197">
              <w:rPr>
                <w:sz w:val="24"/>
                <w:szCs w:val="24"/>
              </w:rPr>
              <w:t>2 timer</w:t>
            </w:r>
          </w:p>
        </w:tc>
        <w:tc>
          <w:tcPr>
            <w:tcW w:w="1576" w:type="pct"/>
            <w:tcBorders>
              <w:top w:val="single" w:sz="4" w:space="0" w:color="000000"/>
              <w:left w:val="single" w:sz="4" w:space="0" w:color="000000"/>
              <w:bottom w:val="single" w:sz="4" w:space="0" w:color="000000"/>
              <w:right w:val="single" w:sz="4" w:space="0" w:color="000000"/>
            </w:tcBorders>
            <w:hideMark/>
          </w:tcPr>
          <w:p w14:paraId="7AEAFD39" w14:textId="77777777" w:rsidR="007A4746" w:rsidRPr="00CF5197" w:rsidRDefault="007A4746">
            <w:pPr>
              <w:pStyle w:val="TableParagraph"/>
              <w:ind w:left="614" w:right="603"/>
              <w:jc w:val="center"/>
              <w:rPr>
                <w:sz w:val="24"/>
                <w:szCs w:val="24"/>
              </w:rPr>
            </w:pPr>
            <w:r w:rsidRPr="00CF5197">
              <w:rPr>
                <w:sz w:val="24"/>
                <w:szCs w:val="24"/>
              </w:rPr>
              <w:t>484 ± 474</w:t>
            </w:r>
          </w:p>
        </w:tc>
        <w:tc>
          <w:tcPr>
            <w:tcW w:w="1422" w:type="pct"/>
            <w:tcBorders>
              <w:top w:val="single" w:sz="4" w:space="0" w:color="000000"/>
              <w:left w:val="single" w:sz="4" w:space="0" w:color="000000"/>
              <w:bottom w:val="single" w:sz="4" w:space="0" w:color="000000"/>
              <w:right w:val="single" w:sz="4" w:space="0" w:color="000000"/>
            </w:tcBorders>
            <w:hideMark/>
          </w:tcPr>
          <w:p w14:paraId="240171D0" w14:textId="77777777" w:rsidR="007A4746" w:rsidRPr="00CF5197" w:rsidRDefault="007A4746">
            <w:pPr>
              <w:pStyle w:val="TableParagraph"/>
              <w:ind w:left="681" w:right="675"/>
              <w:jc w:val="center"/>
              <w:rPr>
                <w:sz w:val="24"/>
                <w:szCs w:val="24"/>
              </w:rPr>
            </w:pPr>
            <w:r w:rsidRPr="00CF5197">
              <w:rPr>
                <w:sz w:val="24"/>
                <w:szCs w:val="24"/>
              </w:rPr>
              <w:t>92,5 ± 25,1</w:t>
            </w:r>
          </w:p>
        </w:tc>
      </w:tr>
      <w:tr w:rsidR="007A4746" w:rsidRPr="00CF5197" w14:paraId="50A2E5B3" w14:textId="77777777" w:rsidTr="000A00DF">
        <w:trPr>
          <w:trHeight w:val="251"/>
          <w:tblHeader/>
        </w:trPr>
        <w:tc>
          <w:tcPr>
            <w:tcW w:w="2003" w:type="pct"/>
            <w:tcBorders>
              <w:top w:val="single" w:sz="4" w:space="0" w:color="000000"/>
              <w:left w:val="single" w:sz="4" w:space="0" w:color="000000"/>
              <w:bottom w:val="single" w:sz="4" w:space="0" w:color="000000"/>
              <w:right w:val="single" w:sz="4" w:space="0" w:color="000000"/>
            </w:tcBorders>
            <w:hideMark/>
          </w:tcPr>
          <w:p w14:paraId="25B1DEC0" w14:textId="77777777" w:rsidR="007A4746" w:rsidRPr="00CF5197" w:rsidRDefault="007A4746">
            <w:pPr>
              <w:pStyle w:val="TableParagraph"/>
              <w:ind w:left="195" w:right="186"/>
              <w:jc w:val="center"/>
              <w:rPr>
                <w:sz w:val="24"/>
                <w:szCs w:val="24"/>
              </w:rPr>
            </w:pPr>
            <w:r w:rsidRPr="00CF5197">
              <w:rPr>
                <w:sz w:val="24"/>
                <w:szCs w:val="24"/>
              </w:rPr>
              <w:t>4 timer</w:t>
            </w:r>
          </w:p>
        </w:tc>
        <w:tc>
          <w:tcPr>
            <w:tcW w:w="1576" w:type="pct"/>
            <w:tcBorders>
              <w:top w:val="single" w:sz="4" w:space="0" w:color="000000"/>
              <w:left w:val="single" w:sz="4" w:space="0" w:color="000000"/>
              <w:bottom w:val="single" w:sz="4" w:space="0" w:color="000000"/>
              <w:right w:val="single" w:sz="4" w:space="0" w:color="000000"/>
            </w:tcBorders>
            <w:hideMark/>
          </w:tcPr>
          <w:p w14:paraId="33BB2B5D" w14:textId="77777777" w:rsidR="007A4746" w:rsidRPr="00CF5197" w:rsidRDefault="007A4746">
            <w:pPr>
              <w:pStyle w:val="TableParagraph"/>
              <w:ind w:left="614" w:right="603"/>
              <w:jc w:val="center"/>
              <w:rPr>
                <w:sz w:val="24"/>
                <w:szCs w:val="24"/>
              </w:rPr>
            </w:pPr>
            <w:r w:rsidRPr="00CF5197">
              <w:rPr>
                <w:sz w:val="24"/>
                <w:szCs w:val="24"/>
              </w:rPr>
              <w:t>33,7 ± 20,8</w:t>
            </w:r>
          </w:p>
        </w:tc>
        <w:tc>
          <w:tcPr>
            <w:tcW w:w="1422" w:type="pct"/>
            <w:tcBorders>
              <w:top w:val="single" w:sz="4" w:space="0" w:color="000000"/>
              <w:left w:val="single" w:sz="4" w:space="0" w:color="000000"/>
              <w:bottom w:val="single" w:sz="4" w:space="0" w:color="000000"/>
              <w:right w:val="single" w:sz="4" w:space="0" w:color="000000"/>
            </w:tcBorders>
            <w:hideMark/>
          </w:tcPr>
          <w:p w14:paraId="2E7B70CB" w14:textId="77777777" w:rsidR="007A4746" w:rsidRPr="00CF5197" w:rsidRDefault="007A4746">
            <w:pPr>
              <w:pStyle w:val="TableParagraph"/>
              <w:ind w:left="681" w:right="675"/>
              <w:jc w:val="center"/>
              <w:rPr>
                <w:sz w:val="24"/>
                <w:szCs w:val="24"/>
              </w:rPr>
            </w:pPr>
            <w:r w:rsidRPr="00CF5197">
              <w:rPr>
                <w:sz w:val="24"/>
                <w:szCs w:val="24"/>
              </w:rPr>
              <w:t>40,1 ± 7,1</w:t>
            </w:r>
          </w:p>
        </w:tc>
      </w:tr>
      <w:tr w:rsidR="007A4746" w:rsidRPr="00CF5197" w14:paraId="16BBCDEF" w14:textId="77777777" w:rsidTr="000A00DF">
        <w:trPr>
          <w:trHeight w:val="253"/>
          <w:tblHeader/>
        </w:trPr>
        <w:tc>
          <w:tcPr>
            <w:tcW w:w="2003" w:type="pct"/>
            <w:tcBorders>
              <w:top w:val="single" w:sz="4" w:space="0" w:color="000000"/>
              <w:left w:val="single" w:sz="4" w:space="0" w:color="000000"/>
              <w:bottom w:val="single" w:sz="4" w:space="0" w:color="000000"/>
              <w:right w:val="single" w:sz="4" w:space="0" w:color="000000"/>
            </w:tcBorders>
            <w:hideMark/>
          </w:tcPr>
          <w:p w14:paraId="1452E896" w14:textId="77777777" w:rsidR="007A4746" w:rsidRPr="00CF5197" w:rsidRDefault="007A4746">
            <w:pPr>
              <w:pStyle w:val="TableParagraph"/>
              <w:ind w:left="195" w:right="186"/>
              <w:jc w:val="center"/>
              <w:rPr>
                <w:sz w:val="24"/>
                <w:szCs w:val="24"/>
              </w:rPr>
            </w:pPr>
            <w:r w:rsidRPr="00CF5197">
              <w:rPr>
                <w:sz w:val="24"/>
                <w:szCs w:val="24"/>
              </w:rPr>
              <w:t>8 timer</w:t>
            </w:r>
          </w:p>
        </w:tc>
        <w:tc>
          <w:tcPr>
            <w:tcW w:w="1576" w:type="pct"/>
            <w:tcBorders>
              <w:top w:val="single" w:sz="4" w:space="0" w:color="000000"/>
              <w:left w:val="single" w:sz="4" w:space="0" w:color="000000"/>
              <w:bottom w:val="single" w:sz="4" w:space="0" w:color="000000"/>
              <w:right w:val="single" w:sz="4" w:space="0" w:color="000000"/>
            </w:tcBorders>
            <w:hideMark/>
          </w:tcPr>
          <w:p w14:paraId="4BB16CD4" w14:textId="77777777" w:rsidR="007A4746" w:rsidRPr="00CF5197" w:rsidRDefault="007A4746">
            <w:pPr>
              <w:pStyle w:val="TableParagraph"/>
              <w:ind w:left="614" w:right="603"/>
              <w:jc w:val="center"/>
              <w:rPr>
                <w:sz w:val="24"/>
                <w:szCs w:val="24"/>
              </w:rPr>
            </w:pPr>
            <w:r w:rsidRPr="00CF5197">
              <w:rPr>
                <w:sz w:val="24"/>
                <w:szCs w:val="24"/>
              </w:rPr>
              <w:t>19,3 ± 16,9</w:t>
            </w:r>
          </w:p>
        </w:tc>
        <w:tc>
          <w:tcPr>
            <w:tcW w:w="1422" w:type="pct"/>
            <w:tcBorders>
              <w:top w:val="single" w:sz="4" w:space="0" w:color="000000"/>
              <w:left w:val="single" w:sz="4" w:space="0" w:color="000000"/>
              <w:bottom w:val="single" w:sz="4" w:space="0" w:color="000000"/>
              <w:right w:val="single" w:sz="4" w:space="0" w:color="000000"/>
            </w:tcBorders>
            <w:hideMark/>
          </w:tcPr>
          <w:p w14:paraId="70A8CC8A" w14:textId="77777777" w:rsidR="007A4746" w:rsidRPr="00CF5197" w:rsidRDefault="007A4746">
            <w:pPr>
              <w:pStyle w:val="TableParagraph"/>
              <w:ind w:left="681" w:right="675"/>
              <w:jc w:val="center"/>
              <w:rPr>
                <w:sz w:val="24"/>
                <w:szCs w:val="24"/>
              </w:rPr>
            </w:pPr>
            <w:r w:rsidRPr="00CF5197">
              <w:rPr>
                <w:sz w:val="24"/>
                <w:szCs w:val="24"/>
              </w:rPr>
              <w:t>22,9 ± 8,0</w:t>
            </w:r>
          </w:p>
        </w:tc>
      </w:tr>
      <w:tr w:rsidR="007A4746" w:rsidRPr="00CF5197" w14:paraId="0541CAD4" w14:textId="77777777" w:rsidTr="000A00DF">
        <w:trPr>
          <w:trHeight w:val="251"/>
          <w:tblHeader/>
        </w:trPr>
        <w:tc>
          <w:tcPr>
            <w:tcW w:w="2003" w:type="pct"/>
            <w:tcBorders>
              <w:top w:val="single" w:sz="4" w:space="0" w:color="000000"/>
              <w:left w:val="single" w:sz="4" w:space="0" w:color="000000"/>
              <w:bottom w:val="single" w:sz="4" w:space="0" w:color="000000"/>
              <w:right w:val="single" w:sz="4" w:space="0" w:color="000000"/>
            </w:tcBorders>
            <w:hideMark/>
          </w:tcPr>
          <w:p w14:paraId="3DD810C8" w14:textId="77777777" w:rsidR="007A4746" w:rsidRPr="00CF5197" w:rsidRDefault="007A4746">
            <w:pPr>
              <w:pStyle w:val="TableParagraph"/>
              <w:ind w:left="195" w:right="186"/>
              <w:jc w:val="center"/>
              <w:rPr>
                <w:sz w:val="24"/>
                <w:szCs w:val="24"/>
              </w:rPr>
            </w:pPr>
            <w:r w:rsidRPr="00CF5197">
              <w:rPr>
                <w:sz w:val="24"/>
                <w:szCs w:val="24"/>
              </w:rPr>
              <w:t>12 timer</w:t>
            </w:r>
          </w:p>
        </w:tc>
        <w:tc>
          <w:tcPr>
            <w:tcW w:w="1576" w:type="pct"/>
            <w:tcBorders>
              <w:top w:val="single" w:sz="4" w:space="0" w:color="000000"/>
              <w:left w:val="single" w:sz="4" w:space="0" w:color="000000"/>
              <w:bottom w:val="single" w:sz="4" w:space="0" w:color="000000"/>
              <w:right w:val="single" w:sz="4" w:space="0" w:color="000000"/>
            </w:tcBorders>
            <w:hideMark/>
          </w:tcPr>
          <w:p w14:paraId="2508A306" w14:textId="77777777" w:rsidR="007A4746" w:rsidRPr="00CF5197" w:rsidRDefault="007A4746">
            <w:pPr>
              <w:pStyle w:val="TableParagraph"/>
              <w:ind w:left="614" w:right="603"/>
              <w:jc w:val="center"/>
              <w:rPr>
                <w:sz w:val="24"/>
                <w:szCs w:val="24"/>
              </w:rPr>
            </w:pPr>
            <w:r w:rsidRPr="00CF5197">
              <w:rPr>
                <w:sz w:val="24"/>
                <w:szCs w:val="24"/>
              </w:rPr>
              <w:t>9,6 ± 8,2</w:t>
            </w:r>
          </w:p>
        </w:tc>
        <w:tc>
          <w:tcPr>
            <w:tcW w:w="1422" w:type="pct"/>
            <w:tcBorders>
              <w:top w:val="single" w:sz="4" w:space="0" w:color="000000"/>
              <w:left w:val="single" w:sz="4" w:space="0" w:color="000000"/>
              <w:bottom w:val="single" w:sz="4" w:space="0" w:color="000000"/>
              <w:right w:val="single" w:sz="4" w:space="0" w:color="000000"/>
            </w:tcBorders>
            <w:hideMark/>
          </w:tcPr>
          <w:p w14:paraId="5762D2E7" w14:textId="77777777" w:rsidR="007A4746" w:rsidRPr="00CF5197" w:rsidRDefault="007A4746">
            <w:pPr>
              <w:pStyle w:val="TableParagraph"/>
              <w:ind w:left="681" w:right="675"/>
              <w:jc w:val="center"/>
              <w:rPr>
                <w:sz w:val="24"/>
                <w:szCs w:val="24"/>
              </w:rPr>
            </w:pPr>
            <w:r w:rsidRPr="00CF5197">
              <w:rPr>
                <w:sz w:val="24"/>
                <w:szCs w:val="24"/>
              </w:rPr>
              <w:t>13,9 ± 5,5</w:t>
            </w:r>
          </w:p>
        </w:tc>
      </w:tr>
      <w:tr w:rsidR="007A4746" w:rsidRPr="00CF5197" w14:paraId="4B3E57CE" w14:textId="77777777" w:rsidTr="000A00DF">
        <w:trPr>
          <w:trHeight w:val="253"/>
          <w:tblHeader/>
        </w:trPr>
        <w:tc>
          <w:tcPr>
            <w:tcW w:w="2003" w:type="pct"/>
            <w:tcBorders>
              <w:top w:val="single" w:sz="4" w:space="0" w:color="000000"/>
              <w:left w:val="single" w:sz="4" w:space="0" w:color="000000"/>
              <w:bottom w:val="single" w:sz="4" w:space="0" w:color="000000"/>
              <w:right w:val="single" w:sz="4" w:space="0" w:color="000000"/>
            </w:tcBorders>
            <w:hideMark/>
          </w:tcPr>
          <w:p w14:paraId="480ED180" w14:textId="77777777" w:rsidR="007A4746" w:rsidRPr="00CF5197" w:rsidRDefault="007A4746">
            <w:pPr>
              <w:pStyle w:val="TableParagraph"/>
              <w:ind w:left="195" w:right="186"/>
              <w:jc w:val="center"/>
              <w:rPr>
                <w:sz w:val="24"/>
                <w:szCs w:val="24"/>
              </w:rPr>
            </w:pPr>
            <w:r w:rsidRPr="00CF5197">
              <w:rPr>
                <w:sz w:val="24"/>
                <w:szCs w:val="24"/>
              </w:rPr>
              <w:t>24 timer</w:t>
            </w:r>
          </w:p>
        </w:tc>
        <w:tc>
          <w:tcPr>
            <w:tcW w:w="1576" w:type="pct"/>
            <w:tcBorders>
              <w:top w:val="single" w:sz="4" w:space="0" w:color="000000"/>
              <w:left w:val="single" w:sz="4" w:space="0" w:color="000000"/>
              <w:bottom w:val="single" w:sz="4" w:space="0" w:color="000000"/>
              <w:right w:val="single" w:sz="4" w:space="0" w:color="000000"/>
            </w:tcBorders>
            <w:hideMark/>
          </w:tcPr>
          <w:p w14:paraId="7B87F4F6" w14:textId="77777777" w:rsidR="007A4746" w:rsidRPr="00CF5197" w:rsidRDefault="007A4746">
            <w:pPr>
              <w:pStyle w:val="TableParagraph"/>
              <w:ind w:left="614" w:right="603"/>
              <w:jc w:val="center"/>
              <w:rPr>
                <w:sz w:val="24"/>
                <w:szCs w:val="24"/>
              </w:rPr>
            </w:pPr>
            <w:r w:rsidRPr="00CF5197">
              <w:rPr>
                <w:sz w:val="24"/>
                <w:szCs w:val="24"/>
              </w:rPr>
              <w:t>2,9 ± 1,4</w:t>
            </w:r>
          </w:p>
        </w:tc>
        <w:tc>
          <w:tcPr>
            <w:tcW w:w="1422" w:type="pct"/>
            <w:tcBorders>
              <w:top w:val="single" w:sz="4" w:space="0" w:color="000000"/>
              <w:left w:val="single" w:sz="4" w:space="0" w:color="000000"/>
              <w:bottom w:val="single" w:sz="4" w:space="0" w:color="000000"/>
              <w:right w:val="single" w:sz="4" w:space="0" w:color="000000"/>
            </w:tcBorders>
            <w:hideMark/>
          </w:tcPr>
          <w:p w14:paraId="29CD7CED" w14:textId="77777777" w:rsidR="007A4746" w:rsidRPr="00CF5197" w:rsidRDefault="007A4746">
            <w:pPr>
              <w:pStyle w:val="TableParagraph"/>
              <w:ind w:left="681" w:right="675"/>
              <w:jc w:val="center"/>
              <w:rPr>
                <w:sz w:val="24"/>
                <w:szCs w:val="24"/>
              </w:rPr>
            </w:pPr>
            <w:r w:rsidRPr="00CF5197">
              <w:rPr>
                <w:sz w:val="24"/>
                <w:szCs w:val="24"/>
              </w:rPr>
              <w:t>6,6 ± 3,5</w:t>
            </w:r>
          </w:p>
        </w:tc>
      </w:tr>
    </w:tbl>
    <w:p w14:paraId="31BB4D28" w14:textId="77777777" w:rsidR="007A4746" w:rsidRPr="00CF5197" w:rsidRDefault="007A4746" w:rsidP="007A4746">
      <w:pPr>
        <w:rPr>
          <w:bCs/>
          <w:sz w:val="24"/>
          <w:szCs w:val="24"/>
          <w:lang w:eastAsia="en-GB"/>
        </w:rPr>
      </w:pPr>
      <w:r w:rsidRPr="00CF5197">
        <w:rPr>
          <w:sz w:val="24"/>
          <w:szCs w:val="24"/>
        </w:rPr>
        <w:t>* Gennemsnittet med standardafvigelsen er angivet.</w:t>
      </w:r>
    </w:p>
    <w:p w14:paraId="798BD0C5" w14:textId="77777777" w:rsidR="007A4746" w:rsidRPr="00CF5197" w:rsidRDefault="007A4746" w:rsidP="007A4746">
      <w:pPr>
        <w:rPr>
          <w:bCs/>
          <w:sz w:val="24"/>
          <w:szCs w:val="24"/>
        </w:rPr>
      </w:pPr>
    </w:p>
    <w:p w14:paraId="03D4FC39" w14:textId="77777777" w:rsidR="007A4746" w:rsidRPr="00CF5197" w:rsidRDefault="007A4746" w:rsidP="007D5C8A">
      <w:pPr>
        <w:ind w:left="851"/>
        <w:rPr>
          <w:bCs/>
          <w:sz w:val="24"/>
          <w:szCs w:val="24"/>
        </w:rPr>
      </w:pPr>
      <w:r w:rsidRPr="00CF5197">
        <w:rPr>
          <w:sz w:val="24"/>
          <w:szCs w:val="24"/>
        </w:rPr>
        <w:t xml:space="preserve">Desuden blev følgende </w:t>
      </w:r>
      <w:proofErr w:type="spellStart"/>
      <w:r w:rsidRPr="00CF5197">
        <w:rPr>
          <w:sz w:val="24"/>
          <w:szCs w:val="24"/>
        </w:rPr>
        <w:t>farmakokinetiske</w:t>
      </w:r>
      <w:proofErr w:type="spellEnd"/>
      <w:r w:rsidRPr="00CF5197">
        <w:rPr>
          <w:sz w:val="24"/>
          <w:szCs w:val="24"/>
        </w:rPr>
        <w:t xml:space="preserve"> parametre bestemt:</w:t>
      </w:r>
    </w:p>
    <w:p w14:paraId="1CDCC47E" w14:textId="77777777" w:rsidR="007A4746" w:rsidRPr="00CF5197" w:rsidRDefault="007A4746" w:rsidP="007A4746">
      <w:pPr>
        <w:rPr>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41"/>
        <w:gridCol w:w="2505"/>
        <w:gridCol w:w="2782"/>
      </w:tblGrid>
      <w:tr w:rsidR="007A4746" w:rsidRPr="00CF5197" w14:paraId="538E5806" w14:textId="77777777" w:rsidTr="000523AA">
        <w:trPr>
          <w:trHeight w:val="251"/>
        </w:trPr>
        <w:tc>
          <w:tcPr>
            <w:tcW w:w="2254" w:type="pct"/>
            <w:tcBorders>
              <w:top w:val="single" w:sz="4" w:space="0" w:color="000000"/>
              <w:left w:val="single" w:sz="4" w:space="0" w:color="000000"/>
              <w:bottom w:val="single" w:sz="4" w:space="0" w:color="000000"/>
              <w:right w:val="single" w:sz="4" w:space="0" w:color="000000"/>
            </w:tcBorders>
            <w:hideMark/>
          </w:tcPr>
          <w:p w14:paraId="5C6AC893" w14:textId="77777777" w:rsidR="007A4746" w:rsidRPr="00CF5197" w:rsidRDefault="007A4746">
            <w:pPr>
              <w:pStyle w:val="TableParagraph"/>
              <w:ind w:left="195" w:right="186"/>
              <w:rPr>
                <w:b/>
                <w:sz w:val="24"/>
                <w:szCs w:val="24"/>
              </w:rPr>
            </w:pPr>
            <w:r w:rsidRPr="00CF5197">
              <w:rPr>
                <w:b/>
                <w:sz w:val="24"/>
                <w:szCs w:val="24"/>
              </w:rPr>
              <w:t>Parameter</w:t>
            </w:r>
          </w:p>
        </w:tc>
        <w:tc>
          <w:tcPr>
            <w:tcW w:w="1301" w:type="pct"/>
            <w:tcBorders>
              <w:top w:val="single" w:sz="4" w:space="0" w:color="000000"/>
              <w:left w:val="single" w:sz="4" w:space="0" w:color="000000"/>
              <w:bottom w:val="single" w:sz="4" w:space="0" w:color="000000"/>
              <w:right w:val="single" w:sz="4" w:space="0" w:color="000000"/>
            </w:tcBorders>
            <w:hideMark/>
          </w:tcPr>
          <w:p w14:paraId="079D8F17" w14:textId="77777777" w:rsidR="007A4746" w:rsidRPr="00CF5197" w:rsidRDefault="007A4746">
            <w:pPr>
              <w:pStyle w:val="TableParagraph"/>
              <w:ind w:left="631"/>
              <w:rPr>
                <w:b/>
                <w:sz w:val="24"/>
                <w:szCs w:val="24"/>
              </w:rPr>
            </w:pPr>
            <w:r w:rsidRPr="00CF5197">
              <w:rPr>
                <w:b/>
                <w:sz w:val="24"/>
                <w:szCs w:val="24"/>
              </w:rPr>
              <w:t>intravenøs administration*</w:t>
            </w:r>
          </w:p>
        </w:tc>
        <w:tc>
          <w:tcPr>
            <w:tcW w:w="1445" w:type="pct"/>
            <w:tcBorders>
              <w:top w:val="single" w:sz="4" w:space="0" w:color="000000"/>
              <w:left w:val="single" w:sz="4" w:space="0" w:color="000000"/>
              <w:bottom w:val="single" w:sz="4" w:space="0" w:color="000000"/>
              <w:right w:val="single" w:sz="4" w:space="0" w:color="000000"/>
            </w:tcBorders>
            <w:hideMark/>
          </w:tcPr>
          <w:p w14:paraId="4287171C" w14:textId="77777777" w:rsidR="007A4746" w:rsidRPr="00CF5197" w:rsidRDefault="007A4746">
            <w:pPr>
              <w:pStyle w:val="TableParagraph"/>
              <w:ind w:left="719"/>
              <w:rPr>
                <w:b/>
                <w:sz w:val="24"/>
                <w:szCs w:val="24"/>
              </w:rPr>
            </w:pPr>
            <w:r w:rsidRPr="00CF5197">
              <w:rPr>
                <w:b/>
                <w:sz w:val="24"/>
                <w:szCs w:val="24"/>
              </w:rPr>
              <w:t>intramuskulær administration*</w:t>
            </w:r>
          </w:p>
        </w:tc>
      </w:tr>
      <w:tr w:rsidR="007A4746" w:rsidRPr="00CF5197" w14:paraId="1F405B5A" w14:textId="77777777" w:rsidTr="000523AA">
        <w:trPr>
          <w:trHeight w:val="254"/>
        </w:trPr>
        <w:tc>
          <w:tcPr>
            <w:tcW w:w="2254" w:type="pct"/>
            <w:tcBorders>
              <w:top w:val="single" w:sz="4" w:space="0" w:color="000000"/>
              <w:left w:val="single" w:sz="4" w:space="0" w:color="000000"/>
              <w:bottom w:val="single" w:sz="4" w:space="0" w:color="000000"/>
              <w:right w:val="single" w:sz="4" w:space="0" w:color="000000"/>
            </w:tcBorders>
            <w:hideMark/>
          </w:tcPr>
          <w:p w14:paraId="16D3C9A1" w14:textId="77777777" w:rsidR="007A4746" w:rsidRPr="00CF5197" w:rsidRDefault="007A4746">
            <w:pPr>
              <w:pStyle w:val="TableParagraph"/>
              <w:ind w:left="194" w:right="186"/>
              <w:jc w:val="center"/>
              <w:rPr>
                <w:sz w:val="24"/>
                <w:szCs w:val="24"/>
              </w:rPr>
            </w:pPr>
            <w:proofErr w:type="spellStart"/>
            <w:r w:rsidRPr="00CF5197">
              <w:rPr>
                <w:sz w:val="24"/>
                <w:szCs w:val="24"/>
              </w:rPr>
              <w:t>Plasmaclearance</w:t>
            </w:r>
            <w:proofErr w:type="spellEnd"/>
            <w:r w:rsidRPr="00CF5197">
              <w:rPr>
                <w:sz w:val="24"/>
                <w:szCs w:val="24"/>
              </w:rPr>
              <w:t xml:space="preserve"> (l/time)</w:t>
            </w:r>
          </w:p>
        </w:tc>
        <w:tc>
          <w:tcPr>
            <w:tcW w:w="1301" w:type="pct"/>
            <w:tcBorders>
              <w:top w:val="single" w:sz="4" w:space="0" w:color="000000"/>
              <w:left w:val="single" w:sz="4" w:space="0" w:color="000000"/>
              <w:bottom w:val="single" w:sz="4" w:space="0" w:color="000000"/>
              <w:right w:val="single" w:sz="4" w:space="0" w:color="000000"/>
            </w:tcBorders>
            <w:hideMark/>
          </w:tcPr>
          <w:p w14:paraId="55EAEB18" w14:textId="77777777" w:rsidR="007A4746" w:rsidRPr="00CF5197" w:rsidRDefault="007A4746">
            <w:pPr>
              <w:pStyle w:val="TableParagraph"/>
              <w:ind w:left="614" w:right="603"/>
              <w:jc w:val="center"/>
              <w:rPr>
                <w:sz w:val="24"/>
                <w:szCs w:val="24"/>
              </w:rPr>
            </w:pPr>
            <w:r w:rsidRPr="00CF5197">
              <w:rPr>
                <w:sz w:val="24"/>
                <w:szCs w:val="24"/>
              </w:rPr>
              <w:t>248 ± 91</w:t>
            </w:r>
          </w:p>
        </w:tc>
        <w:tc>
          <w:tcPr>
            <w:tcW w:w="1445" w:type="pct"/>
            <w:tcBorders>
              <w:top w:val="single" w:sz="4" w:space="0" w:color="000000"/>
              <w:left w:val="single" w:sz="4" w:space="0" w:color="000000"/>
              <w:bottom w:val="single" w:sz="4" w:space="0" w:color="000000"/>
              <w:right w:val="single" w:sz="4" w:space="0" w:color="000000"/>
            </w:tcBorders>
            <w:hideMark/>
          </w:tcPr>
          <w:p w14:paraId="3049EE1B" w14:textId="77777777" w:rsidR="007A4746" w:rsidRPr="00CF5197" w:rsidRDefault="007A4746">
            <w:pPr>
              <w:pStyle w:val="TableParagraph"/>
              <w:ind w:left="681" w:right="675"/>
              <w:jc w:val="center"/>
              <w:rPr>
                <w:sz w:val="24"/>
                <w:szCs w:val="24"/>
              </w:rPr>
            </w:pPr>
            <w:r w:rsidRPr="00CF5197">
              <w:rPr>
                <w:sz w:val="24"/>
                <w:szCs w:val="24"/>
              </w:rPr>
              <w:t>305 ± 81</w:t>
            </w:r>
          </w:p>
        </w:tc>
      </w:tr>
      <w:tr w:rsidR="007A4746" w:rsidRPr="00CF5197" w14:paraId="45FBA4C0" w14:textId="77777777" w:rsidTr="000523AA">
        <w:trPr>
          <w:trHeight w:val="251"/>
        </w:trPr>
        <w:tc>
          <w:tcPr>
            <w:tcW w:w="2254" w:type="pct"/>
            <w:tcBorders>
              <w:top w:val="single" w:sz="4" w:space="0" w:color="000000"/>
              <w:left w:val="single" w:sz="4" w:space="0" w:color="000000"/>
              <w:bottom w:val="single" w:sz="4" w:space="0" w:color="000000"/>
              <w:right w:val="single" w:sz="4" w:space="0" w:color="000000"/>
            </w:tcBorders>
            <w:hideMark/>
          </w:tcPr>
          <w:p w14:paraId="02FD417F" w14:textId="77777777" w:rsidR="007A4746" w:rsidRPr="00CF5197" w:rsidRDefault="007A4746">
            <w:pPr>
              <w:pStyle w:val="TableParagraph"/>
              <w:ind w:left="195" w:right="184"/>
              <w:jc w:val="center"/>
              <w:rPr>
                <w:sz w:val="24"/>
                <w:szCs w:val="24"/>
              </w:rPr>
            </w:pPr>
            <w:r w:rsidRPr="00CF5197">
              <w:rPr>
                <w:sz w:val="24"/>
                <w:szCs w:val="24"/>
              </w:rPr>
              <w:t>Eliminationshalveringstid (timer)</w:t>
            </w:r>
          </w:p>
        </w:tc>
        <w:tc>
          <w:tcPr>
            <w:tcW w:w="1301" w:type="pct"/>
            <w:tcBorders>
              <w:top w:val="single" w:sz="4" w:space="0" w:color="000000"/>
              <w:left w:val="single" w:sz="4" w:space="0" w:color="000000"/>
              <w:bottom w:val="single" w:sz="4" w:space="0" w:color="000000"/>
              <w:right w:val="single" w:sz="4" w:space="0" w:color="000000"/>
            </w:tcBorders>
            <w:hideMark/>
          </w:tcPr>
          <w:p w14:paraId="48C668A6" w14:textId="77777777" w:rsidR="007A4746" w:rsidRPr="00CF5197" w:rsidRDefault="007A4746">
            <w:pPr>
              <w:pStyle w:val="TableParagraph"/>
              <w:ind w:left="614" w:right="603"/>
              <w:jc w:val="center"/>
              <w:rPr>
                <w:sz w:val="24"/>
                <w:szCs w:val="24"/>
              </w:rPr>
            </w:pPr>
            <w:r w:rsidRPr="00CF5197">
              <w:rPr>
                <w:sz w:val="24"/>
                <w:szCs w:val="24"/>
              </w:rPr>
              <w:t>6,4 ± 1,3</w:t>
            </w:r>
          </w:p>
        </w:tc>
        <w:tc>
          <w:tcPr>
            <w:tcW w:w="1445" w:type="pct"/>
            <w:tcBorders>
              <w:top w:val="single" w:sz="4" w:space="0" w:color="000000"/>
              <w:left w:val="single" w:sz="4" w:space="0" w:color="000000"/>
              <w:bottom w:val="single" w:sz="4" w:space="0" w:color="000000"/>
              <w:right w:val="single" w:sz="4" w:space="0" w:color="000000"/>
            </w:tcBorders>
            <w:hideMark/>
          </w:tcPr>
          <w:p w14:paraId="7EA97508" w14:textId="77777777" w:rsidR="007A4746" w:rsidRPr="00CF5197" w:rsidRDefault="007A4746">
            <w:pPr>
              <w:pStyle w:val="TableParagraph"/>
              <w:ind w:left="681" w:right="675"/>
              <w:jc w:val="center"/>
              <w:rPr>
                <w:sz w:val="24"/>
                <w:szCs w:val="24"/>
              </w:rPr>
            </w:pPr>
            <w:r w:rsidRPr="00CF5197">
              <w:rPr>
                <w:sz w:val="24"/>
                <w:szCs w:val="24"/>
              </w:rPr>
              <w:t>9,4 ± 2,0</w:t>
            </w:r>
          </w:p>
        </w:tc>
      </w:tr>
      <w:tr w:rsidR="007A4746" w:rsidRPr="00CF5197" w14:paraId="7195C751" w14:textId="77777777" w:rsidTr="000523AA">
        <w:trPr>
          <w:trHeight w:val="254"/>
        </w:trPr>
        <w:tc>
          <w:tcPr>
            <w:tcW w:w="2254" w:type="pct"/>
            <w:tcBorders>
              <w:top w:val="single" w:sz="4" w:space="0" w:color="000000"/>
              <w:left w:val="single" w:sz="4" w:space="0" w:color="000000"/>
              <w:bottom w:val="single" w:sz="4" w:space="0" w:color="000000"/>
              <w:right w:val="single" w:sz="4" w:space="0" w:color="000000"/>
            </w:tcBorders>
            <w:hideMark/>
          </w:tcPr>
          <w:p w14:paraId="61EC2281" w14:textId="77777777" w:rsidR="007A4746" w:rsidRPr="00CF5197" w:rsidRDefault="007A4746">
            <w:pPr>
              <w:pStyle w:val="TableParagraph"/>
              <w:ind w:left="194" w:right="186"/>
              <w:jc w:val="center"/>
              <w:rPr>
                <w:sz w:val="24"/>
                <w:szCs w:val="24"/>
              </w:rPr>
            </w:pPr>
            <w:r w:rsidRPr="00CF5197">
              <w:rPr>
                <w:sz w:val="24"/>
                <w:szCs w:val="24"/>
              </w:rPr>
              <w:t>Fordelingsvolumen (l)</w:t>
            </w:r>
          </w:p>
        </w:tc>
        <w:tc>
          <w:tcPr>
            <w:tcW w:w="1301" w:type="pct"/>
            <w:tcBorders>
              <w:top w:val="single" w:sz="4" w:space="0" w:color="000000"/>
              <w:left w:val="single" w:sz="4" w:space="0" w:color="000000"/>
              <w:bottom w:val="single" w:sz="4" w:space="0" w:color="000000"/>
              <w:right w:val="single" w:sz="4" w:space="0" w:color="000000"/>
            </w:tcBorders>
            <w:hideMark/>
          </w:tcPr>
          <w:p w14:paraId="3AF49704" w14:textId="77777777" w:rsidR="007A4746" w:rsidRPr="00CF5197" w:rsidRDefault="007A4746">
            <w:pPr>
              <w:pStyle w:val="TableParagraph"/>
              <w:ind w:left="614" w:right="603"/>
              <w:jc w:val="center"/>
              <w:rPr>
                <w:sz w:val="24"/>
                <w:szCs w:val="24"/>
              </w:rPr>
            </w:pPr>
            <w:r w:rsidRPr="00CF5197">
              <w:rPr>
                <w:sz w:val="24"/>
                <w:szCs w:val="24"/>
              </w:rPr>
              <w:t>140 ± 93</w:t>
            </w:r>
          </w:p>
        </w:tc>
        <w:tc>
          <w:tcPr>
            <w:tcW w:w="1445" w:type="pct"/>
            <w:tcBorders>
              <w:top w:val="single" w:sz="4" w:space="0" w:color="000000"/>
              <w:left w:val="single" w:sz="4" w:space="0" w:color="000000"/>
              <w:bottom w:val="single" w:sz="4" w:space="0" w:color="000000"/>
              <w:right w:val="single" w:sz="4" w:space="0" w:color="000000"/>
            </w:tcBorders>
            <w:hideMark/>
          </w:tcPr>
          <w:p w14:paraId="54523A5C" w14:textId="77777777" w:rsidR="007A4746" w:rsidRPr="00CF5197" w:rsidRDefault="007A4746">
            <w:pPr>
              <w:pStyle w:val="TableParagraph"/>
              <w:ind w:left="681" w:right="675"/>
              <w:jc w:val="center"/>
              <w:rPr>
                <w:sz w:val="24"/>
                <w:szCs w:val="24"/>
              </w:rPr>
            </w:pPr>
            <w:r w:rsidRPr="00CF5197">
              <w:rPr>
                <w:sz w:val="24"/>
                <w:szCs w:val="24"/>
              </w:rPr>
              <w:t>924 ± 404</w:t>
            </w:r>
          </w:p>
        </w:tc>
      </w:tr>
      <w:tr w:rsidR="007A4746" w:rsidRPr="00CF5197" w14:paraId="550C6937" w14:textId="77777777" w:rsidTr="000523AA">
        <w:trPr>
          <w:trHeight w:val="506"/>
        </w:trPr>
        <w:tc>
          <w:tcPr>
            <w:tcW w:w="2254" w:type="pct"/>
            <w:tcBorders>
              <w:top w:val="single" w:sz="4" w:space="0" w:color="000000"/>
              <w:left w:val="single" w:sz="4" w:space="0" w:color="000000"/>
              <w:bottom w:val="single" w:sz="4" w:space="0" w:color="000000"/>
              <w:right w:val="single" w:sz="4" w:space="0" w:color="000000"/>
            </w:tcBorders>
            <w:hideMark/>
          </w:tcPr>
          <w:p w14:paraId="1A0C5DD9" w14:textId="77777777" w:rsidR="007A4746" w:rsidRPr="00CF5197" w:rsidRDefault="007A4746">
            <w:pPr>
              <w:pStyle w:val="TableParagraph"/>
              <w:ind w:left="195" w:right="185"/>
              <w:jc w:val="center"/>
              <w:rPr>
                <w:sz w:val="24"/>
                <w:szCs w:val="24"/>
                <w:lang w:val="en-US"/>
              </w:rPr>
            </w:pPr>
            <w:proofErr w:type="spellStart"/>
            <w:r w:rsidRPr="00CF5197">
              <w:rPr>
                <w:sz w:val="24"/>
                <w:szCs w:val="24"/>
                <w:lang w:val="en-US"/>
              </w:rPr>
              <w:t>Fordelingsvolumen</w:t>
            </w:r>
            <w:proofErr w:type="spellEnd"/>
            <w:r w:rsidRPr="00CF5197">
              <w:rPr>
                <w:sz w:val="24"/>
                <w:szCs w:val="24"/>
                <w:lang w:val="en-US"/>
              </w:rPr>
              <w:t xml:space="preserve"> i Steady State (l)</w:t>
            </w:r>
          </w:p>
        </w:tc>
        <w:tc>
          <w:tcPr>
            <w:tcW w:w="1301" w:type="pct"/>
            <w:tcBorders>
              <w:top w:val="single" w:sz="4" w:space="0" w:color="000000"/>
              <w:left w:val="single" w:sz="4" w:space="0" w:color="000000"/>
              <w:bottom w:val="single" w:sz="4" w:space="0" w:color="000000"/>
              <w:right w:val="single" w:sz="4" w:space="0" w:color="000000"/>
            </w:tcBorders>
            <w:hideMark/>
          </w:tcPr>
          <w:p w14:paraId="67790534" w14:textId="77777777" w:rsidR="007A4746" w:rsidRPr="00CF5197" w:rsidRDefault="007A4746">
            <w:pPr>
              <w:pStyle w:val="TableParagraph"/>
              <w:ind w:left="614" w:right="603"/>
              <w:jc w:val="center"/>
              <w:rPr>
                <w:sz w:val="24"/>
                <w:szCs w:val="24"/>
              </w:rPr>
            </w:pPr>
            <w:r w:rsidRPr="00CF5197">
              <w:rPr>
                <w:sz w:val="24"/>
                <w:szCs w:val="24"/>
              </w:rPr>
              <w:t>821 ± 535</w:t>
            </w:r>
          </w:p>
        </w:tc>
        <w:tc>
          <w:tcPr>
            <w:tcW w:w="1445" w:type="pct"/>
            <w:tcBorders>
              <w:top w:val="single" w:sz="4" w:space="0" w:color="000000"/>
              <w:left w:val="single" w:sz="4" w:space="0" w:color="000000"/>
              <w:bottom w:val="single" w:sz="4" w:space="0" w:color="000000"/>
              <w:right w:val="single" w:sz="4" w:space="0" w:color="000000"/>
            </w:tcBorders>
            <w:hideMark/>
          </w:tcPr>
          <w:p w14:paraId="28C97EA6" w14:textId="77777777" w:rsidR="007A4746" w:rsidRPr="00CF5197" w:rsidRDefault="007A4746">
            <w:pPr>
              <w:pStyle w:val="TableParagraph"/>
              <w:ind w:left="681" w:right="675"/>
              <w:jc w:val="center"/>
              <w:rPr>
                <w:sz w:val="24"/>
                <w:szCs w:val="24"/>
              </w:rPr>
            </w:pPr>
            <w:r w:rsidRPr="00CF5197">
              <w:rPr>
                <w:sz w:val="24"/>
                <w:szCs w:val="24"/>
              </w:rPr>
              <w:t>2724 ± 1066</w:t>
            </w:r>
          </w:p>
        </w:tc>
      </w:tr>
      <w:tr w:rsidR="007A4746" w:rsidRPr="00CF5197" w14:paraId="39F660FE" w14:textId="77777777" w:rsidTr="000523AA">
        <w:trPr>
          <w:trHeight w:val="505"/>
        </w:trPr>
        <w:tc>
          <w:tcPr>
            <w:tcW w:w="2254" w:type="pct"/>
            <w:tcBorders>
              <w:top w:val="single" w:sz="4" w:space="0" w:color="000000"/>
              <w:left w:val="single" w:sz="4" w:space="0" w:color="000000"/>
              <w:bottom w:val="single" w:sz="4" w:space="0" w:color="000000"/>
              <w:right w:val="single" w:sz="4" w:space="0" w:color="000000"/>
            </w:tcBorders>
            <w:hideMark/>
          </w:tcPr>
          <w:p w14:paraId="582D44B0" w14:textId="77777777" w:rsidR="007A4746" w:rsidRPr="00CF5197" w:rsidRDefault="007A4746">
            <w:pPr>
              <w:pStyle w:val="TableParagraph"/>
              <w:ind w:left="195" w:right="186"/>
              <w:jc w:val="center"/>
              <w:rPr>
                <w:sz w:val="24"/>
                <w:szCs w:val="24"/>
              </w:rPr>
            </w:pPr>
            <w:proofErr w:type="spellStart"/>
            <w:r w:rsidRPr="00CF5197">
              <w:rPr>
                <w:sz w:val="24"/>
                <w:szCs w:val="24"/>
              </w:rPr>
              <w:t>Renal</w:t>
            </w:r>
            <w:proofErr w:type="spellEnd"/>
            <w:r w:rsidRPr="00CF5197">
              <w:rPr>
                <w:sz w:val="24"/>
                <w:szCs w:val="24"/>
              </w:rPr>
              <w:t xml:space="preserve"> elimination af uændret stof på 24 timer (%)</w:t>
            </w:r>
          </w:p>
        </w:tc>
        <w:tc>
          <w:tcPr>
            <w:tcW w:w="1301" w:type="pct"/>
            <w:tcBorders>
              <w:top w:val="single" w:sz="4" w:space="0" w:color="000000"/>
              <w:left w:val="single" w:sz="4" w:space="0" w:color="000000"/>
              <w:bottom w:val="single" w:sz="4" w:space="0" w:color="000000"/>
              <w:right w:val="single" w:sz="4" w:space="0" w:color="000000"/>
            </w:tcBorders>
            <w:hideMark/>
          </w:tcPr>
          <w:p w14:paraId="5BB0E861" w14:textId="77777777" w:rsidR="007A4746" w:rsidRPr="00CF5197" w:rsidRDefault="007A4746">
            <w:pPr>
              <w:pStyle w:val="TableParagraph"/>
              <w:ind w:left="612" w:right="603"/>
              <w:jc w:val="center"/>
              <w:rPr>
                <w:sz w:val="24"/>
                <w:szCs w:val="24"/>
              </w:rPr>
            </w:pPr>
            <w:r w:rsidRPr="00CF5197">
              <w:rPr>
                <w:sz w:val="24"/>
                <w:szCs w:val="24"/>
              </w:rPr>
              <w:t>2,5</w:t>
            </w:r>
          </w:p>
        </w:tc>
        <w:tc>
          <w:tcPr>
            <w:tcW w:w="1445" w:type="pct"/>
            <w:tcBorders>
              <w:top w:val="single" w:sz="4" w:space="0" w:color="000000"/>
              <w:left w:val="single" w:sz="4" w:space="0" w:color="000000"/>
              <w:bottom w:val="single" w:sz="4" w:space="0" w:color="000000"/>
              <w:right w:val="single" w:sz="4" w:space="0" w:color="000000"/>
            </w:tcBorders>
            <w:hideMark/>
          </w:tcPr>
          <w:p w14:paraId="2CCFC647" w14:textId="77777777" w:rsidR="007A4746" w:rsidRPr="00CF5197" w:rsidRDefault="007A4746">
            <w:pPr>
              <w:pStyle w:val="TableParagraph"/>
              <w:ind w:left="679" w:right="675"/>
              <w:jc w:val="center"/>
              <w:rPr>
                <w:sz w:val="24"/>
                <w:szCs w:val="24"/>
              </w:rPr>
            </w:pPr>
            <w:r w:rsidRPr="00CF5197">
              <w:rPr>
                <w:sz w:val="24"/>
                <w:szCs w:val="24"/>
              </w:rPr>
              <w:t>4,1</w:t>
            </w:r>
          </w:p>
        </w:tc>
      </w:tr>
      <w:tr w:rsidR="007A4746" w:rsidRPr="00CF5197" w14:paraId="5FD8E58E" w14:textId="77777777" w:rsidTr="000523AA">
        <w:trPr>
          <w:trHeight w:val="251"/>
        </w:trPr>
        <w:tc>
          <w:tcPr>
            <w:tcW w:w="2254" w:type="pct"/>
            <w:tcBorders>
              <w:top w:val="single" w:sz="4" w:space="0" w:color="000000"/>
              <w:left w:val="single" w:sz="4" w:space="0" w:color="000000"/>
              <w:bottom w:val="single" w:sz="4" w:space="0" w:color="000000"/>
              <w:right w:val="single" w:sz="4" w:space="0" w:color="000000"/>
            </w:tcBorders>
            <w:hideMark/>
          </w:tcPr>
          <w:p w14:paraId="3BF3C9E3" w14:textId="77777777" w:rsidR="007A4746" w:rsidRPr="00CF5197" w:rsidRDefault="007A4746">
            <w:pPr>
              <w:pStyle w:val="TableParagraph"/>
              <w:ind w:left="195" w:right="184"/>
              <w:jc w:val="center"/>
              <w:rPr>
                <w:sz w:val="24"/>
                <w:szCs w:val="24"/>
              </w:rPr>
            </w:pPr>
            <w:proofErr w:type="spellStart"/>
            <w:r w:rsidRPr="00CF5197">
              <w:rPr>
                <w:sz w:val="24"/>
                <w:szCs w:val="24"/>
              </w:rPr>
              <w:t>Renal</w:t>
            </w:r>
            <w:proofErr w:type="spellEnd"/>
            <w:r w:rsidRPr="00CF5197">
              <w:rPr>
                <w:sz w:val="24"/>
                <w:szCs w:val="24"/>
              </w:rPr>
              <w:t xml:space="preserve"> </w:t>
            </w:r>
            <w:proofErr w:type="spellStart"/>
            <w:r w:rsidRPr="00CF5197">
              <w:rPr>
                <w:sz w:val="24"/>
                <w:szCs w:val="24"/>
              </w:rPr>
              <w:t>clearance</w:t>
            </w:r>
            <w:proofErr w:type="spellEnd"/>
            <w:r w:rsidRPr="00CF5197">
              <w:rPr>
                <w:sz w:val="24"/>
                <w:szCs w:val="24"/>
              </w:rPr>
              <w:t xml:space="preserve"> (l/time)</w:t>
            </w:r>
          </w:p>
        </w:tc>
        <w:tc>
          <w:tcPr>
            <w:tcW w:w="1301" w:type="pct"/>
            <w:tcBorders>
              <w:top w:val="single" w:sz="4" w:space="0" w:color="000000"/>
              <w:left w:val="single" w:sz="4" w:space="0" w:color="000000"/>
              <w:bottom w:val="single" w:sz="4" w:space="0" w:color="000000"/>
              <w:right w:val="single" w:sz="4" w:space="0" w:color="000000"/>
            </w:tcBorders>
            <w:hideMark/>
          </w:tcPr>
          <w:p w14:paraId="1294EC99" w14:textId="77777777" w:rsidR="007A4746" w:rsidRPr="00CF5197" w:rsidRDefault="007A4746">
            <w:pPr>
              <w:pStyle w:val="TableParagraph"/>
              <w:ind w:left="614" w:right="603"/>
              <w:jc w:val="center"/>
              <w:rPr>
                <w:sz w:val="24"/>
                <w:szCs w:val="24"/>
              </w:rPr>
            </w:pPr>
            <w:r w:rsidRPr="00CF5197">
              <w:rPr>
                <w:sz w:val="24"/>
                <w:szCs w:val="24"/>
              </w:rPr>
              <w:t>6,2 ± 3,6</w:t>
            </w:r>
          </w:p>
        </w:tc>
        <w:tc>
          <w:tcPr>
            <w:tcW w:w="1445" w:type="pct"/>
            <w:tcBorders>
              <w:top w:val="single" w:sz="4" w:space="0" w:color="000000"/>
              <w:left w:val="single" w:sz="4" w:space="0" w:color="000000"/>
              <w:bottom w:val="single" w:sz="4" w:space="0" w:color="000000"/>
              <w:right w:val="single" w:sz="4" w:space="0" w:color="000000"/>
            </w:tcBorders>
            <w:hideMark/>
          </w:tcPr>
          <w:p w14:paraId="764568F8" w14:textId="77777777" w:rsidR="007A4746" w:rsidRPr="00CF5197" w:rsidRDefault="007A4746">
            <w:pPr>
              <w:pStyle w:val="TableParagraph"/>
              <w:ind w:left="681" w:right="675"/>
              <w:jc w:val="center"/>
              <w:rPr>
                <w:sz w:val="24"/>
                <w:szCs w:val="24"/>
              </w:rPr>
            </w:pPr>
            <w:r w:rsidRPr="00CF5197">
              <w:rPr>
                <w:sz w:val="24"/>
                <w:szCs w:val="24"/>
              </w:rPr>
              <w:t>15,4 ± 14,9</w:t>
            </w:r>
          </w:p>
        </w:tc>
      </w:tr>
    </w:tbl>
    <w:p w14:paraId="1EEB7558" w14:textId="77777777" w:rsidR="007A4746" w:rsidRPr="00CF5197" w:rsidRDefault="007A4746" w:rsidP="007A4746">
      <w:pPr>
        <w:rPr>
          <w:bCs/>
          <w:sz w:val="24"/>
          <w:szCs w:val="24"/>
          <w:lang w:eastAsia="en-GB"/>
        </w:rPr>
      </w:pPr>
      <w:r w:rsidRPr="00CF5197">
        <w:rPr>
          <w:sz w:val="24"/>
          <w:szCs w:val="24"/>
        </w:rPr>
        <w:t>* Gennemsnittet med standardafvigelsen er angivet.</w:t>
      </w:r>
    </w:p>
    <w:p w14:paraId="4A017501" w14:textId="77777777" w:rsidR="007A4746" w:rsidRPr="00CF5197" w:rsidRDefault="007A4746" w:rsidP="007A4746">
      <w:pPr>
        <w:rPr>
          <w:bCs/>
          <w:sz w:val="24"/>
          <w:szCs w:val="24"/>
        </w:rPr>
      </w:pPr>
    </w:p>
    <w:p w14:paraId="34F27E82" w14:textId="77777777" w:rsidR="007A4746" w:rsidRPr="00CF5197" w:rsidRDefault="007A4746" w:rsidP="007D5C8A">
      <w:pPr>
        <w:ind w:left="851"/>
        <w:rPr>
          <w:bCs/>
          <w:sz w:val="24"/>
          <w:szCs w:val="24"/>
        </w:rPr>
      </w:pPr>
      <w:r w:rsidRPr="00CF5197">
        <w:rPr>
          <w:sz w:val="24"/>
          <w:szCs w:val="24"/>
        </w:rPr>
        <w:t xml:space="preserve">Ved administration med </w:t>
      </w:r>
      <w:proofErr w:type="spellStart"/>
      <w:r w:rsidRPr="00CF5197">
        <w:rPr>
          <w:sz w:val="24"/>
          <w:szCs w:val="24"/>
        </w:rPr>
        <w:t>nebulisator</w:t>
      </w:r>
      <w:proofErr w:type="spellEnd"/>
      <w:r w:rsidRPr="00CF5197">
        <w:rPr>
          <w:sz w:val="24"/>
          <w:szCs w:val="24"/>
        </w:rPr>
        <w:t xml:space="preserve"> viste humane kinetiske studier signifikante forskelle sammenlignet med parenteral administration. Aerosoladministration resulterede i en 10-foldig stigning i </w:t>
      </w:r>
      <w:proofErr w:type="spellStart"/>
      <w:r w:rsidRPr="00CF5197">
        <w:rPr>
          <w:sz w:val="24"/>
          <w:szCs w:val="24"/>
        </w:rPr>
        <w:t>bronkioalveolær</w:t>
      </w:r>
      <w:proofErr w:type="spellEnd"/>
      <w:r w:rsidRPr="00CF5197">
        <w:rPr>
          <w:sz w:val="24"/>
          <w:szCs w:val="24"/>
        </w:rPr>
        <w:t xml:space="preserve"> </w:t>
      </w:r>
      <w:proofErr w:type="spellStart"/>
      <w:r w:rsidRPr="00CF5197">
        <w:rPr>
          <w:sz w:val="24"/>
          <w:szCs w:val="24"/>
        </w:rPr>
        <w:t>lavage</w:t>
      </w:r>
      <w:proofErr w:type="spellEnd"/>
      <w:r w:rsidRPr="00CF5197">
        <w:rPr>
          <w:sz w:val="24"/>
          <w:szCs w:val="24"/>
        </w:rPr>
        <w:t xml:space="preserve"> (BAL) </w:t>
      </w:r>
      <w:proofErr w:type="spellStart"/>
      <w:r w:rsidRPr="00CF5197">
        <w:rPr>
          <w:sz w:val="24"/>
          <w:szCs w:val="24"/>
        </w:rPr>
        <w:t>supernatantvæske</w:t>
      </w:r>
      <w:proofErr w:type="spellEnd"/>
      <w:r w:rsidRPr="00CF5197">
        <w:rPr>
          <w:sz w:val="24"/>
          <w:szCs w:val="24"/>
        </w:rPr>
        <w:t xml:space="preserve"> og en 80-foldig stigning i BAL-sedimentkoncentrationer sammenlignet med de værdier, der ses med tilsvarende intravenøse doser.</w:t>
      </w:r>
    </w:p>
    <w:p w14:paraId="55EBFE38" w14:textId="77777777" w:rsidR="007A4746" w:rsidRPr="00CF5197" w:rsidRDefault="007A4746" w:rsidP="007D5C8A">
      <w:pPr>
        <w:ind w:left="851"/>
        <w:rPr>
          <w:bCs/>
          <w:sz w:val="24"/>
          <w:szCs w:val="24"/>
        </w:rPr>
      </w:pPr>
    </w:p>
    <w:p w14:paraId="59847EA3" w14:textId="77777777" w:rsidR="007A4746" w:rsidRPr="00CF5197" w:rsidRDefault="007A4746" w:rsidP="007D5C8A">
      <w:pPr>
        <w:ind w:left="851"/>
        <w:rPr>
          <w:bCs/>
          <w:sz w:val="24"/>
          <w:szCs w:val="24"/>
        </w:rPr>
      </w:pPr>
      <w:r w:rsidRPr="00CF5197">
        <w:rPr>
          <w:sz w:val="24"/>
          <w:szCs w:val="24"/>
        </w:rPr>
        <w:t xml:space="preserve">Begrænsede data tyder på, at </w:t>
      </w:r>
      <w:proofErr w:type="spellStart"/>
      <w:r w:rsidRPr="00CF5197">
        <w:rPr>
          <w:sz w:val="24"/>
          <w:szCs w:val="24"/>
        </w:rPr>
        <w:t>pentamidins</w:t>
      </w:r>
      <w:proofErr w:type="spellEnd"/>
      <w:r w:rsidRPr="00CF5197">
        <w:rPr>
          <w:sz w:val="24"/>
          <w:szCs w:val="24"/>
        </w:rPr>
        <w:t xml:space="preserve"> halveringstid i BAL-væske er mere end 10 til 14 dage. De maksimale plasmakoncentrationer efter inhalationsterapi sås at være ca. 10 % af dem, der blev observeret med tilsvarende intramuskulære doser, og mindre end 5 % af dem, der sås efter intravenøs administration. Det tyder på, at systemiske virkninger er mindre sandsynlige ved inhalation.</w:t>
      </w:r>
    </w:p>
    <w:p w14:paraId="4AFB1A51" w14:textId="77777777" w:rsidR="007A4746" w:rsidRPr="00CF5197" w:rsidRDefault="007A4746" w:rsidP="007D5C8A">
      <w:pPr>
        <w:ind w:left="851"/>
        <w:rPr>
          <w:bCs/>
          <w:sz w:val="24"/>
          <w:szCs w:val="24"/>
        </w:rPr>
      </w:pPr>
    </w:p>
    <w:p w14:paraId="1E2D6CDF" w14:textId="77777777" w:rsidR="007A4746" w:rsidRPr="00CF5197" w:rsidRDefault="007A4746" w:rsidP="007D5C8A">
      <w:pPr>
        <w:ind w:left="851"/>
        <w:rPr>
          <w:bCs/>
          <w:sz w:val="24"/>
          <w:szCs w:val="24"/>
        </w:rPr>
      </w:pPr>
      <w:r w:rsidRPr="00CF5197">
        <w:rPr>
          <w:sz w:val="24"/>
          <w:szCs w:val="24"/>
        </w:rPr>
        <w:t xml:space="preserve">De langsigtede virkninger af </w:t>
      </w:r>
      <w:proofErr w:type="spellStart"/>
      <w:r w:rsidRPr="00CF5197">
        <w:rPr>
          <w:sz w:val="24"/>
          <w:szCs w:val="24"/>
        </w:rPr>
        <w:t>aerosoliseret</w:t>
      </w:r>
      <w:proofErr w:type="spellEnd"/>
      <w:r w:rsidRPr="00CF5197">
        <w:rPr>
          <w:sz w:val="24"/>
          <w:szCs w:val="24"/>
        </w:rPr>
        <w:t xml:space="preserve"> </w:t>
      </w:r>
      <w:proofErr w:type="spellStart"/>
      <w:r w:rsidRPr="00CF5197">
        <w:rPr>
          <w:sz w:val="24"/>
          <w:szCs w:val="24"/>
        </w:rPr>
        <w:t>pentamidin</w:t>
      </w:r>
      <w:proofErr w:type="spellEnd"/>
      <w:r w:rsidRPr="00CF5197">
        <w:rPr>
          <w:sz w:val="24"/>
          <w:szCs w:val="24"/>
        </w:rPr>
        <w:t xml:space="preserve"> på lungernes </w:t>
      </w:r>
      <w:proofErr w:type="spellStart"/>
      <w:r w:rsidRPr="00CF5197">
        <w:rPr>
          <w:sz w:val="24"/>
          <w:szCs w:val="24"/>
        </w:rPr>
        <w:t>parenkym</w:t>
      </w:r>
      <w:proofErr w:type="spellEnd"/>
      <w:r w:rsidRPr="00CF5197">
        <w:rPr>
          <w:sz w:val="24"/>
          <w:szCs w:val="24"/>
        </w:rPr>
        <w:t xml:space="preserve"> er ikke kendt. Der er imidlertid intet, der tyder på, at lungevolumen og alveolernes </w:t>
      </w:r>
      <w:proofErr w:type="spellStart"/>
      <w:r w:rsidRPr="00CF5197">
        <w:rPr>
          <w:sz w:val="24"/>
          <w:szCs w:val="24"/>
        </w:rPr>
        <w:t>kapillære</w:t>
      </w:r>
      <w:proofErr w:type="spellEnd"/>
      <w:r w:rsidRPr="00CF5197">
        <w:rPr>
          <w:sz w:val="24"/>
          <w:szCs w:val="24"/>
        </w:rPr>
        <w:t xml:space="preserve"> diffusion er påvirket af høje doser af </w:t>
      </w:r>
      <w:proofErr w:type="spellStart"/>
      <w:r w:rsidRPr="00CF5197">
        <w:rPr>
          <w:sz w:val="24"/>
          <w:szCs w:val="24"/>
        </w:rPr>
        <w:t>pentamidin</w:t>
      </w:r>
      <w:proofErr w:type="spellEnd"/>
      <w:r w:rsidRPr="00CF5197">
        <w:rPr>
          <w:sz w:val="24"/>
          <w:szCs w:val="24"/>
        </w:rPr>
        <w:t xml:space="preserve"> administreret ved inhalation til </w:t>
      </w:r>
      <w:proofErr w:type="spellStart"/>
      <w:r w:rsidRPr="00CF5197">
        <w:rPr>
          <w:sz w:val="24"/>
          <w:szCs w:val="24"/>
        </w:rPr>
        <w:t>AIDS-patienter</w:t>
      </w:r>
      <w:proofErr w:type="spellEnd"/>
      <w:r w:rsidRPr="00CF5197">
        <w:rPr>
          <w:sz w:val="24"/>
          <w:szCs w:val="24"/>
        </w:rPr>
        <w:t>.</w:t>
      </w:r>
    </w:p>
    <w:p w14:paraId="706D51AE" w14:textId="77777777" w:rsidR="009260DE" w:rsidRPr="00CF5197" w:rsidRDefault="009260DE" w:rsidP="009260DE">
      <w:pPr>
        <w:tabs>
          <w:tab w:val="left" w:pos="851"/>
        </w:tabs>
        <w:ind w:left="851"/>
        <w:rPr>
          <w:sz w:val="24"/>
          <w:szCs w:val="24"/>
        </w:rPr>
      </w:pPr>
    </w:p>
    <w:p w14:paraId="2CE37806" w14:textId="77777777" w:rsidR="009260DE" w:rsidRPr="00CF5197" w:rsidRDefault="009260DE" w:rsidP="009260DE">
      <w:pPr>
        <w:tabs>
          <w:tab w:val="left" w:pos="851"/>
        </w:tabs>
        <w:ind w:left="851" w:hanging="851"/>
        <w:rPr>
          <w:b/>
          <w:sz w:val="24"/>
          <w:szCs w:val="24"/>
        </w:rPr>
      </w:pPr>
      <w:r w:rsidRPr="00CF5197">
        <w:rPr>
          <w:b/>
          <w:sz w:val="24"/>
          <w:szCs w:val="24"/>
        </w:rPr>
        <w:t>5.3</w:t>
      </w:r>
      <w:r w:rsidRPr="00CF5197">
        <w:rPr>
          <w:b/>
          <w:sz w:val="24"/>
          <w:szCs w:val="24"/>
        </w:rPr>
        <w:tab/>
      </w:r>
      <w:r w:rsidR="00BD7931" w:rsidRPr="00CF5197">
        <w:rPr>
          <w:b/>
          <w:sz w:val="24"/>
          <w:szCs w:val="24"/>
        </w:rPr>
        <w:t>Non-</w:t>
      </w:r>
      <w:r w:rsidRPr="00CF5197">
        <w:rPr>
          <w:b/>
          <w:sz w:val="24"/>
          <w:szCs w:val="24"/>
        </w:rPr>
        <w:t>kliniske sikkerhedsdata</w:t>
      </w:r>
    </w:p>
    <w:p w14:paraId="5364FAB3" w14:textId="77777777" w:rsidR="007A4746" w:rsidRPr="00CF5197" w:rsidRDefault="007A4746" w:rsidP="007D5C8A">
      <w:pPr>
        <w:ind w:left="851"/>
        <w:rPr>
          <w:bCs/>
          <w:sz w:val="24"/>
          <w:szCs w:val="24"/>
          <w:lang w:eastAsia="en-GB"/>
        </w:rPr>
      </w:pPr>
      <w:r w:rsidRPr="00CF5197">
        <w:rPr>
          <w:sz w:val="24"/>
          <w:szCs w:val="24"/>
        </w:rPr>
        <w:t xml:space="preserve">I forskellige toksikologiske test blev der observeret symptomer på hypotension og CNS-depression hos alle arter. Hypotension var mest udtalt med intravenøs </w:t>
      </w:r>
      <w:proofErr w:type="spellStart"/>
      <w:r w:rsidRPr="00CF5197">
        <w:rPr>
          <w:sz w:val="24"/>
          <w:szCs w:val="24"/>
        </w:rPr>
        <w:t>bolusinjektion</w:t>
      </w:r>
      <w:proofErr w:type="spellEnd"/>
      <w:r w:rsidRPr="00CF5197">
        <w:rPr>
          <w:sz w:val="24"/>
          <w:szCs w:val="24"/>
        </w:rPr>
        <w:t>. Ved længere administrationstider sker der en tilpasning. Symptomerne bliver mindre udtalte i løbet af administrationen og forekommer mindre hyppigt.</w:t>
      </w:r>
    </w:p>
    <w:p w14:paraId="63F28B9A" w14:textId="77777777" w:rsidR="007A4746" w:rsidRPr="00CF5197" w:rsidRDefault="007A4746" w:rsidP="007D5C8A">
      <w:pPr>
        <w:ind w:left="851"/>
        <w:rPr>
          <w:bCs/>
          <w:sz w:val="24"/>
          <w:szCs w:val="24"/>
        </w:rPr>
      </w:pPr>
    </w:p>
    <w:p w14:paraId="6AE28655" w14:textId="77777777" w:rsidR="007A4746" w:rsidRPr="00CF5197" w:rsidRDefault="007A4746" w:rsidP="007D5C8A">
      <w:pPr>
        <w:ind w:left="851"/>
        <w:rPr>
          <w:bCs/>
          <w:sz w:val="24"/>
          <w:szCs w:val="24"/>
        </w:rPr>
      </w:pPr>
      <w:proofErr w:type="spellStart"/>
      <w:r w:rsidRPr="00CF5197">
        <w:rPr>
          <w:sz w:val="24"/>
          <w:szCs w:val="24"/>
        </w:rPr>
        <w:lastRenderedPageBreak/>
        <w:t>Nefrotoksiske</w:t>
      </w:r>
      <w:proofErr w:type="spellEnd"/>
      <w:r w:rsidRPr="00CF5197">
        <w:rPr>
          <w:sz w:val="24"/>
          <w:szCs w:val="24"/>
        </w:rPr>
        <w:t xml:space="preserve"> virkninger blev hovedsageligt observeret i toksicitetsstudier med hunde og rotter, men der blev ikke påvist nogen effekt på nyrernes morfologiske struktur og vægt.</w:t>
      </w:r>
    </w:p>
    <w:p w14:paraId="0F486098" w14:textId="77777777" w:rsidR="007A4746" w:rsidRPr="00CF5197" w:rsidRDefault="007A4746" w:rsidP="007D5C8A">
      <w:pPr>
        <w:ind w:left="851"/>
        <w:rPr>
          <w:bCs/>
          <w:sz w:val="24"/>
          <w:szCs w:val="24"/>
        </w:rPr>
      </w:pPr>
    </w:p>
    <w:p w14:paraId="66AE687B" w14:textId="77777777" w:rsidR="007A4746" w:rsidRPr="00CF5197" w:rsidRDefault="007A4746" w:rsidP="007D5C8A">
      <w:pPr>
        <w:ind w:left="851"/>
        <w:rPr>
          <w:bCs/>
          <w:sz w:val="24"/>
          <w:szCs w:val="24"/>
        </w:rPr>
      </w:pPr>
      <w:r w:rsidRPr="00CF5197">
        <w:rPr>
          <w:sz w:val="24"/>
          <w:szCs w:val="24"/>
        </w:rPr>
        <w:t>I rottestudierne var der også evidens for, at leveren blev beskadiget. Leverens morfologi var ikke ændret; leverens vægt var forsøget, og dette gjaldt også hos hunde. Efter 3 ugers rekonvalescens vendte de patologiske leverfunktions tests (LFT) tilbage til normal.</w:t>
      </w:r>
    </w:p>
    <w:p w14:paraId="4BEB188A" w14:textId="77777777" w:rsidR="007A4746" w:rsidRPr="00CF5197" w:rsidRDefault="007A4746" w:rsidP="007D5C8A">
      <w:pPr>
        <w:ind w:left="851"/>
        <w:rPr>
          <w:bCs/>
          <w:sz w:val="24"/>
          <w:szCs w:val="24"/>
        </w:rPr>
      </w:pPr>
    </w:p>
    <w:p w14:paraId="15194884" w14:textId="77777777" w:rsidR="007A4746" w:rsidRPr="00CF5197" w:rsidRDefault="007A4746" w:rsidP="007D5C8A">
      <w:pPr>
        <w:ind w:left="851"/>
        <w:rPr>
          <w:bCs/>
          <w:sz w:val="24"/>
          <w:szCs w:val="24"/>
        </w:rPr>
      </w:pPr>
      <w:r w:rsidRPr="00CF5197">
        <w:rPr>
          <w:sz w:val="24"/>
          <w:szCs w:val="24"/>
        </w:rPr>
        <w:t>Den lokale tolerance hos disse to arter var meget dårlig. Hos kaniner var der dog ingen indikationer af relevante lokale reaktioner under intravenøs og intraarteriel administration.</w:t>
      </w:r>
    </w:p>
    <w:p w14:paraId="05FFB664" w14:textId="77777777" w:rsidR="007A4746" w:rsidRPr="00CF5197" w:rsidRDefault="007A4746" w:rsidP="007D5C8A">
      <w:pPr>
        <w:ind w:left="851"/>
        <w:rPr>
          <w:bCs/>
          <w:sz w:val="24"/>
          <w:szCs w:val="24"/>
        </w:rPr>
      </w:pPr>
    </w:p>
    <w:p w14:paraId="3E04C3EA" w14:textId="77777777" w:rsidR="007A4746" w:rsidRPr="00CF5197" w:rsidRDefault="007A4746" w:rsidP="007D5C8A">
      <w:pPr>
        <w:ind w:left="851"/>
        <w:rPr>
          <w:bCs/>
          <w:sz w:val="24"/>
          <w:szCs w:val="24"/>
        </w:rPr>
      </w:pPr>
      <w:proofErr w:type="spellStart"/>
      <w:r w:rsidRPr="00CF5197">
        <w:rPr>
          <w:sz w:val="24"/>
          <w:szCs w:val="24"/>
        </w:rPr>
        <w:t>Teratologi</w:t>
      </w:r>
      <w:proofErr w:type="spellEnd"/>
      <w:r w:rsidRPr="00CF5197">
        <w:rPr>
          <w:sz w:val="24"/>
          <w:szCs w:val="24"/>
        </w:rPr>
        <w:t xml:space="preserve"> hos kaniner viste lav </w:t>
      </w:r>
      <w:proofErr w:type="spellStart"/>
      <w:r w:rsidRPr="00CF5197">
        <w:rPr>
          <w:sz w:val="24"/>
          <w:szCs w:val="24"/>
        </w:rPr>
        <w:t>føtal</w:t>
      </w:r>
      <w:proofErr w:type="spellEnd"/>
      <w:r w:rsidRPr="00CF5197">
        <w:rPr>
          <w:sz w:val="24"/>
          <w:szCs w:val="24"/>
        </w:rPr>
        <w:t xml:space="preserve"> toksicitet, som delvist kunne forklares ved den </w:t>
      </w:r>
      <w:proofErr w:type="spellStart"/>
      <w:r w:rsidRPr="00CF5197">
        <w:rPr>
          <w:sz w:val="24"/>
          <w:szCs w:val="24"/>
        </w:rPr>
        <w:t>maternelle</w:t>
      </w:r>
      <w:proofErr w:type="spellEnd"/>
      <w:r w:rsidRPr="00CF5197">
        <w:rPr>
          <w:sz w:val="24"/>
          <w:szCs w:val="24"/>
        </w:rPr>
        <w:t xml:space="preserve"> toksiske virkning.</w:t>
      </w:r>
    </w:p>
    <w:p w14:paraId="57DCBA94" w14:textId="77777777" w:rsidR="007A4746" w:rsidRPr="00CF5197" w:rsidRDefault="007A4746" w:rsidP="007D5C8A">
      <w:pPr>
        <w:ind w:left="851"/>
        <w:rPr>
          <w:bCs/>
          <w:sz w:val="24"/>
          <w:szCs w:val="24"/>
        </w:rPr>
      </w:pPr>
    </w:p>
    <w:p w14:paraId="49EEA00C" w14:textId="77777777" w:rsidR="007A4746" w:rsidRPr="00CF5197" w:rsidRDefault="007A4746" w:rsidP="007D5C8A">
      <w:pPr>
        <w:ind w:left="851"/>
        <w:rPr>
          <w:bCs/>
          <w:sz w:val="24"/>
          <w:szCs w:val="24"/>
        </w:rPr>
      </w:pPr>
      <w:r w:rsidRPr="00CF5197">
        <w:rPr>
          <w:sz w:val="24"/>
          <w:szCs w:val="24"/>
        </w:rPr>
        <w:t>Studier af embryotoksicitet i en anden dyreart samt studier af fertilitet og de potentielle skadevirkninger hos dyr under drægtighed og laktation blev ikke udført.</w:t>
      </w:r>
    </w:p>
    <w:p w14:paraId="627ED5DB" w14:textId="77777777" w:rsidR="007A4746" w:rsidRPr="00CF5197" w:rsidRDefault="007A4746" w:rsidP="007D5C8A">
      <w:pPr>
        <w:ind w:left="851"/>
        <w:rPr>
          <w:bCs/>
          <w:sz w:val="24"/>
          <w:szCs w:val="24"/>
        </w:rPr>
      </w:pPr>
    </w:p>
    <w:p w14:paraId="36DF292C" w14:textId="77777777" w:rsidR="007A4746" w:rsidRPr="00CF5197" w:rsidRDefault="007A4746" w:rsidP="007D5C8A">
      <w:pPr>
        <w:ind w:left="851"/>
        <w:rPr>
          <w:bCs/>
          <w:sz w:val="24"/>
          <w:szCs w:val="24"/>
        </w:rPr>
      </w:pPr>
      <w:proofErr w:type="spellStart"/>
      <w:r w:rsidRPr="00CF5197">
        <w:rPr>
          <w:sz w:val="24"/>
          <w:szCs w:val="24"/>
        </w:rPr>
        <w:t>Pentamidindiisetionat</w:t>
      </w:r>
      <w:proofErr w:type="spellEnd"/>
      <w:r w:rsidRPr="00CF5197">
        <w:rPr>
          <w:sz w:val="24"/>
          <w:szCs w:val="24"/>
        </w:rPr>
        <w:t xml:space="preserve"> kan i princippet interagere med DNA. Stoffet var dog upåfaldende i flere </w:t>
      </w:r>
      <w:proofErr w:type="spellStart"/>
      <w:r w:rsidRPr="00CF5197">
        <w:rPr>
          <w:sz w:val="24"/>
          <w:szCs w:val="24"/>
        </w:rPr>
        <w:t>mutagenicitetstest</w:t>
      </w:r>
      <w:proofErr w:type="spellEnd"/>
      <w:r w:rsidRPr="00CF5197">
        <w:rPr>
          <w:sz w:val="24"/>
          <w:szCs w:val="24"/>
        </w:rPr>
        <w:t xml:space="preserve"> in </w:t>
      </w:r>
      <w:proofErr w:type="spellStart"/>
      <w:r w:rsidRPr="00CF5197">
        <w:rPr>
          <w:sz w:val="24"/>
          <w:szCs w:val="24"/>
        </w:rPr>
        <w:t>vitro</w:t>
      </w:r>
      <w:proofErr w:type="spellEnd"/>
      <w:r w:rsidRPr="00CF5197">
        <w:rPr>
          <w:sz w:val="24"/>
          <w:szCs w:val="24"/>
        </w:rPr>
        <w:t xml:space="preserve"> og in </w:t>
      </w:r>
      <w:proofErr w:type="spellStart"/>
      <w:r w:rsidRPr="00CF5197">
        <w:rPr>
          <w:sz w:val="24"/>
          <w:szCs w:val="24"/>
        </w:rPr>
        <w:t>vivo</w:t>
      </w:r>
      <w:proofErr w:type="spellEnd"/>
      <w:r w:rsidRPr="00CF5197">
        <w:rPr>
          <w:sz w:val="24"/>
          <w:szCs w:val="24"/>
        </w:rPr>
        <w:t>.</w:t>
      </w:r>
    </w:p>
    <w:p w14:paraId="6AC601A7" w14:textId="77777777" w:rsidR="000A00DF" w:rsidRDefault="000A00DF" w:rsidP="007D5C8A">
      <w:pPr>
        <w:ind w:left="851"/>
        <w:rPr>
          <w:sz w:val="24"/>
          <w:szCs w:val="24"/>
        </w:rPr>
      </w:pPr>
    </w:p>
    <w:p w14:paraId="3ED56CFA" w14:textId="611B2E24" w:rsidR="007A4746" w:rsidRPr="00CF5197" w:rsidRDefault="007A4746" w:rsidP="007D5C8A">
      <w:pPr>
        <w:ind w:left="851"/>
        <w:rPr>
          <w:bCs/>
          <w:sz w:val="24"/>
          <w:szCs w:val="24"/>
        </w:rPr>
      </w:pPr>
      <w:r w:rsidRPr="00CF5197">
        <w:rPr>
          <w:sz w:val="24"/>
          <w:szCs w:val="24"/>
        </w:rPr>
        <w:t xml:space="preserve">Der blev ikke udført langsigtede </w:t>
      </w:r>
      <w:proofErr w:type="spellStart"/>
      <w:r w:rsidRPr="00CF5197">
        <w:rPr>
          <w:sz w:val="24"/>
          <w:szCs w:val="24"/>
        </w:rPr>
        <w:t>karcinogenicitetsstudier</w:t>
      </w:r>
      <w:proofErr w:type="spellEnd"/>
      <w:r w:rsidRPr="00CF5197">
        <w:rPr>
          <w:sz w:val="24"/>
          <w:szCs w:val="24"/>
        </w:rPr>
        <w:t>.</w:t>
      </w:r>
    </w:p>
    <w:p w14:paraId="2C8D2E38" w14:textId="77777777" w:rsidR="009260DE" w:rsidRPr="00CF5197" w:rsidRDefault="009260DE" w:rsidP="009260DE">
      <w:pPr>
        <w:tabs>
          <w:tab w:val="left" w:pos="851"/>
        </w:tabs>
        <w:ind w:left="851"/>
        <w:rPr>
          <w:sz w:val="24"/>
          <w:szCs w:val="24"/>
        </w:rPr>
      </w:pPr>
    </w:p>
    <w:p w14:paraId="3F32E0DA" w14:textId="77777777" w:rsidR="009260DE" w:rsidRPr="00CF5197" w:rsidRDefault="009260DE" w:rsidP="009260DE">
      <w:pPr>
        <w:tabs>
          <w:tab w:val="left" w:pos="851"/>
        </w:tabs>
        <w:ind w:left="851"/>
        <w:rPr>
          <w:sz w:val="24"/>
          <w:szCs w:val="24"/>
        </w:rPr>
      </w:pPr>
    </w:p>
    <w:p w14:paraId="1DE8E21D" w14:textId="77777777" w:rsidR="009260DE" w:rsidRPr="00CF5197" w:rsidRDefault="009260DE" w:rsidP="009260DE">
      <w:pPr>
        <w:tabs>
          <w:tab w:val="left" w:pos="851"/>
        </w:tabs>
        <w:ind w:left="851" w:hanging="851"/>
        <w:rPr>
          <w:b/>
          <w:sz w:val="24"/>
          <w:szCs w:val="24"/>
        </w:rPr>
      </w:pPr>
      <w:r w:rsidRPr="00CF5197">
        <w:rPr>
          <w:b/>
          <w:sz w:val="24"/>
          <w:szCs w:val="24"/>
        </w:rPr>
        <w:t>6.</w:t>
      </w:r>
      <w:r w:rsidRPr="00CF5197">
        <w:rPr>
          <w:b/>
          <w:sz w:val="24"/>
          <w:szCs w:val="24"/>
        </w:rPr>
        <w:tab/>
        <w:t>FARMACEUTISKE OPLYSNINGER</w:t>
      </w:r>
    </w:p>
    <w:p w14:paraId="0A3740FD" w14:textId="77777777" w:rsidR="009260DE" w:rsidRPr="00CF5197" w:rsidRDefault="009260DE" w:rsidP="009260DE">
      <w:pPr>
        <w:tabs>
          <w:tab w:val="left" w:pos="851"/>
        </w:tabs>
        <w:ind w:left="851"/>
        <w:rPr>
          <w:sz w:val="24"/>
          <w:szCs w:val="24"/>
        </w:rPr>
      </w:pPr>
    </w:p>
    <w:p w14:paraId="04C4E435" w14:textId="77777777" w:rsidR="009260DE" w:rsidRPr="00CF5197" w:rsidRDefault="009260DE" w:rsidP="009260DE">
      <w:pPr>
        <w:tabs>
          <w:tab w:val="left" w:pos="851"/>
        </w:tabs>
        <w:ind w:left="851" w:hanging="851"/>
        <w:rPr>
          <w:b/>
          <w:sz w:val="24"/>
          <w:szCs w:val="24"/>
        </w:rPr>
      </w:pPr>
      <w:r w:rsidRPr="00CF5197">
        <w:rPr>
          <w:b/>
          <w:sz w:val="24"/>
          <w:szCs w:val="24"/>
        </w:rPr>
        <w:t>6.1</w:t>
      </w:r>
      <w:r w:rsidRPr="00CF5197">
        <w:rPr>
          <w:b/>
          <w:sz w:val="24"/>
          <w:szCs w:val="24"/>
        </w:rPr>
        <w:tab/>
        <w:t>Hjælpestoffer</w:t>
      </w:r>
    </w:p>
    <w:p w14:paraId="0A16101A" w14:textId="77777777" w:rsidR="00377ECB" w:rsidRPr="00CF5197" w:rsidRDefault="00377ECB" w:rsidP="007D5C8A">
      <w:pPr>
        <w:ind w:left="851"/>
        <w:rPr>
          <w:sz w:val="24"/>
          <w:szCs w:val="24"/>
          <w:lang w:eastAsia="en-GB"/>
        </w:rPr>
      </w:pPr>
      <w:r w:rsidRPr="00CF5197">
        <w:rPr>
          <w:sz w:val="24"/>
          <w:szCs w:val="24"/>
        </w:rPr>
        <w:t>Ingen</w:t>
      </w:r>
    </w:p>
    <w:p w14:paraId="3ABD1AA8" w14:textId="77777777" w:rsidR="009260DE" w:rsidRPr="00CF5197" w:rsidRDefault="009260DE" w:rsidP="009260DE">
      <w:pPr>
        <w:tabs>
          <w:tab w:val="left" w:pos="851"/>
        </w:tabs>
        <w:ind w:left="851"/>
        <w:rPr>
          <w:sz w:val="24"/>
          <w:szCs w:val="24"/>
        </w:rPr>
      </w:pPr>
    </w:p>
    <w:p w14:paraId="03B468FD" w14:textId="77777777" w:rsidR="009260DE" w:rsidRPr="00CF5197" w:rsidRDefault="009260DE" w:rsidP="009260DE">
      <w:pPr>
        <w:tabs>
          <w:tab w:val="left" w:pos="851"/>
        </w:tabs>
        <w:ind w:left="851" w:hanging="851"/>
        <w:rPr>
          <w:b/>
          <w:sz w:val="24"/>
          <w:szCs w:val="24"/>
        </w:rPr>
      </w:pPr>
      <w:r w:rsidRPr="00CF5197">
        <w:rPr>
          <w:b/>
          <w:sz w:val="24"/>
          <w:szCs w:val="24"/>
        </w:rPr>
        <w:t>6.2</w:t>
      </w:r>
      <w:r w:rsidRPr="00CF5197">
        <w:rPr>
          <w:b/>
          <w:sz w:val="24"/>
          <w:szCs w:val="24"/>
        </w:rPr>
        <w:tab/>
        <w:t>Uforligeligheder</w:t>
      </w:r>
    </w:p>
    <w:p w14:paraId="67C87789" w14:textId="77777777" w:rsidR="00377ECB" w:rsidRPr="00CF5197" w:rsidRDefault="00377ECB" w:rsidP="007D5C8A">
      <w:pPr>
        <w:ind w:left="851"/>
        <w:rPr>
          <w:sz w:val="24"/>
          <w:szCs w:val="24"/>
          <w:lang w:eastAsia="en-GB"/>
        </w:rPr>
      </w:pPr>
      <w:r w:rsidRPr="00CF5197">
        <w:rPr>
          <w:sz w:val="24"/>
          <w:szCs w:val="24"/>
        </w:rPr>
        <w:t>Dette lægemiddel må ikke blandes med andre lægemidler end dem, der er anført under pkt. 6.6.</w:t>
      </w:r>
    </w:p>
    <w:p w14:paraId="32D56625" w14:textId="77777777" w:rsidR="009260DE" w:rsidRPr="00CF5197" w:rsidRDefault="009260DE" w:rsidP="009260DE">
      <w:pPr>
        <w:tabs>
          <w:tab w:val="left" w:pos="851"/>
        </w:tabs>
        <w:ind w:left="851"/>
        <w:rPr>
          <w:sz w:val="24"/>
          <w:szCs w:val="24"/>
        </w:rPr>
      </w:pPr>
    </w:p>
    <w:p w14:paraId="3FBC64F8" w14:textId="77777777" w:rsidR="009260DE" w:rsidRPr="00CF5197" w:rsidRDefault="009260DE" w:rsidP="009260DE">
      <w:pPr>
        <w:tabs>
          <w:tab w:val="left" w:pos="851"/>
        </w:tabs>
        <w:ind w:left="851" w:hanging="851"/>
        <w:rPr>
          <w:b/>
          <w:sz w:val="24"/>
          <w:szCs w:val="24"/>
        </w:rPr>
      </w:pPr>
      <w:r w:rsidRPr="00CF5197">
        <w:rPr>
          <w:b/>
          <w:sz w:val="24"/>
          <w:szCs w:val="24"/>
        </w:rPr>
        <w:t>6.3</w:t>
      </w:r>
      <w:r w:rsidRPr="00CF5197">
        <w:rPr>
          <w:b/>
          <w:sz w:val="24"/>
          <w:szCs w:val="24"/>
        </w:rPr>
        <w:tab/>
        <w:t>Opbevaringstid</w:t>
      </w:r>
    </w:p>
    <w:p w14:paraId="0D772CED" w14:textId="77777777" w:rsidR="00377ECB" w:rsidRPr="00CF5197" w:rsidRDefault="00377ECB" w:rsidP="007D5C8A">
      <w:pPr>
        <w:ind w:left="851"/>
        <w:rPr>
          <w:sz w:val="24"/>
          <w:szCs w:val="24"/>
          <w:lang w:eastAsia="en-GB"/>
        </w:rPr>
      </w:pPr>
      <w:r w:rsidRPr="00CF5197">
        <w:rPr>
          <w:sz w:val="24"/>
          <w:szCs w:val="24"/>
        </w:rPr>
        <w:t>3 år.</w:t>
      </w:r>
    </w:p>
    <w:p w14:paraId="30032EFF" w14:textId="77777777" w:rsidR="00377ECB" w:rsidRPr="00CF5197" w:rsidRDefault="00377ECB" w:rsidP="007D5C8A">
      <w:pPr>
        <w:ind w:left="851"/>
        <w:rPr>
          <w:sz w:val="24"/>
          <w:szCs w:val="24"/>
        </w:rPr>
      </w:pPr>
    </w:p>
    <w:p w14:paraId="052EABFE" w14:textId="77777777" w:rsidR="00377ECB" w:rsidRPr="00CF5197" w:rsidRDefault="00377ECB" w:rsidP="007D5C8A">
      <w:pPr>
        <w:ind w:left="851"/>
        <w:rPr>
          <w:sz w:val="24"/>
          <w:szCs w:val="24"/>
          <w:u w:val="single"/>
        </w:rPr>
      </w:pPr>
      <w:r w:rsidRPr="00CF5197">
        <w:rPr>
          <w:sz w:val="24"/>
          <w:szCs w:val="24"/>
          <w:u w:val="single"/>
        </w:rPr>
        <w:t>Efter anbrud:</w:t>
      </w:r>
    </w:p>
    <w:p w14:paraId="6A88E5B5" w14:textId="77777777" w:rsidR="00377ECB" w:rsidRPr="00CF5197" w:rsidRDefault="00377ECB" w:rsidP="007D5C8A">
      <w:pPr>
        <w:ind w:left="851"/>
        <w:rPr>
          <w:sz w:val="24"/>
          <w:szCs w:val="24"/>
        </w:rPr>
      </w:pPr>
      <w:r w:rsidRPr="00CF5197">
        <w:rPr>
          <w:sz w:val="24"/>
          <w:szCs w:val="24"/>
        </w:rPr>
        <w:t>Lægemidlet skal anvendes med det samme.</w:t>
      </w:r>
    </w:p>
    <w:p w14:paraId="20E13C51" w14:textId="77777777" w:rsidR="00377ECB" w:rsidRPr="00CF5197" w:rsidRDefault="00377ECB" w:rsidP="007D5C8A">
      <w:pPr>
        <w:ind w:left="851"/>
        <w:rPr>
          <w:sz w:val="24"/>
          <w:szCs w:val="24"/>
        </w:rPr>
      </w:pPr>
    </w:p>
    <w:p w14:paraId="7BD3AC44" w14:textId="77777777" w:rsidR="00377ECB" w:rsidRPr="00CF5197" w:rsidRDefault="00377ECB" w:rsidP="007D5C8A">
      <w:pPr>
        <w:ind w:left="851"/>
        <w:rPr>
          <w:sz w:val="24"/>
          <w:szCs w:val="24"/>
          <w:u w:val="single"/>
        </w:rPr>
      </w:pPr>
      <w:r w:rsidRPr="00CF5197">
        <w:rPr>
          <w:sz w:val="24"/>
          <w:szCs w:val="24"/>
          <w:u w:val="single"/>
        </w:rPr>
        <w:t xml:space="preserve">Efter </w:t>
      </w:r>
      <w:proofErr w:type="spellStart"/>
      <w:r w:rsidRPr="00CF5197">
        <w:rPr>
          <w:sz w:val="24"/>
          <w:szCs w:val="24"/>
          <w:u w:val="single"/>
        </w:rPr>
        <w:t>rekonstitution</w:t>
      </w:r>
      <w:proofErr w:type="spellEnd"/>
      <w:r w:rsidRPr="00CF5197">
        <w:rPr>
          <w:sz w:val="24"/>
          <w:szCs w:val="24"/>
          <w:u w:val="single"/>
        </w:rPr>
        <w:t>:</w:t>
      </w:r>
    </w:p>
    <w:p w14:paraId="0284996E" w14:textId="493A570F" w:rsidR="00377ECB" w:rsidRPr="00CF5197" w:rsidRDefault="00377ECB" w:rsidP="007D5C8A">
      <w:pPr>
        <w:ind w:left="851"/>
        <w:rPr>
          <w:color w:val="000000" w:themeColor="text1"/>
          <w:sz w:val="24"/>
          <w:szCs w:val="24"/>
        </w:rPr>
      </w:pPr>
      <w:r w:rsidRPr="00CF5197">
        <w:rPr>
          <w:sz w:val="24"/>
          <w:szCs w:val="24"/>
        </w:rPr>
        <w:t>Der er påvist kemisk og fysisk stabilitet med injektionsvæske under brug i 36 timer ved opbevaring ved 2</w:t>
      </w:r>
      <w:r w:rsidRPr="00CF5197">
        <w:rPr>
          <w:sz w:val="24"/>
          <w:szCs w:val="24"/>
        </w:rPr>
        <w:noBreakHyphen/>
        <w:t>8 °C. Opløsningen er også stabil i 60 timer ved 20</w:t>
      </w:r>
      <w:r w:rsidRPr="00CF5197">
        <w:rPr>
          <w:sz w:val="24"/>
          <w:szCs w:val="24"/>
        </w:rPr>
        <w:noBreakHyphen/>
        <w:t>25 °C i den originale beholder.</w:t>
      </w:r>
    </w:p>
    <w:p w14:paraId="33FEB3A7" w14:textId="77777777" w:rsidR="00377ECB" w:rsidRPr="00CF5197" w:rsidRDefault="00377ECB" w:rsidP="007D5C8A">
      <w:pPr>
        <w:ind w:left="851"/>
        <w:rPr>
          <w:sz w:val="24"/>
          <w:szCs w:val="24"/>
          <w:highlight w:val="yellow"/>
        </w:rPr>
      </w:pPr>
    </w:p>
    <w:p w14:paraId="4D3EEB55" w14:textId="77777777" w:rsidR="00377ECB" w:rsidRPr="00CF5197" w:rsidRDefault="00377ECB" w:rsidP="007D5C8A">
      <w:pPr>
        <w:ind w:left="851"/>
        <w:rPr>
          <w:sz w:val="24"/>
          <w:szCs w:val="24"/>
          <w:highlight w:val="yellow"/>
        </w:rPr>
      </w:pPr>
      <w:r w:rsidRPr="00CF5197">
        <w:rPr>
          <w:color w:val="000000" w:themeColor="text1"/>
          <w:sz w:val="24"/>
          <w:szCs w:val="24"/>
        </w:rPr>
        <w:t xml:space="preserve">Ud fra et mikrobiologisk synspunkt bør præparatet anvendes straks. Hvis det ikke bruges straks, er opbevaringstiderne og –betingelserne før brug brugerens ansvar og vil normalt ikke være længere end 24 timer ved 2 til 8 °C, medmindre </w:t>
      </w:r>
      <w:proofErr w:type="spellStart"/>
      <w:r w:rsidRPr="00CF5197">
        <w:rPr>
          <w:color w:val="000000" w:themeColor="text1"/>
          <w:sz w:val="24"/>
          <w:szCs w:val="24"/>
        </w:rPr>
        <w:t>rekonstitutionen</w:t>
      </w:r>
      <w:proofErr w:type="spellEnd"/>
      <w:r w:rsidRPr="00CF5197">
        <w:rPr>
          <w:color w:val="000000" w:themeColor="text1"/>
          <w:sz w:val="24"/>
          <w:szCs w:val="24"/>
        </w:rPr>
        <w:t xml:space="preserve"> har fundet sted under kontrollerede og validerede aseptiske forhold.</w:t>
      </w:r>
    </w:p>
    <w:p w14:paraId="01D6E84F" w14:textId="77777777" w:rsidR="00377ECB" w:rsidRPr="00CF5197" w:rsidRDefault="00377ECB" w:rsidP="007D5C8A">
      <w:pPr>
        <w:ind w:left="851"/>
        <w:rPr>
          <w:sz w:val="24"/>
          <w:szCs w:val="24"/>
          <w:highlight w:val="yellow"/>
        </w:rPr>
      </w:pPr>
    </w:p>
    <w:p w14:paraId="2C9ADCAB" w14:textId="77777777" w:rsidR="00377ECB" w:rsidRPr="00CF5197" w:rsidRDefault="00377ECB" w:rsidP="007D5C8A">
      <w:pPr>
        <w:ind w:left="851"/>
        <w:rPr>
          <w:sz w:val="24"/>
          <w:szCs w:val="24"/>
          <w:u w:val="single"/>
        </w:rPr>
      </w:pPr>
      <w:r w:rsidRPr="00CF5197">
        <w:rPr>
          <w:sz w:val="24"/>
          <w:szCs w:val="24"/>
          <w:u w:val="single"/>
        </w:rPr>
        <w:t xml:space="preserve">Efter fortynding: </w:t>
      </w:r>
    </w:p>
    <w:p w14:paraId="4C1047EA" w14:textId="77777777" w:rsidR="00377ECB" w:rsidRPr="00CF5197" w:rsidRDefault="00377ECB" w:rsidP="007D5C8A">
      <w:pPr>
        <w:ind w:left="851"/>
        <w:rPr>
          <w:sz w:val="24"/>
          <w:szCs w:val="24"/>
        </w:rPr>
      </w:pPr>
      <w:r w:rsidRPr="00CF5197">
        <w:rPr>
          <w:sz w:val="24"/>
          <w:szCs w:val="24"/>
        </w:rPr>
        <w:t xml:space="preserve">Der er påvist kemisk og fysisk i-brug stabilitet med </w:t>
      </w:r>
      <w:proofErr w:type="spellStart"/>
      <w:r w:rsidRPr="00CF5197">
        <w:rPr>
          <w:sz w:val="24"/>
          <w:szCs w:val="24"/>
        </w:rPr>
        <w:t>natriumchlorid</w:t>
      </w:r>
      <w:proofErr w:type="spellEnd"/>
      <w:r w:rsidRPr="00CF5197">
        <w:rPr>
          <w:sz w:val="24"/>
          <w:szCs w:val="24"/>
        </w:rPr>
        <w:t xml:space="preserve"> 9 mg/ml (0,9 %) injektionsvæske, opløsning i PVC-pose eller </w:t>
      </w:r>
      <w:proofErr w:type="spellStart"/>
      <w:r w:rsidRPr="00CF5197">
        <w:rPr>
          <w:sz w:val="24"/>
          <w:szCs w:val="24"/>
        </w:rPr>
        <w:t>glucose</w:t>
      </w:r>
      <w:proofErr w:type="spellEnd"/>
      <w:r w:rsidRPr="00CF5197">
        <w:rPr>
          <w:sz w:val="24"/>
          <w:szCs w:val="24"/>
        </w:rPr>
        <w:t xml:space="preserve"> 50 mg/ml (5 %) injektionsvæske, opløsning i PVC-pose i 36 timer ved 20</w:t>
      </w:r>
      <w:r w:rsidRPr="00CF5197">
        <w:rPr>
          <w:sz w:val="24"/>
          <w:szCs w:val="24"/>
        </w:rPr>
        <w:noBreakHyphen/>
        <w:t xml:space="preserve">25 °C. Må ikke opbevares i køleskab. </w:t>
      </w:r>
    </w:p>
    <w:p w14:paraId="27A3CAE7" w14:textId="77777777" w:rsidR="00377ECB" w:rsidRPr="00CF5197" w:rsidRDefault="00377ECB" w:rsidP="007D5C8A">
      <w:pPr>
        <w:ind w:left="851"/>
        <w:rPr>
          <w:sz w:val="24"/>
          <w:szCs w:val="24"/>
        </w:rPr>
      </w:pPr>
    </w:p>
    <w:p w14:paraId="51ABD32A" w14:textId="2AD6EA53" w:rsidR="00377ECB" w:rsidRPr="00CF5197" w:rsidRDefault="00377ECB" w:rsidP="007D5C8A">
      <w:pPr>
        <w:ind w:left="851"/>
        <w:rPr>
          <w:sz w:val="24"/>
          <w:szCs w:val="24"/>
        </w:rPr>
      </w:pPr>
      <w:r w:rsidRPr="00CF5197">
        <w:rPr>
          <w:sz w:val="24"/>
          <w:szCs w:val="24"/>
        </w:rPr>
        <w:t>Ud fra et mikrobiologisk synspunkt bør præparatet anvendes straks, medmindre fortyndingsmetoden udelukker risiko for mikrobiel kontaminering. Hvis det ikke bruges straks, er opbevaringstiderne og -betingelserne brugerens ansvar.</w:t>
      </w:r>
    </w:p>
    <w:p w14:paraId="2616374A" w14:textId="77777777" w:rsidR="009260DE" w:rsidRPr="00CF5197" w:rsidRDefault="009260DE" w:rsidP="009260DE">
      <w:pPr>
        <w:tabs>
          <w:tab w:val="left" w:pos="851"/>
        </w:tabs>
        <w:ind w:left="851"/>
        <w:rPr>
          <w:sz w:val="24"/>
          <w:szCs w:val="24"/>
        </w:rPr>
      </w:pPr>
    </w:p>
    <w:p w14:paraId="3D53E547" w14:textId="77777777" w:rsidR="009260DE" w:rsidRPr="00CF5197" w:rsidRDefault="009260DE" w:rsidP="009260DE">
      <w:pPr>
        <w:tabs>
          <w:tab w:val="left" w:pos="851"/>
        </w:tabs>
        <w:ind w:left="851" w:hanging="851"/>
        <w:rPr>
          <w:b/>
          <w:sz w:val="24"/>
          <w:szCs w:val="24"/>
        </w:rPr>
      </w:pPr>
      <w:r w:rsidRPr="00CF5197">
        <w:rPr>
          <w:b/>
          <w:sz w:val="24"/>
          <w:szCs w:val="24"/>
        </w:rPr>
        <w:t>6.4</w:t>
      </w:r>
      <w:r w:rsidRPr="00CF5197">
        <w:rPr>
          <w:b/>
          <w:sz w:val="24"/>
          <w:szCs w:val="24"/>
        </w:rPr>
        <w:tab/>
        <w:t>Særlige opbevaringsforhold</w:t>
      </w:r>
    </w:p>
    <w:p w14:paraId="2A332EF9" w14:textId="77777777" w:rsidR="00377ECB" w:rsidRPr="00CF5197" w:rsidRDefault="00377ECB" w:rsidP="007D5C8A">
      <w:pPr>
        <w:ind w:left="851"/>
        <w:rPr>
          <w:sz w:val="24"/>
          <w:szCs w:val="24"/>
          <w:lang w:eastAsia="en-GB"/>
        </w:rPr>
      </w:pPr>
      <w:r w:rsidRPr="00CF5197">
        <w:rPr>
          <w:sz w:val="24"/>
          <w:szCs w:val="24"/>
        </w:rPr>
        <w:t>Dette lægemiddel kræver ingen særlige forholdsregler vedrørende opbevaringen.</w:t>
      </w:r>
    </w:p>
    <w:p w14:paraId="089DD79C" w14:textId="77777777" w:rsidR="00377ECB" w:rsidRPr="00CF5197" w:rsidRDefault="00377ECB" w:rsidP="007D5C8A">
      <w:pPr>
        <w:ind w:left="851"/>
        <w:rPr>
          <w:sz w:val="24"/>
          <w:szCs w:val="24"/>
        </w:rPr>
      </w:pPr>
      <w:r w:rsidRPr="00CF5197">
        <w:rPr>
          <w:sz w:val="24"/>
          <w:szCs w:val="24"/>
        </w:rPr>
        <w:t xml:space="preserve">Opbevaringsforhold efter åbning og </w:t>
      </w:r>
      <w:proofErr w:type="spellStart"/>
      <w:r w:rsidRPr="00CF5197">
        <w:rPr>
          <w:sz w:val="24"/>
          <w:szCs w:val="24"/>
        </w:rPr>
        <w:t>rekonstitution</w:t>
      </w:r>
      <w:proofErr w:type="spellEnd"/>
      <w:r w:rsidRPr="00CF5197">
        <w:rPr>
          <w:sz w:val="24"/>
          <w:szCs w:val="24"/>
        </w:rPr>
        <w:t>/fortynding af lægemidlet, se pkt. 6.3.</w:t>
      </w:r>
    </w:p>
    <w:p w14:paraId="621FA387" w14:textId="77777777" w:rsidR="009260DE" w:rsidRPr="00CF5197" w:rsidRDefault="009260DE" w:rsidP="009260DE">
      <w:pPr>
        <w:tabs>
          <w:tab w:val="left" w:pos="851"/>
        </w:tabs>
        <w:ind w:left="851"/>
        <w:rPr>
          <w:sz w:val="24"/>
          <w:szCs w:val="24"/>
        </w:rPr>
      </w:pPr>
    </w:p>
    <w:p w14:paraId="72D16CC6" w14:textId="77777777" w:rsidR="009260DE" w:rsidRPr="00CF5197" w:rsidRDefault="009260DE" w:rsidP="009260DE">
      <w:pPr>
        <w:tabs>
          <w:tab w:val="left" w:pos="851"/>
        </w:tabs>
        <w:ind w:left="851" w:hanging="851"/>
        <w:rPr>
          <w:b/>
          <w:sz w:val="24"/>
          <w:szCs w:val="24"/>
        </w:rPr>
      </w:pPr>
      <w:r w:rsidRPr="00CF5197">
        <w:rPr>
          <w:b/>
          <w:sz w:val="24"/>
          <w:szCs w:val="24"/>
        </w:rPr>
        <w:t>6.5</w:t>
      </w:r>
      <w:r w:rsidRPr="00CF5197">
        <w:rPr>
          <w:b/>
          <w:sz w:val="24"/>
          <w:szCs w:val="24"/>
        </w:rPr>
        <w:tab/>
        <w:t>Emballagetype og pakningsstørrelser</w:t>
      </w:r>
    </w:p>
    <w:p w14:paraId="18BE4727" w14:textId="11E8301F" w:rsidR="00377ECB" w:rsidRPr="00CF5197" w:rsidRDefault="00377ECB" w:rsidP="007D5C8A">
      <w:pPr>
        <w:ind w:left="851"/>
        <w:rPr>
          <w:sz w:val="24"/>
          <w:szCs w:val="24"/>
          <w:lang w:eastAsia="en-GB"/>
        </w:rPr>
      </w:pPr>
      <w:r w:rsidRPr="00CF5197">
        <w:rPr>
          <w:sz w:val="24"/>
          <w:szCs w:val="24"/>
        </w:rPr>
        <w:t xml:space="preserve">20 ml hætteglas af klart glas type I med mørkegrå </w:t>
      </w:r>
      <w:proofErr w:type="spellStart"/>
      <w:r w:rsidRPr="00CF5197">
        <w:rPr>
          <w:sz w:val="24"/>
          <w:szCs w:val="24"/>
        </w:rPr>
        <w:t>bromobutylgummiprop</w:t>
      </w:r>
      <w:proofErr w:type="spellEnd"/>
      <w:r w:rsidRPr="00CF5197">
        <w:rPr>
          <w:sz w:val="24"/>
          <w:szCs w:val="24"/>
        </w:rPr>
        <w:t xml:space="preserve"> og ”flip-</w:t>
      </w:r>
      <w:proofErr w:type="spellStart"/>
      <w:r w:rsidRPr="00CF5197">
        <w:rPr>
          <w:sz w:val="24"/>
          <w:szCs w:val="24"/>
        </w:rPr>
        <w:t>off</w:t>
      </w:r>
      <w:proofErr w:type="spellEnd"/>
      <w:r w:rsidRPr="00CF5197">
        <w:rPr>
          <w:sz w:val="24"/>
          <w:szCs w:val="24"/>
        </w:rPr>
        <w:t xml:space="preserve">”-forsegling. </w:t>
      </w:r>
    </w:p>
    <w:p w14:paraId="56BC5106" w14:textId="77777777" w:rsidR="00377ECB" w:rsidRPr="00CF5197" w:rsidRDefault="00377ECB" w:rsidP="007D5C8A">
      <w:pPr>
        <w:ind w:left="851"/>
        <w:rPr>
          <w:sz w:val="24"/>
          <w:szCs w:val="24"/>
        </w:rPr>
      </w:pPr>
    </w:p>
    <w:p w14:paraId="117D3351" w14:textId="77777777" w:rsidR="00377ECB" w:rsidRPr="00CF5197" w:rsidRDefault="00377ECB" w:rsidP="007D5C8A">
      <w:pPr>
        <w:ind w:left="851"/>
        <w:rPr>
          <w:bCs/>
          <w:sz w:val="24"/>
          <w:szCs w:val="24"/>
        </w:rPr>
      </w:pPr>
      <w:r w:rsidRPr="00CF5197">
        <w:rPr>
          <w:color w:val="141415"/>
          <w:sz w:val="24"/>
          <w:szCs w:val="24"/>
        </w:rPr>
        <w:t xml:space="preserve">Pakningsstørrelser: </w:t>
      </w:r>
      <w:r w:rsidRPr="00CF5197">
        <w:rPr>
          <w:sz w:val="24"/>
          <w:szCs w:val="24"/>
        </w:rPr>
        <w:t>1 eller 5 hætteglas</w:t>
      </w:r>
    </w:p>
    <w:p w14:paraId="0B265FA1" w14:textId="77777777" w:rsidR="00377ECB" w:rsidRPr="00CF5197" w:rsidRDefault="00377ECB" w:rsidP="007D5C8A">
      <w:pPr>
        <w:ind w:left="851"/>
        <w:rPr>
          <w:bCs/>
          <w:sz w:val="24"/>
          <w:szCs w:val="24"/>
        </w:rPr>
      </w:pPr>
    </w:p>
    <w:p w14:paraId="5A2F559D" w14:textId="77777777" w:rsidR="00377ECB" w:rsidRPr="00CF5197" w:rsidRDefault="00377ECB" w:rsidP="007D5C8A">
      <w:pPr>
        <w:ind w:left="851"/>
        <w:rPr>
          <w:bCs/>
          <w:sz w:val="24"/>
          <w:szCs w:val="24"/>
        </w:rPr>
      </w:pPr>
      <w:r w:rsidRPr="00CF5197">
        <w:rPr>
          <w:sz w:val="24"/>
          <w:szCs w:val="24"/>
        </w:rPr>
        <w:t>Ikke alle pakningsstørrelser er nødvendigvis markedsført.</w:t>
      </w:r>
    </w:p>
    <w:p w14:paraId="238C9166" w14:textId="77777777" w:rsidR="009260DE" w:rsidRPr="00CF5197" w:rsidRDefault="009260DE" w:rsidP="009260DE">
      <w:pPr>
        <w:tabs>
          <w:tab w:val="left" w:pos="851"/>
        </w:tabs>
        <w:ind w:left="851"/>
        <w:rPr>
          <w:sz w:val="24"/>
          <w:szCs w:val="24"/>
        </w:rPr>
      </w:pPr>
    </w:p>
    <w:p w14:paraId="62B2AFE6" w14:textId="77777777" w:rsidR="009260DE" w:rsidRPr="00CF5197" w:rsidRDefault="009260DE" w:rsidP="009260DE">
      <w:pPr>
        <w:tabs>
          <w:tab w:val="left" w:pos="851"/>
        </w:tabs>
        <w:ind w:left="851" w:hanging="851"/>
        <w:rPr>
          <w:b/>
          <w:sz w:val="24"/>
          <w:szCs w:val="24"/>
        </w:rPr>
      </w:pPr>
      <w:r w:rsidRPr="00CF5197">
        <w:rPr>
          <w:b/>
          <w:sz w:val="24"/>
          <w:szCs w:val="24"/>
        </w:rPr>
        <w:t>6.6</w:t>
      </w:r>
      <w:r w:rsidRPr="00CF5197">
        <w:rPr>
          <w:b/>
          <w:sz w:val="24"/>
          <w:szCs w:val="24"/>
        </w:rPr>
        <w:tab/>
        <w:t xml:space="preserve">Regler for </w:t>
      </w:r>
      <w:r w:rsidR="00BD7931" w:rsidRPr="00CF5197">
        <w:rPr>
          <w:b/>
          <w:sz w:val="24"/>
          <w:szCs w:val="24"/>
        </w:rPr>
        <w:t>bortskaffelse</w:t>
      </w:r>
      <w:r w:rsidRPr="00CF5197">
        <w:rPr>
          <w:b/>
          <w:sz w:val="24"/>
          <w:szCs w:val="24"/>
        </w:rPr>
        <w:t xml:space="preserve"> og anden håndtering</w:t>
      </w:r>
    </w:p>
    <w:p w14:paraId="1F9EE6AB" w14:textId="77777777" w:rsidR="00377ECB" w:rsidRPr="00CF5197" w:rsidRDefault="00377ECB" w:rsidP="007D5C8A">
      <w:pPr>
        <w:ind w:left="851"/>
        <w:rPr>
          <w:bCs/>
          <w:sz w:val="24"/>
          <w:szCs w:val="24"/>
          <w:lang w:eastAsia="en-GB"/>
        </w:rPr>
      </w:pPr>
      <w:r w:rsidRPr="00CF5197">
        <w:rPr>
          <w:sz w:val="24"/>
          <w:szCs w:val="24"/>
        </w:rPr>
        <w:t xml:space="preserve">Klargøring af injektions-/infusionsvæske, opløsning og </w:t>
      </w:r>
      <w:proofErr w:type="spellStart"/>
      <w:r w:rsidRPr="00CF5197">
        <w:rPr>
          <w:sz w:val="24"/>
          <w:szCs w:val="24"/>
        </w:rPr>
        <w:t>nebulisator</w:t>
      </w:r>
      <w:proofErr w:type="spellEnd"/>
      <w:r w:rsidRPr="00CF5197">
        <w:rPr>
          <w:sz w:val="24"/>
          <w:szCs w:val="24"/>
        </w:rPr>
        <w:t>, opløsning</w:t>
      </w:r>
    </w:p>
    <w:p w14:paraId="2E03E2A6" w14:textId="77777777" w:rsidR="00377ECB" w:rsidRPr="00CF5197" w:rsidRDefault="00377ECB" w:rsidP="007D5C8A">
      <w:pPr>
        <w:ind w:left="851"/>
        <w:rPr>
          <w:bCs/>
          <w:sz w:val="24"/>
          <w:szCs w:val="24"/>
        </w:rPr>
      </w:pPr>
      <w:r w:rsidRPr="00CF5197">
        <w:rPr>
          <w:sz w:val="24"/>
          <w:szCs w:val="24"/>
        </w:rPr>
        <w:t xml:space="preserve">Pulveret skal </w:t>
      </w:r>
      <w:proofErr w:type="spellStart"/>
      <w:r w:rsidRPr="00CF5197">
        <w:rPr>
          <w:sz w:val="24"/>
          <w:szCs w:val="24"/>
        </w:rPr>
        <w:t>rekonstitueres</w:t>
      </w:r>
      <w:proofErr w:type="spellEnd"/>
      <w:r w:rsidRPr="00CF5197">
        <w:rPr>
          <w:sz w:val="24"/>
          <w:szCs w:val="24"/>
        </w:rPr>
        <w:t xml:space="preserve"> i stænkskab. Briller, mundbind, handsker og kittel skal anvendes. Til </w:t>
      </w:r>
      <w:proofErr w:type="spellStart"/>
      <w:r w:rsidRPr="00CF5197">
        <w:rPr>
          <w:sz w:val="24"/>
          <w:szCs w:val="24"/>
        </w:rPr>
        <w:t>rekonstitution</w:t>
      </w:r>
      <w:proofErr w:type="spellEnd"/>
      <w:r w:rsidRPr="00CF5197">
        <w:rPr>
          <w:sz w:val="24"/>
          <w:szCs w:val="24"/>
        </w:rPr>
        <w:t xml:space="preserve"> tilsættes der 5 ml sterilt vand til injektionsvæske aseptisk. Efter </w:t>
      </w:r>
      <w:proofErr w:type="spellStart"/>
      <w:r w:rsidRPr="00CF5197">
        <w:rPr>
          <w:sz w:val="24"/>
          <w:szCs w:val="24"/>
        </w:rPr>
        <w:t>rekonstitution</w:t>
      </w:r>
      <w:proofErr w:type="spellEnd"/>
      <w:r w:rsidRPr="00CF5197">
        <w:rPr>
          <w:sz w:val="24"/>
          <w:szCs w:val="24"/>
        </w:rPr>
        <w:t xml:space="preserve"> indeholder 1 ml opløsning 60 mg </w:t>
      </w:r>
      <w:proofErr w:type="spellStart"/>
      <w:r w:rsidRPr="00CF5197">
        <w:rPr>
          <w:sz w:val="24"/>
          <w:szCs w:val="24"/>
        </w:rPr>
        <w:t>pentamidindiisetionat</w:t>
      </w:r>
      <w:proofErr w:type="spellEnd"/>
      <w:r w:rsidRPr="00CF5197">
        <w:rPr>
          <w:sz w:val="24"/>
          <w:szCs w:val="24"/>
        </w:rPr>
        <w:t>.</w:t>
      </w:r>
    </w:p>
    <w:p w14:paraId="661ABA71" w14:textId="77777777" w:rsidR="00377ECB" w:rsidRPr="00CF5197" w:rsidRDefault="00377ECB" w:rsidP="007D5C8A">
      <w:pPr>
        <w:ind w:left="851"/>
        <w:rPr>
          <w:bCs/>
          <w:sz w:val="24"/>
          <w:szCs w:val="24"/>
        </w:rPr>
      </w:pPr>
    </w:p>
    <w:p w14:paraId="2A6F6D79" w14:textId="77777777" w:rsidR="00377ECB" w:rsidRPr="00CF5197" w:rsidRDefault="00377ECB" w:rsidP="007D5C8A">
      <w:pPr>
        <w:ind w:left="851"/>
        <w:rPr>
          <w:bCs/>
          <w:sz w:val="24"/>
          <w:szCs w:val="24"/>
        </w:rPr>
      </w:pPr>
      <w:r w:rsidRPr="00CF5197">
        <w:rPr>
          <w:sz w:val="24"/>
          <w:szCs w:val="24"/>
        </w:rPr>
        <w:t xml:space="preserve">Injektions-/infusionsvæsken, opløsningen kontrolleres visuelt for partikler og misfarvning før administration. Efter </w:t>
      </w:r>
      <w:proofErr w:type="spellStart"/>
      <w:r w:rsidRPr="00CF5197">
        <w:rPr>
          <w:sz w:val="24"/>
          <w:szCs w:val="24"/>
        </w:rPr>
        <w:t>rekonstitution</w:t>
      </w:r>
      <w:proofErr w:type="spellEnd"/>
      <w:r w:rsidRPr="00CF5197">
        <w:rPr>
          <w:sz w:val="24"/>
          <w:szCs w:val="24"/>
        </w:rPr>
        <w:t xml:space="preserve"> er lægemidlet en klar, farveløs opløsning fri for synlige partikler. Hætteglasset skal kasseres, hvis der ses synlige partikler.</w:t>
      </w:r>
    </w:p>
    <w:p w14:paraId="0FC78E6E" w14:textId="77777777" w:rsidR="00377ECB" w:rsidRPr="00CF5197" w:rsidRDefault="00377ECB" w:rsidP="007D5C8A">
      <w:pPr>
        <w:ind w:left="851"/>
        <w:rPr>
          <w:bCs/>
          <w:sz w:val="24"/>
          <w:szCs w:val="24"/>
        </w:rPr>
      </w:pPr>
    </w:p>
    <w:p w14:paraId="75AFD2C5" w14:textId="77777777" w:rsidR="00377ECB" w:rsidRPr="00CF5197" w:rsidRDefault="00377ECB" w:rsidP="007D5C8A">
      <w:pPr>
        <w:ind w:left="851"/>
        <w:rPr>
          <w:sz w:val="24"/>
          <w:szCs w:val="24"/>
        </w:rPr>
      </w:pPr>
      <w:r w:rsidRPr="00CF5197">
        <w:rPr>
          <w:sz w:val="24"/>
          <w:szCs w:val="24"/>
        </w:rPr>
        <w:t xml:space="preserve">Til intravenøs infusion trækkes det nødvendige volumen op til 5 ml (300 mg) </w:t>
      </w:r>
      <w:proofErr w:type="spellStart"/>
      <w:r w:rsidRPr="00CF5197">
        <w:rPr>
          <w:sz w:val="24"/>
          <w:szCs w:val="24"/>
        </w:rPr>
        <w:t>pentamidindiisetionat</w:t>
      </w:r>
      <w:proofErr w:type="spellEnd"/>
      <w:r w:rsidRPr="00CF5197">
        <w:rPr>
          <w:sz w:val="24"/>
          <w:szCs w:val="24"/>
        </w:rPr>
        <w:t xml:space="preserve"> og overføres til en intravenøs pose med 50</w:t>
      </w:r>
      <w:r w:rsidRPr="00CF5197">
        <w:rPr>
          <w:sz w:val="24"/>
          <w:szCs w:val="24"/>
        </w:rPr>
        <w:noBreakHyphen/>
        <w:t xml:space="preserve">200 ml </w:t>
      </w:r>
      <w:proofErr w:type="spellStart"/>
      <w:r w:rsidRPr="00CF5197">
        <w:rPr>
          <w:sz w:val="24"/>
          <w:szCs w:val="24"/>
        </w:rPr>
        <w:t>glucose</w:t>
      </w:r>
      <w:proofErr w:type="spellEnd"/>
      <w:r w:rsidRPr="00CF5197">
        <w:rPr>
          <w:sz w:val="24"/>
          <w:szCs w:val="24"/>
        </w:rPr>
        <w:t xml:space="preserve"> 50 mg/ml (5 %) injektionsvæske, opløsning eller </w:t>
      </w:r>
      <w:proofErr w:type="spellStart"/>
      <w:r w:rsidRPr="00CF5197">
        <w:rPr>
          <w:sz w:val="24"/>
          <w:szCs w:val="24"/>
        </w:rPr>
        <w:t>natriumchlorid</w:t>
      </w:r>
      <w:proofErr w:type="spellEnd"/>
      <w:r w:rsidRPr="00CF5197">
        <w:rPr>
          <w:sz w:val="24"/>
          <w:szCs w:val="24"/>
        </w:rPr>
        <w:t xml:space="preserve"> 9 mg/ml (0,9 %) injektionsvæske, opløsning. Den fortyndede opløsning blandes ved at vende den forsigtigt. Andre infusionsvæske må ikke anvendes.</w:t>
      </w:r>
    </w:p>
    <w:p w14:paraId="7535D456" w14:textId="77777777" w:rsidR="00377ECB" w:rsidRPr="00CF5197" w:rsidRDefault="00377ECB" w:rsidP="007D5C8A">
      <w:pPr>
        <w:ind w:left="851"/>
        <w:rPr>
          <w:sz w:val="24"/>
          <w:szCs w:val="24"/>
        </w:rPr>
      </w:pPr>
    </w:p>
    <w:p w14:paraId="2D1FE25A" w14:textId="77777777" w:rsidR="00377ECB" w:rsidRPr="00CF5197" w:rsidRDefault="00377ECB" w:rsidP="007D5C8A">
      <w:pPr>
        <w:ind w:left="851"/>
        <w:rPr>
          <w:sz w:val="24"/>
          <w:szCs w:val="24"/>
        </w:rPr>
      </w:pPr>
      <w:r w:rsidRPr="00CF5197">
        <w:rPr>
          <w:sz w:val="24"/>
          <w:szCs w:val="24"/>
        </w:rPr>
        <w:t>Lægemidlet er kun til engangsbrug. Al ubrugt opløsning i hætteglasset skal bortskaffes.</w:t>
      </w:r>
    </w:p>
    <w:p w14:paraId="3B3B5AF5" w14:textId="77777777" w:rsidR="00377ECB" w:rsidRPr="00CF5197" w:rsidRDefault="00377ECB" w:rsidP="007D5C8A">
      <w:pPr>
        <w:ind w:left="851"/>
        <w:rPr>
          <w:sz w:val="24"/>
          <w:szCs w:val="24"/>
        </w:rPr>
      </w:pPr>
    </w:p>
    <w:p w14:paraId="6F1D2EAF" w14:textId="77777777" w:rsidR="00377ECB" w:rsidRPr="00CF5197" w:rsidRDefault="00377ECB" w:rsidP="007D5C8A">
      <w:pPr>
        <w:ind w:left="851"/>
        <w:rPr>
          <w:bCs/>
          <w:sz w:val="24"/>
          <w:szCs w:val="24"/>
        </w:rPr>
      </w:pPr>
      <w:r w:rsidRPr="00CF5197">
        <w:rPr>
          <w:sz w:val="24"/>
          <w:szCs w:val="24"/>
        </w:rPr>
        <w:t xml:space="preserve">Til inhalation kan den ønskede dosis, om nødvendigt, fortyndes yderligere med vand til injektionsvæske før administration med </w:t>
      </w:r>
      <w:proofErr w:type="spellStart"/>
      <w:r w:rsidRPr="00CF5197">
        <w:rPr>
          <w:sz w:val="24"/>
          <w:szCs w:val="24"/>
        </w:rPr>
        <w:t>nebulisatoren</w:t>
      </w:r>
      <w:proofErr w:type="spellEnd"/>
      <w:r w:rsidRPr="00CF5197">
        <w:rPr>
          <w:sz w:val="24"/>
          <w:szCs w:val="24"/>
        </w:rPr>
        <w:t>.</w:t>
      </w:r>
    </w:p>
    <w:p w14:paraId="4D94ECEE" w14:textId="77777777" w:rsidR="00377ECB" w:rsidRPr="00CF5197" w:rsidRDefault="00377ECB" w:rsidP="007D5C8A">
      <w:pPr>
        <w:ind w:left="851"/>
        <w:rPr>
          <w:bCs/>
          <w:sz w:val="24"/>
          <w:szCs w:val="24"/>
        </w:rPr>
      </w:pPr>
    </w:p>
    <w:p w14:paraId="65523BF4" w14:textId="77777777" w:rsidR="00377ECB" w:rsidRPr="00CF5197" w:rsidRDefault="00377ECB" w:rsidP="007D5C8A">
      <w:pPr>
        <w:ind w:left="851"/>
        <w:rPr>
          <w:bCs/>
          <w:sz w:val="24"/>
          <w:szCs w:val="24"/>
        </w:rPr>
      </w:pPr>
      <w:r w:rsidRPr="00CF5197">
        <w:rPr>
          <w:sz w:val="24"/>
          <w:szCs w:val="24"/>
        </w:rPr>
        <w:t>Bortskaffelse</w:t>
      </w:r>
    </w:p>
    <w:p w14:paraId="1ED2E326" w14:textId="77777777" w:rsidR="00377ECB" w:rsidRPr="00CF5197" w:rsidRDefault="00377ECB" w:rsidP="007D5C8A">
      <w:pPr>
        <w:ind w:left="851"/>
        <w:rPr>
          <w:sz w:val="24"/>
          <w:szCs w:val="24"/>
        </w:rPr>
      </w:pPr>
      <w:r w:rsidRPr="00CF5197">
        <w:rPr>
          <w:sz w:val="24"/>
          <w:szCs w:val="24"/>
        </w:rPr>
        <w:t>Ikke anvendt lægemiddel samt affald heraf skal bortskaffes i henhold til lokale retningslinjer.</w:t>
      </w:r>
    </w:p>
    <w:p w14:paraId="7D1E395C" w14:textId="77777777" w:rsidR="009260DE" w:rsidRPr="00CF5197" w:rsidRDefault="009260DE" w:rsidP="000730CA">
      <w:pPr>
        <w:tabs>
          <w:tab w:val="left" w:pos="851"/>
        </w:tabs>
        <w:ind w:left="851"/>
        <w:rPr>
          <w:sz w:val="24"/>
          <w:szCs w:val="24"/>
        </w:rPr>
      </w:pPr>
    </w:p>
    <w:p w14:paraId="0B8B6CA5" w14:textId="77777777" w:rsidR="009260DE" w:rsidRPr="00CF5197" w:rsidRDefault="009260DE" w:rsidP="009260DE">
      <w:pPr>
        <w:tabs>
          <w:tab w:val="left" w:pos="851"/>
        </w:tabs>
        <w:ind w:left="851" w:hanging="851"/>
        <w:rPr>
          <w:b/>
          <w:sz w:val="24"/>
          <w:szCs w:val="24"/>
        </w:rPr>
      </w:pPr>
      <w:r w:rsidRPr="00CF5197">
        <w:rPr>
          <w:b/>
          <w:sz w:val="24"/>
          <w:szCs w:val="24"/>
        </w:rPr>
        <w:t>7.</w:t>
      </w:r>
      <w:r w:rsidRPr="00CF5197">
        <w:rPr>
          <w:b/>
          <w:sz w:val="24"/>
          <w:szCs w:val="24"/>
        </w:rPr>
        <w:tab/>
        <w:t>INDEHAVER AF MARKEDSFØRINGSTILLADELSEN</w:t>
      </w:r>
    </w:p>
    <w:p w14:paraId="43553A62" w14:textId="77777777" w:rsidR="00377ECB" w:rsidRPr="00CF5197" w:rsidRDefault="00377ECB" w:rsidP="007D5C8A">
      <w:pPr>
        <w:ind w:left="851"/>
        <w:rPr>
          <w:noProof/>
          <w:sz w:val="24"/>
          <w:szCs w:val="24"/>
          <w:lang w:eastAsia="en-GB"/>
        </w:rPr>
      </w:pPr>
      <w:proofErr w:type="spellStart"/>
      <w:r w:rsidRPr="00CF5197">
        <w:rPr>
          <w:sz w:val="24"/>
          <w:szCs w:val="24"/>
        </w:rPr>
        <w:t>Tillomed</w:t>
      </w:r>
      <w:proofErr w:type="spellEnd"/>
      <w:r w:rsidRPr="00CF5197">
        <w:rPr>
          <w:sz w:val="24"/>
          <w:szCs w:val="24"/>
        </w:rPr>
        <w:t xml:space="preserve"> Pharma GmbH</w:t>
      </w:r>
    </w:p>
    <w:p w14:paraId="37ADA9D4" w14:textId="77777777" w:rsidR="00377ECB" w:rsidRPr="00CF5197" w:rsidRDefault="00377ECB" w:rsidP="007D5C8A">
      <w:pPr>
        <w:ind w:left="851"/>
        <w:rPr>
          <w:noProof/>
          <w:sz w:val="24"/>
          <w:szCs w:val="24"/>
        </w:rPr>
      </w:pPr>
      <w:proofErr w:type="spellStart"/>
      <w:r w:rsidRPr="00CF5197">
        <w:rPr>
          <w:sz w:val="24"/>
          <w:szCs w:val="24"/>
        </w:rPr>
        <w:t>Mittelstraße</w:t>
      </w:r>
      <w:proofErr w:type="spellEnd"/>
      <w:r w:rsidRPr="00CF5197">
        <w:rPr>
          <w:sz w:val="24"/>
          <w:szCs w:val="24"/>
        </w:rPr>
        <w:t xml:space="preserve"> 5/5a</w:t>
      </w:r>
    </w:p>
    <w:p w14:paraId="1C58F6E5" w14:textId="77777777" w:rsidR="00377ECB" w:rsidRPr="00CF5197" w:rsidRDefault="00377ECB" w:rsidP="007D5C8A">
      <w:pPr>
        <w:ind w:left="851"/>
        <w:rPr>
          <w:noProof/>
          <w:sz w:val="24"/>
          <w:szCs w:val="24"/>
        </w:rPr>
      </w:pPr>
      <w:r w:rsidRPr="00CF5197">
        <w:rPr>
          <w:sz w:val="24"/>
          <w:szCs w:val="24"/>
        </w:rPr>
        <w:t xml:space="preserve">12529 </w:t>
      </w:r>
      <w:proofErr w:type="spellStart"/>
      <w:r w:rsidRPr="00CF5197">
        <w:rPr>
          <w:sz w:val="24"/>
          <w:szCs w:val="24"/>
        </w:rPr>
        <w:t>Schönefeld</w:t>
      </w:r>
      <w:proofErr w:type="spellEnd"/>
    </w:p>
    <w:p w14:paraId="1C04709B" w14:textId="77777777" w:rsidR="00377ECB" w:rsidRPr="00CF5197" w:rsidRDefault="00377ECB" w:rsidP="007D5C8A">
      <w:pPr>
        <w:ind w:left="851"/>
        <w:rPr>
          <w:noProof/>
          <w:sz w:val="24"/>
          <w:szCs w:val="24"/>
        </w:rPr>
      </w:pPr>
      <w:r w:rsidRPr="00CF5197">
        <w:rPr>
          <w:sz w:val="24"/>
          <w:szCs w:val="24"/>
        </w:rPr>
        <w:t>Tyskland</w:t>
      </w:r>
    </w:p>
    <w:p w14:paraId="7ED3B0E8" w14:textId="4C17AD03" w:rsidR="009260DE" w:rsidRPr="00CF5197" w:rsidRDefault="009260DE" w:rsidP="009260DE">
      <w:pPr>
        <w:tabs>
          <w:tab w:val="left" w:pos="851"/>
        </w:tabs>
        <w:ind w:left="851"/>
        <w:rPr>
          <w:sz w:val="24"/>
          <w:szCs w:val="24"/>
        </w:rPr>
      </w:pPr>
    </w:p>
    <w:p w14:paraId="57FF241D" w14:textId="77777777" w:rsidR="009260DE" w:rsidRPr="00CF5197" w:rsidRDefault="009260DE" w:rsidP="009260DE">
      <w:pPr>
        <w:tabs>
          <w:tab w:val="left" w:pos="851"/>
        </w:tabs>
        <w:ind w:left="851" w:hanging="851"/>
        <w:rPr>
          <w:b/>
          <w:sz w:val="24"/>
          <w:szCs w:val="24"/>
        </w:rPr>
      </w:pPr>
      <w:r w:rsidRPr="00CF5197">
        <w:rPr>
          <w:b/>
          <w:sz w:val="24"/>
          <w:szCs w:val="24"/>
        </w:rPr>
        <w:t>8.</w:t>
      </w:r>
      <w:r w:rsidRPr="00CF5197">
        <w:rPr>
          <w:b/>
          <w:sz w:val="24"/>
          <w:szCs w:val="24"/>
        </w:rPr>
        <w:tab/>
        <w:t>MARKEDSFØRINGSTILLADELSESNUMMER (</w:t>
      </w:r>
      <w:r w:rsidR="00BF6243" w:rsidRPr="00CF5197">
        <w:rPr>
          <w:b/>
          <w:sz w:val="24"/>
          <w:szCs w:val="24"/>
        </w:rPr>
        <w:t>-</w:t>
      </w:r>
      <w:r w:rsidRPr="00CF5197">
        <w:rPr>
          <w:b/>
          <w:sz w:val="24"/>
          <w:szCs w:val="24"/>
        </w:rPr>
        <w:t>NUMRE)</w:t>
      </w:r>
    </w:p>
    <w:p w14:paraId="721941E0" w14:textId="44408A8C" w:rsidR="009260DE" w:rsidRPr="00CF5197" w:rsidRDefault="00AC5B93" w:rsidP="009260DE">
      <w:pPr>
        <w:tabs>
          <w:tab w:val="left" w:pos="851"/>
        </w:tabs>
        <w:ind w:left="851"/>
        <w:rPr>
          <w:sz w:val="24"/>
          <w:szCs w:val="24"/>
        </w:rPr>
      </w:pPr>
      <w:r w:rsidRPr="00CF5197">
        <w:rPr>
          <w:sz w:val="24"/>
          <w:szCs w:val="24"/>
        </w:rPr>
        <w:t>69040</w:t>
      </w:r>
    </w:p>
    <w:p w14:paraId="4E012A4E" w14:textId="77777777" w:rsidR="009260DE" w:rsidRPr="00CF5197" w:rsidRDefault="009260DE" w:rsidP="009260DE">
      <w:pPr>
        <w:tabs>
          <w:tab w:val="left" w:pos="851"/>
        </w:tabs>
        <w:ind w:left="851"/>
        <w:jc w:val="both"/>
        <w:rPr>
          <w:sz w:val="24"/>
          <w:szCs w:val="24"/>
        </w:rPr>
      </w:pPr>
    </w:p>
    <w:p w14:paraId="1DC0DCF6" w14:textId="77777777" w:rsidR="009260DE" w:rsidRPr="00CF5197" w:rsidRDefault="009260DE" w:rsidP="009260DE">
      <w:pPr>
        <w:tabs>
          <w:tab w:val="left" w:pos="851"/>
        </w:tabs>
        <w:ind w:left="851" w:hanging="851"/>
        <w:rPr>
          <w:b/>
          <w:sz w:val="24"/>
          <w:szCs w:val="24"/>
        </w:rPr>
      </w:pPr>
      <w:r w:rsidRPr="00CF5197">
        <w:rPr>
          <w:b/>
          <w:sz w:val="24"/>
          <w:szCs w:val="24"/>
        </w:rPr>
        <w:lastRenderedPageBreak/>
        <w:t>9.</w:t>
      </w:r>
      <w:r w:rsidRPr="00CF5197">
        <w:rPr>
          <w:b/>
          <w:sz w:val="24"/>
          <w:szCs w:val="24"/>
        </w:rPr>
        <w:tab/>
        <w:t>DATO FOR FØRSTE MARKEDSFØRINGSTILLADELSE</w:t>
      </w:r>
    </w:p>
    <w:p w14:paraId="0AE98F0E" w14:textId="3162D387" w:rsidR="009260DE" w:rsidRPr="00CF5197" w:rsidRDefault="00575AAF" w:rsidP="009260DE">
      <w:pPr>
        <w:tabs>
          <w:tab w:val="left" w:pos="851"/>
        </w:tabs>
        <w:ind w:left="851"/>
        <w:rPr>
          <w:sz w:val="24"/>
          <w:szCs w:val="24"/>
        </w:rPr>
      </w:pPr>
      <w:r>
        <w:rPr>
          <w:sz w:val="24"/>
          <w:szCs w:val="24"/>
        </w:rPr>
        <w:t>9. oktober 2024</w:t>
      </w:r>
    </w:p>
    <w:p w14:paraId="3D21BCB7" w14:textId="77777777" w:rsidR="009260DE" w:rsidRPr="00CF5197" w:rsidRDefault="009260DE" w:rsidP="009260DE">
      <w:pPr>
        <w:tabs>
          <w:tab w:val="left" w:pos="851"/>
        </w:tabs>
        <w:ind w:left="851"/>
        <w:rPr>
          <w:sz w:val="24"/>
          <w:szCs w:val="24"/>
        </w:rPr>
      </w:pPr>
    </w:p>
    <w:p w14:paraId="52518DE6" w14:textId="77777777" w:rsidR="009260DE" w:rsidRPr="00CF5197" w:rsidRDefault="009260DE" w:rsidP="009260DE">
      <w:pPr>
        <w:tabs>
          <w:tab w:val="left" w:pos="851"/>
        </w:tabs>
        <w:ind w:left="851" w:hanging="851"/>
        <w:rPr>
          <w:b/>
          <w:sz w:val="24"/>
          <w:szCs w:val="24"/>
        </w:rPr>
      </w:pPr>
      <w:r w:rsidRPr="00CF5197">
        <w:rPr>
          <w:b/>
          <w:sz w:val="24"/>
          <w:szCs w:val="24"/>
        </w:rPr>
        <w:t>10.</w:t>
      </w:r>
      <w:r w:rsidRPr="00CF5197">
        <w:rPr>
          <w:b/>
          <w:sz w:val="24"/>
          <w:szCs w:val="24"/>
        </w:rPr>
        <w:tab/>
        <w:t>DATO FOR ÆNDRING AF TEKSTEN</w:t>
      </w:r>
    </w:p>
    <w:p w14:paraId="1DBD8D18" w14:textId="0B8082F0" w:rsidR="009260DE" w:rsidRPr="00CF5197" w:rsidRDefault="00AC5B93" w:rsidP="009260DE">
      <w:pPr>
        <w:tabs>
          <w:tab w:val="left" w:pos="851"/>
        </w:tabs>
        <w:ind w:left="851"/>
        <w:rPr>
          <w:sz w:val="24"/>
          <w:szCs w:val="24"/>
        </w:rPr>
      </w:pPr>
      <w:r w:rsidRPr="00CF5197">
        <w:rPr>
          <w:sz w:val="24"/>
          <w:szCs w:val="24"/>
        </w:rPr>
        <w:t>-</w:t>
      </w:r>
    </w:p>
    <w:sectPr w:rsidR="009260DE" w:rsidRPr="00CF519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3829D" w14:textId="77777777" w:rsidR="00BF7F90" w:rsidRDefault="00BF7F90">
      <w:r>
        <w:separator/>
      </w:r>
    </w:p>
  </w:endnote>
  <w:endnote w:type="continuationSeparator" w:id="0">
    <w:p w14:paraId="154D7B55" w14:textId="77777777" w:rsidR="00BF7F90" w:rsidRDefault="00BF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085F4" w14:textId="77777777" w:rsidR="000259B9" w:rsidRDefault="000259B9">
    <w:pPr>
      <w:pStyle w:val="Sidefod"/>
      <w:pBdr>
        <w:bottom w:val="single" w:sz="6" w:space="1" w:color="auto"/>
      </w:pBdr>
    </w:pPr>
  </w:p>
  <w:p w14:paraId="70FFDA59" w14:textId="77777777" w:rsidR="000259B9" w:rsidRDefault="000259B9" w:rsidP="00C42586">
    <w:pPr>
      <w:pStyle w:val="Sidefod"/>
      <w:tabs>
        <w:tab w:val="clear" w:pos="4819"/>
        <w:tab w:val="left" w:pos="8505"/>
      </w:tabs>
      <w:rPr>
        <w:i/>
        <w:sz w:val="18"/>
        <w:szCs w:val="18"/>
      </w:rPr>
    </w:pPr>
  </w:p>
  <w:p w14:paraId="22687A26" w14:textId="18773A5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C540A">
      <w:rPr>
        <w:i/>
        <w:noProof/>
        <w:sz w:val="18"/>
        <w:szCs w:val="18"/>
      </w:rPr>
      <w:t>Pentamidine Tillomed, pulver til injektions--infusionsvæske, opløsning eller pulver til opløsning til nebulisator 300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BC1AF" w14:textId="77777777" w:rsidR="00BF7F90" w:rsidRDefault="00BF7F90">
      <w:r>
        <w:separator/>
      </w:r>
    </w:p>
  </w:footnote>
  <w:footnote w:type="continuationSeparator" w:id="0">
    <w:p w14:paraId="2B597836" w14:textId="77777777" w:rsidR="00BF7F90" w:rsidRDefault="00BF7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27BAC"/>
    <w:multiLevelType w:val="hybridMultilevel"/>
    <w:tmpl w:val="AE8E1396"/>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2973E4"/>
    <w:multiLevelType w:val="hybridMultilevel"/>
    <w:tmpl w:val="A432B73A"/>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8866FDF"/>
    <w:multiLevelType w:val="hybridMultilevel"/>
    <w:tmpl w:val="0B040530"/>
    <w:lvl w:ilvl="0" w:tplc="10EA593A">
      <w:numFmt w:val="bullet"/>
      <w:lvlText w:val="-"/>
      <w:lvlJc w:val="left"/>
      <w:pPr>
        <w:ind w:left="1571" w:hanging="360"/>
      </w:pPr>
      <w:rPr>
        <w:rFonts w:ascii="Calibri" w:eastAsia="Calibri" w:hAnsi="Calibri" w:cs="Calibri"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BD740A7"/>
    <w:multiLevelType w:val="hybridMultilevel"/>
    <w:tmpl w:val="02386BB6"/>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2390F4A"/>
    <w:multiLevelType w:val="hybridMultilevel"/>
    <w:tmpl w:val="95321CEC"/>
    <w:lvl w:ilvl="0" w:tplc="FFFFFFFF">
      <w:start w:val="1"/>
      <w:numFmt w:val="bullet"/>
      <w:lvlText w:val="-"/>
      <w:lvlJc w:val="left"/>
      <w:pPr>
        <w:ind w:left="720" w:hanging="360"/>
      </w:pPr>
    </w:lvl>
    <w:lvl w:ilvl="1" w:tplc="6FB2640A">
      <w:numFmt w:val="bullet"/>
      <w:lvlText w:val="-"/>
      <w:lvlJc w:val="left"/>
      <w:pPr>
        <w:ind w:left="1440" w:hanging="360"/>
      </w:pPr>
      <w:rPr>
        <w:rFonts w:ascii="Times New Roman" w:eastAsia="Times New Roman" w:hAnsi="Times New Roman"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8D9555D"/>
    <w:multiLevelType w:val="hybridMultilevel"/>
    <w:tmpl w:val="7A0EE41A"/>
    <w:lvl w:ilvl="0" w:tplc="10EA593A">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68F70EC4"/>
    <w:multiLevelType w:val="hybridMultilevel"/>
    <w:tmpl w:val="44C2406A"/>
    <w:lvl w:ilvl="0" w:tplc="10EA593A">
      <w:numFmt w:val="bullet"/>
      <w:lvlText w:val="-"/>
      <w:lvlJc w:val="left"/>
      <w:pPr>
        <w:ind w:left="1571" w:hanging="360"/>
      </w:pPr>
      <w:rPr>
        <w:rFonts w:ascii="Calibri" w:eastAsia="Calibri" w:hAnsi="Calibri" w:cs="Calibri"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4C279AA"/>
    <w:multiLevelType w:val="hybridMultilevel"/>
    <w:tmpl w:val="6E58B1C6"/>
    <w:lvl w:ilvl="0" w:tplc="04090001">
      <w:start w:val="1"/>
      <w:numFmt w:val="bullet"/>
      <w:lvlText w:val=""/>
      <w:lvlJc w:val="left"/>
      <w:pPr>
        <w:ind w:left="360" w:hanging="360"/>
      </w:pPr>
      <w:rPr>
        <w:rFonts w:ascii="Symbol" w:hAnsi="Symbol" w:hint="default"/>
      </w:rPr>
    </w:lvl>
    <w:lvl w:ilvl="1" w:tplc="A3BAB1DC">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9E05CDB"/>
    <w:multiLevelType w:val="hybridMultilevel"/>
    <w:tmpl w:val="EE9A4B3A"/>
    <w:lvl w:ilvl="0" w:tplc="10EA593A">
      <w:numFmt w:val="bullet"/>
      <w:lvlText w:val="-"/>
      <w:lvlJc w:val="left"/>
      <w:pPr>
        <w:ind w:left="1571" w:hanging="360"/>
      </w:pPr>
      <w:rPr>
        <w:rFonts w:ascii="Calibri" w:eastAsia="Calibri" w:hAnsi="Calibri" w:cs="Calibri"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7"/>
  </w:num>
  <w:num w:numId="9">
    <w:abstractNumId w:val="12"/>
  </w:num>
  <w:num w:numId="10">
    <w:abstractNumId w:val="0"/>
  </w:num>
  <w:num w:numId="11">
    <w:abstractNumId w:val="0"/>
  </w:num>
  <w:num w:numId="12">
    <w:abstractNumId w:val="10"/>
  </w:num>
  <w:num w:numId="13">
    <w:abstractNumId w:val="2"/>
  </w:num>
  <w:num w:numId="14">
    <w:abstractNumId w:val="13"/>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90"/>
    <w:rsid w:val="000259B9"/>
    <w:rsid w:val="00034766"/>
    <w:rsid w:val="00041491"/>
    <w:rsid w:val="00050D16"/>
    <w:rsid w:val="000523AA"/>
    <w:rsid w:val="000730CA"/>
    <w:rsid w:val="00074F2A"/>
    <w:rsid w:val="000A00DF"/>
    <w:rsid w:val="000A1CA8"/>
    <w:rsid w:val="000A466B"/>
    <w:rsid w:val="000B058C"/>
    <w:rsid w:val="000D68B0"/>
    <w:rsid w:val="000E4EE6"/>
    <w:rsid w:val="001454E2"/>
    <w:rsid w:val="00206CE8"/>
    <w:rsid w:val="0021526C"/>
    <w:rsid w:val="00283A2B"/>
    <w:rsid w:val="00294D1E"/>
    <w:rsid w:val="002B30AD"/>
    <w:rsid w:val="002C1EC0"/>
    <w:rsid w:val="002C2C01"/>
    <w:rsid w:val="00377ECB"/>
    <w:rsid w:val="003A29AE"/>
    <w:rsid w:val="003A32D7"/>
    <w:rsid w:val="003B4074"/>
    <w:rsid w:val="003C769A"/>
    <w:rsid w:val="003D3A90"/>
    <w:rsid w:val="003F1838"/>
    <w:rsid w:val="004251C1"/>
    <w:rsid w:val="0045746C"/>
    <w:rsid w:val="0049104B"/>
    <w:rsid w:val="004E3B12"/>
    <w:rsid w:val="00532310"/>
    <w:rsid w:val="00565F0F"/>
    <w:rsid w:val="00575AAF"/>
    <w:rsid w:val="00594A86"/>
    <w:rsid w:val="00596D86"/>
    <w:rsid w:val="00637F5A"/>
    <w:rsid w:val="00641C65"/>
    <w:rsid w:val="006560B1"/>
    <w:rsid w:val="006756DD"/>
    <w:rsid w:val="0071241E"/>
    <w:rsid w:val="00737275"/>
    <w:rsid w:val="00740EEC"/>
    <w:rsid w:val="00744935"/>
    <w:rsid w:val="0078011A"/>
    <w:rsid w:val="00782AF4"/>
    <w:rsid w:val="00790EE7"/>
    <w:rsid w:val="007A4746"/>
    <w:rsid w:val="007B6649"/>
    <w:rsid w:val="007D5C8A"/>
    <w:rsid w:val="0082576E"/>
    <w:rsid w:val="0089346F"/>
    <w:rsid w:val="00907F75"/>
    <w:rsid w:val="009260DE"/>
    <w:rsid w:val="0093258A"/>
    <w:rsid w:val="009C7BA3"/>
    <w:rsid w:val="009D1F5A"/>
    <w:rsid w:val="00A10294"/>
    <w:rsid w:val="00AC540A"/>
    <w:rsid w:val="00AC5B93"/>
    <w:rsid w:val="00B003BF"/>
    <w:rsid w:val="00B373D7"/>
    <w:rsid w:val="00B55271"/>
    <w:rsid w:val="00BD7931"/>
    <w:rsid w:val="00BF6243"/>
    <w:rsid w:val="00BF7F90"/>
    <w:rsid w:val="00C36276"/>
    <w:rsid w:val="00C42586"/>
    <w:rsid w:val="00C45F6B"/>
    <w:rsid w:val="00C60CCD"/>
    <w:rsid w:val="00C84483"/>
    <w:rsid w:val="00C95551"/>
    <w:rsid w:val="00CB20D7"/>
    <w:rsid w:val="00CF5197"/>
    <w:rsid w:val="00D020B0"/>
    <w:rsid w:val="00D11748"/>
    <w:rsid w:val="00D237F6"/>
    <w:rsid w:val="00D34D98"/>
    <w:rsid w:val="00D366CF"/>
    <w:rsid w:val="00D93992"/>
    <w:rsid w:val="00E108AA"/>
    <w:rsid w:val="00E3749A"/>
    <w:rsid w:val="00E7437F"/>
    <w:rsid w:val="00E865B8"/>
    <w:rsid w:val="00EC0B9B"/>
    <w:rsid w:val="00ED5E9F"/>
    <w:rsid w:val="00F66D4F"/>
    <w:rsid w:val="00FB6D01"/>
    <w:rsid w:val="00FD0D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5AEE6"/>
  <w15:chartTrackingRefBased/>
  <w15:docId w15:val="{383D43CC-918B-4D1A-A3EB-F27BAA51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A4746"/>
    <w:pPr>
      <w:spacing w:after="120"/>
      <w:ind w:left="720"/>
      <w:contextualSpacing/>
      <w:jc w:val="both"/>
    </w:pPr>
    <w:rPr>
      <w:sz w:val="22"/>
      <w:lang w:eastAsia="en-GB"/>
    </w:rPr>
  </w:style>
  <w:style w:type="paragraph" w:styleId="Ingenafstand">
    <w:name w:val="No Spacing"/>
    <w:uiPriority w:val="1"/>
    <w:qFormat/>
    <w:rsid w:val="007A4746"/>
    <w:rPr>
      <w:rFonts w:asciiTheme="minorHAnsi" w:eastAsiaTheme="minorEastAsia" w:hAnsiTheme="minorHAnsi" w:cstheme="minorBidi"/>
      <w:sz w:val="22"/>
      <w:szCs w:val="22"/>
      <w:lang w:eastAsia="en-US" w:bidi="ta-IN"/>
    </w:rPr>
  </w:style>
  <w:style w:type="character" w:styleId="Hyperlink">
    <w:name w:val="Hyperlink"/>
    <w:semiHidden/>
    <w:unhideWhenUsed/>
    <w:rsid w:val="007A4746"/>
    <w:rPr>
      <w:color w:val="0000FF"/>
      <w:u w:val="single"/>
    </w:rPr>
  </w:style>
  <w:style w:type="paragraph" w:customStyle="1" w:styleId="TableParagraph">
    <w:name w:val="Table Paragraph"/>
    <w:basedOn w:val="Normal"/>
    <w:uiPriority w:val="1"/>
    <w:qFormat/>
    <w:rsid w:val="007A4746"/>
    <w:pPr>
      <w:widowControl w:val="0"/>
      <w:autoSpaceDE w:val="0"/>
      <w:autoSpaceDN w:val="0"/>
    </w:pPr>
    <w:rPr>
      <w:sz w:val="22"/>
      <w:szCs w:val="22"/>
      <w:lang w:eastAsia="de-DE" w:bidi="de-DE"/>
    </w:rPr>
  </w:style>
  <w:style w:type="paragraph" w:styleId="Normalindrykning">
    <w:name w:val="Normal Indent"/>
    <w:basedOn w:val="Normal"/>
    <w:semiHidden/>
    <w:unhideWhenUsed/>
    <w:rsid w:val="00377ECB"/>
    <w:pPr>
      <w:spacing w:after="120"/>
      <w:ind w:left="720"/>
      <w:jc w:val="both"/>
    </w:pPr>
    <w:rPr>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9152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52022473">
      <w:bodyDiv w:val="1"/>
      <w:marLeft w:val="0"/>
      <w:marRight w:val="0"/>
      <w:marTop w:val="0"/>
      <w:marBottom w:val="0"/>
      <w:divBdr>
        <w:top w:val="none" w:sz="0" w:space="0" w:color="auto"/>
        <w:left w:val="none" w:sz="0" w:space="0" w:color="auto"/>
        <w:bottom w:val="none" w:sz="0" w:space="0" w:color="auto"/>
        <w:right w:val="none" w:sz="0" w:space="0" w:color="auto"/>
      </w:divBdr>
    </w:div>
    <w:div w:id="552893351">
      <w:bodyDiv w:val="1"/>
      <w:marLeft w:val="0"/>
      <w:marRight w:val="0"/>
      <w:marTop w:val="0"/>
      <w:marBottom w:val="0"/>
      <w:divBdr>
        <w:top w:val="none" w:sz="0" w:space="0" w:color="auto"/>
        <w:left w:val="none" w:sz="0" w:space="0" w:color="auto"/>
        <w:bottom w:val="none" w:sz="0" w:space="0" w:color="auto"/>
        <w:right w:val="none" w:sz="0" w:space="0" w:color="auto"/>
      </w:divBdr>
    </w:div>
    <w:div w:id="563413650">
      <w:bodyDiv w:val="1"/>
      <w:marLeft w:val="0"/>
      <w:marRight w:val="0"/>
      <w:marTop w:val="0"/>
      <w:marBottom w:val="0"/>
      <w:divBdr>
        <w:top w:val="none" w:sz="0" w:space="0" w:color="auto"/>
        <w:left w:val="none" w:sz="0" w:space="0" w:color="auto"/>
        <w:bottom w:val="none" w:sz="0" w:space="0" w:color="auto"/>
        <w:right w:val="none" w:sz="0" w:space="0" w:color="auto"/>
      </w:divBdr>
    </w:div>
    <w:div w:id="607738603">
      <w:bodyDiv w:val="1"/>
      <w:marLeft w:val="0"/>
      <w:marRight w:val="0"/>
      <w:marTop w:val="0"/>
      <w:marBottom w:val="0"/>
      <w:divBdr>
        <w:top w:val="none" w:sz="0" w:space="0" w:color="auto"/>
        <w:left w:val="none" w:sz="0" w:space="0" w:color="auto"/>
        <w:bottom w:val="none" w:sz="0" w:space="0" w:color="auto"/>
        <w:right w:val="none" w:sz="0" w:space="0" w:color="auto"/>
      </w:divBdr>
    </w:div>
    <w:div w:id="840776680">
      <w:bodyDiv w:val="1"/>
      <w:marLeft w:val="0"/>
      <w:marRight w:val="0"/>
      <w:marTop w:val="0"/>
      <w:marBottom w:val="0"/>
      <w:divBdr>
        <w:top w:val="none" w:sz="0" w:space="0" w:color="auto"/>
        <w:left w:val="none" w:sz="0" w:space="0" w:color="auto"/>
        <w:bottom w:val="none" w:sz="0" w:space="0" w:color="auto"/>
        <w:right w:val="none" w:sz="0" w:space="0" w:color="auto"/>
      </w:divBdr>
    </w:div>
    <w:div w:id="860240192">
      <w:bodyDiv w:val="1"/>
      <w:marLeft w:val="0"/>
      <w:marRight w:val="0"/>
      <w:marTop w:val="0"/>
      <w:marBottom w:val="0"/>
      <w:divBdr>
        <w:top w:val="none" w:sz="0" w:space="0" w:color="auto"/>
        <w:left w:val="none" w:sz="0" w:space="0" w:color="auto"/>
        <w:bottom w:val="none" w:sz="0" w:space="0" w:color="auto"/>
        <w:right w:val="none" w:sz="0" w:space="0" w:color="auto"/>
      </w:divBdr>
    </w:div>
    <w:div w:id="861631501">
      <w:bodyDiv w:val="1"/>
      <w:marLeft w:val="0"/>
      <w:marRight w:val="0"/>
      <w:marTop w:val="0"/>
      <w:marBottom w:val="0"/>
      <w:divBdr>
        <w:top w:val="none" w:sz="0" w:space="0" w:color="auto"/>
        <w:left w:val="none" w:sz="0" w:space="0" w:color="auto"/>
        <w:bottom w:val="none" w:sz="0" w:space="0" w:color="auto"/>
        <w:right w:val="none" w:sz="0" w:space="0" w:color="auto"/>
      </w:divBdr>
    </w:div>
    <w:div w:id="968244104">
      <w:bodyDiv w:val="1"/>
      <w:marLeft w:val="0"/>
      <w:marRight w:val="0"/>
      <w:marTop w:val="0"/>
      <w:marBottom w:val="0"/>
      <w:divBdr>
        <w:top w:val="none" w:sz="0" w:space="0" w:color="auto"/>
        <w:left w:val="none" w:sz="0" w:space="0" w:color="auto"/>
        <w:bottom w:val="none" w:sz="0" w:space="0" w:color="auto"/>
        <w:right w:val="none" w:sz="0" w:space="0" w:color="auto"/>
      </w:divBdr>
    </w:div>
    <w:div w:id="1048798506">
      <w:bodyDiv w:val="1"/>
      <w:marLeft w:val="0"/>
      <w:marRight w:val="0"/>
      <w:marTop w:val="0"/>
      <w:marBottom w:val="0"/>
      <w:divBdr>
        <w:top w:val="none" w:sz="0" w:space="0" w:color="auto"/>
        <w:left w:val="none" w:sz="0" w:space="0" w:color="auto"/>
        <w:bottom w:val="none" w:sz="0" w:space="0" w:color="auto"/>
        <w:right w:val="none" w:sz="0" w:space="0" w:color="auto"/>
      </w:divBdr>
    </w:div>
    <w:div w:id="1178812005">
      <w:bodyDiv w:val="1"/>
      <w:marLeft w:val="0"/>
      <w:marRight w:val="0"/>
      <w:marTop w:val="0"/>
      <w:marBottom w:val="0"/>
      <w:divBdr>
        <w:top w:val="none" w:sz="0" w:space="0" w:color="auto"/>
        <w:left w:val="none" w:sz="0" w:space="0" w:color="auto"/>
        <w:bottom w:val="none" w:sz="0" w:space="0" w:color="auto"/>
        <w:right w:val="none" w:sz="0" w:space="0" w:color="auto"/>
      </w:divBdr>
    </w:div>
    <w:div w:id="1217232149">
      <w:bodyDiv w:val="1"/>
      <w:marLeft w:val="0"/>
      <w:marRight w:val="0"/>
      <w:marTop w:val="0"/>
      <w:marBottom w:val="0"/>
      <w:divBdr>
        <w:top w:val="none" w:sz="0" w:space="0" w:color="auto"/>
        <w:left w:val="none" w:sz="0" w:space="0" w:color="auto"/>
        <w:bottom w:val="none" w:sz="0" w:space="0" w:color="auto"/>
        <w:right w:val="none" w:sz="0" w:space="0" w:color="auto"/>
      </w:divBdr>
    </w:div>
    <w:div w:id="1476876990">
      <w:bodyDiv w:val="1"/>
      <w:marLeft w:val="0"/>
      <w:marRight w:val="0"/>
      <w:marTop w:val="0"/>
      <w:marBottom w:val="0"/>
      <w:divBdr>
        <w:top w:val="none" w:sz="0" w:space="0" w:color="auto"/>
        <w:left w:val="none" w:sz="0" w:space="0" w:color="auto"/>
        <w:bottom w:val="none" w:sz="0" w:space="0" w:color="auto"/>
        <w:right w:val="none" w:sz="0" w:space="0" w:color="auto"/>
      </w:divBdr>
    </w:div>
    <w:div w:id="1476946917">
      <w:bodyDiv w:val="1"/>
      <w:marLeft w:val="0"/>
      <w:marRight w:val="0"/>
      <w:marTop w:val="0"/>
      <w:marBottom w:val="0"/>
      <w:divBdr>
        <w:top w:val="none" w:sz="0" w:space="0" w:color="auto"/>
        <w:left w:val="none" w:sz="0" w:space="0" w:color="auto"/>
        <w:bottom w:val="none" w:sz="0" w:space="0" w:color="auto"/>
        <w:right w:val="none" w:sz="0" w:space="0" w:color="auto"/>
      </w:divBdr>
    </w:div>
    <w:div w:id="1506898084">
      <w:bodyDiv w:val="1"/>
      <w:marLeft w:val="0"/>
      <w:marRight w:val="0"/>
      <w:marTop w:val="0"/>
      <w:marBottom w:val="0"/>
      <w:divBdr>
        <w:top w:val="none" w:sz="0" w:space="0" w:color="auto"/>
        <w:left w:val="none" w:sz="0" w:space="0" w:color="auto"/>
        <w:bottom w:val="none" w:sz="0" w:space="0" w:color="auto"/>
        <w:right w:val="none" w:sz="0" w:space="0" w:color="auto"/>
      </w:divBdr>
    </w:div>
    <w:div w:id="1619988060">
      <w:bodyDiv w:val="1"/>
      <w:marLeft w:val="0"/>
      <w:marRight w:val="0"/>
      <w:marTop w:val="0"/>
      <w:marBottom w:val="0"/>
      <w:divBdr>
        <w:top w:val="none" w:sz="0" w:space="0" w:color="auto"/>
        <w:left w:val="none" w:sz="0" w:space="0" w:color="auto"/>
        <w:bottom w:val="none" w:sz="0" w:space="0" w:color="auto"/>
        <w:right w:val="none" w:sz="0" w:space="0" w:color="auto"/>
      </w:divBdr>
    </w:div>
    <w:div w:id="1677414839">
      <w:bodyDiv w:val="1"/>
      <w:marLeft w:val="0"/>
      <w:marRight w:val="0"/>
      <w:marTop w:val="0"/>
      <w:marBottom w:val="0"/>
      <w:divBdr>
        <w:top w:val="none" w:sz="0" w:space="0" w:color="auto"/>
        <w:left w:val="none" w:sz="0" w:space="0" w:color="auto"/>
        <w:bottom w:val="none" w:sz="0" w:space="0" w:color="auto"/>
        <w:right w:val="none" w:sz="0" w:space="0" w:color="auto"/>
      </w:divBdr>
    </w:div>
    <w:div w:id="1678851588">
      <w:bodyDiv w:val="1"/>
      <w:marLeft w:val="0"/>
      <w:marRight w:val="0"/>
      <w:marTop w:val="0"/>
      <w:marBottom w:val="0"/>
      <w:divBdr>
        <w:top w:val="none" w:sz="0" w:space="0" w:color="auto"/>
        <w:left w:val="none" w:sz="0" w:space="0" w:color="auto"/>
        <w:bottom w:val="none" w:sz="0" w:space="0" w:color="auto"/>
        <w:right w:val="none" w:sz="0" w:space="0" w:color="auto"/>
      </w:divBdr>
    </w:div>
    <w:div w:id="1731265851">
      <w:bodyDiv w:val="1"/>
      <w:marLeft w:val="0"/>
      <w:marRight w:val="0"/>
      <w:marTop w:val="0"/>
      <w:marBottom w:val="0"/>
      <w:divBdr>
        <w:top w:val="none" w:sz="0" w:space="0" w:color="auto"/>
        <w:left w:val="none" w:sz="0" w:space="0" w:color="auto"/>
        <w:bottom w:val="none" w:sz="0" w:space="0" w:color="auto"/>
        <w:right w:val="none" w:sz="0" w:space="0" w:color="auto"/>
      </w:divBdr>
    </w:div>
    <w:div w:id="1949502996">
      <w:bodyDiv w:val="1"/>
      <w:marLeft w:val="0"/>
      <w:marRight w:val="0"/>
      <w:marTop w:val="0"/>
      <w:marBottom w:val="0"/>
      <w:divBdr>
        <w:top w:val="none" w:sz="0" w:space="0" w:color="auto"/>
        <w:left w:val="none" w:sz="0" w:space="0" w:color="auto"/>
        <w:bottom w:val="none" w:sz="0" w:space="0" w:color="auto"/>
        <w:right w:val="none" w:sz="0" w:space="0" w:color="auto"/>
      </w:divBdr>
    </w:div>
    <w:div w:id="19935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79</TotalTime>
  <Pages>12</Pages>
  <Words>3052</Words>
  <Characters>21138</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2023011869, MT</dc:description>
  <cp:lastModifiedBy>Gitte Jørgensen</cp:lastModifiedBy>
  <cp:revision>10</cp:revision>
  <cp:lastPrinted>2012-08-22T08:53:00Z</cp:lastPrinted>
  <dcterms:created xsi:type="dcterms:W3CDTF">2024-10-08T11:47:00Z</dcterms:created>
  <dcterms:modified xsi:type="dcterms:W3CDTF">2024-10-09T06:23:00Z</dcterms:modified>
</cp:coreProperties>
</file>