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430" w:rsidRPr="008F49E1" w:rsidRDefault="00D36430" w:rsidP="00D36430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DBCC3D3" wp14:editId="7DB16DF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D36430" w:rsidRPr="001B1419" w:rsidRDefault="00DC505D" w:rsidP="001B1419">
      <w:pPr>
        <w:pStyle w:val="Titel"/>
        <w:tabs>
          <w:tab w:val="right" w:pos="9356"/>
        </w:tabs>
        <w:jc w:val="right"/>
        <w:rPr>
          <w:szCs w:val="24"/>
          <w:lang w:eastAsia="en-US"/>
        </w:rPr>
      </w:pPr>
      <w:r>
        <w:rPr>
          <w:szCs w:val="24"/>
          <w:lang w:eastAsia="en-US"/>
        </w:rPr>
        <w:t>23</w:t>
      </w:r>
      <w:r w:rsidR="00544FAE">
        <w:rPr>
          <w:szCs w:val="24"/>
          <w:lang w:eastAsia="en-US"/>
        </w:rPr>
        <w:t xml:space="preserve">. </w:t>
      </w:r>
      <w:r>
        <w:rPr>
          <w:szCs w:val="24"/>
          <w:lang w:eastAsia="en-US"/>
        </w:rPr>
        <w:t>december</w:t>
      </w:r>
      <w:r w:rsidR="00544FAE">
        <w:rPr>
          <w:szCs w:val="24"/>
          <w:lang w:eastAsia="en-US"/>
        </w:rPr>
        <w:t xml:space="preserve"> 202</w:t>
      </w:r>
      <w:r>
        <w:rPr>
          <w:szCs w:val="24"/>
          <w:lang w:eastAsia="en-US"/>
        </w:rPr>
        <w:t>4</w:t>
      </w:r>
    </w:p>
    <w:p w:rsidR="00D36430" w:rsidRPr="001B1419" w:rsidRDefault="00D36430" w:rsidP="00D36430">
      <w:pPr>
        <w:pStyle w:val="Titel"/>
        <w:tabs>
          <w:tab w:val="left" w:pos="8222"/>
        </w:tabs>
        <w:jc w:val="left"/>
        <w:rPr>
          <w:szCs w:val="24"/>
        </w:rPr>
      </w:pPr>
    </w:p>
    <w:p w:rsidR="00D36430" w:rsidRPr="00C84483" w:rsidRDefault="00D36430" w:rsidP="00D36430">
      <w:pPr>
        <w:pStyle w:val="Titel"/>
        <w:jc w:val="left"/>
        <w:rPr>
          <w:b w:val="0"/>
          <w:szCs w:val="24"/>
        </w:rPr>
      </w:pPr>
    </w:p>
    <w:p w:rsidR="00D36430" w:rsidRPr="00C84483" w:rsidRDefault="00D36430" w:rsidP="00D36430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D36430" w:rsidRPr="00C84483" w:rsidRDefault="00D36430" w:rsidP="00911DA1">
      <w:pPr>
        <w:rPr>
          <w:b/>
          <w:sz w:val="24"/>
          <w:szCs w:val="24"/>
        </w:rPr>
      </w:pPr>
    </w:p>
    <w:p w:rsidR="00D36430" w:rsidRDefault="00D36430" w:rsidP="00D36430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D36430" w:rsidRPr="00C84483" w:rsidRDefault="00D36430" w:rsidP="00D36430">
      <w:pPr>
        <w:jc w:val="center"/>
        <w:rPr>
          <w:b/>
          <w:sz w:val="24"/>
          <w:szCs w:val="24"/>
        </w:rPr>
      </w:pPr>
    </w:p>
    <w:p w:rsidR="00D36430" w:rsidRDefault="00D36430" w:rsidP="00D36430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Penthrox</w:t>
      </w:r>
      <w:proofErr w:type="spellEnd"/>
      <w:r>
        <w:rPr>
          <w:b/>
          <w:sz w:val="24"/>
          <w:szCs w:val="24"/>
        </w:rPr>
        <w:t>, væske til inhalationsdamp</w:t>
      </w:r>
    </w:p>
    <w:p w:rsidR="00D36430" w:rsidRPr="00C84483" w:rsidRDefault="00D36430" w:rsidP="00D36430">
      <w:pPr>
        <w:jc w:val="both"/>
        <w:rPr>
          <w:sz w:val="24"/>
          <w:szCs w:val="24"/>
        </w:rPr>
      </w:pPr>
    </w:p>
    <w:p w:rsidR="00D36430" w:rsidRPr="00DF75C9" w:rsidRDefault="00D36430" w:rsidP="00D36430">
      <w:pPr>
        <w:ind w:left="851" w:hanging="851"/>
        <w:jc w:val="both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0.</w:t>
      </w:r>
      <w:r w:rsidRPr="00DF75C9">
        <w:rPr>
          <w:b/>
          <w:sz w:val="24"/>
          <w:szCs w:val="24"/>
        </w:rPr>
        <w:tab/>
        <w:t>D.SP.NR.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>30573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1.</w:t>
      </w:r>
      <w:r w:rsidRPr="00DF75C9">
        <w:rPr>
          <w:b/>
          <w:sz w:val="24"/>
          <w:szCs w:val="24"/>
        </w:rPr>
        <w:tab/>
        <w:t>LÆGEMIDLETS NAVN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F75C9">
        <w:rPr>
          <w:sz w:val="24"/>
          <w:szCs w:val="24"/>
        </w:rPr>
        <w:t>Penthrox</w:t>
      </w:r>
      <w:proofErr w:type="spellEnd"/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2.</w:t>
      </w:r>
      <w:r w:rsidRPr="00DF75C9">
        <w:rPr>
          <w:b/>
          <w:sz w:val="24"/>
          <w:szCs w:val="24"/>
        </w:rPr>
        <w:tab/>
        <w:t>KVALITATIV OG KVANTITATIV SAMMENSÆTNING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Hver flaske indeholder 3 ml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99,9</w:t>
      </w:r>
      <w:r w:rsidR="007C2468">
        <w:rPr>
          <w:sz w:val="24"/>
          <w:szCs w:val="24"/>
        </w:rPr>
        <w:t> </w:t>
      </w:r>
      <w:r w:rsidRPr="00DF75C9">
        <w:rPr>
          <w:sz w:val="24"/>
          <w:szCs w:val="24"/>
        </w:rPr>
        <w:t xml:space="preserve">%. 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>Hjælpestof, som behandleren skal være opmærksom på:</w:t>
      </w:r>
    </w:p>
    <w:p w:rsidR="00D36430" w:rsidRPr="00911DA1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911DA1">
        <w:rPr>
          <w:sz w:val="24"/>
          <w:szCs w:val="24"/>
        </w:rPr>
        <w:t>Butylhydroxytoluen</w:t>
      </w:r>
      <w:proofErr w:type="spellEnd"/>
      <w:r w:rsidRPr="00911DA1">
        <w:rPr>
          <w:sz w:val="24"/>
          <w:szCs w:val="24"/>
        </w:rPr>
        <w:t xml:space="preserve"> (E321) (0,01</w:t>
      </w:r>
      <w:r w:rsidR="007C2468">
        <w:rPr>
          <w:sz w:val="24"/>
          <w:szCs w:val="24"/>
        </w:rPr>
        <w:t> </w:t>
      </w:r>
      <w:r w:rsidRPr="00911DA1">
        <w:rPr>
          <w:sz w:val="24"/>
          <w:szCs w:val="24"/>
        </w:rPr>
        <w:t>% w/w)</w:t>
      </w:r>
    </w:p>
    <w:p w:rsidR="00D36430" w:rsidRPr="00911DA1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3.</w:t>
      </w:r>
      <w:r w:rsidRPr="00DF75C9">
        <w:rPr>
          <w:b/>
          <w:sz w:val="24"/>
          <w:szCs w:val="24"/>
        </w:rPr>
        <w:tab/>
        <w:t>LÆGEMIDDELFORM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  <w:t>Væske til inhalationsdamp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980EAF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>Klar, næsten farveløs, flygtig væske med en karakteristisk frugtagtig lugt.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4.</w:t>
      </w:r>
      <w:r w:rsidRPr="00DF75C9">
        <w:rPr>
          <w:b/>
          <w:sz w:val="24"/>
          <w:szCs w:val="24"/>
        </w:rPr>
        <w:tab/>
        <w:t>KLINISKE OPLYSNINGER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F75C9">
        <w:rPr>
          <w:b/>
          <w:sz w:val="24"/>
          <w:szCs w:val="24"/>
        </w:rPr>
        <w:t>4.1</w:t>
      </w:r>
      <w:r w:rsidRPr="00DF75C9">
        <w:rPr>
          <w:b/>
          <w:sz w:val="24"/>
          <w:szCs w:val="24"/>
        </w:rPr>
        <w:tab/>
        <w:t>Terapeutiske indikationer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>Akut lindring af moderate til svære smerter hos bevidste voksne patienter med traumeudløste smerter.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4.2</w:t>
      </w:r>
      <w:r w:rsidRPr="00DF75C9">
        <w:rPr>
          <w:b/>
          <w:sz w:val="24"/>
          <w:szCs w:val="24"/>
        </w:rPr>
        <w:tab/>
        <w:t xml:space="preserve">Dosering og </w:t>
      </w:r>
      <w:r w:rsidR="00544FAE">
        <w:rPr>
          <w:b/>
          <w:sz w:val="24"/>
          <w:szCs w:val="24"/>
        </w:rPr>
        <w:t>administration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bør selvadministreres under overvågning af en læge, sygeplejerske, paramediciner eller en person, der er oplært i administration af dette lægemiddel. Det inhaleres gennem den specialkonstruerede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-inhalator. 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ind w:firstLine="851"/>
        <w:rPr>
          <w:sz w:val="24"/>
          <w:szCs w:val="24"/>
          <w:u w:val="single"/>
        </w:rPr>
      </w:pPr>
      <w:r w:rsidRPr="00DF75C9">
        <w:rPr>
          <w:sz w:val="24"/>
          <w:szCs w:val="24"/>
          <w:u w:val="single"/>
        </w:rPr>
        <w:t>Dosering</w:t>
      </w:r>
    </w:p>
    <w:p w:rsidR="00D36430" w:rsidRPr="00DF75C9" w:rsidRDefault="00D36430" w:rsidP="00D36430">
      <w:pPr>
        <w:rPr>
          <w:sz w:val="24"/>
          <w:szCs w:val="24"/>
        </w:rPr>
      </w:pPr>
    </w:p>
    <w:p w:rsidR="00D36430" w:rsidRPr="00DF75C9" w:rsidRDefault="00D36430" w:rsidP="00D36430">
      <w:pPr>
        <w:ind w:firstLine="851"/>
        <w:rPr>
          <w:sz w:val="24"/>
          <w:szCs w:val="24"/>
          <w:u w:val="single"/>
        </w:rPr>
      </w:pPr>
      <w:r w:rsidRPr="00DF75C9">
        <w:rPr>
          <w:sz w:val="24"/>
          <w:szCs w:val="24"/>
          <w:u w:val="single"/>
        </w:rPr>
        <w:t>Voksne</w:t>
      </w:r>
    </w:p>
    <w:p w:rsidR="00D36430" w:rsidRPr="00DF75C9" w:rsidRDefault="00D36430" w:rsidP="00D36430">
      <w:pPr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Én flaske med 3 ml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som en enkeltdosis, der indgives ved hjælp af den vedlagte inhalator. Endnu en flaske bør kun anvendes, hvis det er nødvendigt.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DF75C9">
        <w:rPr>
          <w:sz w:val="24"/>
          <w:szCs w:val="24"/>
        </w:rPr>
        <w:t xml:space="preserve">Det er ikke klarlagt, hvor hyppigt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kan anvendes sikkert (se pkt. 4.4). Følgende administrationsplan anbefales: højst 6 ml pr. dag; administration flere dage i træk frarådes. Den samlede dosis for en patient pr. uge bør ikke overstige 15 ml.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Smertelindringen sker hurtigt efter 6-10 inhalationer. Patienter skal instrueres i at holde pauser fra inhalatoren for at opnå tilstrækkelig lindring. Patienter kan selv vurdere eget smerteniveau og titrere mængden af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, der skal inhaleres for at opnå tilstrækkelig smertelindring. Kontinuerlig inhalation af en flaske indeholdende 3 ml giver lindring i op til 25-30 minutter. Inhalering med pauser kan give længere smertelindring. Patienter bør rådes til at anvende den lavest mulige dosis til opnåelse af smertelindring (se pkt. 4.4). 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F75C9">
        <w:rPr>
          <w:sz w:val="24"/>
          <w:szCs w:val="24"/>
          <w:u w:val="single"/>
        </w:rPr>
        <w:t>Nedsat nyrefunktion</w:t>
      </w:r>
    </w:p>
    <w:p w:rsidR="00D36430" w:rsidRPr="00DF75C9" w:rsidRDefault="007C2468" w:rsidP="00D36430">
      <w:pPr>
        <w:tabs>
          <w:tab w:val="left" w:pos="851"/>
        </w:tabs>
        <w:ind w:left="851"/>
        <w:rPr>
          <w:sz w:val="24"/>
          <w:szCs w:val="24"/>
        </w:rPr>
      </w:pPr>
      <w:r w:rsidRPr="00542B79">
        <w:rPr>
          <w:lang w:val="cs-CZ"/>
        </w:rPr>
        <w:t>Methoxyfluran kan forårsage nyresvigt, hvis den anbefalede dosis overskrides.</w:t>
      </w:r>
      <w:r>
        <w:rPr>
          <w:lang w:val="cs-CZ"/>
        </w:rPr>
        <w:t xml:space="preserve"> </w:t>
      </w:r>
      <w:r w:rsidR="00D36430" w:rsidRPr="00DF75C9">
        <w:rPr>
          <w:sz w:val="24"/>
          <w:szCs w:val="24"/>
        </w:rPr>
        <w:t>Der bør udvises forsigtighed hos patienter, der er diagnosticeret med kliniske tilstande, som kan prædisponere for nyreskade (se pkt. 4.4).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F75C9">
        <w:rPr>
          <w:sz w:val="24"/>
          <w:szCs w:val="24"/>
          <w:u w:val="single"/>
        </w:rPr>
        <w:t>Nedsat leverfunktion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Der bør foretages en grundig klinisk vurdering, hvis patienten har brug for at anvende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hyppigere end én gang hver 3. måned (se pkt. 4.4).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F75C9">
        <w:rPr>
          <w:sz w:val="24"/>
          <w:szCs w:val="24"/>
          <w:u w:val="single"/>
        </w:rPr>
        <w:t>Pædiatrisk population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bør ikke anvendes til behandling af børn og unge under 18 år.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F75C9">
        <w:rPr>
          <w:sz w:val="24"/>
          <w:szCs w:val="24"/>
          <w:u w:val="single"/>
        </w:rPr>
        <w:t xml:space="preserve">Indgivelsesmåde 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Til inhalation. 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Vejledning i klargøring af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>-inhalatoren og korrekt administration er vist i tegningerne nedenfor.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5641"/>
        <w:gridCol w:w="2620"/>
      </w:tblGrid>
      <w:tr w:rsidR="00D36430" w:rsidRPr="00DF75C9" w:rsidTr="003B4BCE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t>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t xml:space="preserve">Sørg for, at kammeret med aktivt kul er indført i hullet øverst på </w:t>
            </w:r>
            <w:proofErr w:type="spellStart"/>
            <w:r w:rsidRPr="00DF75C9">
              <w:t>Penthrox</w:t>
            </w:r>
            <w:proofErr w:type="spellEnd"/>
            <w:r w:rsidRPr="00DF75C9">
              <w:t>-inhalatoren.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rPr>
                <w:noProof/>
                <w:lang w:eastAsia="da-DK"/>
              </w:rPr>
              <w:drawing>
                <wp:inline distT="0" distB="0" distL="0" distR="0" wp14:anchorId="587B6F3D" wp14:editId="1267580C">
                  <wp:extent cx="929640" cy="480060"/>
                  <wp:effectExtent l="0" t="0" r="3810" b="0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1" t="126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430" w:rsidRPr="00DF75C9" w:rsidTr="003B4BCE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t>2.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t xml:space="preserve">Fjern hætten fra flasken med hånden. Alternativt kan hætten løsnes ved at dreje en halv omgang med bunden af </w:t>
            </w:r>
            <w:proofErr w:type="spellStart"/>
            <w:r w:rsidRPr="00DF75C9">
              <w:t>Penthrox</w:t>
            </w:r>
            <w:proofErr w:type="spellEnd"/>
            <w:r w:rsidRPr="00DF75C9">
              <w:t>-inhalatoren. Adskil flasken fra inhalatoren, og tag hætten af med hånden.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rPr>
                <w:noProof/>
                <w:lang w:eastAsia="da-DK"/>
              </w:rPr>
              <w:drawing>
                <wp:inline distT="0" distB="0" distL="0" distR="0" wp14:anchorId="21A97284" wp14:editId="7C9B0798">
                  <wp:extent cx="746760" cy="891540"/>
                  <wp:effectExtent l="0" t="0" r="0" b="3810"/>
                  <wp:docPr id="9" name="Billede 9" descr="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34" t="19495" r="27911" b="19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9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430" w:rsidRPr="00DF75C9" w:rsidTr="003B4BCE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t>3.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t xml:space="preserve">Hold </w:t>
            </w:r>
            <w:proofErr w:type="spellStart"/>
            <w:r w:rsidRPr="00DF75C9">
              <w:t>Penthrox</w:t>
            </w:r>
            <w:proofErr w:type="spellEnd"/>
            <w:r w:rsidRPr="00DF75C9">
              <w:t xml:space="preserve">-inhalatoren i en vinkel på 45 grader, og hæld hele indholdet af én </w:t>
            </w:r>
            <w:proofErr w:type="spellStart"/>
            <w:r w:rsidRPr="00DF75C9">
              <w:t>Penthrox</w:t>
            </w:r>
            <w:proofErr w:type="spellEnd"/>
            <w:r w:rsidRPr="00DF75C9">
              <w:t>-flaske ned i inhalatoren, mens inhalatoren roteres.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rPr>
                <w:noProof/>
                <w:lang w:eastAsia="da-DK"/>
              </w:rPr>
              <w:drawing>
                <wp:inline distT="0" distB="0" distL="0" distR="0" wp14:anchorId="627F43A9" wp14:editId="47538488">
                  <wp:extent cx="1013460" cy="883920"/>
                  <wp:effectExtent l="0" t="0" r="0" b="0"/>
                  <wp:docPr id="8" name="Billede 8" descr="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75" t="21666" r="18248" b="191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430" w:rsidRPr="00DF75C9" w:rsidTr="003B4BCE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t>4.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36430" w:rsidRPr="00DF75C9" w:rsidRDefault="00D36430" w:rsidP="003B4BCE">
            <w:r w:rsidRPr="00DF75C9">
              <w:t xml:space="preserve">Før patientens hånd gennem håndledsstroppen. Patienten inhalerer og ekshalerer </w:t>
            </w:r>
            <w:proofErr w:type="spellStart"/>
            <w:r w:rsidRPr="00DF75C9">
              <w:t>Penthrox</w:t>
            </w:r>
            <w:proofErr w:type="spellEnd"/>
            <w:r w:rsidRPr="00DF75C9">
              <w:t xml:space="preserve"> gennem mundstykket for at opnå smertelindring. De første indåndinger bør være forsigtige, og derefter kan patienten trække vejret normalt gennem inhalatoren.</w:t>
            </w:r>
          </w:p>
          <w:p w:rsidR="00D36430" w:rsidRPr="00DF75C9" w:rsidRDefault="00D36430" w:rsidP="003B4BCE"/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rPr>
                <w:noProof/>
                <w:lang w:eastAsia="da-DK"/>
              </w:rPr>
              <w:drawing>
                <wp:inline distT="0" distB="0" distL="0" distR="0" wp14:anchorId="6A1042F3" wp14:editId="0CE5538D">
                  <wp:extent cx="1013460" cy="853440"/>
                  <wp:effectExtent l="0" t="0" r="0" b="3810"/>
                  <wp:docPr id="7" name="Billede 7" descr="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635" t="18417" r="20450" b="23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430" w:rsidRPr="00DF75C9" w:rsidTr="003B4BCE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lastRenderedPageBreak/>
              <w:t>5.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t xml:space="preserve">Patienten ekshalerer i </w:t>
            </w:r>
            <w:proofErr w:type="spellStart"/>
            <w:r w:rsidRPr="00DF75C9">
              <w:t>Penthrox</w:t>
            </w:r>
            <w:proofErr w:type="spellEnd"/>
            <w:r w:rsidRPr="00DF75C9">
              <w:t xml:space="preserve">-inhalatoren. Den ekshalerede damp passerer gennem kammeret med aktivt kul for at adsorbere eventuelt udåndet </w:t>
            </w:r>
            <w:proofErr w:type="spellStart"/>
            <w:r w:rsidRPr="00DF75C9">
              <w:t>methoxyfluran</w:t>
            </w:r>
            <w:proofErr w:type="spellEnd"/>
            <w:r w:rsidRPr="00DF75C9">
              <w:t>.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rPr>
                <w:noProof/>
                <w:lang w:eastAsia="da-DK"/>
              </w:rPr>
              <w:drawing>
                <wp:inline distT="0" distB="0" distL="0" distR="0" wp14:anchorId="54C2F195" wp14:editId="55BAC528">
                  <wp:extent cx="1013460" cy="960120"/>
                  <wp:effectExtent l="0" t="0" r="0" b="0"/>
                  <wp:docPr id="6" name="Billede 6" descr="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556" t="17094" r="21068" b="18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430" w:rsidRPr="00DF75C9" w:rsidTr="003B4BCE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t>6.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t>Hvis patienten har behov for en kraftigere smertelindring, kan han/hun dække hullet på kammeret med aktivt kul med en finger under anvendelsen.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rPr>
                <w:noProof/>
                <w:lang w:eastAsia="da-DK"/>
              </w:rPr>
              <w:drawing>
                <wp:inline distT="0" distB="0" distL="0" distR="0" wp14:anchorId="792A7C2D" wp14:editId="6DEAB2B8">
                  <wp:extent cx="922020" cy="922020"/>
                  <wp:effectExtent l="0" t="0" r="0" b="0"/>
                  <wp:docPr id="5" name="Billede 5" descr="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287" t="16667" r="19722" b="163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922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430" w:rsidRPr="00DF75C9" w:rsidTr="003B4BCE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t>7.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36430" w:rsidRPr="00DF75C9" w:rsidRDefault="00D36430" w:rsidP="003B4BCE">
            <w:r w:rsidRPr="00DF75C9">
              <w:t>Hvis yderligere smertelindring er nødvendig efter den første flaske, kan en ny flaske anvendes. Alternativt kan der anvendes en anden flaske fra en ny kombinations</w:t>
            </w:r>
            <w:r>
              <w:softHyphen/>
            </w:r>
            <w:r w:rsidRPr="00DF75C9">
              <w:t>pakning. Følg trin 2 og 3 igen (ligesom med den første flaske). Det er ikke nødvendigt at fjerne kammeret med aktivt kul. Kom den brugte flaske i den medfølgende plastikpose.</w:t>
            </w:r>
          </w:p>
          <w:p w:rsidR="00D36430" w:rsidRPr="00DF75C9" w:rsidRDefault="00D36430" w:rsidP="003B4BCE"/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rPr>
                <w:noProof/>
                <w:lang w:eastAsia="da-DK"/>
              </w:rPr>
              <w:drawing>
                <wp:inline distT="0" distB="0" distL="0" distR="0" wp14:anchorId="5FD73E18" wp14:editId="5F76054B">
                  <wp:extent cx="1028700" cy="800100"/>
                  <wp:effectExtent l="0" t="0" r="0" b="0"/>
                  <wp:docPr id="4" name="Billede 4" descr="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427" t="18169" r="12372" b="20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6430" w:rsidRPr="00DF75C9" w:rsidTr="003B4BCE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t>8.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36430" w:rsidRPr="00DF75C9" w:rsidRDefault="00D36430" w:rsidP="003B4BCE">
            <w:r w:rsidRPr="00DF75C9">
              <w:t>Patienten skal have at vide, at han/hun skal holde pauser fra inhalatoren for at opnå tilstrækkelig smertelindring. Kontinuerlig inhalation reducerer virkningsvarigheden. Den mindste dosis, der giver lindring, bør administreres.</w:t>
            </w:r>
          </w:p>
          <w:p w:rsidR="00D36430" w:rsidRPr="00DF75C9" w:rsidRDefault="00D36430" w:rsidP="003B4BCE"/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D36430" w:rsidRPr="00DF75C9" w:rsidRDefault="00D36430" w:rsidP="003B4BCE"/>
        </w:tc>
      </w:tr>
      <w:tr w:rsidR="00D36430" w:rsidRPr="00DF75C9" w:rsidTr="003B4BCE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t>9.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t xml:space="preserve">Sæt hætten på </w:t>
            </w:r>
            <w:proofErr w:type="spellStart"/>
            <w:r w:rsidRPr="00DF75C9">
              <w:t>Penthrox</w:t>
            </w:r>
            <w:proofErr w:type="spellEnd"/>
            <w:r w:rsidRPr="00DF75C9">
              <w:t xml:space="preserve">-flasken igen. Kom den brugte </w:t>
            </w:r>
            <w:proofErr w:type="spellStart"/>
            <w:r w:rsidRPr="00DF75C9">
              <w:t>Penthrox</w:t>
            </w:r>
            <w:proofErr w:type="spellEnd"/>
            <w:r w:rsidRPr="00DF75C9">
              <w:t>-inhalator og den brugte flaske i den medfølgende plastikpose. Posen lukkes og bortskaffes forsvarligt (se pkt. 6.6).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6430" w:rsidRPr="00DF75C9" w:rsidRDefault="00D36430" w:rsidP="003B4BCE">
            <w:r w:rsidRPr="00DF75C9">
              <w:rPr>
                <w:noProof/>
                <w:lang w:eastAsia="da-DK"/>
              </w:rPr>
              <w:drawing>
                <wp:inline distT="0" distB="0" distL="0" distR="0" wp14:anchorId="4DB601A3" wp14:editId="5A699990">
                  <wp:extent cx="929640" cy="838200"/>
                  <wp:effectExtent l="0" t="0" r="0" b="0"/>
                  <wp:docPr id="3" name="Billede 3" descr="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clrChange>
                              <a:clrFrom>
                                <a:srgbClr val="FDFDFD"/>
                              </a:clrFrom>
                              <a:clrTo>
                                <a:srgbClr val="FDFDFD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43" t="20370" r="13240" b="18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Lægen, sundhedspersonalet, paramedicineren eller den person, der er oplært i administration af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>, skal udlevere indlægssedlen og gennemgå den med patienten.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4.3</w:t>
      </w:r>
      <w:r w:rsidRPr="00DF75C9">
        <w:rPr>
          <w:b/>
          <w:sz w:val="24"/>
          <w:szCs w:val="24"/>
        </w:rPr>
        <w:tab/>
        <w:t>Kontraindikationer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Anvendelse som </w:t>
      </w:r>
      <w:proofErr w:type="spellStart"/>
      <w:r w:rsidRPr="00DF75C9">
        <w:rPr>
          <w:sz w:val="24"/>
          <w:szCs w:val="24"/>
        </w:rPr>
        <w:t>anæstetikum</w:t>
      </w:r>
      <w:proofErr w:type="spellEnd"/>
      <w:r w:rsidRPr="00DF75C9">
        <w:rPr>
          <w:sz w:val="24"/>
          <w:szCs w:val="24"/>
        </w:rPr>
        <w:t>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Overfølsomhed over for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, </w:t>
      </w:r>
      <w:proofErr w:type="spellStart"/>
      <w:r w:rsidRPr="00DF75C9">
        <w:rPr>
          <w:sz w:val="24"/>
          <w:szCs w:val="24"/>
        </w:rPr>
        <w:t>fluorinerede</w:t>
      </w:r>
      <w:proofErr w:type="spellEnd"/>
      <w:r w:rsidRPr="00DF75C9">
        <w:rPr>
          <w:sz w:val="24"/>
          <w:szCs w:val="24"/>
        </w:rPr>
        <w:t xml:space="preserve"> </w:t>
      </w:r>
      <w:proofErr w:type="spellStart"/>
      <w:r w:rsidRPr="00DF75C9">
        <w:rPr>
          <w:sz w:val="24"/>
          <w:szCs w:val="24"/>
        </w:rPr>
        <w:t>anæstetika</w:t>
      </w:r>
      <w:proofErr w:type="spellEnd"/>
      <w:r w:rsidRPr="00DF75C9">
        <w:rPr>
          <w:sz w:val="24"/>
          <w:szCs w:val="24"/>
        </w:rPr>
        <w:t xml:space="preserve"> eller over for et eller flere af hjælpestofferne anført i pkt. 6.1.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Malign </w:t>
      </w:r>
      <w:proofErr w:type="spellStart"/>
      <w:r w:rsidRPr="00DF75C9">
        <w:rPr>
          <w:sz w:val="24"/>
          <w:szCs w:val="24"/>
        </w:rPr>
        <w:t>hypertermi</w:t>
      </w:r>
      <w:proofErr w:type="spellEnd"/>
      <w:r w:rsidRPr="00DF75C9">
        <w:rPr>
          <w:sz w:val="24"/>
          <w:szCs w:val="24"/>
        </w:rPr>
        <w:t xml:space="preserve">: patienter, der er kendt for at være eller er genetisk disponeret for malign </w:t>
      </w:r>
      <w:proofErr w:type="spellStart"/>
      <w:r w:rsidRPr="00DF75C9">
        <w:rPr>
          <w:sz w:val="24"/>
          <w:szCs w:val="24"/>
        </w:rPr>
        <w:t>hypertermi</w:t>
      </w:r>
      <w:proofErr w:type="spellEnd"/>
      <w:r w:rsidRPr="00DF75C9">
        <w:rPr>
          <w:sz w:val="24"/>
          <w:szCs w:val="24"/>
        </w:rPr>
        <w:t>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Patienter, eller patienter med kendt familieanamnese, med svære bivirkninger efter administration af inhalerede </w:t>
      </w:r>
      <w:proofErr w:type="spellStart"/>
      <w:r w:rsidRPr="00DF75C9">
        <w:rPr>
          <w:sz w:val="24"/>
          <w:szCs w:val="24"/>
        </w:rPr>
        <w:t>anæstetika</w:t>
      </w:r>
      <w:proofErr w:type="spellEnd"/>
      <w:r w:rsidRPr="00DF75C9">
        <w:rPr>
          <w:sz w:val="24"/>
          <w:szCs w:val="24"/>
        </w:rPr>
        <w:t>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Patienter, der tidligere har haft tegn på leverskade efter brug af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eller </w:t>
      </w:r>
      <w:proofErr w:type="spellStart"/>
      <w:r w:rsidRPr="00DF75C9">
        <w:rPr>
          <w:sz w:val="24"/>
          <w:szCs w:val="24"/>
        </w:rPr>
        <w:t>anæstetika</w:t>
      </w:r>
      <w:proofErr w:type="spellEnd"/>
      <w:r w:rsidRPr="00DF75C9">
        <w:rPr>
          <w:sz w:val="24"/>
          <w:szCs w:val="24"/>
        </w:rPr>
        <w:t xml:space="preserve"> med </w:t>
      </w:r>
      <w:proofErr w:type="spellStart"/>
      <w:r w:rsidRPr="00DF75C9">
        <w:rPr>
          <w:sz w:val="24"/>
          <w:szCs w:val="24"/>
        </w:rPr>
        <w:t>halogenerede</w:t>
      </w:r>
      <w:proofErr w:type="spellEnd"/>
      <w:r w:rsidRPr="00DF75C9">
        <w:rPr>
          <w:sz w:val="24"/>
          <w:szCs w:val="24"/>
        </w:rPr>
        <w:t xml:space="preserve"> kulbrinter. 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>Klinisk signifikant nedsat nyrefunktion.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>Ændret bevidsthedsniveau, uanset årsag, herunder hovedskade, stoffer eller alkohol.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DF75C9">
        <w:rPr>
          <w:sz w:val="24"/>
          <w:szCs w:val="24"/>
        </w:rPr>
        <w:t xml:space="preserve">Klinisk bevist </w:t>
      </w:r>
      <w:proofErr w:type="spellStart"/>
      <w:r w:rsidRPr="00DF75C9">
        <w:rPr>
          <w:sz w:val="24"/>
          <w:szCs w:val="24"/>
        </w:rPr>
        <w:t>kardiovaskulær</w:t>
      </w:r>
      <w:proofErr w:type="spellEnd"/>
      <w:r w:rsidRPr="00DF75C9">
        <w:rPr>
          <w:sz w:val="24"/>
          <w:szCs w:val="24"/>
        </w:rPr>
        <w:t xml:space="preserve"> ustabilitet.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>Klinisk bevist respirationsdepression.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4.4</w:t>
      </w:r>
      <w:r w:rsidRPr="00DF75C9">
        <w:rPr>
          <w:b/>
          <w:sz w:val="24"/>
          <w:szCs w:val="24"/>
        </w:rPr>
        <w:tab/>
        <w:t>Særlige advarsler og forsigtighedsregler vedrørende brugen</w:t>
      </w:r>
    </w:p>
    <w:p w:rsidR="00D36430" w:rsidRDefault="00D36430" w:rsidP="00D3643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u w:val="single"/>
          <w:lang w:eastAsia="da-DK"/>
        </w:rPr>
      </w:pPr>
      <w:r w:rsidRPr="00DF75C9">
        <w:rPr>
          <w:sz w:val="24"/>
          <w:szCs w:val="24"/>
        </w:rPr>
        <w:tab/>
      </w:r>
      <w:r w:rsidRPr="00DF75C9">
        <w:rPr>
          <w:sz w:val="24"/>
          <w:szCs w:val="24"/>
          <w:u w:val="single"/>
        </w:rPr>
        <w:t>Nyresygdom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For sikker anvendelse af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til smertelindring bør følgende forsigtighedsregler overholdes: </w:t>
      </w:r>
    </w:p>
    <w:p w:rsidR="00D36430" w:rsidRPr="00DF75C9" w:rsidRDefault="00D36430" w:rsidP="00D36430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DF75C9">
        <w:rPr>
          <w:sz w:val="24"/>
          <w:szCs w:val="24"/>
        </w:rPr>
        <w:t>Brug den laveste effektive dosis til smertelindring.</w:t>
      </w:r>
    </w:p>
    <w:p w:rsidR="00D36430" w:rsidRPr="00DF75C9" w:rsidRDefault="00D36430" w:rsidP="00D36430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DF75C9">
        <w:rPr>
          <w:sz w:val="24"/>
          <w:szCs w:val="24"/>
        </w:rPr>
        <w:t>Anvendes med forsigtighed hos ældre patienter og patienter med kendte risikofaktorer for nyresygdom.</w:t>
      </w:r>
    </w:p>
    <w:p w:rsidR="00D36430" w:rsidRPr="00DF75C9" w:rsidRDefault="00D36430" w:rsidP="00D36430">
      <w:pPr>
        <w:numPr>
          <w:ilvl w:val="0"/>
          <w:numId w:val="6"/>
        </w:numPr>
        <w:ind w:left="1276" w:hanging="425"/>
        <w:rPr>
          <w:sz w:val="24"/>
          <w:szCs w:val="24"/>
        </w:rPr>
      </w:pPr>
      <w:r w:rsidRPr="00DF75C9">
        <w:rPr>
          <w:sz w:val="24"/>
          <w:szCs w:val="24"/>
        </w:rPr>
        <w:t>Anvendes med forsigtighed hos patienter diagnosticeret med kliniske tilstande, der kan prædisponere for nyreskade.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forårsager betydelig </w:t>
      </w:r>
      <w:proofErr w:type="spellStart"/>
      <w:r w:rsidRPr="00DF75C9">
        <w:rPr>
          <w:sz w:val="24"/>
          <w:szCs w:val="24"/>
        </w:rPr>
        <w:t>nefrotoksicitet</w:t>
      </w:r>
      <w:proofErr w:type="spellEnd"/>
      <w:r w:rsidRPr="00DF75C9">
        <w:rPr>
          <w:sz w:val="24"/>
          <w:szCs w:val="24"/>
        </w:rPr>
        <w:t xml:space="preserve"> ved høje doser. </w:t>
      </w:r>
      <w:proofErr w:type="spellStart"/>
      <w:r w:rsidRPr="00DF75C9">
        <w:rPr>
          <w:sz w:val="24"/>
          <w:szCs w:val="24"/>
        </w:rPr>
        <w:t>Nefrotoksicitet</w:t>
      </w:r>
      <w:proofErr w:type="spellEnd"/>
      <w:r w:rsidRPr="00DF75C9">
        <w:rPr>
          <w:sz w:val="24"/>
          <w:szCs w:val="24"/>
        </w:rPr>
        <w:t xml:space="preserve"> menes at være forbundet med uorganiske fluorid-ioner, der er et metabolisk nedbrydningsprodukt. Når lægemidlet administreres mod smerter, som beskrevet i indikationen, medfører en enkeltdosis på 3 ml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serumniveauer af </w:t>
      </w:r>
      <w:proofErr w:type="gramStart"/>
      <w:r w:rsidRPr="00DF75C9">
        <w:rPr>
          <w:sz w:val="24"/>
          <w:szCs w:val="24"/>
        </w:rPr>
        <w:t>uorganisk</w:t>
      </w:r>
      <w:proofErr w:type="gramEnd"/>
      <w:r w:rsidRPr="00DF75C9">
        <w:rPr>
          <w:sz w:val="24"/>
          <w:szCs w:val="24"/>
        </w:rPr>
        <w:t xml:space="preserve"> fluorid-ioner på under 10 mikromol/l. Da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førhen blev anvendt som </w:t>
      </w:r>
      <w:proofErr w:type="spellStart"/>
      <w:r w:rsidRPr="00DF75C9">
        <w:rPr>
          <w:sz w:val="24"/>
          <w:szCs w:val="24"/>
        </w:rPr>
        <w:t>anæstetikum</w:t>
      </w:r>
      <w:proofErr w:type="spellEnd"/>
      <w:r w:rsidRPr="00DF75C9">
        <w:rPr>
          <w:sz w:val="24"/>
          <w:szCs w:val="24"/>
        </w:rPr>
        <w:t xml:space="preserve">, medførte høje doser af stoffet signifikant </w:t>
      </w:r>
      <w:proofErr w:type="spellStart"/>
      <w:r w:rsidRPr="00DF75C9">
        <w:rPr>
          <w:sz w:val="24"/>
          <w:szCs w:val="24"/>
        </w:rPr>
        <w:t>nefrotoksicitet</w:t>
      </w:r>
      <w:proofErr w:type="spellEnd"/>
      <w:r w:rsidRPr="00DF75C9">
        <w:rPr>
          <w:sz w:val="24"/>
          <w:szCs w:val="24"/>
        </w:rPr>
        <w:t xml:space="preserve">, og det blev fastslået, at dette skete, når serumniveauet af fluorid-ioner var over 40 mikromol/l. </w:t>
      </w:r>
      <w:proofErr w:type="spellStart"/>
      <w:r w:rsidRPr="00DF75C9">
        <w:rPr>
          <w:sz w:val="24"/>
          <w:szCs w:val="24"/>
        </w:rPr>
        <w:t>Nefrotoksicitet</w:t>
      </w:r>
      <w:proofErr w:type="spellEnd"/>
      <w:r w:rsidRPr="00DF75C9">
        <w:rPr>
          <w:sz w:val="24"/>
          <w:szCs w:val="24"/>
        </w:rPr>
        <w:t xml:space="preserve"> er også relateret til </w:t>
      </w:r>
      <w:proofErr w:type="spellStart"/>
      <w:r w:rsidRPr="00DF75C9">
        <w:rPr>
          <w:sz w:val="24"/>
          <w:szCs w:val="24"/>
        </w:rPr>
        <w:t>metaboliseringshastigheden</w:t>
      </w:r>
      <w:proofErr w:type="spellEnd"/>
      <w:r w:rsidRPr="00DF75C9">
        <w:rPr>
          <w:sz w:val="24"/>
          <w:szCs w:val="24"/>
        </w:rPr>
        <w:t xml:space="preserve">. Faktorer, der øger </w:t>
      </w:r>
      <w:proofErr w:type="spellStart"/>
      <w:r w:rsidRPr="00DF75C9">
        <w:rPr>
          <w:sz w:val="24"/>
          <w:szCs w:val="24"/>
        </w:rPr>
        <w:t>metaboliseringshastigheden</w:t>
      </w:r>
      <w:proofErr w:type="spellEnd"/>
      <w:r w:rsidRPr="00DF75C9">
        <w:rPr>
          <w:sz w:val="24"/>
          <w:szCs w:val="24"/>
        </w:rPr>
        <w:t>, f.eks. leverenzym-inducerende lægemid</w:t>
      </w:r>
      <w:r w:rsidR="005A1925">
        <w:rPr>
          <w:sz w:val="24"/>
          <w:szCs w:val="24"/>
        </w:rPr>
        <w:t>l</w:t>
      </w:r>
      <w:r w:rsidRPr="00DF75C9">
        <w:rPr>
          <w:sz w:val="24"/>
          <w:szCs w:val="24"/>
        </w:rPr>
        <w:t xml:space="preserve">er, kan derfor øge risikoen for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-toksicitet, ligesom denne risiko er øget hos undergrupper af patienter med genetiske variationer, der kan medføre hurtig </w:t>
      </w:r>
      <w:proofErr w:type="spellStart"/>
      <w:r w:rsidRPr="00DF75C9">
        <w:rPr>
          <w:sz w:val="24"/>
          <w:szCs w:val="24"/>
        </w:rPr>
        <w:t>metabolisering</w:t>
      </w:r>
      <w:proofErr w:type="spellEnd"/>
      <w:r w:rsidRPr="00DF75C9">
        <w:rPr>
          <w:sz w:val="24"/>
          <w:szCs w:val="24"/>
        </w:rPr>
        <w:t xml:space="preserve"> (se pkt. 4.5).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 w:rsidRPr="00DF75C9">
        <w:rPr>
          <w:sz w:val="24"/>
          <w:szCs w:val="24"/>
        </w:rPr>
        <w:tab/>
      </w:r>
      <w:r w:rsidRPr="00DF75C9">
        <w:rPr>
          <w:sz w:val="24"/>
          <w:szCs w:val="24"/>
          <w:u w:val="single"/>
        </w:rPr>
        <w:t>Leversygdom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</w:t>
      </w:r>
      <w:proofErr w:type="spellStart"/>
      <w:r w:rsidRPr="00DF75C9">
        <w:rPr>
          <w:sz w:val="24"/>
          <w:szCs w:val="24"/>
        </w:rPr>
        <w:t>metaboliseres</w:t>
      </w:r>
      <w:proofErr w:type="spellEnd"/>
      <w:r w:rsidRPr="00DF75C9">
        <w:rPr>
          <w:sz w:val="24"/>
          <w:szCs w:val="24"/>
        </w:rPr>
        <w:t xml:space="preserve"> i leveren; øget eksponering hos patienter med nedsat leverfunktion kan derfor medføre toksicitet.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må ikke anvendes hos patienter, der tidligere har haft tegn på leverskade efter brug af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eller </w:t>
      </w:r>
      <w:proofErr w:type="spellStart"/>
      <w:r w:rsidRPr="00DF75C9">
        <w:rPr>
          <w:sz w:val="24"/>
          <w:szCs w:val="24"/>
        </w:rPr>
        <w:t>anæstetika</w:t>
      </w:r>
      <w:proofErr w:type="spellEnd"/>
      <w:r w:rsidRPr="00DF75C9">
        <w:rPr>
          <w:sz w:val="24"/>
          <w:szCs w:val="24"/>
        </w:rPr>
        <w:t xml:space="preserve"> med </w:t>
      </w:r>
      <w:proofErr w:type="spellStart"/>
      <w:r w:rsidRPr="00DF75C9">
        <w:rPr>
          <w:sz w:val="24"/>
          <w:szCs w:val="24"/>
        </w:rPr>
        <w:t>halogenerede</w:t>
      </w:r>
      <w:proofErr w:type="spellEnd"/>
      <w:r w:rsidRPr="00DF75C9">
        <w:rPr>
          <w:sz w:val="24"/>
          <w:szCs w:val="24"/>
        </w:rPr>
        <w:t xml:space="preserve"> kulbrinter (se pkt. 4.3).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bør anvendes med forsigtighed hos patienter med underliggende </w:t>
      </w:r>
      <w:proofErr w:type="spellStart"/>
      <w:r w:rsidRPr="00DF75C9">
        <w:rPr>
          <w:sz w:val="24"/>
          <w:szCs w:val="24"/>
        </w:rPr>
        <w:t>hepatiske</w:t>
      </w:r>
      <w:proofErr w:type="spellEnd"/>
      <w:r w:rsidRPr="00DF75C9">
        <w:rPr>
          <w:sz w:val="24"/>
          <w:szCs w:val="24"/>
        </w:rPr>
        <w:t xml:space="preserve"> tilstande eller med risiko for </w:t>
      </w:r>
      <w:proofErr w:type="spellStart"/>
      <w:r w:rsidRPr="00DF75C9">
        <w:rPr>
          <w:sz w:val="24"/>
          <w:szCs w:val="24"/>
        </w:rPr>
        <w:t>hepatisk</w:t>
      </w:r>
      <w:proofErr w:type="spellEnd"/>
      <w:r w:rsidRPr="00DF75C9">
        <w:rPr>
          <w:sz w:val="24"/>
          <w:szCs w:val="24"/>
        </w:rPr>
        <w:t xml:space="preserve"> dysfunktion (f.eks. ved brug af enzym-inducere; så også pkt. 4.5). 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Ifølge rapporter kan tidligere eksponering for </w:t>
      </w:r>
      <w:proofErr w:type="spellStart"/>
      <w:r w:rsidRPr="00DF75C9">
        <w:rPr>
          <w:sz w:val="24"/>
          <w:szCs w:val="24"/>
        </w:rPr>
        <w:t>anæstetika</w:t>
      </w:r>
      <w:proofErr w:type="spellEnd"/>
      <w:r w:rsidRPr="00DF75C9">
        <w:rPr>
          <w:sz w:val="24"/>
          <w:szCs w:val="24"/>
        </w:rPr>
        <w:t xml:space="preserve"> med </w:t>
      </w:r>
      <w:proofErr w:type="spellStart"/>
      <w:r w:rsidRPr="00DF75C9">
        <w:rPr>
          <w:sz w:val="24"/>
          <w:szCs w:val="24"/>
        </w:rPr>
        <w:t>halogenerede</w:t>
      </w:r>
      <w:proofErr w:type="spellEnd"/>
      <w:r w:rsidRPr="00DF75C9">
        <w:rPr>
          <w:sz w:val="24"/>
          <w:szCs w:val="24"/>
        </w:rPr>
        <w:t xml:space="preserve"> kulbrinter (herunder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, da det førhen blev brugt som </w:t>
      </w:r>
      <w:proofErr w:type="spellStart"/>
      <w:r w:rsidRPr="00DF75C9">
        <w:rPr>
          <w:sz w:val="24"/>
          <w:szCs w:val="24"/>
        </w:rPr>
        <w:t>anæstetikum</w:t>
      </w:r>
      <w:proofErr w:type="spellEnd"/>
      <w:r w:rsidRPr="00DF75C9">
        <w:rPr>
          <w:sz w:val="24"/>
          <w:szCs w:val="24"/>
        </w:rPr>
        <w:t>) øge risikoen for leverskade, især hvis intervallet mellem doserne er mindre end 3 måneder.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Der bør foretages en grundig klinisk vurdering, hvis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skal anvendes hyppigere end én gang hver 3. måned.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ind w:left="851"/>
        <w:rPr>
          <w:sz w:val="24"/>
          <w:szCs w:val="24"/>
          <w:u w:val="single"/>
        </w:rPr>
      </w:pPr>
      <w:proofErr w:type="spellStart"/>
      <w:r w:rsidRPr="00DF75C9">
        <w:rPr>
          <w:sz w:val="24"/>
          <w:szCs w:val="24"/>
          <w:u w:val="single"/>
        </w:rPr>
        <w:t>Kardiovaskulær</w:t>
      </w:r>
      <w:proofErr w:type="spellEnd"/>
      <w:r w:rsidRPr="00DF75C9">
        <w:rPr>
          <w:sz w:val="24"/>
          <w:szCs w:val="24"/>
          <w:u w:val="single"/>
        </w:rPr>
        <w:t xml:space="preserve"> depression/brug hos ældre</w:t>
      </w:r>
    </w:p>
    <w:p w:rsidR="00D36430" w:rsidRPr="00DF75C9" w:rsidRDefault="00D36430" w:rsidP="00D36430">
      <w:pPr>
        <w:ind w:left="851"/>
        <w:rPr>
          <w:sz w:val="24"/>
          <w:szCs w:val="24"/>
        </w:rPr>
      </w:pPr>
      <w:r w:rsidRPr="00DF75C9">
        <w:rPr>
          <w:sz w:val="24"/>
          <w:szCs w:val="24"/>
        </w:rPr>
        <w:t>Potentiel indvirkning på blodtrykket og hjertefrekvensen er kendte klasseeffekter af højdosis-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anvendt som </w:t>
      </w:r>
      <w:proofErr w:type="spellStart"/>
      <w:r w:rsidRPr="00DF75C9">
        <w:rPr>
          <w:sz w:val="24"/>
          <w:szCs w:val="24"/>
        </w:rPr>
        <w:t>anæstetikum</w:t>
      </w:r>
      <w:proofErr w:type="spellEnd"/>
      <w:r w:rsidRPr="00DF75C9">
        <w:rPr>
          <w:sz w:val="24"/>
          <w:szCs w:val="24"/>
        </w:rPr>
        <w:t xml:space="preserve"> samt af andre </w:t>
      </w:r>
      <w:proofErr w:type="spellStart"/>
      <w:r w:rsidRPr="00DF75C9">
        <w:rPr>
          <w:sz w:val="24"/>
          <w:szCs w:val="24"/>
        </w:rPr>
        <w:t>anæstetika</w:t>
      </w:r>
      <w:proofErr w:type="spellEnd"/>
      <w:r w:rsidRPr="00DF75C9">
        <w:rPr>
          <w:sz w:val="24"/>
          <w:szCs w:val="24"/>
        </w:rPr>
        <w:t xml:space="preserve">. Indvirkningen synes ikke at være signifikant ved analgetiske doser. Der er ikke noget specielt mønster i patienters systoliske blodtryk efter administration af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som </w:t>
      </w:r>
      <w:proofErr w:type="spellStart"/>
      <w:r w:rsidRPr="00DF75C9">
        <w:rPr>
          <w:sz w:val="24"/>
          <w:szCs w:val="24"/>
        </w:rPr>
        <w:t>analgetikum</w:t>
      </w:r>
      <w:proofErr w:type="spellEnd"/>
      <w:r w:rsidRPr="00DF75C9">
        <w:rPr>
          <w:sz w:val="24"/>
          <w:szCs w:val="24"/>
        </w:rPr>
        <w:t xml:space="preserve"> på tværs af aldersgrupper. Da risikoen imidlertid kan være øget hos ældre med hypotension og bradykardi, bør der udvises forsigtighed hos ældre på grund af risikoen for blodtrykssænkning. </w:t>
      </w:r>
    </w:p>
    <w:p w:rsidR="00D36430" w:rsidRPr="00DF75C9" w:rsidRDefault="00D36430" w:rsidP="00D36430">
      <w:pPr>
        <w:ind w:left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 w:rsidRPr="00DF75C9">
        <w:rPr>
          <w:sz w:val="24"/>
          <w:szCs w:val="24"/>
        </w:rPr>
        <w:lastRenderedPageBreak/>
        <w:tab/>
      </w:r>
      <w:r w:rsidRPr="00DF75C9">
        <w:rPr>
          <w:sz w:val="24"/>
          <w:szCs w:val="24"/>
          <w:u w:val="single"/>
        </w:rPr>
        <w:t>Påvirkning af centralnervesystemet (CNS)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Sekundær </w:t>
      </w:r>
      <w:proofErr w:type="spellStart"/>
      <w:r w:rsidRPr="00DF75C9">
        <w:rPr>
          <w:sz w:val="24"/>
          <w:szCs w:val="24"/>
        </w:rPr>
        <w:t>farmakodynamiske</w:t>
      </w:r>
      <w:proofErr w:type="spellEnd"/>
      <w:r w:rsidRPr="00DF75C9">
        <w:rPr>
          <w:sz w:val="24"/>
          <w:szCs w:val="24"/>
        </w:rPr>
        <w:t xml:space="preserve"> effekter, herunder potentielle CNS-påvirkninger som f.eks. sedation, eufori, amnesi, nedsat koncentrationsevne, forstyrret sensormotorisk koordinering og humørsvingninger, er kendte klasseeffekter. Selvadministration af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i analgetiske doser kan begrænses på grund af CNS-påvirkninger som f.eks. sedation. Selvom muligheden for påvirkning af centralnervesystemet kan ses som en risikofaktor for muligt misbrug, er det meget sjældent rapporteret efter markedsføringen. </w:t>
      </w:r>
    </w:p>
    <w:p w:rsidR="00D36430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AA4C06" w:rsidRDefault="00AA4C06" w:rsidP="00AA4C06">
      <w:pPr>
        <w:tabs>
          <w:tab w:val="left" w:pos="851"/>
        </w:tabs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Respirationsdepression </w:t>
      </w:r>
    </w:p>
    <w:p w:rsidR="00AA4C06" w:rsidRDefault="00AA4C06" w:rsidP="00AA4C06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Der er indberettet respirationsdepression også fra analgetiske doser (pkt. 4.8). Respirationen skal overvåges på grund af risikoen for respirationsdepression og </w:t>
      </w:r>
      <w:proofErr w:type="spellStart"/>
      <w:r>
        <w:rPr>
          <w:sz w:val="24"/>
          <w:szCs w:val="24"/>
        </w:rPr>
        <w:t>hypoksi</w:t>
      </w:r>
      <w:proofErr w:type="spellEnd"/>
      <w:r>
        <w:rPr>
          <w:sz w:val="24"/>
          <w:szCs w:val="24"/>
        </w:rPr>
        <w:t>.</w:t>
      </w:r>
    </w:p>
    <w:p w:rsidR="00AA4C06" w:rsidRPr="00DF75C9" w:rsidRDefault="00AA4C06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 w:rsidRPr="00DF75C9">
        <w:rPr>
          <w:sz w:val="24"/>
          <w:szCs w:val="24"/>
        </w:rPr>
        <w:tab/>
      </w:r>
      <w:r w:rsidRPr="00DF75C9">
        <w:rPr>
          <w:sz w:val="24"/>
          <w:szCs w:val="24"/>
          <w:u w:val="single"/>
        </w:rPr>
        <w:t>Hyppig gentagen brug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Som følge af dosisbegrænsningen af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(se pkt. 4.2) og varigheden af smertelindringen er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ikke egnet til at lindre gennembrudssmerter/smerteforværring hos patienter med kroniske smertetilstande.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er heller ikke egnet til lindring af traume-relaterede smerteepisoder, der ligger tæt på hinanden hos samme patient.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Default="00D36430" w:rsidP="00D36430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Butylhydroxytoluen</w:t>
      </w:r>
      <w:proofErr w:type="spellEnd"/>
    </w:p>
    <w:p w:rsidR="00D36430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Penthrox</w:t>
      </w:r>
      <w:proofErr w:type="spellEnd"/>
      <w:r>
        <w:rPr>
          <w:sz w:val="24"/>
          <w:szCs w:val="24"/>
        </w:rPr>
        <w:t xml:space="preserve"> indeholder hjælpestoffet </w:t>
      </w:r>
      <w:proofErr w:type="spellStart"/>
      <w:r>
        <w:rPr>
          <w:sz w:val="24"/>
          <w:szCs w:val="24"/>
        </w:rPr>
        <w:t>butylhydroxytoluen</w:t>
      </w:r>
      <w:proofErr w:type="spellEnd"/>
      <w:r>
        <w:rPr>
          <w:sz w:val="24"/>
          <w:szCs w:val="24"/>
        </w:rPr>
        <w:t xml:space="preserve"> (E321), der er en stabilisator. </w:t>
      </w:r>
    </w:p>
    <w:p w:rsidR="00D36430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Butylhydroxytoluen</w:t>
      </w:r>
      <w:proofErr w:type="spellEnd"/>
      <w:r>
        <w:rPr>
          <w:sz w:val="24"/>
          <w:szCs w:val="24"/>
        </w:rPr>
        <w:t xml:space="preserve"> kan forårsage lokale hudreaktioner (f.eks. kontakteksem) eller irritation af øjne og slimhinder. Se pkt. 6.1.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F75C9">
        <w:rPr>
          <w:sz w:val="24"/>
          <w:szCs w:val="24"/>
          <w:u w:val="single"/>
        </w:rPr>
        <w:t>Erhvervsmæssig eksponering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Sundhedspersoner, der regelmæssigt eksponeres for patienter, som bruger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-inhalatorer, bør være opmærksomme på eventuelle vejledninger vedrørende sundhed og sikkerhed på arbejdspladsen i forbindelse med brug af inhalationsstoffer. Med henblik på at reducere den erhvervsmæssige eksponering for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bør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-inhalatoren altid bruges med kammeret med aktivt kul, som adsorberer den ekshalerede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. Gentagen anvendelse af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>-inhalatoren uden dette kammer medfører øget risiko.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</w:p>
    <w:p w:rsidR="00D36430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Forhøjede niveauer af leverenzymer, </w:t>
      </w:r>
      <w:proofErr w:type="spellStart"/>
      <w:r w:rsidRPr="00DF75C9">
        <w:rPr>
          <w:sz w:val="24"/>
          <w:szCs w:val="24"/>
        </w:rPr>
        <w:t>karbamid</w:t>
      </w:r>
      <w:proofErr w:type="spellEnd"/>
      <w:r w:rsidRPr="00DF75C9">
        <w:rPr>
          <w:sz w:val="24"/>
          <w:szCs w:val="24"/>
        </w:rPr>
        <w:t xml:space="preserve"> i blodet og urinsyre i serum er rapporteret hos eksponeret personale på fødestuer, da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førhen blev anvendt hos fødende med veer.</w:t>
      </w:r>
    </w:p>
    <w:p w:rsidR="00BE4A12" w:rsidRDefault="00BE4A12" w:rsidP="00D36430">
      <w:pPr>
        <w:tabs>
          <w:tab w:val="left" w:pos="851"/>
        </w:tabs>
        <w:ind w:left="851"/>
        <w:rPr>
          <w:sz w:val="24"/>
          <w:szCs w:val="24"/>
        </w:rPr>
      </w:pPr>
    </w:p>
    <w:p w:rsidR="00BE4A12" w:rsidRPr="00984579" w:rsidRDefault="00BE4A12" w:rsidP="00BE4A12">
      <w:pPr>
        <w:tabs>
          <w:tab w:val="left" w:pos="851"/>
        </w:tabs>
        <w:ind w:left="851"/>
        <w:rPr>
          <w:sz w:val="24"/>
          <w:szCs w:val="24"/>
        </w:rPr>
      </w:pPr>
      <w:r w:rsidRPr="004C7EDF">
        <w:rPr>
          <w:sz w:val="24"/>
          <w:szCs w:val="24"/>
        </w:rPr>
        <w:t>Der er indberettet ikke-alvorlige og forbigående reaktioner</w:t>
      </w:r>
      <w:r w:rsidRPr="00984579">
        <w:rPr>
          <w:sz w:val="24"/>
          <w:szCs w:val="24"/>
        </w:rPr>
        <w:t>,</w:t>
      </w:r>
      <w:r w:rsidRPr="004C7EDF">
        <w:rPr>
          <w:sz w:val="24"/>
          <w:szCs w:val="24"/>
        </w:rPr>
        <w:t xml:space="preserve"> såsom svimmelhed, hovedpine, kvalme eller utilpashed, og overfølsomhedsreaktioner over for </w:t>
      </w:r>
      <w:proofErr w:type="spellStart"/>
      <w:r w:rsidRPr="004C7EDF">
        <w:rPr>
          <w:sz w:val="24"/>
          <w:szCs w:val="24"/>
        </w:rPr>
        <w:t>methoxyfluran</w:t>
      </w:r>
      <w:proofErr w:type="spellEnd"/>
      <w:r w:rsidRPr="004C7EDF">
        <w:rPr>
          <w:sz w:val="24"/>
          <w:szCs w:val="24"/>
        </w:rPr>
        <w:t xml:space="preserve"> eller andre indholdsstoffer hos sundhedspersone</w:t>
      </w:r>
      <w:r w:rsidRPr="00984579">
        <w:rPr>
          <w:sz w:val="24"/>
          <w:szCs w:val="24"/>
        </w:rPr>
        <w:t>r</w:t>
      </w:r>
      <w:r w:rsidRPr="004C7EDF">
        <w:rPr>
          <w:sz w:val="24"/>
          <w:szCs w:val="24"/>
        </w:rPr>
        <w:t xml:space="preserve">, der </w:t>
      </w:r>
      <w:r w:rsidRPr="00984579">
        <w:rPr>
          <w:sz w:val="24"/>
          <w:szCs w:val="24"/>
        </w:rPr>
        <w:t>blev</w:t>
      </w:r>
      <w:r w:rsidRPr="004C7EDF">
        <w:rPr>
          <w:sz w:val="24"/>
          <w:szCs w:val="24"/>
        </w:rPr>
        <w:t xml:space="preserve"> eksponeret for </w:t>
      </w:r>
      <w:proofErr w:type="spellStart"/>
      <w:r w:rsidRPr="004C7EDF">
        <w:rPr>
          <w:sz w:val="24"/>
          <w:szCs w:val="24"/>
        </w:rPr>
        <w:t>Penthrox</w:t>
      </w:r>
      <w:proofErr w:type="spellEnd"/>
      <w:r w:rsidRPr="004C7EDF">
        <w:rPr>
          <w:sz w:val="24"/>
          <w:szCs w:val="24"/>
        </w:rPr>
        <w:t xml:space="preserve">. Målinger af eksponeringsniveauer for </w:t>
      </w:r>
      <w:proofErr w:type="spellStart"/>
      <w:r w:rsidRPr="004C7EDF">
        <w:rPr>
          <w:sz w:val="24"/>
          <w:szCs w:val="24"/>
        </w:rPr>
        <w:t>methoxyfluran</w:t>
      </w:r>
      <w:proofErr w:type="spellEnd"/>
      <w:r w:rsidRPr="004C7EDF">
        <w:rPr>
          <w:sz w:val="24"/>
          <w:szCs w:val="24"/>
        </w:rPr>
        <w:t xml:space="preserve"> hos </w:t>
      </w:r>
      <w:r w:rsidRPr="00984579">
        <w:rPr>
          <w:sz w:val="24"/>
          <w:szCs w:val="24"/>
        </w:rPr>
        <w:t>sundhedspersoner</w:t>
      </w:r>
      <w:r w:rsidRPr="004C7EDF">
        <w:rPr>
          <w:sz w:val="24"/>
          <w:szCs w:val="24"/>
        </w:rPr>
        <w:t xml:space="preserve"> viste</w:t>
      </w:r>
      <w:r w:rsidRPr="00984579">
        <w:rPr>
          <w:sz w:val="24"/>
          <w:szCs w:val="24"/>
        </w:rPr>
        <w:t xml:space="preserve"> niveauer, der var</w:t>
      </w:r>
      <w:r w:rsidRPr="004C7EDF">
        <w:rPr>
          <w:sz w:val="24"/>
          <w:szCs w:val="24"/>
        </w:rPr>
        <w:t xml:space="preserve"> signifikant lavere end de</w:t>
      </w:r>
      <w:r w:rsidRPr="00984579">
        <w:rPr>
          <w:sz w:val="24"/>
          <w:szCs w:val="24"/>
        </w:rPr>
        <w:t xml:space="preserve"> niveauer,</w:t>
      </w:r>
      <w:r w:rsidRPr="004C7EDF">
        <w:rPr>
          <w:sz w:val="24"/>
          <w:szCs w:val="24"/>
        </w:rPr>
        <w:t xml:space="preserve"> der er forbundet med </w:t>
      </w:r>
      <w:proofErr w:type="spellStart"/>
      <w:r w:rsidRPr="004C7EDF">
        <w:rPr>
          <w:sz w:val="24"/>
          <w:szCs w:val="24"/>
        </w:rPr>
        <w:t>nefrotoksicitet</w:t>
      </w:r>
      <w:proofErr w:type="spellEnd"/>
      <w:r w:rsidRPr="004C7EDF">
        <w:rPr>
          <w:sz w:val="24"/>
          <w:szCs w:val="24"/>
        </w:rPr>
        <w:t>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4.5</w:t>
      </w:r>
      <w:r w:rsidRPr="00DF75C9">
        <w:rPr>
          <w:b/>
          <w:sz w:val="24"/>
          <w:szCs w:val="24"/>
        </w:rPr>
        <w:tab/>
        <w:t>Interaktion med andre lægemidler og andre former for interaktion</w:t>
      </w:r>
    </w:p>
    <w:p w:rsidR="000F42D5" w:rsidRPr="00DF75C9" w:rsidRDefault="00D36430" w:rsidP="000F42D5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 w:rsidR="000F42D5" w:rsidRPr="00DF75C9">
        <w:rPr>
          <w:sz w:val="24"/>
          <w:szCs w:val="24"/>
        </w:rPr>
        <w:t>Metaboliseringen</w:t>
      </w:r>
      <w:proofErr w:type="spellEnd"/>
      <w:r w:rsidR="000F42D5" w:rsidRPr="00DF75C9">
        <w:rPr>
          <w:sz w:val="24"/>
          <w:szCs w:val="24"/>
        </w:rPr>
        <w:t xml:space="preserve"> af </w:t>
      </w:r>
      <w:proofErr w:type="spellStart"/>
      <w:r w:rsidR="000F42D5" w:rsidRPr="00DF75C9">
        <w:rPr>
          <w:sz w:val="24"/>
          <w:szCs w:val="24"/>
        </w:rPr>
        <w:t>methoxyfluran</w:t>
      </w:r>
      <w:proofErr w:type="spellEnd"/>
      <w:r w:rsidR="000F42D5" w:rsidRPr="00DF75C9">
        <w:rPr>
          <w:sz w:val="24"/>
          <w:szCs w:val="24"/>
        </w:rPr>
        <w:t xml:space="preserve"> medieres af CYP 450-enzymer, navnlig CYP 2E1</w:t>
      </w:r>
      <w:r w:rsidR="000F42D5">
        <w:rPr>
          <w:sz w:val="24"/>
          <w:szCs w:val="24"/>
        </w:rPr>
        <w:t>, CYP </w:t>
      </w:r>
      <w:r w:rsidR="000F42D5" w:rsidRPr="00DF75C9">
        <w:rPr>
          <w:sz w:val="24"/>
          <w:szCs w:val="24"/>
        </w:rPr>
        <w:t>2</w:t>
      </w:r>
      <w:r w:rsidR="000F42D5">
        <w:rPr>
          <w:sz w:val="24"/>
          <w:szCs w:val="24"/>
        </w:rPr>
        <w:t>B</w:t>
      </w:r>
      <w:r w:rsidR="000F42D5" w:rsidRPr="00DF75C9">
        <w:rPr>
          <w:sz w:val="24"/>
          <w:szCs w:val="24"/>
        </w:rPr>
        <w:t xml:space="preserve">6 og til dels CYP 2A6. Det er sandsynligt, at enzym-inducere (som f.eks. alkohol eller </w:t>
      </w:r>
      <w:proofErr w:type="spellStart"/>
      <w:r w:rsidR="000F42D5" w:rsidRPr="00DF75C9">
        <w:rPr>
          <w:sz w:val="24"/>
          <w:szCs w:val="24"/>
        </w:rPr>
        <w:t>isoniazid</w:t>
      </w:r>
      <w:proofErr w:type="spellEnd"/>
      <w:r w:rsidR="000F42D5" w:rsidRPr="00DF75C9">
        <w:rPr>
          <w:sz w:val="24"/>
          <w:szCs w:val="24"/>
        </w:rPr>
        <w:t xml:space="preserve"> for CYP 2E1 og </w:t>
      </w:r>
      <w:proofErr w:type="spellStart"/>
      <w:r w:rsidR="000F42D5" w:rsidRPr="00DF75C9">
        <w:rPr>
          <w:sz w:val="24"/>
          <w:szCs w:val="24"/>
        </w:rPr>
        <w:t>phenobarbital</w:t>
      </w:r>
      <w:proofErr w:type="spellEnd"/>
      <w:r w:rsidR="000F42D5" w:rsidRPr="00DF75C9">
        <w:rPr>
          <w:sz w:val="24"/>
          <w:szCs w:val="24"/>
        </w:rPr>
        <w:t xml:space="preserve"> eller </w:t>
      </w:r>
      <w:proofErr w:type="spellStart"/>
      <w:r w:rsidR="000F42D5" w:rsidRPr="00DF75C9">
        <w:rPr>
          <w:sz w:val="24"/>
          <w:szCs w:val="24"/>
        </w:rPr>
        <w:t>rifampicin</w:t>
      </w:r>
      <w:proofErr w:type="spellEnd"/>
      <w:r w:rsidR="000F42D5" w:rsidRPr="00DF75C9">
        <w:rPr>
          <w:sz w:val="24"/>
          <w:szCs w:val="24"/>
        </w:rPr>
        <w:t xml:space="preserve"> for CYP </w:t>
      </w:r>
      <w:r w:rsidR="000F42D5" w:rsidRPr="00DC3FA5">
        <w:rPr>
          <w:sz w:val="24"/>
          <w:szCs w:val="24"/>
        </w:rPr>
        <w:t xml:space="preserve">2A6 og </w:t>
      </w:r>
      <w:proofErr w:type="spellStart"/>
      <w:r w:rsidR="000F42D5" w:rsidRPr="00DC3FA5">
        <w:rPr>
          <w:sz w:val="24"/>
          <w:szCs w:val="24"/>
        </w:rPr>
        <w:t>carbamazepin</w:t>
      </w:r>
      <w:proofErr w:type="spellEnd"/>
      <w:r w:rsidR="000F42D5" w:rsidRPr="00DC3FA5">
        <w:rPr>
          <w:sz w:val="24"/>
          <w:szCs w:val="24"/>
        </w:rPr>
        <w:t xml:space="preserve">, </w:t>
      </w:r>
      <w:proofErr w:type="spellStart"/>
      <w:r w:rsidR="000F42D5" w:rsidRPr="00DC3FA5">
        <w:rPr>
          <w:sz w:val="24"/>
          <w:szCs w:val="24"/>
        </w:rPr>
        <w:t>efavirenz</w:t>
      </w:r>
      <w:proofErr w:type="spellEnd"/>
      <w:r w:rsidR="000F42D5" w:rsidRPr="00DC3FA5">
        <w:rPr>
          <w:sz w:val="24"/>
          <w:szCs w:val="24"/>
        </w:rPr>
        <w:t xml:space="preserve">, </w:t>
      </w:r>
      <w:proofErr w:type="spellStart"/>
      <w:r w:rsidR="000F42D5" w:rsidRPr="00DC3FA5">
        <w:rPr>
          <w:sz w:val="24"/>
          <w:szCs w:val="24"/>
        </w:rPr>
        <w:t>rifampic</w:t>
      </w:r>
      <w:r w:rsidR="000F42D5" w:rsidRPr="00D74D15">
        <w:rPr>
          <w:sz w:val="24"/>
          <w:szCs w:val="24"/>
        </w:rPr>
        <w:t>in</w:t>
      </w:r>
      <w:proofErr w:type="spellEnd"/>
      <w:r w:rsidR="000F42D5" w:rsidRPr="00DC3FA5">
        <w:rPr>
          <w:sz w:val="24"/>
          <w:szCs w:val="24"/>
        </w:rPr>
        <w:t xml:space="preserve"> </w:t>
      </w:r>
      <w:r w:rsidR="000F42D5">
        <w:rPr>
          <w:sz w:val="24"/>
          <w:szCs w:val="24"/>
        </w:rPr>
        <w:t xml:space="preserve">eller </w:t>
      </w:r>
      <w:proofErr w:type="spellStart"/>
      <w:r w:rsidR="000F42D5" w:rsidRPr="00393C39">
        <w:rPr>
          <w:sz w:val="24"/>
          <w:szCs w:val="24"/>
        </w:rPr>
        <w:t>nevirapin</w:t>
      </w:r>
      <w:proofErr w:type="spellEnd"/>
      <w:r w:rsidR="000F42D5" w:rsidRPr="00393C39">
        <w:rPr>
          <w:sz w:val="24"/>
          <w:szCs w:val="24"/>
        </w:rPr>
        <w:t xml:space="preserve"> </w:t>
      </w:r>
      <w:r w:rsidR="000F42D5" w:rsidRPr="00DC3FA5">
        <w:rPr>
          <w:sz w:val="24"/>
          <w:szCs w:val="24"/>
        </w:rPr>
        <w:t xml:space="preserve">for </w:t>
      </w:r>
      <w:r w:rsidR="000F42D5">
        <w:rPr>
          <w:sz w:val="24"/>
          <w:szCs w:val="24"/>
        </w:rPr>
        <w:t>CYP </w:t>
      </w:r>
      <w:r w:rsidR="000F42D5" w:rsidRPr="00DC3FA5">
        <w:rPr>
          <w:sz w:val="24"/>
          <w:szCs w:val="24"/>
        </w:rPr>
        <w:t>2B6), der</w:t>
      </w:r>
      <w:r w:rsidR="000F42D5" w:rsidRPr="00DF75C9">
        <w:rPr>
          <w:sz w:val="24"/>
          <w:szCs w:val="24"/>
        </w:rPr>
        <w:t xml:space="preserve"> øger </w:t>
      </w:r>
      <w:proofErr w:type="spellStart"/>
      <w:r w:rsidR="000F42D5" w:rsidRPr="00DF75C9">
        <w:rPr>
          <w:sz w:val="24"/>
          <w:szCs w:val="24"/>
        </w:rPr>
        <w:t>methoxyflurans</w:t>
      </w:r>
      <w:proofErr w:type="spellEnd"/>
      <w:r w:rsidR="000F42D5" w:rsidRPr="00DF75C9">
        <w:rPr>
          <w:sz w:val="24"/>
          <w:szCs w:val="24"/>
        </w:rPr>
        <w:t xml:space="preserve"> </w:t>
      </w:r>
      <w:proofErr w:type="spellStart"/>
      <w:r w:rsidR="000F42D5" w:rsidRPr="00DF75C9">
        <w:rPr>
          <w:sz w:val="24"/>
          <w:szCs w:val="24"/>
        </w:rPr>
        <w:t>metaboliseringshastighed</w:t>
      </w:r>
      <w:proofErr w:type="spellEnd"/>
      <w:r w:rsidR="000F42D5" w:rsidRPr="00DF75C9">
        <w:rPr>
          <w:sz w:val="24"/>
          <w:szCs w:val="24"/>
        </w:rPr>
        <w:t xml:space="preserve">, kan øge </w:t>
      </w:r>
      <w:proofErr w:type="spellStart"/>
      <w:r w:rsidR="000F42D5" w:rsidRPr="00DF75C9">
        <w:rPr>
          <w:sz w:val="24"/>
          <w:szCs w:val="24"/>
        </w:rPr>
        <w:t>methoxyflurans</w:t>
      </w:r>
      <w:proofErr w:type="spellEnd"/>
      <w:r w:rsidR="000F42D5" w:rsidRPr="00DF75C9">
        <w:rPr>
          <w:sz w:val="24"/>
          <w:szCs w:val="24"/>
        </w:rPr>
        <w:t xml:space="preserve"> potentielle toksicitet, hvorfor disse stoffer bør undgås ved samtidig brug af </w:t>
      </w:r>
      <w:proofErr w:type="spellStart"/>
      <w:r w:rsidR="000F42D5" w:rsidRPr="00DF75C9">
        <w:rPr>
          <w:sz w:val="24"/>
          <w:szCs w:val="24"/>
        </w:rPr>
        <w:t>methoxyfluran</w:t>
      </w:r>
      <w:proofErr w:type="spellEnd"/>
      <w:r w:rsidR="000F42D5" w:rsidRPr="00DF75C9">
        <w:rPr>
          <w:sz w:val="24"/>
          <w:szCs w:val="24"/>
        </w:rPr>
        <w:t xml:space="preserve">. Samtidig brug af </w:t>
      </w:r>
      <w:proofErr w:type="spellStart"/>
      <w:r w:rsidR="000F42D5" w:rsidRPr="00DF75C9">
        <w:rPr>
          <w:sz w:val="24"/>
          <w:szCs w:val="24"/>
        </w:rPr>
        <w:t>methoxyfluran</w:t>
      </w:r>
      <w:proofErr w:type="spellEnd"/>
      <w:r w:rsidR="000F42D5" w:rsidRPr="00DF75C9">
        <w:rPr>
          <w:sz w:val="24"/>
          <w:szCs w:val="24"/>
        </w:rPr>
        <w:t xml:space="preserve"> og lægemidler, der er </w:t>
      </w:r>
      <w:proofErr w:type="spellStart"/>
      <w:r w:rsidR="000F42D5" w:rsidRPr="00DF75C9">
        <w:rPr>
          <w:sz w:val="24"/>
          <w:szCs w:val="24"/>
        </w:rPr>
        <w:t>nefrotoksiske</w:t>
      </w:r>
      <w:proofErr w:type="spellEnd"/>
      <w:r w:rsidR="000F42D5" w:rsidRPr="00DF75C9">
        <w:rPr>
          <w:sz w:val="24"/>
          <w:szCs w:val="24"/>
        </w:rPr>
        <w:t xml:space="preserve"> (f.eks. kontraststoffer og visse antibiotika), bør undgås, da det kan forstærke den </w:t>
      </w:r>
      <w:proofErr w:type="spellStart"/>
      <w:r w:rsidR="000F42D5" w:rsidRPr="00DF75C9">
        <w:rPr>
          <w:sz w:val="24"/>
          <w:szCs w:val="24"/>
        </w:rPr>
        <w:t>nefrotoksiske</w:t>
      </w:r>
      <w:proofErr w:type="spellEnd"/>
      <w:r w:rsidR="000F42D5" w:rsidRPr="00DF75C9">
        <w:rPr>
          <w:sz w:val="24"/>
          <w:szCs w:val="24"/>
        </w:rPr>
        <w:t xml:space="preserve"> effekt. Antibiotika med </w:t>
      </w:r>
      <w:r w:rsidR="000F42D5" w:rsidRPr="00DF75C9">
        <w:rPr>
          <w:sz w:val="24"/>
          <w:szCs w:val="24"/>
        </w:rPr>
        <w:lastRenderedPageBreak/>
        <w:t xml:space="preserve">kendt potentiel </w:t>
      </w:r>
      <w:proofErr w:type="spellStart"/>
      <w:r w:rsidR="000F42D5" w:rsidRPr="00DF75C9">
        <w:rPr>
          <w:sz w:val="24"/>
          <w:szCs w:val="24"/>
        </w:rPr>
        <w:t>nefrotoksicitet</w:t>
      </w:r>
      <w:proofErr w:type="spellEnd"/>
      <w:r w:rsidR="000F42D5" w:rsidRPr="00DF75C9">
        <w:rPr>
          <w:sz w:val="24"/>
          <w:szCs w:val="24"/>
        </w:rPr>
        <w:t xml:space="preserve"> omfatter </w:t>
      </w:r>
      <w:proofErr w:type="spellStart"/>
      <w:r w:rsidR="000F42D5" w:rsidRPr="00DF75C9">
        <w:rPr>
          <w:sz w:val="24"/>
          <w:szCs w:val="24"/>
        </w:rPr>
        <w:t>tetracyclin</w:t>
      </w:r>
      <w:proofErr w:type="spellEnd"/>
      <w:r w:rsidR="000F42D5" w:rsidRPr="00DF75C9">
        <w:rPr>
          <w:sz w:val="24"/>
          <w:szCs w:val="24"/>
        </w:rPr>
        <w:t xml:space="preserve">, gentamicin, </w:t>
      </w:r>
      <w:proofErr w:type="spellStart"/>
      <w:r w:rsidR="000F42D5" w:rsidRPr="00DF75C9">
        <w:rPr>
          <w:sz w:val="24"/>
          <w:szCs w:val="24"/>
        </w:rPr>
        <w:t>colistin</w:t>
      </w:r>
      <w:proofErr w:type="spellEnd"/>
      <w:r w:rsidR="000F42D5" w:rsidRPr="00DF75C9">
        <w:rPr>
          <w:sz w:val="24"/>
          <w:szCs w:val="24"/>
        </w:rPr>
        <w:t xml:space="preserve">, </w:t>
      </w:r>
      <w:proofErr w:type="spellStart"/>
      <w:r w:rsidR="000F42D5" w:rsidRPr="00DF75C9">
        <w:rPr>
          <w:sz w:val="24"/>
          <w:szCs w:val="24"/>
        </w:rPr>
        <w:t>polymyxin</w:t>
      </w:r>
      <w:proofErr w:type="spellEnd"/>
      <w:r w:rsidR="000F42D5" w:rsidRPr="00DF75C9">
        <w:rPr>
          <w:sz w:val="24"/>
          <w:szCs w:val="24"/>
        </w:rPr>
        <w:t xml:space="preserve"> B og </w:t>
      </w:r>
      <w:proofErr w:type="spellStart"/>
      <w:r w:rsidR="000F42D5" w:rsidRPr="00DF75C9">
        <w:rPr>
          <w:sz w:val="24"/>
          <w:szCs w:val="24"/>
        </w:rPr>
        <w:t>amphotericin</w:t>
      </w:r>
      <w:proofErr w:type="spellEnd"/>
      <w:r w:rsidR="000F42D5" w:rsidRPr="00DF75C9">
        <w:rPr>
          <w:sz w:val="24"/>
          <w:szCs w:val="24"/>
        </w:rPr>
        <w:t xml:space="preserve"> B. Det anbefales at undgå brug af </w:t>
      </w:r>
      <w:proofErr w:type="spellStart"/>
      <w:r w:rsidR="000F42D5" w:rsidRPr="00DF75C9">
        <w:rPr>
          <w:sz w:val="24"/>
          <w:szCs w:val="24"/>
        </w:rPr>
        <w:t>sevofluran</w:t>
      </w:r>
      <w:proofErr w:type="spellEnd"/>
      <w:r w:rsidR="000F42D5" w:rsidRPr="00DF75C9">
        <w:rPr>
          <w:sz w:val="24"/>
          <w:szCs w:val="24"/>
        </w:rPr>
        <w:t xml:space="preserve">-anæstesi efter </w:t>
      </w:r>
      <w:proofErr w:type="spellStart"/>
      <w:r w:rsidR="000F42D5" w:rsidRPr="00DF75C9">
        <w:rPr>
          <w:sz w:val="24"/>
          <w:szCs w:val="24"/>
        </w:rPr>
        <w:t>methoxyfluran</w:t>
      </w:r>
      <w:proofErr w:type="spellEnd"/>
      <w:r w:rsidR="000F42D5" w:rsidRPr="00DF75C9">
        <w:rPr>
          <w:sz w:val="24"/>
          <w:szCs w:val="24"/>
        </w:rPr>
        <w:t xml:space="preserve">-analgesi, da </w:t>
      </w:r>
      <w:proofErr w:type="spellStart"/>
      <w:r w:rsidR="000F42D5" w:rsidRPr="00DF75C9">
        <w:rPr>
          <w:sz w:val="24"/>
          <w:szCs w:val="24"/>
        </w:rPr>
        <w:t>sevofluran</w:t>
      </w:r>
      <w:proofErr w:type="spellEnd"/>
      <w:r w:rsidR="000F42D5" w:rsidRPr="00DF75C9">
        <w:rPr>
          <w:sz w:val="24"/>
          <w:szCs w:val="24"/>
        </w:rPr>
        <w:t xml:space="preserve"> øger serumfluorid, og da </w:t>
      </w:r>
      <w:proofErr w:type="spellStart"/>
      <w:r w:rsidR="000F42D5" w:rsidRPr="00DF75C9">
        <w:rPr>
          <w:sz w:val="24"/>
          <w:szCs w:val="24"/>
        </w:rPr>
        <w:t>methoxyflurans</w:t>
      </w:r>
      <w:proofErr w:type="spellEnd"/>
      <w:r w:rsidR="000F42D5" w:rsidRPr="00DF75C9">
        <w:rPr>
          <w:sz w:val="24"/>
          <w:szCs w:val="24"/>
        </w:rPr>
        <w:t xml:space="preserve"> </w:t>
      </w:r>
      <w:proofErr w:type="spellStart"/>
      <w:r w:rsidR="000F42D5" w:rsidRPr="00DF75C9">
        <w:rPr>
          <w:sz w:val="24"/>
          <w:szCs w:val="24"/>
        </w:rPr>
        <w:t>nefrotoksicitet</w:t>
      </w:r>
      <w:proofErr w:type="spellEnd"/>
      <w:r w:rsidR="000F42D5" w:rsidRPr="00DF75C9">
        <w:rPr>
          <w:sz w:val="24"/>
          <w:szCs w:val="24"/>
        </w:rPr>
        <w:t xml:space="preserve"> er forbundet med øget serumfluorid. Samtidig anvendelse af </w:t>
      </w:r>
      <w:proofErr w:type="spellStart"/>
      <w:r w:rsidR="000F42D5" w:rsidRPr="00DF75C9">
        <w:rPr>
          <w:sz w:val="24"/>
          <w:szCs w:val="24"/>
        </w:rPr>
        <w:t>Penthrox</w:t>
      </w:r>
      <w:proofErr w:type="spellEnd"/>
      <w:r w:rsidR="000F42D5" w:rsidRPr="00DF75C9">
        <w:rPr>
          <w:sz w:val="24"/>
          <w:szCs w:val="24"/>
        </w:rPr>
        <w:t xml:space="preserve"> og CNS-dæmpende midler, f.eks. opioider, </w:t>
      </w:r>
      <w:proofErr w:type="spellStart"/>
      <w:r w:rsidR="000F42D5" w:rsidRPr="00DF75C9">
        <w:rPr>
          <w:sz w:val="24"/>
          <w:szCs w:val="24"/>
        </w:rPr>
        <w:t>sedativa</w:t>
      </w:r>
      <w:proofErr w:type="spellEnd"/>
      <w:r w:rsidR="000F42D5" w:rsidRPr="00DF75C9">
        <w:rPr>
          <w:sz w:val="24"/>
          <w:szCs w:val="24"/>
        </w:rPr>
        <w:t xml:space="preserve"> og </w:t>
      </w:r>
      <w:proofErr w:type="spellStart"/>
      <w:r w:rsidR="000F42D5" w:rsidRPr="00DF75C9">
        <w:rPr>
          <w:sz w:val="24"/>
          <w:szCs w:val="24"/>
        </w:rPr>
        <w:t>hypnotika</w:t>
      </w:r>
      <w:proofErr w:type="spellEnd"/>
      <w:r w:rsidR="000F42D5" w:rsidRPr="00DF75C9">
        <w:rPr>
          <w:sz w:val="24"/>
          <w:szCs w:val="24"/>
        </w:rPr>
        <w:t xml:space="preserve">, midler til fuld bedøvelse, </w:t>
      </w:r>
      <w:proofErr w:type="spellStart"/>
      <w:r w:rsidR="000F42D5" w:rsidRPr="00DF75C9">
        <w:rPr>
          <w:sz w:val="24"/>
          <w:szCs w:val="24"/>
        </w:rPr>
        <w:t>phenothiaziner</w:t>
      </w:r>
      <w:proofErr w:type="spellEnd"/>
      <w:r w:rsidR="000F42D5" w:rsidRPr="00DF75C9">
        <w:rPr>
          <w:sz w:val="24"/>
          <w:szCs w:val="24"/>
        </w:rPr>
        <w:t xml:space="preserve">, beroligende midler, muskelafslappende midler, sederende antihistaminer og alkohol, kan forstærke den depressive effekt. Hvis opioider gives samtidig med </w:t>
      </w:r>
      <w:proofErr w:type="spellStart"/>
      <w:r w:rsidR="000F42D5" w:rsidRPr="00DF75C9">
        <w:rPr>
          <w:sz w:val="24"/>
          <w:szCs w:val="24"/>
        </w:rPr>
        <w:t>Penthrox</w:t>
      </w:r>
      <w:proofErr w:type="spellEnd"/>
      <w:r w:rsidR="000F42D5" w:rsidRPr="00DF75C9">
        <w:rPr>
          <w:sz w:val="24"/>
          <w:szCs w:val="24"/>
        </w:rPr>
        <w:t>, skal patienten, som altid ved brug af opioider, holdes under tæt observation.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Ved brug af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til anæstesi i høje doser på 40-60 ml er der rapporteret om følgende: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DF75C9">
        <w:rPr>
          <w:sz w:val="24"/>
          <w:szCs w:val="24"/>
        </w:rPr>
        <w:t xml:space="preserve">Lægemiddelinteraktion med leverenzym-inducere (f.eks. barbiturater), der øgede </w:t>
      </w:r>
      <w:proofErr w:type="spellStart"/>
      <w:r w:rsidRPr="00DF75C9">
        <w:rPr>
          <w:sz w:val="24"/>
          <w:szCs w:val="24"/>
        </w:rPr>
        <w:t>methoxyflurans</w:t>
      </w:r>
      <w:proofErr w:type="spellEnd"/>
      <w:r w:rsidRPr="00DF75C9">
        <w:rPr>
          <w:sz w:val="24"/>
          <w:szCs w:val="24"/>
        </w:rPr>
        <w:t xml:space="preserve"> </w:t>
      </w:r>
      <w:proofErr w:type="spellStart"/>
      <w:r w:rsidRPr="00DF75C9">
        <w:rPr>
          <w:sz w:val="24"/>
          <w:szCs w:val="24"/>
        </w:rPr>
        <w:t>metabolisering</w:t>
      </w:r>
      <w:proofErr w:type="spellEnd"/>
      <w:r w:rsidRPr="00DF75C9">
        <w:rPr>
          <w:sz w:val="24"/>
          <w:szCs w:val="24"/>
        </w:rPr>
        <w:t xml:space="preserve"> og medførte få indberettede tilfælde af </w:t>
      </w:r>
      <w:proofErr w:type="spellStart"/>
      <w:r w:rsidRPr="00DF75C9">
        <w:rPr>
          <w:sz w:val="24"/>
          <w:szCs w:val="24"/>
        </w:rPr>
        <w:t>nefrotoksicitet</w:t>
      </w:r>
      <w:proofErr w:type="spellEnd"/>
      <w:r w:rsidRPr="00DF75C9">
        <w:rPr>
          <w:sz w:val="24"/>
          <w:szCs w:val="24"/>
        </w:rPr>
        <w:t xml:space="preserve">. Der foreligger ikke tilstrækkelige data til at kunne påvise, om enzym-induktion har nogen betydning for eventuel leverskade efter en analgetisk dosis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>.</w:t>
      </w:r>
    </w:p>
    <w:p w:rsidR="00D36430" w:rsidRPr="00DF75C9" w:rsidRDefault="00D36430" w:rsidP="00D36430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DF75C9">
        <w:rPr>
          <w:sz w:val="24"/>
          <w:szCs w:val="24"/>
        </w:rPr>
        <w:t>En reduktion af nyrernes blodgennemstrømning og dermed en forventet øget nyrepåvirkning ved brug sammen med lægemidler, der reducerer hjertets minutvolumen (f.eks. barbiturater).</w:t>
      </w:r>
    </w:p>
    <w:p w:rsidR="00D36430" w:rsidRPr="00DF75C9" w:rsidRDefault="00D36430" w:rsidP="00D36430">
      <w:pPr>
        <w:numPr>
          <w:ilvl w:val="0"/>
          <w:numId w:val="7"/>
        </w:numPr>
        <w:ind w:left="1276" w:hanging="425"/>
        <w:rPr>
          <w:sz w:val="24"/>
          <w:szCs w:val="24"/>
        </w:rPr>
      </w:pPr>
      <w:r w:rsidRPr="00DF75C9">
        <w:rPr>
          <w:sz w:val="24"/>
          <w:szCs w:val="24"/>
        </w:rPr>
        <w:t xml:space="preserve">Hjertedæmpende effekt (klasseeffekt), der kan forstærkes af andre hjertedæmpende midler, f.eks. intravenøst </w:t>
      </w:r>
      <w:proofErr w:type="spellStart"/>
      <w:r w:rsidRPr="00DF75C9">
        <w:rPr>
          <w:sz w:val="24"/>
          <w:szCs w:val="24"/>
        </w:rPr>
        <w:t>practolol</w:t>
      </w:r>
      <w:proofErr w:type="spellEnd"/>
      <w:r w:rsidRPr="00DF75C9">
        <w:rPr>
          <w:sz w:val="24"/>
          <w:szCs w:val="24"/>
        </w:rPr>
        <w:t xml:space="preserve"> i forbindelse med hjertekirurgi.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4.6</w:t>
      </w:r>
      <w:r w:rsidRPr="00DF75C9">
        <w:rPr>
          <w:b/>
          <w:sz w:val="24"/>
          <w:szCs w:val="24"/>
        </w:rPr>
        <w:tab/>
      </w:r>
      <w:r w:rsidR="008145CF">
        <w:rPr>
          <w:b/>
          <w:sz w:val="24"/>
          <w:szCs w:val="24"/>
        </w:rPr>
        <w:t>Fertilitet, g</w:t>
      </w:r>
      <w:r w:rsidRPr="00DF75C9">
        <w:rPr>
          <w:b/>
          <w:sz w:val="24"/>
          <w:szCs w:val="24"/>
        </w:rPr>
        <w:t>raviditet og amning</w:t>
      </w:r>
    </w:p>
    <w:p w:rsidR="00D36430" w:rsidRDefault="00D36430" w:rsidP="00D3643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DF75C9">
        <w:rPr>
          <w:sz w:val="24"/>
          <w:szCs w:val="24"/>
          <w:u w:val="single"/>
        </w:rPr>
        <w:t>Fertilitet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Der foreligger ingen kliniske data om </w:t>
      </w:r>
      <w:proofErr w:type="spellStart"/>
      <w:r w:rsidRPr="00DF75C9">
        <w:rPr>
          <w:sz w:val="24"/>
          <w:szCs w:val="24"/>
        </w:rPr>
        <w:t>methoxyflurans</w:t>
      </w:r>
      <w:proofErr w:type="spellEnd"/>
      <w:r w:rsidRPr="00DF75C9">
        <w:rPr>
          <w:sz w:val="24"/>
          <w:szCs w:val="24"/>
        </w:rPr>
        <w:t xml:space="preserve"> indvirkning på fertiliteten. Begrænsede data fra dyrestudier tyder ikke på nogen effekt på sædcellers morfologi. 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</w:p>
    <w:p w:rsidR="000F42D5" w:rsidRPr="00DF75C9" w:rsidRDefault="000F42D5" w:rsidP="000F42D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F75C9">
        <w:rPr>
          <w:sz w:val="24"/>
          <w:szCs w:val="24"/>
          <w:u w:val="single"/>
        </w:rPr>
        <w:t>Graviditet</w:t>
      </w:r>
    </w:p>
    <w:p w:rsidR="000F42D5" w:rsidRPr="00DF75C9" w:rsidRDefault="000F42D5" w:rsidP="000F42D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Dyreforsøg har vist </w:t>
      </w:r>
      <w:r w:rsidRPr="00DF75C9">
        <w:rPr>
          <w:sz w:val="24"/>
          <w:szCs w:val="24"/>
        </w:rPr>
        <w:t>r</w:t>
      </w:r>
      <w:r>
        <w:rPr>
          <w:sz w:val="24"/>
          <w:szCs w:val="24"/>
        </w:rPr>
        <w:t>eproduktionstoksicitet (se pkt. </w:t>
      </w:r>
      <w:r w:rsidRPr="00DF75C9">
        <w:rPr>
          <w:sz w:val="24"/>
          <w:szCs w:val="24"/>
        </w:rPr>
        <w:t>5.3)</w:t>
      </w:r>
      <w:r>
        <w:rPr>
          <w:sz w:val="24"/>
          <w:szCs w:val="24"/>
        </w:rPr>
        <w:t xml:space="preserve">. </w:t>
      </w:r>
      <w:r w:rsidRPr="00DF75C9">
        <w:rPr>
          <w:sz w:val="24"/>
          <w:szCs w:val="24"/>
        </w:rPr>
        <w:t xml:space="preserve">Når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har været brugt som obstetrisk analgesi hos gravide kvinder, er der rapporteret et enkelt tilfælde af neonatal respirationsdepression forbundet med en høj koncentration af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hos fosteret. Ved indgivelse af lave koncentrationer, eller ved indgivelse af højere koncentrationer i kort tid, jf. doseringsanbefalingerne, havde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kun meget lille indvirkning på fosteret. Der er ikke rapporteret om komplikationer hos fosteret ved brug af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-analgesi hos moderen i nogen af de gennemførte studier med obstetrisk analgesi. Som med al anden medicin skal der udvises forsigtighed ved brug under graviditet, navnlig i det første trimester. 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F75C9">
        <w:rPr>
          <w:sz w:val="24"/>
          <w:szCs w:val="24"/>
          <w:u w:val="single"/>
        </w:rPr>
        <w:t xml:space="preserve">Amning 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Der foreligger ikke tilstrækkelige oplysninger om, hvorvidt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udskilles i human mælk. Der skal udvises forsigtighed, hvis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administreres til ammende kvinder.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4.7</w:t>
      </w:r>
      <w:r w:rsidRPr="00DF75C9">
        <w:rPr>
          <w:b/>
          <w:sz w:val="24"/>
          <w:szCs w:val="24"/>
        </w:rPr>
        <w:tab/>
        <w:t xml:space="preserve">Virkning på evnen til at føre motorkøretøj </w:t>
      </w:r>
      <w:r w:rsidR="008145CF">
        <w:rPr>
          <w:b/>
          <w:sz w:val="24"/>
          <w:szCs w:val="24"/>
        </w:rPr>
        <w:t>og</w:t>
      </w:r>
      <w:r w:rsidRPr="00DF75C9">
        <w:rPr>
          <w:b/>
          <w:sz w:val="24"/>
          <w:szCs w:val="24"/>
        </w:rPr>
        <w:t xml:space="preserve"> betjene maskiner</w:t>
      </w:r>
    </w:p>
    <w:p w:rsidR="00D36430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Ikke mærkning.</w:t>
      </w:r>
    </w:p>
    <w:p w:rsidR="00D36430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kan i mindre grad påvirke evnen til at føre motorkøretøj eller betjene maskiner. Svimmelhed, søvnighed og døsighed kan forekomme efter administration af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(se pkt. 4.8). Patienterne skal have vide, at de ikke bør føre motorkøretøj eller betjene maskiner, hvis de føler sig døsige eller svimle.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73660F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lastRenderedPageBreak/>
        <w:t>4.8</w:t>
      </w:r>
      <w:r w:rsidRPr="00DF75C9">
        <w:rPr>
          <w:b/>
          <w:sz w:val="24"/>
          <w:szCs w:val="24"/>
        </w:rPr>
        <w:tab/>
        <w:t>Bivirkninger</w:t>
      </w:r>
    </w:p>
    <w:p w:rsidR="00D36430" w:rsidRDefault="00D36430" w:rsidP="0073660F">
      <w:pPr>
        <w:keepNext/>
        <w:tabs>
          <w:tab w:val="left" w:pos="851"/>
        </w:tabs>
        <w:ind w:left="851" w:hanging="851"/>
        <w:rPr>
          <w:sz w:val="24"/>
          <w:szCs w:val="24"/>
          <w:u w:val="single"/>
        </w:rPr>
      </w:pPr>
    </w:p>
    <w:p w:rsidR="00D36430" w:rsidRPr="00DF75C9" w:rsidRDefault="00D36430" w:rsidP="0073660F">
      <w:pPr>
        <w:keepNext/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DF75C9">
        <w:rPr>
          <w:sz w:val="24"/>
          <w:szCs w:val="24"/>
          <w:u w:val="single"/>
        </w:rPr>
        <w:t>Resumé af sikkerhedsprofilen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>De almindelige, ikke-alvorlige bivirkninger er CNS-reaktioner som f.eks. svimmelhed og søvnighed, og de fortager sig normalt igen uden problemer.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F75C9">
        <w:rPr>
          <w:sz w:val="24"/>
          <w:szCs w:val="24"/>
          <w:u w:val="single"/>
        </w:rPr>
        <w:t xml:space="preserve">Oversigt over bivirkninger </w:t>
      </w:r>
    </w:p>
    <w:p w:rsidR="00D36430" w:rsidRPr="00DF75C9" w:rsidRDefault="00D36430" w:rsidP="00D36430">
      <w:pPr>
        <w:tabs>
          <w:tab w:val="left" w:pos="851"/>
        </w:tabs>
        <w:ind w:left="851"/>
        <w:rPr>
          <w:i/>
          <w:sz w:val="24"/>
          <w:szCs w:val="24"/>
        </w:rPr>
      </w:pPr>
      <w:r w:rsidRPr="00DF75C9">
        <w:rPr>
          <w:i/>
          <w:sz w:val="24"/>
          <w:szCs w:val="24"/>
        </w:rPr>
        <w:t xml:space="preserve">‘Alvorlig dosisrelateret </w:t>
      </w:r>
      <w:proofErr w:type="spellStart"/>
      <w:r w:rsidRPr="00DF75C9">
        <w:rPr>
          <w:i/>
          <w:sz w:val="24"/>
          <w:szCs w:val="24"/>
        </w:rPr>
        <w:t>nefrotoksicitet</w:t>
      </w:r>
      <w:proofErr w:type="spellEnd"/>
      <w:r w:rsidRPr="00DF75C9">
        <w:rPr>
          <w:i/>
          <w:sz w:val="24"/>
          <w:szCs w:val="24"/>
        </w:rPr>
        <w:t xml:space="preserve"> har kun været forbundet med </w:t>
      </w:r>
      <w:proofErr w:type="spellStart"/>
      <w:r w:rsidRPr="00DF75C9">
        <w:rPr>
          <w:i/>
          <w:sz w:val="24"/>
          <w:szCs w:val="24"/>
        </w:rPr>
        <w:t>methoxyfluran</w:t>
      </w:r>
      <w:proofErr w:type="spellEnd"/>
      <w:r w:rsidRPr="00DF75C9">
        <w:rPr>
          <w:i/>
          <w:sz w:val="24"/>
          <w:szCs w:val="24"/>
        </w:rPr>
        <w:t xml:space="preserve"> ved brug i høje doser i længere perioder i forbindelse med fuld bedøvelse. </w:t>
      </w:r>
      <w:proofErr w:type="spellStart"/>
      <w:r w:rsidRPr="00DF75C9">
        <w:rPr>
          <w:i/>
          <w:sz w:val="24"/>
          <w:szCs w:val="24"/>
        </w:rPr>
        <w:t>Methoxyfluran</w:t>
      </w:r>
      <w:proofErr w:type="spellEnd"/>
      <w:r w:rsidRPr="00DF75C9">
        <w:rPr>
          <w:i/>
          <w:sz w:val="24"/>
          <w:szCs w:val="24"/>
        </w:rPr>
        <w:t xml:space="preserve"> anvendes derfor ikke længere til anæstesi. Se pkt. 4.4 under nyresygdom. Den anbefalede maksimaldosis af </w:t>
      </w:r>
      <w:proofErr w:type="spellStart"/>
      <w:r w:rsidRPr="00DF75C9">
        <w:rPr>
          <w:i/>
          <w:sz w:val="24"/>
          <w:szCs w:val="24"/>
        </w:rPr>
        <w:t>Penth</w:t>
      </w:r>
      <w:r>
        <w:rPr>
          <w:i/>
          <w:sz w:val="24"/>
          <w:szCs w:val="24"/>
        </w:rPr>
        <w:t>rox</w:t>
      </w:r>
      <w:proofErr w:type="spellEnd"/>
      <w:r>
        <w:rPr>
          <w:i/>
          <w:sz w:val="24"/>
          <w:szCs w:val="24"/>
        </w:rPr>
        <w:t xml:space="preserve"> bør derfor ikke overskrides</w:t>
      </w:r>
      <w:r w:rsidRPr="00DF75C9">
        <w:rPr>
          <w:i/>
          <w:sz w:val="24"/>
          <w:szCs w:val="24"/>
        </w:rPr>
        <w:t>’</w:t>
      </w:r>
      <w:r>
        <w:rPr>
          <w:i/>
          <w:sz w:val="24"/>
          <w:szCs w:val="24"/>
        </w:rPr>
        <w:t>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>Nedenstående tabel viser bivirkninger:</w:t>
      </w:r>
    </w:p>
    <w:p w:rsidR="00D36430" w:rsidRPr="00DF75C9" w:rsidRDefault="00D36430" w:rsidP="00D36430">
      <w:pPr>
        <w:numPr>
          <w:ilvl w:val="0"/>
          <w:numId w:val="8"/>
        </w:numPr>
        <w:ind w:left="1276" w:hanging="425"/>
        <w:rPr>
          <w:sz w:val="24"/>
          <w:szCs w:val="24"/>
        </w:rPr>
      </w:pPr>
      <w:r w:rsidRPr="00DF75C9">
        <w:rPr>
          <w:sz w:val="24"/>
          <w:szCs w:val="24"/>
        </w:rPr>
        <w:t xml:space="preserve">der er observeret i analgesi-studier med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</w:t>
      </w:r>
    </w:p>
    <w:p w:rsidR="00D36430" w:rsidRPr="00DF75C9" w:rsidRDefault="00D36430" w:rsidP="00D36430">
      <w:pPr>
        <w:numPr>
          <w:ilvl w:val="0"/>
          <w:numId w:val="8"/>
        </w:numPr>
        <w:ind w:left="1276" w:hanging="425"/>
        <w:rPr>
          <w:sz w:val="24"/>
          <w:szCs w:val="24"/>
        </w:rPr>
      </w:pPr>
      <w:r w:rsidRPr="00DF75C9">
        <w:rPr>
          <w:sz w:val="24"/>
          <w:szCs w:val="24"/>
        </w:rPr>
        <w:t xml:space="preserve">der er observeret ved analgetisk brug af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efter markedsføringen </w:t>
      </w:r>
    </w:p>
    <w:p w:rsidR="00D36430" w:rsidRPr="00DF75C9" w:rsidRDefault="00D36430" w:rsidP="00D36430">
      <w:pPr>
        <w:numPr>
          <w:ilvl w:val="0"/>
          <w:numId w:val="8"/>
        </w:numPr>
        <w:ind w:left="1276" w:hanging="425"/>
        <w:rPr>
          <w:sz w:val="24"/>
          <w:szCs w:val="24"/>
        </w:rPr>
      </w:pPr>
      <w:r w:rsidRPr="00DF75C9">
        <w:rPr>
          <w:sz w:val="24"/>
          <w:szCs w:val="24"/>
        </w:rPr>
        <w:t xml:space="preserve">der er forbundet med anvendelse af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i </w:t>
      </w:r>
      <w:proofErr w:type="spellStart"/>
      <w:r w:rsidRPr="00DF75C9">
        <w:rPr>
          <w:sz w:val="24"/>
          <w:szCs w:val="24"/>
        </w:rPr>
        <w:t>analgetika</w:t>
      </w:r>
      <w:proofErr w:type="spellEnd"/>
      <w:r w:rsidRPr="00DF75C9">
        <w:rPr>
          <w:sz w:val="24"/>
          <w:szCs w:val="24"/>
        </w:rPr>
        <w:t xml:space="preserve"> efter markedsføringen og i den videnskabelige litteratur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Bivirkningernes hyppighed defineres som følger: 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Meget almindelig (≥1/10) 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Almindelig (≥1/100 til &lt;1/10) 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Ikke almindelig (≥1/1.000 til &lt;1/100) 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Sjælden (≥1/10.000 til &lt;1/1.000) 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>Meget sjælden (&lt;1/10.000)</w:t>
      </w:r>
    </w:p>
    <w:p w:rsidR="00D36430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>Ikke kendt (kan ikke estimeres ud fra forhåndenværende data)</w:t>
      </w:r>
    </w:p>
    <w:p w:rsidR="0073660F" w:rsidRPr="00DF75C9" w:rsidRDefault="0073660F" w:rsidP="00D36430">
      <w:pPr>
        <w:tabs>
          <w:tab w:val="left" w:pos="851"/>
        </w:tabs>
        <w:ind w:left="851"/>
        <w:rPr>
          <w:sz w:val="24"/>
          <w:szCs w:val="24"/>
        </w:rPr>
      </w:pP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1"/>
        <w:gridCol w:w="1379"/>
        <w:gridCol w:w="1264"/>
        <w:gridCol w:w="2874"/>
        <w:gridCol w:w="2522"/>
      </w:tblGrid>
      <w:tr w:rsidR="00BE4A12" w:rsidRPr="00984579" w:rsidTr="004C7EDF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roofErr w:type="spellStart"/>
            <w:r w:rsidRPr="00984579">
              <w:t>MedDRAs</w:t>
            </w:r>
            <w:proofErr w:type="spellEnd"/>
            <w:r w:rsidRPr="00984579">
              <w:t xml:space="preserve"> systemorganklasse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Meget almindelig</w:t>
            </w:r>
          </w:p>
          <w:p w:rsidR="00BE4A12" w:rsidRPr="00984579" w:rsidRDefault="00BE4A12" w:rsidP="004C7EDF">
            <w:r w:rsidRPr="00984579">
              <w:rPr>
                <w:sz w:val="24"/>
                <w:szCs w:val="24"/>
              </w:rPr>
              <w:t>(≥1/10)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Almindelig</w:t>
            </w:r>
          </w:p>
          <w:p w:rsidR="00BE4A12" w:rsidRPr="00984579" w:rsidRDefault="00BE4A12" w:rsidP="004C7EDF">
            <w:r w:rsidRPr="00984579">
              <w:t>(≥1/100 til &lt;1/10)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Ikke almindelig</w:t>
            </w:r>
          </w:p>
          <w:p w:rsidR="00BE4A12" w:rsidRPr="00984579" w:rsidRDefault="00BE4A12" w:rsidP="004C7EDF">
            <w:r w:rsidRPr="00984579">
              <w:t>(≥1/1.000 til &lt;1/100)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Ikke kendt</w:t>
            </w:r>
          </w:p>
        </w:tc>
      </w:tr>
      <w:tr w:rsidR="00BE4A12" w:rsidRPr="00984579" w:rsidTr="004C7EDF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r w:rsidRPr="00984579">
              <w:t>Immunsystemet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/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/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r w:rsidRPr="00984579">
              <w:t>Overfølsomhed</w:t>
            </w:r>
          </w:p>
        </w:tc>
      </w:tr>
      <w:tr w:rsidR="00BE4A12" w:rsidRPr="00984579" w:rsidTr="004C7EDF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Metabolisme og ernæring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/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Øget appetit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/>
        </w:tc>
      </w:tr>
      <w:tr w:rsidR="00BE4A12" w:rsidRPr="00984579" w:rsidTr="004C7EDF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Psykiske forstyrrelser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Eufori</w:t>
            </w:r>
          </w:p>
          <w:p w:rsidR="00BE4A12" w:rsidRPr="00984579" w:rsidRDefault="00BE4A12" w:rsidP="004C7EDF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Angst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Depression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Opmærksomhedsforstyrrelse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Upassende adfærd</w:t>
            </w:r>
          </w:p>
          <w:p w:rsidR="00BE4A12" w:rsidRPr="00984579" w:rsidRDefault="00BE4A12" w:rsidP="004C7EDF">
            <w:pPr>
              <w:keepNext/>
              <w:keepLines/>
              <w:rPr>
                <w:rFonts w:cs="Arial"/>
                <w:color w:val="000000"/>
                <w:szCs w:val="22"/>
              </w:rPr>
            </w:pPr>
            <w:proofErr w:type="spellStart"/>
            <w:r w:rsidRPr="00984579">
              <w:rPr>
                <w:rFonts w:cs="Arial"/>
                <w:color w:val="000000"/>
                <w:szCs w:val="22"/>
              </w:rPr>
              <w:t>Verbigeration</w:t>
            </w:r>
            <w:proofErr w:type="spellEnd"/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Affektlabilitet^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Agitation^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Forvirringstilstand^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proofErr w:type="spellStart"/>
            <w:r w:rsidRPr="00984579">
              <w:rPr>
                <w:color w:val="000000"/>
              </w:rPr>
              <w:t>Dissociering</w:t>
            </w:r>
            <w:proofErr w:type="spellEnd"/>
            <w:r w:rsidRPr="00984579">
              <w:rPr>
                <w:color w:val="000000"/>
              </w:rPr>
              <w:t>^</w:t>
            </w:r>
          </w:p>
          <w:p w:rsidR="00BE4A12" w:rsidRPr="00984579" w:rsidRDefault="00BE4A12" w:rsidP="004C7EDF">
            <w:r w:rsidRPr="00984579">
              <w:rPr>
                <w:color w:val="000000"/>
              </w:rPr>
              <w:t>Rastløshed^</w:t>
            </w:r>
          </w:p>
        </w:tc>
      </w:tr>
      <w:tr w:rsidR="00BE4A12" w:rsidRPr="00984579" w:rsidTr="004C7EDF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Nervesystemet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Svimmelhed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4C7EDF" w:rsidRDefault="00BE4A12" w:rsidP="004C7EDF">
            <w:pPr>
              <w:rPr>
                <w:color w:val="000000"/>
              </w:rPr>
            </w:pPr>
            <w:r w:rsidRPr="004C7EDF">
              <w:rPr>
                <w:color w:val="000000"/>
              </w:rPr>
              <w:t>Hovedpine</w:t>
            </w:r>
          </w:p>
          <w:p w:rsidR="00BE4A12" w:rsidRPr="004C7EDF" w:rsidRDefault="00BE4A12" w:rsidP="004C7EDF">
            <w:pPr>
              <w:rPr>
                <w:color w:val="000000"/>
              </w:rPr>
            </w:pPr>
            <w:proofErr w:type="spellStart"/>
            <w:r w:rsidRPr="004C7EDF">
              <w:rPr>
                <w:color w:val="000000"/>
              </w:rPr>
              <w:t>Somnolens</w:t>
            </w:r>
            <w:proofErr w:type="spellEnd"/>
          </w:p>
          <w:p w:rsidR="00BE4A12" w:rsidRPr="004C7EDF" w:rsidRDefault="00BE4A12" w:rsidP="004C7EDF">
            <w:pPr>
              <w:rPr>
                <w:color w:val="000000"/>
              </w:rPr>
            </w:pPr>
            <w:proofErr w:type="spellStart"/>
            <w:r w:rsidRPr="004C7EDF">
              <w:rPr>
                <w:color w:val="000000"/>
              </w:rPr>
              <w:t>Dysgeusi</w:t>
            </w:r>
            <w:proofErr w:type="spellEnd"/>
          </w:p>
          <w:p w:rsidR="00BE4A12" w:rsidRPr="004C7EDF" w:rsidRDefault="00BE4A12" w:rsidP="004C7EDF">
            <w:pPr>
              <w:rPr>
                <w:color w:val="00000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4C7EDF" w:rsidRDefault="00BE4A12" w:rsidP="004C7EDF">
            <w:pPr>
              <w:rPr>
                <w:color w:val="000000"/>
              </w:rPr>
            </w:pPr>
            <w:r w:rsidRPr="004C7EDF">
              <w:rPr>
                <w:color w:val="000000"/>
              </w:rPr>
              <w:t>Amnesi</w:t>
            </w:r>
          </w:p>
          <w:p w:rsidR="00BE4A12" w:rsidRPr="004C7EDF" w:rsidRDefault="00BE4A12" w:rsidP="004C7EDF">
            <w:pPr>
              <w:rPr>
                <w:color w:val="000000"/>
              </w:rPr>
            </w:pPr>
            <w:proofErr w:type="spellStart"/>
            <w:r w:rsidRPr="004C7EDF">
              <w:rPr>
                <w:color w:val="000000"/>
              </w:rPr>
              <w:t>Dysartri</w:t>
            </w:r>
            <w:proofErr w:type="spellEnd"/>
          </w:p>
          <w:p w:rsidR="00BE4A12" w:rsidRPr="00984579" w:rsidRDefault="00BE4A12" w:rsidP="004C7EDF">
            <w:pPr>
              <w:rPr>
                <w:color w:val="000000"/>
              </w:rPr>
            </w:pPr>
            <w:proofErr w:type="spellStart"/>
            <w:r w:rsidRPr="00984579">
              <w:rPr>
                <w:color w:val="000000"/>
              </w:rPr>
              <w:t>Paræstesi</w:t>
            </w:r>
            <w:proofErr w:type="spellEnd"/>
            <w:r w:rsidRPr="00984579">
              <w:rPr>
                <w:color w:val="000000"/>
              </w:rPr>
              <w:t xml:space="preserve"> 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 xml:space="preserve">Perifer sensorisk </w:t>
            </w:r>
            <w:proofErr w:type="spellStart"/>
            <w:r w:rsidRPr="00984579">
              <w:rPr>
                <w:color w:val="000000"/>
              </w:rPr>
              <w:t>neuropati</w:t>
            </w:r>
            <w:proofErr w:type="spellEnd"/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Nedsat bevidsthedsniveau^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Nystagmus^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</w:p>
        </w:tc>
      </w:tr>
      <w:tr w:rsidR="00BE4A12" w:rsidRPr="00984579" w:rsidTr="004C7EDF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Øjne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/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/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Nedsat syn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</w:tr>
      <w:tr w:rsidR="00BE4A12" w:rsidRPr="00984579" w:rsidTr="004C7EDF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roofErr w:type="spellStart"/>
            <w:r w:rsidRPr="00984579">
              <w:t>Vaskulære</w:t>
            </w:r>
            <w:proofErr w:type="spellEnd"/>
            <w:r w:rsidRPr="00984579">
              <w:t xml:space="preserve"> sygdomme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Rødmen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Hypertension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Hypotension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</w:tr>
      <w:tr w:rsidR="00BE4A12" w:rsidRPr="00984579" w:rsidTr="004C7EDF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 xml:space="preserve">Luftveje, thorax og </w:t>
            </w:r>
            <w:proofErr w:type="spellStart"/>
            <w:r w:rsidRPr="00984579">
              <w:t>mediastinum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Hoste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Kvælningsfornemmelse^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proofErr w:type="spellStart"/>
            <w:r w:rsidRPr="00984579">
              <w:rPr>
                <w:color w:val="000000"/>
              </w:rPr>
              <w:t>Hypoksi</w:t>
            </w:r>
            <w:proofErr w:type="spellEnd"/>
            <w:r w:rsidRPr="00984579">
              <w:rPr>
                <w:color w:val="000000"/>
              </w:rPr>
              <w:t>^</w:t>
            </w:r>
          </w:p>
          <w:p w:rsidR="00BE4A12" w:rsidRPr="00984579" w:rsidRDefault="008145CF" w:rsidP="004C7EDF">
            <w:pPr>
              <w:rPr>
                <w:color w:val="000000"/>
              </w:rPr>
            </w:pPr>
            <w:r>
              <w:rPr>
                <w:color w:val="000000"/>
              </w:rPr>
              <w:t>Respirationsdepression^</w:t>
            </w:r>
          </w:p>
        </w:tc>
      </w:tr>
      <w:tr w:rsidR="00BE4A12" w:rsidRPr="00984579" w:rsidTr="004C7EDF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8437D7">
            <w:pPr>
              <w:keepNext/>
            </w:pPr>
            <w:r w:rsidRPr="00984579">
              <w:lastRenderedPageBreak/>
              <w:t>Mave-tarm-kanalen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8437D7">
            <w:pPr>
              <w:keepNext/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8437D7">
            <w:pPr>
              <w:keepNext/>
              <w:rPr>
                <w:color w:val="000000"/>
              </w:rPr>
            </w:pPr>
            <w:r w:rsidRPr="00984579">
              <w:rPr>
                <w:color w:val="000000"/>
              </w:rPr>
              <w:t>Kvalme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8437D7">
            <w:pPr>
              <w:keepNext/>
              <w:rPr>
                <w:color w:val="000000"/>
              </w:rPr>
            </w:pPr>
            <w:r w:rsidRPr="00984579">
              <w:rPr>
                <w:color w:val="000000"/>
              </w:rPr>
              <w:t>Mundtørhed</w:t>
            </w:r>
          </w:p>
          <w:p w:rsidR="00BE4A12" w:rsidRPr="00984579" w:rsidRDefault="00BE4A12" w:rsidP="008437D7">
            <w:pPr>
              <w:keepNext/>
              <w:rPr>
                <w:color w:val="000000"/>
              </w:rPr>
            </w:pPr>
            <w:r w:rsidRPr="00984579">
              <w:rPr>
                <w:color w:val="000000"/>
              </w:rPr>
              <w:t>Ubehag i munden</w:t>
            </w:r>
          </w:p>
          <w:p w:rsidR="00BE4A12" w:rsidRPr="00984579" w:rsidRDefault="00BE4A12" w:rsidP="008437D7">
            <w:pPr>
              <w:keepNext/>
              <w:rPr>
                <w:color w:val="000000"/>
              </w:rPr>
            </w:pPr>
            <w:r w:rsidRPr="00984579">
              <w:rPr>
                <w:color w:val="000000"/>
              </w:rPr>
              <w:t xml:space="preserve">Oral </w:t>
            </w:r>
            <w:proofErr w:type="spellStart"/>
            <w:r w:rsidRPr="00984579">
              <w:rPr>
                <w:color w:val="000000"/>
              </w:rPr>
              <w:t>pruritus</w:t>
            </w:r>
            <w:proofErr w:type="spellEnd"/>
          </w:p>
          <w:p w:rsidR="00BE4A12" w:rsidRPr="00984579" w:rsidRDefault="00BE4A12" w:rsidP="008437D7">
            <w:pPr>
              <w:keepNext/>
              <w:rPr>
                <w:color w:val="000000"/>
              </w:rPr>
            </w:pPr>
            <w:r w:rsidRPr="00984579">
              <w:rPr>
                <w:color w:val="000000"/>
              </w:rPr>
              <w:t>Øget spytsekretion</w:t>
            </w:r>
          </w:p>
          <w:p w:rsidR="00BE4A12" w:rsidRPr="00984579" w:rsidRDefault="00BE4A12" w:rsidP="008437D7">
            <w:pPr>
              <w:keepNext/>
              <w:rPr>
                <w:color w:val="000000"/>
              </w:rPr>
            </w:pPr>
            <w:r w:rsidRPr="00984579">
              <w:t>Opkastning^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8437D7">
            <w:pPr>
              <w:keepNext/>
              <w:rPr>
                <w:color w:val="000000"/>
              </w:rPr>
            </w:pPr>
          </w:p>
        </w:tc>
      </w:tr>
      <w:tr w:rsidR="00BE4A12" w:rsidRPr="00984579" w:rsidTr="004C7EDF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Lever og galdeveje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Leversvigt*</w:t>
            </w:r>
          </w:p>
          <w:p w:rsidR="00BE4A12" w:rsidRPr="00984579" w:rsidRDefault="00BE4A12" w:rsidP="004C7EDF">
            <w:r w:rsidRPr="00984579">
              <w:t>Hepatitis*</w:t>
            </w:r>
          </w:p>
          <w:p w:rsidR="00BE4A12" w:rsidRPr="00984579" w:rsidRDefault="00BE4A12" w:rsidP="004C7EDF">
            <w:r w:rsidRPr="00984579">
              <w:t>Gulsot^</w:t>
            </w:r>
          </w:p>
          <w:p w:rsidR="00BE4A12" w:rsidRPr="00984579" w:rsidRDefault="00BE4A12" w:rsidP="004C7EDF">
            <w:r w:rsidRPr="00984579">
              <w:t>Leverskade^</w:t>
            </w:r>
          </w:p>
        </w:tc>
      </w:tr>
      <w:tr w:rsidR="00BE4A12" w:rsidRPr="00984579" w:rsidTr="004C7EDF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Hud og subkutane væv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Pr>
              <w:rPr>
                <w:color w:val="000000"/>
              </w:rPr>
            </w:pPr>
            <w:proofErr w:type="spellStart"/>
            <w:r w:rsidRPr="00984579">
              <w:rPr>
                <w:color w:val="000000"/>
              </w:rPr>
              <w:t>Hyperhidrose</w:t>
            </w:r>
            <w:proofErr w:type="spellEnd"/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</w:tr>
      <w:tr w:rsidR="00BE4A12" w:rsidRPr="00984579" w:rsidTr="004C7EDF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Nyrer og urinveje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Nyresvigt^</w:t>
            </w:r>
          </w:p>
        </w:tc>
      </w:tr>
      <w:tr w:rsidR="00BE4A12" w:rsidRPr="00984579" w:rsidTr="004C7EDF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Almene symptomer og reaktioner på administrationsstedet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Følelse af at være fuld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Træthed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Følelse af ikke at være sig selv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Kulderystelser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Afslappet følelse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</w:tr>
      <w:tr w:rsidR="00BE4A12" w:rsidRPr="00984579" w:rsidTr="004C7EDF"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r w:rsidRPr="00984579">
              <w:t>Undersøgelser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A12" w:rsidRPr="00984579" w:rsidRDefault="00BE4A12" w:rsidP="004C7EDF">
            <w:pPr>
              <w:rPr>
                <w:color w:val="000000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Forhøjede leverenzymer^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 xml:space="preserve">Forhøjet </w:t>
            </w:r>
            <w:proofErr w:type="spellStart"/>
            <w:r w:rsidRPr="00984579">
              <w:rPr>
                <w:color w:val="000000"/>
              </w:rPr>
              <w:t>karbamid</w:t>
            </w:r>
            <w:proofErr w:type="spellEnd"/>
            <w:r w:rsidRPr="00984579">
              <w:rPr>
                <w:color w:val="000000"/>
              </w:rPr>
              <w:t xml:space="preserve"> i blodet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>Forhøjet urinsyre i blodet^</w:t>
            </w:r>
          </w:p>
          <w:p w:rsidR="00BE4A12" w:rsidRPr="00984579" w:rsidRDefault="00BE4A12" w:rsidP="004C7EDF">
            <w:pPr>
              <w:rPr>
                <w:color w:val="000000"/>
              </w:rPr>
            </w:pPr>
            <w:r w:rsidRPr="00984579">
              <w:rPr>
                <w:color w:val="000000"/>
              </w:rPr>
              <w:t xml:space="preserve">Forhøjet </w:t>
            </w:r>
            <w:proofErr w:type="spellStart"/>
            <w:r w:rsidRPr="00984579">
              <w:rPr>
                <w:color w:val="000000"/>
              </w:rPr>
              <w:t>kreatinin</w:t>
            </w:r>
            <w:proofErr w:type="spellEnd"/>
            <w:r w:rsidRPr="00984579">
              <w:rPr>
                <w:color w:val="000000"/>
              </w:rPr>
              <w:t xml:space="preserve"> i blodet^</w:t>
            </w:r>
          </w:p>
        </w:tc>
      </w:tr>
    </w:tbl>
    <w:p w:rsidR="00D36430" w:rsidRPr="00DF75C9" w:rsidRDefault="00D36430" w:rsidP="00D36430">
      <w:pPr>
        <w:pStyle w:val="Sidehoved"/>
        <w:rPr>
          <w:i/>
          <w:szCs w:val="24"/>
        </w:rPr>
      </w:pPr>
      <w:r w:rsidRPr="00DF75C9">
        <w:rPr>
          <w:i/>
          <w:szCs w:val="24"/>
        </w:rPr>
        <w:t xml:space="preserve">* Isolerede tilfælde efter markedsføringen, der er observeret ved analgetisk brug af </w:t>
      </w:r>
      <w:proofErr w:type="spellStart"/>
      <w:r w:rsidRPr="00DF75C9">
        <w:rPr>
          <w:i/>
          <w:szCs w:val="24"/>
        </w:rPr>
        <w:t>methoxyfluran</w:t>
      </w:r>
      <w:proofErr w:type="spellEnd"/>
    </w:p>
    <w:p w:rsidR="00D36430" w:rsidRPr="00DF75C9" w:rsidRDefault="00D36430" w:rsidP="00D36430">
      <w:pPr>
        <w:pStyle w:val="Sidehoved"/>
        <w:rPr>
          <w:i/>
          <w:szCs w:val="24"/>
        </w:rPr>
      </w:pPr>
      <w:r w:rsidRPr="00DF75C9">
        <w:rPr>
          <w:i/>
          <w:szCs w:val="24"/>
        </w:rPr>
        <w:t xml:space="preserve">^ Andre hændelser forbundet med brug af </w:t>
      </w:r>
      <w:proofErr w:type="spellStart"/>
      <w:r w:rsidRPr="00DF75C9">
        <w:rPr>
          <w:i/>
          <w:szCs w:val="24"/>
        </w:rPr>
        <w:t>methoxyfluran</w:t>
      </w:r>
      <w:proofErr w:type="spellEnd"/>
      <w:r w:rsidRPr="00DF75C9">
        <w:rPr>
          <w:i/>
          <w:szCs w:val="24"/>
        </w:rPr>
        <w:t xml:space="preserve"> som </w:t>
      </w:r>
      <w:proofErr w:type="spellStart"/>
      <w:r w:rsidRPr="00DF75C9">
        <w:rPr>
          <w:i/>
          <w:szCs w:val="24"/>
        </w:rPr>
        <w:t>analgetikum</w:t>
      </w:r>
      <w:proofErr w:type="spellEnd"/>
      <w:r w:rsidRPr="00DF75C9">
        <w:rPr>
          <w:i/>
          <w:szCs w:val="24"/>
        </w:rPr>
        <w:t xml:space="preserve"> observeret efter markedsføringen og i den videnskabelige litteratur</w:t>
      </w:r>
    </w:p>
    <w:p w:rsidR="00D36430" w:rsidRPr="00DF75C9" w:rsidRDefault="00D36430" w:rsidP="00D36430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0F42D5" w:rsidRPr="00DF75C9" w:rsidRDefault="000F42D5" w:rsidP="000F42D5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DF75C9">
        <w:rPr>
          <w:szCs w:val="24"/>
          <w:u w:val="single"/>
        </w:rPr>
        <w:t>Indberetning af formodede bivirkninger</w:t>
      </w:r>
    </w:p>
    <w:p w:rsidR="000F42D5" w:rsidRPr="00DF75C9" w:rsidRDefault="000F42D5" w:rsidP="000F42D5">
      <w:pPr>
        <w:pStyle w:val="Sidehoved"/>
        <w:tabs>
          <w:tab w:val="left" w:pos="851"/>
        </w:tabs>
        <w:ind w:left="851"/>
        <w:rPr>
          <w:szCs w:val="24"/>
        </w:rPr>
      </w:pPr>
      <w:r w:rsidRPr="00DF75C9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DF75C9">
        <w:rPr>
          <w:szCs w:val="24"/>
        </w:rPr>
        <w:t>risk</w:t>
      </w:r>
      <w:proofErr w:type="spellEnd"/>
      <w:r w:rsidRPr="00DF75C9">
        <w:rPr>
          <w:szCs w:val="24"/>
        </w:rPr>
        <w:t xml:space="preserve">-forholdet for lægemidlet. </w:t>
      </w:r>
      <w:r>
        <w:rPr>
          <w:szCs w:val="24"/>
        </w:rPr>
        <w:t>S</w:t>
      </w:r>
      <w:r w:rsidRPr="00DF75C9">
        <w:rPr>
          <w:szCs w:val="24"/>
        </w:rPr>
        <w:t>undhedspersone</w:t>
      </w:r>
      <w:r>
        <w:rPr>
          <w:szCs w:val="24"/>
        </w:rPr>
        <w:t>r</w:t>
      </w:r>
      <w:r w:rsidRPr="00DF75C9">
        <w:rPr>
          <w:szCs w:val="24"/>
        </w:rPr>
        <w:t xml:space="preserve"> anmodes om at indberette alle </w:t>
      </w:r>
      <w:r>
        <w:rPr>
          <w:szCs w:val="24"/>
        </w:rPr>
        <w:t>formodede</w:t>
      </w:r>
      <w:r w:rsidRPr="00DF75C9">
        <w:rPr>
          <w:szCs w:val="24"/>
        </w:rPr>
        <w:t xml:space="preserve"> bivirkninger via: </w:t>
      </w:r>
    </w:p>
    <w:p w:rsidR="000F42D5" w:rsidRPr="00DF75C9" w:rsidRDefault="000F42D5" w:rsidP="000F42D5">
      <w:pPr>
        <w:pStyle w:val="Sidehoved"/>
        <w:tabs>
          <w:tab w:val="left" w:pos="851"/>
        </w:tabs>
        <w:ind w:left="851"/>
        <w:rPr>
          <w:szCs w:val="24"/>
        </w:rPr>
      </w:pPr>
    </w:p>
    <w:p w:rsidR="000F42D5" w:rsidRPr="00DF75C9" w:rsidRDefault="000F42D5" w:rsidP="000F42D5">
      <w:pPr>
        <w:pStyle w:val="Sidehoved"/>
        <w:tabs>
          <w:tab w:val="left" w:pos="851"/>
        </w:tabs>
        <w:ind w:left="851"/>
        <w:rPr>
          <w:szCs w:val="24"/>
        </w:rPr>
      </w:pPr>
      <w:r w:rsidRPr="00DF75C9">
        <w:rPr>
          <w:szCs w:val="24"/>
        </w:rPr>
        <w:t>Lægemiddelstyrelsen</w:t>
      </w:r>
    </w:p>
    <w:p w:rsidR="000F42D5" w:rsidRPr="00DF75C9" w:rsidRDefault="000F42D5" w:rsidP="000F42D5">
      <w:pPr>
        <w:pStyle w:val="Sidehoved"/>
        <w:tabs>
          <w:tab w:val="left" w:pos="851"/>
        </w:tabs>
        <w:ind w:left="851"/>
        <w:rPr>
          <w:szCs w:val="24"/>
        </w:rPr>
      </w:pPr>
      <w:r w:rsidRPr="00DF75C9">
        <w:rPr>
          <w:szCs w:val="24"/>
        </w:rPr>
        <w:t>Axel Heides Gade 1</w:t>
      </w:r>
    </w:p>
    <w:p w:rsidR="000F42D5" w:rsidRPr="00DF75C9" w:rsidRDefault="000F42D5" w:rsidP="000F42D5">
      <w:pPr>
        <w:pStyle w:val="Sidehoved"/>
        <w:tabs>
          <w:tab w:val="left" w:pos="851"/>
        </w:tabs>
        <w:ind w:left="851"/>
        <w:rPr>
          <w:szCs w:val="24"/>
        </w:rPr>
      </w:pPr>
      <w:r w:rsidRPr="00DF75C9">
        <w:rPr>
          <w:szCs w:val="24"/>
        </w:rPr>
        <w:t>DK-2300 København S</w:t>
      </w:r>
    </w:p>
    <w:p w:rsidR="000F42D5" w:rsidRDefault="000F42D5" w:rsidP="000F42D5">
      <w:pPr>
        <w:pStyle w:val="Sidehoved"/>
        <w:tabs>
          <w:tab w:val="left" w:pos="851"/>
        </w:tabs>
        <w:ind w:left="851"/>
        <w:rPr>
          <w:szCs w:val="24"/>
        </w:rPr>
      </w:pPr>
      <w:r w:rsidRPr="00791DC1">
        <w:rPr>
          <w:szCs w:val="24"/>
        </w:rPr>
        <w:t xml:space="preserve">Websted: </w:t>
      </w:r>
      <w:hyperlink r:id="rId16" w:history="1">
        <w:r w:rsidRPr="00EA1E15">
          <w:rPr>
            <w:rStyle w:val="Hyperlink"/>
            <w:szCs w:val="24"/>
          </w:rPr>
          <w:t>www.meldenbivirkning.dk</w:t>
        </w:r>
      </w:hyperlink>
    </w:p>
    <w:p w:rsidR="00D36430" w:rsidRPr="000F42D5" w:rsidRDefault="00D36430" w:rsidP="00D36430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4.9</w:t>
      </w:r>
      <w:r w:rsidRPr="00DF75C9">
        <w:rPr>
          <w:b/>
          <w:sz w:val="24"/>
          <w:szCs w:val="24"/>
        </w:rPr>
        <w:tab/>
        <w:t>Overdosering</w:t>
      </w:r>
    </w:p>
    <w:p w:rsidR="00D36430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E4A12" w:rsidRPr="004C7EDF">
        <w:rPr>
          <w:sz w:val="24"/>
          <w:szCs w:val="24"/>
        </w:rPr>
        <w:t xml:space="preserve">I tilfælde af overdosering kan der opstå anæstetiske virkninger med tegn på kraftig døsighed (inklusive bevidsthedstab), blodtryksfald, respirationsdepression, bleghed og muskelslaphed. Efter </w:t>
      </w:r>
      <w:proofErr w:type="spellStart"/>
      <w:r w:rsidR="00BE4A12" w:rsidRPr="004C7EDF">
        <w:rPr>
          <w:sz w:val="24"/>
          <w:szCs w:val="24"/>
        </w:rPr>
        <w:t>seponering</w:t>
      </w:r>
      <w:proofErr w:type="spellEnd"/>
      <w:r w:rsidR="00BE4A12" w:rsidRPr="004C7EDF">
        <w:rPr>
          <w:sz w:val="24"/>
          <w:szCs w:val="24"/>
        </w:rPr>
        <w:t xml:space="preserve"> af </w:t>
      </w:r>
      <w:proofErr w:type="spellStart"/>
      <w:r w:rsidR="00BE4A12" w:rsidRPr="00984579">
        <w:rPr>
          <w:sz w:val="24"/>
          <w:szCs w:val="24"/>
        </w:rPr>
        <w:t>Penthrox</w:t>
      </w:r>
      <w:proofErr w:type="spellEnd"/>
      <w:r w:rsidR="00BE4A12" w:rsidRPr="004C7EDF">
        <w:rPr>
          <w:sz w:val="24"/>
          <w:szCs w:val="24"/>
        </w:rPr>
        <w:t xml:space="preserve"> bedres s</w:t>
      </w:r>
      <w:r w:rsidR="00BE4A12" w:rsidRPr="00984579">
        <w:rPr>
          <w:sz w:val="24"/>
          <w:szCs w:val="24"/>
        </w:rPr>
        <w:t>å</w:t>
      </w:r>
      <w:r w:rsidR="00BE4A12" w:rsidRPr="004C7EDF">
        <w:rPr>
          <w:sz w:val="24"/>
          <w:szCs w:val="24"/>
        </w:rPr>
        <w:t>danne virkninger af overdosering som regel hurtigt uden behov for anden intervention, men der kan iværksættes foranstaltninger til understøttelse af hjerte-lungefunktionen, hvis det er nødvendigt.</w:t>
      </w:r>
    </w:p>
    <w:p w:rsidR="00BE4A12" w:rsidRPr="00DF75C9" w:rsidRDefault="00BE4A12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Høje doser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forårsager dosisrelateret </w:t>
      </w:r>
      <w:proofErr w:type="spellStart"/>
      <w:r w:rsidRPr="00DF75C9">
        <w:rPr>
          <w:sz w:val="24"/>
          <w:szCs w:val="24"/>
        </w:rPr>
        <w:t>nefrotoksicitet</w:t>
      </w:r>
      <w:proofErr w:type="spellEnd"/>
      <w:r w:rsidRPr="00DF75C9">
        <w:rPr>
          <w:sz w:val="24"/>
          <w:szCs w:val="24"/>
        </w:rPr>
        <w:t xml:space="preserve">. Nedsat nyrefunktion med øget elimination (output) er forekommet flere timer og dage efter administration af gentagne høje doser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som </w:t>
      </w:r>
      <w:proofErr w:type="spellStart"/>
      <w:r w:rsidRPr="00DF75C9">
        <w:rPr>
          <w:sz w:val="24"/>
          <w:szCs w:val="24"/>
        </w:rPr>
        <w:t>analgetikum</w:t>
      </w:r>
      <w:proofErr w:type="spellEnd"/>
      <w:r w:rsidRPr="00DF75C9">
        <w:rPr>
          <w:sz w:val="24"/>
          <w:szCs w:val="24"/>
        </w:rPr>
        <w:t xml:space="preserve"> eller </w:t>
      </w:r>
      <w:proofErr w:type="spellStart"/>
      <w:r w:rsidRPr="00DF75C9">
        <w:rPr>
          <w:sz w:val="24"/>
          <w:szCs w:val="24"/>
        </w:rPr>
        <w:t>anæstetikum</w:t>
      </w:r>
      <w:proofErr w:type="spellEnd"/>
      <w:r w:rsidRPr="00DF75C9">
        <w:rPr>
          <w:sz w:val="24"/>
          <w:szCs w:val="24"/>
        </w:rPr>
        <w:t>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4.10</w:t>
      </w:r>
      <w:r w:rsidRPr="00DF75C9">
        <w:rPr>
          <w:b/>
          <w:sz w:val="24"/>
          <w:szCs w:val="24"/>
        </w:rPr>
        <w:tab/>
        <w:t>Udlevering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B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0F42D5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5.</w:t>
      </w:r>
      <w:r w:rsidRPr="00DF75C9">
        <w:rPr>
          <w:b/>
          <w:sz w:val="24"/>
          <w:szCs w:val="24"/>
        </w:rPr>
        <w:tab/>
        <w:t>FARMAKOLOGISKE EGENSKABER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5.1</w:t>
      </w:r>
      <w:r w:rsidRPr="00DF75C9">
        <w:rPr>
          <w:b/>
          <w:sz w:val="24"/>
          <w:szCs w:val="24"/>
        </w:rPr>
        <w:tab/>
      </w:r>
      <w:proofErr w:type="spellStart"/>
      <w:r w:rsidRPr="00DF75C9">
        <w:rPr>
          <w:b/>
          <w:sz w:val="24"/>
          <w:szCs w:val="24"/>
        </w:rPr>
        <w:t>Farmakodynamiske</w:t>
      </w:r>
      <w:proofErr w:type="spellEnd"/>
      <w:r w:rsidRPr="00DF75C9">
        <w:rPr>
          <w:b/>
          <w:sz w:val="24"/>
          <w:szCs w:val="24"/>
        </w:rPr>
        <w:t xml:space="preserve"> egenskaber</w:t>
      </w:r>
    </w:p>
    <w:p w:rsidR="008145CF" w:rsidRPr="00DF75C9" w:rsidRDefault="008145CF" w:rsidP="008145CF">
      <w:pPr>
        <w:tabs>
          <w:tab w:val="left" w:pos="851"/>
        </w:tabs>
        <w:ind w:left="851" w:hanging="851"/>
        <w:rPr>
          <w:sz w:val="24"/>
          <w:szCs w:val="24"/>
        </w:rPr>
      </w:pPr>
      <w:r w:rsidRPr="008145CF">
        <w:rPr>
          <w:sz w:val="24"/>
          <w:szCs w:val="24"/>
        </w:rPr>
        <w:tab/>
      </w:r>
      <w:proofErr w:type="spellStart"/>
      <w:r w:rsidRPr="008145CF">
        <w:rPr>
          <w:sz w:val="24"/>
          <w:szCs w:val="24"/>
        </w:rPr>
        <w:t>Farmakoterapeutisk</w:t>
      </w:r>
      <w:proofErr w:type="spellEnd"/>
      <w:r w:rsidRPr="008145CF">
        <w:rPr>
          <w:sz w:val="24"/>
          <w:szCs w:val="24"/>
        </w:rPr>
        <w:t xml:space="preserve"> klassifikation</w:t>
      </w:r>
      <w:r>
        <w:rPr>
          <w:sz w:val="24"/>
          <w:szCs w:val="24"/>
        </w:rPr>
        <w:t>:</w:t>
      </w:r>
      <w:r w:rsidRPr="00DF75C9">
        <w:rPr>
          <w:sz w:val="24"/>
          <w:szCs w:val="24"/>
        </w:rPr>
        <w:t xml:space="preserve"> </w:t>
      </w:r>
      <w:proofErr w:type="spellStart"/>
      <w:r w:rsidRPr="00DF75C9">
        <w:rPr>
          <w:sz w:val="24"/>
          <w:szCs w:val="24"/>
        </w:rPr>
        <w:t>Analgetika</w:t>
      </w:r>
      <w:proofErr w:type="spellEnd"/>
      <w:r w:rsidRPr="00DF75C9">
        <w:rPr>
          <w:sz w:val="24"/>
          <w:szCs w:val="24"/>
        </w:rPr>
        <w:t xml:space="preserve">, andre </w:t>
      </w:r>
      <w:proofErr w:type="spellStart"/>
      <w:r w:rsidRPr="00DF75C9">
        <w:rPr>
          <w:sz w:val="24"/>
          <w:szCs w:val="24"/>
        </w:rPr>
        <w:t>analgetika</w:t>
      </w:r>
      <w:proofErr w:type="spellEnd"/>
      <w:r w:rsidRPr="00DF75C9">
        <w:rPr>
          <w:sz w:val="24"/>
          <w:szCs w:val="24"/>
        </w:rPr>
        <w:t xml:space="preserve"> og </w:t>
      </w:r>
      <w:proofErr w:type="spellStart"/>
      <w:r w:rsidRPr="00DF75C9">
        <w:rPr>
          <w:sz w:val="24"/>
          <w:szCs w:val="24"/>
        </w:rPr>
        <w:t>pyretica</w:t>
      </w:r>
      <w:proofErr w:type="spellEnd"/>
      <w:r>
        <w:rPr>
          <w:sz w:val="24"/>
          <w:szCs w:val="24"/>
        </w:rPr>
        <w:t xml:space="preserve">. </w:t>
      </w:r>
      <w:r w:rsidRPr="00DF75C9">
        <w:rPr>
          <w:sz w:val="24"/>
          <w:szCs w:val="24"/>
        </w:rPr>
        <w:t>ATC-kode: N</w:t>
      </w:r>
      <w:r>
        <w:rPr>
          <w:sz w:val="24"/>
          <w:szCs w:val="24"/>
        </w:rPr>
        <w:t> </w:t>
      </w:r>
      <w:r w:rsidRPr="00DF75C9">
        <w:rPr>
          <w:sz w:val="24"/>
          <w:szCs w:val="24"/>
        </w:rPr>
        <w:t>02</w:t>
      </w:r>
      <w:r>
        <w:rPr>
          <w:sz w:val="24"/>
          <w:szCs w:val="24"/>
        </w:rPr>
        <w:t xml:space="preserve"> </w:t>
      </w:r>
      <w:r w:rsidRPr="00DF75C9">
        <w:rPr>
          <w:sz w:val="24"/>
          <w:szCs w:val="24"/>
        </w:rPr>
        <w:t>BG</w:t>
      </w:r>
      <w:r>
        <w:rPr>
          <w:sz w:val="24"/>
          <w:szCs w:val="24"/>
        </w:rPr>
        <w:t xml:space="preserve"> </w:t>
      </w:r>
      <w:r w:rsidRPr="00DF75C9">
        <w:rPr>
          <w:sz w:val="24"/>
          <w:szCs w:val="24"/>
        </w:rPr>
        <w:t>09</w:t>
      </w:r>
      <w:r>
        <w:rPr>
          <w:sz w:val="24"/>
          <w:szCs w:val="24"/>
        </w:rPr>
        <w:t>.</w:t>
      </w:r>
    </w:p>
    <w:p w:rsidR="008145CF" w:rsidRDefault="008145CF" w:rsidP="00D3643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DF75C9">
        <w:rPr>
          <w:sz w:val="24"/>
          <w:szCs w:val="24"/>
          <w:u w:val="single"/>
        </w:rPr>
        <w:t>Virkningsmekanisme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Virkningsmekanismen for </w:t>
      </w:r>
      <w:proofErr w:type="spellStart"/>
      <w:r w:rsidRPr="00DF75C9">
        <w:rPr>
          <w:sz w:val="24"/>
          <w:szCs w:val="24"/>
        </w:rPr>
        <w:t>methoxyflurans</w:t>
      </w:r>
      <w:proofErr w:type="spellEnd"/>
      <w:r w:rsidRPr="00DF75C9">
        <w:rPr>
          <w:sz w:val="24"/>
          <w:szCs w:val="24"/>
        </w:rPr>
        <w:t xml:space="preserve"> analgetiske effekt er ikke fuldt ud klarlagt.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DF75C9">
        <w:rPr>
          <w:sz w:val="24"/>
          <w:szCs w:val="24"/>
          <w:u w:val="single"/>
        </w:rPr>
        <w:t>Farmakodynamisk</w:t>
      </w:r>
      <w:proofErr w:type="spellEnd"/>
      <w:r w:rsidRPr="00DF75C9">
        <w:rPr>
          <w:sz w:val="24"/>
          <w:szCs w:val="24"/>
          <w:u w:val="single"/>
        </w:rPr>
        <w:t xml:space="preserve"> virkning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, der hører til den gruppe af </w:t>
      </w:r>
      <w:proofErr w:type="spellStart"/>
      <w:r w:rsidRPr="00DF75C9">
        <w:rPr>
          <w:sz w:val="24"/>
          <w:szCs w:val="24"/>
        </w:rPr>
        <w:t>fluorinerede</w:t>
      </w:r>
      <w:proofErr w:type="spellEnd"/>
      <w:r w:rsidRPr="00DF75C9">
        <w:rPr>
          <w:sz w:val="24"/>
          <w:szCs w:val="24"/>
        </w:rPr>
        <w:t xml:space="preserve"> kulbrinter, som er </w:t>
      </w:r>
      <w:proofErr w:type="spellStart"/>
      <w:r w:rsidRPr="00DF75C9">
        <w:rPr>
          <w:sz w:val="24"/>
          <w:szCs w:val="24"/>
        </w:rPr>
        <w:t>volatile</w:t>
      </w:r>
      <w:proofErr w:type="spellEnd"/>
      <w:r w:rsidRPr="00DF75C9">
        <w:rPr>
          <w:sz w:val="24"/>
          <w:szCs w:val="24"/>
        </w:rPr>
        <w:t xml:space="preserve"> bedøvelsesmidler, virker smertelindrende ved inhalation i lave koncentrationer hos bevidste patienter. Ved analgetiske terapeutiske doser til smertelindring kan et vist fald i blodtrykket forekomme, og det kan være ledsaget af bradykardi; hjerterytmen er typisk regelmæssig, omend døsighed kan forekomme. </w:t>
      </w:r>
      <w:proofErr w:type="spellStart"/>
      <w:r w:rsidRPr="00DF75C9">
        <w:rPr>
          <w:sz w:val="24"/>
          <w:szCs w:val="24"/>
        </w:rPr>
        <w:t>Myokardiet</w:t>
      </w:r>
      <w:proofErr w:type="spellEnd"/>
      <w:r w:rsidRPr="00DF75C9">
        <w:rPr>
          <w:sz w:val="24"/>
          <w:szCs w:val="24"/>
        </w:rPr>
        <w:t xml:space="preserve"> sensibiliseres kun i minimal grad over for adrenalin af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>.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DF75C9">
        <w:rPr>
          <w:sz w:val="24"/>
          <w:szCs w:val="24"/>
          <w:u w:val="single"/>
        </w:rPr>
        <w:t>Klinisk virkning og sikkerhed</w:t>
      </w:r>
    </w:p>
    <w:p w:rsidR="00BE4A12" w:rsidRPr="00984579" w:rsidRDefault="00BE4A12" w:rsidP="00BE4A12">
      <w:pPr>
        <w:tabs>
          <w:tab w:val="left" w:pos="851"/>
        </w:tabs>
        <w:ind w:left="851"/>
        <w:rPr>
          <w:sz w:val="24"/>
          <w:szCs w:val="24"/>
        </w:rPr>
      </w:pPr>
      <w:r w:rsidRPr="00984579">
        <w:rPr>
          <w:sz w:val="24"/>
          <w:szCs w:val="24"/>
        </w:rPr>
        <w:t xml:space="preserve">Virkningen af og sikkerheden ved </w:t>
      </w:r>
      <w:proofErr w:type="spellStart"/>
      <w:r w:rsidRPr="00984579">
        <w:rPr>
          <w:sz w:val="24"/>
          <w:szCs w:val="24"/>
        </w:rPr>
        <w:t>Penthrox</w:t>
      </w:r>
      <w:proofErr w:type="spellEnd"/>
      <w:r w:rsidRPr="00984579">
        <w:rPr>
          <w:sz w:val="24"/>
          <w:szCs w:val="24"/>
        </w:rPr>
        <w:t xml:space="preserve"> er påvist i et randomiseret, dobbeltblindet, placebo-kontrolleret studie på flere centre ved behandling af akut smerte hos patienter med mindre traumer på en skadestue. 300 patienter deltog (151 fik </w:t>
      </w: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 xml:space="preserve">, og 149 fik placebo i forholdet 1:1). Patienter med en smertescore på ≥ 4 til ≤ 7 på den numeriske skala var egnede til deltagelse i studiet. De gennemsnitlige smertescorer på VAS-skalaen (Visual </w:t>
      </w:r>
      <w:proofErr w:type="spellStart"/>
      <w:r w:rsidRPr="00984579">
        <w:rPr>
          <w:sz w:val="24"/>
          <w:szCs w:val="24"/>
        </w:rPr>
        <w:t>Analogue</w:t>
      </w:r>
      <w:proofErr w:type="spellEnd"/>
      <w:r w:rsidRPr="00984579">
        <w:rPr>
          <w:sz w:val="24"/>
          <w:szCs w:val="24"/>
        </w:rPr>
        <w:t xml:space="preserve"> </w:t>
      </w:r>
      <w:proofErr w:type="spellStart"/>
      <w:r w:rsidRPr="00984579">
        <w:rPr>
          <w:sz w:val="24"/>
          <w:szCs w:val="24"/>
        </w:rPr>
        <w:t>Scale</w:t>
      </w:r>
      <w:proofErr w:type="spellEnd"/>
      <w:r w:rsidRPr="00984579">
        <w:rPr>
          <w:sz w:val="24"/>
          <w:szCs w:val="24"/>
        </w:rPr>
        <w:t xml:space="preserve">) ved </w:t>
      </w:r>
      <w:r w:rsidRPr="00984579">
        <w:rPr>
          <w:i/>
          <w:sz w:val="24"/>
          <w:szCs w:val="24"/>
        </w:rPr>
        <w:t>baseline</w:t>
      </w:r>
      <w:r w:rsidRPr="00984579">
        <w:rPr>
          <w:sz w:val="24"/>
          <w:szCs w:val="24"/>
        </w:rPr>
        <w:t xml:space="preserve"> var næsten de samme i </w:t>
      </w: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 xml:space="preserve">-gruppen (64,8) og placebogruppen (64). Den primære effektvariabel (estimeret middelændring i VAS-smerte fra </w:t>
      </w:r>
      <w:r w:rsidRPr="00984579">
        <w:rPr>
          <w:i/>
          <w:sz w:val="24"/>
          <w:szCs w:val="24"/>
        </w:rPr>
        <w:t>baseline</w:t>
      </w:r>
      <w:r w:rsidRPr="00984579">
        <w:rPr>
          <w:sz w:val="24"/>
          <w:szCs w:val="24"/>
        </w:rPr>
        <w:t xml:space="preserve"> til efter 5 min., 10 min., 15 min. og 20 min.) var større hos </w:t>
      </w: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 xml:space="preserve">-gruppen (hhv. </w:t>
      </w:r>
      <w:r w:rsidRPr="00984579">
        <w:rPr>
          <w:sz w:val="24"/>
          <w:szCs w:val="24"/>
        </w:rPr>
        <w:noBreakHyphen/>
        <w:t xml:space="preserve">23,1, </w:t>
      </w:r>
      <w:r w:rsidRPr="00984579">
        <w:rPr>
          <w:sz w:val="24"/>
          <w:szCs w:val="24"/>
        </w:rPr>
        <w:noBreakHyphen/>
        <w:t xml:space="preserve">28,9, </w:t>
      </w:r>
      <w:r w:rsidRPr="00984579">
        <w:rPr>
          <w:sz w:val="24"/>
          <w:szCs w:val="24"/>
        </w:rPr>
        <w:noBreakHyphen/>
        <w:t xml:space="preserve">34,0 og </w:t>
      </w:r>
      <w:r w:rsidRPr="00984579">
        <w:rPr>
          <w:sz w:val="24"/>
          <w:szCs w:val="24"/>
        </w:rPr>
        <w:noBreakHyphen/>
        <w:t xml:space="preserve">35,0) end hos placebogruppen (hhv. </w:t>
      </w:r>
      <w:r w:rsidRPr="00984579">
        <w:rPr>
          <w:sz w:val="24"/>
          <w:szCs w:val="24"/>
        </w:rPr>
        <w:noBreakHyphen/>
        <w:t xml:space="preserve">11,3, </w:t>
      </w:r>
      <w:r w:rsidRPr="00984579">
        <w:rPr>
          <w:sz w:val="24"/>
          <w:szCs w:val="24"/>
        </w:rPr>
        <w:noBreakHyphen/>
        <w:t xml:space="preserve">14,8, </w:t>
      </w:r>
      <w:r w:rsidRPr="00984579">
        <w:rPr>
          <w:sz w:val="24"/>
          <w:szCs w:val="24"/>
        </w:rPr>
        <w:noBreakHyphen/>
        <w:t xml:space="preserve">15,5 og </w:t>
      </w:r>
      <w:r w:rsidRPr="00984579">
        <w:rPr>
          <w:sz w:val="24"/>
          <w:szCs w:val="24"/>
        </w:rPr>
        <w:noBreakHyphen/>
        <w:t xml:space="preserve">19,0). Generelt var der en meget signifikant forskel mellem </w:t>
      </w: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 xml:space="preserve">- og placebogruppen (estimeret behandlingseffekt </w:t>
      </w:r>
      <w:r w:rsidRPr="00984579">
        <w:rPr>
          <w:sz w:val="24"/>
          <w:szCs w:val="24"/>
        </w:rPr>
        <w:noBreakHyphen/>
        <w:t>15,1; 95</w:t>
      </w:r>
      <w:r>
        <w:rPr>
          <w:sz w:val="24"/>
          <w:szCs w:val="24"/>
        </w:rPr>
        <w:t> </w:t>
      </w:r>
      <w:r w:rsidRPr="00984579">
        <w:rPr>
          <w:sz w:val="24"/>
          <w:szCs w:val="24"/>
        </w:rPr>
        <w:t xml:space="preserve">%-KI </w:t>
      </w:r>
      <w:r w:rsidRPr="00984579">
        <w:rPr>
          <w:sz w:val="24"/>
          <w:szCs w:val="24"/>
        </w:rPr>
        <w:noBreakHyphen/>
        <w:t xml:space="preserve">19,2 til </w:t>
      </w:r>
      <w:r w:rsidRPr="00984579">
        <w:rPr>
          <w:sz w:val="24"/>
          <w:szCs w:val="24"/>
        </w:rPr>
        <w:noBreakHyphen/>
        <w:t xml:space="preserve">11,0; p &lt; 0,0001). Den største behandlingseffekt sås efter 15 min. (estimeret behandlingseffekt på </w:t>
      </w:r>
      <w:r w:rsidRPr="00984579">
        <w:rPr>
          <w:sz w:val="24"/>
          <w:szCs w:val="24"/>
        </w:rPr>
        <w:noBreakHyphen/>
        <w:t>18,5). Der er gennemført en analyse, hvor en responder blev defineret som en patient, der oplevede en forbedring på mindst 30</w:t>
      </w:r>
      <w:r>
        <w:rPr>
          <w:sz w:val="24"/>
          <w:szCs w:val="24"/>
        </w:rPr>
        <w:t> </w:t>
      </w:r>
      <w:r w:rsidRPr="00984579">
        <w:rPr>
          <w:sz w:val="24"/>
          <w:szCs w:val="24"/>
        </w:rPr>
        <w:t xml:space="preserve">% ift. VAS-smertescore ved </w:t>
      </w:r>
      <w:r w:rsidRPr="00984579">
        <w:rPr>
          <w:i/>
          <w:sz w:val="24"/>
          <w:szCs w:val="24"/>
        </w:rPr>
        <w:t>baseline</w:t>
      </w:r>
      <w:r w:rsidRPr="00984579">
        <w:rPr>
          <w:sz w:val="24"/>
          <w:szCs w:val="24"/>
        </w:rPr>
        <w:t xml:space="preserve">. Resultaterne af denne analyse indikerede, at procentdelen af respondere efter 5, 10, 15 og 20 min. var væsentligt større hos </w:t>
      </w: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>-gruppen (51</w:t>
      </w:r>
      <w:r>
        <w:rPr>
          <w:sz w:val="24"/>
          <w:szCs w:val="24"/>
        </w:rPr>
        <w:t> </w:t>
      </w:r>
      <w:r w:rsidRPr="00984579">
        <w:rPr>
          <w:sz w:val="24"/>
          <w:szCs w:val="24"/>
        </w:rPr>
        <w:t>%, 57,7</w:t>
      </w:r>
      <w:r>
        <w:rPr>
          <w:sz w:val="24"/>
          <w:szCs w:val="24"/>
        </w:rPr>
        <w:t> </w:t>
      </w:r>
      <w:r w:rsidRPr="00984579">
        <w:rPr>
          <w:sz w:val="24"/>
          <w:szCs w:val="24"/>
        </w:rPr>
        <w:t>%, 63,8</w:t>
      </w:r>
      <w:r>
        <w:rPr>
          <w:sz w:val="24"/>
          <w:szCs w:val="24"/>
        </w:rPr>
        <w:t> </w:t>
      </w:r>
      <w:r w:rsidRPr="00984579">
        <w:rPr>
          <w:sz w:val="24"/>
          <w:szCs w:val="24"/>
        </w:rPr>
        <w:t>%, 63,8</w:t>
      </w:r>
      <w:r>
        <w:rPr>
          <w:sz w:val="24"/>
          <w:szCs w:val="24"/>
        </w:rPr>
        <w:t> </w:t>
      </w:r>
      <w:r w:rsidRPr="00984579">
        <w:rPr>
          <w:sz w:val="24"/>
          <w:szCs w:val="24"/>
        </w:rPr>
        <w:t>%) end hos placebogruppen (23,5</w:t>
      </w:r>
      <w:r>
        <w:rPr>
          <w:sz w:val="24"/>
          <w:szCs w:val="24"/>
        </w:rPr>
        <w:t> </w:t>
      </w:r>
      <w:r w:rsidRPr="00984579">
        <w:rPr>
          <w:sz w:val="24"/>
          <w:szCs w:val="24"/>
        </w:rPr>
        <w:t>%, 30,9</w:t>
      </w:r>
      <w:r>
        <w:rPr>
          <w:sz w:val="24"/>
          <w:szCs w:val="24"/>
        </w:rPr>
        <w:t> </w:t>
      </w:r>
      <w:r w:rsidRPr="00984579">
        <w:rPr>
          <w:sz w:val="24"/>
          <w:szCs w:val="24"/>
        </w:rPr>
        <w:t>%, 33,6</w:t>
      </w:r>
      <w:r>
        <w:rPr>
          <w:sz w:val="24"/>
          <w:szCs w:val="24"/>
        </w:rPr>
        <w:t> </w:t>
      </w:r>
      <w:r w:rsidRPr="00984579">
        <w:rPr>
          <w:sz w:val="24"/>
          <w:szCs w:val="24"/>
        </w:rPr>
        <w:t>%, 37,6</w:t>
      </w:r>
      <w:r>
        <w:rPr>
          <w:sz w:val="24"/>
          <w:szCs w:val="24"/>
        </w:rPr>
        <w:t> </w:t>
      </w:r>
      <w:r w:rsidRPr="00984579">
        <w:rPr>
          <w:sz w:val="24"/>
          <w:szCs w:val="24"/>
        </w:rPr>
        <w:t>%) med p &lt; 0,0001 ved hvert tidspunkt. I alt 126 patienter (84,6</w:t>
      </w:r>
      <w:r>
        <w:rPr>
          <w:sz w:val="24"/>
          <w:szCs w:val="24"/>
        </w:rPr>
        <w:t> </w:t>
      </w:r>
      <w:r w:rsidRPr="00984579">
        <w:rPr>
          <w:sz w:val="24"/>
          <w:szCs w:val="24"/>
        </w:rPr>
        <w:t xml:space="preserve">%) i </w:t>
      </w: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>-gruppen oplevede deres første smertelindring efter 1-10 inhalationer sammenholdt med 76 patienter (51</w:t>
      </w:r>
      <w:r>
        <w:rPr>
          <w:sz w:val="24"/>
          <w:szCs w:val="24"/>
        </w:rPr>
        <w:t> </w:t>
      </w:r>
      <w:r w:rsidRPr="00984579">
        <w:rPr>
          <w:sz w:val="24"/>
          <w:szCs w:val="24"/>
        </w:rPr>
        <w:t>%) i placebogruppen.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5.2</w:t>
      </w:r>
      <w:r w:rsidRPr="00DF75C9">
        <w:rPr>
          <w:b/>
          <w:sz w:val="24"/>
          <w:szCs w:val="24"/>
        </w:rPr>
        <w:tab/>
      </w:r>
      <w:proofErr w:type="spellStart"/>
      <w:r w:rsidRPr="00DF75C9">
        <w:rPr>
          <w:b/>
          <w:sz w:val="24"/>
          <w:szCs w:val="24"/>
        </w:rPr>
        <w:t>Farmakokinetiske</w:t>
      </w:r>
      <w:proofErr w:type="spellEnd"/>
      <w:r w:rsidRPr="00DF75C9">
        <w:rPr>
          <w:b/>
          <w:sz w:val="24"/>
          <w:szCs w:val="24"/>
        </w:rPr>
        <w:t xml:space="preserve"> egenskaber</w:t>
      </w:r>
    </w:p>
    <w:p w:rsidR="00D36430" w:rsidRDefault="00D36430" w:rsidP="00D3643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u w:val="single"/>
          <w:lang w:eastAsia="da-DK"/>
        </w:rPr>
      </w:pPr>
      <w:r w:rsidRPr="00DF75C9">
        <w:rPr>
          <w:sz w:val="24"/>
          <w:szCs w:val="24"/>
        </w:rPr>
        <w:tab/>
      </w:r>
      <w:r w:rsidRPr="00DF75C9">
        <w:rPr>
          <w:sz w:val="24"/>
          <w:szCs w:val="24"/>
          <w:u w:val="single"/>
        </w:rPr>
        <w:t>Absorption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har følgende fordelingskoefficienter:</w:t>
      </w:r>
    </w:p>
    <w:p w:rsidR="00D36430" w:rsidRPr="00DF75C9" w:rsidRDefault="00D36430" w:rsidP="00D36430">
      <w:pPr>
        <w:numPr>
          <w:ilvl w:val="0"/>
          <w:numId w:val="9"/>
        </w:numPr>
        <w:ind w:left="1276" w:hanging="425"/>
        <w:rPr>
          <w:sz w:val="24"/>
          <w:szCs w:val="24"/>
        </w:rPr>
      </w:pPr>
      <w:r w:rsidRPr="00DF75C9">
        <w:rPr>
          <w:sz w:val="24"/>
          <w:szCs w:val="24"/>
        </w:rPr>
        <w:t xml:space="preserve">en vand/gas-koefficient på 4,5, </w:t>
      </w:r>
    </w:p>
    <w:p w:rsidR="00D36430" w:rsidRPr="00DF75C9" w:rsidRDefault="00D36430" w:rsidP="00D36430">
      <w:pPr>
        <w:numPr>
          <w:ilvl w:val="0"/>
          <w:numId w:val="9"/>
        </w:numPr>
        <w:ind w:left="1276" w:hanging="425"/>
        <w:rPr>
          <w:sz w:val="24"/>
          <w:szCs w:val="24"/>
        </w:rPr>
      </w:pPr>
      <w:r w:rsidRPr="00DF75C9">
        <w:rPr>
          <w:sz w:val="24"/>
          <w:szCs w:val="24"/>
        </w:rPr>
        <w:t xml:space="preserve">en blod/gas-koefficient på 13 og </w:t>
      </w:r>
    </w:p>
    <w:p w:rsidR="00D36430" w:rsidRPr="00DA3067" w:rsidRDefault="00D36430" w:rsidP="00D36430">
      <w:pPr>
        <w:numPr>
          <w:ilvl w:val="0"/>
          <w:numId w:val="9"/>
        </w:numPr>
        <w:ind w:left="1276" w:hanging="425"/>
        <w:rPr>
          <w:sz w:val="24"/>
          <w:szCs w:val="24"/>
          <w:lang w:val="sv-SE"/>
        </w:rPr>
      </w:pPr>
      <w:r w:rsidRPr="00DA3067">
        <w:rPr>
          <w:sz w:val="24"/>
          <w:szCs w:val="24"/>
          <w:lang w:val="sv-SE"/>
        </w:rPr>
        <w:t xml:space="preserve">en </w:t>
      </w:r>
      <w:proofErr w:type="spellStart"/>
      <w:r w:rsidRPr="00DA3067">
        <w:rPr>
          <w:sz w:val="24"/>
          <w:szCs w:val="24"/>
          <w:lang w:val="sv-SE"/>
        </w:rPr>
        <w:t>olie</w:t>
      </w:r>
      <w:proofErr w:type="spellEnd"/>
      <w:r w:rsidRPr="00DA3067">
        <w:rPr>
          <w:sz w:val="24"/>
          <w:szCs w:val="24"/>
          <w:lang w:val="sv-SE"/>
        </w:rPr>
        <w:t xml:space="preserve">/gas-koefficient på 825. </w:t>
      </w:r>
    </w:p>
    <w:p w:rsidR="00D36430" w:rsidRPr="00DA3067" w:rsidRDefault="00D36430" w:rsidP="00D36430">
      <w:pPr>
        <w:tabs>
          <w:tab w:val="left" w:pos="851"/>
        </w:tabs>
        <w:ind w:left="851" w:hanging="851"/>
        <w:rPr>
          <w:sz w:val="24"/>
          <w:szCs w:val="24"/>
          <w:lang w:val="sv-SE"/>
        </w:rPr>
      </w:pPr>
    </w:p>
    <w:p w:rsidR="00BE4A12" w:rsidRPr="00984579" w:rsidRDefault="00D36430" w:rsidP="00BE4A12">
      <w:pPr>
        <w:tabs>
          <w:tab w:val="left" w:pos="851"/>
        </w:tabs>
        <w:ind w:left="851" w:hanging="851"/>
        <w:rPr>
          <w:sz w:val="24"/>
          <w:szCs w:val="24"/>
        </w:rPr>
      </w:pPr>
      <w:r w:rsidRPr="00DA3067">
        <w:rPr>
          <w:sz w:val="24"/>
          <w:szCs w:val="24"/>
          <w:lang w:val="sv-SE"/>
        </w:rPr>
        <w:tab/>
      </w:r>
      <w:proofErr w:type="spellStart"/>
      <w:r w:rsidR="00BE4A12" w:rsidRPr="00984579">
        <w:rPr>
          <w:sz w:val="24"/>
          <w:szCs w:val="24"/>
        </w:rPr>
        <w:t>Methoxyfluran</w:t>
      </w:r>
      <w:proofErr w:type="spellEnd"/>
      <w:r w:rsidR="00BE4A12" w:rsidRPr="00984579">
        <w:rPr>
          <w:sz w:val="24"/>
          <w:szCs w:val="24"/>
        </w:rPr>
        <w:t xml:space="preserve"> kommer ind i lungerne i form af damp og transporteres hurtigt over i blodet. Derved opnås en hurtig smertelindring. </w:t>
      </w:r>
      <w:r w:rsidR="00BE4A12" w:rsidRPr="004C7EDF">
        <w:rPr>
          <w:sz w:val="24"/>
          <w:szCs w:val="24"/>
        </w:rPr>
        <w:t xml:space="preserve">I et </w:t>
      </w:r>
      <w:proofErr w:type="spellStart"/>
      <w:r w:rsidR="00BE4A12" w:rsidRPr="004C7EDF">
        <w:rPr>
          <w:sz w:val="24"/>
          <w:szCs w:val="24"/>
        </w:rPr>
        <w:t>farmakokinetisk</w:t>
      </w:r>
      <w:proofErr w:type="spellEnd"/>
      <w:r w:rsidR="00BE4A12" w:rsidRPr="004C7EDF">
        <w:rPr>
          <w:sz w:val="24"/>
          <w:szCs w:val="24"/>
        </w:rPr>
        <w:t xml:space="preserve"> studie (PK-studie) hos </w:t>
      </w:r>
      <w:r w:rsidR="00BE4A12" w:rsidRPr="004C7EDF">
        <w:rPr>
          <w:sz w:val="24"/>
          <w:szCs w:val="24"/>
        </w:rPr>
        <w:lastRenderedPageBreak/>
        <w:t xml:space="preserve">raske frivillige viste kurverne for gennemsnitlig plasmakoncentration over tid en ekstremt hurtig stigning i plasmakoncentrationer af </w:t>
      </w:r>
      <w:proofErr w:type="spellStart"/>
      <w:r w:rsidR="00BE4A12" w:rsidRPr="004C7EDF">
        <w:rPr>
          <w:sz w:val="24"/>
          <w:szCs w:val="24"/>
        </w:rPr>
        <w:t>methoxyfluran</w:t>
      </w:r>
      <w:proofErr w:type="spellEnd"/>
      <w:r w:rsidR="00BE4A12" w:rsidRPr="004C7EDF">
        <w:rPr>
          <w:sz w:val="24"/>
          <w:szCs w:val="24"/>
        </w:rPr>
        <w:t xml:space="preserve">. Efter intermitterende inhalation af en enkelt dosis på 3 ml </w:t>
      </w:r>
      <w:proofErr w:type="spellStart"/>
      <w:r w:rsidR="00BE4A12" w:rsidRPr="004C7EDF">
        <w:rPr>
          <w:sz w:val="24"/>
          <w:szCs w:val="24"/>
        </w:rPr>
        <w:t>methoxyfluran</w:t>
      </w:r>
      <w:proofErr w:type="spellEnd"/>
      <w:r w:rsidR="00BE4A12" w:rsidRPr="004C7EDF">
        <w:rPr>
          <w:sz w:val="24"/>
          <w:szCs w:val="24"/>
        </w:rPr>
        <w:t xml:space="preserve"> </w:t>
      </w:r>
      <w:r w:rsidR="00BE4A12" w:rsidRPr="00984579">
        <w:rPr>
          <w:sz w:val="24"/>
          <w:szCs w:val="24"/>
        </w:rPr>
        <w:t xml:space="preserve">over 1 time </w:t>
      </w:r>
      <w:r w:rsidR="00BE4A12" w:rsidRPr="004C7EDF">
        <w:rPr>
          <w:sz w:val="24"/>
          <w:szCs w:val="24"/>
        </w:rPr>
        <w:t>vise</w:t>
      </w:r>
      <w:r w:rsidR="00BE4A12" w:rsidRPr="00984579">
        <w:rPr>
          <w:sz w:val="24"/>
          <w:szCs w:val="24"/>
        </w:rPr>
        <w:t>r</w:t>
      </w:r>
      <w:r w:rsidR="00BE4A12" w:rsidRPr="004C7EDF">
        <w:rPr>
          <w:sz w:val="24"/>
          <w:szCs w:val="24"/>
        </w:rPr>
        <w:t xml:space="preserve"> den arterielle profil en </w:t>
      </w:r>
      <w:proofErr w:type="spellStart"/>
      <w:r w:rsidR="00BE4A12" w:rsidRPr="004C7EDF">
        <w:rPr>
          <w:sz w:val="24"/>
          <w:szCs w:val="24"/>
        </w:rPr>
        <w:t>t</w:t>
      </w:r>
      <w:r w:rsidR="00BE4A12" w:rsidRPr="004C7EDF">
        <w:rPr>
          <w:sz w:val="24"/>
          <w:szCs w:val="24"/>
          <w:vertAlign w:val="subscript"/>
        </w:rPr>
        <w:t>max</w:t>
      </w:r>
      <w:proofErr w:type="spellEnd"/>
      <w:r w:rsidR="00BE4A12" w:rsidRPr="004C7EDF">
        <w:rPr>
          <w:sz w:val="24"/>
          <w:szCs w:val="24"/>
        </w:rPr>
        <w:t xml:space="preserve"> på 0,25 timer (interval 0,08-0,75 timer), en </w:t>
      </w:r>
      <w:proofErr w:type="spellStart"/>
      <w:r w:rsidR="00BE4A12" w:rsidRPr="004C7EDF">
        <w:rPr>
          <w:sz w:val="24"/>
          <w:szCs w:val="24"/>
        </w:rPr>
        <w:t>C</w:t>
      </w:r>
      <w:r w:rsidR="00BE4A12" w:rsidRPr="004C7EDF">
        <w:rPr>
          <w:sz w:val="24"/>
          <w:szCs w:val="24"/>
          <w:vertAlign w:val="subscript"/>
        </w:rPr>
        <w:t>max</w:t>
      </w:r>
      <w:proofErr w:type="spellEnd"/>
      <w:r w:rsidR="00BE4A12" w:rsidRPr="004C7EDF">
        <w:rPr>
          <w:sz w:val="24"/>
          <w:szCs w:val="24"/>
        </w:rPr>
        <w:t xml:space="preserve"> på 32,39 </w:t>
      </w:r>
      <w:r w:rsidR="00BE4A12" w:rsidRPr="00984579">
        <w:rPr>
          <w:sz w:val="24"/>
          <w:szCs w:val="24"/>
        </w:rPr>
        <w:t>µ</w:t>
      </w:r>
      <w:r w:rsidR="00BE4A12" w:rsidRPr="004C7EDF">
        <w:rPr>
          <w:sz w:val="24"/>
          <w:szCs w:val="24"/>
        </w:rPr>
        <w:t>g/ml (SD 13,546 </w:t>
      </w:r>
      <w:r w:rsidR="00BE4A12" w:rsidRPr="00984579">
        <w:rPr>
          <w:sz w:val="24"/>
          <w:szCs w:val="24"/>
        </w:rPr>
        <w:t>µ</w:t>
      </w:r>
      <w:r w:rsidR="00BE4A12" w:rsidRPr="004C7EDF">
        <w:rPr>
          <w:sz w:val="24"/>
          <w:szCs w:val="24"/>
        </w:rPr>
        <w:t>g/ml, CV 41,8</w:t>
      </w:r>
      <w:r w:rsidR="00BE4A12">
        <w:rPr>
          <w:sz w:val="24"/>
          <w:szCs w:val="24"/>
        </w:rPr>
        <w:t> </w:t>
      </w:r>
      <w:r w:rsidR="00BE4A12" w:rsidRPr="004C7EDF">
        <w:rPr>
          <w:sz w:val="24"/>
          <w:szCs w:val="24"/>
        </w:rPr>
        <w:t>%) og et AUC på 28,95 </w:t>
      </w:r>
      <w:proofErr w:type="spellStart"/>
      <w:r w:rsidR="00BE4A12" w:rsidRPr="00984579">
        <w:rPr>
          <w:sz w:val="24"/>
          <w:szCs w:val="24"/>
        </w:rPr>
        <w:t>t</w:t>
      </w:r>
      <w:r w:rsidR="00BE4A12" w:rsidRPr="004C7EDF">
        <w:rPr>
          <w:sz w:val="24"/>
          <w:szCs w:val="24"/>
        </w:rPr>
        <w:t>.</w:t>
      </w:r>
      <w:r w:rsidR="00BE4A12" w:rsidRPr="00984579">
        <w:rPr>
          <w:sz w:val="24"/>
          <w:szCs w:val="24"/>
        </w:rPr>
        <w:t>µ</w:t>
      </w:r>
      <w:r w:rsidR="00BE4A12" w:rsidRPr="004C7EDF">
        <w:rPr>
          <w:sz w:val="24"/>
          <w:szCs w:val="24"/>
        </w:rPr>
        <w:t>g</w:t>
      </w:r>
      <w:proofErr w:type="spellEnd"/>
      <w:r w:rsidR="00BE4A12" w:rsidRPr="004C7EDF">
        <w:rPr>
          <w:sz w:val="24"/>
          <w:szCs w:val="24"/>
        </w:rPr>
        <w:t>/ml (</w:t>
      </w:r>
      <w:r w:rsidR="00BE4A12" w:rsidRPr="00984579">
        <w:rPr>
          <w:sz w:val="24"/>
          <w:szCs w:val="24"/>
        </w:rPr>
        <w:t>interval</w:t>
      </w:r>
      <w:r w:rsidR="00BE4A12" w:rsidRPr="004C7EDF">
        <w:rPr>
          <w:sz w:val="24"/>
          <w:szCs w:val="24"/>
        </w:rPr>
        <w:t xml:space="preserve"> 12,3-52,6 </w:t>
      </w:r>
      <w:proofErr w:type="spellStart"/>
      <w:r w:rsidR="00BE4A12" w:rsidRPr="00984579">
        <w:rPr>
          <w:sz w:val="24"/>
          <w:szCs w:val="24"/>
        </w:rPr>
        <w:t>t</w:t>
      </w:r>
      <w:r w:rsidR="00BE4A12" w:rsidRPr="004C7EDF">
        <w:rPr>
          <w:sz w:val="24"/>
          <w:szCs w:val="24"/>
        </w:rPr>
        <w:t>.</w:t>
      </w:r>
      <w:r w:rsidR="00BE4A12" w:rsidRPr="00984579">
        <w:rPr>
          <w:sz w:val="24"/>
          <w:szCs w:val="24"/>
        </w:rPr>
        <w:t>µ</w:t>
      </w:r>
      <w:r w:rsidR="00BE4A12" w:rsidRPr="004C7EDF">
        <w:rPr>
          <w:sz w:val="24"/>
          <w:szCs w:val="24"/>
        </w:rPr>
        <w:t>g</w:t>
      </w:r>
      <w:proofErr w:type="spellEnd"/>
      <w:r w:rsidR="00BE4A12" w:rsidRPr="004C7EDF">
        <w:rPr>
          <w:sz w:val="24"/>
          <w:szCs w:val="24"/>
        </w:rPr>
        <w:t>/ml).</w:t>
      </w:r>
      <w:r w:rsidR="00BE4A12" w:rsidRPr="00984579">
        <w:rPr>
          <w:sz w:val="24"/>
          <w:szCs w:val="24"/>
        </w:rPr>
        <w:t xml:space="preserve"> </w:t>
      </w:r>
    </w:p>
    <w:p w:rsidR="00BE4A12" w:rsidRPr="00984579" w:rsidRDefault="00BE4A12" w:rsidP="00BE4A1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BE4A12" w:rsidRPr="00984579" w:rsidRDefault="00BE4A12" w:rsidP="00BE4A12">
      <w:pPr>
        <w:keepNext/>
        <w:ind w:firstLine="851"/>
        <w:rPr>
          <w:sz w:val="24"/>
          <w:szCs w:val="24"/>
          <w:u w:val="single"/>
        </w:rPr>
      </w:pPr>
      <w:r w:rsidRPr="00984579">
        <w:rPr>
          <w:sz w:val="24"/>
          <w:szCs w:val="24"/>
          <w:u w:val="single"/>
        </w:rPr>
        <w:t>Fordeling</w:t>
      </w:r>
    </w:p>
    <w:p w:rsidR="00BE4A12" w:rsidRPr="00984579" w:rsidRDefault="00BE4A12" w:rsidP="00BE4A12">
      <w:pPr>
        <w:ind w:left="851"/>
        <w:rPr>
          <w:sz w:val="24"/>
          <w:szCs w:val="24"/>
        </w:rPr>
      </w:pP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 xml:space="preserve"> har en høj olie/gas-koefficient og er derfor meget </w:t>
      </w:r>
      <w:proofErr w:type="spellStart"/>
      <w:r w:rsidRPr="00984579">
        <w:rPr>
          <w:sz w:val="24"/>
          <w:szCs w:val="24"/>
        </w:rPr>
        <w:t>lipofilt</w:t>
      </w:r>
      <w:proofErr w:type="spellEnd"/>
      <w:r w:rsidRPr="00984579">
        <w:rPr>
          <w:sz w:val="24"/>
          <w:szCs w:val="24"/>
        </w:rPr>
        <w:t xml:space="preserve">. </w:t>
      </w: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 xml:space="preserve"> har stor tilbøjelighed til at trænge ind i fedtvæv, hvor der dannes et reservoir, hvorfra det frigives langsomt over nogle dage.</w:t>
      </w:r>
    </w:p>
    <w:p w:rsidR="00BE4A12" w:rsidRPr="00984579" w:rsidRDefault="00BE4A12" w:rsidP="00BE4A1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BE4A12" w:rsidRPr="00984579" w:rsidRDefault="00BE4A12" w:rsidP="00BE4A12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  <w:r w:rsidRPr="00984579">
        <w:rPr>
          <w:sz w:val="24"/>
          <w:szCs w:val="24"/>
        </w:rPr>
        <w:tab/>
      </w:r>
      <w:r w:rsidRPr="00984579">
        <w:rPr>
          <w:sz w:val="24"/>
          <w:szCs w:val="24"/>
          <w:u w:val="single"/>
        </w:rPr>
        <w:t>Biotransformation</w:t>
      </w:r>
    </w:p>
    <w:p w:rsidR="00BE4A12" w:rsidRPr="00984579" w:rsidRDefault="00BE4A12" w:rsidP="00BE4A12">
      <w:pPr>
        <w:tabs>
          <w:tab w:val="left" w:pos="851"/>
        </w:tabs>
        <w:ind w:left="851" w:hanging="851"/>
        <w:rPr>
          <w:sz w:val="24"/>
          <w:szCs w:val="24"/>
        </w:rPr>
      </w:pPr>
      <w:r w:rsidRPr="00984579">
        <w:rPr>
          <w:sz w:val="24"/>
          <w:szCs w:val="24"/>
        </w:rPr>
        <w:tab/>
        <w:t xml:space="preserve">Biotransformation af </w:t>
      </w: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 xml:space="preserve"> forekommer i mennesker. </w:t>
      </w: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 xml:space="preserve"> </w:t>
      </w:r>
      <w:proofErr w:type="spellStart"/>
      <w:r w:rsidRPr="00984579">
        <w:rPr>
          <w:sz w:val="24"/>
          <w:szCs w:val="24"/>
        </w:rPr>
        <w:t>metaboliseres</w:t>
      </w:r>
      <w:proofErr w:type="spellEnd"/>
      <w:r w:rsidRPr="00984579">
        <w:rPr>
          <w:sz w:val="24"/>
          <w:szCs w:val="24"/>
        </w:rPr>
        <w:t xml:space="preserve"> ved </w:t>
      </w:r>
      <w:proofErr w:type="spellStart"/>
      <w:r w:rsidRPr="00984579">
        <w:rPr>
          <w:sz w:val="24"/>
          <w:szCs w:val="24"/>
        </w:rPr>
        <w:t>deklorination</w:t>
      </w:r>
      <w:proofErr w:type="spellEnd"/>
      <w:r w:rsidRPr="00984579">
        <w:rPr>
          <w:sz w:val="24"/>
          <w:szCs w:val="24"/>
        </w:rPr>
        <w:t xml:space="preserve"> og o-</w:t>
      </w:r>
      <w:proofErr w:type="spellStart"/>
      <w:r w:rsidRPr="00984579">
        <w:rPr>
          <w:sz w:val="24"/>
          <w:szCs w:val="24"/>
        </w:rPr>
        <w:t>demethylering</w:t>
      </w:r>
      <w:proofErr w:type="spellEnd"/>
      <w:r w:rsidRPr="00984579">
        <w:rPr>
          <w:sz w:val="24"/>
          <w:szCs w:val="24"/>
        </w:rPr>
        <w:t xml:space="preserve"> i leveren medieret af CYP 450-enzymer, navnlig CYP 2E1, CYP 2B6 og CYP 2A6. </w:t>
      </w: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 xml:space="preserve"> </w:t>
      </w:r>
      <w:proofErr w:type="spellStart"/>
      <w:r w:rsidRPr="00984579">
        <w:rPr>
          <w:sz w:val="24"/>
          <w:szCs w:val="24"/>
        </w:rPr>
        <w:t>metaboliseres</w:t>
      </w:r>
      <w:proofErr w:type="spellEnd"/>
      <w:r w:rsidRPr="00984579">
        <w:rPr>
          <w:sz w:val="24"/>
          <w:szCs w:val="24"/>
        </w:rPr>
        <w:t xml:space="preserve"> til frit fluorid, oxalsyre, </w:t>
      </w:r>
      <w:proofErr w:type="spellStart"/>
      <w:r w:rsidRPr="00984579">
        <w:rPr>
          <w:sz w:val="24"/>
          <w:szCs w:val="24"/>
        </w:rPr>
        <w:t>difluoro-methoxyacetatsyre</w:t>
      </w:r>
      <w:proofErr w:type="spellEnd"/>
      <w:r w:rsidRPr="00984579">
        <w:rPr>
          <w:sz w:val="24"/>
          <w:szCs w:val="24"/>
        </w:rPr>
        <w:t xml:space="preserve"> og </w:t>
      </w:r>
      <w:proofErr w:type="spellStart"/>
      <w:r w:rsidRPr="00984579">
        <w:rPr>
          <w:sz w:val="24"/>
          <w:szCs w:val="24"/>
        </w:rPr>
        <w:t>dichloro</w:t>
      </w:r>
      <w:proofErr w:type="spellEnd"/>
      <w:r w:rsidRPr="00984579">
        <w:rPr>
          <w:sz w:val="24"/>
          <w:szCs w:val="24"/>
        </w:rPr>
        <w:t xml:space="preserve">-acetatsyre. Både frit fluorid og oxalsyre kan medføre nyreskade ved koncentrationer, der er højere end dem, der ses ved administration af en enkelt analgetisk dosis. </w:t>
      </w: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 xml:space="preserve"> er mere </w:t>
      </w:r>
      <w:proofErr w:type="spellStart"/>
      <w:r w:rsidRPr="00984579">
        <w:rPr>
          <w:sz w:val="24"/>
          <w:szCs w:val="24"/>
        </w:rPr>
        <w:t>metaboliserings</w:t>
      </w:r>
      <w:r w:rsidRPr="00984579">
        <w:rPr>
          <w:sz w:val="24"/>
          <w:szCs w:val="24"/>
        </w:rPr>
        <w:softHyphen/>
        <w:t>følsomt</w:t>
      </w:r>
      <w:proofErr w:type="spellEnd"/>
      <w:r w:rsidRPr="00984579">
        <w:rPr>
          <w:sz w:val="24"/>
          <w:szCs w:val="24"/>
        </w:rPr>
        <w:t xml:space="preserve"> end andre </w:t>
      </w:r>
      <w:proofErr w:type="spellStart"/>
      <w:r w:rsidRPr="00984579">
        <w:rPr>
          <w:sz w:val="24"/>
          <w:szCs w:val="24"/>
        </w:rPr>
        <w:t>halogenerede</w:t>
      </w:r>
      <w:proofErr w:type="spellEnd"/>
      <w:r w:rsidRPr="00984579">
        <w:rPr>
          <w:sz w:val="24"/>
          <w:szCs w:val="24"/>
        </w:rPr>
        <w:t xml:space="preserve"> </w:t>
      </w:r>
      <w:proofErr w:type="spellStart"/>
      <w:r w:rsidRPr="00984579">
        <w:rPr>
          <w:sz w:val="24"/>
          <w:szCs w:val="24"/>
        </w:rPr>
        <w:t>methylethylethere</w:t>
      </w:r>
      <w:proofErr w:type="spellEnd"/>
      <w:r w:rsidRPr="00984579">
        <w:rPr>
          <w:sz w:val="24"/>
          <w:szCs w:val="24"/>
        </w:rPr>
        <w:t xml:space="preserve"> og har større tilbøjelighed til at diffundere ind i fedtvæv. </w:t>
      </w: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 xml:space="preserve"> frigives langsomt fra dette reservoir og bliver tilgængeligt for biotransformation i flere dage. </w:t>
      </w:r>
    </w:p>
    <w:p w:rsidR="00BE4A12" w:rsidRPr="00984579" w:rsidRDefault="00BE4A12" w:rsidP="00BE4A1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BE4A12" w:rsidRPr="00984579" w:rsidRDefault="00BE4A12" w:rsidP="00BE4A12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84579">
        <w:rPr>
          <w:sz w:val="24"/>
          <w:szCs w:val="24"/>
          <w:u w:val="single"/>
        </w:rPr>
        <w:t>Elimination</w:t>
      </w:r>
    </w:p>
    <w:p w:rsidR="00BE4A12" w:rsidRPr="00984579" w:rsidRDefault="00BE4A12" w:rsidP="00BE4A12">
      <w:pPr>
        <w:tabs>
          <w:tab w:val="left" w:pos="851"/>
        </w:tabs>
        <w:ind w:left="851"/>
        <w:rPr>
          <w:sz w:val="24"/>
          <w:szCs w:val="24"/>
        </w:rPr>
      </w:pPr>
      <w:r w:rsidRPr="004C7EDF">
        <w:rPr>
          <w:sz w:val="24"/>
          <w:szCs w:val="24"/>
        </w:rPr>
        <w:t xml:space="preserve">I PK-studiet hos raske frivillige, der inhalerede 3 ml </w:t>
      </w:r>
      <w:proofErr w:type="spellStart"/>
      <w:r w:rsidRPr="004C7EDF">
        <w:rPr>
          <w:sz w:val="24"/>
          <w:szCs w:val="24"/>
        </w:rPr>
        <w:t>methoxyfluran</w:t>
      </w:r>
      <w:proofErr w:type="spellEnd"/>
      <w:r w:rsidRPr="004C7EDF">
        <w:rPr>
          <w:sz w:val="24"/>
          <w:szCs w:val="24"/>
        </w:rPr>
        <w:t xml:space="preserve"> over 1 time, var der en tidlig top i kurverne for </w:t>
      </w:r>
      <w:r w:rsidRPr="00984579">
        <w:rPr>
          <w:sz w:val="24"/>
          <w:szCs w:val="24"/>
        </w:rPr>
        <w:t xml:space="preserve">arteriel og venøs gennemsnitlig </w:t>
      </w:r>
      <w:r w:rsidRPr="004C7EDF">
        <w:rPr>
          <w:sz w:val="24"/>
          <w:szCs w:val="24"/>
        </w:rPr>
        <w:t xml:space="preserve">plasmakoncentration af </w:t>
      </w:r>
      <w:proofErr w:type="spellStart"/>
      <w:r w:rsidRPr="004C7EDF">
        <w:rPr>
          <w:sz w:val="24"/>
          <w:szCs w:val="24"/>
        </w:rPr>
        <w:t>methoxyfluran</w:t>
      </w:r>
      <w:proofErr w:type="spellEnd"/>
      <w:r w:rsidRPr="004C7EDF">
        <w:rPr>
          <w:sz w:val="24"/>
          <w:szCs w:val="24"/>
        </w:rPr>
        <w:t xml:space="preserve"> over tid efterfulgt af en hurtig elimination fra plasma, </w:t>
      </w:r>
      <w:r w:rsidRPr="00984579">
        <w:rPr>
          <w:sz w:val="24"/>
          <w:szCs w:val="24"/>
        </w:rPr>
        <w:t>hvor</w:t>
      </w:r>
      <w:r w:rsidRPr="004C7EDF">
        <w:rPr>
          <w:sz w:val="24"/>
          <w:szCs w:val="24"/>
        </w:rPr>
        <w:t xml:space="preserve"> </w:t>
      </w:r>
      <w:r w:rsidRPr="00984579">
        <w:rPr>
          <w:sz w:val="24"/>
          <w:szCs w:val="24"/>
        </w:rPr>
        <w:t xml:space="preserve">de venøse </w:t>
      </w:r>
      <w:proofErr w:type="spellStart"/>
      <w:r w:rsidRPr="004C7EDF">
        <w:rPr>
          <w:sz w:val="24"/>
          <w:szCs w:val="24"/>
        </w:rPr>
        <w:t>methoxyflurankoncentrationer</w:t>
      </w:r>
      <w:proofErr w:type="spellEnd"/>
      <w:r w:rsidRPr="00984579">
        <w:rPr>
          <w:sz w:val="24"/>
          <w:szCs w:val="24"/>
        </w:rPr>
        <w:t xml:space="preserve"> </w:t>
      </w:r>
      <w:r w:rsidRPr="004C7EDF">
        <w:rPr>
          <w:sz w:val="24"/>
          <w:szCs w:val="24"/>
        </w:rPr>
        <w:t>vendt</w:t>
      </w:r>
      <w:r w:rsidRPr="00984579">
        <w:rPr>
          <w:sz w:val="24"/>
          <w:szCs w:val="24"/>
        </w:rPr>
        <w:t>e</w:t>
      </w:r>
      <w:r w:rsidRPr="004C7EDF">
        <w:rPr>
          <w:sz w:val="24"/>
          <w:szCs w:val="24"/>
        </w:rPr>
        <w:t xml:space="preserve"> tilbage til </w:t>
      </w:r>
      <w:r w:rsidRPr="004C7EDF">
        <w:rPr>
          <w:i/>
          <w:iCs/>
          <w:sz w:val="24"/>
          <w:szCs w:val="24"/>
        </w:rPr>
        <w:t>baseline</w:t>
      </w:r>
      <w:r w:rsidRPr="004C7EDF">
        <w:rPr>
          <w:sz w:val="24"/>
          <w:szCs w:val="24"/>
        </w:rPr>
        <w:t xml:space="preserve"> </w:t>
      </w:r>
      <w:r w:rsidRPr="00984579">
        <w:rPr>
          <w:sz w:val="24"/>
          <w:szCs w:val="24"/>
        </w:rPr>
        <w:t xml:space="preserve">inden for </w:t>
      </w:r>
      <w:r w:rsidRPr="004C7EDF">
        <w:rPr>
          <w:sz w:val="24"/>
          <w:szCs w:val="24"/>
        </w:rPr>
        <w:t xml:space="preserve">24 timer efter administration. </w:t>
      </w:r>
      <w:r w:rsidRPr="00984579">
        <w:rPr>
          <w:sz w:val="24"/>
          <w:szCs w:val="24"/>
        </w:rPr>
        <w:t>Arterielle og venøse k</w:t>
      </w:r>
      <w:r w:rsidRPr="004C7EDF">
        <w:rPr>
          <w:sz w:val="24"/>
          <w:szCs w:val="24"/>
        </w:rPr>
        <w:t xml:space="preserve">oncentrationer af metabolitten, uorganisk fluorid, steg langsommere end </w:t>
      </w:r>
      <w:proofErr w:type="spellStart"/>
      <w:r w:rsidRPr="004C7EDF">
        <w:rPr>
          <w:sz w:val="24"/>
          <w:szCs w:val="24"/>
        </w:rPr>
        <w:t>methoxyfluran</w:t>
      </w:r>
      <w:proofErr w:type="spellEnd"/>
      <w:r w:rsidRPr="004C7EDF">
        <w:rPr>
          <w:sz w:val="24"/>
          <w:szCs w:val="24"/>
        </w:rPr>
        <w:t xml:space="preserve"> (median </w:t>
      </w:r>
      <w:proofErr w:type="spellStart"/>
      <w:r w:rsidRPr="004C7EDF">
        <w:rPr>
          <w:sz w:val="24"/>
          <w:szCs w:val="24"/>
        </w:rPr>
        <w:t>t</w:t>
      </w:r>
      <w:r w:rsidRPr="004C7EDF">
        <w:rPr>
          <w:sz w:val="24"/>
          <w:szCs w:val="24"/>
          <w:vertAlign w:val="subscript"/>
        </w:rPr>
        <w:t>max</w:t>
      </w:r>
      <w:proofErr w:type="spellEnd"/>
      <w:r w:rsidRPr="004C7EDF">
        <w:rPr>
          <w:sz w:val="24"/>
          <w:szCs w:val="24"/>
        </w:rPr>
        <w:t xml:space="preserve"> på 1,5 time) og blev gradvist elimineret fra plasma med betydelige koncentrationer målt i </w:t>
      </w:r>
      <w:r w:rsidRPr="00984579">
        <w:rPr>
          <w:sz w:val="24"/>
          <w:szCs w:val="24"/>
        </w:rPr>
        <w:t xml:space="preserve">venøst </w:t>
      </w:r>
      <w:r w:rsidRPr="004C7EDF">
        <w:rPr>
          <w:sz w:val="24"/>
          <w:szCs w:val="24"/>
        </w:rPr>
        <w:t xml:space="preserve">plasma 48 timer efter administration af </w:t>
      </w:r>
      <w:proofErr w:type="spellStart"/>
      <w:r w:rsidRPr="004C7EDF">
        <w:rPr>
          <w:sz w:val="24"/>
          <w:szCs w:val="24"/>
        </w:rPr>
        <w:t>methoxyfluran</w:t>
      </w:r>
      <w:proofErr w:type="spellEnd"/>
      <w:r w:rsidRPr="004C7EDF">
        <w:rPr>
          <w:sz w:val="24"/>
          <w:szCs w:val="24"/>
        </w:rPr>
        <w:t xml:space="preserve">. Efter intermitterende inhalation af en enkelt dosis på 3 ml </w:t>
      </w:r>
      <w:proofErr w:type="spellStart"/>
      <w:r w:rsidRPr="004C7EDF">
        <w:rPr>
          <w:sz w:val="24"/>
          <w:szCs w:val="24"/>
        </w:rPr>
        <w:t>methoxyfluran</w:t>
      </w:r>
      <w:proofErr w:type="spellEnd"/>
      <w:r w:rsidRPr="004C7EDF">
        <w:rPr>
          <w:sz w:val="24"/>
          <w:szCs w:val="24"/>
        </w:rPr>
        <w:t xml:space="preserve"> over en time er den venøse </w:t>
      </w:r>
      <w:proofErr w:type="spellStart"/>
      <w:r w:rsidRPr="004C7EDF">
        <w:rPr>
          <w:sz w:val="24"/>
          <w:szCs w:val="24"/>
        </w:rPr>
        <w:t>median</w:t>
      </w:r>
      <w:r w:rsidRPr="00984579">
        <w:rPr>
          <w:sz w:val="24"/>
          <w:szCs w:val="24"/>
        </w:rPr>
        <w:t>e</w:t>
      </w:r>
      <w:proofErr w:type="spellEnd"/>
      <w:r w:rsidRPr="00984579">
        <w:rPr>
          <w:sz w:val="24"/>
          <w:szCs w:val="24"/>
        </w:rPr>
        <w:t xml:space="preserve"> </w:t>
      </w:r>
      <w:r w:rsidRPr="004C7EDF">
        <w:rPr>
          <w:sz w:val="24"/>
          <w:szCs w:val="24"/>
        </w:rPr>
        <w:t xml:space="preserve">halveringstid for </w:t>
      </w:r>
      <w:proofErr w:type="spellStart"/>
      <w:r w:rsidRPr="004C7EDF">
        <w:rPr>
          <w:sz w:val="24"/>
          <w:szCs w:val="24"/>
        </w:rPr>
        <w:t>methoxyfluran</w:t>
      </w:r>
      <w:proofErr w:type="spellEnd"/>
      <w:r w:rsidRPr="004C7EDF">
        <w:rPr>
          <w:sz w:val="24"/>
          <w:szCs w:val="24"/>
        </w:rPr>
        <w:t xml:space="preserve"> 3,16 timer (interval 1,06-7,89 timer) og 33,30 timer (interval 23,50-51,20 timer) for uorganisk fluorid. PK-profilerne for </w:t>
      </w:r>
      <w:proofErr w:type="spellStart"/>
      <w:r w:rsidRPr="004C7EDF">
        <w:rPr>
          <w:sz w:val="24"/>
          <w:szCs w:val="24"/>
        </w:rPr>
        <w:t>methoxyfluran</w:t>
      </w:r>
      <w:proofErr w:type="spellEnd"/>
      <w:r w:rsidRPr="004C7EDF">
        <w:rPr>
          <w:sz w:val="24"/>
          <w:szCs w:val="24"/>
        </w:rPr>
        <w:t xml:space="preserve"> og uorganisk fluorid udviste høj variabilitet mellem forsøgspersoner. </w:t>
      </w:r>
      <w:r w:rsidRPr="00984579">
        <w:rPr>
          <w:sz w:val="24"/>
          <w:szCs w:val="24"/>
        </w:rPr>
        <w:t xml:space="preserve">Ca. 60 % af det optagne </w:t>
      </w: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 xml:space="preserve"> udskilles i urinen som organisk </w:t>
      </w:r>
      <w:proofErr w:type="spellStart"/>
      <w:r w:rsidRPr="00984579">
        <w:rPr>
          <w:sz w:val="24"/>
          <w:szCs w:val="24"/>
        </w:rPr>
        <w:t>fluorin</w:t>
      </w:r>
      <w:proofErr w:type="spellEnd"/>
      <w:r w:rsidRPr="00984579">
        <w:rPr>
          <w:sz w:val="24"/>
          <w:szCs w:val="24"/>
        </w:rPr>
        <w:t>, fluorid og oxalsyre; resten ekshaleres i uændret form eller som kuldioxid. De højeste niveauer af fluorid i blodet opnås hurtigere hos overvægtige end hos ikke-overvægtige patienter samt hos ældre.</w:t>
      </w:r>
    </w:p>
    <w:p w:rsidR="00D36430" w:rsidRPr="00DF75C9" w:rsidRDefault="00D36430" w:rsidP="00BE4A12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5.3</w:t>
      </w:r>
      <w:r w:rsidRPr="00DF75C9">
        <w:rPr>
          <w:b/>
          <w:sz w:val="24"/>
          <w:szCs w:val="24"/>
        </w:rPr>
        <w:tab/>
      </w:r>
      <w:r w:rsidR="008145CF">
        <w:rPr>
          <w:b/>
          <w:sz w:val="24"/>
          <w:szCs w:val="24"/>
        </w:rPr>
        <w:t>Non-</w:t>
      </w:r>
      <w:r w:rsidRPr="00DF75C9">
        <w:rPr>
          <w:b/>
          <w:sz w:val="24"/>
          <w:szCs w:val="24"/>
        </w:rPr>
        <w:t>kliniske sikkerhedsdata</w:t>
      </w:r>
    </w:p>
    <w:p w:rsidR="00D36430" w:rsidRDefault="00D36430" w:rsidP="00D36430">
      <w:pPr>
        <w:tabs>
          <w:tab w:val="left" w:pos="851"/>
        </w:tabs>
        <w:ind w:left="851" w:hanging="851"/>
        <w:rPr>
          <w:sz w:val="24"/>
          <w:szCs w:val="24"/>
          <w:u w:val="single"/>
        </w:rPr>
      </w:pP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  <w:u w:val="single"/>
          <w:lang w:eastAsia="da-DK"/>
        </w:rPr>
      </w:pPr>
      <w:r w:rsidRPr="00DF75C9">
        <w:rPr>
          <w:sz w:val="24"/>
          <w:szCs w:val="24"/>
          <w:u w:val="single"/>
        </w:rPr>
        <w:t xml:space="preserve">Genotoksicitet og </w:t>
      </w:r>
      <w:proofErr w:type="spellStart"/>
      <w:r w:rsidRPr="00DF75C9">
        <w:rPr>
          <w:sz w:val="24"/>
          <w:szCs w:val="24"/>
          <w:u w:val="single"/>
        </w:rPr>
        <w:t>karcinogenicitet</w:t>
      </w:r>
      <w:proofErr w:type="spellEnd"/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anses ikke for at være mutagent, undersøgt ved in </w:t>
      </w:r>
      <w:proofErr w:type="spellStart"/>
      <w:r w:rsidRPr="00DF75C9">
        <w:rPr>
          <w:sz w:val="24"/>
          <w:szCs w:val="24"/>
        </w:rPr>
        <w:t>vitro</w:t>
      </w:r>
      <w:proofErr w:type="spellEnd"/>
      <w:r w:rsidRPr="00DF75C9">
        <w:rPr>
          <w:sz w:val="24"/>
          <w:szCs w:val="24"/>
        </w:rPr>
        <w:t>-</w:t>
      </w:r>
      <w:proofErr w:type="spellStart"/>
      <w:r w:rsidRPr="00DF75C9">
        <w:rPr>
          <w:sz w:val="24"/>
          <w:szCs w:val="24"/>
        </w:rPr>
        <w:t>Ames</w:t>
      </w:r>
      <w:proofErr w:type="spellEnd"/>
      <w:r w:rsidRPr="00DF75C9">
        <w:rPr>
          <w:sz w:val="24"/>
          <w:szCs w:val="24"/>
        </w:rPr>
        <w:t xml:space="preserve">-test og in </w:t>
      </w:r>
      <w:proofErr w:type="spellStart"/>
      <w:r w:rsidRPr="00DF75C9">
        <w:rPr>
          <w:sz w:val="24"/>
          <w:szCs w:val="24"/>
        </w:rPr>
        <w:t>vivo-mikronukleusanalyse</w:t>
      </w:r>
      <w:proofErr w:type="spellEnd"/>
      <w:r w:rsidRPr="00DF75C9">
        <w:rPr>
          <w:sz w:val="24"/>
          <w:szCs w:val="24"/>
        </w:rPr>
        <w:t xml:space="preserve"> hos rotter. Der er ingen klar evidens for, at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har </w:t>
      </w:r>
      <w:proofErr w:type="spellStart"/>
      <w:r w:rsidRPr="00DF75C9">
        <w:rPr>
          <w:sz w:val="24"/>
          <w:szCs w:val="24"/>
        </w:rPr>
        <w:t>karcinogene</w:t>
      </w:r>
      <w:proofErr w:type="spellEnd"/>
      <w:r w:rsidRPr="00DF75C9">
        <w:rPr>
          <w:sz w:val="24"/>
          <w:szCs w:val="24"/>
        </w:rPr>
        <w:t xml:space="preserve"> egenskaber. Derudover reduceres den potentielle risiko ved, at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er beregnet til enkeltadministration eller korttidsbrug med pauser. </w:t>
      </w:r>
    </w:p>
    <w:p w:rsidR="00D36430" w:rsidRPr="00DF75C9" w:rsidRDefault="00D36430" w:rsidP="00D36430">
      <w:pPr>
        <w:tabs>
          <w:tab w:val="left" w:pos="851"/>
        </w:tabs>
        <w:ind w:left="851"/>
        <w:rPr>
          <w:sz w:val="24"/>
          <w:szCs w:val="24"/>
        </w:rPr>
      </w:pPr>
    </w:p>
    <w:p w:rsidR="000F42D5" w:rsidRPr="00DF75C9" w:rsidRDefault="000F42D5" w:rsidP="008437D7">
      <w:pPr>
        <w:keepNext/>
        <w:tabs>
          <w:tab w:val="left" w:pos="851"/>
        </w:tabs>
        <w:ind w:left="851"/>
        <w:rPr>
          <w:sz w:val="24"/>
          <w:szCs w:val="24"/>
          <w:u w:val="single"/>
        </w:rPr>
      </w:pPr>
      <w:r w:rsidRPr="00DF75C9">
        <w:rPr>
          <w:sz w:val="24"/>
          <w:szCs w:val="24"/>
          <w:u w:val="single"/>
        </w:rPr>
        <w:t xml:space="preserve">Reproduktions- og udviklingstoksicitet </w:t>
      </w:r>
    </w:p>
    <w:p w:rsidR="000F42D5" w:rsidRPr="00DF75C9" w:rsidRDefault="00BE4A12" w:rsidP="000F42D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 xml:space="preserve"> har ingen indvirkning på sædceller hos mus. I studier med mus og rotter passerede </w:t>
      </w:r>
      <w:proofErr w:type="spellStart"/>
      <w:r w:rsidRPr="00984579">
        <w:rPr>
          <w:sz w:val="24"/>
          <w:szCs w:val="24"/>
        </w:rPr>
        <w:t>methoxyfluran</w:t>
      </w:r>
      <w:proofErr w:type="spellEnd"/>
      <w:r w:rsidRPr="00984579">
        <w:rPr>
          <w:sz w:val="24"/>
          <w:szCs w:val="24"/>
        </w:rPr>
        <w:t xml:space="preserve"> placenta, men der sås ingen embryotoksisk eller </w:t>
      </w:r>
      <w:proofErr w:type="spellStart"/>
      <w:r w:rsidRPr="00984579">
        <w:rPr>
          <w:sz w:val="24"/>
          <w:szCs w:val="24"/>
        </w:rPr>
        <w:t>teratogene</w:t>
      </w:r>
      <w:proofErr w:type="spellEnd"/>
      <w:r w:rsidRPr="00984579">
        <w:rPr>
          <w:sz w:val="24"/>
          <w:szCs w:val="24"/>
        </w:rPr>
        <w:t xml:space="preserve"> egenskaber. Der sås dog forsinket fosterudvikling (reduceret fostervægt og nedsat </w:t>
      </w:r>
      <w:proofErr w:type="spellStart"/>
      <w:r w:rsidRPr="00984579">
        <w:rPr>
          <w:sz w:val="24"/>
          <w:szCs w:val="24"/>
        </w:rPr>
        <w:lastRenderedPageBreak/>
        <w:t>ossifikation</w:t>
      </w:r>
      <w:proofErr w:type="spellEnd"/>
      <w:r w:rsidRPr="00984579">
        <w:rPr>
          <w:sz w:val="24"/>
          <w:szCs w:val="24"/>
        </w:rPr>
        <w:t xml:space="preserve">) efter gentagen dosering over ni dage. Nuleffekt-niveauet (NOAEL) for </w:t>
      </w:r>
      <w:proofErr w:type="spellStart"/>
      <w:r w:rsidRPr="00984579">
        <w:rPr>
          <w:sz w:val="24"/>
          <w:szCs w:val="24"/>
        </w:rPr>
        <w:t>embryoføtal</w:t>
      </w:r>
      <w:proofErr w:type="spellEnd"/>
      <w:r w:rsidRPr="00984579">
        <w:rPr>
          <w:sz w:val="24"/>
          <w:szCs w:val="24"/>
        </w:rPr>
        <w:t xml:space="preserve"> udvikling var 0,006 % (104 mg/kg) - 4 t/dag hos mus og tæt på 0,01 % (245 mg/kg) – 8 t/dag hos rotter. Nuleffekt-niveauet (NOAEL) hos mus og rotter svarer til 1-2 gange den mg/kg-baserede margen og 0,1-0,3 gange den mg/m</w:t>
      </w:r>
      <w:r w:rsidRPr="004C7EDF">
        <w:rPr>
          <w:sz w:val="24"/>
          <w:szCs w:val="24"/>
          <w:vertAlign w:val="superscript"/>
        </w:rPr>
        <w:t>2</w:t>
      </w:r>
      <w:r w:rsidRPr="00984579">
        <w:rPr>
          <w:sz w:val="24"/>
          <w:szCs w:val="24"/>
        </w:rPr>
        <w:t xml:space="preserve">-baserede margen i forhold til den fastsatte kliniske maksimaldosis. Da </w:t>
      </w:r>
      <w:proofErr w:type="spellStart"/>
      <w:r w:rsidRPr="00984579">
        <w:rPr>
          <w:sz w:val="24"/>
          <w:szCs w:val="24"/>
        </w:rPr>
        <w:t>Penthrox</w:t>
      </w:r>
      <w:proofErr w:type="spellEnd"/>
      <w:r w:rsidRPr="00984579">
        <w:rPr>
          <w:sz w:val="24"/>
          <w:szCs w:val="24"/>
        </w:rPr>
        <w:t xml:space="preserve"> ikke er beregnet til daglig brug, anses risikoen for forsinket fosterudvikling for at være meget lav.</w:t>
      </w:r>
    </w:p>
    <w:p w:rsidR="000F42D5" w:rsidRDefault="000F42D5" w:rsidP="000F42D5">
      <w:pPr>
        <w:tabs>
          <w:tab w:val="left" w:pos="851"/>
        </w:tabs>
        <w:ind w:left="851"/>
        <w:rPr>
          <w:sz w:val="24"/>
          <w:szCs w:val="24"/>
        </w:rPr>
      </w:pPr>
    </w:p>
    <w:p w:rsidR="000F42D5" w:rsidRPr="005E3F14" w:rsidRDefault="000F42D5" w:rsidP="000F42D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Publicerede dyreforsøg (inklusive primater) viser at, brugen af </w:t>
      </w:r>
      <w:proofErr w:type="spellStart"/>
      <w:r>
        <w:rPr>
          <w:sz w:val="24"/>
          <w:szCs w:val="24"/>
        </w:rPr>
        <w:t>anæstetika</w:t>
      </w:r>
      <w:proofErr w:type="spellEnd"/>
      <w:r>
        <w:rPr>
          <w:sz w:val="24"/>
          <w:szCs w:val="24"/>
        </w:rPr>
        <w:t xml:space="preserve">, ved doser der resulterede i let til moderat anæstesi, under perioden hvor hjernen udvikles hurtigt eller under </w:t>
      </w:r>
      <w:proofErr w:type="spellStart"/>
      <w:r>
        <w:rPr>
          <w:sz w:val="24"/>
          <w:szCs w:val="24"/>
        </w:rPr>
        <w:t>synaptogenese</w:t>
      </w:r>
      <w:proofErr w:type="spellEnd"/>
      <w:r>
        <w:rPr>
          <w:sz w:val="24"/>
          <w:szCs w:val="24"/>
        </w:rPr>
        <w:t xml:space="preserve">, resulterer i celletab i den udviklende hjerne, hvilket </w:t>
      </w:r>
      <w:r w:rsidRPr="005E3F14">
        <w:rPr>
          <w:sz w:val="24"/>
          <w:szCs w:val="24"/>
        </w:rPr>
        <w:t>kan associeres med langvarige kognitive mang</w:t>
      </w:r>
      <w:r w:rsidRPr="00791DC1">
        <w:rPr>
          <w:sz w:val="24"/>
          <w:szCs w:val="24"/>
        </w:rPr>
        <w:t>l</w:t>
      </w:r>
      <w:r w:rsidRPr="005E3F14">
        <w:rPr>
          <w:sz w:val="24"/>
          <w:szCs w:val="24"/>
        </w:rPr>
        <w:t xml:space="preserve">er. </w:t>
      </w:r>
      <w:r>
        <w:rPr>
          <w:sz w:val="24"/>
          <w:szCs w:val="24"/>
        </w:rPr>
        <w:t>Den kliniske betydning af disse non-kliniske fund, er ikke kendt.</w:t>
      </w:r>
    </w:p>
    <w:p w:rsidR="000F42D5" w:rsidRPr="004860D8" w:rsidRDefault="000F42D5" w:rsidP="000F42D5">
      <w:pPr>
        <w:tabs>
          <w:tab w:val="left" w:pos="851"/>
        </w:tabs>
        <w:ind w:left="851"/>
        <w:rPr>
          <w:sz w:val="24"/>
          <w:szCs w:val="24"/>
        </w:rPr>
      </w:pPr>
    </w:p>
    <w:p w:rsidR="000F42D5" w:rsidRPr="00764FDD" w:rsidRDefault="000F42D5" w:rsidP="000F42D5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393C39">
        <w:rPr>
          <w:sz w:val="24"/>
          <w:szCs w:val="24"/>
          <w:u w:val="single"/>
        </w:rPr>
        <w:t xml:space="preserve">Indvirkning på </w:t>
      </w:r>
      <w:r w:rsidRPr="008078F7">
        <w:rPr>
          <w:sz w:val="24"/>
          <w:szCs w:val="24"/>
          <w:u w:val="single"/>
        </w:rPr>
        <w:t>nyre</w:t>
      </w:r>
      <w:r w:rsidR="001B1419">
        <w:rPr>
          <w:sz w:val="24"/>
          <w:szCs w:val="24"/>
          <w:u w:val="single"/>
        </w:rPr>
        <w:t>r</w:t>
      </w:r>
      <w:r w:rsidRPr="008078F7">
        <w:rPr>
          <w:sz w:val="24"/>
          <w:szCs w:val="24"/>
          <w:u w:val="single"/>
        </w:rPr>
        <w:t>n</w:t>
      </w:r>
      <w:r w:rsidR="001B1419">
        <w:rPr>
          <w:sz w:val="24"/>
          <w:szCs w:val="24"/>
          <w:u w:val="single"/>
        </w:rPr>
        <w:t>e</w:t>
      </w:r>
      <w:r w:rsidRPr="008078F7">
        <w:rPr>
          <w:sz w:val="24"/>
          <w:szCs w:val="24"/>
          <w:u w:val="single"/>
        </w:rPr>
        <w:t xml:space="preserve"> og </w:t>
      </w:r>
      <w:r w:rsidRPr="00714F57">
        <w:rPr>
          <w:sz w:val="24"/>
          <w:szCs w:val="24"/>
          <w:u w:val="single"/>
        </w:rPr>
        <w:t>leveren</w:t>
      </w:r>
    </w:p>
    <w:p w:rsidR="000F42D5" w:rsidRPr="004E2757" w:rsidRDefault="000F42D5" w:rsidP="000F42D5">
      <w:pPr>
        <w:tabs>
          <w:tab w:val="left" w:pos="851"/>
        </w:tabs>
        <w:ind w:left="851"/>
        <w:rPr>
          <w:szCs w:val="22"/>
        </w:rPr>
      </w:pPr>
      <w:r w:rsidRPr="004E2757">
        <w:rPr>
          <w:szCs w:val="22"/>
        </w:rPr>
        <w:t>Kon</w:t>
      </w:r>
      <w:r>
        <w:rPr>
          <w:szCs w:val="22"/>
        </w:rPr>
        <w:t>tinuerlig administration af høje anæstetiske</w:t>
      </w:r>
      <w:r w:rsidRPr="004E2757">
        <w:rPr>
          <w:szCs w:val="22"/>
        </w:rPr>
        <w:t xml:space="preserve"> doser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>
        <w:rPr>
          <w:sz w:val="24"/>
          <w:szCs w:val="24"/>
        </w:rPr>
        <w:t xml:space="preserve"> til rotter har været associeret med </w:t>
      </w:r>
      <w:proofErr w:type="spellStart"/>
      <w:r>
        <w:rPr>
          <w:sz w:val="24"/>
          <w:szCs w:val="24"/>
        </w:rPr>
        <w:t>renal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tubulær</w:t>
      </w:r>
      <w:proofErr w:type="spellEnd"/>
      <w:r>
        <w:rPr>
          <w:sz w:val="24"/>
          <w:szCs w:val="24"/>
        </w:rPr>
        <w:t xml:space="preserve"> nekrose og hævelse af mitokondrier.</w:t>
      </w:r>
    </w:p>
    <w:p w:rsidR="000F42D5" w:rsidRDefault="000F42D5" w:rsidP="000F42D5">
      <w:pPr>
        <w:tabs>
          <w:tab w:val="left" w:pos="851"/>
        </w:tabs>
        <w:ind w:left="851"/>
        <w:rPr>
          <w:sz w:val="24"/>
          <w:szCs w:val="24"/>
        </w:rPr>
      </w:pPr>
      <w:r w:rsidRPr="00DF75C9">
        <w:rPr>
          <w:sz w:val="24"/>
          <w:szCs w:val="24"/>
        </w:rPr>
        <w:t xml:space="preserve">Gentagen intermitterende eller kontinuerlig administration af subanæstetiske koncentrationer af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 w:rsidRPr="00DF75C9">
        <w:rPr>
          <w:sz w:val="24"/>
          <w:szCs w:val="24"/>
        </w:rPr>
        <w:t xml:space="preserve"> har været forbundet med begrænsede eller sædvanligvis reversible leverændringer (fedtmetamorfose, forhøjet ALAT/ASAT) hos flere arter. </w:t>
      </w:r>
    </w:p>
    <w:p w:rsidR="000F42D5" w:rsidRDefault="000F42D5" w:rsidP="000F42D5">
      <w:pPr>
        <w:tabs>
          <w:tab w:val="left" w:pos="851"/>
        </w:tabs>
        <w:ind w:left="851"/>
        <w:rPr>
          <w:sz w:val="24"/>
          <w:szCs w:val="24"/>
        </w:rPr>
      </w:pPr>
    </w:p>
    <w:p w:rsidR="000F42D5" w:rsidRPr="00DF75C9" w:rsidRDefault="000F42D5" w:rsidP="000F42D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Efter 6 timers kontinuerlig inhalation af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>
        <w:rPr>
          <w:sz w:val="24"/>
          <w:szCs w:val="24"/>
        </w:rPr>
        <w:t xml:space="preserve"> i 14 på hinanden følgende dage i rotter, var nyrefund begrænset til minimal </w:t>
      </w:r>
      <w:proofErr w:type="spellStart"/>
      <w:r w:rsidRPr="00D7207A">
        <w:rPr>
          <w:sz w:val="24"/>
          <w:szCs w:val="24"/>
        </w:rPr>
        <w:t>vakuolisering</w:t>
      </w:r>
      <w:proofErr w:type="spellEnd"/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kortikal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tubuli</w:t>
      </w:r>
      <w:proofErr w:type="spellEnd"/>
      <w:r>
        <w:rPr>
          <w:sz w:val="24"/>
          <w:szCs w:val="24"/>
        </w:rPr>
        <w:t xml:space="preserve">. I leveren var der minimal/mild </w:t>
      </w:r>
      <w:proofErr w:type="spellStart"/>
      <w:r w:rsidRPr="00132D4A">
        <w:rPr>
          <w:sz w:val="24"/>
          <w:szCs w:val="24"/>
        </w:rPr>
        <w:t>centrilobulær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vakuoliserings</w:t>
      </w:r>
      <w:proofErr w:type="spellEnd"/>
      <w:r>
        <w:rPr>
          <w:sz w:val="24"/>
          <w:szCs w:val="24"/>
        </w:rPr>
        <w:t>-ekspansion af cytoplasma (</w:t>
      </w:r>
      <w:proofErr w:type="spellStart"/>
      <w:r w:rsidRPr="00132D4A">
        <w:rPr>
          <w:sz w:val="24"/>
          <w:szCs w:val="24"/>
        </w:rPr>
        <w:t>centrilobulær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hepatocytter</w:t>
      </w:r>
      <w:proofErr w:type="spellEnd"/>
      <w:r>
        <w:rPr>
          <w:sz w:val="24"/>
          <w:szCs w:val="24"/>
        </w:rPr>
        <w:t>) der giver cytoplasmaet et skumagtigt udseende.</w:t>
      </w:r>
    </w:p>
    <w:p w:rsidR="000F42D5" w:rsidRDefault="000F42D5" w:rsidP="000F42D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F42D5" w:rsidRDefault="000F42D5" w:rsidP="000F42D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 xml:space="preserve">Efter 90 minutters kontinuerlig inhalation af </w:t>
      </w:r>
      <w:proofErr w:type="spellStart"/>
      <w:r w:rsidRPr="00DF75C9">
        <w:rPr>
          <w:sz w:val="24"/>
          <w:szCs w:val="24"/>
        </w:rPr>
        <w:t>methoxyfluran</w:t>
      </w:r>
      <w:proofErr w:type="spellEnd"/>
      <w:r>
        <w:rPr>
          <w:sz w:val="24"/>
          <w:szCs w:val="24"/>
        </w:rPr>
        <w:t xml:space="preserve"> i 14 på hinanden følgende dage hos hunde, var der ikke noteret nogle fremtrædende nyrefund. I leveren var der minimal/mild </w:t>
      </w:r>
      <w:proofErr w:type="spellStart"/>
      <w:r w:rsidRPr="00132D4A">
        <w:rPr>
          <w:sz w:val="24"/>
          <w:szCs w:val="24"/>
        </w:rPr>
        <w:t>centrilobulær</w:t>
      </w:r>
      <w:proofErr w:type="spellEnd"/>
      <w:r>
        <w:rPr>
          <w:sz w:val="24"/>
          <w:szCs w:val="24"/>
        </w:rPr>
        <w:t xml:space="preserve"> glykogenakkumulering.</w:t>
      </w:r>
    </w:p>
    <w:p w:rsidR="000F42D5" w:rsidRDefault="000F42D5" w:rsidP="000F42D5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F42D5" w:rsidRPr="008D304B" w:rsidRDefault="000F42D5" w:rsidP="000F42D5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BE4A12" w:rsidRPr="00984579">
        <w:rPr>
          <w:sz w:val="24"/>
          <w:szCs w:val="24"/>
        </w:rPr>
        <w:t xml:space="preserve">Nuleffekt-niveauer (NOAEL) på 396 mg/kg og 153 mg/kg blev rapporteret i de ovenstående henholdsvis rotte- og hundeforsøg. NOAEL hos rotterne og hundene svarer til en eksponeringsmargen på 0,3 gange baseret på AUC-data og en eksponeringsmargen på 0,2 gange baseret på </w:t>
      </w:r>
      <w:proofErr w:type="spellStart"/>
      <w:r w:rsidR="00BE4A12" w:rsidRPr="00984579">
        <w:rPr>
          <w:sz w:val="24"/>
          <w:szCs w:val="24"/>
        </w:rPr>
        <w:t>C</w:t>
      </w:r>
      <w:r w:rsidR="00BE4A12" w:rsidRPr="004C7EDF">
        <w:rPr>
          <w:sz w:val="24"/>
          <w:szCs w:val="24"/>
          <w:vertAlign w:val="subscript"/>
        </w:rPr>
        <w:t>max</w:t>
      </w:r>
      <w:proofErr w:type="spellEnd"/>
      <w:r w:rsidR="00BE4A12" w:rsidRPr="00984579">
        <w:rPr>
          <w:sz w:val="24"/>
          <w:szCs w:val="24"/>
        </w:rPr>
        <w:t xml:space="preserve">-værdier i forhold til den foreslåede maksimale kliniske dosis på 6 ml daglig. Disse </w:t>
      </w:r>
      <w:proofErr w:type="spellStart"/>
      <w:r w:rsidR="00BE4A12" w:rsidRPr="00984579">
        <w:rPr>
          <w:sz w:val="24"/>
          <w:szCs w:val="24"/>
        </w:rPr>
        <w:t>renale</w:t>
      </w:r>
      <w:proofErr w:type="spellEnd"/>
      <w:r w:rsidR="00BE4A12" w:rsidRPr="00984579">
        <w:rPr>
          <w:sz w:val="24"/>
          <w:szCs w:val="24"/>
        </w:rPr>
        <w:t xml:space="preserve"> og </w:t>
      </w:r>
      <w:proofErr w:type="spellStart"/>
      <w:r w:rsidR="00BE4A12" w:rsidRPr="00984579">
        <w:rPr>
          <w:sz w:val="24"/>
          <w:szCs w:val="24"/>
        </w:rPr>
        <w:t>hepatiske</w:t>
      </w:r>
      <w:proofErr w:type="spellEnd"/>
      <w:r w:rsidR="00BE4A12" w:rsidRPr="00984579">
        <w:rPr>
          <w:sz w:val="24"/>
          <w:szCs w:val="24"/>
        </w:rPr>
        <w:t xml:space="preserve"> indvirkninger blev dog observeret ved forlængede og gentagne administrationer over 14 dage. Den totale eksponering overstiger derfor den eksponering, der forventes ved normal klinisk anvendelse af produktet.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6.</w:t>
      </w:r>
      <w:r w:rsidRPr="00DF75C9">
        <w:rPr>
          <w:b/>
          <w:sz w:val="24"/>
          <w:szCs w:val="24"/>
        </w:rPr>
        <w:tab/>
        <w:t>FARMACEUTISKE OPLYSNINGER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6.1</w:t>
      </w:r>
      <w:r w:rsidRPr="00DF75C9">
        <w:rPr>
          <w:b/>
          <w:sz w:val="24"/>
          <w:szCs w:val="24"/>
        </w:rPr>
        <w:tab/>
        <w:t>Hjælpestoffer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Butylhydroxytoluen</w:t>
      </w:r>
      <w:proofErr w:type="spellEnd"/>
      <w:r>
        <w:rPr>
          <w:sz w:val="24"/>
          <w:szCs w:val="24"/>
        </w:rPr>
        <w:t xml:space="preserve"> </w:t>
      </w:r>
      <w:r w:rsidRPr="00DF75C9">
        <w:rPr>
          <w:sz w:val="24"/>
          <w:szCs w:val="24"/>
        </w:rPr>
        <w:t>E321 (stabilisator).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6.2</w:t>
      </w:r>
      <w:r w:rsidRPr="00DF75C9">
        <w:rPr>
          <w:b/>
          <w:sz w:val="24"/>
          <w:szCs w:val="24"/>
        </w:rPr>
        <w:tab/>
        <w:t>Uforligeligheder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>Ikke relevant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8437D7">
      <w:pPr>
        <w:keepNext/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6.3</w:t>
      </w:r>
      <w:r w:rsidRPr="00DF75C9">
        <w:rPr>
          <w:b/>
          <w:sz w:val="24"/>
          <w:szCs w:val="24"/>
        </w:rPr>
        <w:tab/>
        <w:t>Opbevaringstid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 w:rsidRPr="00DF75C9">
        <w:rPr>
          <w:sz w:val="24"/>
          <w:szCs w:val="24"/>
        </w:rPr>
        <w:tab/>
        <w:t>36 måneder.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6.4</w:t>
      </w:r>
      <w:r w:rsidRPr="00DF75C9">
        <w:rPr>
          <w:b/>
          <w:sz w:val="24"/>
          <w:szCs w:val="24"/>
        </w:rPr>
        <w:tab/>
        <w:t>Særlige opbevaringsforhold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="001B1419">
        <w:rPr>
          <w:sz w:val="24"/>
          <w:szCs w:val="24"/>
        </w:rPr>
        <w:t>Dette lægemiddel kræver ingen særlige forholdsregler vedrørende opbevaringen.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6.5</w:t>
      </w:r>
      <w:r w:rsidRPr="00DF75C9">
        <w:rPr>
          <w:b/>
          <w:sz w:val="24"/>
          <w:szCs w:val="24"/>
        </w:rPr>
        <w:tab/>
        <w:t>Emballagetype og pakningsstørrelser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 leveres i følgende pakninger: </w:t>
      </w:r>
    </w:p>
    <w:p w:rsidR="00D36430" w:rsidRPr="00DF75C9" w:rsidRDefault="00D36430" w:rsidP="00D36430">
      <w:pPr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DF75C9">
        <w:rPr>
          <w:sz w:val="24"/>
          <w:szCs w:val="24"/>
        </w:rPr>
        <w:t>En flaske med afrivelig sikkerhedsforsegling (10-pak)</w:t>
      </w:r>
    </w:p>
    <w:p w:rsidR="00D36430" w:rsidRPr="00DF75C9" w:rsidRDefault="00D36430" w:rsidP="00D36430">
      <w:pPr>
        <w:numPr>
          <w:ilvl w:val="0"/>
          <w:numId w:val="10"/>
        </w:numPr>
        <w:ind w:left="1276" w:hanging="425"/>
        <w:rPr>
          <w:sz w:val="24"/>
          <w:szCs w:val="24"/>
        </w:rPr>
      </w:pPr>
      <w:r w:rsidRPr="00DF75C9">
        <w:rPr>
          <w:sz w:val="24"/>
          <w:szCs w:val="24"/>
        </w:rPr>
        <w:t xml:space="preserve">Kombinationspakning med én flaske med 3 ml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, én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-inhalator og ét kammer med aktivt kul (1- eller 10-pak). 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>Ikke alle pakningsstørrelser er nødvendigvis markedsført.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6.6</w:t>
      </w:r>
      <w:r w:rsidRPr="00DF75C9">
        <w:rPr>
          <w:b/>
          <w:sz w:val="24"/>
          <w:szCs w:val="24"/>
        </w:rPr>
        <w:tab/>
        <w:t xml:space="preserve">Regler for </w:t>
      </w:r>
      <w:r w:rsidR="008145CF">
        <w:rPr>
          <w:b/>
          <w:sz w:val="24"/>
          <w:szCs w:val="24"/>
        </w:rPr>
        <w:t>bortskaffelse</w:t>
      </w:r>
      <w:r w:rsidRPr="00DF75C9">
        <w:rPr>
          <w:b/>
          <w:sz w:val="24"/>
          <w:szCs w:val="24"/>
        </w:rPr>
        <w:t xml:space="preserve"> og anden håndtering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 xml:space="preserve">Når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-inhalatoren er klargjort, skal hætten sættes på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 xml:space="preserve">-flasken igen. Efter brug skal </w:t>
      </w:r>
      <w:proofErr w:type="spellStart"/>
      <w:r w:rsidRPr="00DF75C9">
        <w:rPr>
          <w:sz w:val="24"/>
          <w:szCs w:val="24"/>
        </w:rPr>
        <w:t>Penthrox</w:t>
      </w:r>
      <w:proofErr w:type="spellEnd"/>
      <w:r w:rsidRPr="00DF75C9">
        <w:rPr>
          <w:sz w:val="24"/>
          <w:szCs w:val="24"/>
        </w:rPr>
        <w:t>-inhalatoren og den brugte flaske lægges i den medfølgende plasticpose, som lukkes og bortskaffes på ansvarlig vis i henhold til lokale retningslinjer.</w:t>
      </w:r>
    </w:p>
    <w:p w:rsidR="00AD0930" w:rsidRPr="00DF75C9" w:rsidRDefault="00AD0930" w:rsidP="00D3643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7.</w:t>
      </w:r>
      <w:r w:rsidRPr="00DF75C9">
        <w:rPr>
          <w:b/>
          <w:sz w:val="24"/>
          <w:szCs w:val="24"/>
        </w:rPr>
        <w:tab/>
        <w:t>INDEHAVER AF MARKEDSFØRINGSTILLADELSEN</w:t>
      </w:r>
    </w:p>
    <w:p w:rsidR="00AD0930" w:rsidRPr="00372188" w:rsidRDefault="00D36430" w:rsidP="00AD09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AD0930" w:rsidRPr="00372188">
        <w:rPr>
          <w:sz w:val="24"/>
          <w:szCs w:val="24"/>
        </w:rPr>
        <w:t>Medical Developments NED B.V.</w:t>
      </w:r>
    </w:p>
    <w:p w:rsidR="00AD0930" w:rsidRPr="00AD0930" w:rsidRDefault="00AD0930" w:rsidP="00AD0930">
      <w:pPr>
        <w:tabs>
          <w:tab w:val="left" w:pos="851"/>
        </w:tabs>
        <w:ind w:left="851" w:hanging="851"/>
        <w:rPr>
          <w:sz w:val="24"/>
          <w:szCs w:val="24"/>
          <w:lang w:val="en-US"/>
        </w:rPr>
      </w:pPr>
      <w:r w:rsidRPr="00372188">
        <w:rPr>
          <w:sz w:val="24"/>
          <w:szCs w:val="24"/>
        </w:rPr>
        <w:tab/>
      </w:r>
      <w:proofErr w:type="spellStart"/>
      <w:r w:rsidR="00DC505D" w:rsidRPr="00DC505D">
        <w:rPr>
          <w:sz w:val="24"/>
          <w:szCs w:val="24"/>
          <w:lang w:val="en-US"/>
        </w:rPr>
        <w:t>Strawinskylaan</w:t>
      </w:r>
      <w:proofErr w:type="spellEnd"/>
      <w:r w:rsidR="00DC505D" w:rsidRPr="00DC505D">
        <w:rPr>
          <w:sz w:val="24"/>
          <w:szCs w:val="24"/>
          <w:lang w:val="en-US"/>
        </w:rPr>
        <w:t xml:space="preserve"> 1647, Tower 7</w:t>
      </w:r>
      <w:bookmarkStart w:id="0" w:name="_GoBack"/>
      <w:bookmarkEnd w:id="0"/>
    </w:p>
    <w:p w:rsidR="00AD0930" w:rsidRPr="00AD0930" w:rsidRDefault="00AD0930" w:rsidP="00AD0930">
      <w:pPr>
        <w:tabs>
          <w:tab w:val="left" w:pos="851"/>
        </w:tabs>
        <w:ind w:left="851" w:hanging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ab/>
      </w:r>
      <w:r w:rsidRPr="00AD0930">
        <w:rPr>
          <w:sz w:val="24"/>
          <w:szCs w:val="24"/>
          <w:lang w:val="en-US"/>
        </w:rPr>
        <w:t>1077 XX Amsterdam</w:t>
      </w:r>
    </w:p>
    <w:p w:rsidR="00D36430" w:rsidRPr="00DF75C9" w:rsidRDefault="00AD0930" w:rsidP="00AD0930">
      <w:pPr>
        <w:tabs>
          <w:tab w:val="left" w:pos="851"/>
        </w:tabs>
        <w:ind w:left="851" w:hanging="851"/>
        <w:rPr>
          <w:sz w:val="24"/>
          <w:szCs w:val="24"/>
        </w:rPr>
      </w:pPr>
      <w:r w:rsidRPr="00372188">
        <w:rPr>
          <w:sz w:val="24"/>
          <w:szCs w:val="24"/>
          <w:lang w:val="en-US"/>
        </w:rPr>
        <w:tab/>
      </w:r>
      <w:r>
        <w:rPr>
          <w:sz w:val="24"/>
          <w:szCs w:val="24"/>
        </w:rPr>
        <w:t>Holland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8.</w:t>
      </w:r>
      <w:r w:rsidRPr="00DF75C9">
        <w:rPr>
          <w:b/>
          <w:sz w:val="24"/>
          <w:szCs w:val="24"/>
        </w:rPr>
        <w:tab/>
        <w:t>MARKEDSFØRINGSTILLADELSESNUMMER (</w:t>
      </w:r>
      <w:r w:rsidR="006F0B3B">
        <w:rPr>
          <w:b/>
          <w:sz w:val="24"/>
          <w:szCs w:val="24"/>
        </w:rPr>
        <w:t>-</w:t>
      </w:r>
      <w:r w:rsidRPr="00DF75C9">
        <w:rPr>
          <w:b/>
          <w:sz w:val="24"/>
          <w:szCs w:val="24"/>
        </w:rPr>
        <w:t>NUMRE)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DF75C9">
        <w:rPr>
          <w:sz w:val="24"/>
          <w:szCs w:val="24"/>
        </w:rPr>
        <w:t>58788</w:t>
      </w:r>
    </w:p>
    <w:p w:rsidR="00D36430" w:rsidRPr="00DF75C9" w:rsidRDefault="00D36430" w:rsidP="00D36430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9.</w:t>
      </w:r>
      <w:r w:rsidRPr="00DF75C9">
        <w:rPr>
          <w:b/>
          <w:sz w:val="24"/>
          <w:szCs w:val="24"/>
        </w:rPr>
        <w:tab/>
        <w:t>DATO FOR FØRSTE MARKEDSFØRINGSTILLADELSE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17. januar 2018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D36430" w:rsidRPr="00DF75C9" w:rsidRDefault="00D36430" w:rsidP="00D3643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F75C9">
        <w:rPr>
          <w:b/>
          <w:sz w:val="24"/>
          <w:szCs w:val="24"/>
        </w:rPr>
        <w:t>10.</w:t>
      </w:r>
      <w:r w:rsidRPr="00DF75C9">
        <w:rPr>
          <w:b/>
          <w:sz w:val="24"/>
          <w:szCs w:val="24"/>
        </w:rPr>
        <w:tab/>
        <w:t>DATO FOR ÆNDRING AF TEKSTEN</w:t>
      </w:r>
    </w:p>
    <w:p w:rsidR="00D36430" w:rsidRPr="00DF75C9" w:rsidRDefault="00D36430" w:rsidP="00D36430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DC505D">
        <w:rPr>
          <w:sz w:val="24"/>
          <w:szCs w:val="24"/>
        </w:rPr>
        <w:t>23. december 2024</w:t>
      </w:r>
    </w:p>
    <w:p w:rsidR="00D36430" w:rsidRPr="00A91DEA" w:rsidRDefault="00D36430" w:rsidP="00D36430"/>
    <w:p w:rsidR="00D36430" w:rsidRPr="00E224F1" w:rsidRDefault="00D36430" w:rsidP="00D36430"/>
    <w:p w:rsidR="009260DE" w:rsidRPr="00D36430" w:rsidRDefault="009260DE" w:rsidP="00D36430"/>
    <w:sectPr w:rsidR="009260DE" w:rsidRPr="00D36430" w:rsidSect="000259B9">
      <w:footerReference w:type="default" r:id="rId17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430" w:rsidRDefault="00D36430">
      <w:r>
        <w:separator/>
      </w:r>
    </w:p>
  </w:endnote>
  <w:endnote w:type="continuationSeparator" w:id="0">
    <w:p w:rsidR="00D36430" w:rsidRDefault="00D3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F42D5">
      <w:rPr>
        <w:i/>
        <w:noProof/>
        <w:sz w:val="18"/>
        <w:szCs w:val="18"/>
      </w:rPr>
      <w:t>Penthrox, væske til inhalationsdamp 99,9 %, 3 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430" w:rsidRDefault="00D36430">
      <w:r>
        <w:separator/>
      </w:r>
    </w:p>
  </w:footnote>
  <w:footnote w:type="continuationSeparator" w:id="0">
    <w:p w:rsidR="00D36430" w:rsidRDefault="00D364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16359"/>
    <w:multiLevelType w:val="hybridMultilevel"/>
    <w:tmpl w:val="4E98AE9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6E01381"/>
    <w:multiLevelType w:val="hybridMultilevel"/>
    <w:tmpl w:val="FA0C34FE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>
      <w:start w:val="1"/>
      <w:numFmt w:val="lowerLetter"/>
      <w:lvlText w:val="%2."/>
      <w:lvlJc w:val="left"/>
      <w:pPr>
        <w:ind w:left="2291" w:hanging="360"/>
      </w:pPr>
    </w:lvl>
    <w:lvl w:ilvl="2" w:tplc="0409001B">
      <w:start w:val="1"/>
      <w:numFmt w:val="lowerRoman"/>
      <w:lvlText w:val="%3."/>
      <w:lvlJc w:val="right"/>
      <w:pPr>
        <w:ind w:left="3011" w:hanging="180"/>
      </w:pPr>
    </w:lvl>
    <w:lvl w:ilvl="3" w:tplc="0409000F">
      <w:start w:val="1"/>
      <w:numFmt w:val="decimal"/>
      <w:lvlText w:val="%4."/>
      <w:lvlJc w:val="left"/>
      <w:pPr>
        <w:ind w:left="3731" w:hanging="360"/>
      </w:pPr>
    </w:lvl>
    <w:lvl w:ilvl="4" w:tplc="04090019">
      <w:start w:val="1"/>
      <w:numFmt w:val="lowerLetter"/>
      <w:lvlText w:val="%5."/>
      <w:lvlJc w:val="left"/>
      <w:pPr>
        <w:ind w:left="4451" w:hanging="360"/>
      </w:pPr>
    </w:lvl>
    <w:lvl w:ilvl="5" w:tplc="0409001B">
      <w:start w:val="1"/>
      <w:numFmt w:val="lowerRoman"/>
      <w:lvlText w:val="%6."/>
      <w:lvlJc w:val="right"/>
      <w:pPr>
        <w:ind w:left="5171" w:hanging="180"/>
      </w:pPr>
    </w:lvl>
    <w:lvl w:ilvl="6" w:tplc="0409000F">
      <w:start w:val="1"/>
      <w:numFmt w:val="decimal"/>
      <w:lvlText w:val="%7."/>
      <w:lvlJc w:val="left"/>
      <w:pPr>
        <w:ind w:left="5891" w:hanging="360"/>
      </w:pPr>
    </w:lvl>
    <w:lvl w:ilvl="7" w:tplc="04090019">
      <w:start w:val="1"/>
      <w:numFmt w:val="lowerLetter"/>
      <w:lvlText w:val="%8."/>
      <w:lvlJc w:val="left"/>
      <w:pPr>
        <w:ind w:left="6611" w:hanging="360"/>
      </w:pPr>
    </w:lvl>
    <w:lvl w:ilvl="8" w:tplc="0409001B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3EC55696"/>
    <w:multiLevelType w:val="hybridMultilevel"/>
    <w:tmpl w:val="F296F60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0147963"/>
    <w:multiLevelType w:val="hybridMultilevel"/>
    <w:tmpl w:val="1A64CD5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ECA4E89"/>
    <w:multiLevelType w:val="hybridMultilevel"/>
    <w:tmpl w:val="511C1E16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30"/>
    <w:rsid w:val="000259B9"/>
    <w:rsid w:val="00041491"/>
    <w:rsid w:val="00050D16"/>
    <w:rsid w:val="00074F2A"/>
    <w:rsid w:val="000A1CA8"/>
    <w:rsid w:val="000A466B"/>
    <w:rsid w:val="000B058C"/>
    <w:rsid w:val="000B2998"/>
    <w:rsid w:val="000C5389"/>
    <w:rsid w:val="000E4C63"/>
    <w:rsid w:val="000E4EE6"/>
    <w:rsid w:val="000F42D5"/>
    <w:rsid w:val="001311A7"/>
    <w:rsid w:val="001454E2"/>
    <w:rsid w:val="001B1419"/>
    <w:rsid w:val="00206CE8"/>
    <w:rsid w:val="0021526C"/>
    <w:rsid w:val="00256692"/>
    <w:rsid w:val="00283A2B"/>
    <w:rsid w:val="002B30AD"/>
    <w:rsid w:val="002C2C01"/>
    <w:rsid w:val="00372188"/>
    <w:rsid w:val="003A29AE"/>
    <w:rsid w:val="003A32D7"/>
    <w:rsid w:val="003B4074"/>
    <w:rsid w:val="003C769A"/>
    <w:rsid w:val="003E7170"/>
    <w:rsid w:val="003F1838"/>
    <w:rsid w:val="0045746C"/>
    <w:rsid w:val="0049104B"/>
    <w:rsid w:val="004D2181"/>
    <w:rsid w:val="004E207F"/>
    <w:rsid w:val="004E3B12"/>
    <w:rsid w:val="005005BB"/>
    <w:rsid w:val="00532310"/>
    <w:rsid w:val="00544FAE"/>
    <w:rsid w:val="00551BEC"/>
    <w:rsid w:val="00560ECC"/>
    <w:rsid w:val="00565F0F"/>
    <w:rsid w:val="00594A86"/>
    <w:rsid w:val="00596D86"/>
    <w:rsid w:val="005A1925"/>
    <w:rsid w:val="00637F5A"/>
    <w:rsid w:val="00643136"/>
    <w:rsid w:val="00655954"/>
    <w:rsid w:val="006560B1"/>
    <w:rsid w:val="006756DD"/>
    <w:rsid w:val="00697731"/>
    <w:rsid w:val="006C51CC"/>
    <w:rsid w:val="006F0B3B"/>
    <w:rsid w:val="006F3697"/>
    <w:rsid w:val="0073660F"/>
    <w:rsid w:val="00737275"/>
    <w:rsid w:val="00740EEC"/>
    <w:rsid w:val="0078011A"/>
    <w:rsid w:val="00782AF4"/>
    <w:rsid w:val="00790EE7"/>
    <w:rsid w:val="007A56BB"/>
    <w:rsid w:val="007B6649"/>
    <w:rsid w:val="007C2468"/>
    <w:rsid w:val="00807FA1"/>
    <w:rsid w:val="008145CF"/>
    <w:rsid w:val="0081546F"/>
    <w:rsid w:val="0082576E"/>
    <w:rsid w:val="008437D7"/>
    <w:rsid w:val="00854114"/>
    <w:rsid w:val="00907F75"/>
    <w:rsid w:val="00911DA1"/>
    <w:rsid w:val="009260DE"/>
    <w:rsid w:val="0093258A"/>
    <w:rsid w:val="00980EAF"/>
    <w:rsid w:val="009C7BA3"/>
    <w:rsid w:val="009D1F5A"/>
    <w:rsid w:val="00AA4C06"/>
    <w:rsid w:val="00AD0930"/>
    <w:rsid w:val="00B003BF"/>
    <w:rsid w:val="00B373D7"/>
    <w:rsid w:val="00B86C74"/>
    <w:rsid w:val="00BE4A12"/>
    <w:rsid w:val="00C36276"/>
    <w:rsid w:val="00C42586"/>
    <w:rsid w:val="00C60CCD"/>
    <w:rsid w:val="00C84483"/>
    <w:rsid w:val="00C95551"/>
    <w:rsid w:val="00CB20D7"/>
    <w:rsid w:val="00CE1F63"/>
    <w:rsid w:val="00D020B0"/>
    <w:rsid w:val="00D11748"/>
    <w:rsid w:val="00D21DB9"/>
    <w:rsid w:val="00D36430"/>
    <w:rsid w:val="00D366CF"/>
    <w:rsid w:val="00DA3067"/>
    <w:rsid w:val="00DC505D"/>
    <w:rsid w:val="00DE7EB7"/>
    <w:rsid w:val="00E108AA"/>
    <w:rsid w:val="00E122F3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F48260"/>
  <w15:chartTrackingRefBased/>
  <w15:docId w15:val="{4B8E221C-86F8-4258-8427-3EB2E4B74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unhideWhenUsed/>
    <w:rsid w:val="00D36430"/>
    <w:rPr>
      <w:color w:val="0563C1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F4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eldenbivirkning.d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3603</Words>
  <Characters>24118</Characters>
  <Application>Microsoft Office Word</Application>
  <DocSecurity>0</DocSecurity>
  <Lines>200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2024120510 (efterjournaliseringssag)_x000d_
Oprindelige sag 2024074466._x000d_
Ændring af MAH adresse</dc:description>
  <cp:lastModifiedBy>Marianne Ott Jensen</cp:lastModifiedBy>
  <cp:revision>4</cp:revision>
  <cp:lastPrinted>2012-08-22T08:53:00Z</cp:lastPrinted>
  <dcterms:created xsi:type="dcterms:W3CDTF">2024-12-16T13:08:00Z</dcterms:created>
  <dcterms:modified xsi:type="dcterms:W3CDTF">2024-12-16T13:11:00Z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