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58696" w14:textId="77777777" w:rsidR="009260DE" w:rsidRPr="001A4093" w:rsidRDefault="0021526C" w:rsidP="009260DE">
      <w:pPr>
        <w:rPr>
          <w:sz w:val="24"/>
          <w:szCs w:val="24"/>
        </w:rPr>
      </w:pPr>
      <w:bookmarkStart w:id="0" w:name="_GoBack"/>
      <w:bookmarkEnd w:id="0"/>
      <w:r w:rsidRPr="001A4093">
        <w:rPr>
          <w:noProof/>
          <w:sz w:val="24"/>
          <w:szCs w:val="24"/>
          <w:lang w:eastAsia="da-DK"/>
        </w:rPr>
        <w:drawing>
          <wp:anchor distT="0" distB="0" distL="114300" distR="114300" simplePos="0" relativeHeight="251658240" behindDoc="0" locked="0" layoutInCell="1" allowOverlap="1" wp14:anchorId="5C2A2401" wp14:editId="57B434F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A4093">
        <w:rPr>
          <w:sz w:val="24"/>
          <w:szCs w:val="24"/>
        </w:rPr>
        <w:br w:type="textWrapping" w:clear="all"/>
      </w:r>
    </w:p>
    <w:p w14:paraId="63CE286B" w14:textId="6BFD608D" w:rsidR="009260DE" w:rsidRPr="001A4093" w:rsidRDefault="009260DE" w:rsidP="009260DE">
      <w:pPr>
        <w:pStyle w:val="Titel"/>
        <w:tabs>
          <w:tab w:val="right" w:pos="9356"/>
        </w:tabs>
        <w:jc w:val="left"/>
        <w:rPr>
          <w:b w:val="0"/>
          <w:szCs w:val="24"/>
          <w:lang w:eastAsia="en-US"/>
        </w:rPr>
      </w:pPr>
      <w:r w:rsidRPr="001A4093">
        <w:rPr>
          <w:b w:val="0"/>
          <w:szCs w:val="24"/>
          <w:lang w:eastAsia="en-US"/>
        </w:rPr>
        <w:tab/>
      </w:r>
      <w:r w:rsidR="00D01DEF">
        <w:rPr>
          <w:szCs w:val="24"/>
        </w:rPr>
        <w:t>21. februar 2024</w:t>
      </w:r>
    </w:p>
    <w:p w14:paraId="76F18C93" w14:textId="77777777" w:rsidR="009260DE" w:rsidRPr="001A4093" w:rsidRDefault="009260DE" w:rsidP="009260DE">
      <w:pPr>
        <w:pStyle w:val="Titel"/>
        <w:tabs>
          <w:tab w:val="left" w:pos="8222"/>
        </w:tabs>
        <w:jc w:val="left"/>
        <w:rPr>
          <w:b w:val="0"/>
          <w:szCs w:val="24"/>
        </w:rPr>
      </w:pPr>
    </w:p>
    <w:p w14:paraId="2BAADF56" w14:textId="77777777" w:rsidR="009260DE" w:rsidRPr="001A4093" w:rsidRDefault="009260DE" w:rsidP="009260DE">
      <w:pPr>
        <w:pStyle w:val="Titel"/>
        <w:jc w:val="left"/>
        <w:rPr>
          <w:b w:val="0"/>
          <w:szCs w:val="24"/>
        </w:rPr>
      </w:pPr>
    </w:p>
    <w:p w14:paraId="5546AA80" w14:textId="77777777" w:rsidR="009260DE" w:rsidRPr="001A4093" w:rsidRDefault="009260DE" w:rsidP="009260DE">
      <w:pPr>
        <w:pStyle w:val="Titel"/>
        <w:jc w:val="left"/>
        <w:rPr>
          <w:b w:val="0"/>
          <w:szCs w:val="24"/>
        </w:rPr>
      </w:pPr>
    </w:p>
    <w:p w14:paraId="1307DC8D" w14:textId="77777777" w:rsidR="009260DE" w:rsidRPr="001A4093" w:rsidRDefault="009260DE" w:rsidP="009260DE">
      <w:pPr>
        <w:jc w:val="center"/>
        <w:rPr>
          <w:b/>
          <w:sz w:val="24"/>
          <w:szCs w:val="24"/>
        </w:rPr>
      </w:pPr>
      <w:r w:rsidRPr="001A4093">
        <w:rPr>
          <w:b/>
          <w:sz w:val="24"/>
          <w:szCs w:val="24"/>
        </w:rPr>
        <w:t>PRODUKTRESUMÉ</w:t>
      </w:r>
    </w:p>
    <w:p w14:paraId="2FA4BDDA" w14:textId="77777777" w:rsidR="009260DE" w:rsidRPr="001A4093" w:rsidRDefault="009260DE" w:rsidP="009260DE">
      <w:pPr>
        <w:jc w:val="center"/>
        <w:rPr>
          <w:b/>
          <w:sz w:val="24"/>
          <w:szCs w:val="24"/>
        </w:rPr>
      </w:pPr>
    </w:p>
    <w:p w14:paraId="5E14299D" w14:textId="77777777" w:rsidR="009260DE" w:rsidRPr="001A4093" w:rsidRDefault="009260DE" w:rsidP="009260DE">
      <w:pPr>
        <w:jc w:val="center"/>
        <w:rPr>
          <w:b/>
          <w:sz w:val="24"/>
          <w:szCs w:val="24"/>
        </w:rPr>
      </w:pPr>
      <w:r w:rsidRPr="001A4093">
        <w:rPr>
          <w:b/>
          <w:sz w:val="24"/>
          <w:szCs w:val="24"/>
        </w:rPr>
        <w:t>for</w:t>
      </w:r>
    </w:p>
    <w:p w14:paraId="468D4892" w14:textId="77777777" w:rsidR="000B058C" w:rsidRPr="001A4093" w:rsidRDefault="000B058C" w:rsidP="009260DE">
      <w:pPr>
        <w:jc w:val="center"/>
        <w:rPr>
          <w:b/>
          <w:sz w:val="24"/>
          <w:szCs w:val="24"/>
        </w:rPr>
      </w:pPr>
    </w:p>
    <w:p w14:paraId="3525EF64" w14:textId="525A0533" w:rsidR="009260DE" w:rsidRPr="001A4093" w:rsidRDefault="0093478B" w:rsidP="009260DE">
      <w:pPr>
        <w:jc w:val="center"/>
        <w:rPr>
          <w:b/>
          <w:sz w:val="24"/>
          <w:szCs w:val="24"/>
        </w:rPr>
      </w:pPr>
      <w:proofErr w:type="spellStart"/>
      <w:r w:rsidRPr="001A4093">
        <w:rPr>
          <w:b/>
          <w:sz w:val="24"/>
          <w:szCs w:val="24"/>
        </w:rPr>
        <w:t>Peptonorm</w:t>
      </w:r>
      <w:proofErr w:type="spellEnd"/>
      <w:r w:rsidRPr="001A4093">
        <w:rPr>
          <w:b/>
          <w:sz w:val="24"/>
          <w:szCs w:val="24"/>
        </w:rPr>
        <w:t>, tabletter</w:t>
      </w:r>
    </w:p>
    <w:p w14:paraId="0B5DADD1" w14:textId="77777777" w:rsidR="009260DE" w:rsidRPr="001A4093" w:rsidRDefault="009260DE" w:rsidP="009260DE">
      <w:pPr>
        <w:jc w:val="both"/>
        <w:rPr>
          <w:sz w:val="24"/>
          <w:szCs w:val="24"/>
        </w:rPr>
      </w:pPr>
    </w:p>
    <w:p w14:paraId="23E1E047" w14:textId="77777777" w:rsidR="009260DE" w:rsidRPr="001A4093" w:rsidRDefault="009260DE" w:rsidP="009260DE">
      <w:pPr>
        <w:jc w:val="both"/>
        <w:rPr>
          <w:sz w:val="24"/>
          <w:szCs w:val="24"/>
        </w:rPr>
      </w:pPr>
    </w:p>
    <w:p w14:paraId="2B65C3DC" w14:textId="77777777" w:rsidR="009260DE" w:rsidRPr="001A4093" w:rsidRDefault="009260DE" w:rsidP="009260DE">
      <w:pPr>
        <w:tabs>
          <w:tab w:val="left" w:pos="851"/>
        </w:tabs>
        <w:ind w:left="851" w:hanging="851"/>
        <w:rPr>
          <w:b/>
          <w:sz w:val="24"/>
          <w:szCs w:val="24"/>
        </w:rPr>
      </w:pPr>
      <w:r w:rsidRPr="001A4093">
        <w:rPr>
          <w:b/>
          <w:sz w:val="24"/>
          <w:szCs w:val="24"/>
        </w:rPr>
        <w:t>0.</w:t>
      </w:r>
      <w:r w:rsidRPr="001A4093">
        <w:rPr>
          <w:b/>
          <w:sz w:val="24"/>
          <w:szCs w:val="24"/>
        </w:rPr>
        <w:tab/>
        <w:t>D.SP.NR.</w:t>
      </w:r>
    </w:p>
    <w:p w14:paraId="7A178E02" w14:textId="1E7A09D9" w:rsidR="009260DE" w:rsidRPr="001A4093" w:rsidRDefault="0093478B" w:rsidP="009260DE">
      <w:pPr>
        <w:tabs>
          <w:tab w:val="left" w:pos="851"/>
        </w:tabs>
        <w:ind w:left="851"/>
        <w:rPr>
          <w:sz w:val="24"/>
          <w:szCs w:val="24"/>
        </w:rPr>
      </w:pPr>
      <w:r w:rsidRPr="001A4093">
        <w:rPr>
          <w:sz w:val="24"/>
          <w:szCs w:val="24"/>
        </w:rPr>
        <w:t>32885</w:t>
      </w:r>
    </w:p>
    <w:p w14:paraId="74AFE0AE" w14:textId="77777777" w:rsidR="009260DE" w:rsidRPr="001A4093" w:rsidRDefault="009260DE" w:rsidP="009260DE">
      <w:pPr>
        <w:tabs>
          <w:tab w:val="left" w:pos="851"/>
        </w:tabs>
        <w:ind w:left="851"/>
        <w:rPr>
          <w:sz w:val="24"/>
          <w:szCs w:val="24"/>
        </w:rPr>
      </w:pPr>
    </w:p>
    <w:p w14:paraId="1A4B5A17" w14:textId="77777777" w:rsidR="009260DE" w:rsidRPr="001A4093" w:rsidRDefault="009260DE" w:rsidP="009260DE">
      <w:pPr>
        <w:tabs>
          <w:tab w:val="left" w:pos="851"/>
        </w:tabs>
        <w:ind w:left="851" w:hanging="851"/>
        <w:rPr>
          <w:b/>
          <w:sz w:val="24"/>
          <w:szCs w:val="24"/>
        </w:rPr>
      </w:pPr>
      <w:r w:rsidRPr="001A4093">
        <w:rPr>
          <w:b/>
          <w:sz w:val="24"/>
          <w:szCs w:val="24"/>
        </w:rPr>
        <w:t>1.</w:t>
      </w:r>
      <w:r w:rsidRPr="001A4093">
        <w:rPr>
          <w:b/>
          <w:sz w:val="24"/>
          <w:szCs w:val="24"/>
        </w:rPr>
        <w:tab/>
        <w:t>LÆGEMIDLETS NAVN</w:t>
      </w:r>
    </w:p>
    <w:p w14:paraId="57CBE6F7" w14:textId="0E3A812F" w:rsidR="009260DE" w:rsidRPr="001A4093" w:rsidRDefault="0093478B" w:rsidP="009260DE">
      <w:pPr>
        <w:tabs>
          <w:tab w:val="left" w:pos="851"/>
        </w:tabs>
        <w:ind w:left="851"/>
        <w:rPr>
          <w:sz w:val="24"/>
          <w:szCs w:val="24"/>
        </w:rPr>
      </w:pPr>
      <w:proofErr w:type="spellStart"/>
      <w:r w:rsidRPr="001A4093">
        <w:rPr>
          <w:sz w:val="24"/>
          <w:szCs w:val="24"/>
        </w:rPr>
        <w:t>Peptonorm</w:t>
      </w:r>
      <w:proofErr w:type="spellEnd"/>
    </w:p>
    <w:p w14:paraId="44687DED" w14:textId="77777777" w:rsidR="009260DE" w:rsidRPr="001A4093" w:rsidRDefault="009260DE" w:rsidP="009260DE">
      <w:pPr>
        <w:tabs>
          <w:tab w:val="left" w:pos="851"/>
        </w:tabs>
        <w:ind w:left="851"/>
        <w:rPr>
          <w:sz w:val="24"/>
          <w:szCs w:val="24"/>
        </w:rPr>
      </w:pPr>
    </w:p>
    <w:p w14:paraId="77B3D206" w14:textId="77777777" w:rsidR="009260DE" w:rsidRPr="001A4093" w:rsidRDefault="009260DE" w:rsidP="009260DE">
      <w:pPr>
        <w:tabs>
          <w:tab w:val="left" w:pos="851"/>
        </w:tabs>
        <w:ind w:left="851" w:hanging="851"/>
        <w:rPr>
          <w:b/>
          <w:sz w:val="24"/>
          <w:szCs w:val="24"/>
        </w:rPr>
      </w:pPr>
      <w:r w:rsidRPr="001A4093">
        <w:rPr>
          <w:b/>
          <w:sz w:val="24"/>
          <w:szCs w:val="24"/>
        </w:rPr>
        <w:t>2.</w:t>
      </w:r>
      <w:r w:rsidRPr="001A4093">
        <w:rPr>
          <w:b/>
          <w:sz w:val="24"/>
          <w:szCs w:val="24"/>
        </w:rPr>
        <w:tab/>
        <w:t>KVALITATIV OG KVANTITATIV SAMMENSÆTNING</w:t>
      </w:r>
    </w:p>
    <w:p w14:paraId="061D5F28" w14:textId="77777777" w:rsidR="008B797B" w:rsidRPr="001A4093" w:rsidRDefault="008B797B" w:rsidP="00E348E2">
      <w:pPr>
        <w:ind w:left="851"/>
        <w:rPr>
          <w:sz w:val="24"/>
          <w:szCs w:val="24"/>
          <w:lang w:val="fr-FR" w:eastAsia="el-GR"/>
        </w:rPr>
      </w:pPr>
      <w:r w:rsidRPr="001A4093">
        <w:rPr>
          <w:sz w:val="24"/>
          <w:szCs w:val="24"/>
          <w:lang w:bidi="da-DK"/>
        </w:rPr>
        <w:t xml:space="preserve">Hver tablet indeholder 1 g </w:t>
      </w:r>
      <w:proofErr w:type="spellStart"/>
      <w:r w:rsidRPr="001A4093">
        <w:rPr>
          <w:sz w:val="24"/>
          <w:szCs w:val="24"/>
          <w:lang w:bidi="da-DK"/>
        </w:rPr>
        <w:t>sucralfat</w:t>
      </w:r>
      <w:proofErr w:type="spellEnd"/>
      <w:r w:rsidRPr="001A4093">
        <w:rPr>
          <w:sz w:val="24"/>
          <w:szCs w:val="24"/>
          <w:lang w:bidi="da-DK"/>
        </w:rPr>
        <w:t>.</w:t>
      </w:r>
    </w:p>
    <w:p w14:paraId="2FD840EC" w14:textId="77777777" w:rsidR="008B797B" w:rsidRPr="001A4093" w:rsidRDefault="008B797B" w:rsidP="00E348E2">
      <w:pPr>
        <w:ind w:left="851"/>
        <w:rPr>
          <w:sz w:val="24"/>
          <w:szCs w:val="24"/>
          <w:highlight w:val="yellow"/>
          <w:lang w:eastAsia="el-GR"/>
        </w:rPr>
      </w:pPr>
    </w:p>
    <w:p w14:paraId="163F6AD7" w14:textId="0E713D2B" w:rsidR="008B797B" w:rsidRPr="001A4093" w:rsidRDefault="008B797B" w:rsidP="00E348E2">
      <w:pPr>
        <w:ind w:left="851"/>
        <w:rPr>
          <w:sz w:val="24"/>
          <w:szCs w:val="24"/>
          <w:lang w:eastAsia="el-GR"/>
        </w:rPr>
      </w:pPr>
      <w:r w:rsidRPr="001A4093">
        <w:rPr>
          <w:sz w:val="24"/>
          <w:szCs w:val="24"/>
          <w:lang w:bidi="da-DK"/>
        </w:rPr>
        <w:t xml:space="preserve">Alle hjælpestoffer er anført under </w:t>
      </w:r>
      <w:r w:rsidR="001D0A5E">
        <w:rPr>
          <w:sz w:val="24"/>
          <w:szCs w:val="24"/>
          <w:lang w:bidi="da-DK"/>
        </w:rPr>
        <w:t>pkt.</w:t>
      </w:r>
      <w:r w:rsidRPr="001A4093">
        <w:rPr>
          <w:sz w:val="24"/>
          <w:szCs w:val="24"/>
          <w:lang w:bidi="da-DK"/>
        </w:rPr>
        <w:t xml:space="preserve"> 6.1.</w:t>
      </w:r>
    </w:p>
    <w:p w14:paraId="69A02747" w14:textId="77777777" w:rsidR="009260DE" w:rsidRPr="001A4093" w:rsidRDefault="009260DE" w:rsidP="009260DE">
      <w:pPr>
        <w:tabs>
          <w:tab w:val="left" w:pos="851"/>
        </w:tabs>
        <w:ind w:left="851"/>
        <w:rPr>
          <w:sz w:val="24"/>
          <w:szCs w:val="24"/>
        </w:rPr>
      </w:pPr>
    </w:p>
    <w:p w14:paraId="400FBC0A" w14:textId="77777777" w:rsidR="009260DE" w:rsidRPr="001A4093" w:rsidRDefault="009260DE" w:rsidP="009260DE">
      <w:pPr>
        <w:tabs>
          <w:tab w:val="left" w:pos="851"/>
        </w:tabs>
        <w:ind w:left="851" w:hanging="851"/>
        <w:rPr>
          <w:b/>
          <w:sz w:val="24"/>
          <w:szCs w:val="24"/>
        </w:rPr>
      </w:pPr>
      <w:r w:rsidRPr="001A4093">
        <w:rPr>
          <w:b/>
          <w:sz w:val="24"/>
          <w:szCs w:val="24"/>
        </w:rPr>
        <w:t>3.</w:t>
      </w:r>
      <w:r w:rsidRPr="001A4093">
        <w:rPr>
          <w:b/>
          <w:sz w:val="24"/>
          <w:szCs w:val="24"/>
        </w:rPr>
        <w:tab/>
        <w:t>LÆGEMIDDELFORM</w:t>
      </w:r>
    </w:p>
    <w:p w14:paraId="23E797DE" w14:textId="2A3A8C14" w:rsidR="008B797B" w:rsidRPr="001A4093" w:rsidRDefault="008B797B" w:rsidP="00E348E2">
      <w:pPr>
        <w:ind w:left="851"/>
        <w:rPr>
          <w:sz w:val="24"/>
          <w:szCs w:val="24"/>
          <w:lang w:eastAsia="el-GR"/>
        </w:rPr>
      </w:pPr>
      <w:r w:rsidRPr="001A4093">
        <w:rPr>
          <w:sz w:val="24"/>
          <w:szCs w:val="24"/>
          <w:lang w:bidi="da-DK"/>
        </w:rPr>
        <w:t>Tabletter</w:t>
      </w:r>
    </w:p>
    <w:p w14:paraId="06B9F525" w14:textId="77777777" w:rsidR="008B797B" w:rsidRPr="001A4093" w:rsidRDefault="008B797B" w:rsidP="00E348E2">
      <w:pPr>
        <w:ind w:left="851"/>
        <w:rPr>
          <w:sz w:val="24"/>
          <w:szCs w:val="24"/>
          <w:lang w:eastAsia="el-GR"/>
        </w:rPr>
      </w:pPr>
    </w:p>
    <w:p w14:paraId="26FE4996" w14:textId="77777777" w:rsidR="008B797B" w:rsidRPr="001A4093" w:rsidRDefault="008B797B" w:rsidP="00E348E2">
      <w:pPr>
        <w:ind w:left="851"/>
        <w:rPr>
          <w:sz w:val="24"/>
          <w:szCs w:val="24"/>
          <w:lang w:eastAsia="el-GR"/>
        </w:rPr>
      </w:pPr>
      <w:r w:rsidRPr="001A4093">
        <w:rPr>
          <w:sz w:val="24"/>
          <w:szCs w:val="24"/>
          <w:lang w:bidi="da-DK"/>
        </w:rPr>
        <w:t>Hvide til næsten hvide, kapselformede tabletter med delekærv på tablettens ene side og en længde på 18,90 ± 0,1 mm.</w:t>
      </w:r>
    </w:p>
    <w:p w14:paraId="0459BB5D" w14:textId="77777777" w:rsidR="008B797B" w:rsidRPr="001A4093" w:rsidRDefault="008B797B" w:rsidP="00E348E2">
      <w:pPr>
        <w:ind w:left="851"/>
        <w:rPr>
          <w:sz w:val="24"/>
          <w:szCs w:val="24"/>
          <w:highlight w:val="yellow"/>
          <w:lang w:eastAsia="el-GR"/>
        </w:rPr>
      </w:pPr>
      <w:r w:rsidRPr="001A4093">
        <w:rPr>
          <w:sz w:val="24"/>
          <w:szCs w:val="24"/>
          <w:lang w:bidi="da-DK"/>
        </w:rPr>
        <w:t>Delekærven er der, for at tabletten kan deles, så den er nemmere at sluge, ikke for at kunne dele tabletten i lige store doser.</w:t>
      </w:r>
    </w:p>
    <w:p w14:paraId="3DBAAFC0" w14:textId="77777777" w:rsidR="009260DE" w:rsidRPr="001A4093" w:rsidRDefault="009260DE" w:rsidP="00E348E2">
      <w:pPr>
        <w:ind w:left="851"/>
        <w:rPr>
          <w:sz w:val="24"/>
          <w:szCs w:val="24"/>
        </w:rPr>
      </w:pPr>
    </w:p>
    <w:p w14:paraId="3DF53B48" w14:textId="77777777" w:rsidR="009260DE" w:rsidRPr="001A4093" w:rsidRDefault="009260DE" w:rsidP="009260DE">
      <w:pPr>
        <w:tabs>
          <w:tab w:val="left" w:pos="851"/>
        </w:tabs>
        <w:ind w:left="851"/>
        <w:rPr>
          <w:sz w:val="24"/>
          <w:szCs w:val="24"/>
        </w:rPr>
      </w:pPr>
    </w:p>
    <w:p w14:paraId="03F00D88" w14:textId="77777777" w:rsidR="009260DE" w:rsidRPr="001A4093" w:rsidRDefault="009260DE" w:rsidP="009260DE">
      <w:pPr>
        <w:tabs>
          <w:tab w:val="left" w:pos="851"/>
        </w:tabs>
        <w:ind w:left="851" w:hanging="851"/>
        <w:rPr>
          <w:b/>
          <w:sz w:val="24"/>
          <w:szCs w:val="24"/>
        </w:rPr>
      </w:pPr>
      <w:r w:rsidRPr="001A4093">
        <w:rPr>
          <w:b/>
          <w:sz w:val="24"/>
          <w:szCs w:val="24"/>
        </w:rPr>
        <w:t>4.</w:t>
      </w:r>
      <w:r w:rsidRPr="001A4093">
        <w:rPr>
          <w:b/>
          <w:sz w:val="24"/>
          <w:szCs w:val="24"/>
        </w:rPr>
        <w:tab/>
        <w:t>KLINISKE OPLYSNINGER</w:t>
      </w:r>
    </w:p>
    <w:p w14:paraId="2B43BBC0" w14:textId="77777777" w:rsidR="009260DE" w:rsidRPr="001A4093" w:rsidRDefault="009260DE" w:rsidP="009260DE">
      <w:pPr>
        <w:tabs>
          <w:tab w:val="left" w:pos="851"/>
        </w:tabs>
        <w:ind w:left="851"/>
        <w:rPr>
          <w:b/>
          <w:sz w:val="24"/>
          <w:szCs w:val="24"/>
        </w:rPr>
      </w:pPr>
    </w:p>
    <w:p w14:paraId="60868812" w14:textId="77777777" w:rsidR="009260DE" w:rsidRPr="001A4093" w:rsidRDefault="009260DE" w:rsidP="009260DE">
      <w:pPr>
        <w:tabs>
          <w:tab w:val="left" w:pos="851"/>
        </w:tabs>
        <w:ind w:left="851" w:hanging="851"/>
        <w:rPr>
          <w:b/>
          <w:sz w:val="24"/>
          <w:szCs w:val="24"/>
          <w:u w:val="single"/>
        </w:rPr>
      </w:pPr>
      <w:r w:rsidRPr="001A4093">
        <w:rPr>
          <w:b/>
          <w:sz w:val="24"/>
          <w:szCs w:val="24"/>
        </w:rPr>
        <w:t>4.1</w:t>
      </w:r>
      <w:r w:rsidRPr="001A4093">
        <w:rPr>
          <w:b/>
          <w:sz w:val="24"/>
          <w:szCs w:val="24"/>
        </w:rPr>
        <w:tab/>
        <w:t>Terapeutiske indikationer</w:t>
      </w:r>
    </w:p>
    <w:p w14:paraId="2C9D3AF9" w14:textId="77777777" w:rsidR="008B797B" w:rsidRPr="001A4093" w:rsidRDefault="008B797B" w:rsidP="00E348E2">
      <w:pPr>
        <w:ind w:left="851"/>
        <w:rPr>
          <w:sz w:val="24"/>
          <w:szCs w:val="24"/>
          <w:lang w:eastAsia="el-GR"/>
        </w:rPr>
      </w:pPr>
      <w:r w:rsidRPr="001A4093">
        <w:rPr>
          <w:sz w:val="24"/>
          <w:szCs w:val="24"/>
          <w:lang w:bidi="da-DK"/>
        </w:rPr>
        <w:t xml:space="preserve">Behandling af ulcus </w:t>
      </w:r>
      <w:proofErr w:type="spellStart"/>
      <w:r w:rsidRPr="001A4093">
        <w:rPr>
          <w:sz w:val="24"/>
          <w:szCs w:val="24"/>
          <w:lang w:bidi="da-DK"/>
        </w:rPr>
        <w:t>duodeni</w:t>
      </w:r>
      <w:proofErr w:type="spellEnd"/>
      <w:r w:rsidRPr="001A4093">
        <w:rPr>
          <w:sz w:val="24"/>
          <w:szCs w:val="24"/>
          <w:lang w:bidi="da-DK"/>
        </w:rPr>
        <w:t xml:space="preserve">, ulcus </w:t>
      </w:r>
      <w:proofErr w:type="spellStart"/>
      <w:r w:rsidRPr="001A4093">
        <w:rPr>
          <w:sz w:val="24"/>
          <w:szCs w:val="24"/>
          <w:lang w:bidi="da-DK"/>
        </w:rPr>
        <w:t>ventriculi</w:t>
      </w:r>
      <w:proofErr w:type="spellEnd"/>
      <w:r w:rsidRPr="001A4093">
        <w:rPr>
          <w:sz w:val="24"/>
          <w:szCs w:val="24"/>
          <w:lang w:bidi="da-DK"/>
        </w:rPr>
        <w:t xml:space="preserve">, </w:t>
      </w:r>
      <w:proofErr w:type="spellStart"/>
      <w:r w:rsidRPr="001A4093">
        <w:rPr>
          <w:sz w:val="24"/>
          <w:szCs w:val="24"/>
          <w:lang w:bidi="da-DK"/>
        </w:rPr>
        <w:t>refluksøsofagitis</w:t>
      </w:r>
      <w:proofErr w:type="spellEnd"/>
      <w:r w:rsidRPr="001A4093">
        <w:rPr>
          <w:sz w:val="24"/>
          <w:szCs w:val="24"/>
          <w:lang w:bidi="da-DK"/>
        </w:rPr>
        <w:t xml:space="preserve"> og profylakse af stressbetinget </w:t>
      </w:r>
      <w:proofErr w:type="spellStart"/>
      <w:r w:rsidRPr="001A4093">
        <w:rPr>
          <w:sz w:val="24"/>
          <w:szCs w:val="24"/>
          <w:lang w:bidi="da-DK"/>
        </w:rPr>
        <w:t>ulcera</w:t>
      </w:r>
      <w:proofErr w:type="spellEnd"/>
      <w:r w:rsidRPr="001A4093">
        <w:rPr>
          <w:sz w:val="24"/>
          <w:szCs w:val="24"/>
          <w:lang w:bidi="da-DK"/>
        </w:rPr>
        <w:t xml:space="preserve"> hos alvorligt syge voksne patienter og unge patienter over 14 år.</w:t>
      </w:r>
    </w:p>
    <w:p w14:paraId="26EC322F" w14:textId="77777777" w:rsidR="008B797B" w:rsidRPr="001A4093" w:rsidRDefault="008B797B" w:rsidP="00E348E2">
      <w:pPr>
        <w:ind w:left="851"/>
        <w:rPr>
          <w:sz w:val="24"/>
          <w:szCs w:val="24"/>
          <w:lang w:eastAsia="el-GR"/>
        </w:rPr>
      </w:pPr>
    </w:p>
    <w:p w14:paraId="4E4DF2BD" w14:textId="77777777" w:rsidR="008B797B" w:rsidRPr="001A4093" w:rsidRDefault="008B797B" w:rsidP="00E348E2">
      <w:pPr>
        <w:ind w:left="851"/>
        <w:rPr>
          <w:sz w:val="24"/>
          <w:szCs w:val="24"/>
          <w:lang w:eastAsia="el-GR"/>
        </w:rPr>
      </w:pPr>
      <w:r w:rsidRPr="001A4093">
        <w:rPr>
          <w:sz w:val="24"/>
          <w:szCs w:val="24"/>
          <w:lang w:bidi="da-DK"/>
        </w:rPr>
        <w:t>Forebyggelse af recidiverende ulcus.</w:t>
      </w:r>
    </w:p>
    <w:p w14:paraId="1F66294F" w14:textId="77777777" w:rsidR="008B797B" w:rsidRPr="001A4093" w:rsidRDefault="008B797B" w:rsidP="00E348E2">
      <w:pPr>
        <w:ind w:left="851"/>
        <w:rPr>
          <w:sz w:val="24"/>
          <w:szCs w:val="24"/>
          <w:lang w:eastAsia="el-GR"/>
        </w:rPr>
      </w:pPr>
      <w:r w:rsidRPr="001A4093">
        <w:rPr>
          <w:sz w:val="24"/>
          <w:szCs w:val="24"/>
          <w:lang w:bidi="da-DK"/>
        </w:rPr>
        <w:t xml:space="preserve">Tilstedeværelsen af </w:t>
      </w:r>
      <w:proofErr w:type="spellStart"/>
      <w:r w:rsidRPr="001A4093">
        <w:rPr>
          <w:i/>
          <w:sz w:val="24"/>
          <w:szCs w:val="24"/>
          <w:lang w:bidi="da-DK"/>
        </w:rPr>
        <w:t>Helicobacter</w:t>
      </w:r>
      <w:proofErr w:type="spellEnd"/>
      <w:r w:rsidRPr="001A4093">
        <w:rPr>
          <w:i/>
          <w:sz w:val="24"/>
          <w:szCs w:val="24"/>
          <w:lang w:bidi="da-DK"/>
        </w:rPr>
        <w:t xml:space="preserve"> </w:t>
      </w:r>
      <w:proofErr w:type="spellStart"/>
      <w:r w:rsidRPr="001A4093">
        <w:rPr>
          <w:i/>
          <w:sz w:val="24"/>
          <w:szCs w:val="24"/>
          <w:lang w:bidi="da-DK"/>
        </w:rPr>
        <w:t>pylori</w:t>
      </w:r>
      <w:proofErr w:type="spellEnd"/>
      <w:r w:rsidRPr="001A4093">
        <w:rPr>
          <w:sz w:val="24"/>
          <w:szCs w:val="24"/>
          <w:lang w:bidi="da-DK"/>
        </w:rPr>
        <w:t xml:space="preserve"> bør evalueres hos patienter med ulcus i ventriklen eller i duodenum. </w:t>
      </w:r>
    </w:p>
    <w:p w14:paraId="2D4B7DB6" w14:textId="77777777" w:rsidR="008B797B" w:rsidRPr="001A4093" w:rsidRDefault="008B797B" w:rsidP="00E348E2">
      <w:pPr>
        <w:ind w:left="851"/>
        <w:rPr>
          <w:sz w:val="24"/>
          <w:szCs w:val="24"/>
          <w:lang w:eastAsia="el-GR"/>
        </w:rPr>
      </w:pPr>
      <w:r w:rsidRPr="001A4093">
        <w:rPr>
          <w:sz w:val="24"/>
          <w:szCs w:val="24"/>
          <w:lang w:bidi="da-DK"/>
        </w:rPr>
        <w:t xml:space="preserve">Ved tilstedeværelse af </w:t>
      </w:r>
      <w:proofErr w:type="spellStart"/>
      <w:r w:rsidRPr="001A4093">
        <w:rPr>
          <w:i/>
          <w:sz w:val="24"/>
          <w:szCs w:val="24"/>
          <w:lang w:bidi="da-DK"/>
        </w:rPr>
        <w:t>Helicobacter</w:t>
      </w:r>
      <w:proofErr w:type="spellEnd"/>
      <w:r w:rsidRPr="001A4093">
        <w:rPr>
          <w:i/>
          <w:sz w:val="24"/>
          <w:szCs w:val="24"/>
          <w:lang w:bidi="da-DK"/>
        </w:rPr>
        <w:t xml:space="preserve"> </w:t>
      </w:r>
      <w:proofErr w:type="spellStart"/>
      <w:r w:rsidRPr="001A4093">
        <w:rPr>
          <w:i/>
          <w:sz w:val="24"/>
          <w:szCs w:val="24"/>
          <w:lang w:bidi="da-DK"/>
        </w:rPr>
        <w:t>pylori</w:t>
      </w:r>
      <w:proofErr w:type="spellEnd"/>
      <w:r w:rsidRPr="001A4093">
        <w:rPr>
          <w:sz w:val="24"/>
          <w:szCs w:val="24"/>
          <w:lang w:bidi="da-DK"/>
        </w:rPr>
        <w:t xml:space="preserve"> bør man forsøge at udrydde denne bakterie med </w:t>
      </w:r>
      <w:proofErr w:type="gramStart"/>
      <w:r w:rsidRPr="001A4093">
        <w:rPr>
          <w:sz w:val="24"/>
          <w:szCs w:val="24"/>
          <w:lang w:bidi="da-DK"/>
        </w:rPr>
        <w:t>en passende protonpumpehæmmer</w:t>
      </w:r>
      <w:proofErr w:type="gramEnd"/>
      <w:r w:rsidRPr="001A4093">
        <w:rPr>
          <w:sz w:val="24"/>
          <w:szCs w:val="24"/>
          <w:lang w:bidi="da-DK"/>
        </w:rPr>
        <w:t xml:space="preserve"> og antibakteriel behandling i overensstemmelse med officielle retningslinjer. Effekten af </w:t>
      </w:r>
      <w:proofErr w:type="spellStart"/>
      <w:r w:rsidRPr="001A4093">
        <w:rPr>
          <w:sz w:val="24"/>
          <w:szCs w:val="24"/>
          <w:lang w:bidi="da-DK"/>
        </w:rPr>
        <w:t>Peptonorm</w:t>
      </w:r>
      <w:proofErr w:type="spellEnd"/>
      <w:r w:rsidRPr="001A4093">
        <w:rPr>
          <w:sz w:val="24"/>
          <w:szCs w:val="24"/>
          <w:lang w:bidi="da-DK"/>
        </w:rPr>
        <w:t xml:space="preserve"> i kombination med antibakterielle midler til udryddelse af </w:t>
      </w:r>
      <w:proofErr w:type="spellStart"/>
      <w:r w:rsidRPr="001A4093">
        <w:rPr>
          <w:i/>
          <w:sz w:val="24"/>
          <w:szCs w:val="24"/>
          <w:lang w:bidi="da-DK"/>
        </w:rPr>
        <w:t>Helicobacter</w:t>
      </w:r>
      <w:proofErr w:type="spellEnd"/>
      <w:r w:rsidRPr="001A4093">
        <w:rPr>
          <w:i/>
          <w:sz w:val="24"/>
          <w:szCs w:val="24"/>
          <w:lang w:bidi="da-DK"/>
        </w:rPr>
        <w:t xml:space="preserve"> </w:t>
      </w:r>
      <w:proofErr w:type="spellStart"/>
      <w:r w:rsidRPr="001A4093">
        <w:rPr>
          <w:i/>
          <w:sz w:val="24"/>
          <w:szCs w:val="24"/>
          <w:lang w:bidi="da-DK"/>
        </w:rPr>
        <w:t>pylori</w:t>
      </w:r>
      <w:proofErr w:type="spellEnd"/>
      <w:r w:rsidRPr="001A4093">
        <w:rPr>
          <w:i/>
          <w:sz w:val="24"/>
          <w:szCs w:val="24"/>
          <w:lang w:bidi="da-DK"/>
        </w:rPr>
        <w:t xml:space="preserve"> </w:t>
      </w:r>
      <w:r w:rsidRPr="001A4093">
        <w:rPr>
          <w:sz w:val="24"/>
          <w:szCs w:val="24"/>
          <w:lang w:bidi="da-DK"/>
        </w:rPr>
        <w:t xml:space="preserve">er ikke blevet klarlagt. </w:t>
      </w:r>
    </w:p>
    <w:p w14:paraId="527AFFF2" w14:textId="63C0A563" w:rsidR="001D0A5E" w:rsidRDefault="001D0A5E">
      <w:pPr>
        <w:rPr>
          <w:sz w:val="24"/>
          <w:szCs w:val="24"/>
        </w:rPr>
      </w:pPr>
      <w:r>
        <w:rPr>
          <w:sz w:val="24"/>
          <w:szCs w:val="24"/>
        </w:rPr>
        <w:br w:type="page"/>
      </w:r>
    </w:p>
    <w:p w14:paraId="7095AC0A" w14:textId="77777777" w:rsidR="009260DE" w:rsidRPr="001A4093" w:rsidRDefault="009260DE" w:rsidP="009260DE">
      <w:pPr>
        <w:tabs>
          <w:tab w:val="left" w:pos="851"/>
        </w:tabs>
        <w:ind w:left="851"/>
        <w:rPr>
          <w:sz w:val="24"/>
          <w:szCs w:val="24"/>
        </w:rPr>
      </w:pPr>
    </w:p>
    <w:p w14:paraId="53B9BAE8" w14:textId="77777777" w:rsidR="009260DE" w:rsidRPr="001A4093" w:rsidRDefault="009260DE" w:rsidP="009260DE">
      <w:pPr>
        <w:tabs>
          <w:tab w:val="left" w:pos="851"/>
        </w:tabs>
        <w:ind w:left="851" w:hanging="851"/>
        <w:rPr>
          <w:b/>
          <w:sz w:val="24"/>
          <w:szCs w:val="24"/>
        </w:rPr>
      </w:pPr>
      <w:r w:rsidRPr="001A4093">
        <w:rPr>
          <w:b/>
          <w:sz w:val="24"/>
          <w:szCs w:val="24"/>
        </w:rPr>
        <w:t>4.2</w:t>
      </w:r>
      <w:r w:rsidRPr="001A4093">
        <w:rPr>
          <w:b/>
          <w:sz w:val="24"/>
          <w:szCs w:val="24"/>
        </w:rPr>
        <w:tab/>
        <w:t xml:space="preserve">Dosering og </w:t>
      </w:r>
      <w:r w:rsidR="002C1EC0" w:rsidRPr="001A4093">
        <w:rPr>
          <w:b/>
          <w:sz w:val="24"/>
          <w:szCs w:val="24"/>
        </w:rPr>
        <w:t>administration</w:t>
      </w:r>
    </w:p>
    <w:p w14:paraId="4FFBF037" w14:textId="77777777" w:rsidR="001D0A5E" w:rsidRDefault="001D0A5E" w:rsidP="00E348E2">
      <w:pPr>
        <w:ind w:left="851"/>
        <w:rPr>
          <w:sz w:val="24"/>
          <w:szCs w:val="24"/>
          <w:u w:val="single"/>
          <w:lang w:bidi="da-DK"/>
        </w:rPr>
      </w:pPr>
    </w:p>
    <w:p w14:paraId="3FEF6038" w14:textId="38F5FD1C" w:rsidR="008B797B" w:rsidRPr="001A4093" w:rsidRDefault="008B797B" w:rsidP="00E348E2">
      <w:pPr>
        <w:ind w:left="851"/>
        <w:rPr>
          <w:sz w:val="24"/>
          <w:szCs w:val="24"/>
          <w:u w:val="single"/>
          <w:lang w:eastAsia="da-DK" w:bidi="en-US"/>
        </w:rPr>
      </w:pPr>
      <w:r w:rsidRPr="001A4093">
        <w:rPr>
          <w:sz w:val="24"/>
          <w:szCs w:val="24"/>
          <w:u w:val="single"/>
          <w:lang w:bidi="da-DK"/>
        </w:rPr>
        <w:t>Dosering</w:t>
      </w:r>
    </w:p>
    <w:p w14:paraId="5D4B0C80" w14:textId="77777777" w:rsidR="008B797B" w:rsidRPr="001A4093" w:rsidRDefault="008B797B" w:rsidP="00E348E2">
      <w:pPr>
        <w:ind w:left="851"/>
        <w:rPr>
          <w:sz w:val="24"/>
          <w:szCs w:val="24"/>
          <w:lang w:eastAsia="da-DK"/>
        </w:rPr>
      </w:pPr>
    </w:p>
    <w:p w14:paraId="232B6145" w14:textId="77777777" w:rsidR="008B797B" w:rsidRPr="001A4093" w:rsidRDefault="008B797B" w:rsidP="00E348E2">
      <w:pPr>
        <w:ind w:left="851"/>
        <w:rPr>
          <w:b/>
          <w:i/>
          <w:spacing w:val="-3"/>
          <w:sz w:val="24"/>
          <w:szCs w:val="24"/>
          <w:lang w:eastAsia="da-DK" w:bidi="en-US"/>
        </w:rPr>
      </w:pPr>
      <w:r w:rsidRPr="001A4093">
        <w:rPr>
          <w:b/>
          <w:spacing w:val="-3"/>
          <w:sz w:val="24"/>
          <w:szCs w:val="24"/>
          <w:lang w:bidi="da-DK"/>
        </w:rPr>
        <w:t>Voksne og børn over 14 år:</w:t>
      </w:r>
      <w:r w:rsidRPr="001A4093">
        <w:rPr>
          <w:b/>
          <w:i/>
          <w:spacing w:val="-3"/>
          <w:sz w:val="24"/>
          <w:szCs w:val="24"/>
          <w:lang w:bidi="da-DK"/>
        </w:rPr>
        <w:t xml:space="preserve"> </w:t>
      </w:r>
    </w:p>
    <w:p w14:paraId="523F5494" w14:textId="77777777" w:rsidR="008B797B" w:rsidRPr="001A4093" w:rsidRDefault="008B797B" w:rsidP="00E348E2">
      <w:pPr>
        <w:ind w:left="851"/>
        <w:rPr>
          <w:spacing w:val="-3"/>
          <w:sz w:val="24"/>
          <w:szCs w:val="24"/>
          <w:lang w:eastAsia="da-DK"/>
        </w:rPr>
      </w:pPr>
      <w:r w:rsidRPr="001A4093">
        <w:rPr>
          <w:i/>
          <w:spacing w:val="-3"/>
          <w:sz w:val="24"/>
          <w:szCs w:val="24"/>
          <w:lang w:bidi="da-DK"/>
        </w:rPr>
        <w:t xml:space="preserve">Ulcus </w:t>
      </w:r>
      <w:proofErr w:type="spellStart"/>
      <w:r w:rsidRPr="001A4093">
        <w:rPr>
          <w:i/>
          <w:spacing w:val="-3"/>
          <w:sz w:val="24"/>
          <w:szCs w:val="24"/>
          <w:lang w:bidi="da-DK"/>
        </w:rPr>
        <w:t>duodeni</w:t>
      </w:r>
      <w:proofErr w:type="spellEnd"/>
      <w:r w:rsidRPr="001A4093">
        <w:rPr>
          <w:i/>
          <w:spacing w:val="-3"/>
          <w:sz w:val="24"/>
          <w:szCs w:val="24"/>
          <w:lang w:bidi="da-DK"/>
        </w:rPr>
        <w:t>:</w:t>
      </w:r>
      <w:r w:rsidRPr="001A4093">
        <w:rPr>
          <w:spacing w:val="-3"/>
          <w:sz w:val="24"/>
          <w:szCs w:val="24"/>
          <w:lang w:bidi="da-DK"/>
        </w:rPr>
        <w:t xml:space="preserve"> 1 g (1 tablet) 4 gange dagligt eller 2 g (2 tabletter) 2 gange dagligt.</w:t>
      </w:r>
    </w:p>
    <w:p w14:paraId="629C9AAA" w14:textId="77777777" w:rsidR="008B797B" w:rsidRPr="001A4093" w:rsidRDefault="008B797B" w:rsidP="00E348E2">
      <w:pPr>
        <w:ind w:left="851"/>
        <w:rPr>
          <w:spacing w:val="-3"/>
          <w:sz w:val="24"/>
          <w:szCs w:val="24"/>
          <w:lang w:eastAsia="da-DK"/>
        </w:rPr>
      </w:pPr>
    </w:p>
    <w:p w14:paraId="2CE650FD" w14:textId="77777777" w:rsidR="008B797B" w:rsidRPr="001A4093" w:rsidRDefault="008B797B" w:rsidP="00E348E2">
      <w:pPr>
        <w:ind w:left="851"/>
        <w:rPr>
          <w:spacing w:val="-3"/>
          <w:sz w:val="24"/>
          <w:szCs w:val="24"/>
          <w:lang w:eastAsia="da-DK"/>
        </w:rPr>
      </w:pPr>
      <w:r w:rsidRPr="001A4093">
        <w:rPr>
          <w:i/>
          <w:spacing w:val="-3"/>
          <w:sz w:val="24"/>
          <w:szCs w:val="24"/>
          <w:lang w:bidi="da-DK"/>
        </w:rPr>
        <w:t xml:space="preserve">Ulcus </w:t>
      </w:r>
      <w:proofErr w:type="spellStart"/>
      <w:r w:rsidRPr="001A4093">
        <w:rPr>
          <w:i/>
          <w:spacing w:val="-3"/>
          <w:sz w:val="24"/>
          <w:szCs w:val="24"/>
          <w:lang w:bidi="da-DK"/>
        </w:rPr>
        <w:t>ventriculi</w:t>
      </w:r>
      <w:proofErr w:type="spellEnd"/>
      <w:r w:rsidRPr="001A4093">
        <w:rPr>
          <w:i/>
          <w:spacing w:val="-3"/>
          <w:sz w:val="24"/>
          <w:szCs w:val="24"/>
          <w:lang w:bidi="da-DK"/>
        </w:rPr>
        <w:t>:</w:t>
      </w:r>
      <w:r w:rsidRPr="001A4093">
        <w:rPr>
          <w:spacing w:val="-3"/>
          <w:sz w:val="24"/>
          <w:szCs w:val="24"/>
          <w:lang w:bidi="da-DK"/>
        </w:rPr>
        <w:t xml:space="preserve"> 1 g (1 tablet) 4 gange dagligt eller 2 g (2 tabletter) 2 gange dagligt.</w:t>
      </w:r>
    </w:p>
    <w:p w14:paraId="1ABDBC99" w14:textId="77777777" w:rsidR="008B797B" w:rsidRPr="001A4093" w:rsidRDefault="008B797B" w:rsidP="00E348E2">
      <w:pPr>
        <w:ind w:left="851"/>
        <w:rPr>
          <w:spacing w:val="-3"/>
          <w:sz w:val="24"/>
          <w:szCs w:val="24"/>
          <w:lang w:eastAsia="da-DK" w:bidi="en-US"/>
        </w:rPr>
      </w:pPr>
    </w:p>
    <w:p w14:paraId="7BF90661" w14:textId="77777777" w:rsidR="008B797B" w:rsidRPr="001A4093" w:rsidRDefault="008B797B" w:rsidP="00E348E2">
      <w:pPr>
        <w:ind w:left="851"/>
        <w:rPr>
          <w:spacing w:val="-3"/>
          <w:sz w:val="24"/>
          <w:szCs w:val="24"/>
          <w:lang w:eastAsia="da-DK"/>
        </w:rPr>
      </w:pPr>
      <w:proofErr w:type="spellStart"/>
      <w:r w:rsidRPr="001A4093">
        <w:rPr>
          <w:i/>
          <w:spacing w:val="-3"/>
          <w:sz w:val="24"/>
          <w:szCs w:val="24"/>
          <w:lang w:bidi="da-DK"/>
        </w:rPr>
        <w:t>Refluksøsofagitis</w:t>
      </w:r>
      <w:proofErr w:type="spellEnd"/>
      <w:r w:rsidRPr="001A4093">
        <w:rPr>
          <w:i/>
          <w:spacing w:val="-3"/>
          <w:sz w:val="24"/>
          <w:szCs w:val="24"/>
          <w:lang w:bidi="da-DK"/>
        </w:rPr>
        <w:t>:</w:t>
      </w:r>
      <w:r w:rsidRPr="001A4093">
        <w:rPr>
          <w:spacing w:val="-3"/>
          <w:sz w:val="24"/>
          <w:szCs w:val="24"/>
          <w:lang w:bidi="da-DK"/>
        </w:rPr>
        <w:t xml:space="preserve"> 1 g (1 tablet) 4 gange dagligt.</w:t>
      </w:r>
    </w:p>
    <w:p w14:paraId="1B76BE69" w14:textId="231CAB71" w:rsidR="008B797B" w:rsidRPr="001A4093" w:rsidRDefault="008B797B" w:rsidP="00E348E2">
      <w:pPr>
        <w:ind w:left="851"/>
        <w:rPr>
          <w:spacing w:val="-3"/>
          <w:sz w:val="24"/>
          <w:szCs w:val="24"/>
          <w:lang w:eastAsia="da-DK"/>
        </w:rPr>
      </w:pPr>
    </w:p>
    <w:p w14:paraId="35738FB2" w14:textId="77777777" w:rsidR="008B797B" w:rsidRPr="001A4093" w:rsidRDefault="008B797B" w:rsidP="00E348E2">
      <w:pPr>
        <w:ind w:left="851"/>
        <w:rPr>
          <w:spacing w:val="-3"/>
          <w:sz w:val="24"/>
          <w:szCs w:val="24"/>
          <w:lang w:eastAsia="da-DK" w:bidi="en-US"/>
        </w:rPr>
      </w:pPr>
      <w:r w:rsidRPr="001A4093">
        <w:rPr>
          <w:i/>
          <w:spacing w:val="-3"/>
          <w:sz w:val="24"/>
          <w:szCs w:val="24"/>
          <w:lang w:bidi="da-DK"/>
        </w:rPr>
        <w:t xml:space="preserve">Forebyggelse af stressbetinget </w:t>
      </w:r>
      <w:proofErr w:type="spellStart"/>
      <w:r w:rsidRPr="001A4093">
        <w:rPr>
          <w:i/>
          <w:spacing w:val="-3"/>
          <w:sz w:val="24"/>
          <w:szCs w:val="24"/>
          <w:lang w:bidi="da-DK"/>
        </w:rPr>
        <w:t>ulcera</w:t>
      </w:r>
      <w:proofErr w:type="spellEnd"/>
      <w:r w:rsidRPr="001A4093">
        <w:rPr>
          <w:i/>
          <w:spacing w:val="-3"/>
          <w:sz w:val="24"/>
          <w:szCs w:val="24"/>
          <w:lang w:bidi="da-DK"/>
        </w:rPr>
        <w:t>:</w:t>
      </w:r>
      <w:r w:rsidRPr="001A4093">
        <w:rPr>
          <w:spacing w:val="-3"/>
          <w:sz w:val="24"/>
          <w:szCs w:val="24"/>
          <w:lang w:bidi="da-DK"/>
        </w:rPr>
        <w:t xml:space="preserve"> 1 g (1 tablet) 4 gange dagligt.</w:t>
      </w:r>
    </w:p>
    <w:p w14:paraId="2D5C796E" w14:textId="77777777" w:rsidR="008B797B" w:rsidRPr="001A4093" w:rsidRDefault="008B797B" w:rsidP="00E348E2">
      <w:pPr>
        <w:ind w:left="851"/>
        <w:rPr>
          <w:spacing w:val="-3"/>
          <w:sz w:val="24"/>
          <w:szCs w:val="24"/>
          <w:lang w:eastAsia="da-DK" w:bidi="en-US"/>
        </w:rPr>
      </w:pPr>
    </w:p>
    <w:p w14:paraId="4FAB3BAA" w14:textId="77777777" w:rsidR="008B797B" w:rsidRPr="001A4093" w:rsidRDefault="008B797B" w:rsidP="00E348E2">
      <w:pPr>
        <w:ind w:left="851"/>
        <w:rPr>
          <w:i/>
          <w:spacing w:val="-3"/>
          <w:sz w:val="24"/>
          <w:szCs w:val="24"/>
          <w:lang w:eastAsia="da-DK" w:bidi="en-US"/>
        </w:rPr>
      </w:pPr>
      <w:r w:rsidRPr="001A4093">
        <w:rPr>
          <w:i/>
          <w:spacing w:val="-3"/>
          <w:sz w:val="24"/>
          <w:szCs w:val="24"/>
          <w:lang w:bidi="da-DK"/>
        </w:rPr>
        <w:t xml:space="preserve">Forebyggelse af recidiverende </w:t>
      </w:r>
      <w:proofErr w:type="spellStart"/>
      <w:r w:rsidRPr="001A4093">
        <w:rPr>
          <w:i/>
          <w:spacing w:val="-3"/>
          <w:sz w:val="24"/>
          <w:szCs w:val="24"/>
          <w:lang w:bidi="da-DK"/>
        </w:rPr>
        <w:t>ulcera</w:t>
      </w:r>
      <w:proofErr w:type="spellEnd"/>
      <w:r w:rsidRPr="001A4093">
        <w:rPr>
          <w:i/>
          <w:spacing w:val="-3"/>
          <w:sz w:val="24"/>
          <w:szCs w:val="24"/>
          <w:lang w:bidi="da-DK"/>
        </w:rPr>
        <w:t xml:space="preserve"> i ventriklen eller i duodenum: </w:t>
      </w:r>
      <w:r w:rsidRPr="001A4093">
        <w:rPr>
          <w:spacing w:val="-3"/>
          <w:sz w:val="24"/>
          <w:szCs w:val="24"/>
          <w:lang w:bidi="da-DK"/>
        </w:rPr>
        <w:t>1 g (1 tablet) 2 gange dagligt.</w:t>
      </w:r>
    </w:p>
    <w:p w14:paraId="5FB590B8" w14:textId="1DE9CF2A" w:rsidR="008B797B" w:rsidRPr="001A4093" w:rsidRDefault="008B797B" w:rsidP="00E348E2">
      <w:pPr>
        <w:ind w:left="851"/>
        <w:rPr>
          <w:spacing w:val="-3"/>
          <w:sz w:val="24"/>
          <w:szCs w:val="24"/>
          <w:lang w:eastAsia="da-DK"/>
        </w:rPr>
      </w:pPr>
    </w:p>
    <w:p w14:paraId="537DCA65" w14:textId="77777777" w:rsidR="008B797B" w:rsidRPr="001A4093" w:rsidRDefault="008B797B" w:rsidP="00E348E2">
      <w:pPr>
        <w:ind w:left="851"/>
        <w:rPr>
          <w:spacing w:val="-3"/>
          <w:sz w:val="24"/>
          <w:szCs w:val="24"/>
          <w:u w:val="single"/>
          <w:lang w:eastAsia="da-DK" w:bidi="en-US"/>
        </w:rPr>
      </w:pPr>
      <w:r w:rsidRPr="001A4093">
        <w:rPr>
          <w:spacing w:val="-3"/>
          <w:sz w:val="24"/>
          <w:szCs w:val="24"/>
          <w:u w:val="single"/>
          <w:lang w:bidi="da-DK"/>
        </w:rPr>
        <w:t>Behandlingens varighed</w:t>
      </w:r>
    </w:p>
    <w:p w14:paraId="1BCA5F95" w14:textId="77777777" w:rsidR="008B797B" w:rsidRPr="001A4093" w:rsidRDefault="008B797B" w:rsidP="00E348E2">
      <w:pPr>
        <w:ind w:left="851"/>
        <w:rPr>
          <w:spacing w:val="-3"/>
          <w:sz w:val="24"/>
          <w:szCs w:val="24"/>
          <w:lang w:eastAsia="da-DK" w:bidi="en-US"/>
        </w:rPr>
      </w:pPr>
      <w:r w:rsidRPr="001A4093">
        <w:rPr>
          <w:i/>
          <w:spacing w:val="-3"/>
          <w:sz w:val="24"/>
          <w:szCs w:val="24"/>
          <w:lang w:bidi="da-DK"/>
        </w:rPr>
        <w:t xml:space="preserve">Ulcus </w:t>
      </w:r>
      <w:proofErr w:type="spellStart"/>
      <w:r w:rsidRPr="001A4093">
        <w:rPr>
          <w:i/>
          <w:spacing w:val="-3"/>
          <w:sz w:val="24"/>
          <w:szCs w:val="24"/>
          <w:lang w:bidi="da-DK"/>
        </w:rPr>
        <w:t>duodeni</w:t>
      </w:r>
      <w:proofErr w:type="spellEnd"/>
      <w:r w:rsidRPr="001A4093">
        <w:rPr>
          <w:i/>
          <w:spacing w:val="-3"/>
          <w:sz w:val="24"/>
          <w:szCs w:val="24"/>
          <w:lang w:bidi="da-DK"/>
        </w:rPr>
        <w:t xml:space="preserve">: </w:t>
      </w:r>
      <w:r w:rsidRPr="001A4093">
        <w:rPr>
          <w:spacing w:val="-3"/>
          <w:sz w:val="24"/>
          <w:szCs w:val="24"/>
          <w:lang w:bidi="da-DK"/>
        </w:rPr>
        <w:t xml:space="preserve">Behandling i 4-6 uger kræves normalt for heling af </w:t>
      </w:r>
      <w:proofErr w:type="spellStart"/>
      <w:r w:rsidRPr="001A4093">
        <w:rPr>
          <w:spacing w:val="-3"/>
          <w:sz w:val="24"/>
          <w:szCs w:val="24"/>
          <w:lang w:bidi="da-DK"/>
        </w:rPr>
        <w:t>ulcera</w:t>
      </w:r>
      <w:proofErr w:type="spellEnd"/>
      <w:r w:rsidRPr="001A4093">
        <w:rPr>
          <w:spacing w:val="-3"/>
          <w:sz w:val="24"/>
          <w:szCs w:val="24"/>
          <w:lang w:bidi="da-DK"/>
        </w:rPr>
        <w:t>, men op til 12 uger kan være nødvendigt i tilfælde med resistens. For mindre sår er 4 ugers behandling som regel tilstrækkeligt.</w:t>
      </w:r>
    </w:p>
    <w:p w14:paraId="3DC19745" w14:textId="77777777" w:rsidR="008B797B" w:rsidRPr="001A4093" w:rsidRDefault="008B797B" w:rsidP="00E348E2">
      <w:pPr>
        <w:ind w:left="851"/>
        <w:rPr>
          <w:spacing w:val="-3"/>
          <w:sz w:val="24"/>
          <w:szCs w:val="24"/>
          <w:lang w:eastAsia="da-DK" w:bidi="en-US"/>
        </w:rPr>
      </w:pPr>
    </w:p>
    <w:p w14:paraId="46D4F820" w14:textId="77777777" w:rsidR="008B797B" w:rsidRPr="001A4093" w:rsidRDefault="008B797B" w:rsidP="00E348E2">
      <w:pPr>
        <w:ind w:left="851"/>
        <w:rPr>
          <w:spacing w:val="-3"/>
          <w:sz w:val="24"/>
          <w:szCs w:val="24"/>
          <w:lang w:eastAsia="da-DK" w:bidi="en-US"/>
        </w:rPr>
      </w:pPr>
      <w:r w:rsidRPr="001A4093">
        <w:rPr>
          <w:i/>
          <w:spacing w:val="-3"/>
          <w:sz w:val="24"/>
          <w:szCs w:val="24"/>
          <w:lang w:bidi="da-DK"/>
        </w:rPr>
        <w:t xml:space="preserve">Ulcus </w:t>
      </w:r>
      <w:proofErr w:type="spellStart"/>
      <w:r w:rsidRPr="001A4093">
        <w:rPr>
          <w:i/>
          <w:spacing w:val="-3"/>
          <w:sz w:val="24"/>
          <w:szCs w:val="24"/>
          <w:lang w:bidi="da-DK"/>
        </w:rPr>
        <w:t>ventriculi</w:t>
      </w:r>
      <w:proofErr w:type="spellEnd"/>
      <w:r w:rsidRPr="001A4093">
        <w:rPr>
          <w:i/>
          <w:spacing w:val="-3"/>
          <w:sz w:val="24"/>
          <w:szCs w:val="24"/>
          <w:lang w:bidi="da-DK"/>
        </w:rPr>
        <w:t>:</w:t>
      </w:r>
      <w:r w:rsidRPr="001A4093">
        <w:rPr>
          <w:spacing w:val="-3"/>
          <w:sz w:val="24"/>
          <w:szCs w:val="24"/>
          <w:lang w:bidi="da-DK"/>
        </w:rPr>
        <w:t xml:space="preserve"> Behandlingen bør fortsætte, indtil der er opnået fuldstændig sårheling (</w:t>
      </w:r>
      <w:proofErr w:type="spellStart"/>
      <w:r w:rsidRPr="001A4093">
        <w:rPr>
          <w:spacing w:val="-3"/>
          <w:sz w:val="24"/>
          <w:szCs w:val="24"/>
          <w:lang w:bidi="da-DK"/>
        </w:rPr>
        <w:t>endoskopisk</w:t>
      </w:r>
      <w:proofErr w:type="spellEnd"/>
      <w:r w:rsidRPr="001A4093">
        <w:rPr>
          <w:spacing w:val="-3"/>
          <w:sz w:val="24"/>
          <w:szCs w:val="24"/>
          <w:lang w:bidi="da-DK"/>
        </w:rPr>
        <w:t xml:space="preserve"> kontrol), hvilket normalt sker inden for 6-8 uger.</w:t>
      </w:r>
    </w:p>
    <w:p w14:paraId="733FB718" w14:textId="77777777" w:rsidR="008B797B" w:rsidRPr="001A4093" w:rsidRDefault="008B797B" w:rsidP="00E348E2">
      <w:pPr>
        <w:ind w:left="851"/>
        <w:rPr>
          <w:spacing w:val="-3"/>
          <w:sz w:val="24"/>
          <w:szCs w:val="24"/>
          <w:lang w:eastAsia="da-DK" w:bidi="en-US"/>
        </w:rPr>
      </w:pPr>
    </w:p>
    <w:p w14:paraId="6E5FFAE4" w14:textId="77777777" w:rsidR="008B797B" w:rsidRPr="001A4093" w:rsidRDefault="008B797B" w:rsidP="00E348E2">
      <w:pPr>
        <w:ind w:left="851"/>
        <w:rPr>
          <w:spacing w:val="-3"/>
          <w:sz w:val="24"/>
          <w:szCs w:val="24"/>
          <w:lang w:eastAsia="da-DK" w:bidi="en-US"/>
        </w:rPr>
      </w:pPr>
      <w:proofErr w:type="spellStart"/>
      <w:r w:rsidRPr="001A4093">
        <w:rPr>
          <w:i/>
          <w:spacing w:val="-3"/>
          <w:sz w:val="24"/>
          <w:szCs w:val="24"/>
          <w:lang w:bidi="da-DK"/>
        </w:rPr>
        <w:t>Refluksøsofagitis</w:t>
      </w:r>
      <w:proofErr w:type="spellEnd"/>
      <w:r w:rsidRPr="001A4093">
        <w:rPr>
          <w:i/>
          <w:spacing w:val="-3"/>
          <w:sz w:val="24"/>
          <w:szCs w:val="24"/>
          <w:lang w:bidi="da-DK"/>
        </w:rPr>
        <w:t xml:space="preserve">: </w:t>
      </w:r>
      <w:r w:rsidRPr="001A4093">
        <w:rPr>
          <w:spacing w:val="-3"/>
          <w:sz w:val="24"/>
          <w:szCs w:val="24"/>
          <w:lang w:bidi="da-DK"/>
        </w:rPr>
        <w:t>Behandling bør normalt fortsætte i 6-12 uger.</w:t>
      </w:r>
    </w:p>
    <w:p w14:paraId="732901AC" w14:textId="2DBD522E" w:rsidR="008B797B" w:rsidRPr="001A4093" w:rsidRDefault="008B797B" w:rsidP="00E348E2">
      <w:pPr>
        <w:ind w:left="851"/>
        <w:rPr>
          <w:spacing w:val="-3"/>
          <w:sz w:val="24"/>
          <w:szCs w:val="24"/>
          <w:lang w:eastAsia="da-DK" w:bidi="en-US"/>
        </w:rPr>
      </w:pPr>
    </w:p>
    <w:p w14:paraId="073225A3" w14:textId="77777777" w:rsidR="008B797B" w:rsidRPr="001A4093" w:rsidRDefault="008B797B" w:rsidP="00E348E2">
      <w:pPr>
        <w:ind w:left="851"/>
        <w:rPr>
          <w:spacing w:val="-3"/>
          <w:sz w:val="24"/>
          <w:szCs w:val="24"/>
          <w:lang w:eastAsia="da-DK" w:bidi="en-US"/>
        </w:rPr>
      </w:pPr>
      <w:r w:rsidRPr="001A4093">
        <w:rPr>
          <w:i/>
          <w:spacing w:val="-3"/>
          <w:sz w:val="24"/>
          <w:szCs w:val="24"/>
          <w:lang w:bidi="da-DK"/>
        </w:rPr>
        <w:t xml:space="preserve">Forebyggelse af stressbetinget </w:t>
      </w:r>
      <w:proofErr w:type="spellStart"/>
      <w:r w:rsidRPr="001A4093">
        <w:rPr>
          <w:i/>
          <w:spacing w:val="-3"/>
          <w:sz w:val="24"/>
          <w:szCs w:val="24"/>
          <w:lang w:bidi="da-DK"/>
        </w:rPr>
        <w:t>ulcera</w:t>
      </w:r>
      <w:proofErr w:type="spellEnd"/>
      <w:r w:rsidRPr="001A4093">
        <w:rPr>
          <w:i/>
          <w:spacing w:val="-3"/>
          <w:sz w:val="24"/>
          <w:szCs w:val="24"/>
          <w:lang w:bidi="da-DK"/>
        </w:rPr>
        <w:t xml:space="preserve">: </w:t>
      </w:r>
      <w:r w:rsidRPr="001A4093">
        <w:rPr>
          <w:spacing w:val="-3"/>
          <w:sz w:val="24"/>
          <w:szCs w:val="24"/>
          <w:lang w:bidi="da-DK"/>
        </w:rPr>
        <w:t xml:space="preserve">Varigheden af behandlingen skal afgøres på individuel basis. </w:t>
      </w:r>
    </w:p>
    <w:p w14:paraId="29DAA553" w14:textId="77777777" w:rsidR="008B797B" w:rsidRPr="001A4093" w:rsidRDefault="008B797B" w:rsidP="00E348E2">
      <w:pPr>
        <w:ind w:left="851"/>
        <w:rPr>
          <w:spacing w:val="-3"/>
          <w:sz w:val="24"/>
          <w:szCs w:val="24"/>
          <w:lang w:eastAsia="da-DK" w:bidi="en-US"/>
        </w:rPr>
      </w:pPr>
    </w:p>
    <w:p w14:paraId="44052317" w14:textId="77777777" w:rsidR="008B797B" w:rsidRPr="001A4093" w:rsidRDefault="008B797B" w:rsidP="00E348E2">
      <w:pPr>
        <w:ind w:left="851"/>
        <w:rPr>
          <w:spacing w:val="-3"/>
          <w:sz w:val="24"/>
          <w:szCs w:val="24"/>
          <w:lang w:eastAsia="da-DK" w:bidi="en-US"/>
        </w:rPr>
      </w:pPr>
      <w:r w:rsidRPr="001A4093">
        <w:rPr>
          <w:i/>
          <w:spacing w:val="-3"/>
          <w:sz w:val="24"/>
          <w:szCs w:val="24"/>
          <w:lang w:bidi="da-DK"/>
        </w:rPr>
        <w:t xml:space="preserve">Forebyggelse af recidiverende </w:t>
      </w:r>
      <w:proofErr w:type="spellStart"/>
      <w:r w:rsidRPr="001A4093">
        <w:rPr>
          <w:i/>
          <w:spacing w:val="-3"/>
          <w:sz w:val="24"/>
          <w:szCs w:val="24"/>
          <w:lang w:bidi="da-DK"/>
        </w:rPr>
        <w:t>ulcera</w:t>
      </w:r>
      <w:proofErr w:type="spellEnd"/>
      <w:r w:rsidRPr="001A4093">
        <w:rPr>
          <w:i/>
          <w:spacing w:val="-3"/>
          <w:sz w:val="24"/>
          <w:szCs w:val="24"/>
          <w:lang w:bidi="da-DK"/>
        </w:rPr>
        <w:t xml:space="preserve"> i ventriklen eller i duodenum: </w:t>
      </w:r>
      <w:r w:rsidRPr="001A4093">
        <w:rPr>
          <w:spacing w:val="-3"/>
          <w:sz w:val="24"/>
          <w:szCs w:val="24"/>
          <w:lang w:bidi="da-DK"/>
        </w:rPr>
        <w:t xml:space="preserve">Behandlingen kan fortsætte i 6-12 måneder efter helingen af den gastriske eller </w:t>
      </w:r>
      <w:proofErr w:type="spellStart"/>
      <w:r w:rsidRPr="001A4093">
        <w:rPr>
          <w:spacing w:val="-3"/>
          <w:sz w:val="24"/>
          <w:szCs w:val="24"/>
          <w:lang w:bidi="da-DK"/>
        </w:rPr>
        <w:t>duodenale</w:t>
      </w:r>
      <w:proofErr w:type="spellEnd"/>
      <w:r w:rsidRPr="001A4093">
        <w:rPr>
          <w:spacing w:val="-3"/>
          <w:sz w:val="24"/>
          <w:szCs w:val="24"/>
          <w:lang w:bidi="da-DK"/>
        </w:rPr>
        <w:t xml:space="preserve"> </w:t>
      </w:r>
      <w:proofErr w:type="spellStart"/>
      <w:r w:rsidRPr="001A4093">
        <w:rPr>
          <w:spacing w:val="-3"/>
          <w:sz w:val="24"/>
          <w:szCs w:val="24"/>
          <w:lang w:bidi="da-DK"/>
        </w:rPr>
        <w:t>ulcer</w:t>
      </w:r>
      <w:proofErr w:type="spellEnd"/>
      <w:r w:rsidRPr="001A4093">
        <w:rPr>
          <w:spacing w:val="-3"/>
          <w:sz w:val="24"/>
          <w:szCs w:val="24"/>
          <w:lang w:bidi="da-DK"/>
        </w:rPr>
        <w:t>.</w:t>
      </w:r>
    </w:p>
    <w:p w14:paraId="141FFD34" w14:textId="77777777" w:rsidR="008B797B" w:rsidRPr="001A4093" w:rsidRDefault="008B797B" w:rsidP="00E348E2">
      <w:pPr>
        <w:ind w:left="851"/>
        <w:rPr>
          <w:spacing w:val="-3"/>
          <w:sz w:val="24"/>
          <w:szCs w:val="24"/>
          <w:lang w:eastAsia="da-DK" w:bidi="en-US"/>
        </w:rPr>
      </w:pPr>
    </w:p>
    <w:p w14:paraId="2A41712F" w14:textId="77777777" w:rsidR="008B797B" w:rsidRPr="001A4093" w:rsidRDefault="008B797B" w:rsidP="00E348E2">
      <w:pPr>
        <w:ind w:left="851"/>
        <w:rPr>
          <w:i/>
          <w:spacing w:val="-3"/>
          <w:sz w:val="24"/>
          <w:szCs w:val="24"/>
          <w:lang w:eastAsia="da-DK"/>
        </w:rPr>
      </w:pPr>
      <w:r w:rsidRPr="001A4093">
        <w:rPr>
          <w:i/>
          <w:spacing w:val="-3"/>
          <w:sz w:val="24"/>
          <w:szCs w:val="24"/>
          <w:lang w:bidi="da-DK"/>
        </w:rPr>
        <w:t>Pædiatrisk population</w:t>
      </w:r>
    </w:p>
    <w:p w14:paraId="2B9FE1E1" w14:textId="77777777" w:rsidR="008B797B" w:rsidRPr="001A4093" w:rsidRDefault="008B797B" w:rsidP="00E348E2">
      <w:pPr>
        <w:ind w:left="851"/>
        <w:rPr>
          <w:spacing w:val="-3"/>
          <w:sz w:val="24"/>
          <w:szCs w:val="24"/>
          <w:lang w:eastAsia="da-DK" w:bidi="en-US"/>
        </w:rPr>
      </w:pPr>
      <w:r w:rsidRPr="001A4093">
        <w:rPr>
          <w:spacing w:val="-3"/>
          <w:sz w:val="24"/>
          <w:szCs w:val="24"/>
          <w:lang w:bidi="da-DK"/>
        </w:rPr>
        <w:t xml:space="preserve">Sikkerheden og effekten af </w:t>
      </w:r>
      <w:proofErr w:type="spellStart"/>
      <w:r w:rsidRPr="001A4093">
        <w:rPr>
          <w:spacing w:val="-3"/>
          <w:sz w:val="24"/>
          <w:szCs w:val="24"/>
          <w:lang w:bidi="da-DK"/>
        </w:rPr>
        <w:t>Peptonorm</w:t>
      </w:r>
      <w:proofErr w:type="spellEnd"/>
      <w:r w:rsidRPr="001A4093">
        <w:rPr>
          <w:spacing w:val="-3"/>
          <w:sz w:val="24"/>
          <w:szCs w:val="24"/>
          <w:lang w:bidi="da-DK"/>
        </w:rPr>
        <w:t xml:space="preserve"> hos børn under 14 år er ikke blevet fastslået.</w:t>
      </w:r>
    </w:p>
    <w:p w14:paraId="2FA94B5B" w14:textId="3BA5F011" w:rsidR="008B797B" w:rsidRPr="001A4093" w:rsidRDefault="008B797B" w:rsidP="00E348E2">
      <w:pPr>
        <w:ind w:left="851"/>
        <w:rPr>
          <w:spacing w:val="-3"/>
          <w:sz w:val="24"/>
          <w:szCs w:val="24"/>
          <w:lang w:eastAsia="da-DK" w:bidi="en-US"/>
        </w:rPr>
      </w:pPr>
      <w:r w:rsidRPr="001A4093">
        <w:rPr>
          <w:spacing w:val="-3"/>
          <w:sz w:val="24"/>
          <w:szCs w:val="24"/>
          <w:lang w:bidi="da-DK"/>
        </w:rPr>
        <w:t xml:space="preserve">Aktuelt tilgængelige data er beskrevet i </w:t>
      </w:r>
      <w:r w:rsidR="001D0A5E">
        <w:rPr>
          <w:spacing w:val="-3"/>
          <w:sz w:val="24"/>
          <w:szCs w:val="24"/>
          <w:lang w:bidi="da-DK"/>
        </w:rPr>
        <w:t>pkt.</w:t>
      </w:r>
      <w:r w:rsidRPr="001A4093">
        <w:rPr>
          <w:spacing w:val="-3"/>
          <w:sz w:val="24"/>
          <w:szCs w:val="24"/>
          <w:lang w:bidi="da-DK"/>
        </w:rPr>
        <w:t xml:space="preserve"> 5.1.</w:t>
      </w:r>
    </w:p>
    <w:p w14:paraId="0CBCBB00" w14:textId="77777777" w:rsidR="008B797B" w:rsidRPr="001A4093" w:rsidRDefault="008B797B" w:rsidP="00E348E2">
      <w:pPr>
        <w:ind w:left="851"/>
        <w:rPr>
          <w:spacing w:val="-3"/>
          <w:sz w:val="24"/>
          <w:szCs w:val="24"/>
          <w:lang w:eastAsia="da-DK" w:bidi="en-US"/>
        </w:rPr>
      </w:pPr>
    </w:p>
    <w:p w14:paraId="3F5EB9C7" w14:textId="77777777" w:rsidR="008B797B" w:rsidRPr="001A4093" w:rsidRDefault="008B797B" w:rsidP="00E348E2">
      <w:pPr>
        <w:ind w:left="851"/>
        <w:rPr>
          <w:b/>
          <w:spacing w:val="-3"/>
          <w:sz w:val="24"/>
          <w:szCs w:val="24"/>
          <w:lang w:eastAsia="da-DK"/>
        </w:rPr>
      </w:pPr>
      <w:r w:rsidRPr="001A4093">
        <w:rPr>
          <w:b/>
          <w:spacing w:val="-3"/>
          <w:sz w:val="24"/>
          <w:szCs w:val="24"/>
          <w:lang w:bidi="da-DK"/>
        </w:rPr>
        <w:t>Særlige populationer</w:t>
      </w:r>
    </w:p>
    <w:p w14:paraId="3009EBC6" w14:textId="77777777" w:rsidR="008B797B" w:rsidRPr="001A4093" w:rsidRDefault="008B797B" w:rsidP="00E348E2">
      <w:pPr>
        <w:ind w:left="851"/>
        <w:rPr>
          <w:b/>
          <w:spacing w:val="-3"/>
          <w:sz w:val="24"/>
          <w:szCs w:val="24"/>
          <w:lang w:eastAsia="da-DK"/>
        </w:rPr>
      </w:pPr>
    </w:p>
    <w:p w14:paraId="07A6D4AA" w14:textId="77777777" w:rsidR="008B797B" w:rsidRPr="001A4093" w:rsidRDefault="008B797B" w:rsidP="00E348E2">
      <w:pPr>
        <w:ind w:left="851"/>
        <w:rPr>
          <w:i/>
          <w:sz w:val="24"/>
          <w:szCs w:val="24"/>
        </w:rPr>
      </w:pPr>
      <w:r w:rsidRPr="001A4093">
        <w:rPr>
          <w:i/>
          <w:sz w:val="24"/>
          <w:szCs w:val="24"/>
          <w:lang w:bidi="da-DK"/>
        </w:rPr>
        <w:t>Ældre</w:t>
      </w:r>
    </w:p>
    <w:p w14:paraId="2639270C" w14:textId="77777777" w:rsidR="008B797B" w:rsidRPr="001A4093" w:rsidRDefault="008B797B" w:rsidP="00E348E2">
      <w:pPr>
        <w:ind w:left="851"/>
        <w:rPr>
          <w:sz w:val="24"/>
          <w:szCs w:val="24"/>
        </w:rPr>
      </w:pPr>
      <w:r w:rsidRPr="001A4093">
        <w:rPr>
          <w:sz w:val="24"/>
          <w:szCs w:val="24"/>
          <w:lang w:bidi="da-DK"/>
        </w:rPr>
        <w:t>Dosisjustering er ikke nødvendig hos ældre patienter, men som med al anden medicin bør den laveste effektive dosis anvendes.</w:t>
      </w:r>
    </w:p>
    <w:p w14:paraId="799BAE0E" w14:textId="77777777" w:rsidR="008B797B" w:rsidRPr="001A4093" w:rsidRDefault="008B797B" w:rsidP="00E348E2">
      <w:pPr>
        <w:ind w:left="851"/>
        <w:rPr>
          <w:i/>
          <w:sz w:val="24"/>
          <w:szCs w:val="24"/>
        </w:rPr>
      </w:pPr>
    </w:p>
    <w:p w14:paraId="64713FDA" w14:textId="77777777" w:rsidR="008B797B" w:rsidRPr="001A4093" w:rsidRDefault="008B797B" w:rsidP="00E348E2">
      <w:pPr>
        <w:ind w:left="851"/>
        <w:rPr>
          <w:i/>
          <w:sz w:val="24"/>
          <w:szCs w:val="24"/>
        </w:rPr>
      </w:pPr>
      <w:r w:rsidRPr="001A4093">
        <w:rPr>
          <w:i/>
          <w:sz w:val="24"/>
          <w:szCs w:val="24"/>
          <w:lang w:bidi="da-DK"/>
        </w:rPr>
        <w:t>Patienter med nedsat leverfunktion</w:t>
      </w:r>
    </w:p>
    <w:p w14:paraId="67AB7645" w14:textId="77777777" w:rsidR="008B797B" w:rsidRPr="001A4093" w:rsidRDefault="008B797B" w:rsidP="00E348E2">
      <w:pPr>
        <w:ind w:left="851"/>
        <w:rPr>
          <w:sz w:val="24"/>
          <w:szCs w:val="24"/>
        </w:rPr>
      </w:pPr>
      <w:r w:rsidRPr="001A4093">
        <w:rPr>
          <w:sz w:val="24"/>
          <w:szCs w:val="24"/>
          <w:lang w:bidi="da-DK"/>
        </w:rPr>
        <w:t>Dosisjustering ikke nødvendig.</w:t>
      </w:r>
    </w:p>
    <w:p w14:paraId="37E51A5F" w14:textId="77777777" w:rsidR="008B797B" w:rsidRPr="001A4093" w:rsidRDefault="008B797B" w:rsidP="00E348E2">
      <w:pPr>
        <w:ind w:left="851"/>
        <w:rPr>
          <w:sz w:val="24"/>
          <w:szCs w:val="24"/>
        </w:rPr>
      </w:pPr>
    </w:p>
    <w:p w14:paraId="6B31782A" w14:textId="77777777" w:rsidR="008B797B" w:rsidRPr="001A4093" w:rsidRDefault="008B797B" w:rsidP="00E348E2">
      <w:pPr>
        <w:ind w:left="851"/>
        <w:rPr>
          <w:i/>
          <w:sz w:val="24"/>
          <w:szCs w:val="24"/>
        </w:rPr>
      </w:pPr>
      <w:r w:rsidRPr="001A4093">
        <w:rPr>
          <w:i/>
          <w:sz w:val="24"/>
          <w:szCs w:val="24"/>
          <w:lang w:bidi="da-DK"/>
        </w:rPr>
        <w:t>Patienter med nedsat nyrefunktion</w:t>
      </w:r>
    </w:p>
    <w:p w14:paraId="63DBD24D" w14:textId="77777777" w:rsidR="008B797B" w:rsidRPr="001A4093" w:rsidRDefault="008B797B" w:rsidP="00E348E2">
      <w:pPr>
        <w:ind w:left="851"/>
        <w:rPr>
          <w:spacing w:val="-3"/>
          <w:sz w:val="24"/>
          <w:szCs w:val="24"/>
          <w:lang w:eastAsia="da-DK"/>
        </w:rPr>
      </w:pPr>
      <w:r w:rsidRPr="001A4093">
        <w:rPr>
          <w:spacing w:val="-3"/>
          <w:sz w:val="24"/>
          <w:szCs w:val="24"/>
          <w:lang w:bidi="da-DK"/>
        </w:rPr>
        <w:t xml:space="preserve">Hos patienter med nedsat nyrefunktion bør </w:t>
      </w:r>
      <w:proofErr w:type="spellStart"/>
      <w:r w:rsidRPr="001A4093">
        <w:rPr>
          <w:spacing w:val="-3"/>
          <w:sz w:val="24"/>
          <w:szCs w:val="24"/>
          <w:lang w:bidi="da-DK"/>
        </w:rPr>
        <w:t>Peptonorm</w:t>
      </w:r>
      <w:proofErr w:type="spellEnd"/>
      <w:r w:rsidRPr="001A4093">
        <w:rPr>
          <w:spacing w:val="-3"/>
          <w:sz w:val="24"/>
          <w:szCs w:val="24"/>
          <w:lang w:bidi="da-DK"/>
        </w:rPr>
        <w:t xml:space="preserve"> kun anvendes, hvis det er nødvendigt af særlige terapeutiske årsager (se pkt. 4.4).</w:t>
      </w:r>
    </w:p>
    <w:p w14:paraId="031FB54F" w14:textId="0F3B4E0B" w:rsidR="001D0A5E" w:rsidRDefault="001D0A5E">
      <w:pPr>
        <w:rPr>
          <w:spacing w:val="-3"/>
          <w:sz w:val="24"/>
          <w:szCs w:val="24"/>
          <w:lang w:eastAsia="da-DK"/>
        </w:rPr>
      </w:pPr>
      <w:r>
        <w:rPr>
          <w:spacing w:val="-3"/>
          <w:sz w:val="24"/>
          <w:szCs w:val="24"/>
          <w:lang w:eastAsia="da-DK"/>
        </w:rPr>
        <w:br w:type="page"/>
      </w:r>
    </w:p>
    <w:p w14:paraId="712DAA39" w14:textId="77777777" w:rsidR="008B797B" w:rsidRPr="001A4093" w:rsidRDefault="008B797B" w:rsidP="00E348E2">
      <w:pPr>
        <w:ind w:left="851"/>
        <w:rPr>
          <w:spacing w:val="-3"/>
          <w:sz w:val="24"/>
          <w:szCs w:val="24"/>
          <w:lang w:eastAsia="da-DK"/>
        </w:rPr>
      </w:pPr>
    </w:p>
    <w:p w14:paraId="727B494D" w14:textId="77777777" w:rsidR="008B797B" w:rsidRPr="001A4093" w:rsidRDefault="008B797B" w:rsidP="00E348E2">
      <w:pPr>
        <w:ind w:left="851"/>
        <w:rPr>
          <w:spacing w:val="-3"/>
          <w:sz w:val="24"/>
          <w:szCs w:val="24"/>
          <w:u w:val="single"/>
          <w:lang w:eastAsia="da-DK" w:bidi="en-US"/>
        </w:rPr>
      </w:pPr>
      <w:r w:rsidRPr="001A4093">
        <w:rPr>
          <w:spacing w:val="-3"/>
          <w:sz w:val="24"/>
          <w:szCs w:val="24"/>
          <w:u w:val="single"/>
          <w:lang w:bidi="da-DK"/>
        </w:rPr>
        <w:t>Dosering og administration</w:t>
      </w:r>
    </w:p>
    <w:p w14:paraId="7EB7F240" w14:textId="77777777" w:rsidR="008B797B" w:rsidRPr="001A4093" w:rsidRDefault="008B797B" w:rsidP="00E348E2">
      <w:pPr>
        <w:ind w:left="851"/>
        <w:rPr>
          <w:spacing w:val="-3"/>
          <w:sz w:val="24"/>
          <w:szCs w:val="24"/>
          <w:lang w:eastAsia="da-DK"/>
        </w:rPr>
      </w:pPr>
      <w:r w:rsidRPr="001A4093">
        <w:rPr>
          <w:spacing w:val="-3"/>
          <w:sz w:val="24"/>
          <w:szCs w:val="24"/>
          <w:lang w:bidi="da-DK"/>
        </w:rPr>
        <w:t>Til oral administration.</w:t>
      </w:r>
    </w:p>
    <w:p w14:paraId="71D58BF1" w14:textId="77777777" w:rsidR="008B797B" w:rsidRPr="001A4093" w:rsidRDefault="008B797B" w:rsidP="00E348E2">
      <w:pPr>
        <w:ind w:left="851"/>
        <w:rPr>
          <w:spacing w:val="-3"/>
          <w:sz w:val="24"/>
          <w:szCs w:val="24"/>
          <w:lang w:eastAsia="da-DK"/>
        </w:rPr>
      </w:pPr>
    </w:p>
    <w:p w14:paraId="28667EC9" w14:textId="1BE23B87" w:rsidR="008B797B" w:rsidRPr="001A4093" w:rsidRDefault="008B797B" w:rsidP="00E348E2">
      <w:pPr>
        <w:ind w:left="851"/>
        <w:rPr>
          <w:spacing w:val="-3"/>
          <w:sz w:val="24"/>
          <w:szCs w:val="24"/>
          <w:lang w:eastAsia="da-DK"/>
        </w:rPr>
      </w:pPr>
      <w:r w:rsidRPr="001A4093">
        <w:rPr>
          <w:spacing w:val="-3"/>
          <w:sz w:val="24"/>
          <w:szCs w:val="24"/>
          <w:lang w:bidi="da-DK"/>
        </w:rPr>
        <w:t xml:space="preserve">Ved administration af en dosis på 4 </w:t>
      </w:r>
      <w:r w:rsidR="001D0A5E">
        <w:rPr>
          <w:spacing w:val="-3"/>
          <w:sz w:val="24"/>
          <w:szCs w:val="24"/>
          <w:lang w:bidi="da-DK"/>
        </w:rPr>
        <w:t>×</w:t>
      </w:r>
      <w:r w:rsidRPr="001A4093">
        <w:rPr>
          <w:spacing w:val="-3"/>
          <w:sz w:val="24"/>
          <w:szCs w:val="24"/>
          <w:lang w:bidi="da-DK"/>
        </w:rPr>
        <w:t xml:space="preserve"> 1 g tages en dosis ½-1 time før hvert måltid, og den fjerde dosis tages om aftenen lige før sengetid. Ved administration af en dosis på 2 </w:t>
      </w:r>
      <w:r w:rsidR="001D0A5E">
        <w:rPr>
          <w:spacing w:val="-3"/>
          <w:sz w:val="24"/>
          <w:szCs w:val="24"/>
          <w:lang w:bidi="da-DK"/>
        </w:rPr>
        <w:t>×</w:t>
      </w:r>
      <w:r w:rsidRPr="001A4093">
        <w:rPr>
          <w:spacing w:val="-3"/>
          <w:sz w:val="24"/>
          <w:szCs w:val="24"/>
          <w:lang w:bidi="da-DK"/>
        </w:rPr>
        <w:t xml:space="preserve"> 2 g tages en dosis (2 g) om morgenen, når man står op, og en dosis (2 g) om aftenen ved sengetid.</w:t>
      </w:r>
    </w:p>
    <w:p w14:paraId="7F1A9D96" w14:textId="77777777" w:rsidR="008B797B" w:rsidRPr="001A4093" w:rsidRDefault="008B797B" w:rsidP="00E348E2">
      <w:pPr>
        <w:ind w:left="851"/>
        <w:rPr>
          <w:spacing w:val="-3"/>
          <w:sz w:val="24"/>
          <w:szCs w:val="24"/>
          <w:lang w:eastAsia="da-DK"/>
        </w:rPr>
      </w:pPr>
    </w:p>
    <w:p w14:paraId="3B1C8904" w14:textId="77777777" w:rsidR="008B797B" w:rsidRPr="001A4093" w:rsidRDefault="008B797B" w:rsidP="00E348E2">
      <w:pPr>
        <w:ind w:left="851"/>
        <w:rPr>
          <w:spacing w:val="-3"/>
          <w:sz w:val="24"/>
          <w:szCs w:val="24"/>
          <w:lang w:eastAsia="da-DK" w:bidi="en-US"/>
        </w:rPr>
      </w:pPr>
      <w:r w:rsidRPr="001A4093">
        <w:rPr>
          <w:spacing w:val="-3"/>
          <w:sz w:val="24"/>
          <w:szCs w:val="24"/>
          <w:lang w:bidi="da-DK"/>
        </w:rPr>
        <w:t xml:space="preserve">Til forebyggelse af gastrisk </w:t>
      </w:r>
      <w:proofErr w:type="spellStart"/>
      <w:r w:rsidRPr="001A4093">
        <w:rPr>
          <w:spacing w:val="-3"/>
          <w:sz w:val="24"/>
          <w:szCs w:val="24"/>
          <w:lang w:bidi="da-DK"/>
        </w:rPr>
        <w:t>ulcera</w:t>
      </w:r>
      <w:proofErr w:type="spellEnd"/>
      <w:r w:rsidRPr="001A4093">
        <w:rPr>
          <w:spacing w:val="-3"/>
          <w:sz w:val="24"/>
          <w:szCs w:val="24"/>
          <w:lang w:bidi="da-DK"/>
        </w:rPr>
        <w:t xml:space="preserve"> og </w:t>
      </w:r>
      <w:proofErr w:type="spellStart"/>
      <w:r w:rsidRPr="001A4093">
        <w:rPr>
          <w:spacing w:val="-3"/>
          <w:sz w:val="24"/>
          <w:szCs w:val="24"/>
          <w:lang w:bidi="da-DK"/>
        </w:rPr>
        <w:t>duodenal</w:t>
      </w:r>
      <w:proofErr w:type="spellEnd"/>
      <w:r w:rsidRPr="001A4093">
        <w:rPr>
          <w:spacing w:val="-3"/>
          <w:sz w:val="24"/>
          <w:szCs w:val="24"/>
          <w:lang w:bidi="da-DK"/>
        </w:rPr>
        <w:t xml:space="preserve"> </w:t>
      </w:r>
      <w:proofErr w:type="spellStart"/>
      <w:r w:rsidRPr="001A4093">
        <w:rPr>
          <w:spacing w:val="-3"/>
          <w:sz w:val="24"/>
          <w:szCs w:val="24"/>
          <w:lang w:bidi="da-DK"/>
        </w:rPr>
        <w:t>ulcera</w:t>
      </w:r>
      <w:proofErr w:type="spellEnd"/>
      <w:r w:rsidRPr="001A4093">
        <w:rPr>
          <w:spacing w:val="-3"/>
          <w:sz w:val="24"/>
          <w:szCs w:val="24"/>
          <w:lang w:bidi="da-DK"/>
        </w:rPr>
        <w:t xml:space="preserve"> tages en dosis (1 g) om morgenen, når man står op, og en dosis om aftenen (1 g) ved sengetid.</w:t>
      </w:r>
    </w:p>
    <w:p w14:paraId="50C12C4E" w14:textId="77777777" w:rsidR="008B797B" w:rsidRPr="001A4093" w:rsidRDefault="008B797B" w:rsidP="00E348E2">
      <w:pPr>
        <w:ind w:left="851"/>
        <w:rPr>
          <w:spacing w:val="-3"/>
          <w:sz w:val="24"/>
          <w:szCs w:val="24"/>
          <w:lang w:eastAsia="da-DK" w:bidi="en-US"/>
        </w:rPr>
      </w:pPr>
    </w:p>
    <w:p w14:paraId="1DCD7B9D" w14:textId="77777777" w:rsidR="008B797B" w:rsidRPr="001A4093" w:rsidRDefault="008B797B" w:rsidP="00E348E2">
      <w:pPr>
        <w:ind w:left="851"/>
        <w:rPr>
          <w:spacing w:val="-3"/>
          <w:sz w:val="24"/>
          <w:szCs w:val="24"/>
          <w:lang w:eastAsia="da-DK"/>
        </w:rPr>
      </w:pPr>
      <w:r w:rsidRPr="001A4093">
        <w:rPr>
          <w:spacing w:val="-3"/>
          <w:sz w:val="24"/>
          <w:szCs w:val="24"/>
          <w:lang w:bidi="da-DK"/>
        </w:rPr>
        <w:t xml:space="preserve">Til forebyggelse af stressbetinget </w:t>
      </w:r>
      <w:proofErr w:type="spellStart"/>
      <w:r w:rsidRPr="001A4093">
        <w:rPr>
          <w:spacing w:val="-3"/>
          <w:sz w:val="24"/>
          <w:szCs w:val="24"/>
          <w:lang w:bidi="da-DK"/>
        </w:rPr>
        <w:t>ulcera</w:t>
      </w:r>
      <w:proofErr w:type="spellEnd"/>
      <w:r w:rsidRPr="001A4093">
        <w:rPr>
          <w:spacing w:val="-3"/>
          <w:sz w:val="24"/>
          <w:szCs w:val="24"/>
          <w:lang w:bidi="da-DK"/>
        </w:rPr>
        <w:t xml:space="preserve"> hos alvorligt syge patienter, der ikke er i stand til at sluge hele tabletten, kan tabletten knuses til et pulver ved hjælp af delekærven og blandes i et halvt glas vand (120 ml) og drikkes med det samme. Glasset skal skylles med yderligere et halvt glas vand (120 ml), og indholdet drikkes. </w:t>
      </w:r>
    </w:p>
    <w:p w14:paraId="6F0BF040" w14:textId="77777777" w:rsidR="008B797B" w:rsidRPr="001A4093" w:rsidRDefault="008B797B" w:rsidP="00E348E2">
      <w:pPr>
        <w:ind w:left="851"/>
        <w:rPr>
          <w:spacing w:val="-3"/>
          <w:sz w:val="24"/>
          <w:szCs w:val="24"/>
          <w:lang w:eastAsia="da-DK"/>
        </w:rPr>
      </w:pPr>
    </w:p>
    <w:p w14:paraId="380CCCA0" w14:textId="77777777" w:rsidR="008B797B" w:rsidRPr="001A4093" w:rsidRDefault="008B797B" w:rsidP="00E348E2">
      <w:pPr>
        <w:ind w:left="851"/>
        <w:rPr>
          <w:spacing w:val="-3"/>
          <w:sz w:val="24"/>
          <w:szCs w:val="24"/>
          <w:lang w:eastAsia="da-DK"/>
        </w:rPr>
      </w:pPr>
      <w:r w:rsidRPr="001A4093">
        <w:rPr>
          <w:spacing w:val="-3"/>
          <w:sz w:val="24"/>
          <w:szCs w:val="24"/>
          <w:lang w:bidi="da-DK"/>
        </w:rPr>
        <w:t xml:space="preserve">Blandingen kan også administreres via en </w:t>
      </w:r>
      <w:proofErr w:type="spellStart"/>
      <w:r w:rsidRPr="001A4093">
        <w:rPr>
          <w:spacing w:val="-3"/>
          <w:sz w:val="24"/>
          <w:szCs w:val="24"/>
          <w:lang w:bidi="da-DK"/>
        </w:rPr>
        <w:t>nasogastrisk</w:t>
      </w:r>
      <w:proofErr w:type="spellEnd"/>
      <w:r w:rsidRPr="001A4093">
        <w:rPr>
          <w:spacing w:val="-3"/>
          <w:sz w:val="24"/>
          <w:szCs w:val="24"/>
          <w:lang w:bidi="da-DK"/>
        </w:rPr>
        <w:t xml:space="preserve"> sonde. I dette tilfælde kan tabletten knuses til et pulver og blandes med vand (120 ml). Efter hver administration skylles sonden med 10 til 15 ml vand for at forhindre blokering. Væske, der indeholder </w:t>
      </w:r>
      <w:proofErr w:type="spellStart"/>
      <w:r w:rsidRPr="001A4093">
        <w:rPr>
          <w:spacing w:val="-3"/>
          <w:sz w:val="24"/>
          <w:szCs w:val="24"/>
          <w:lang w:bidi="da-DK"/>
        </w:rPr>
        <w:t>tanniner</w:t>
      </w:r>
      <w:proofErr w:type="spellEnd"/>
      <w:r w:rsidRPr="001A4093">
        <w:rPr>
          <w:spacing w:val="-3"/>
          <w:sz w:val="24"/>
          <w:szCs w:val="24"/>
          <w:lang w:bidi="da-DK"/>
        </w:rPr>
        <w:t xml:space="preserve"> (f.eks. sort te), må ikke anvendes til at rengøre </w:t>
      </w:r>
      <w:proofErr w:type="spellStart"/>
      <w:r w:rsidRPr="001A4093">
        <w:rPr>
          <w:spacing w:val="-3"/>
          <w:sz w:val="24"/>
          <w:szCs w:val="24"/>
          <w:lang w:bidi="da-DK"/>
        </w:rPr>
        <w:t>proben</w:t>
      </w:r>
      <w:proofErr w:type="spellEnd"/>
      <w:r w:rsidRPr="001A4093">
        <w:rPr>
          <w:spacing w:val="-3"/>
          <w:sz w:val="24"/>
          <w:szCs w:val="24"/>
          <w:lang w:bidi="da-DK"/>
        </w:rPr>
        <w:t>.</w:t>
      </w:r>
    </w:p>
    <w:p w14:paraId="31861DF0" w14:textId="77777777" w:rsidR="009260DE" w:rsidRPr="001A4093" w:rsidRDefault="009260DE" w:rsidP="009260DE">
      <w:pPr>
        <w:tabs>
          <w:tab w:val="left" w:pos="851"/>
        </w:tabs>
        <w:ind w:left="851"/>
        <w:rPr>
          <w:sz w:val="24"/>
          <w:szCs w:val="24"/>
        </w:rPr>
      </w:pPr>
    </w:p>
    <w:p w14:paraId="0137578F" w14:textId="77777777" w:rsidR="009260DE" w:rsidRPr="001A4093" w:rsidRDefault="009260DE" w:rsidP="009260DE">
      <w:pPr>
        <w:tabs>
          <w:tab w:val="left" w:pos="851"/>
        </w:tabs>
        <w:ind w:left="851" w:hanging="851"/>
        <w:rPr>
          <w:b/>
          <w:sz w:val="24"/>
          <w:szCs w:val="24"/>
        </w:rPr>
      </w:pPr>
      <w:r w:rsidRPr="001A4093">
        <w:rPr>
          <w:b/>
          <w:sz w:val="24"/>
          <w:szCs w:val="24"/>
        </w:rPr>
        <w:t>4.3</w:t>
      </w:r>
      <w:r w:rsidRPr="001A4093">
        <w:rPr>
          <w:b/>
          <w:sz w:val="24"/>
          <w:szCs w:val="24"/>
        </w:rPr>
        <w:tab/>
        <w:t>Kontraindikationer</w:t>
      </w:r>
    </w:p>
    <w:p w14:paraId="6ABC046D" w14:textId="1EAABB7E" w:rsidR="008B797B" w:rsidRPr="001A4093" w:rsidRDefault="008B797B" w:rsidP="00E348E2">
      <w:pPr>
        <w:ind w:left="851"/>
        <w:rPr>
          <w:sz w:val="24"/>
          <w:szCs w:val="24"/>
          <w:lang w:eastAsia="el-GR"/>
        </w:rPr>
      </w:pPr>
      <w:r w:rsidRPr="001A4093">
        <w:rPr>
          <w:sz w:val="24"/>
          <w:szCs w:val="24"/>
          <w:lang w:bidi="da-DK"/>
        </w:rPr>
        <w:t xml:space="preserve">Overfølsomhed overfor det aktive stof eller overfor et af hjælpestofferne anført i </w:t>
      </w:r>
      <w:r w:rsidR="001D0A5E">
        <w:rPr>
          <w:sz w:val="24"/>
          <w:szCs w:val="24"/>
          <w:lang w:bidi="da-DK"/>
        </w:rPr>
        <w:t>pkt.</w:t>
      </w:r>
      <w:r w:rsidRPr="001A4093">
        <w:rPr>
          <w:sz w:val="24"/>
          <w:szCs w:val="24"/>
          <w:lang w:bidi="da-DK"/>
        </w:rPr>
        <w:t xml:space="preserve"> 6.1.</w:t>
      </w:r>
    </w:p>
    <w:p w14:paraId="3EE6C0FB" w14:textId="77777777" w:rsidR="009260DE" w:rsidRPr="001A4093" w:rsidRDefault="009260DE" w:rsidP="009260DE">
      <w:pPr>
        <w:tabs>
          <w:tab w:val="left" w:pos="851"/>
        </w:tabs>
        <w:ind w:left="851"/>
        <w:rPr>
          <w:sz w:val="24"/>
          <w:szCs w:val="24"/>
        </w:rPr>
      </w:pPr>
    </w:p>
    <w:p w14:paraId="35862A83" w14:textId="77777777" w:rsidR="009260DE" w:rsidRPr="001A4093" w:rsidRDefault="009260DE" w:rsidP="009260DE">
      <w:pPr>
        <w:tabs>
          <w:tab w:val="left" w:pos="851"/>
        </w:tabs>
        <w:ind w:left="851" w:hanging="851"/>
        <w:rPr>
          <w:b/>
          <w:sz w:val="24"/>
          <w:szCs w:val="24"/>
        </w:rPr>
      </w:pPr>
      <w:r w:rsidRPr="001A4093">
        <w:rPr>
          <w:b/>
          <w:sz w:val="24"/>
          <w:szCs w:val="24"/>
        </w:rPr>
        <w:t>4.4</w:t>
      </w:r>
      <w:r w:rsidRPr="001A4093">
        <w:rPr>
          <w:b/>
          <w:sz w:val="24"/>
          <w:szCs w:val="24"/>
        </w:rPr>
        <w:tab/>
        <w:t>Særlige advarsler og forsigtighedsregler vedrørende brugen</w:t>
      </w:r>
    </w:p>
    <w:p w14:paraId="39758024" w14:textId="77777777" w:rsidR="001A4093" w:rsidRDefault="001A4093" w:rsidP="00E348E2">
      <w:pPr>
        <w:ind w:left="851"/>
        <w:rPr>
          <w:sz w:val="24"/>
          <w:szCs w:val="24"/>
          <w:lang w:bidi="da-DK"/>
        </w:rPr>
      </w:pPr>
    </w:p>
    <w:p w14:paraId="57679C5E" w14:textId="530672F8" w:rsidR="008B797B" w:rsidRPr="001A4093" w:rsidRDefault="008B797B" w:rsidP="00E348E2">
      <w:pPr>
        <w:ind w:left="851"/>
        <w:rPr>
          <w:sz w:val="24"/>
          <w:szCs w:val="24"/>
          <w:u w:val="single"/>
          <w:lang w:eastAsia="da-DK"/>
        </w:rPr>
      </w:pPr>
      <w:r w:rsidRPr="001A4093">
        <w:rPr>
          <w:sz w:val="24"/>
          <w:szCs w:val="24"/>
          <w:u w:val="single"/>
          <w:lang w:bidi="da-DK"/>
        </w:rPr>
        <w:t>Kronisk nyreinsufficiens</w:t>
      </w:r>
    </w:p>
    <w:p w14:paraId="3CE695EB" w14:textId="77777777" w:rsidR="008B797B" w:rsidRPr="001A4093" w:rsidRDefault="008B797B" w:rsidP="00E348E2">
      <w:pPr>
        <w:ind w:left="851"/>
        <w:rPr>
          <w:sz w:val="24"/>
          <w:szCs w:val="24"/>
          <w:lang w:eastAsia="da-DK"/>
        </w:rPr>
      </w:pPr>
      <w:r w:rsidRPr="001A4093">
        <w:rPr>
          <w:sz w:val="24"/>
          <w:szCs w:val="24"/>
          <w:lang w:bidi="da-DK"/>
        </w:rPr>
        <w:t xml:space="preserve">Anvendelsen af </w:t>
      </w:r>
      <w:proofErr w:type="spellStart"/>
      <w:r w:rsidRPr="001A4093">
        <w:rPr>
          <w:sz w:val="24"/>
          <w:szCs w:val="24"/>
          <w:lang w:bidi="da-DK"/>
        </w:rPr>
        <w:t>sucralfat</w:t>
      </w:r>
      <w:proofErr w:type="spellEnd"/>
      <w:r w:rsidRPr="001A4093">
        <w:rPr>
          <w:sz w:val="24"/>
          <w:szCs w:val="24"/>
          <w:lang w:bidi="da-DK"/>
        </w:rPr>
        <w:t xml:space="preserve"> til dialysepatienter anbefales ikke. </w:t>
      </w:r>
    </w:p>
    <w:p w14:paraId="7512350E" w14:textId="77777777" w:rsidR="008B797B" w:rsidRPr="001A4093" w:rsidRDefault="008B797B" w:rsidP="00E348E2">
      <w:pPr>
        <w:ind w:left="851"/>
        <w:rPr>
          <w:sz w:val="24"/>
          <w:szCs w:val="24"/>
          <w:lang w:eastAsia="da-DK"/>
        </w:rPr>
      </w:pPr>
    </w:p>
    <w:p w14:paraId="568A4E60" w14:textId="77777777" w:rsidR="008B797B" w:rsidRPr="001A4093" w:rsidRDefault="008B797B" w:rsidP="00E348E2">
      <w:pPr>
        <w:ind w:left="851"/>
        <w:rPr>
          <w:sz w:val="24"/>
          <w:szCs w:val="24"/>
          <w:lang w:eastAsia="da-DK"/>
        </w:rPr>
      </w:pPr>
      <w:proofErr w:type="spellStart"/>
      <w:r w:rsidRPr="001A4093">
        <w:rPr>
          <w:sz w:val="24"/>
          <w:szCs w:val="24"/>
          <w:lang w:bidi="da-DK"/>
        </w:rPr>
        <w:t>Sucralfat</w:t>
      </w:r>
      <w:proofErr w:type="spellEnd"/>
      <w:r w:rsidRPr="001A4093">
        <w:rPr>
          <w:sz w:val="24"/>
          <w:szCs w:val="24"/>
          <w:lang w:bidi="da-DK"/>
        </w:rPr>
        <w:t xml:space="preserve"> bør administreres med forsigtighed til patienter med kronisk nyreinsufficiens. Små mængder aluminium kan absorberes gennem den </w:t>
      </w:r>
      <w:proofErr w:type="spellStart"/>
      <w:r w:rsidRPr="001A4093">
        <w:rPr>
          <w:sz w:val="24"/>
          <w:szCs w:val="24"/>
          <w:lang w:bidi="da-DK"/>
        </w:rPr>
        <w:t>gastrointestinale</w:t>
      </w:r>
      <w:proofErr w:type="spellEnd"/>
      <w:r w:rsidRPr="001A4093">
        <w:rPr>
          <w:sz w:val="24"/>
          <w:szCs w:val="24"/>
          <w:lang w:bidi="da-DK"/>
        </w:rPr>
        <w:t xml:space="preserve"> kanal, og aluminium kan ophobes. </w:t>
      </w:r>
      <w:proofErr w:type="spellStart"/>
      <w:r w:rsidRPr="001A4093">
        <w:rPr>
          <w:sz w:val="24"/>
          <w:szCs w:val="24"/>
          <w:lang w:bidi="da-DK"/>
        </w:rPr>
        <w:t>Osteodystrofi</w:t>
      </w:r>
      <w:proofErr w:type="spellEnd"/>
      <w:r w:rsidRPr="001A4093">
        <w:rPr>
          <w:sz w:val="24"/>
          <w:szCs w:val="24"/>
          <w:lang w:bidi="da-DK"/>
        </w:rPr>
        <w:t xml:space="preserve">, </w:t>
      </w:r>
      <w:proofErr w:type="spellStart"/>
      <w:r w:rsidRPr="001A4093">
        <w:rPr>
          <w:sz w:val="24"/>
          <w:szCs w:val="24"/>
          <w:lang w:bidi="da-DK"/>
        </w:rPr>
        <w:t>osteomalaci</w:t>
      </w:r>
      <w:proofErr w:type="spellEnd"/>
      <w:r w:rsidRPr="001A4093">
        <w:rPr>
          <w:sz w:val="24"/>
          <w:szCs w:val="24"/>
          <w:lang w:bidi="da-DK"/>
        </w:rPr>
        <w:t>, encefalopati og anæmi i forbindelse med aluminium er blevet rapporteret hos patienter med kronisk nedsat nyrefunktion. På grund af nedsat udskillelse hos patienter med nedsat nyrefunktion anbefales regelmæssig laboratorietestning af aluminium, fosfat, calcium og alkalisk fosfatase.</w:t>
      </w:r>
    </w:p>
    <w:p w14:paraId="12ED8F1F" w14:textId="77777777" w:rsidR="008B797B" w:rsidRPr="001A4093" w:rsidRDefault="008B797B" w:rsidP="00E348E2">
      <w:pPr>
        <w:ind w:left="851"/>
        <w:rPr>
          <w:sz w:val="24"/>
          <w:szCs w:val="24"/>
          <w:lang w:eastAsia="da-DK"/>
        </w:rPr>
      </w:pPr>
    </w:p>
    <w:p w14:paraId="3E984E5C" w14:textId="6BC1BC11" w:rsidR="008B797B" w:rsidRPr="001A4093" w:rsidRDefault="008B797B" w:rsidP="00E348E2">
      <w:pPr>
        <w:ind w:left="851"/>
        <w:rPr>
          <w:sz w:val="24"/>
          <w:szCs w:val="24"/>
          <w:u w:val="single"/>
          <w:lang w:eastAsia="da-DK"/>
        </w:rPr>
      </w:pPr>
      <w:r w:rsidRPr="001A4093">
        <w:rPr>
          <w:sz w:val="24"/>
          <w:szCs w:val="24"/>
          <w:u w:val="single"/>
          <w:lang w:bidi="da-DK"/>
        </w:rPr>
        <w:t>Patienter med synkeproblemer</w:t>
      </w:r>
    </w:p>
    <w:p w14:paraId="7402FECE" w14:textId="6EE4A494" w:rsidR="008B797B" w:rsidRPr="001A4093" w:rsidRDefault="008B797B" w:rsidP="00E348E2">
      <w:pPr>
        <w:ind w:left="851"/>
        <w:rPr>
          <w:sz w:val="24"/>
          <w:szCs w:val="24"/>
          <w:lang w:eastAsia="da-DK"/>
        </w:rPr>
      </w:pPr>
      <w:r w:rsidRPr="001A4093">
        <w:rPr>
          <w:sz w:val="24"/>
          <w:szCs w:val="24"/>
          <w:lang w:bidi="da-DK"/>
        </w:rPr>
        <w:t xml:space="preserve">Hos patienter med synkeproblemer kan der forekomme aspiration, når lægemidlet indtages. Der henvises til </w:t>
      </w:r>
      <w:r w:rsidR="001D0A5E">
        <w:rPr>
          <w:sz w:val="24"/>
          <w:szCs w:val="24"/>
          <w:lang w:bidi="da-DK"/>
        </w:rPr>
        <w:t>pkt.</w:t>
      </w:r>
      <w:r w:rsidRPr="001A4093">
        <w:rPr>
          <w:sz w:val="24"/>
          <w:szCs w:val="24"/>
          <w:lang w:bidi="da-DK"/>
        </w:rPr>
        <w:t xml:space="preserve"> 4.2 </w:t>
      </w:r>
      <w:r w:rsidR="001D0A5E">
        <w:rPr>
          <w:sz w:val="24"/>
          <w:szCs w:val="24"/>
          <w:lang w:bidi="da-DK"/>
        </w:rPr>
        <w:t>"</w:t>
      </w:r>
      <w:r w:rsidRPr="001A4093">
        <w:rPr>
          <w:sz w:val="24"/>
          <w:szCs w:val="24"/>
          <w:lang w:bidi="da-DK"/>
        </w:rPr>
        <w:t>Dosering og administration</w:t>
      </w:r>
      <w:r w:rsidR="001D0A5E">
        <w:rPr>
          <w:sz w:val="24"/>
          <w:szCs w:val="24"/>
          <w:lang w:bidi="da-DK"/>
        </w:rPr>
        <w:t>"</w:t>
      </w:r>
      <w:r w:rsidRPr="001A4093">
        <w:rPr>
          <w:sz w:val="24"/>
          <w:szCs w:val="24"/>
          <w:lang w:bidi="da-DK"/>
        </w:rPr>
        <w:t xml:space="preserve"> for anbefalede administrations</w:t>
      </w:r>
      <w:r w:rsidR="009174D7">
        <w:rPr>
          <w:sz w:val="24"/>
          <w:szCs w:val="24"/>
          <w:lang w:bidi="da-DK"/>
        </w:rPr>
        <w:softHyphen/>
      </w:r>
      <w:r w:rsidRPr="001A4093">
        <w:rPr>
          <w:sz w:val="24"/>
          <w:szCs w:val="24"/>
          <w:lang w:bidi="da-DK"/>
        </w:rPr>
        <w:t>metoder til alvorligt syge patienter.</w:t>
      </w:r>
    </w:p>
    <w:p w14:paraId="31F60771" w14:textId="77777777" w:rsidR="008B797B" w:rsidRPr="001A4093" w:rsidRDefault="008B797B" w:rsidP="00E348E2">
      <w:pPr>
        <w:ind w:left="851"/>
        <w:rPr>
          <w:sz w:val="24"/>
          <w:szCs w:val="24"/>
          <w:lang w:eastAsia="da-DK"/>
        </w:rPr>
      </w:pPr>
    </w:p>
    <w:p w14:paraId="46885563" w14:textId="77777777" w:rsidR="008B797B" w:rsidRPr="001A4093" w:rsidRDefault="008B797B" w:rsidP="00E348E2">
      <w:pPr>
        <w:ind w:left="851"/>
        <w:rPr>
          <w:sz w:val="24"/>
          <w:szCs w:val="24"/>
          <w:lang w:eastAsia="da-DK"/>
        </w:rPr>
      </w:pPr>
      <w:r w:rsidRPr="001A4093">
        <w:rPr>
          <w:sz w:val="24"/>
          <w:szCs w:val="24"/>
          <w:lang w:bidi="da-DK"/>
        </w:rPr>
        <w:t xml:space="preserve">Ved behandling af </w:t>
      </w:r>
      <w:proofErr w:type="spellStart"/>
      <w:r w:rsidRPr="001A4093">
        <w:rPr>
          <w:sz w:val="24"/>
          <w:szCs w:val="24"/>
          <w:lang w:bidi="da-DK"/>
        </w:rPr>
        <w:t>ulcera</w:t>
      </w:r>
      <w:proofErr w:type="spellEnd"/>
      <w:r w:rsidRPr="001A4093">
        <w:rPr>
          <w:sz w:val="24"/>
          <w:szCs w:val="24"/>
          <w:lang w:bidi="da-DK"/>
        </w:rPr>
        <w:t xml:space="preserve"> </w:t>
      </w:r>
      <w:proofErr w:type="spellStart"/>
      <w:r w:rsidRPr="001A4093">
        <w:rPr>
          <w:sz w:val="24"/>
          <w:szCs w:val="24"/>
          <w:lang w:bidi="da-DK"/>
        </w:rPr>
        <w:t>ventriculi</w:t>
      </w:r>
      <w:proofErr w:type="spellEnd"/>
      <w:r w:rsidRPr="001A4093">
        <w:rPr>
          <w:sz w:val="24"/>
          <w:szCs w:val="24"/>
          <w:lang w:bidi="da-DK"/>
        </w:rPr>
        <w:t xml:space="preserve"> skal </w:t>
      </w:r>
      <w:proofErr w:type="spellStart"/>
      <w:r w:rsidRPr="001A4093">
        <w:rPr>
          <w:sz w:val="24"/>
          <w:szCs w:val="24"/>
          <w:lang w:bidi="da-DK"/>
        </w:rPr>
        <w:t>malignitet</w:t>
      </w:r>
      <w:proofErr w:type="spellEnd"/>
      <w:r w:rsidRPr="001A4093">
        <w:rPr>
          <w:sz w:val="24"/>
          <w:szCs w:val="24"/>
          <w:lang w:bidi="da-DK"/>
        </w:rPr>
        <w:t xml:space="preserve"> udelukkes.</w:t>
      </w:r>
    </w:p>
    <w:p w14:paraId="7740A0E9" w14:textId="77777777" w:rsidR="008B797B" w:rsidRPr="001A4093" w:rsidRDefault="008B797B" w:rsidP="00E348E2">
      <w:pPr>
        <w:ind w:left="851"/>
        <w:rPr>
          <w:sz w:val="24"/>
          <w:szCs w:val="24"/>
          <w:lang w:eastAsia="da-DK"/>
        </w:rPr>
      </w:pPr>
    </w:p>
    <w:p w14:paraId="056A04B5" w14:textId="77777777" w:rsidR="008B797B" w:rsidRPr="001A4093" w:rsidRDefault="008B797B" w:rsidP="00E348E2">
      <w:pPr>
        <w:ind w:left="851"/>
        <w:rPr>
          <w:color w:val="000000"/>
          <w:sz w:val="24"/>
          <w:szCs w:val="24"/>
          <w:lang w:eastAsia="zh-CN" w:bidi="en-US"/>
        </w:rPr>
      </w:pPr>
      <w:proofErr w:type="spellStart"/>
      <w:r w:rsidRPr="001A4093">
        <w:rPr>
          <w:color w:val="000000"/>
          <w:sz w:val="24"/>
          <w:szCs w:val="24"/>
          <w:lang w:bidi="da-DK"/>
        </w:rPr>
        <w:t>Sucralfat</w:t>
      </w:r>
      <w:proofErr w:type="spellEnd"/>
      <w:r w:rsidRPr="001A4093">
        <w:rPr>
          <w:color w:val="000000"/>
          <w:sz w:val="24"/>
          <w:szCs w:val="24"/>
          <w:lang w:bidi="da-DK"/>
        </w:rPr>
        <w:t xml:space="preserve"> kan danne </w:t>
      </w:r>
      <w:proofErr w:type="spellStart"/>
      <w:r w:rsidRPr="001A4093">
        <w:rPr>
          <w:color w:val="000000"/>
          <w:sz w:val="24"/>
          <w:szCs w:val="24"/>
          <w:lang w:bidi="da-DK"/>
        </w:rPr>
        <w:t>bezoar</w:t>
      </w:r>
      <w:proofErr w:type="spellEnd"/>
      <w:r w:rsidRPr="001A4093">
        <w:rPr>
          <w:color w:val="000000"/>
          <w:sz w:val="24"/>
          <w:szCs w:val="24"/>
          <w:lang w:bidi="da-DK"/>
        </w:rPr>
        <w:t xml:space="preserve">, der kan blokere ernæringsslanger eller endda mavesækken eller spiserøret, især hos meget syge patienter på intensivafdelinger. Størstedelen af disse patienter (herunder nyfødte, hos hvem </w:t>
      </w:r>
      <w:proofErr w:type="spellStart"/>
      <w:r w:rsidRPr="001A4093">
        <w:rPr>
          <w:color w:val="000000"/>
          <w:sz w:val="24"/>
          <w:szCs w:val="24"/>
          <w:lang w:bidi="da-DK"/>
        </w:rPr>
        <w:t>sucralfat</w:t>
      </w:r>
      <w:proofErr w:type="spellEnd"/>
      <w:r w:rsidRPr="001A4093">
        <w:rPr>
          <w:color w:val="000000"/>
          <w:sz w:val="24"/>
          <w:szCs w:val="24"/>
          <w:lang w:bidi="da-DK"/>
        </w:rPr>
        <w:t xml:space="preserve"> ikke anbefales) havde underliggende sygdomme, der kan disponere for dannelse af </w:t>
      </w:r>
      <w:proofErr w:type="spellStart"/>
      <w:r w:rsidRPr="001A4093">
        <w:rPr>
          <w:color w:val="000000"/>
          <w:sz w:val="24"/>
          <w:szCs w:val="24"/>
          <w:lang w:bidi="da-DK"/>
        </w:rPr>
        <w:t>bezoar</w:t>
      </w:r>
      <w:proofErr w:type="spellEnd"/>
      <w:r w:rsidRPr="001A4093">
        <w:rPr>
          <w:color w:val="000000"/>
          <w:sz w:val="24"/>
          <w:szCs w:val="24"/>
          <w:lang w:bidi="da-DK"/>
        </w:rPr>
        <w:t xml:space="preserve"> (såsom forsinket tømning af mavesækken på grund af operation, behandling med visse lægemidler eller sygdomme, der reducerer </w:t>
      </w:r>
      <w:proofErr w:type="spellStart"/>
      <w:r w:rsidRPr="001A4093">
        <w:rPr>
          <w:color w:val="000000"/>
          <w:sz w:val="24"/>
          <w:szCs w:val="24"/>
          <w:lang w:bidi="da-DK"/>
        </w:rPr>
        <w:t>motiliteten</w:t>
      </w:r>
      <w:proofErr w:type="spellEnd"/>
      <w:r w:rsidRPr="001A4093">
        <w:rPr>
          <w:color w:val="000000"/>
          <w:sz w:val="24"/>
          <w:szCs w:val="24"/>
          <w:lang w:bidi="da-DK"/>
        </w:rPr>
        <w:t xml:space="preserve">), samt patienter der fik samtidig ernæring gennem en </w:t>
      </w:r>
      <w:proofErr w:type="spellStart"/>
      <w:r w:rsidRPr="001A4093">
        <w:rPr>
          <w:color w:val="000000"/>
          <w:sz w:val="24"/>
          <w:szCs w:val="24"/>
          <w:lang w:bidi="da-DK"/>
        </w:rPr>
        <w:t>enteral</w:t>
      </w:r>
      <w:proofErr w:type="spellEnd"/>
      <w:r w:rsidRPr="001A4093">
        <w:rPr>
          <w:color w:val="000000"/>
          <w:sz w:val="24"/>
          <w:szCs w:val="24"/>
          <w:lang w:bidi="da-DK"/>
        </w:rPr>
        <w:t xml:space="preserve"> sonde. Sondeernæring skal ophøre mindst en time før indtagelse af dosis og ikke genstartes i mindst en time efter indtagelse af dosis.</w:t>
      </w:r>
    </w:p>
    <w:p w14:paraId="4F43432F" w14:textId="77777777" w:rsidR="008B797B" w:rsidRPr="001A4093" w:rsidRDefault="008B797B" w:rsidP="00E348E2">
      <w:pPr>
        <w:ind w:left="851"/>
        <w:rPr>
          <w:color w:val="000000"/>
          <w:sz w:val="24"/>
          <w:szCs w:val="24"/>
          <w:lang w:eastAsia="zh-CN" w:bidi="en-US"/>
        </w:rPr>
      </w:pPr>
    </w:p>
    <w:p w14:paraId="62753B16" w14:textId="77777777" w:rsidR="008B797B" w:rsidRPr="009174D7" w:rsidRDefault="008B797B" w:rsidP="00E348E2">
      <w:pPr>
        <w:ind w:left="851"/>
        <w:rPr>
          <w:color w:val="000000"/>
          <w:sz w:val="24"/>
          <w:szCs w:val="24"/>
          <w:u w:val="single"/>
          <w:lang w:eastAsia="zh-CN" w:bidi="en-US"/>
        </w:rPr>
      </w:pPr>
      <w:r w:rsidRPr="009174D7">
        <w:rPr>
          <w:color w:val="000000"/>
          <w:sz w:val="24"/>
          <w:szCs w:val="24"/>
          <w:u w:val="single"/>
          <w:lang w:bidi="da-DK"/>
        </w:rPr>
        <w:t>Diabetespatienter</w:t>
      </w:r>
    </w:p>
    <w:p w14:paraId="4668B31A" w14:textId="77777777" w:rsidR="008B797B" w:rsidRPr="001A4093" w:rsidRDefault="008B797B" w:rsidP="00E348E2">
      <w:pPr>
        <w:ind w:left="851"/>
        <w:rPr>
          <w:color w:val="000000"/>
          <w:sz w:val="24"/>
          <w:szCs w:val="24"/>
          <w:lang w:eastAsia="zh-CN" w:bidi="en-US"/>
        </w:rPr>
      </w:pPr>
      <w:r w:rsidRPr="001A4093">
        <w:rPr>
          <w:color w:val="000000"/>
          <w:sz w:val="24"/>
          <w:szCs w:val="24"/>
          <w:lang w:bidi="da-DK"/>
        </w:rPr>
        <w:t xml:space="preserve">Episoder med </w:t>
      </w:r>
      <w:proofErr w:type="spellStart"/>
      <w:r w:rsidRPr="001A4093">
        <w:rPr>
          <w:color w:val="000000"/>
          <w:sz w:val="24"/>
          <w:szCs w:val="24"/>
          <w:lang w:bidi="da-DK"/>
        </w:rPr>
        <w:t>hyperglykæmi</w:t>
      </w:r>
      <w:proofErr w:type="spellEnd"/>
      <w:r w:rsidRPr="001A4093">
        <w:rPr>
          <w:color w:val="000000"/>
          <w:sz w:val="24"/>
          <w:szCs w:val="24"/>
          <w:lang w:bidi="da-DK"/>
        </w:rPr>
        <w:t xml:space="preserve"> er blevet rapporteret hos diabetespatienter. Nøje overvågning af </w:t>
      </w:r>
      <w:proofErr w:type="spellStart"/>
      <w:r w:rsidRPr="001A4093">
        <w:rPr>
          <w:color w:val="000000"/>
          <w:sz w:val="24"/>
          <w:szCs w:val="24"/>
          <w:lang w:bidi="da-DK"/>
        </w:rPr>
        <w:t>glykæmi</w:t>
      </w:r>
      <w:proofErr w:type="spellEnd"/>
      <w:r w:rsidRPr="001A4093">
        <w:rPr>
          <w:color w:val="000000"/>
          <w:sz w:val="24"/>
          <w:szCs w:val="24"/>
          <w:lang w:bidi="da-DK"/>
        </w:rPr>
        <w:t xml:space="preserve"> anbefales hos diabetespatienter, der behandles med </w:t>
      </w:r>
      <w:proofErr w:type="spellStart"/>
      <w:r w:rsidRPr="001A4093">
        <w:rPr>
          <w:color w:val="000000"/>
          <w:sz w:val="24"/>
          <w:szCs w:val="24"/>
          <w:lang w:bidi="da-DK"/>
        </w:rPr>
        <w:t>sucralfat</w:t>
      </w:r>
      <w:proofErr w:type="spellEnd"/>
      <w:r w:rsidRPr="001A4093">
        <w:rPr>
          <w:color w:val="000000"/>
          <w:sz w:val="24"/>
          <w:szCs w:val="24"/>
          <w:lang w:bidi="da-DK"/>
        </w:rPr>
        <w:t xml:space="preserve">. Det kan være nødvendigt at justere dosis af behandlingen mod diabetes under anvendelsen af </w:t>
      </w:r>
      <w:proofErr w:type="spellStart"/>
      <w:r w:rsidRPr="001A4093">
        <w:rPr>
          <w:color w:val="000000"/>
          <w:sz w:val="24"/>
          <w:szCs w:val="24"/>
          <w:lang w:bidi="da-DK"/>
        </w:rPr>
        <w:t>sucralfat</w:t>
      </w:r>
      <w:proofErr w:type="spellEnd"/>
      <w:r w:rsidRPr="001A4093">
        <w:rPr>
          <w:color w:val="000000"/>
          <w:sz w:val="24"/>
          <w:szCs w:val="24"/>
          <w:lang w:bidi="da-DK"/>
        </w:rPr>
        <w:t>.</w:t>
      </w:r>
    </w:p>
    <w:p w14:paraId="39ABCCCE" w14:textId="77777777" w:rsidR="008B797B" w:rsidRPr="001A4093" w:rsidRDefault="008B797B" w:rsidP="00E348E2">
      <w:pPr>
        <w:ind w:left="851"/>
        <w:rPr>
          <w:rFonts w:eastAsia="SimSun"/>
          <w:bCs/>
          <w:iCs/>
          <w:color w:val="000000"/>
          <w:sz w:val="24"/>
          <w:szCs w:val="24"/>
          <w:lang w:val="sv-SE" w:eastAsia="zh-CN"/>
        </w:rPr>
      </w:pPr>
    </w:p>
    <w:p w14:paraId="0EDCC4F1" w14:textId="77777777" w:rsidR="008B797B" w:rsidRPr="009174D7" w:rsidRDefault="008B797B" w:rsidP="00E348E2">
      <w:pPr>
        <w:ind w:left="851"/>
        <w:rPr>
          <w:rFonts w:eastAsia="SimSun"/>
          <w:bCs/>
          <w:iCs/>
          <w:color w:val="000000"/>
          <w:sz w:val="24"/>
          <w:szCs w:val="24"/>
          <w:u w:val="single"/>
          <w:lang w:val="sv-SE" w:eastAsia="zh-CN"/>
        </w:rPr>
      </w:pPr>
      <w:r w:rsidRPr="009174D7">
        <w:rPr>
          <w:color w:val="000000"/>
          <w:sz w:val="24"/>
          <w:szCs w:val="24"/>
          <w:u w:val="single"/>
          <w:lang w:bidi="da-DK"/>
        </w:rPr>
        <w:t>Pædiatrisk population</w:t>
      </w:r>
    </w:p>
    <w:p w14:paraId="467C1DAE" w14:textId="77777777" w:rsidR="008B797B" w:rsidRPr="001A4093" w:rsidRDefault="008B797B" w:rsidP="00E348E2">
      <w:pPr>
        <w:ind w:left="851"/>
        <w:rPr>
          <w:color w:val="000000"/>
          <w:sz w:val="24"/>
          <w:szCs w:val="24"/>
          <w:lang w:eastAsia="zh-CN" w:bidi="en-US"/>
        </w:rPr>
      </w:pPr>
      <w:proofErr w:type="spellStart"/>
      <w:r w:rsidRPr="001A4093">
        <w:rPr>
          <w:color w:val="000000"/>
          <w:sz w:val="24"/>
          <w:szCs w:val="24"/>
          <w:lang w:bidi="da-DK"/>
        </w:rPr>
        <w:t>Peptonorm</w:t>
      </w:r>
      <w:proofErr w:type="spellEnd"/>
      <w:r w:rsidRPr="001A4093">
        <w:rPr>
          <w:color w:val="000000"/>
          <w:sz w:val="24"/>
          <w:szCs w:val="24"/>
          <w:lang w:bidi="da-DK"/>
        </w:rPr>
        <w:t xml:space="preserve"> anbefales ikke til børn under 14 år på grund af utilstrækkelig evidens for sikkerhed og effekt.</w:t>
      </w:r>
    </w:p>
    <w:p w14:paraId="228B64AB" w14:textId="77777777" w:rsidR="008B797B" w:rsidRPr="001A4093" w:rsidRDefault="008B797B" w:rsidP="00E348E2">
      <w:pPr>
        <w:ind w:left="851"/>
        <w:rPr>
          <w:sz w:val="24"/>
          <w:szCs w:val="24"/>
          <w:lang w:val="sv-SE" w:eastAsia="el-GR"/>
        </w:rPr>
      </w:pPr>
    </w:p>
    <w:p w14:paraId="58A1C066" w14:textId="77777777" w:rsidR="008B797B" w:rsidRPr="001A4093" w:rsidRDefault="008B797B" w:rsidP="00E348E2">
      <w:pPr>
        <w:ind w:left="851"/>
        <w:rPr>
          <w:b/>
          <w:sz w:val="24"/>
          <w:szCs w:val="24"/>
          <w:lang w:val="sv-SE" w:eastAsia="el-GR"/>
        </w:rPr>
      </w:pPr>
      <w:proofErr w:type="spellStart"/>
      <w:r w:rsidRPr="001A4093">
        <w:rPr>
          <w:b/>
          <w:sz w:val="24"/>
          <w:szCs w:val="24"/>
          <w:lang w:bidi="da-DK"/>
        </w:rPr>
        <w:t>Peptonorm</w:t>
      </w:r>
      <w:proofErr w:type="spellEnd"/>
      <w:r w:rsidRPr="001A4093">
        <w:rPr>
          <w:b/>
          <w:sz w:val="24"/>
          <w:szCs w:val="24"/>
          <w:lang w:bidi="da-DK"/>
        </w:rPr>
        <w:t xml:space="preserve"> indeholder natrium</w:t>
      </w:r>
    </w:p>
    <w:p w14:paraId="505EDF72" w14:textId="77777777" w:rsidR="008B797B" w:rsidRPr="001A4093" w:rsidRDefault="008B797B" w:rsidP="00E348E2">
      <w:pPr>
        <w:ind w:left="851"/>
        <w:rPr>
          <w:sz w:val="24"/>
          <w:szCs w:val="24"/>
          <w:lang w:val="sv-SE" w:eastAsia="el-GR"/>
        </w:rPr>
      </w:pPr>
      <w:r w:rsidRPr="001A4093">
        <w:rPr>
          <w:sz w:val="24"/>
          <w:szCs w:val="24"/>
          <w:lang w:bidi="da-DK"/>
        </w:rPr>
        <w:t>Dette lægemiddel indeholder mindre end 1 mmol (23 mg) natrium pr. tablet, dvs. det er i det væsentlige natrium-frit.</w:t>
      </w:r>
    </w:p>
    <w:p w14:paraId="2E601AD8" w14:textId="77777777" w:rsidR="009260DE" w:rsidRPr="001A4093" w:rsidRDefault="009260DE" w:rsidP="009260DE">
      <w:pPr>
        <w:tabs>
          <w:tab w:val="left" w:pos="851"/>
        </w:tabs>
        <w:ind w:left="851"/>
        <w:rPr>
          <w:sz w:val="24"/>
          <w:szCs w:val="24"/>
        </w:rPr>
      </w:pPr>
    </w:p>
    <w:p w14:paraId="37F2AD02" w14:textId="77777777" w:rsidR="009260DE" w:rsidRPr="001A4093" w:rsidRDefault="009260DE" w:rsidP="009260DE">
      <w:pPr>
        <w:tabs>
          <w:tab w:val="left" w:pos="851"/>
        </w:tabs>
        <w:ind w:left="851" w:hanging="851"/>
        <w:rPr>
          <w:b/>
          <w:sz w:val="24"/>
          <w:szCs w:val="24"/>
        </w:rPr>
      </w:pPr>
      <w:r w:rsidRPr="001A4093">
        <w:rPr>
          <w:b/>
          <w:sz w:val="24"/>
          <w:szCs w:val="24"/>
        </w:rPr>
        <w:t>4.5</w:t>
      </w:r>
      <w:r w:rsidRPr="001A4093">
        <w:rPr>
          <w:b/>
          <w:sz w:val="24"/>
          <w:szCs w:val="24"/>
        </w:rPr>
        <w:tab/>
        <w:t>Interaktion med andre lægemidler og andre former for interaktion</w:t>
      </w:r>
    </w:p>
    <w:p w14:paraId="4609893D" w14:textId="77777777" w:rsidR="008B797B" w:rsidRPr="001A4093" w:rsidRDefault="008B797B" w:rsidP="00E348E2">
      <w:pPr>
        <w:ind w:left="851"/>
        <w:rPr>
          <w:sz w:val="24"/>
          <w:szCs w:val="24"/>
          <w:lang w:eastAsia="el-GR"/>
        </w:rPr>
      </w:pPr>
      <w:proofErr w:type="spellStart"/>
      <w:r w:rsidRPr="001A4093">
        <w:rPr>
          <w:sz w:val="24"/>
          <w:szCs w:val="24"/>
          <w:lang w:bidi="da-DK"/>
        </w:rPr>
        <w:t>Sucralfat</w:t>
      </w:r>
      <w:proofErr w:type="spellEnd"/>
      <w:r w:rsidRPr="001A4093">
        <w:rPr>
          <w:sz w:val="24"/>
          <w:szCs w:val="24"/>
          <w:lang w:bidi="da-DK"/>
        </w:rPr>
        <w:t xml:space="preserve"> aktiveres i det sure miljø i maven, så derfor anbefales samtidig brug af lægemidler, der reducerer mavesyre (f.eks. </w:t>
      </w:r>
      <w:proofErr w:type="spellStart"/>
      <w:r w:rsidRPr="001A4093">
        <w:rPr>
          <w:sz w:val="24"/>
          <w:szCs w:val="24"/>
          <w:lang w:bidi="da-DK"/>
        </w:rPr>
        <w:t>protonpumpehæmmere</w:t>
      </w:r>
      <w:proofErr w:type="spellEnd"/>
      <w:r w:rsidRPr="001A4093">
        <w:rPr>
          <w:sz w:val="24"/>
          <w:szCs w:val="24"/>
          <w:lang w:bidi="da-DK"/>
        </w:rPr>
        <w:t xml:space="preserve"> og </w:t>
      </w:r>
      <w:proofErr w:type="spellStart"/>
      <w:r w:rsidRPr="001A4093">
        <w:rPr>
          <w:sz w:val="24"/>
          <w:szCs w:val="24"/>
          <w:lang w:bidi="da-DK"/>
        </w:rPr>
        <w:t>antacida</w:t>
      </w:r>
      <w:proofErr w:type="spellEnd"/>
      <w:r w:rsidRPr="001A4093">
        <w:rPr>
          <w:sz w:val="24"/>
          <w:szCs w:val="24"/>
          <w:lang w:bidi="da-DK"/>
        </w:rPr>
        <w:t xml:space="preserve">), ikke. Tidsintervallet mellem indtagelse af </w:t>
      </w:r>
      <w:proofErr w:type="spellStart"/>
      <w:r w:rsidRPr="001A4093">
        <w:rPr>
          <w:sz w:val="24"/>
          <w:szCs w:val="24"/>
          <w:lang w:bidi="da-DK"/>
        </w:rPr>
        <w:t>sucralfat</w:t>
      </w:r>
      <w:proofErr w:type="spellEnd"/>
      <w:r w:rsidRPr="001A4093">
        <w:rPr>
          <w:sz w:val="24"/>
          <w:szCs w:val="24"/>
          <w:lang w:bidi="da-DK"/>
        </w:rPr>
        <w:t xml:space="preserve"> og </w:t>
      </w:r>
      <w:proofErr w:type="spellStart"/>
      <w:r w:rsidRPr="001A4093">
        <w:rPr>
          <w:sz w:val="24"/>
          <w:szCs w:val="24"/>
          <w:lang w:bidi="da-DK"/>
        </w:rPr>
        <w:t>antacida</w:t>
      </w:r>
      <w:proofErr w:type="spellEnd"/>
      <w:r w:rsidRPr="001A4093">
        <w:rPr>
          <w:sz w:val="24"/>
          <w:szCs w:val="24"/>
          <w:lang w:bidi="da-DK"/>
        </w:rPr>
        <w:t xml:space="preserve"> eller </w:t>
      </w:r>
      <w:proofErr w:type="spellStart"/>
      <w:r w:rsidRPr="001A4093">
        <w:rPr>
          <w:sz w:val="24"/>
          <w:szCs w:val="24"/>
          <w:lang w:bidi="da-DK"/>
        </w:rPr>
        <w:t>protonpumpehæmmere</w:t>
      </w:r>
      <w:proofErr w:type="spellEnd"/>
      <w:r w:rsidRPr="001A4093">
        <w:rPr>
          <w:sz w:val="24"/>
          <w:szCs w:val="24"/>
          <w:lang w:bidi="da-DK"/>
        </w:rPr>
        <w:t xml:space="preserve"> bør være mindst 1 time.</w:t>
      </w:r>
    </w:p>
    <w:p w14:paraId="76E2BE80" w14:textId="77777777" w:rsidR="008B797B" w:rsidRPr="001A4093" w:rsidRDefault="008B797B" w:rsidP="00E348E2">
      <w:pPr>
        <w:ind w:left="851"/>
        <w:rPr>
          <w:sz w:val="24"/>
          <w:szCs w:val="24"/>
          <w:lang w:eastAsia="el-GR"/>
        </w:rPr>
      </w:pPr>
    </w:p>
    <w:p w14:paraId="73B3306E" w14:textId="77777777" w:rsidR="008B797B" w:rsidRPr="001A4093" w:rsidRDefault="008B797B" w:rsidP="00E348E2">
      <w:pPr>
        <w:ind w:left="851"/>
        <w:rPr>
          <w:sz w:val="24"/>
          <w:szCs w:val="24"/>
          <w:lang w:eastAsia="el-GR"/>
        </w:rPr>
      </w:pPr>
      <w:r w:rsidRPr="001A4093">
        <w:rPr>
          <w:sz w:val="24"/>
          <w:szCs w:val="24"/>
          <w:lang w:bidi="da-DK"/>
        </w:rPr>
        <w:t>Behandling af mavesår med en kombination af to aluminiumholdige midler (f.eks. aluminium-</w:t>
      </w:r>
      <w:proofErr w:type="spellStart"/>
      <w:r w:rsidRPr="001A4093">
        <w:rPr>
          <w:sz w:val="24"/>
          <w:szCs w:val="24"/>
          <w:lang w:bidi="da-DK"/>
        </w:rPr>
        <w:t>antiacida</w:t>
      </w:r>
      <w:proofErr w:type="spellEnd"/>
      <w:r w:rsidRPr="001A4093">
        <w:rPr>
          <w:sz w:val="24"/>
          <w:szCs w:val="24"/>
          <w:lang w:bidi="da-DK"/>
        </w:rPr>
        <w:t xml:space="preserve">) kan øge risikoen for klinisk signifikant </w:t>
      </w:r>
      <w:proofErr w:type="spellStart"/>
      <w:r w:rsidRPr="001A4093">
        <w:rPr>
          <w:sz w:val="24"/>
          <w:szCs w:val="24"/>
          <w:lang w:bidi="da-DK"/>
        </w:rPr>
        <w:t>hypofosfatæmi</w:t>
      </w:r>
      <w:proofErr w:type="spellEnd"/>
      <w:r w:rsidRPr="001A4093">
        <w:rPr>
          <w:sz w:val="24"/>
          <w:szCs w:val="24"/>
          <w:lang w:bidi="da-DK"/>
        </w:rPr>
        <w:t>. Det er vigtigt at være opmærksom på denne tilstand, da det kan forhindre morbiditet og føre til sikker og effektiv behandling, hvis den opdages tidligt.</w:t>
      </w:r>
    </w:p>
    <w:p w14:paraId="3C55D696" w14:textId="77777777" w:rsidR="008B797B" w:rsidRPr="001A4093" w:rsidRDefault="008B797B" w:rsidP="00E348E2">
      <w:pPr>
        <w:ind w:left="851"/>
        <w:rPr>
          <w:sz w:val="24"/>
          <w:szCs w:val="24"/>
          <w:lang w:eastAsia="el-GR"/>
        </w:rPr>
      </w:pPr>
    </w:p>
    <w:p w14:paraId="4415FE40" w14:textId="77777777" w:rsidR="008B797B" w:rsidRPr="001A4093" w:rsidRDefault="008B797B" w:rsidP="00E348E2">
      <w:pPr>
        <w:ind w:left="851"/>
        <w:rPr>
          <w:sz w:val="24"/>
          <w:szCs w:val="24"/>
          <w:lang w:eastAsia="el-GR"/>
        </w:rPr>
      </w:pPr>
      <w:r w:rsidRPr="001A4093">
        <w:rPr>
          <w:sz w:val="24"/>
          <w:szCs w:val="24"/>
          <w:lang w:bidi="da-DK"/>
        </w:rPr>
        <w:t xml:space="preserve">Samtidig administration af </w:t>
      </w:r>
      <w:proofErr w:type="spellStart"/>
      <w:r w:rsidRPr="001A4093">
        <w:rPr>
          <w:sz w:val="24"/>
          <w:szCs w:val="24"/>
          <w:lang w:bidi="da-DK"/>
        </w:rPr>
        <w:t>sucralfat</w:t>
      </w:r>
      <w:proofErr w:type="spellEnd"/>
      <w:r w:rsidRPr="001A4093">
        <w:rPr>
          <w:sz w:val="24"/>
          <w:szCs w:val="24"/>
          <w:lang w:bidi="da-DK"/>
        </w:rPr>
        <w:t xml:space="preserve"> kan reducere biotilgængeligheden af visse lægemidler, som f.eks. </w:t>
      </w:r>
      <w:proofErr w:type="spellStart"/>
      <w:r w:rsidRPr="001A4093">
        <w:rPr>
          <w:sz w:val="24"/>
          <w:szCs w:val="24"/>
          <w:lang w:bidi="da-DK"/>
        </w:rPr>
        <w:t>tetracykliner</w:t>
      </w:r>
      <w:proofErr w:type="spellEnd"/>
      <w:r w:rsidRPr="001A4093">
        <w:rPr>
          <w:sz w:val="24"/>
          <w:szCs w:val="24"/>
          <w:lang w:bidi="da-DK"/>
        </w:rPr>
        <w:t xml:space="preserve">, </w:t>
      </w:r>
      <w:proofErr w:type="spellStart"/>
      <w:r w:rsidRPr="001A4093">
        <w:rPr>
          <w:sz w:val="24"/>
          <w:szCs w:val="24"/>
          <w:lang w:bidi="da-DK"/>
        </w:rPr>
        <w:t>fluoroquinolon</w:t>
      </w:r>
      <w:proofErr w:type="spellEnd"/>
      <w:r w:rsidRPr="001A4093">
        <w:rPr>
          <w:sz w:val="24"/>
          <w:szCs w:val="24"/>
          <w:lang w:bidi="da-DK"/>
        </w:rPr>
        <w:t xml:space="preserve"> antibakterielle midler, </w:t>
      </w:r>
      <w:proofErr w:type="spellStart"/>
      <w:r w:rsidRPr="001A4093">
        <w:rPr>
          <w:sz w:val="24"/>
          <w:szCs w:val="24"/>
          <w:lang w:bidi="da-DK"/>
        </w:rPr>
        <w:t>digoxin</w:t>
      </w:r>
      <w:proofErr w:type="spellEnd"/>
      <w:r w:rsidRPr="001A4093">
        <w:rPr>
          <w:sz w:val="24"/>
          <w:szCs w:val="24"/>
          <w:lang w:bidi="da-DK"/>
        </w:rPr>
        <w:t xml:space="preserve">, </w:t>
      </w:r>
      <w:proofErr w:type="spellStart"/>
      <w:r w:rsidRPr="001A4093">
        <w:rPr>
          <w:sz w:val="24"/>
          <w:szCs w:val="24"/>
          <w:lang w:bidi="da-DK"/>
        </w:rPr>
        <w:t>phenytoin</w:t>
      </w:r>
      <w:proofErr w:type="spellEnd"/>
      <w:r w:rsidRPr="001A4093">
        <w:rPr>
          <w:sz w:val="24"/>
          <w:szCs w:val="24"/>
          <w:lang w:bidi="da-DK"/>
        </w:rPr>
        <w:t xml:space="preserve">, </w:t>
      </w:r>
      <w:proofErr w:type="spellStart"/>
      <w:r w:rsidRPr="001A4093">
        <w:rPr>
          <w:sz w:val="24"/>
          <w:szCs w:val="24"/>
          <w:lang w:bidi="da-DK"/>
        </w:rPr>
        <w:t>quinidin</w:t>
      </w:r>
      <w:proofErr w:type="spellEnd"/>
      <w:r w:rsidRPr="001A4093">
        <w:rPr>
          <w:sz w:val="24"/>
          <w:szCs w:val="24"/>
          <w:lang w:bidi="da-DK"/>
        </w:rPr>
        <w:t xml:space="preserve">, </w:t>
      </w:r>
      <w:proofErr w:type="spellStart"/>
      <w:r w:rsidRPr="001A4093">
        <w:rPr>
          <w:sz w:val="24"/>
          <w:szCs w:val="24"/>
          <w:lang w:bidi="da-DK"/>
        </w:rPr>
        <w:t>ketoconazol</w:t>
      </w:r>
      <w:proofErr w:type="spellEnd"/>
      <w:r w:rsidRPr="001A4093">
        <w:rPr>
          <w:sz w:val="24"/>
          <w:szCs w:val="24"/>
          <w:lang w:bidi="da-DK"/>
        </w:rPr>
        <w:t xml:space="preserve">, </w:t>
      </w:r>
      <w:proofErr w:type="spellStart"/>
      <w:r w:rsidRPr="001A4093">
        <w:rPr>
          <w:sz w:val="24"/>
          <w:szCs w:val="24"/>
          <w:lang w:bidi="da-DK"/>
        </w:rPr>
        <w:t>theophyllin</w:t>
      </w:r>
      <w:proofErr w:type="spellEnd"/>
      <w:r w:rsidRPr="001A4093">
        <w:rPr>
          <w:sz w:val="24"/>
          <w:szCs w:val="24"/>
          <w:lang w:bidi="da-DK"/>
        </w:rPr>
        <w:t xml:space="preserve">, </w:t>
      </w:r>
      <w:proofErr w:type="spellStart"/>
      <w:r w:rsidRPr="001A4093">
        <w:rPr>
          <w:sz w:val="24"/>
          <w:szCs w:val="24"/>
          <w:lang w:bidi="da-DK"/>
        </w:rPr>
        <w:t>levothyroxin</w:t>
      </w:r>
      <w:proofErr w:type="spellEnd"/>
      <w:r w:rsidRPr="001A4093">
        <w:rPr>
          <w:sz w:val="24"/>
          <w:szCs w:val="24"/>
          <w:lang w:bidi="da-DK"/>
        </w:rPr>
        <w:t xml:space="preserve"> og </w:t>
      </w:r>
      <w:proofErr w:type="spellStart"/>
      <w:r w:rsidRPr="001A4093">
        <w:rPr>
          <w:sz w:val="24"/>
          <w:szCs w:val="24"/>
          <w:lang w:bidi="da-DK"/>
        </w:rPr>
        <w:t>sulpirid</w:t>
      </w:r>
      <w:proofErr w:type="spellEnd"/>
      <w:r w:rsidRPr="001A4093">
        <w:rPr>
          <w:sz w:val="24"/>
          <w:szCs w:val="24"/>
          <w:lang w:bidi="da-DK"/>
        </w:rPr>
        <w:t>.</w:t>
      </w:r>
    </w:p>
    <w:p w14:paraId="1AC7BB36" w14:textId="77777777" w:rsidR="008B797B" w:rsidRPr="001A4093" w:rsidRDefault="008B797B" w:rsidP="00E348E2">
      <w:pPr>
        <w:ind w:left="851"/>
        <w:rPr>
          <w:sz w:val="24"/>
          <w:szCs w:val="24"/>
          <w:lang w:eastAsia="el-GR"/>
        </w:rPr>
      </w:pPr>
      <w:r w:rsidRPr="001A4093">
        <w:rPr>
          <w:sz w:val="24"/>
          <w:szCs w:val="24"/>
          <w:lang w:bidi="da-DK"/>
        </w:rPr>
        <w:t xml:space="preserve">Der bør gå 2 timer mellem administration af disse lægemidler og </w:t>
      </w:r>
      <w:proofErr w:type="spellStart"/>
      <w:r w:rsidRPr="001A4093">
        <w:rPr>
          <w:sz w:val="24"/>
          <w:szCs w:val="24"/>
          <w:lang w:bidi="da-DK"/>
        </w:rPr>
        <w:t>sucralfat</w:t>
      </w:r>
      <w:proofErr w:type="spellEnd"/>
      <w:r w:rsidRPr="001A4093">
        <w:rPr>
          <w:sz w:val="24"/>
          <w:szCs w:val="24"/>
          <w:lang w:bidi="da-DK"/>
        </w:rPr>
        <w:t>.</w:t>
      </w:r>
    </w:p>
    <w:p w14:paraId="7B65D7E9" w14:textId="77777777" w:rsidR="008B797B" w:rsidRPr="001A4093" w:rsidRDefault="008B797B" w:rsidP="00E348E2">
      <w:pPr>
        <w:ind w:left="851"/>
        <w:rPr>
          <w:sz w:val="24"/>
          <w:szCs w:val="24"/>
          <w:lang w:eastAsia="el-GR"/>
        </w:rPr>
      </w:pPr>
    </w:p>
    <w:p w14:paraId="0D1908EC" w14:textId="77777777" w:rsidR="008B797B" w:rsidRPr="001A4093" w:rsidRDefault="008B797B" w:rsidP="00E348E2">
      <w:pPr>
        <w:ind w:left="851"/>
        <w:rPr>
          <w:sz w:val="24"/>
          <w:szCs w:val="24"/>
          <w:lang w:eastAsia="el-GR"/>
        </w:rPr>
      </w:pPr>
      <w:proofErr w:type="spellStart"/>
      <w:r w:rsidRPr="001A4093">
        <w:rPr>
          <w:sz w:val="24"/>
          <w:szCs w:val="24"/>
          <w:lang w:bidi="da-DK"/>
        </w:rPr>
        <w:t>Sucralfat</w:t>
      </w:r>
      <w:proofErr w:type="spellEnd"/>
      <w:r w:rsidRPr="001A4093">
        <w:rPr>
          <w:sz w:val="24"/>
          <w:szCs w:val="24"/>
          <w:lang w:bidi="da-DK"/>
        </w:rPr>
        <w:t xml:space="preserve"> kan reducere absorptionen af orale </w:t>
      </w:r>
      <w:proofErr w:type="spellStart"/>
      <w:r w:rsidRPr="001A4093">
        <w:rPr>
          <w:sz w:val="24"/>
          <w:szCs w:val="24"/>
          <w:lang w:bidi="da-DK"/>
        </w:rPr>
        <w:t>antikoagulantia</w:t>
      </w:r>
      <w:proofErr w:type="spellEnd"/>
      <w:r w:rsidRPr="001A4093">
        <w:rPr>
          <w:sz w:val="24"/>
          <w:szCs w:val="24"/>
          <w:lang w:bidi="da-DK"/>
        </w:rPr>
        <w:t xml:space="preserve">, som f.eks. </w:t>
      </w:r>
      <w:proofErr w:type="spellStart"/>
      <w:r w:rsidRPr="001A4093">
        <w:rPr>
          <w:sz w:val="24"/>
          <w:szCs w:val="24"/>
          <w:lang w:bidi="da-DK"/>
        </w:rPr>
        <w:t>warfarin</w:t>
      </w:r>
      <w:proofErr w:type="spellEnd"/>
      <w:r w:rsidRPr="001A4093">
        <w:rPr>
          <w:sz w:val="24"/>
          <w:szCs w:val="24"/>
          <w:lang w:bidi="da-DK"/>
        </w:rPr>
        <w:t xml:space="preserve">. Dosis af </w:t>
      </w:r>
      <w:proofErr w:type="spellStart"/>
      <w:r w:rsidRPr="001A4093">
        <w:rPr>
          <w:sz w:val="24"/>
          <w:szCs w:val="24"/>
          <w:lang w:bidi="da-DK"/>
        </w:rPr>
        <w:t>antikoagulantia</w:t>
      </w:r>
      <w:proofErr w:type="spellEnd"/>
      <w:r w:rsidRPr="001A4093">
        <w:rPr>
          <w:sz w:val="24"/>
          <w:szCs w:val="24"/>
          <w:lang w:bidi="da-DK"/>
        </w:rPr>
        <w:t xml:space="preserve"> skal overvåges nøje i starten og også i slutningen af behandlingen med </w:t>
      </w:r>
      <w:proofErr w:type="spellStart"/>
      <w:r w:rsidRPr="001A4093">
        <w:rPr>
          <w:sz w:val="24"/>
          <w:szCs w:val="24"/>
          <w:lang w:bidi="da-DK"/>
        </w:rPr>
        <w:t>sucralfat</w:t>
      </w:r>
      <w:proofErr w:type="spellEnd"/>
      <w:r w:rsidRPr="001A4093">
        <w:rPr>
          <w:sz w:val="24"/>
          <w:szCs w:val="24"/>
          <w:lang w:bidi="da-DK"/>
        </w:rPr>
        <w:t>.</w:t>
      </w:r>
    </w:p>
    <w:p w14:paraId="14780234" w14:textId="77777777" w:rsidR="008B797B" w:rsidRPr="001A4093" w:rsidRDefault="008B797B" w:rsidP="00E348E2">
      <w:pPr>
        <w:ind w:left="851"/>
        <w:rPr>
          <w:sz w:val="24"/>
          <w:szCs w:val="24"/>
          <w:lang w:eastAsia="el-GR"/>
        </w:rPr>
      </w:pPr>
    </w:p>
    <w:p w14:paraId="5AF94EC5" w14:textId="77777777" w:rsidR="008B797B" w:rsidRPr="001A4093" w:rsidRDefault="008B797B" w:rsidP="00E348E2">
      <w:pPr>
        <w:ind w:left="851"/>
        <w:rPr>
          <w:sz w:val="24"/>
          <w:szCs w:val="24"/>
          <w:lang w:eastAsia="el-GR"/>
        </w:rPr>
      </w:pPr>
      <w:proofErr w:type="spellStart"/>
      <w:r w:rsidRPr="001A4093">
        <w:rPr>
          <w:sz w:val="24"/>
          <w:szCs w:val="24"/>
          <w:lang w:bidi="da-DK"/>
        </w:rPr>
        <w:t>Sucralfat</w:t>
      </w:r>
      <w:proofErr w:type="spellEnd"/>
      <w:r w:rsidRPr="001A4093">
        <w:rPr>
          <w:sz w:val="24"/>
          <w:szCs w:val="24"/>
          <w:lang w:bidi="da-DK"/>
        </w:rPr>
        <w:t xml:space="preserve"> kan binde sig til og interferere med optagelsen af fedtopløselige vitaminer (f.eks. A, D, E og K). Det skal derfor undgås at give denne medicin samtidig med præparater til </w:t>
      </w:r>
      <w:proofErr w:type="spellStart"/>
      <w:r w:rsidRPr="001A4093">
        <w:rPr>
          <w:sz w:val="24"/>
          <w:szCs w:val="24"/>
          <w:lang w:bidi="da-DK"/>
        </w:rPr>
        <w:t>enteral</w:t>
      </w:r>
      <w:proofErr w:type="spellEnd"/>
      <w:r w:rsidRPr="001A4093">
        <w:rPr>
          <w:sz w:val="24"/>
          <w:szCs w:val="24"/>
          <w:lang w:bidi="da-DK"/>
        </w:rPr>
        <w:t xml:space="preserve"> ernæring.</w:t>
      </w:r>
    </w:p>
    <w:p w14:paraId="294FB927" w14:textId="77777777" w:rsidR="008B797B" w:rsidRPr="001A4093" w:rsidRDefault="008B797B" w:rsidP="00E348E2">
      <w:pPr>
        <w:ind w:left="851"/>
        <w:rPr>
          <w:sz w:val="24"/>
          <w:szCs w:val="24"/>
          <w:lang w:eastAsia="el-GR"/>
        </w:rPr>
      </w:pPr>
    </w:p>
    <w:p w14:paraId="727EE1FC" w14:textId="77777777" w:rsidR="008B797B" w:rsidRPr="001A4093" w:rsidRDefault="008B797B" w:rsidP="00E348E2">
      <w:pPr>
        <w:ind w:left="851"/>
        <w:rPr>
          <w:sz w:val="24"/>
          <w:szCs w:val="24"/>
          <w:lang w:eastAsia="el-GR"/>
        </w:rPr>
      </w:pPr>
      <w:proofErr w:type="spellStart"/>
      <w:r w:rsidRPr="001A4093">
        <w:rPr>
          <w:sz w:val="24"/>
          <w:szCs w:val="24"/>
          <w:lang w:bidi="da-DK"/>
        </w:rPr>
        <w:t>Sucralfat</w:t>
      </w:r>
      <w:proofErr w:type="spellEnd"/>
      <w:r w:rsidRPr="001A4093">
        <w:rPr>
          <w:sz w:val="24"/>
          <w:szCs w:val="24"/>
          <w:lang w:bidi="da-DK"/>
        </w:rPr>
        <w:t xml:space="preserve"> bør ikke administreres sammen med citratholdige præparater. Samtidig administration af citratholdige præparater og </w:t>
      </w:r>
      <w:proofErr w:type="spellStart"/>
      <w:r w:rsidRPr="001A4093">
        <w:rPr>
          <w:sz w:val="24"/>
          <w:szCs w:val="24"/>
          <w:lang w:bidi="da-DK"/>
        </w:rPr>
        <w:t>sucralfat</w:t>
      </w:r>
      <w:proofErr w:type="spellEnd"/>
      <w:r w:rsidRPr="001A4093">
        <w:rPr>
          <w:sz w:val="24"/>
          <w:szCs w:val="24"/>
          <w:lang w:bidi="da-DK"/>
        </w:rPr>
        <w:t xml:space="preserve"> kan øge koncentrationen af aluminium i blodet. Denne mekanisme kan skyldes </w:t>
      </w:r>
      <w:proofErr w:type="spellStart"/>
      <w:r w:rsidRPr="001A4093">
        <w:rPr>
          <w:sz w:val="24"/>
          <w:szCs w:val="24"/>
          <w:lang w:bidi="da-DK"/>
        </w:rPr>
        <w:t>chelering</w:t>
      </w:r>
      <w:proofErr w:type="spellEnd"/>
      <w:r w:rsidRPr="001A4093">
        <w:rPr>
          <w:sz w:val="24"/>
          <w:szCs w:val="24"/>
          <w:lang w:bidi="da-DK"/>
        </w:rPr>
        <w:t xml:space="preserve"> af aluminium og formodes at øge dets absorption.</w:t>
      </w:r>
    </w:p>
    <w:p w14:paraId="08F07BF8" w14:textId="77777777" w:rsidR="009260DE" w:rsidRPr="001A4093" w:rsidRDefault="009260DE" w:rsidP="009260DE">
      <w:pPr>
        <w:tabs>
          <w:tab w:val="left" w:pos="851"/>
        </w:tabs>
        <w:ind w:left="851"/>
        <w:rPr>
          <w:sz w:val="24"/>
          <w:szCs w:val="24"/>
        </w:rPr>
      </w:pPr>
    </w:p>
    <w:p w14:paraId="0CD08E85" w14:textId="77777777" w:rsidR="009260DE" w:rsidRPr="001A4093" w:rsidRDefault="009260DE" w:rsidP="009260DE">
      <w:pPr>
        <w:tabs>
          <w:tab w:val="left" w:pos="851"/>
        </w:tabs>
        <w:ind w:left="851" w:hanging="851"/>
        <w:rPr>
          <w:b/>
          <w:sz w:val="24"/>
          <w:szCs w:val="24"/>
        </w:rPr>
      </w:pPr>
      <w:r w:rsidRPr="001A4093">
        <w:rPr>
          <w:b/>
          <w:sz w:val="24"/>
          <w:szCs w:val="24"/>
        </w:rPr>
        <w:t>4.6</w:t>
      </w:r>
      <w:r w:rsidRPr="001A4093">
        <w:rPr>
          <w:b/>
          <w:sz w:val="24"/>
          <w:szCs w:val="24"/>
        </w:rPr>
        <w:tab/>
      </w:r>
      <w:r w:rsidR="0071241E" w:rsidRPr="001A4093">
        <w:rPr>
          <w:b/>
          <w:sz w:val="24"/>
          <w:szCs w:val="24"/>
        </w:rPr>
        <w:t>Fertilitet, g</w:t>
      </w:r>
      <w:r w:rsidRPr="001A4093">
        <w:rPr>
          <w:b/>
          <w:sz w:val="24"/>
          <w:szCs w:val="24"/>
        </w:rPr>
        <w:t>raviditet og amning</w:t>
      </w:r>
    </w:p>
    <w:p w14:paraId="535EAE0D" w14:textId="77777777" w:rsidR="009174D7" w:rsidRDefault="009174D7" w:rsidP="00E348E2">
      <w:pPr>
        <w:ind w:left="851"/>
        <w:rPr>
          <w:sz w:val="24"/>
          <w:szCs w:val="24"/>
          <w:lang w:bidi="da-DK"/>
        </w:rPr>
      </w:pPr>
    </w:p>
    <w:p w14:paraId="00C838BD" w14:textId="5FC994CF" w:rsidR="008B797B" w:rsidRPr="009174D7" w:rsidRDefault="008B797B" w:rsidP="00E348E2">
      <w:pPr>
        <w:ind w:left="851"/>
        <w:rPr>
          <w:sz w:val="24"/>
          <w:szCs w:val="24"/>
          <w:u w:val="single"/>
          <w:lang w:eastAsia="el-GR"/>
        </w:rPr>
      </w:pPr>
      <w:r w:rsidRPr="009174D7">
        <w:rPr>
          <w:sz w:val="24"/>
          <w:szCs w:val="24"/>
          <w:u w:val="single"/>
          <w:lang w:bidi="da-DK"/>
        </w:rPr>
        <w:t>Graviditet</w:t>
      </w:r>
    </w:p>
    <w:p w14:paraId="1C3551DA" w14:textId="41BBA9FE" w:rsidR="008B797B" w:rsidRPr="001A4093" w:rsidRDefault="008B797B" w:rsidP="00E348E2">
      <w:pPr>
        <w:ind w:left="851"/>
        <w:rPr>
          <w:sz w:val="24"/>
          <w:szCs w:val="24"/>
          <w:lang w:eastAsia="el-GR"/>
        </w:rPr>
      </w:pPr>
      <w:r w:rsidRPr="001A4093">
        <w:rPr>
          <w:sz w:val="24"/>
          <w:szCs w:val="24"/>
          <w:lang w:bidi="da-DK"/>
        </w:rPr>
        <w:t xml:space="preserve">En begrænset mængde data fra gravide kvinder (mellem 300-1000 graviditeter) antyder, at </w:t>
      </w:r>
      <w:proofErr w:type="spellStart"/>
      <w:r w:rsidRPr="001A4093">
        <w:rPr>
          <w:sz w:val="24"/>
          <w:szCs w:val="24"/>
          <w:lang w:bidi="da-DK"/>
        </w:rPr>
        <w:t>sucralfat</w:t>
      </w:r>
      <w:proofErr w:type="spellEnd"/>
      <w:r w:rsidRPr="001A4093">
        <w:rPr>
          <w:sz w:val="24"/>
          <w:szCs w:val="24"/>
          <w:lang w:bidi="da-DK"/>
        </w:rPr>
        <w:t xml:space="preserve"> ikke medfører nogen misdannelser eller </w:t>
      </w:r>
      <w:proofErr w:type="spellStart"/>
      <w:r w:rsidRPr="001A4093">
        <w:rPr>
          <w:sz w:val="24"/>
          <w:szCs w:val="24"/>
          <w:lang w:bidi="da-DK"/>
        </w:rPr>
        <w:t>føtal</w:t>
      </w:r>
      <w:proofErr w:type="spellEnd"/>
      <w:r w:rsidRPr="001A4093">
        <w:rPr>
          <w:sz w:val="24"/>
          <w:szCs w:val="24"/>
          <w:lang w:bidi="da-DK"/>
        </w:rPr>
        <w:t xml:space="preserve">/neonatal toksicitet. Dyreforsøg tyder ikke på reproduktionstoksicitet (se </w:t>
      </w:r>
      <w:r w:rsidR="001D0A5E">
        <w:rPr>
          <w:sz w:val="24"/>
          <w:szCs w:val="24"/>
          <w:lang w:bidi="da-DK"/>
        </w:rPr>
        <w:t>pkt.</w:t>
      </w:r>
      <w:r w:rsidRPr="001A4093">
        <w:rPr>
          <w:sz w:val="24"/>
          <w:szCs w:val="24"/>
          <w:lang w:bidi="da-DK"/>
        </w:rPr>
        <w:t xml:space="preserve"> 5.3). Anvendelsen af </w:t>
      </w:r>
      <w:proofErr w:type="spellStart"/>
      <w:r w:rsidRPr="001A4093">
        <w:rPr>
          <w:sz w:val="24"/>
          <w:szCs w:val="24"/>
          <w:lang w:bidi="da-DK"/>
        </w:rPr>
        <w:t>Peptonorm</w:t>
      </w:r>
      <w:proofErr w:type="spellEnd"/>
      <w:r w:rsidRPr="001A4093">
        <w:rPr>
          <w:sz w:val="24"/>
          <w:szCs w:val="24"/>
          <w:lang w:bidi="da-DK"/>
        </w:rPr>
        <w:t xml:space="preserve"> kan overvejes under graviditet, hvis det er nødvendigt.</w:t>
      </w:r>
    </w:p>
    <w:p w14:paraId="4491CB99" w14:textId="7248154A" w:rsidR="008B797B" w:rsidRPr="001A4093" w:rsidRDefault="008B797B" w:rsidP="00E348E2">
      <w:pPr>
        <w:ind w:left="851"/>
        <w:rPr>
          <w:sz w:val="24"/>
          <w:szCs w:val="24"/>
          <w:lang w:eastAsia="el-GR"/>
        </w:rPr>
      </w:pPr>
    </w:p>
    <w:p w14:paraId="283C82CA" w14:textId="77777777" w:rsidR="008B797B" w:rsidRPr="009174D7" w:rsidRDefault="008B797B" w:rsidP="00E348E2">
      <w:pPr>
        <w:ind w:left="851"/>
        <w:rPr>
          <w:sz w:val="24"/>
          <w:szCs w:val="24"/>
          <w:u w:val="single"/>
          <w:lang w:eastAsia="el-GR"/>
        </w:rPr>
      </w:pPr>
      <w:r w:rsidRPr="009174D7">
        <w:rPr>
          <w:sz w:val="24"/>
          <w:szCs w:val="24"/>
          <w:u w:val="single"/>
          <w:lang w:bidi="da-DK"/>
        </w:rPr>
        <w:t>Amning</w:t>
      </w:r>
    </w:p>
    <w:p w14:paraId="34724538" w14:textId="77777777" w:rsidR="008B797B" w:rsidRPr="001A4093" w:rsidRDefault="008B797B" w:rsidP="00E348E2">
      <w:pPr>
        <w:ind w:left="851"/>
        <w:rPr>
          <w:sz w:val="24"/>
          <w:szCs w:val="24"/>
          <w:lang w:eastAsia="el-GR"/>
        </w:rPr>
      </w:pPr>
      <w:r w:rsidRPr="001A4093">
        <w:rPr>
          <w:sz w:val="24"/>
          <w:szCs w:val="24"/>
          <w:lang w:bidi="da-DK"/>
        </w:rPr>
        <w:t xml:space="preserve">Der forventes ingen virkninger på ammede nyfødte/spædbørn, da den systemiske eksponering for </w:t>
      </w:r>
      <w:proofErr w:type="spellStart"/>
      <w:r w:rsidRPr="001A4093">
        <w:rPr>
          <w:sz w:val="24"/>
          <w:szCs w:val="24"/>
          <w:lang w:bidi="da-DK"/>
        </w:rPr>
        <w:t>sucralfat</w:t>
      </w:r>
      <w:proofErr w:type="spellEnd"/>
      <w:r w:rsidRPr="001A4093">
        <w:rPr>
          <w:sz w:val="24"/>
          <w:szCs w:val="24"/>
          <w:lang w:bidi="da-DK"/>
        </w:rPr>
        <w:t xml:space="preserve"> på den ammende kvinde er ubetydelig. </w:t>
      </w:r>
      <w:proofErr w:type="spellStart"/>
      <w:r w:rsidRPr="001A4093">
        <w:rPr>
          <w:sz w:val="24"/>
          <w:szCs w:val="24"/>
          <w:lang w:bidi="da-DK"/>
        </w:rPr>
        <w:t>Peptonorm</w:t>
      </w:r>
      <w:proofErr w:type="spellEnd"/>
      <w:r w:rsidRPr="001A4093">
        <w:rPr>
          <w:sz w:val="24"/>
          <w:szCs w:val="24"/>
          <w:lang w:bidi="da-DK"/>
        </w:rPr>
        <w:t xml:space="preserve"> kan anvendes under amning. </w:t>
      </w:r>
    </w:p>
    <w:p w14:paraId="1ED633E9" w14:textId="77777777" w:rsidR="008B797B" w:rsidRPr="001A4093" w:rsidRDefault="008B797B" w:rsidP="00E348E2">
      <w:pPr>
        <w:ind w:left="851"/>
        <w:rPr>
          <w:sz w:val="24"/>
          <w:szCs w:val="24"/>
          <w:lang w:eastAsia="el-GR"/>
        </w:rPr>
      </w:pPr>
    </w:p>
    <w:p w14:paraId="1A923ED3" w14:textId="77777777" w:rsidR="008B797B" w:rsidRPr="009174D7" w:rsidRDefault="008B797B" w:rsidP="00E348E2">
      <w:pPr>
        <w:ind w:left="851"/>
        <w:rPr>
          <w:sz w:val="24"/>
          <w:szCs w:val="24"/>
          <w:u w:val="single"/>
          <w:lang w:eastAsia="el-GR"/>
        </w:rPr>
      </w:pPr>
      <w:r w:rsidRPr="009174D7">
        <w:rPr>
          <w:sz w:val="24"/>
          <w:szCs w:val="24"/>
          <w:u w:val="single"/>
          <w:lang w:bidi="da-DK"/>
        </w:rPr>
        <w:t xml:space="preserve">Fertilitet </w:t>
      </w:r>
    </w:p>
    <w:p w14:paraId="7780DB92" w14:textId="4BD8CCA7" w:rsidR="008B797B" w:rsidRPr="001A4093" w:rsidRDefault="008B797B" w:rsidP="00E348E2">
      <w:pPr>
        <w:ind w:left="851"/>
        <w:rPr>
          <w:sz w:val="24"/>
          <w:szCs w:val="24"/>
          <w:lang w:eastAsia="el-GR"/>
        </w:rPr>
      </w:pPr>
      <w:r w:rsidRPr="001A4093">
        <w:rPr>
          <w:sz w:val="24"/>
          <w:szCs w:val="24"/>
          <w:lang w:bidi="da-DK"/>
        </w:rPr>
        <w:t xml:space="preserve">Der mangler data fra mennesker vedrørende virkningen af </w:t>
      </w:r>
      <w:proofErr w:type="spellStart"/>
      <w:r w:rsidRPr="001A4093">
        <w:rPr>
          <w:sz w:val="24"/>
          <w:szCs w:val="24"/>
          <w:lang w:bidi="da-DK"/>
        </w:rPr>
        <w:t>sucralfat</w:t>
      </w:r>
      <w:proofErr w:type="spellEnd"/>
      <w:r w:rsidRPr="001A4093">
        <w:rPr>
          <w:sz w:val="24"/>
          <w:szCs w:val="24"/>
          <w:lang w:bidi="da-DK"/>
        </w:rPr>
        <w:t xml:space="preserve"> på fertiliteten. Data fra dyrestudier antyder ikke uønskede virkninger på fertiliteten (se </w:t>
      </w:r>
      <w:r w:rsidR="001D0A5E">
        <w:rPr>
          <w:sz w:val="24"/>
          <w:szCs w:val="24"/>
          <w:lang w:bidi="da-DK"/>
        </w:rPr>
        <w:t>pkt.</w:t>
      </w:r>
      <w:r w:rsidRPr="001A4093">
        <w:rPr>
          <w:sz w:val="24"/>
          <w:szCs w:val="24"/>
          <w:lang w:bidi="da-DK"/>
        </w:rPr>
        <w:t xml:space="preserve"> 5.3).</w:t>
      </w:r>
    </w:p>
    <w:p w14:paraId="4B6F76AA" w14:textId="77777777" w:rsidR="009260DE" w:rsidRPr="001A4093" w:rsidRDefault="009260DE" w:rsidP="009260DE">
      <w:pPr>
        <w:tabs>
          <w:tab w:val="left" w:pos="851"/>
        </w:tabs>
        <w:ind w:left="851"/>
        <w:rPr>
          <w:sz w:val="24"/>
          <w:szCs w:val="24"/>
        </w:rPr>
      </w:pPr>
    </w:p>
    <w:p w14:paraId="0E282FBA" w14:textId="77777777" w:rsidR="009260DE" w:rsidRPr="001A4093" w:rsidRDefault="009260DE" w:rsidP="009260DE">
      <w:pPr>
        <w:tabs>
          <w:tab w:val="left" w:pos="851"/>
        </w:tabs>
        <w:ind w:left="851" w:hanging="851"/>
        <w:rPr>
          <w:b/>
          <w:sz w:val="24"/>
          <w:szCs w:val="24"/>
        </w:rPr>
      </w:pPr>
      <w:r w:rsidRPr="001A4093">
        <w:rPr>
          <w:b/>
          <w:sz w:val="24"/>
          <w:szCs w:val="24"/>
        </w:rPr>
        <w:t>4.7</w:t>
      </w:r>
      <w:r w:rsidRPr="001A4093">
        <w:rPr>
          <w:b/>
          <w:sz w:val="24"/>
          <w:szCs w:val="24"/>
        </w:rPr>
        <w:tab/>
        <w:t xml:space="preserve">Virkning på evnen til at føre motorkøretøj </w:t>
      </w:r>
      <w:r w:rsidR="0071241E" w:rsidRPr="001A4093">
        <w:rPr>
          <w:b/>
          <w:sz w:val="24"/>
          <w:szCs w:val="24"/>
        </w:rPr>
        <w:t>og</w:t>
      </w:r>
      <w:r w:rsidRPr="001A4093">
        <w:rPr>
          <w:b/>
          <w:sz w:val="24"/>
          <w:szCs w:val="24"/>
        </w:rPr>
        <w:t xml:space="preserve"> betjene maskiner</w:t>
      </w:r>
    </w:p>
    <w:p w14:paraId="02745DF0" w14:textId="77777777" w:rsidR="009174D7" w:rsidRDefault="009174D7" w:rsidP="00E348E2">
      <w:pPr>
        <w:ind w:left="851"/>
        <w:rPr>
          <w:sz w:val="24"/>
          <w:szCs w:val="24"/>
          <w:lang w:bidi="da-DK"/>
        </w:rPr>
      </w:pPr>
      <w:r>
        <w:rPr>
          <w:sz w:val="24"/>
          <w:szCs w:val="24"/>
          <w:lang w:bidi="da-DK"/>
        </w:rPr>
        <w:t>Ikke mærkning.</w:t>
      </w:r>
    </w:p>
    <w:p w14:paraId="471DC9FB" w14:textId="2A00F99A" w:rsidR="008B797B" w:rsidRPr="001A4093" w:rsidRDefault="008B797B" w:rsidP="00E348E2">
      <w:pPr>
        <w:ind w:left="851"/>
        <w:rPr>
          <w:sz w:val="24"/>
          <w:szCs w:val="24"/>
          <w:lang w:bidi="da-DK"/>
        </w:rPr>
      </w:pPr>
      <w:proofErr w:type="spellStart"/>
      <w:r w:rsidRPr="001A4093">
        <w:rPr>
          <w:sz w:val="24"/>
          <w:szCs w:val="24"/>
          <w:lang w:bidi="da-DK"/>
        </w:rPr>
        <w:t>Sucralfat</w:t>
      </w:r>
      <w:proofErr w:type="spellEnd"/>
      <w:r w:rsidRPr="001A4093">
        <w:rPr>
          <w:sz w:val="24"/>
          <w:szCs w:val="24"/>
          <w:lang w:bidi="da-DK"/>
        </w:rPr>
        <w:t xml:space="preserve"> har ingen eller ubetydelig indflydelse på evnen til at føre motorkøretøjer og betjene maskiner.</w:t>
      </w:r>
    </w:p>
    <w:p w14:paraId="59481BBC" w14:textId="77777777" w:rsidR="009260DE" w:rsidRPr="001A4093" w:rsidRDefault="009260DE" w:rsidP="009260DE">
      <w:pPr>
        <w:tabs>
          <w:tab w:val="left" w:pos="851"/>
        </w:tabs>
        <w:ind w:left="851"/>
        <w:rPr>
          <w:sz w:val="24"/>
          <w:szCs w:val="24"/>
        </w:rPr>
      </w:pPr>
    </w:p>
    <w:p w14:paraId="3E5CE685" w14:textId="77777777" w:rsidR="009260DE" w:rsidRPr="001A4093" w:rsidRDefault="009260DE" w:rsidP="009260DE">
      <w:pPr>
        <w:tabs>
          <w:tab w:val="left" w:pos="851"/>
        </w:tabs>
        <w:ind w:left="851" w:hanging="851"/>
        <w:rPr>
          <w:b/>
          <w:sz w:val="24"/>
          <w:szCs w:val="24"/>
        </w:rPr>
      </w:pPr>
      <w:r w:rsidRPr="001A4093">
        <w:rPr>
          <w:b/>
          <w:sz w:val="24"/>
          <w:szCs w:val="24"/>
        </w:rPr>
        <w:t>4.8</w:t>
      </w:r>
      <w:r w:rsidRPr="001A4093">
        <w:rPr>
          <w:b/>
          <w:sz w:val="24"/>
          <w:szCs w:val="24"/>
        </w:rPr>
        <w:tab/>
        <w:t>Bivirkninger</w:t>
      </w:r>
    </w:p>
    <w:p w14:paraId="77661B02" w14:textId="77777777" w:rsidR="008B797B" w:rsidRPr="001A4093" w:rsidRDefault="008B797B" w:rsidP="00E348E2">
      <w:pPr>
        <w:ind w:left="851"/>
        <w:rPr>
          <w:sz w:val="24"/>
          <w:szCs w:val="24"/>
          <w:lang w:eastAsia="el-GR"/>
        </w:rPr>
      </w:pPr>
      <w:r w:rsidRPr="001A4093">
        <w:rPr>
          <w:sz w:val="24"/>
          <w:szCs w:val="24"/>
          <w:lang w:bidi="da-DK"/>
        </w:rPr>
        <w:t xml:space="preserve">Cirka 2 % patienterne, der behandles med </w:t>
      </w:r>
      <w:proofErr w:type="spellStart"/>
      <w:r w:rsidRPr="001A4093">
        <w:rPr>
          <w:sz w:val="24"/>
          <w:szCs w:val="24"/>
          <w:lang w:bidi="da-DK"/>
        </w:rPr>
        <w:t>sucralfat</w:t>
      </w:r>
      <w:proofErr w:type="spellEnd"/>
      <w:r w:rsidRPr="001A4093">
        <w:rPr>
          <w:sz w:val="24"/>
          <w:szCs w:val="24"/>
          <w:lang w:bidi="da-DK"/>
        </w:rPr>
        <w:t xml:space="preserve">, får </w:t>
      </w:r>
      <w:proofErr w:type="spellStart"/>
      <w:r w:rsidRPr="001A4093">
        <w:rPr>
          <w:sz w:val="24"/>
          <w:szCs w:val="24"/>
          <w:lang w:bidi="da-DK"/>
        </w:rPr>
        <w:t>gastrointestinale</w:t>
      </w:r>
      <w:proofErr w:type="spellEnd"/>
      <w:r w:rsidRPr="001A4093">
        <w:rPr>
          <w:sz w:val="24"/>
          <w:szCs w:val="24"/>
          <w:lang w:bidi="da-DK"/>
        </w:rPr>
        <w:t xml:space="preserve"> bivirkninger.</w:t>
      </w:r>
    </w:p>
    <w:p w14:paraId="232709CC" w14:textId="77777777" w:rsidR="008B797B" w:rsidRPr="001A4093" w:rsidRDefault="008B797B" w:rsidP="00E348E2">
      <w:pPr>
        <w:ind w:left="851"/>
        <w:rPr>
          <w:sz w:val="24"/>
          <w:szCs w:val="24"/>
          <w:lang w:eastAsia="el-GR"/>
        </w:rPr>
      </w:pPr>
    </w:p>
    <w:p w14:paraId="2BAFAA82" w14:textId="77777777" w:rsidR="008B797B" w:rsidRPr="001A4093" w:rsidRDefault="008B797B" w:rsidP="00E348E2">
      <w:pPr>
        <w:ind w:left="851"/>
        <w:rPr>
          <w:sz w:val="24"/>
          <w:szCs w:val="24"/>
          <w:lang w:eastAsia="el-GR"/>
        </w:rPr>
      </w:pPr>
      <w:r w:rsidRPr="001A4093">
        <w:rPr>
          <w:sz w:val="24"/>
          <w:szCs w:val="24"/>
          <w:lang w:bidi="da-DK"/>
        </w:rPr>
        <w:t>Bivirkninger er angivet nedenfor efter systemorganklasse og hyppighed. Hyppighed defineres som:</w:t>
      </w:r>
    </w:p>
    <w:p w14:paraId="0D2CF713" w14:textId="77777777" w:rsidR="008B797B" w:rsidRPr="001A4093" w:rsidRDefault="008B797B" w:rsidP="00E348E2">
      <w:pPr>
        <w:ind w:left="851"/>
        <w:rPr>
          <w:sz w:val="24"/>
          <w:szCs w:val="24"/>
          <w:lang w:eastAsia="el-GR"/>
        </w:rPr>
      </w:pPr>
      <w:r w:rsidRPr="001A4093">
        <w:rPr>
          <w:sz w:val="24"/>
          <w:szCs w:val="24"/>
          <w:lang w:bidi="da-DK"/>
        </w:rPr>
        <w:t>Meget almindelig (</w:t>
      </w:r>
      <w:r w:rsidRPr="001A4093">
        <w:rPr>
          <w:sz w:val="24"/>
          <w:szCs w:val="24"/>
          <w:u w:val="single"/>
          <w:lang w:bidi="da-DK"/>
        </w:rPr>
        <w:t>&gt;</w:t>
      </w:r>
      <w:r w:rsidRPr="001A4093">
        <w:rPr>
          <w:sz w:val="24"/>
          <w:szCs w:val="24"/>
          <w:lang w:bidi="da-DK"/>
        </w:rPr>
        <w:t>10)</w:t>
      </w:r>
    </w:p>
    <w:p w14:paraId="110F5013" w14:textId="77777777" w:rsidR="008B797B" w:rsidRPr="001A4093" w:rsidRDefault="008B797B" w:rsidP="00E348E2">
      <w:pPr>
        <w:ind w:left="851"/>
        <w:rPr>
          <w:sz w:val="24"/>
          <w:szCs w:val="24"/>
          <w:lang w:eastAsia="el-GR"/>
        </w:rPr>
      </w:pPr>
      <w:r w:rsidRPr="001A4093">
        <w:rPr>
          <w:sz w:val="24"/>
          <w:szCs w:val="24"/>
          <w:lang w:bidi="da-DK"/>
        </w:rPr>
        <w:t>Almindelig (</w:t>
      </w:r>
      <w:r w:rsidRPr="001A4093">
        <w:rPr>
          <w:sz w:val="24"/>
          <w:szCs w:val="24"/>
          <w:u w:val="single"/>
          <w:lang w:bidi="da-DK"/>
        </w:rPr>
        <w:t>&gt;</w:t>
      </w:r>
      <w:r w:rsidRPr="001A4093">
        <w:rPr>
          <w:sz w:val="24"/>
          <w:szCs w:val="24"/>
          <w:lang w:bidi="da-DK"/>
        </w:rPr>
        <w:t>1/100 til &lt;1/10)</w:t>
      </w:r>
    </w:p>
    <w:p w14:paraId="137F96E9" w14:textId="77777777" w:rsidR="008B797B" w:rsidRPr="001A4093" w:rsidRDefault="008B797B" w:rsidP="00E348E2">
      <w:pPr>
        <w:ind w:left="851"/>
        <w:rPr>
          <w:sz w:val="24"/>
          <w:szCs w:val="24"/>
          <w:lang w:eastAsia="el-GR"/>
        </w:rPr>
      </w:pPr>
      <w:r w:rsidRPr="001A4093">
        <w:rPr>
          <w:sz w:val="24"/>
          <w:szCs w:val="24"/>
          <w:lang w:bidi="da-DK"/>
        </w:rPr>
        <w:t>Ikke almindelig (</w:t>
      </w:r>
      <w:r w:rsidRPr="001A4093">
        <w:rPr>
          <w:sz w:val="24"/>
          <w:szCs w:val="24"/>
          <w:u w:val="single"/>
          <w:lang w:bidi="da-DK"/>
        </w:rPr>
        <w:t>&gt;</w:t>
      </w:r>
      <w:r w:rsidRPr="001A4093">
        <w:rPr>
          <w:sz w:val="24"/>
          <w:szCs w:val="24"/>
          <w:lang w:bidi="da-DK"/>
        </w:rPr>
        <w:t>1/1000 til &lt;1/100)</w:t>
      </w:r>
    </w:p>
    <w:p w14:paraId="20CD305A" w14:textId="77777777" w:rsidR="008B797B" w:rsidRPr="001A4093" w:rsidRDefault="008B797B" w:rsidP="00E348E2">
      <w:pPr>
        <w:ind w:left="851"/>
        <w:rPr>
          <w:sz w:val="24"/>
          <w:szCs w:val="24"/>
          <w:lang w:eastAsia="el-GR"/>
        </w:rPr>
      </w:pPr>
      <w:r w:rsidRPr="001A4093">
        <w:rPr>
          <w:sz w:val="24"/>
          <w:szCs w:val="24"/>
          <w:lang w:bidi="da-DK"/>
        </w:rPr>
        <w:t>Sjælden (</w:t>
      </w:r>
      <w:r w:rsidRPr="001A4093">
        <w:rPr>
          <w:sz w:val="24"/>
          <w:szCs w:val="24"/>
          <w:u w:val="single"/>
          <w:lang w:bidi="da-DK"/>
        </w:rPr>
        <w:t>&gt;</w:t>
      </w:r>
      <w:r w:rsidRPr="001A4093">
        <w:rPr>
          <w:sz w:val="24"/>
          <w:szCs w:val="24"/>
          <w:lang w:bidi="da-DK"/>
        </w:rPr>
        <w:t>1/10.000 til &lt;1/1000)</w:t>
      </w:r>
    </w:p>
    <w:p w14:paraId="7AC4C003" w14:textId="77777777" w:rsidR="008B797B" w:rsidRPr="001A4093" w:rsidRDefault="008B797B" w:rsidP="00E348E2">
      <w:pPr>
        <w:ind w:left="851"/>
        <w:rPr>
          <w:sz w:val="24"/>
          <w:szCs w:val="24"/>
          <w:lang w:eastAsia="el-GR"/>
        </w:rPr>
      </w:pPr>
      <w:r w:rsidRPr="001A4093">
        <w:rPr>
          <w:sz w:val="24"/>
          <w:szCs w:val="24"/>
          <w:lang w:bidi="da-DK"/>
        </w:rPr>
        <w:t>Meget sjælden (&lt; 1/10.000)</w:t>
      </w:r>
    </w:p>
    <w:p w14:paraId="690732B1" w14:textId="40B3E79C" w:rsidR="008B797B" w:rsidRPr="001A4093" w:rsidRDefault="008B797B" w:rsidP="00E348E2">
      <w:pPr>
        <w:ind w:left="851"/>
        <w:rPr>
          <w:sz w:val="24"/>
          <w:szCs w:val="24"/>
          <w:lang w:bidi="da-DK"/>
        </w:rPr>
      </w:pPr>
      <w:r w:rsidRPr="001A4093">
        <w:rPr>
          <w:sz w:val="24"/>
          <w:szCs w:val="24"/>
          <w:lang w:bidi="da-DK"/>
        </w:rPr>
        <w:t>Ikke kendt (kan ikke vurderes ud fra de tilgængelige data).</w:t>
      </w:r>
    </w:p>
    <w:p w14:paraId="50C92091" w14:textId="77777777" w:rsidR="00A35C84" w:rsidRPr="001A4093" w:rsidRDefault="00A35C84" w:rsidP="00E348E2">
      <w:pPr>
        <w:ind w:left="851"/>
        <w:rPr>
          <w:sz w:val="24"/>
          <w:szCs w:val="24"/>
          <w:lang w:bidi="da-DK"/>
        </w:rPr>
      </w:pPr>
    </w:p>
    <w:tbl>
      <w:tblPr>
        <w:tblStyle w:val="Tabel-Gitter"/>
        <w:tblW w:w="0" w:type="auto"/>
        <w:tblInd w:w="851" w:type="dxa"/>
        <w:tblLook w:val="04A0" w:firstRow="1" w:lastRow="0" w:firstColumn="1" w:lastColumn="0" w:noHBand="0" w:noVBand="1"/>
      </w:tblPr>
      <w:tblGrid>
        <w:gridCol w:w="4384"/>
        <w:gridCol w:w="4393"/>
      </w:tblGrid>
      <w:tr w:rsidR="00A35C84" w:rsidRPr="001A4093" w14:paraId="0EC4E915" w14:textId="77777777" w:rsidTr="008B64EE">
        <w:tc>
          <w:tcPr>
            <w:tcW w:w="8777" w:type="dxa"/>
            <w:gridSpan w:val="2"/>
          </w:tcPr>
          <w:p w14:paraId="7C922C92" w14:textId="1705DCA7" w:rsidR="00A35C84" w:rsidRPr="001A4093" w:rsidRDefault="00A35C84" w:rsidP="009174D7">
            <w:pPr>
              <w:rPr>
                <w:b/>
                <w:sz w:val="24"/>
                <w:szCs w:val="24"/>
                <w:lang w:eastAsia="el-GR"/>
              </w:rPr>
            </w:pPr>
            <w:r w:rsidRPr="001A4093">
              <w:rPr>
                <w:b/>
                <w:sz w:val="24"/>
                <w:szCs w:val="24"/>
                <w:lang w:bidi="da-DK"/>
              </w:rPr>
              <w:t>Immunsystemet</w:t>
            </w:r>
          </w:p>
        </w:tc>
      </w:tr>
      <w:tr w:rsidR="00E348E2" w:rsidRPr="001A4093" w14:paraId="2657E7BE" w14:textId="77777777" w:rsidTr="00A35C84">
        <w:tc>
          <w:tcPr>
            <w:tcW w:w="4384" w:type="dxa"/>
          </w:tcPr>
          <w:p w14:paraId="332E90D6" w14:textId="31281A71" w:rsidR="00E348E2" w:rsidRPr="001A4093" w:rsidRDefault="00E348E2" w:rsidP="00A35C84">
            <w:pPr>
              <w:rPr>
                <w:sz w:val="24"/>
                <w:szCs w:val="24"/>
                <w:lang w:eastAsia="el-GR"/>
              </w:rPr>
            </w:pPr>
            <w:r w:rsidRPr="001A4093">
              <w:rPr>
                <w:sz w:val="24"/>
                <w:szCs w:val="24"/>
                <w:lang w:bidi="da-DK"/>
              </w:rPr>
              <w:t>Ikke kendt</w:t>
            </w:r>
          </w:p>
        </w:tc>
        <w:tc>
          <w:tcPr>
            <w:tcW w:w="4393" w:type="dxa"/>
          </w:tcPr>
          <w:p w14:paraId="1C774327" w14:textId="4A732B52" w:rsidR="001D0A5E" w:rsidRPr="001A4093" w:rsidRDefault="00E348E2" w:rsidP="001D0A5E">
            <w:pPr>
              <w:rPr>
                <w:sz w:val="24"/>
                <w:szCs w:val="24"/>
                <w:lang w:eastAsia="el-GR"/>
              </w:rPr>
            </w:pPr>
            <w:proofErr w:type="spellStart"/>
            <w:r w:rsidRPr="001A4093">
              <w:rPr>
                <w:sz w:val="24"/>
                <w:szCs w:val="24"/>
                <w:lang w:bidi="da-DK"/>
              </w:rPr>
              <w:t>Anafylaktisk</w:t>
            </w:r>
            <w:proofErr w:type="spellEnd"/>
            <w:r w:rsidRPr="001A4093">
              <w:rPr>
                <w:sz w:val="24"/>
                <w:szCs w:val="24"/>
                <w:lang w:bidi="da-DK"/>
              </w:rPr>
              <w:t xml:space="preserve"> reaktion, herunder kløe, udslæt, ødem, dyspnø.</w:t>
            </w:r>
          </w:p>
        </w:tc>
      </w:tr>
      <w:tr w:rsidR="00A35C84" w:rsidRPr="001A4093" w14:paraId="2939DE9D" w14:textId="77777777" w:rsidTr="00A618AB">
        <w:tc>
          <w:tcPr>
            <w:tcW w:w="8777" w:type="dxa"/>
            <w:gridSpan w:val="2"/>
          </w:tcPr>
          <w:p w14:paraId="6FF871FD" w14:textId="20737C8F" w:rsidR="00A35C84" w:rsidRPr="001A4093" w:rsidRDefault="00A35C84" w:rsidP="00A35C84">
            <w:pPr>
              <w:rPr>
                <w:b/>
                <w:sz w:val="24"/>
                <w:szCs w:val="24"/>
              </w:rPr>
            </w:pPr>
            <w:r w:rsidRPr="001A4093">
              <w:rPr>
                <w:b/>
                <w:sz w:val="24"/>
                <w:szCs w:val="24"/>
              </w:rPr>
              <w:t>Nervesystemet</w:t>
            </w:r>
          </w:p>
        </w:tc>
      </w:tr>
      <w:tr w:rsidR="00E348E2" w:rsidRPr="001A4093" w14:paraId="3FCA44DD" w14:textId="77777777" w:rsidTr="00A35C84">
        <w:tc>
          <w:tcPr>
            <w:tcW w:w="4384" w:type="dxa"/>
          </w:tcPr>
          <w:p w14:paraId="2C1DEF80" w14:textId="6E2DA9FC" w:rsidR="00E348E2" w:rsidRPr="001A4093" w:rsidRDefault="00A35C84" w:rsidP="00A35C84">
            <w:pPr>
              <w:rPr>
                <w:sz w:val="24"/>
                <w:szCs w:val="24"/>
                <w:lang w:eastAsia="el-GR"/>
              </w:rPr>
            </w:pPr>
            <w:r w:rsidRPr="001A4093">
              <w:rPr>
                <w:sz w:val="24"/>
                <w:szCs w:val="24"/>
                <w:lang w:bidi="da-DK"/>
              </w:rPr>
              <w:t>Ikke kendt</w:t>
            </w:r>
          </w:p>
        </w:tc>
        <w:tc>
          <w:tcPr>
            <w:tcW w:w="4393" w:type="dxa"/>
          </w:tcPr>
          <w:p w14:paraId="1379B966" w14:textId="3F51B2BE" w:rsidR="001D0A5E" w:rsidRPr="001A4093" w:rsidRDefault="00A35C84" w:rsidP="001D0A5E">
            <w:pPr>
              <w:rPr>
                <w:sz w:val="24"/>
                <w:szCs w:val="24"/>
                <w:lang w:eastAsia="el-GR"/>
              </w:rPr>
            </w:pPr>
            <w:r w:rsidRPr="001A4093">
              <w:rPr>
                <w:sz w:val="24"/>
                <w:szCs w:val="24"/>
                <w:lang w:bidi="da-DK"/>
              </w:rPr>
              <w:t>Hovedpine</w:t>
            </w:r>
          </w:p>
        </w:tc>
      </w:tr>
      <w:tr w:rsidR="00A35C84" w:rsidRPr="001A4093" w14:paraId="11D34793" w14:textId="77777777" w:rsidTr="008205DE">
        <w:tc>
          <w:tcPr>
            <w:tcW w:w="8777" w:type="dxa"/>
            <w:gridSpan w:val="2"/>
          </w:tcPr>
          <w:p w14:paraId="71959072" w14:textId="3EEFB10F" w:rsidR="00A35C84" w:rsidRPr="001A4093" w:rsidRDefault="00A35C84" w:rsidP="00A35C84">
            <w:pPr>
              <w:rPr>
                <w:b/>
                <w:sz w:val="24"/>
                <w:szCs w:val="24"/>
                <w:lang w:eastAsia="el-GR"/>
              </w:rPr>
            </w:pPr>
            <w:r w:rsidRPr="001A4093">
              <w:rPr>
                <w:b/>
                <w:sz w:val="24"/>
                <w:szCs w:val="24"/>
                <w:lang w:bidi="da-DK"/>
              </w:rPr>
              <w:t>Mave-tarm-kanalen</w:t>
            </w:r>
          </w:p>
        </w:tc>
      </w:tr>
      <w:tr w:rsidR="00E348E2" w:rsidRPr="001A4093" w14:paraId="31EEDA4F" w14:textId="77777777" w:rsidTr="00A35C84">
        <w:tc>
          <w:tcPr>
            <w:tcW w:w="4384" w:type="dxa"/>
          </w:tcPr>
          <w:p w14:paraId="716D8414" w14:textId="6CCB814D" w:rsidR="00E348E2" w:rsidRPr="001A4093" w:rsidRDefault="00A35C84" w:rsidP="009174D7">
            <w:pPr>
              <w:rPr>
                <w:sz w:val="24"/>
                <w:szCs w:val="24"/>
                <w:lang w:eastAsia="el-GR"/>
              </w:rPr>
            </w:pPr>
            <w:r w:rsidRPr="001A4093">
              <w:rPr>
                <w:sz w:val="24"/>
                <w:szCs w:val="24"/>
                <w:lang w:bidi="da-DK"/>
              </w:rPr>
              <w:t>Almindelig</w:t>
            </w:r>
          </w:p>
        </w:tc>
        <w:tc>
          <w:tcPr>
            <w:tcW w:w="4393" w:type="dxa"/>
          </w:tcPr>
          <w:p w14:paraId="1170DD84" w14:textId="562C64ED" w:rsidR="00E348E2" w:rsidRPr="001A4093" w:rsidRDefault="00A35C84" w:rsidP="009174D7">
            <w:pPr>
              <w:rPr>
                <w:sz w:val="24"/>
                <w:szCs w:val="24"/>
                <w:lang w:eastAsia="el-GR"/>
              </w:rPr>
            </w:pPr>
            <w:r w:rsidRPr="001A4093">
              <w:rPr>
                <w:sz w:val="24"/>
                <w:szCs w:val="24"/>
                <w:lang w:bidi="da-DK"/>
              </w:rPr>
              <w:t>Forstoppelse</w:t>
            </w:r>
          </w:p>
        </w:tc>
      </w:tr>
      <w:tr w:rsidR="00A35C84" w:rsidRPr="001A4093" w14:paraId="69F6EDBD" w14:textId="77777777" w:rsidTr="00A35C84">
        <w:tc>
          <w:tcPr>
            <w:tcW w:w="4384" w:type="dxa"/>
          </w:tcPr>
          <w:p w14:paraId="786E2F30" w14:textId="36333F5C" w:rsidR="00A35C84" w:rsidRPr="001A4093" w:rsidRDefault="00A35C84" w:rsidP="009174D7">
            <w:pPr>
              <w:rPr>
                <w:sz w:val="24"/>
                <w:szCs w:val="24"/>
                <w:lang w:bidi="da-DK"/>
              </w:rPr>
            </w:pPr>
            <w:r w:rsidRPr="001A4093">
              <w:rPr>
                <w:sz w:val="24"/>
                <w:szCs w:val="24"/>
                <w:lang w:bidi="da-DK"/>
              </w:rPr>
              <w:t>Ikke almindelig</w:t>
            </w:r>
          </w:p>
        </w:tc>
        <w:tc>
          <w:tcPr>
            <w:tcW w:w="4393" w:type="dxa"/>
          </w:tcPr>
          <w:p w14:paraId="36154B4F" w14:textId="67126B49" w:rsidR="00A35C84" w:rsidRPr="001A4093" w:rsidRDefault="00A35C84" w:rsidP="009174D7">
            <w:pPr>
              <w:rPr>
                <w:sz w:val="24"/>
                <w:szCs w:val="24"/>
                <w:lang w:eastAsia="el-GR"/>
              </w:rPr>
            </w:pPr>
            <w:r w:rsidRPr="001A4093">
              <w:rPr>
                <w:sz w:val="24"/>
                <w:szCs w:val="24"/>
                <w:lang w:bidi="da-DK"/>
              </w:rPr>
              <w:t>Mundtørhed, kvalme</w:t>
            </w:r>
          </w:p>
        </w:tc>
      </w:tr>
      <w:tr w:rsidR="00A35C84" w:rsidRPr="001A4093" w14:paraId="14A53393" w14:textId="77777777" w:rsidTr="00A35C84">
        <w:tc>
          <w:tcPr>
            <w:tcW w:w="4384" w:type="dxa"/>
          </w:tcPr>
          <w:p w14:paraId="5F16CA02" w14:textId="5A9F6D02" w:rsidR="00A35C84" w:rsidRPr="001A4093" w:rsidRDefault="00A35C84" w:rsidP="009174D7">
            <w:pPr>
              <w:rPr>
                <w:sz w:val="24"/>
                <w:szCs w:val="24"/>
                <w:lang w:bidi="da-DK"/>
              </w:rPr>
            </w:pPr>
            <w:r w:rsidRPr="001A4093">
              <w:rPr>
                <w:sz w:val="24"/>
                <w:szCs w:val="24"/>
                <w:lang w:bidi="da-DK"/>
              </w:rPr>
              <w:t>Sjælden</w:t>
            </w:r>
          </w:p>
        </w:tc>
        <w:tc>
          <w:tcPr>
            <w:tcW w:w="4393" w:type="dxa"/>
          </w:tcPr>
          <w:p w14:paraId="08508905" w14:textId="6855891E" w:rsidR="00A35C84" w:rsidRPr="001A4093" w:rsidRDefault="00A35C84" w:rsidP="009174D7">
            <w:pPr>
              <w:rPr>
                <w:sz w:val="24"/>
                <w:szCs w:val="24"/>
                <w:lang w:eastAsia="el-GR"/>
              </w:rPr>
            </w:pPr>
            <w:r w:rsidRPr="001A4093">
              <w:rPr>
                <w:sz w:val="24"/>
                <w:szCs w:val="24"/>
                <w:lang w:bidi="da-DK"/>
              </w:rPr>
              <w:t xml:space="preserve">Dannelse af </w:t>
            </w:r>
            <w:proofErr w:type="spellStart"/>
            <w:r w:rsidRPr="001A4093">
              <w:rPr>
                <w:sz w:val="24"/>
                <w:szCs w:val="24"/>
                <w:lang w:bidi="da-DK"/>
              </w:rPr>
              <w:t>bezoar</w:t>
            </w:r>
            <w:proofErr w:type="spellEnd"/>
            <w:r w:rsidRPr="001A4093">
              <w:rPr>
                <w:sz w:val="24"/>
                <w:szCs w:val="24"/>
                <w:lang w:bidi="da-DK"/>
              </w:rPr>
              <w:t xml:space="preserve"> (se </w:t>
            </w:r>
            <w:r w:rsidR="001D0A5E">
              <w:rPr>
                <w:sz w:val="24"/>
                <w:szCs w:val="24"/>
                <w:lang w:bidi="da-DK"/>
              </w:rPr>
              <w:t>pkt.</w:t>
            </w:r>
            <w:r w:rsidRPr="001A4093">
              <w:rPr>
                <w:sz w:val="24"/>
                <w:szCs w:val="24"/>
                <w:lang w:bidi="da-DK"/>
              </w:rPr>
              <w:t xml:space="preserve"> 4.4).</w:t>
            </w:r>
          </w:p>
        </w:tc>
      </w:tr>
      <w:tr w:rsidR="00A35C84" w:rsidRPr="001A4093" w14:paraId="37816267" w14:textId="77777777" w:rsidTr="00A35C84">
        <w:tc>
          <w:tcPr>
            <w:tcW w:w="4384" w:type="dxa"/>
          </w:tcPr>
          <w:p w14:paraId="4C77AF55" w14:textId="0CBBAB4A" w:rsidR="00A35C84" w:rsidRPr="001A4093" w:rsidRDefault="00A35C84" w:rsidP="00A35C84">
            <w:pPr>
              <w:rPr>
                <w:sz w:val="24"/>
                <w:szCs w:val="24"/>
                <w:lang w:bidi="da-DK"/>
              </w:rPr>
            </w:pPr>
            <w:r w:rsidRPr="001A4093">
              <w:rPr>
                <w:sz w:val="24"/>
                <w:szCs w:val="24"/>
                <w:lang w:bidi="da-DK"/>
              </w:rPr>
              <w:t>Ikke kendt</w:t>
            </w:r>
          </w:p>
        </w:tc>
        <w:tc>
          <w:tcPr>
            <w:tcW w:w="4393" w:type="dxa"/>
          </w:tcPr>
          <w:p w14:paraId="268E2DD7" w14:textId="3C430794" w:rsidR="001D0A5E" w:rsidRPr="001A4093" w:rsidRDefault="00A35C84" w:rsidP="001D0A5E">
            <w:pPr>
              <w:rPr>
                <w:sz w:val="24"/>
                <w:szCs w:val="24"/>
                <w:lang w:eastAsia="el-GR"/>
              </w:rPr>
            </w:pPr>
            <w:r w:rsidRPr="001A4093">
              <w:rPr>
                <w:sz w:val="24"/>
                <w:szCs w:val="24"/>
                <w:lang w:bidi="da-DK"/>
              </w:rPr>
              <w:t xml:space="preserve">Opkastning, </w:t>
            </w:r>
            <w:proofErr w:type="spellStart"/>
            <w:r w:rsidRPr="001A4093">
              <w:rPr>
                <w:sz w:val="24"/>
                <w:szCs w:val="24"/>
                <w:lang w:bidi="da-DK"/>
              </w:rPr>
              <w:t>flatulens</w:t>
            </w:r>
            <w:proofErr w:type="spellEnd"/>
          </w:p>
        </w:tc>
      </w:tr>
      <w:tr w:rsidR="00A35C84" w:rsidRPr="001A4093" w14:paraId="2B027CF5" w14:textId="77777777" w:rsidTr="0027730F">
        <w:tc>
          <w:tcPr>
            <w:tcW w:w="8777" w:type="dxa"/>
            <w:gridSpan w:val="2"/>
          </w:tcPr>
          <w:p w14:paraId="4DB4C550" w14:textId="13662A7E" w:rsidR="00A35C84" w:rsidRPr="001A4093" w:rsidRDefault="00A35C84" w:rsidP="009174D7">
            <w:pPr>
              <w:rPr>
                <w:b/>
                <w:sz w:val="24"/>
                <w:szCs w:val="24"/>
                <w:lang w:eastAsia="el-GR"/>
              </w:rPr>
            </w:pPr>
            <w:r w:rsidRPr="001A4093">
              <w:rPr>
                <w:b/>
                <w:sz w:val="24"/>
                <w:szCs w:val="24"/>
                <w:lang w:bidi="da-DK"/>
              </w:rPr>
              <w:t>Hud og subkutane væv</w:t>
            </w:r>
          </w:p>
        </w:tc>
      </w:tr>
      <w:tr w:rsidR="00A35C84" w:rsidRPr="001A4093" w14:paraId="51776910" w14:textId="77777777" w:rsidTr="00A35C84">
        <w:tc>
          <w:tcPr>
            <w:tcW w:w="4384" w:type="dxa"/>
          </w:tcPr>
          <w:p w14:paraId="5B8DF621" w14:textId="260B8B39" w:rsidR="00A35C84" w:rsidRPr="001A4093" w:rsidRDefault="00A35C84" w:rsidP="009174D7">
            <w:pPr>
              <w:rPr>
                <w:sz w:val="24"/>
                <w:szCs w:val="24"/>
                <w:lang w:eastAsia="el-GR"/>
              </w:rPr>
            </w:pPr>
            <w:r w:rsidRPr="001A4093">
              <w:rPr>
                <w:sz w:val="24"/>
                <w:szCs w:val="24"/>
                <w:lang w:bidi="da-DK"/>
              </w:rPr>
              <w:t>Ikke almindelig</w:t>
            </w:r>
          </w:p>
        </w:tc>
        <w:tc>
          <w:tcPr>
            <w:tcW w:w="4393" w:type="dxa"/>
          </w:tcPr>
          <w:p w14:paraId="7028349D" w14:textId="23E8CF3E" w:rsidR="00A35C84" w:rsidRPr="001A4093" w:rsidRDefault="00A35C84" w:rsidP="009174D7">
            <w:pPr>
              <w:rPr>
                <w:sz w:val="24"/>
                <w:szCs w:val="24"/>
                <w:lang w:eastAsia="el-GR"/>
              </w:rPr>
            </w:pPr>
            <w:proofErr w:type="spellStart"/>
            <w:r w:rsidRPr="001A4093">
              <w:rPr>
                <w:sz w:val="24"/>
                <w:szCs w:val="24"/>
                <w:lang w:bidi="da-DK"/>
              </w:rPr>
              <w:t>Exantem</w:t>
            </w:r>
            <w:proofErr w:type="spellEnd"/>
            <w:r w:rsidRPr="001A4093">
              <w:rPr>
                <w:sz w:val="24"/>
                <w:szCs w:val="24"/>
                <w:lang w:bidi="da-DK"/>
              </w:rPr>
              <w:t xml:space="preserve">, </w:t>
            </w:r>
            <w:proofErr w:type="spellStart"/>
            <w:r w:rsidRPr="001A4093">
              <w:rPr>
                <w:sz w:val="24"/>
                <w:szCs w:val="24"/>
                <w:lang w:bidi="da-DK"/>
              </w:rPr>
              <w:t>urticaria</w:t>
            </w:r>
            <w:proofErr w:type="spellEnd"/>
          </w:p>
        </w:tc>
      </w:tr>
      <w:tr w:rsidR="00A35C84" w:rsidRPr="001A4093" w14:paraId="1259F6DD" w14:textId="77777777" w:rsidTr="00A35C84">
        <w:tc>
          <w:tcPr>
            <w:tcW w:w="4384" w:type="dxa"/>
          </w:tcPr>
          <w:p w14:paraId="7578B9D7" w14:textId="3BBA258D" w:rsidR="00A35C84" w:rsidRPr="001A4093" w:rsidRDefault="00A35C84" w:rsidP="00A35C84">
            <w:pPr>
              <w:rPr>
                <w:sz w:val="24"/>
                <w:szCs w:val="24"/>
                <w:lang w:eastAsia="el-GR"/>
              </w:rPr>
            </w:pPr>
            <w:r w:rsidRPr="001A4093">
              <w:rPr>
                <w:sz w:val="24"/>
                <w:szCs w:val="24"/>
                <w:lang w:bidi="da-DK"/>
              </w:rPr>
              <w:t>Sjælden</w:t>
            </w:r>
          </w:p>
        </w:tc>
        <w:tc>
          <w:tcPr>
            <w:tcW w:w="4393" w:type="dxa"/>
          </w:tcPr>
          <w:p w14:paraId="337E60F2" w14:textId="72868976" w:rsidR="001D0A5E" w:rsidRPr="001A4093" w:rsidRDefault="00A35C84" w:rsidP="001D0A5E">
            <w:pPr>
              <w:rPr>
                <w:sz w:val="24"/>
                <w:szCs w:val="24"/>
                <w:lang w:eastAsia="el-GR"/>
              </w:rPr>
            </w:pPr>
            <w:r w:rsidRPr="001A4093">
              <w:rPr>
                <w:sz w:val="24"/>
                <w:szCs w:val="24"/>
                <w:lang w:bidi="da-DK"/>
              </w:rPr>
              <w:t>Udslæt</w:t>
            </w:r>
          </w:p>
        </w:tc>
      </w:tr>
      <w:tr w:rsidR="00A35C84" w:rsidRPr="001A4093" w14:paraId="5F3B2C96" w14:textId="77777777" w:rsidTr="00AF1ECE">
        <w:tc>
          <w:tcPr>
            <w:tcW w:w="8777" w:type="dxa"/>
            <w:gridSpan w:val="2"/>
          </w:tcPr>
          <w:p w14:paraId="5A3C8806" w14:textId="35634694" w:rsidR="00A35C84" w:rsidRPr="001A4093" w:rsidRDefault="00A35C84" w:rsidP="009174D7">
            <w:pPr>
              <w:rPr>
                <w:b/>
                <w:sz w:val="24"/>
                <w:szCs w:val="24"/>
                <w:lang w:eastAsia="el-GR"/>
              </w:rPr>
            </w:pPr>
            <w:r w:rsidRPr="001A4093">
              <w:rPr>
                <w:b/>
                <w:sz w:val="24"/>
                <w:szCs w:val="24"/>
                <w:lang w:bidi="da-DK"/>
              </w:rPr>
              <w:t>Øre og labyrint</w:t>
            </w:r>
          </w:p>
        </w:tc>
      </w:tr>
      <w:tr w:rsidR="00A35C84" w:rsidRPr="001A4093" w14:paraId="21828E89" w14:textId="77777777" w:rsidTr="00A35C84">
        <w:tc>
          <w:tcPr>
            <w:tcW w:w="4384" w:type="dxa"/>
          </w:tcPr>
          <w:p w14:paraId="507F1CD8" w14:textId="46BE00AD" w:rsidR="00A35C84" w:rsidRPr="001A4093" w:rsidRDefault="00A35C84" w:rsidP="00A35C84">
            <w:pPr>
              <w:rPr>
                <w:sz w:val="24"/>
                <w:szCs w:val="24"/>
                <w:lang w:bidi="da-DK"/>
              </w:rPr>
            </w:pPr>
            <w:r w:rsidRPr="001A4093">
              <w:rPr>
                <w:sz w:val="24"/>
                <w:szCs w:val="24"/>
                <w:lang w:bidi="da-DK"/>
              </w:rPr>
              <w:t>Ikke kendt</w:t>
            </w:r>
          </w:p>
        </w:tc>
        <w:tc>
          <w:tcPr>
            <w:tcW w:w="4393" w:type="dxa"/>
          </w:tcPr>
          <w:p w14:paraId="37826C53" w14:textId="2E5465C2" w:rsidR="001D0A5E" w:rsidRPr="001A4093" w:rsidRDefault="00A35C84" w:rsidP="001D0A5E">
            <w:pPr>
              <w:rPr>
                <w:sz w:val="24"/>
                <w:szCs w:val="24"/>
                <w:lang w:eastAsia="el-GR"/>
              </w:rPr>
            </w:pPr>
            <w:proofErr w:type="spellStart"/>
            <w:r w:rsidRPr="001A4093">
              <w:rPr>
                <w:sz w:val="24"/>
                <w:szCs w:val="24"/>
                <w:lang w:bidi="da-DK"/>
              </w:rPr>
              <w:t>Vertigo</w:t>
            </w:r>
            <w:proofErr w:type="spellEnd"/>
          </w:p>
        </w:tc>
      </w:tr>
      <w:tr w:rsidR="00A35C84" w:rsidRPr="001A4093" w14:paraId="564DCA67" w14:textId="77777777" w:rsidTr="001D3006">
        <w:tc>
          <w:tcPr>
            <w:tcW w:w="8777" w:type="dxa"/>
            <w:gridSpan w:val="2"/>
          </w:tcPr>
          <w:p w14:paraId="7AF9A577" w14:textId="3C97796D" w:rsidR="00A35C84" w:rsidRPr="001A4093" w:rsidRDefault="00A35C84" w:rsidP="009174D7">
            <w:pPr>
              <w:rPr>
                <w:b/>
                <w:sz w:val="24"/>
                <w:szCs w:val="24"/>
                <w:lang w:eastAsia="el-GR"/>
              </w:rPr>
            </w:pPr>
            <w:r w:rsidRPr="001A4093">
              <w:rPr>
                <w:b/>
                <w:sz w:val="24"/>
                <w:szCs w:val="24"/>
                <w:lang w:bidi="da-DK"/>
              </w:rPr>
              <w:t>Nervesystemet</w:t>
            </w:r>
          </w:p>
        </w:tc>
      </w:tr>
      <w:tr w:rsidR="00A35C84" w:rsidRPr="001A4093" w14:paraId="6E6D43EB" w14:textId="77777777" w:rsidTr="00A35C84">
        <w:tc>
          <w:tcPr>
            <w:tcW w:w="4384" w:type="dxa"/>
          </w:tcPr>
          <w:p w14:paraId="39026E84" w14:textId="0FFC30B7" w:rsidR="00A35C84" w:rsidRPr="001A4093" w:rsidRDefault="00A35C84" w:rsidP="00A35C84">
            <w:pPr>
              <w:rPr>
                <w:sz w:val="24"/>
                <w:szCs w:val="24"/>
                <w:lang w:bidi="da-DK"/>
              </w:rPr>
            </w:pPr>
            <w:r w:rsidRPr="001A4093">
              <w:rPr>
                <w:sz w:val="24"/>
                <w:szCs w:val="24"/>
                <w:lang w:bidi="da-DK"/>
              </w:rPr>
              <w:t>Ikke kendt</w:t>
            </w:r>
          </w:p>
        </w:tc>
        <w:tc>
          <w:tcPr>
            <w:tcW w:w="4393" w:type="dxa"/>
          </w:tcPr>
          <w:p w14:paraId="2D569A61" w14:textId="76D0A0E9" w:rsidR="001D0A5E" w:rsidRPr="001A4093" w:rsidRDefault="00A35C84" w:rsidP="001D0A5E">
            <w:pPr>
              <w:rPr>
                <w:sz w:val="24"/>
                <w:szCs w:val="24"/>
                <w:lang w:eastAsia="el-GR"/>
              </w:rPr>
            </w:pPr>
            <w:r w:rsidRPr="001A4093">
              <w:rPr>
                <w:sz w:val="24"/>
                <w:szCs w:val="24"/>
                <w:lang w:bidi="da-DK"/>
              </w:rPr>
              <w:t>Svimmelhed, døsighed</w:t>
            </w:r>
          </w:p>
        </w:tc>
      </w:tr>
      <w:tr w:rsidR="009174D7" w:rsidRPr="009174D7" w14:paraId="62676475" w14:textId="77777777" w:rsidTr="003666AD">
        <w:tc>
          <w:tcPr>
            <w:tcW w:w="8777" w:type="dxa"/>
            <w:gridSpan w:val="2"/>
          </w:tcPr>
          <w:p w14:paraId="290C92C5" w14:textId="371B2627" w:rsidR="009174D7" w:rsidRPr="009174D7" w:rsidRDefault="009174D7" w:rsidP="00A35C84">
            <w:pPr>
              <w:rPr>
                <w:b/>
                <w:sz w:val="24"/>
                <w:szCs w:val="24"/>
                <w:lang w:bidi="da-DK"/>
              </w:rPr>
            </w:pPr>
            <w:r w:rsidRPr="009174D7">
              <w:rPr>
                <w:b/>
                <w:sz w:val="24"/>
                <w:szCs w:val="24"/>
                <w:lang w:bidi="da-DK"/>
              </w:rPr>
              <w:t>Undersøgelser</w:t>
            </w:r>
          </w:p>
        </w:tc>
      </w:tr>
      <w:tr w:rsidR="00A35C84" w:rsidRPr="001A4093" w14:paraId="03A56684" w14:textId="77777777" w:rsidTr="00A35C84">
        <w:tc>
          <w:tcPr>
            <w:tcW w:w="4384" w:type="dxa"/>
          </w:tcPr>
          <w:p w14:paraId="78CB4A44" w14:textId="7B5A933E" w:rsidR="00A35C84" w:rsidRPr="001A4093" w:rsidRDefault="00A35C84" w:rsidP="00A35C84">
            <w:pPr>
              <w:rPr>
                <w:sz w:val="24"/>
                <w:szCs w:val="24"/>
                <w:lang w:bidi="da-DK"/>
              </w:rPr>
            </w:pPr>
            <w:r w:rsidRPr="001A4093">
              <w:rPr>
                <w:sz w:val="24"/>
                <w:szCs w:val="24"/>
                <w:lang w:bidi="da-DK"/>
              </w:rPr>
              <w:t>Ikke kendt</w:t>
            </w:r>
          </w:p>
        </w:tc>
        <w:tc>
          <w:tcPr>
            <w:tcW w:w="4393" w:type="dxa"/>
          </w:tcPr>
          <w:p w14:paraId="29ECFCA7" w14:textId="3CB9F7E4" w:rsidR="001D0A5E" w:rsidRPr="001A4093" w:rsidRDefault="00A35C84" w:rsidP="001D0A5E">
            <w:pPr>
              <w:rPr>
                <w:sz w:val="24"/>
                <w:szCs w:val="24"/>
                <w:lang w:bidi="da-DK"/>
              </w:rPr>
            </w:pPr>
            <w:r w:rsidRPr="001A4093">
              <w:rPr>
                <w:sz w:val="24"/>
                <w:szCs w:val="24"/>
                <w:lang w:bidi="da-DK"/>
              </w:rPr>
              <w:t>Hypofosfatæmi</w:t>
            </w:r>
            <w:r w:rsidRPr="001A4093">
              <w:rPr>
                <w:sz w:val="24"/>
                <w:szCs w:val="24"/>
                <w:vertAlign w:val="superscript"/>
                <w:lang w:bidi="da-DK"/>
              </w:rPr>
              <w:t>1</w:t>
            </w:r>
            <w:r w:rsidRPr="001A4093">
              <w:rPr>
                <w:sz w:val="24"/>
                <w:szCs w:val="24"/>
                <w:lang w:bidi="da-DK"/>
              </w:rPr>
              <w:t xml:space="preserve">, </w:t>
            </w:r>
            <w:proofErr w:type="spellStart"/>
            <w:r w:rsidRPr="001A4093">
              <w:rPr>
                <w:sz w:val="24"/>
                <w:szCs w:val="24"/>
                <w:lang w:bidi="da-DK"/>
              </w:rPr>
              <w:t>hyperglykæmi</w:t>
            </w:r>
            <w:proofErr w:type="spellEnd"/>
            <w:r w:rsidRPr="001A4093">
              <w:rPr>
                <w:sz w:val="24"/>
                <w:szCs w:val="24"/>
                <w:lang w:bidi="da-DK"/>
              </w:rPr>
              <w:t xml:space="preserve"> hos diabetespatienter</w:t>
            </w:r>
            <w:r w:rsidRPr="001A4093">
              <w:rPr>
                <w:sz w:val="24"/>
                <w:szCs w:val="24"/>
                <w:vertAlign w:val="superscript"/>
                <w:lang w:bidi="da-DK"/>
              </w:rPr>
              <w:t>2</w:t>
            </w:r>
          </w:p>
        </w:tc>
      </w:tr>
      <w:tr w:rsidR="00A35C84" w:rsidRPr="001A4093" w14:paraId="35F6787B" w14:textId="77777777" w:rsidTr="00A76F78">
        <w:tc>
          <w:tcPr>
            <w:tcW w:w="8777" w:type="dxa"/>
            <w:gridSpan w:val="2"/>
          </w:tcPr>
          <w:p w14:paraId="71CF3A24" w14:textId="27936B67" w:rsidR="00A35C84" w:rsidRPr="001A4093" w:rsidRDefault="00A35C84" w:rsidP="009174D7">
            <w:pPr>
              <w:rPr>
                <w:b/>
                <w:sz w:val="24"/>
                <w:szCs w:val="24"/>
                <w:lang w:bidi="da-DK"/>
              </w:rPr>
            </w:pPr>
            <w:r w:rsidRPr="001A4093">
              <w:rPr>
                <w:b/>
                <w:sz w:val="24"/>
                <w:szCs w:val="24"/>
                <w:lang w:bidi="da-DK"/>
              </w:rPr>
              <w:t>Skader, forgiftninger og komplikationer ved medicinske procedurer</w:t>
            </w:r>
          </w:p>
        </w:tc>
      </w:tr>
      <w:tr w:rsidR="00A35C84" w:rsidRPr="001A4093" w14:paraId="5A3769E9" w14:textId="77777777" w:rsidTr="00A35C84">
        <w:tc>
          <w:tcPr>
            <w:tcW w:w="4384" w:type="dxa"/>
          </w:tcPr>
          <w:p w14:paraId="722FDD8B" w14:textId="1644A42C" w:rsidR="00A35C84" w:rsidRPr="001A4093" w:rsidRDefault="00A35C84" w:rsidP="00A35C84">
            <w:pPr>
              <w:rPr>
                <w:sz w:val="24"/>
                <w:szCs w:val="24"/>
                <w:lang w:bidi="da-DK"/>
              </w:rPr>
            </w:pPr>
            <w:r w:rsidRPr="001A4093">
              <w:rPr>
                <w:sz w:val="24"/>
                <w:szCs w:val="24"/>
                <w:lang w:bidi="da-DK"/>
              </w:rPr>
              <w:t>Ikke kendt</w:t>
            </w:r>
          </w:p>
        </w:tc>
        <w:tc>
          <w:tcPr>
            <w:tcW w:w="4393" w:type="dxa"/>
          </w:tcPr>
          <w:p w14:paraId="31530D71" w14:textId="03FB09B8" w:rsidR="00A35C84" w:rsidRPr="001A4093" w:rsidRDefault="00A35C84" w:rsidP="00A35C84">
            <w:pPr>
              <w:rPr>
                <w:sz w:val="24"/>
                <w:szCs w:val="24"/>
                <w:lang w:bidi="da-DK"/>
              </w:rPr>
            </w:pPr>
            <w:r w:rsidRPr="001A4093">
              <w:rPr>
                <w:sz w:val="24"/>
                <w:szCs w:val="24"/>
                <w:lang w:bidi="da-DK"/>
              </w:rPr>
              <w:t xml:space="preserve">Små mængder aluminium kan absorberes gennem den </w:t>
            </w:r>
            <w:proofErr w:type="spellStart"/>
            <w:r w:rsidRPr="001A4093">
              <w:rPr>
                <w:sz w:val="24"/>
                <w:szCs w:val="24"/>
                <w:lang w:bidi="da-DK"/>
              </w:rPr>
              <w:t>gastrointestinale</w:t>
            </w:r>
            <w:proofErr w:type="spellEnd"/>
            <w:r w:rsidRPr="001A4093">
              <w:rPr>
                <w:sz w:val="24"/>
                <w:szCs w:val="24"/>
                <w:lang w:bidi="da-DK"/>
              </w:rPr>
              <w:t xml:space="preserve"> kanal, og aluminium kan ophobes. </w:t>
            </w:r>
            <w:proofErr w:type="spellStart"/>
            <w:r w:rsidRPr="001A4093">
              <w:rPr>
                <w:sz w:val="24"/>
                <w:szCs w:val="24"/>
                <w:lang w:bidi="da-DK"/>
              </w:rPr>
              <w:t>Osteodystrofi</w:t>
            </w:r>
            <w:proofErr w:type="spellEnd"/>
            <w:r w:rsidRPr="001A4093">
              <w:rPr>
                <w:sz w:val="24"/>
                <w:szCs w:val="24"/>
                <w:lang w:bidi="da-DK"/>
              </w:rPr>
              <w:t xml:space="preserve">, </w:t>
            </w:r>
            <w:proofErr w:type="spellStart"/>
            <w:r w:rsidRPr="001A4093">
              <w:rPr>
                <w:sz w:val="24"/>
                <w:szCs w:val="24"/>
                <w:lang w:bidi="da-DK"/>
              </w:rPr>
              <w:t>osteomalaci</w:t>
            </w:r>
            <w:proofErr w:type="spellEnd"/>
            <w:r w:rsidRPr="001A4093">
              <w:rPr>
                <w:sz w:val="24"/>
                <w:szCs w:val="24"/>
                <w:lang w:bidi="da-DK"/>
              </w:rPr>
              <w:t>, encefalopati og anæmi i forbindelse med aluminium er blevet rapporteret hos patienter med kronisk nedsat nyrefunktion.</w:t>
            </w:r>
          </w:p>
        </w:tc>
      </w:tr>
    </w:tbl>
    <w:p w14:paraId="37BB2D54" w14:textId="50E6F2E0" w:rsidR="008B797B" w:rsidRPr="001A4093" w:rsidRDefault="008B797B" w:rsidP="00A35C84">
      <w:pPr>
        <w:ind w:left="851"/>
        <w:rPr>
          <w:sz w:val="24"/>
          <w:szCs w:val="24"/>
          <w:lang w:eastAsia="el-GR"/>
        </w:rPr>
      </w:pPr>
      <w:r w:rsidRPr="001A4093">
        <w:rPr>
          <w:sz w:val="24"/>
          <w:szCs w:val="24"/>
          <w:vertAlign w:val="superscript"/>
          <w:lang w:bidi="da-DK"/>
        </w:rPr>
        <w:t xml:space="preserve">1 </w:t>
      </w:r>
      <w:r w:rsidRPr="001A4093">
        <w:rPr>
          <w:sz w:val="24"/>
          <w:szCs w:val="24"/>
          <w:lang w:bidi="da-DK"/>
        </w:rPr>
        <w:t xml:space="preserve">Se </w:t>
      </w:r>
      <w:r w:rsidR="001D0A5E">
        <w:rPr>
          <w:sz w:val="24"/>
          <w:szCs w:val="24"/>
          <w:lang w:bidi="da-DK"/>
        </w:rPr>
        <w:t>pkt.</w:t>
      </w:r>
      <w:r w:rsidRPr="001A4093">
        <w:rPr>
          <w:sz w:val="24"/>
          <w:szCs w:val="24"/>
          <w:lang w:bidi="da-DK"/>
        </w:rPr>
        <w:t xml:space="preserve"> 4.5.</w:t>
      </w:r>
    </w:p>
    <w:p w14:paraId="22C6B38D" w14:textId="755013F0" w:rsidR="008B797B" w:rsidRPr="001A4093" w:rsidRDefault="008B797B" w:rsidP="00A35C84">
      <w:pPr>
        <w:ind w:left="851"/>
        <w:rPr>
          <w:sz w:val="24"/>
          <w:szCs w:val="24"/>
          <w:lang w:eastAsia="el-GR"/>
        </w:rPr>
      </w:pPr>
      <w:r w:rsidRPr="001A4093">
        <w:rPr>
          <w:sz w:val="24"/>
          <w:szCs w:val="24"/>
          <w:vertAlign w:val="superscript"/>
          <w:lang w:bidi="da-DK"/>
        </w:rPr>
        <w:t xml:space="preserve">2 </w:t>
      </w:r>
      <w:r w:rsidRPr="001A4093">
        <w:rPr>
          <w:sz w:val="24"/>
          <w:szCs w:val="24"/>
          <w:lang w:bidi="da-DK"/>
        </w:rPr>
        <w:t xml:space="preserve">Se </w:t>
      </w:r>
      <w:r w:rsidR="001D0A5E">
        <w:rPr>
          <w:sz w:val="24"/>
          <w:szCs w:val="24"/>
          <w:lang w:bidi="da-DK"/>
        </w:rPr>
        <w:t>pkt.</w:t>
      </w:r>
      <w:r w:rsidRPr="001A4093">
        <w:rPr>
          <w:sz w:val="24"/>
          <w:szCs w:val="24"/>
          <w:lang w:bidi="da-DK"/>
        </w:rPr>
        <w:t xml:space="preserve"> 4.4.</w:t>
      </w:r>
    </w:p>
    <w:p w14:paraId="63FFC883" w14:textId="77777777" w:rsidR="009174D7" w:rsidRDefault="009174D7" w:rsidP="00A35C84">
      <w:pPr>
        <w:ind w:left="851"/>
        <w:rPr>
          <w:sz w:val="24"/>
          <w:szCs w:val="24"/>
          <w:u w:val="single"/>
          <w:lang w:bidi="da-DK"/>
        </w:rPr>
      </w:pPr>
    </w:p>
    <w:p w14:paraId="3BE2FF5D" w14:textId="5D8C21F6" w:rsidR="008B797B" w:rsidRPr="001A4093" w:rsidRDefault="008B797B" w:rsidP="00A35C84">
      <w:pPr>
        <w:ind w:left="851"/>
        <w:rPr>
          <w:sz w:val="24"/>
          <w:szCs w:val="24"/>
          <w:u w:val="single"/>
          <w:lang w:eastAsia="el-GR"/>
        </w:rPr>
      </w:pPr>
      <w:r w:rsidRPr="001A4093">
        <w:rPr>
          <w:sz w:val="24"/>
          <w:szCs w:val="24"/>
          <w:u w:val="single"/>
          <w:lang w:bidi="da-DK"/>
        </w:rPr>
        <w:t>Pædiatrisk population</w:t>
      </w:r>
    </w:p>
    <w:p w14:paraId="0E6B7625" w14:textId="77777777" w:rsidR="008B797B" w:rsidRPr="001A4093" w:rsidRDefault="008B797B" w:rsidP="00A35C84">
      <w:pPr>
        <w:ind w:left="851"/>
        <w:rPr>
          <w:sz w:val="24"/>
          <w:szCs w:val="24"/>
          <w:lang w:eastAsia="el-GR"/>
        </w:rPr>
      </w:pPr>
      <w:r w:rsidRPr="001A4093">
        <w:rPr>
          <w:sz w:val="24"/>
          <w:szCs w:val="24"/>
          <w:lang w:bidi="da-DK"/>
        </w:rPr>
        <w:t>Hyppigheden, typen og sværhedsgraden af bivirkninger hos unge forventes at være den samme som hos voksne.</w:t>
      </w:r>
    </w:p>
    <w:p w14:paraId="4BA0175F" w14:textId="77777777" w:rsidR="008B797B" w:rsidRPr="001A4093" w:rsidRDefault="008B797B" w:rsidP="00A35C84">
      <w:pPr>
        <w:ind w:left="851"/>
        <w:rPr>
          <w:sz w:val="24"/>
          <w:szCs w:val="24"/>
          <w:u w:val="single"/>
          <w:lang w:eastAsia="el-GR"/>
        </w:rPr>
      </w:pPr>
    </w:p>
    <w:p w14:paraId="12721775" w14:textId="77777777" w:rsidR="009174D7" w:rsidRDefault="009174D7" w:rsidP="009174D7">
      <w:pPr>
        <w:autoSpaceDE w:val="0"/>
        <w:autoSpaceDN w:val="0"/>
        <w:ind w:left="851"/>
        <w:rPr>
          <w:sz w:val="24"/>
          <w:szCs w:val="24"/>
          <w:u w:val="single"/>
        </w:rPr>
      </w:pPr>
      <w:r>
        <w:rPr>
          <w:sz w:val="24"/>
          <w:szCs w:val="24"/>
          <w:u w:val="single"/>
        </w:rPr>
        <w:t>Indberetning af formodede bivirkninger</w:t>
      </w:r>
    </w:p>
    <w:p w14:paraId="3DFAAE35" w14:textId="77777777" w:rsidR="009174D7" w:rsidRDefault="009174D7" w:rsidP="009174D7">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14:paraId="54FA04C3" w14:textId="77777777" w:rsidR="009174D7" w:rsidRDefault="009174D7" w:rsidP="009174D7">
      <w:pPr>
        <w:tabs>
          <w:tab w:val="left" w:pos="2440"/>
        </w:tabs>
        <w:ind w:left="851"/>
        <w:rPr>
          <w:sz w:val="24"/>
          <w:szCs w:val="24"/>
        </w:rPr>
      </w:pPr>
    </w:p>
    <w:p w14:paraId="1695A10E" w14:textId="77777777" w:rsidR="009174D7" w:rsidRDefault="009174D7" w:rsidP="009174D7">
      <w:pPr>
        <w:ind w:left="851"/>
        <w:rPr>
          <w:sz w:val="24"/>
          <w:szCs w:val="24"/>
        </w:rPr>
      </w:pPr>
      <w:r>
        <w:rPr>
          <w:sz w:val="24"/>
          <w:szCs w:val="24"/>
        </w:rPr>
        <w:t>Lægemiddelstyrelsen</w:t>
      </w:r>
    </w:p>
    <w:p w14:paraId="0550655D" w14:textId="77777777" w:rsidR="009174D7" w:rsidRDefault="009174D7" w:rsidP="009174D7">
      <w:pPr>
        <w:ind w:left="851"/>
        <w:rPr>
          <w:sz w:val="24"/>
          <w:szCs w:val="24"/>
        </w:rPr>
      </w:pPr>
      <w:r>
        <w:rPr>
          <w:sz w:val="24"/>
          <w:szCs w:val="24"/>
        </w:rPr>
        <w:t>Axel Heides Gade 1</w:t>
      </w:r>
    </w:p>
    <w:p w14:paraId="784D5B00" w14:textId="77777777" w:rsidR="009174D7" w:rsidRDefault="009174D7" w:rsidP="009174D7">
      <w:pPr>
        <w:ind w:left="851"/>
        <w:rPr>
          <w:sz w:val="24"/>
          <w:szCs w:val="24"/>
        </w:rPr>
      </w:pPr>
      <w:r>
        <w:rPr>
          <w:sz w:val="24"/>
          <w:szCs w:val="24"/>
        </w:rPr>
        <w:t>DK-2300 København S</w:t>
      </w:r>
    </w:p>
    <w:p w14:paraId="4AA9145F" w14:textId="77777777" w:rsidR="009174D7" w:rsidRDefault="009174D7" w:rsidP="009174D7">
      <w:pPr>
        <w:ind w:left="851"/>
        <w:rPr>
          <w:sz w:val="24"/>
          <w:szCs w:val="24"/>
        </w:rPr>
      </w:pPr>
      <w:r>
        <w:rPr>
          <w:sz w:val="24"/>
          <w:szCs w:val="24"/>
        </w:rPr>
        <w:t xml:space="preserve">Websted: </w:t>
      </w:r>
      <w:hyperlink r:id="rId8" w:history="1">
        <w:r>
          <w:rPr>
            <w:rStyle w:val="Hyperlink"/>
            <w:sz w:val="24"/>
            <w:szCs w:val="24"/>
          </w:rPr>
          <w:t>www.meldenbivirkning.dk</w:t>
        </w:r>
      </w:hyperlink>
    </w:p>
    <w:p w14:paraId="79FFB2FC" w14:textId="77777777" w:rsidR="009260DE" w:rsidRPr="001A4093" w:rsidRDefault="009260DE" w:rsidP="00A35C84">
      <w:pPr>
        <w:ind w:left="851"/>
        <w:rPr>
          <w:sz w:val="24"/>
          <w:szCs w:val="24"/>
        </w:rPr>
      </w:pPr>
    </w:p>
    <w:p w14:paraId="61826C53" w14:textId="77777777" w:rsidR="009260DE" w:rsidRPr="001A4093" w:rsidRDefault="009260DE" w:rsidP="009260DE">
      <w:pPr>
        <w:tabs>
          <w:tab w:val="left" w:pos="851"/>
        </w:tabs>
        <w:ind w:left="851" w:hanging="851"/>
        <w:rPr>
          <w:b/>
          <w:sz w:val="24"/>
          <w:szCs w:val="24"/>
        </w:rPr>
      </w:pPr>
      <w:r w:rsidRPr="001A4093">
        <w:rPr>
          <w:b/>
          <w:sz w:val="24"/>
          <w:szCs w:val="24"/>
        </w:rPr>
        <w:t>4.9</w:t>
      </w:r>
      <w:r w:rsidRPr="001A4093">
        <w:rPr>
          <w:b/>
          <w:sz w:val="24"/>
          <w:szCs w:val="24"/>
        </w:rPr>
        <w:tab/>
        <w:t>Overdosering</w:t>
      </w:r>
    </w:p>
    <w:p w14:paraId="01A3CB57" w14:textId="77777777" w:rsidR="008B797B" w:rsidRPr="001A4093" w:rsidRDefault="008B797B" w:rsidP="00A35C84">
      <w:pPr>
        <w:ind w:left="851"/>
        <w:rPr>
          <w:sz w:val="24"/>
          <w:szCs w:val="24"/>
          <w:lang w:eastAsia="el-GR"/>
        </w:rPr>
      </w:pPr>
      <w:r w:rsidRPr="001A4093">
        <w:rPr>
          <w:sz w:val="24"/>
          <w:szCs w:val="24"/>
          <w:lang w:bidi="da-DK"/>
        </w:rPr>
        <w:t>Der er ikke rapporteret om tilfælde af overdosering. Toksiciteten forventes at være lav.</w:t>
      </w:r>
    </w:p>
    <w:p w14:paraId="03BC77E4" w14:textId="537F66A3" w:rsidR="008B797B" w:rsidRPr="001A4093" w:rsidRDefault="008B797B" w:rsidP="00A35C84">
      <w:pPr>
        <w:ind w:left="851"/>
        <w:rPr>
          <w:sz w:val="24"/>
          <w:szCs w:val="24"/>
          <w:lang w:bidi="da-DK"/>
        </w:rPr>
      </w:pPr>
      <w:r w:rsidRPr="001A4093">
        <w:rPr>
          <w:sz w:val="24"/>
          <w:szCs w:val="24"/>
          <w:lang w:bidi="da-DK"/>
        </w:rPr>
        <w:t xml:space="preserve">Behandling: Symptomatisk behandling hvis dette er nødvendigt. På grund af den lille mængde aluminium, der absorberes ved oral indtagelse af </w:t>
      </w:r>
      <w:proofErr w:type="spellStart"/>
      <w:r w:rsidRPr="001A4093">
        <w:rPr>
          <w:sz w:val="24"/>
          <w:szCs w:val="24"/>
          <w:lang w:bidi="da-DK"/>
        </w:rPr>
        <w:t>sucralfat</w:t>
      </w:r>
      <w:proofErr w:type="spellEnd"/>
      <w:r w:rsidRPr="001A4093">
        <w:rPr>
          <w:sz w:val="24"/>
          <w:szCs w:val="24"/>
          <w:lang w:bidi="da-DK"/>
        </w:rPr>
        <w:t xml:space="preserve">, kan det forårsage akkumulering af aluminium og toksicitet hos patienter med kronisk nyresygdom og hos dialysepatienter. Passende overvågning og behandling bør gives til patienter med risiko for aluminiumstoksicitet. </w:t>
      </w:r>
    </w:p>
    <w:p w14:paraId="70500A8B" w14:textId="77777777" w:rsidR="008B797B" w:rsidRPr="001A4093" w:rsidRDefault="008B797B" w:rsidP="00A35C84">
      <w:pPr>
        <w:ind w:left="851"/>
        <w:rPr>
          <w:sz w:val="24"/>
          <w:szCs w:val="24"/>
          <w:lang w:eastAsia="el-GR"/>
        </w:rPr>
      </w:pPr>
      <w:r w:rsidRPr="001A4093">
        <w:rPr>
          <w:sz w:val="24"/>
          <w:szCs w:val="24"/>
          <w:lang w:bidi="da-DK"/>
        </w:rPr>
        <w:t xml:space="preserve">I et forsøg, hvor raske mænd blev overdoseret med </w:t>
      </w:r>
      <w:proofErr w:type="spellStart"/>
      <w:r w:rsidRPr="001A4093">
        <w:rPr>
          <w:sz w:val="24"/>
          <w:szCs w:val="24"/>
          <w:lang w:bidi="da-DK"/>
        </w:rPr>
        <w:t>sucralfat</w:t>
      </w:r>
      <w:proofErr w:type="spellEnd"/>
      <w:r w:rsidRPr="001A4093">
        <w:rPr>
          <w:sz w:val="24"/>
          <w:szCs w:val="24"/>
          <w:lang w:bidi="da-DK"/>
        </w:rPr>
        <w:t xml:space="preserve"> i op til 4 uger, blev der kun rapporteret om få bivirkninger i form af mavesmerter, kvalme og opkastninger.</w:t>
      </w:r>
    </w:p>
    <w:p w14:paraId="23499CB4" w14:textId="77777777" w:rsidR="009260DE" w:rsidRPr="001A4093" w:rsidRDefault="009260DE" w:rsidP="009260DE">
      <w:pPr>
        <w:tabs>
          <w:tab w:val="left" w:pos="851"/>
        </w:tabs>
        <w:ind w:left="851"/>
        <w:rPr>
          <w:sz w:val="24"/>
          <w:szCs w:val="24"/>
        </w:rPr>
      </w:pPr>
    </w:p>
    <w:p w14:paraId="5A0D6C7F" w14:textId="77777777" w:rsidR="009260DE" w:rsidRPr="001A4093" w:rsidRDefault="009260DE" w:rsidP="009260DE">
      <w:pPr>
        <w:tabs>
          <w:tab w:val="left" w:pos="851"/>
        </w:tabs>
        <w:ind w:left="851" w:hanging="851"/>
        <w:rPr>
          <w:b/>
          <w:sz w:val="24"/>
          <w:szCs w:val="24"/>
        </w:rPr>
      </w:pPr>
      <w:r w:rsidRPr="001A4093">
        <w:rPr>
          <w:b/>
          <w:sz w:val="24"/>
          <w:szCs w:val="24"/>
        </w:rPr>
        <w:t>4.10</w:t>
      </w:r>
      <w:r w:rsidRPr="001A4093">
        <w:rPr>
          <w:b/>
          <w:sz w:val="24"/>
          <w:szCs w:val="24"/>
        </w:rPr>
        <w:tab/>
        <w:t>Udlevering</w:t>
      </w:r>
    </w:p>
    <w:p w14:paraId="50082C70" w14:textId="2E378158" w:rsidR="009260DE" w:rsidRPr="001A4093" w:rsidRDefault="00A35C84" w:rsidP="009260DE">
      <w:pPr>
        <w:tabs>
          <w:tab w:val="left" w:pos="851"/>
        </w:tabs>
        <w:ind w:left="851"/>
        <w:rPr>
          <w:sz w:val="24"/>
          <w:szCs w:val="24"/>
        </w:rPr>
      </w:pPr>
      <w:r w:rsidRPr="001A4093">
        <w:rPr>
          <w:sz w:val="24"/>
          <w:szCs w:val="24"/>
        </w:rPr>
        <w:t>HF</w:t>
      </w:r>
    </w:p>
    <w:p w14:paraId="649D9888" w14:textId="77777777" w:rsidR="009260DE" w:rsidRPr="001A4093" w:rsidRDefault="009260DE" w:rsidP="009260DE">
      <w:pPr>
        <w:tabs>
          <w:tab w:val="left" w:pos="851"/>
        </w:tabs>
        <w:ind w:left="851"/>
        <w:rPr>
          <w:sz w:val="24"/>
          <w:szCs w:val="24"/>
        </w:rPr>
      </w:pPr>
    </w:p>
    <w:p w14:paraId="0CF17D10" w14:textId="77777777" w:rsidR="009260DE" w:rsidRPr="001A4093" w:rsidRDefault="009260DE" w:rsidP="009260DE">
      <w:pPr>
        <w:tabs>
          <w:tab w:val="left" w:pos="851"/>
        </w:tabs>
        <w:ind w:left="851"/>
        <w:rPr>
          <w:sz w:val="24"/>
          <w:szCs w:val="24"/>
        </w:rPr>
      </w:pPr>
    </w:p>
    <w:p w14:paraId="2757989E" w14:textId="77777777" w:rsidR="009260DE" w:rsidRPr="001A4093" w:rsidRDefault="009260DE" w:rsidP="009260DE">
      <w:pPr>
        <w:tabs>
          <w:tab w:val="left" w:pos="851"/>
        </w:tabs>
        <w:ind w:left="851" w:hanging="851"/>
        <w:rPr>
          <w:b/>
          <w:sz w:val="24"/>
          <w:szCs w:val="24"/>
        </w:rPr>
      </w:pPr>
      <w:r w:rsidRPr="001A4093">
        <w:rPr>
          <w:b/>
          <w:sz w:val="24"/>
          <w:szCs w:val="24"/>
        </w:rPr>
        <w:t>5.</w:t>
      </w:r>
      <w:r w:rsidRPr="001A4093">
        <w:rPr>
          <w:b/>
          <w:sz w:val="24"/>
          <w:szCs w:val="24"/>
        </w:rPr>
        <w:tab/>
        <w:t>FARMAKOLOGISKE EGENSKABER</w:t>
      </w:r>
    </w:p>
    <w:p w14:paraId="6686BC03" w14:textId="77777777" w:rsidR="009260DE" w:rsidRPr="001A4093" w:rsidRDefault="009260DE" w:rsidP="009260DE">
      <w:pPr>
        <w:tabs>
          <w:tab w:val="left" w:pos="851"/>
        </w:tabs>
        <w:ind w:left="851"/>
        <w:rPr>
          <w:sz w:val="24"/>
          <w:szCs w:val="24"/>
        </w:rPr>
      </w:pPr>
    </w:p>
    <w:p w14:paraId="59E7BE64" w14:textId="77777777" w:rsidR="009260DE" w:rsidRPr="001A4093" w:rsidRDefault="009260DE" w:rsidP="009260DE">
      <w:pPr>
        <w:tabs>
          <w:tab w:val="num" w:pos="851"/>
        </w:tabs>
        <w:ind w:left="851" w:hanging="851"/>
        <w:rPr>
          <w:b/>
          <w:sz w:val="24"/>
          <w:szCs w:val="24"/>
        </w:rPr>
      </w:pPr>
      <w:r w:rsidRPr="001A4093">
        <w:rPr>
          <w:b/>
          <w:sz w:val="24"/>
          <w:szCs w:val="24"/>
        </w:rPr>
        <w:t>5.1</w:t>
      </w:r>
      <w:r w:rsidRPr="001A4093">
        <w:rPr>
          <w:b/>
          <w:sz w:val="24"/>
          <w:szCs w:val="24"/>
        </w:rPr>
        <w:tab/>
      </w:r>
      <w:proofErr w:type="spellStart"/>
      <w:r w:rsidRPr="001A4093">
        <w:rPr>
          <w:b/>
          <w:sz w:val="24"/>
          <w:szCs w:val="24"/>
        </w:rPr>
        <w:t>Farmakodynamiske</w:t>
      </w:r>
      <w:proofErr w:type="spellEnd"/>
      <w:r w:rsidRPr="001A4093">
        <w:rPr>
          <w:b/>
          <w:sz w:val="24"/>
          <w:szCs w:val="24"/>
        </w:rPr>
        <w:t xml:space="preserve"> egenskaber</w:t>
      </w:r>
    </w:p>
    <w:p w14:paraId="383FB8C5" w14:textId="77777777" w:rsidR="008B797B" w:rsidRPr="001A4093" w:rsidRDefault="008B797B" w:rsidP="00A35C84">
      <w:pPr>
        <w:ind w:left="851"/>
        <w:rPr>
          <w:sz w:val="24"/>
          <w:szCs w:val="24"/>
          <w:lang w:eastAsia="el-GR"/>
        </w:rPr>
      </w:pPr>
      <w:proofErr w:type="spellStart"/>
      <w:r w:rsidRPr="001A4093">
        <w:rPr>
          <w:sz w:val="24"/>
          <w:szCs w:val="24"/>
          <w:lang w:bidi="da-DK"/>
        </w:rPr>
        <w:t>Farmakoterapeutisk</w:t>
      </w:r>
      <w:proofErr w:type="spellEnd"/>
      <w:r w:rsidRPr="001A4093">
        <w:rPr>
          <w:sz w:val="24"/>
          <w:szCs w:val="24"/>
          <w:lang w:bidi="da-DK"/>
        </w:rPr>
        <w:t xml:space="preserve"> klassifikation: Andre midler mod mavesår og </w:t>
      </w:r>
      <w:proofErr w:type="spellStart"/>
      <w:r w:rsidRPr="001A4093">
        <w:rPr>
          <w:sz w:val="24"/>
          <w:szCs w:val="24"/>
          <w:lang w:bidi="da-DK"/>
        </w:rPr>
        <w:t>gastroøsofageal</w:t>
      </w:r>
      <w:proofErr w:type="spellEnd"/>
      <w:r w:rsidRPr="001A4093">
        <w:rPr>
          <w:sz w:val="24"/>
          <w:szCs w:val="24"/>
          <w:lang w:bidi="da-DK"/>
        </w:rPr>
        <w:t xml:space="preserve"> </w:t>
      </w:r>
      <w:proofErr w:type="spellStart"/>
      <w:r w:rsidRPr="001A4093">
        <w:rPr>
          <w:sz w:val="24"/>
          <w:szCs w:val="24"/>
          <w:lang w:bidi="da-DK"/>
        </w:rPr>
        <w:t>refluks</w:t>
      </w:r>
      <w:proofErr w:type="spellEnd"/>
      <w:r w:rsidRPr="001A4093">
        <w:rPr>
          <w:sz w:val="24"/>
          <w:szCs w:val="24"/>
          <w:lang w:bidi="da-DK"/>
        </w:rPr>
        <w:t>, ATC-kode: A02BX02.</w:t>
      </w:r>
    </w:p>
    <w:p w14:paraId="7FA020D9" w14:textId="77777777" w:rsidR="008B797B" w:rsidRPr="001A4093" w:rsidRDefault="008B797B" w:rsidP="00A35C84">
      <w:pPr>
        <w:ind w:left="851"/>
        <w:rPr>
          <w:spacing w:val="-3"/>
          <w:sz w:val="24"/>
          <w:szCs w:val="24"/>
          <w:lang w:eastAsia="da-DK" w:bidi="en-US"/>
        </w:rPr>
      </w:pPr>
    </w:p>
    <w:p w14:paraId="3D192961" w14:textId="77777777" w:rsidR="008B797B" w:rsidRPr="001A4093" w:rsidRDefault="008B797B" w:rsidP="00A35C84">
      <w:pPr>
        <w:ind w:left="851"/>
        <w:rPr>
          <w:spacing w:val="-3"/>
          <w:sz w:val="24"/>
          <w:szCs w:val="24"/>
          <w:lang w:eastAsia="da-DK"/>
        </w:rPr>
      </w:pPr>
      <w:proofErr w:type="spellStart"/>
      <w:r w:rsidRPr="001A4093">
        <w:rPr>
          <w:spacing w:val="-3"/>
          <w:sz w:val="24"/>
          <w:szCs w:val="24"/>
          <w:lang w:bidi="da-DK"/>
        </w:rPr>
        <w:t>Sucralfat</w:t>
      </w:r>
      <w:proofErr w:type="spellEnd"/>
      <w:r w:rsidRPr="001A4093">
        <w:rPr>
          <w:spacing w:val="-3"/>
          <w:sz w:val="24"/>
          <w:szCs w:val="24"/>
          <w:lang w:bidi="da-DK"/>
        </w:rPr>
        <w:t xml:space="preserve"> er et aluminiumsalt af </w:t>
      </w:r>
      <w:proofErr w:type="spellStart"/>
      <w:r w:rsidRPr="001A4093">
        <w:rPr>
          <w:spacing w:val="-3"/>
          <w:sz w:val="24"/>
          <w:szCs w:val="24"/>
          <w:lang w:bidi="da-DK"/>
        </w:rPr>
        <w:t>saccharoseoctasulfat</w:t>
      </w:r>
      <w:proofErr w:type="spellEnd"/>
      <w:r w:rsidRPr="001A4093">
        <w:rPr>
          <w:spacing w:val="-3"/>
          <w:sz w:val="24"/>
          <w:szCs w:val="24"/>
          <w:lang w:bidi="da-DK"/>
        </w:rPr>
        <w:t>. Dets virkning er sandsynligvis baseret på dets evne til at danne en beskyttende membran hen over den beskadigede slimhinde.</w:t>
      </w:r>
    </w:p>
    <w:p w14:paraId="09555485" w14:textId="77777777" w:rsidR="008B797B" w:rsidRPr="001A4093" w:rsidRDefault="008B797B" w:rsidP="00A35C84">
      <w:pPr>
        <w:ind w:left="851"/>
        <w:rPr>
          <w:spacing w:val="-3"/>
          <w:sz w:val="24"/>
          <w:szCs w:val="24"/>
          <w:lang w:eastAsia="da-DK"/>
        </w:rPr>
      </w:pPr>
    </w:p>
    <w:p w14:paraId="29982379" w14:textId="4567B960" w:rsidR="008B797B" w:rsidRPr="001A4093" w:rsidRDefault="008B797B" w:rsidP="00A35C84">
      <w:pPr>
        <w:ind w:left="851"/>
        <w:rPr>
          <w:spacing w:val="-3"/>
          <w:sz w:val="24"/>
          <w:szCs w:val="24"/>
          <w:lang w:eastAsia="da-DK"/>
        </w:rPr>
      </w:pPr>
      <w:proofErr w:type="spellStart"/>
      <w:r w:rsidRPr="001A4093">
        <w:rPr>
          <w:spacing w:val="-3"/>
          <w:sz w:val="24"/>
          <w:szCs w:val="24"/>
          <w:lang w:bidi="da-DK"/>
        </w:rPr>
        <w:t>Sucralfat</w:t>
      </w:r>
      <w:proofErr w:type="spellEnd"/>
      <w:r w:rsidRPr="001A4093">
        <w:rPr>
          <w:spacing w:val="-3"/>
          <w:sz w:val="24"/>
          <w:szCs w:val="24"/>
          <w:lang w:bidi="da-DK"/>
        </w:rPr>
        <w:t xml:space="preserve"> aktiveres af det sure miljø til negativt ladet </w:t>
      </w:r>
      <w:proofErr w:type="spellStart"/>
      <w:r w:rsidRPr="001A4093">
        <w:rPr>
          <w:spacing w:val="-3"/>
          <w:sz w:val="24"/>
          <w:szCs w:val="24"/>
          <w:lang w:bidi="da-DK"/>
        </w:rPr>
        <w:t>saccharoseoctasulfat</w:t>
      </w:r>
      <w:proofErr w:type="spellEnd"/>
      <w:r w:rsidRPr="001A4093">
        <w:rPr>
          <w:spacing w:val="-3"/>
          <w:sz w:val="24"/>
          <w:szCs w:val="24"/>
          <w:lang w:bidi="da-DK"/>
        </w:rPr>
        <w:t>, som adhærerer specifikt til de positivt ladede proteiner i ulcus. Den dannede salveagtige beskyttelses</w:t>
      </w:r>
      <w:r w:rsidR="001D0A5E">
        <w:rPr>
          <w:spacing w:val="-3"/>
          <w:sz w:val="24"/>
          <w:szCs w:val="24"/>
          <w:lang w:bidi="da-DK"/>
        </w:rPr>
        <w:softHyphen/>
      </w:r>
      <w:r w:rsidRPr="001A4093">
        <w:rPr>
          <w:spacing w:val="-3"/>
          <w:sz w:val="24"/>
          <w:szCs w:val="24"/>
          <w:lang w:bidi="da-DK"/>
        </w:rPr>
        <w:t>membran reducerer enhver form for påvirkning af pepsin, salte og galdesyrer på ulcus.</w:t>
      </w:r>
    </w:p>
    <w:p w14:paraId="4C95926D" w14:textId="77777777" w:rsidR="008B797B" w:rsidRPr="001A4093" w:rsidRDefault="008B797B" w:rsidP="00A35C84">
      <w:pPr>
        <w:ind w:left="851"/>
        <w:rPr>
          <w:spacing w:val="-3"/>
          <w:sz w:val="24"/>
          <w:szCs w:val="24"/>
          <w:lang w:eastAsia="da-DK"/>
        </w:rPr>
      </w:pPr>
    </w:p>
    <w:p w14:paraId="211F45A7" w14:textId="77777777" w:rsidR="008B797B" w:rsidRPr="001A4093" w:rsidRDefault="008B797B" w:rsidP="00A35C84">
      <w:pPr>
        <w:ind w:left="851"/>
        <w:rPr>
          <w:spacing w:val="-3"/>
          <w:sz w:val="24"/>
          <w:szCs w:val="24"/>
          <w:lang w:eastAsia="da-DK"/>
        </w:rPr>
      </w:pPr>
      <w:proofErr w:type="spellStart"/>
      <w:r w:rsidRPr="001A4093">
        <w:rPr>
          <w:spacing w:val="-3"/>
          <w:sz w:val="24"/>
          <w:szCs w:val="24"/>
          <w:lang w:bidi="da-DK"/>
        </w:rPr>
        <w:t>Sucralfat</w:t>
      </w:r>
      <w:proofErr w:type="spellEnd"/>
      <w:r w:rsidRPr="001A4093">
        <w:rPr>
          <w:spacing w:val="-3"/>
          <w:sz w:val="24"/>
          <w:szCs w:val="24"/>
          <w:lang w:bidi="da-DK"/>
        </w:rPr>
        <w:t xml:space="preserve"> reducerer aktiviteten af pepsin og </w:t>
      </w:r>
      <w:proofErr w:type="spellStart"/>
      <w:r w:rsidRPr="001A4093">
        <w:rPr>
          <w:spacing w:val="-3"/>
          <w:sz w:val="24"/>
          <w:szCs w:val="24"/>
          <w:lang w:bidi="da-DK"/>
        </w:rPr>
        <w:t>galdesyre</w:t>
      </w:r>
      <w:proofErr w:type="spellEnd"/>
      <w:r w:rsidRPr="001A4093">
        <w:rPr>
          <w:spacing w:val="-3"/>
          <w:sz w:val="24"/>
          <w:szCs w:val="24"/>
          <w:lang w:bidi="da-DK"/>
        </w:rPr>
        <w:t>.</w:t>
      </w:r>
    </w:p>
    <w:p w14:paraId="47BFDA47" w14:textId="77777777" w:rsidR="008B797B" w:rsidRPr="001A4093" w:rsidRDefault="008B797B" w:rsidP="00A35C84">
      <w:pPr>
        <w:ind w:left="851"/>
        <w:rPr>
          <w:spacing w:val="-3"/>
          <w:sz w:val="24"/>
          <w:szCs w:val="24"/>
          <w:lang w:eastAsia="da-DK"/>
        </w:rPr>
      </w:pPr>
    </w:p>
    <w:p w14:paraId="2625C1FE" w14:textId="77777777" w:rsidR="008B797B" w:rsidRPr="001A4093" w:rsidRDefault="008B797B" w:rsidP="00A35C84">
      <w:pPr>
        <w:ind w:left="851"/>
        <w:rPr>
          <w:spacing w:val="-3"/>
          <w:sz w:val="24"/>
          <w:szCs w:val="24"/>
          <w:lang w:eastAsia="da-DK"/>
        </w:rPr>
      </w:pPr>
      <w:proofErr w:type="spellStart"/>
      <w:r w:rsidRPr="001A4093">
        <w:rPr>
          <w:spacing w:val="-3"/>
          <w:sz w:val="24"/>
          <w:szCs w:val="24"/>
          <w:lang w:bidi="da-DK"/>
        </w:rPr>
        <w:t>Sucralfat</w:t>
      </w:r>
      <w:proofErr w:type="spellEnd"/>
      <w:r w:rsidRPr="001A4093">
        <w:rPr>
          <w:spacing w:val="-3"/>
          <w:sz w:val="24"/>
          <w:szCs w:val="24"/>
          <w:lang w:bidi="da-DK"/>
        </w:rPr>
        <w:t xml:space="preserve"> reducerer ikke mavesyresekretionen eller den </w:t>
      </w:r>
      <w:proofErr w:type="spellStart"/>
      <w:r w:rsidRPr="001A4093">
        <w:rPr>
          <w:spacing w:val="-3"/>
          <w:sz w:val="24"/>
          <w:szCs w:val="24"/>
          <w:lang w:bidi="da-DK"/>
        </w:rPr>
        <w:t>luminale</w:t>
      </w:r>
      <w:proofErr w:type="spellEnd"/>
      <w:r w:rsidRPr="001A4093">
        <w:rPr>
          <w:spacing w:val="-3"/>
          <w:sz w:val="24"/>
          <w:szCs w:val="24"/>
          <w:lang w:bidi="da-DK"/>
        </w:rPr>
        <w:t xml:space="preserve"> surhedsgrad, men kan reducere surhedsgraden lokalt i ulcus og derved forstærke effekten af den beskyttende membran.</w:t>
      </w:r>
    </w:p>
    <w:p w14:paraId="118FEBD7" w14:textId="77777777" w:rsidR="008B797B" w:rsidRPr="001A4093" w:rsidRDefault="008B797B" w:rsidP="00A35C84">
      <w:pPr>
        <w:ind w:left="851"/>
        <w:rPr>
          <w:spacing w:val="-3"/>
          <w:sz w:val="24"/>
          <w:szCs w:val="24"/>
          <w:lang w:eastAsia="da-DK"/>
        </w:rPr>
      </w:pPr>
    </w:p>
    <w:p w14:paraId="59576448" w14:textId="77777777" w:rsidR="008B797B" w:rsidRPr="001A4093" w:rsidRDefault="008B797B" w:rsidP="00A35C84">
      <w:pPr>
        <w:ind w:left="851"/>
        <w:rPr>
          <w:spacing w:val="-3"/>
          <w:sz w:val="24"/>
          <w:szCs w:val="24"/>
          <w:lang w:eastAsia="da-DK"/>
        </w:rPr>
      </w:pPr>
      <w:proofErr w:type="spellStart"/>
      <w:r w:rsidRPr="001A4093">
        <w:rPr>
          <w:spacing w:val="-3"/>
          <w:sz w:val="24"/>
          <w:szCs w:val="24"/>
          <w:lang w:bidi="da-DK"/>
        </w:rPr>
        <w:t>Sucralfat</w:t>
      </w:r>
      <w:proofErr w:type="spellEnd"/>
      <w:r w:rsidRPr="001A4093">
        <w:rPr>
          <w:spacing w:val="-3"/>
          <w:sz w:val="24"/>
          <w:szCs w:val="24"/>
          <w:lang w:bidi="da-DK"/>
        </w:rPr>
        <w:t xml:space="preserve"> forstærker nogle af de interne beskyttelsesmekanismer i den </w:t>
      </w:r>
      <w:proofErr w:type="spellStart"/>
      <w:r w:rsidRPr="001A4093">
        <w:rPr>
          <w:spacing w:val="-3"/>
          <w:sz w:val="24"/>
          <w:szCs w:val="24"/>
          <w:lang w:bidi="da-DK"/>
        </w:rPr>
        <w:t>gastrointestinale</w:t>
      </w:r>
      <w:proofErr w:type="spellEnd"/>
      <w:r w:rsidRPr="001A4093">
        <w:rPr>
          <w:spacing w:val="-3"/>
          <w:sz w:val="24"/>
          <w:szCs w:val="24"/>
          <w:lang w:bidi="da-DK"/>
        </w:rPr>
        <w:t xml:space="preserve"> slimhinde, hvilket til dels kan forklare den terapeutiske effekt. </w:t>
      </w:r>
      <w:proofErr w:type="spellStart"/>
      <w:r w:rsidRPr="001A4093">
        <w:rPr>
          <w:spacing w:val="-3"/>
          <w:sz w:val="24"/>
          <w:szCs w:val="24"/>
          <w:lang w:bidi="da-DK"/>
        </w:rPr>
        <w:t>Sucralfat</w:t>
      </w:r>
      <w:proofErr w:type="spellEnd"/>
      <w:r w:rsidRPr="001A4093">
        <w:rPr>
          <w:spacing w:val="-3"/>
          <w:sz w:val="24"/>
          <w:szCs w:val="24"/>
          <w:lang w:bidi="da-DK"/>
        </w:rPr>
        <w:t xml:space="preserve"> kan medføre en midlertidig hæmning af </w:t>
      </w:r>
      <w:proofErr w:type="spellStart"/>
      <w:r w:rsidRPr="001A4093">
        <w:rPr>
          <w:i/>
          <w:spacing w:val="-3"/>
          <w:sz w:val="24"/>
          <w:szCs w:val="24"/>
          <w:lang w:bidi="da-DK"/>
        </w:rPr>
        <w:t>Helicobacter</w:t>
      </w:r>
      <w:proofErr w:type="spellEnd"/>
      <w:r w:rsidRPr="001A4093">
        <w:rPr>
          <w:i/>
          <w:spacing w:val="-3"/>
          <w:sz w:val="24"/>
          <w:szCs w:val="24"/>
          <w:lang w:bidi="da-DK"/>
        </w:rPr>
        <w:t xml:space="preserve"> </w:t>
      </w:r>
      <w:proofErr w:type="spellStart"/>
      <w:r w:rsidRPr="001A4093">
        <w:rPr>
          <w:i/>
          <w:spacing w:val="-3"/>
          <w:sz w:val="24"/>
          <w:szCs w:val="24"/>
          <w:lang w:bidi="da-DK"/>
        </w:rPr>
        <w:t>pylori</w:t>
      </w:r>
      <w:proofErr w:type="spellEnd"/>
      <w:r w:rsidRPr="001A4093">
        <w:rPr>
          <w:spacing w:val="-3"/>
          <w:sz w:val="24"/>
          <w:szCs w:val="24"/>
          <w:lang w:bidi="da-DK"/>
        </w:rPr>
        <w:t xml:space="preserve"> i maveslimhinden, men det kan ikke hele en infektion, der er forårsaget af </w:t>
      </w:r>
      <w:proofErr w:type="spellStart"/>
      <w:r w:rsidRPr="001A4093">
        <w:rPr>
          <w:i/>
          <w:spacing w:val="-3"/>
          <w:sz w:val="24"/>
          <w:szCs w:val="24"/>
          <w:lang w:bidi="da-DK"/>
        </w:rPr>
        <w:t>Helicobacter</w:t>
      </w:r>
      <w:proofErr w:type="spellEnd"/>
      <w:r w:rsidRPr="001A4093">
        <w:rPr>
          <w:i/>
          <w:spacing w:val="-3"/>
          <w:sz w:val="24"/>
          <w:szCs w:val="24"/>
          <w:lang w:bidi="da-DK"/>
        </w:rPr>
        <w:t xml:space="preserve"> </w:t>
      </w:r>
      <w:proofErr w:type="spellStart"/>
      <w:r w:rsidRPr="001A4093">
        <w:rPr>
          <w:i/>
          <w:spacing w:val="-3"/>
          <w:sz w:val="24"/>
          <w:szCs w:val="24"/>
          <w:lang w:bidi="da-DK"/>
        </w:rPr>
        <w:t>pylori</w:t>
      </w:r>
      <w:proofErr w:type="spellEnd"/>
      <w:r w:rsidRPr="001A4093">
        <w:rPr>
          <w:spacing w:val="-3"/>
          <w:sz w:val="24"/>
          <w:szCs w:val="24"/>
          <w:lang w:bidi="da-DK"/>
        </w:rPr>
        <w:t>.</w:t>
      </w:r>
    </w:p>
    <w:p w14:paraId="08AEFB72" w14:textId="77777777" w:rsidR="008B797B" w:rsidRPr="001A4093" w:rsidRDefault="008B797B" w:rsidP="00A35C84">
      <w:pPr>
        <w:ind w:left="851"/>
        <w:rPr>
          <w:spacing w:val="-3"/>
          <w:sz w:val="24"/>
          <w:szCs w:val="24"/>
          <w:lang w:eastAsia="da-DK"/>
        </w:rPr>
      </w:pPr>
    </w:p>
    <w:p w14:paraId="3BF0FD5C" w14:textId="59916B28" w:rsidR="008B797B" w:rsidRPr="001A4093" w:rsidRDefault="008B797B" w:rsidP="00A35C84">
      <w:pPr>
        <w:ind w:left="851"/>
        <w:rPr>
          <w:spacing w:val="-3"/>
          <w:sz w:val="24"/>
          <w:szCs w:val="24"/>
          <w:lang w:eastAsia="da-DK"/>
        </w:rPr>
      </w:pPr>
      <w:r w:rsidRPr="001A4093">
        <w:rPr>
          <w:spacing w:val="-3"/>
          <w:sz w:val="24"/>
          <w:szCs w:val="24"/>
          <w:lang w:bidi="da-DK"/>
        </w:rPr>
        <w:t xml:space="preserve">Når </w:t>
      </w:r>
      <w:proofErr w:type="spellStart"/>
      <w:r w:rsidRPr="001A4093">
        <w:rPr>
          <w:spacing w:val="-3"/>
          <w:sz w:val="24"/>
          <w:szCs w:val="24"/>
          <w:lang w:bidi="da-DK"/>
        </w:rPr>
        <w:t>sucralfat</w:t>
      </w:r>
      <w:proofErr w:type="spellEnd"/>
      <w:r w:rsidRPr="001A4093">
        <w:rPr>
          <w:spacing w:val="-3"/>
          <w:sz w:val="24"/>
          <w:szCs w:val="24"/>
          <w:lang w:bidi="da-DK"/>
        </w:rPr>
        <w:t xml:space="preserve"> aktiveres i sure miljøer, frigiver 1 </w:t>
      </w:r>
      <w:proofErr w:type="spellStart"/>
      <w:r w:rsidRPr="001A4093">
        <w:rPr>
          <w:spacing w:val="-3"/>
          <w:sz w:val="24"/>
          <w:szCs w:val="24"/>
          <w:lang w:bidi="da-DK"/>
        </w:rPr>
        <w:t>sucralfatmolekyle</w:t>
      </w:r>
      <w:proofErr w:type="spellEnd"/>
      <w:r w:rsidRPr="001A4093">
        <w:rPr>
          <w:spacing w:val="-3"/>
          <w:sz w:val="24"/>
          <w:szCs w:val="24"/>
          <w:lang w:bidi="da-DK"/>
        </w:rPr>
        <w:t xml:space="preserve"> 8 aluminiumhydroxid</w:t>
      </w:r>
      <w:r w:rsidR="009174D7">
        <w:rPr>
          <w:spacing w:val="-3"/>
          <w:sz w:val="24"/>
          <w:szCs w:val="24"/>
          <w:lang w:bidi="da-DK"/>
        </w:rPr>
        <w:softHyphen/>
      </w:r>
      <w:r w:rsidRPr="001A4093">
        <w:rPr>
          <w:spacing w:val="-3"/>
          <w:sz w:val="24"/>
          <w:szCs w:val="24"/>
          <w:lang w:bidi="da-DK"/>
        </w:rPr>
        <w:t xml:space="preserve">molekyler, og trivalente </w:t>
      </w:r>
      <w:proofErr w:type="spellStart"/>
      <w:r w:rsidRPr="001A4093">
        <w:rPr>
          <w:spacing w:val="-3"/>
          <w:sz w:val="24"/>
          <w:szCs w:val="24"/>
          <w:lang w:bidi="da-DK"/>
        </w:rPr>
        <w:t>aluminiumioner</w:t>
      </w:r>
      <w:proofErr w:type="spellEnd"/>
      <w:r w:rsidRPr="001A4093">
        <w:rPr>
          <w:spacing w:val="-3"/>
          <w:sz w:val="24"/>
          <w:szCs w:val="24"/>
          <w:lang w:bidi="da-DK"/>
        </w:rPr>
        <w:t xml:space="preserve"> kan reducere absorptionen af visse lægemidler betydeligt, og små mængder aluminium kan absorberes.</w:t>
      </w:r>
    </w:p>
    <w:p w14:paraId="27348E10" w14:textId="77777777" w:rsidR="008B797B" w:rsidRPr="001A4093" w:rsidRDefault="008B797B" w:rsidP="00A35C84">
      <w:pPr>
        <w:ind w:left="851"/>
        <w:rPr>
          <w:sz w:val="24"/>
          <w:szCs w:val="24"/>
          <w:lang w:eastAsia="da-DK"/>
        </w:rPr>
      </w:pPr>
    </w:p>
    <w:p w14:paraId="263AB4E9" w14:textId="77777777" w:rsidR="008B797B" w:rsidRPr="001A4093" w:rsidRDefault="008B797B" w:rsidP="00A35C84">
      <w:pPr>
        <w:ind w:left="851"/>
        <w:rPr>
          <w:rFonts w:eastAsia="SimSun"/>
          <w:bCs/>
          <w:iCs/>
          <w:color w:val="000000"/>
          <w:sz w:val="24"/>
          <w:szCs w:val="24"/>
          <w:u w:val="single"/>
          <w:lang w:val="sv-SE" w:eastAsia="zh-CN"/>
        </w:rPr>
      </w:pPr>
      <w:r w:rsidRPr="001A4093">
        <w:rPr>
          <w:color w:val="000000"/>
          <w:sz w:val="24"/>
          <w:szCs w:val="24"/>
          <w:u w:val="single"/>
          <w:lang w:bidi="da-DK"/>
        </w:rPr>
        <w:t>Pædiatrisk population</w:t>
      </w:r>
    </w:p>
    <w:p w14:paraId="353B11DB" w14:textId="770E5B3C" w:rsidR="008B797B" w:rsidRPr="001A4093" w:rsidRDefault="008B797B" w:rsidP="00A35C84">
      <w:pPr>
        <w:ind w:left="851"/>
        <w:rPr>
          <w:rFonts w:eastAsia="SimSun"/>
          <w:bCs/>
          <w:iCs/>
          <w:color w:val="000000"/>
          <w:sz w:val="24"/>
          <w:szCs w:val="24"/>
          <w:lang w:val="sv-SE" w:eastAsia="zh-CN"/>
        </w:rPr>
      </w:pPr>
      <w:r w:rsidRPr="001A4093">
        <w:rPr>
          <w:color w:val="000000"/>
          <w:sz w:val="24"/>
          <w:szCs w:val="24"/>
          <w:lang w:bidi="da-DK"/>
        </w:rPr>
        <w:t xml:space="preserve">I litteraturen findes der begrænsede kliniske data vedrørende brugen af </w:t>
      </w:r>
      <w:proofErr w:type="spellStart"/>
      <w:r w:rsidRPr="001A4093">
        <w:rPr>
          <w:color w:val="000000"/>
          <w:sz w:val="24"/>
          <w:szCs w:val="24"/>
          <w:lang w:bidi="da-DK"/>
        </w:rPr>
        <w:t>sucralfat</w:t>
      </w:r>
      <w:proofErr w:type="spellEnd"/>
      <w:r w:rsidRPr="001A4093">
        <w:rPr>
          <w:color w:val="000000"/>
          <w:sz w:val="24"/>
          <w:szCs w:val="24"/>
          <w:lang w:bidi="da-DK"/>
        </w:rPr>
        <w:t xml:space="preserve"> hos børn, hovedsageligt om </w:t>
      </w:r>
      <w:r w:rsidRPr="001A4093">
        <w:rPr>
          <w:color w:val="000000"/>
          <w:spacing w:val="-3"/>
          <w:sz w:val="24"/>
          <w:szCs w:val="24"/>
          <w:lang w:bidi="da-DK"/>
        </w:rPr>
        <w:t xml:space="preserve">forebyggelsen af stressbetinget </w:t>
      </w:r>
      <w:proofErr w:type="spellStart"/>
      <w:r w:rsidRPr="001A4093">
        <w:rPr>
          <w:color w:val="000000"/>
          <w:spacing w:val="-3"/>
          <w:sz w:val="24"/>
          <w:szCs w:val="24"/>
          <w:lang w:bidi="da-DK"/>
        </w:rPr>
        <w:t>ulcera</w:t>
      </w:r>
      <w:proofErr w:type="spellEnd"/>
      <w:r w:rsidRPr="001A4093">
        <w:rPr>
          <w:color w:val="000000"/>
          <w:spacing w:val="-3"/>
          <w:sz w:val="24"/>
          <w:szCs w:val="24"/>
          <w:lang w:bidi="da-DK"/>
        </w:rPr>
        <w:t xml:space="preserve">, </w:t>
      </w:r>
      <w:proofErr w:type="spellStart"/>
      <w:r w:rsidRPr="001A4093">
        <w:rPr>
          <w:color w:val="000000"/>
          <w:spacing w:val="-3"/>
          <w:sz w:val="24"/>
          <w:szCs w:val="24"/>
          <w:lang w:bidi="da-DK"/>
        </w:rPr>
        <w:t>refluksøsofagitis</w:t>
      </w:r>
      <w:proofErr w:type="spellEnd"/>
      <w:r w:rsidRPr="001A4093">
        <w:rPr>
          <w:color w:val="000000"/>
          <w:spacing w:val="-3"/>
          <w:sz w:val="24"/>
          <w:szCs w:val="24"/>
          <w:lang w:bidi="da-DK"/>
        </w:rPr>
        <w:t xml:space="preserve"> og </w:t>
      </w:r>
      <w:proofErr w:type="spellStart"/>
      <w:r w:rsidRPr="001A4093">
        <w:rPr>
          <w:color w:val="000000"/>
          <w:spacing w:val="-3"/>
          <w:sz w:val="24"/>
          <w:szCs w:val="24"/>
          <w:lang w:bidi="da-DK"/>
        </w:rPr>
        <w:t>mucositis</w:t>
      </w:r>
      <w:proofErr w:type="spellEnd"/>
      <w:r w:rsidRPr="001A4093">
        <w:rPr>
          <w:color w:val="000000"/>
          <w:spacing w:val="-3"/>
          <w:sz w:val="24"/>
          <w:szCs w:val="24"/>
          <w:lang w:bidi="da-DK"/>
        </w:rPr>
        <w:t xml:space="preserve">. Den anvendte dosis i disse studier er 0,5-1 g 4 gange dagligt, afhængigt af barnets alder og alvorligheden af den underliggende sygdom. Dosis blev administreret uden større sikkerhedsmæssige problemer. På grund af begrænsede data anbefales anvendelsen af </w:t>
      </w:r>
      <w:proofErr w:type="spellStart"/>
      <w:r w:rsidRPr="001A4093">
        <w:rPr>
          <w:color w:val="000000"/>
          <w:spacing w:val="-3"/>
          <w:sz w:val="24"/>
          <w:szCs w:val="24"/>
          <w:lang w:bidi="da-DK"/>
        </w:rPr>
        <w:t>sucralfat</w:t>
      </w:r>
      <w:proofErr w:type="spellEnd"/>
      <w:r w:rsidRPr="001A4093">
        <w:rPr>
          <w:color w:val="000000"/>
          <w:spacing w:val="-3"/>
          <w:sz w:val="24"/>
          <w:szCs w:val="24"/>
          <w:lang w:bidi="da-DK"/>
        </w:rPr>
        <w:t xml:space="preserve"> til børn under 14 år ikke på nuværende tids</w:t>
      </w:r>
      <w:r w:rsidR="001D0A5E">
        <w:rPr>
          <w:color w:val="000000"/>
          <w:spacing w:val="-3"/>
          <w:sz w:val="24"/>
          <w:szCs w:val="24"/>
          <w:lang w:bidi="da-DK"/>
        </w:rPr>
        <w:t>punkt</w:t>
      </w:r>
      <w:r w:rsidRPr="001A4093">
        <w:rPr>
          <w:color w:val="000000"/>
          <w:spacing w:val="-3"/>
          <w:sz w:val="24"/>
          <w:szCs w:val="24"/>
          <w:lang w:bidi="da-DK"/>
        </w:rPr>
        <w:t>.</w:t>
      </w:r>
    </w:p>
    <w:p w14:paraId="09AC2714" w14:textId="77777777" w:rsidR="009260DE" w:rsidRPr="001A4093" w:rsidRDefault="009260DE" w:rsidP="00A35C84">
      <w:pPr>
        <w:ind w:left="851"/>
        <w:rPr>
          <w:sz w:val="24"/>
          <w:szCs w:val="24"/>
        </w:rPr>
      </w:pPr>
    </w:p>
    <w:p w14:paraId="2C63CDA2" w14:textId="77777777" w:rsidR="009260DE" w:rsidRPr="001A4093" w:rsidRDefault="009260DE" w:rsidP="009260DE">
      <w:pPr>
        <w:tabs>
          <w:tab w:val="left" w:pos="851"/>
        </w:tabs>
        <w:ind w:left="851" w:hanging="851"/>
        <w:rPr>
          <w:b/>
          <w:sz w:val="24"/>
          <w:szCs w:val="24"/>
        </w:rPr>
      </w:pPr>
      <w:r w:rsidRPr="001A4093">
        <w:rPr>
          <w:b/>
          <w:sz w:val="24"/>
          <w:szCs w:val="24"/>
        </w:rPr>
        <w:t>5.2</w:t>
      </w:r>
      <w:r w:rsidRPr="001A4093">
        <w:rPr>
          <w:b/>
          <w:sz w:val="24"/>
          <w:szCs w:val="24"/>
        </w:rPr>
        <w:tab/>
      </w:r>
      <w:proofErr w:type="spellStart"/>
      <w:r w:rsidRPr="001A4093">
        <w:rPr>
          <w:b/>
          <w:sz w:val="24"/>
          <w:szCs w:val="24"/>
        </w:rPr>
        <w:t>Farmakokinetiske</w:t>
      </w:r>
      <w:proofErr w:type="spellEnd"/>
      <w:r w:rsidRPr="001A4093">
        <w:rPr>
          <w:b/>
          <w:sz w:val="24"/>
          <w:szCs w:val="24"/>
        </w:rPr>
        <w:t xml:space="preserve"> egenskaber</w:t>
      </w:r>
    </w:p>
    <w:p w14:paraId="351381A6" w14:textId="77777777" w:rsidR="008B797B" w:rsidRPr="001A4093" w:rsidRDefault="008B797B" w:rsidP="00A35C84">
      <w:pPr>
        <w:ind w:left="851"/>
        <w:rPr>
          <w:sz w:val="24"/>
          <w:szCs w:val="24"/>
          <w:lang w:val="sv-SE" w:eastAsia="el-GR" w:bidi="en-US"/>
        </w:rPr>
      </w:pPr>
      <w:r w:rsidRPr="001A4093">
        <w:rPr>
          <w:sz w:val="24"/>
          <w:szCs w:val="24"/>
          <w:lang w:bidi="da-DK"/>
        </w:rPr>
        <w:t xml:space="preserve">Ca. 3-5 % </w:t>
      </w:r>
      <w:proofErr w:type="spellStart"/>
      <w:r w:rsidRPr="001A4093">
        <w:rPr>
          <w:sz w:val="24"/>
          <w:szCs w:val="24"/>
          <w:lang w:bidi="da-DK"/>
        </w:rPr>
        <w:t>sucralfat</w:t>
      </w:r>
      <w:proofErr w:type="spellEnd"/>
      <w:r w:rsidRPr="001A4093">
        <w:rPr>
          <w:sz w:val="24"/>
          <w:szCs w:val="24"/>
          <w:lang w:bidi="da-DK"/>
        </w:rPr>
        <w:t xml:space="preserve"> absorberes som </w:t>
      </w:r>
      <w:proofErr w:type="spellStart"/>
      <w:r w:rsidRPr="001A4093">
        <w:rPr>
          <w:sz w:val="24"/>
          <w:szCs w:val="24"/>
          <w:lang w:bidi="da-DK"/>
        </w:rPr>
        <w:t>saccharosesulfat</w:t>
      </w:r>
      <w:proofErr w:type="spellEnd"/>
      <w:r w:rsidRPr="001A4093">
        <w:rPr>
          <w:sz w:val="24"/>
          <w:szCs w:val="24"/>
          <w:lang w:bidi="da-DK"/>
        </w:rPr>
        <w:t xml:space="preserve">, og mindre end 0,02 % af aluminiumindholdet absorberes systemisk. </w:t>
      </w:r>
    </w:p>
    <w:p w14:paraId="486199D7" w14:textId="77777777" w:rsidR="008B797B" w:rsidRPr="001A4093" w:rsidRDefault="008B797B" w:rsidP="00A35C84">
      <w:pPr>
        <w:ind w:left="851"/>
        <w:rPr>
          <w:sz w:val="24"/>
          <w:szCs w:val="24"/>
          <w:lang w:val="sv-SE" w:eastAsia="el-GR" w:bidi="en-US"/>
        </w:rPr>
      </w:pPr>
    </w:p>
    <w:p w14:paraId="6357B375" w14:textId="77777777" w:rsidR="008B797B" w:rsidRPr="001A4093" w:rsidRDefault="008B797B" w:rsidP="00A35C84">
      <w:pPr>
        <w:ind w:left="851"/>
        <w:rPr>
          <w:sz w:val="24"/>
          <w:szCs w:val="24"/>
          <w:lang w:val="sv-SE" w:eastAsia="el-GR" w:bidi="en-US"/>
        </w:rPr>
      </w:pPr>
      <w:r w:rsidRPr="001A4093">
        <w:rPr>
          <w:sz w:val="24"/>
          <w:szCs w:val="24"/>
          <w:lang w:bidi="da-DK"/>
        </w:rPr>
        <w:t>Efter oral administration udskilles 0,5-2 % i urinen inden for 96 timer. Den absorberede mængde aluminium udskilles i urinen, og nedsat nyrefunktion kan forårsage ophobning af aluminium i kroppen.</w:t>
      </w:r>
    </w:p>
    <w:p w14:paraId="7491FE8F" w14:textId="77777777" w:rsidR="009260DE" w:rsidRPr="001A4093" w:rsidRDefault="009260DE" w:rsidP="009260DE">
      <w:pPr>
        <w:tabs>
          <w:tab w:val="left" w:pos="851"/>
        </w:tabs>
        <w:ind w:left="851"/>
        <w:rPr>
          <w:sz w:val="24"/>
          <w:szCs w:val="24"/>
        </w:rPr>
      </w:pPr>
    </w:p>
    <w:p w14:paraId="1FDFA4B8" w14:textId="77777777" w:rsidR="009260DE" w:rsidRPr="001A4093" w:rsidRDefault="009260DE" w:rsidP="009260DE">
      <w:pPr>
        <w:tabs>
          <w:tab w:val="left" w:pos="851"/>
        </w:tabs>
        <w:ind w:left="851" w:hanging="851"/>
        <w:rPr>
          <w:b/>
          <w:sz w:val="24"/>
          <w:szCs w:val="24"/>
        </w:rPr>
      </w:pPr>
      <w:r w:rsidRPr="001A4093">
        <w:rPr>
          <w:b/>
          <w:sz w:val="24"/>
          <w:szCs w:val="24"/>
        </w:rPr>
        <w:t>5.3</w:t>
      </w:r>
      <w:r w:rsidRPr="001A4093">
        <w:rPr>
          <w:b/>
          <w:sz w:val="24"/>
          <w:szCs w:val="24"/>
        </w:rPr>
        <w:tab/>
      </w:r>
      <w:r w:rsidR="00BD7931" w:rsidRPr="001A4093">
        <w:rPr>
          <w:b/>
          <w:sz w:val="24"/>
          <w:szCs w:val="24"/>
        </w:rPr>
        <w:t>Non-</w:t>
      </w:r>
      <w:r w:rsidRPr="001A4093">
        <w:rPr>
          <w:b/>
          <w:sz w:val="24"/>
          <w:szCs w:val="24"/>
        </w:rPr>
        <w:t>kliniske sikkerhedsdata</w:t>
      </w:r>
    </w:p>
    <w:p w14:paraId="3EDF5B6B" w14:textId="77777777" w:rsidR="008B797B" w:rsidRPr="001A4093" w:rsidRDefault="008B797B" w:rsidP="00A35C84">
      <w:pPr>
        <w:ind w:left="851"/>
        <w:rPr>
          <w:sz w:val="24"/>
          <w:szCs w:val="24"/>
          <w:lang w:eastAsia="el-GR"/>
        </w:rPr>
      </w:pPr>
      <w:r w:rsidRPr="001A4093">
        <w:rPr>
          <w:sz w:val="24"/>
          <w:szCs w:val="24"/>
          <w:lang w:bidi="da-DK"/>
        </w:rPr>
        <w:t xml:space="preserve">Der var ingen tegn på </w:t>
      </w:r>
      <w:proofErr w:type="spellStart"/>
      <w:r w:rsidRPr="001A4093">
        <w:rPr>
          <w:sz w:val="24"/>
          <w:szCs w:val="24"/>
          <w:lang w:bidi="da-DK"/>
        </w:rPr>
        <w:t>carcinogenese</w:t>
      </w:r>
      <w:proofErr w:type="spellEnd"/>
      <w:r w:rsidRPr="001A4093">
        <w:rPr>
          <w:sz w:val="24"/>
          <w:szCs w:val="24"/>
          <w:lang w:bidi="da-DK"/>
        </w:rPr>
        <w:t xml:space="preserve"> hos mus og rotter, der fik oral </w:t>
      </w:r>
      <w:proofErr w:type="spellStart"/>
      <w:r w:rsidRPr="001A4093">
        <w:rPr>
          <w:sz w:val="24"/>
          <w:szCs w:val="24"/>
          <w:lang w:bidi="da-DK"/>
        </w:rPr>
        <w:t>sucralfat</w:t>
      </w:r>
      <w:proofErr w:type="spellEnd"/>
      <w:r w:rsidRPr="001A4093">
        <w:rPr>
          <w:sz w:val="24"/>
          <w:szCs w:val="24"/>
          <w:lang w:bidi="da-DK"/>
        </w:rPr>
        <w:t xml:space="preserve"> i doser på op til 1 g/kg dagligt (12 gange den sædvanlige dosis til mennesker) i 2 år. Der var ingen evidens for nedsat fertilitet i dyrestudier. Effekten af </w:t>
      </w:r>
      <w:proofErr w:type="spellStart"/>
      <w:r w:rsidRPr="001A4093">
        <w:rPr>
          <w:sz w:val="24"/>
          <w:szCs w:val="24"/>
          <w:lang w:bidi="da-DK"/>
        </w:rPr>
        <w:t>sucralfat</w:t>
      </w:r>
      <w:proofErr w:type="spellEnd"/>
      <w:r w:rsidRPr="001A4093">
        <w:rPr>
          <w:sz w:val="24"/>
          <w:szCs w:val="24"/>
          <w:lang w:bidi="da-DK"/>
        </w:rPr>
        <w:t xml:space="preserve"> på menneskers fertilitet kendes ikke.</w:t>
      </w:r>
    </w:p>
    <w:p w14:paraId="73EC74E3" w14:textId="77777777" w:rsidR="009260DE" w:rsidRPr="001A4093" w:rsidRDefault="009260DE" w:rsidP="009260DE">
      <w:pPr>
        <w:tabs>
          <w:tab w:val="left" w:pos="851"/>
        </w:tabs>
        <w:ind w:left="851"/>
        <w:rPr>
          <w:sz w:val="24"/>
          <w:szCs w:val="24"/>
        </w:rPr>
      </w:pPr>
    </w:p>
    <w:p w14:paraId="514D187B" w14:textId="77777777" w:rsidR="009260DE" w:rsidRPr="001A4093" w:rsidRDefault="009260DE" w:rsidP="009260DE">
      <w:pPr>
        <w:tabs>
          <w:tab w:val="left" w:pos="851"/>
        </w:tabs>
        <w:ind w:left="851"/>
        <w:rPr>
          <w:sz w:val="24"/>
          <w:szCs w:val="24"/>
        </w:rPr>
      </w:pPr>
    </w:p>
    <w:p w14:paraId="15B115CE" w14:textId="77777777" w:rsidR="009260DE" w:rsidRPr="001A4093" w:rsidRDefault="009260DE" w:rsidP="009260DE">
      <w:pPr>
        <w:tabs>
          <w:tab w:val="left" w:pos="851"/>
        </w:tabs>
        <w:ind w:left="851" w:hanging="851"/>
        <w:rPr>
          <w:b/>
          <w:sz w:val="24"/>
          <w:szCs w:val="24"/>
        </w:rPr>
      </w:pPr>
      <w:r w:rsidRPr="001A4093">
        <w:rPr>
          <w:b/>
          <w:sz w:val="24"/>
          <w:szCs w:val="24"/>
        </w:rPr>
        <w:t>6.</w:t>
      </w:r>
      <w:r w:rsidRPr="001A4093">
        <w:rPr>
          <w:b/>
          <w:sz w:val="24"/>
          <w:szCs w:val="24"/>
        </w:rPr>
        <w:tab/>
        <w:t>FARMACEUTISKE OPLYSNINGER</w:t>
      </w:r>
    </w:p>
    <w:p w14:paraId="459E419F" w14:textId="77777777" w:rsidR="009260DE" w:rsidRPr="001A4093" w:rsidRDefault="009260DE" w:rsidP="009260DE">
      <w:pPr>
        <w:tabs>
          <w:tab w:val="left" w:pos="851"/>
        </w:tabs>
        <w:ind w:left="851"/>
        <w:rPr>
          <w:sz w:val="24"/>
          <w:szCs w:val="24"/>
        </w:rPr>
      </w:pPr>
    </w:p>
    <w:p w14:paraId="63485D08" w14:textId="77777777" w:rsidR="009260DE" w:rsidRPr="001A4093" w:rsidRDefault="009260DE" w:rsidP="009260DE">
      <w:pPr>
        <w:tabs>
          <w:tab w:val="left" w:pos="851"/>
        </w:tabs>
        <w:ind w:left="851" w:hanging="851"/>
        <w:rPr>
          <w:b/>
          <w:sz w:val="24"/>
          <w:szCs w:val="24"/>
        </w:rPr>
      </w:pPr>
      <w:r w:rsidRPr="001A4093">
        <w:rPr>
          <w:b/>
          <w:sz w:val="24"/>
          <w:szCs w:val="24"/>
        </w:rPr>
        <w:t>6.1</w:t>
      </w:r>
      <w:r w:rsidRPr="001A4093">
        <w:rPr>
          <w:b/>
          <w:sz w:val="24"/>
          <w:szCs w:val="24"/>
        </w:rPr>
        <w:tab/>
        <w:t>Hjælpestoffer</w:t>
      </w:r>
    </w:p>
    <w:p w14:paraId="4A01145C" w14:textId="77777777" w:rsidR="008B797B" w:rsidRPr="001A4093" w:rsidRDefault="008B797B" w:rsidP="00A35C84">
      <w:pPr>
        <w:ind w:left="851"/>
        <w:rPr>
          <w:sz w:val="24"/>
          <w:szCs w:val="24"/>
          <w:lang w:eastAsia="el-GR"/>
        </w:rPr>
      </w:pPr>
      <w:proofErr w:type="spellStart"/>
      <w:r w:rsidRPr="001A4093">
        <w:rPr>
          <w:sz w:val="24"/>
          <w:szCs w:val="24"/>
          <w:lang w:bidi="da-DK"/>
        </w:rPr>
        <w:t>Macrogol</w:t>
      </w:r>
      <w:proofErr w:type="spellEnd"/>
      <w:r w:rsidRPr="001A4093">
        <w:rPr>
          <w:sz w:val="24"/>
          <w:szCs w:val="24"/>
          <w:lang w:bidi="da-DK"/>
        </w:rPr>
        <w:t xml:space="preserve"> (E1521)</w:t>
      </w:r>
    </w:p>
    <w:p w14:paraId="2676EFBB" w14:textId="77777777" w:rsidR="008B797B" w:rsidRPr="001A4093" w:rsidRDefault="008B797B" w:rsidP="00A35C84">
      <w:pPr>
        <w:ind w:left="851"/>
        <w:rPr>
          <w:sz w:val="24"/>
          <w:szCs w:val="24"/>
          <w:lang w:val="en-US" w:eastAsia="el-GR"/>
        </w:rPr>
      </w:pPr>
      <w:r w:rsidRPr="001A4093">
        <w:rPr>
          <w:sz w:val="24"/>
          <w:szCs w:val="24"/>
          <w:lang w:val="en-US" w:bidi="da-DK"/>
        </w:rPr>
        <w:t>Carboxymethylcellulose, natrium (E466)</w:t>
      </w:r>
    </w:p>
    <w:p w14:paraId="3BD79866" w14:textId="77777777" w:rsidR="008B797B" w:rsidRPr="001A4093" w:rsidRDefault="008B797B" w:rsidP="00A35C84">
      <w:pPr>
        <w:ind w:left="851"/>
        <w:rPr>
          <w:rFonts w:eastAsiaTheme="minorHAnsi"/>
          <w:sz w:val="24"/>
          <w:szCs w:val="24"/>
          <w:lang w:val="en-US"/>
        </w:rPr>
      </w:pPr>
      <w:proofErr w:type="spellStart"/>
      <w:r w:rsidRPr="001A4093">
        <w:rPr>
          <w:sz w:val="24"/>
          <w:szCs w:val="24"/>
          <w:lang w:val="en-US" w:bidi="da-DK"/>
        </w:rPr>
        <w:t>Mikrokrystallinsk</w:t>
      </w:r>
      <w:proofErr w:type="spellEnd"/>
      <w:r w:rsidRPr="001A4093">
        <w:rPr>
          <w:sz w:val="24"/>
          <w:szCs w:val="24"/>
          <w:lang w:val="en-US" w:bidi="da-DK"/>
        </w:rPr>
        <w:t xml:space="preserve"> cellulose (E460)</w:t>
      </w:r>
    </w:p>
    <w:p w14:paraId="58FE551F" w14:textId="77777777" w:rsidR="008B797B" w:rsidRPr="001A4093" w:rsidRDefault="008B797B" w:rsidP="00A35C84">
      <w:pPr>
        <w:ind w:left="851"/>
        <w:rPr>
          <w:sz w:val="24"/>
          <w:szCs w:val="24"/>
          <w:lang w:eastAsia="el-GR"/>
        </w:rPr>
      </w:pPr>
      <w:proofErr w:type="spellStart"/>
      <w:r w:rsidRPr="001A4093">
        <w:rPr>
          <w:sz w:val="24"/>
          <w:szCs w:val="24"/>
          <w:lang w:bidi="da-DK"/>
        </w:rPr>
        <w:t>Povidon</w:t>
      </w:r>
      <w:proofErr w:type="spellEnd"/>
      <w:r w:rsidRPr="001A4093">
        <w:rPr>
          <w:sz w:val="24"/>
          <w:szCs w:val="24"/>
          <w:lang w:bidi="da-DK"/>
        </w:rPr>
        <w:t xml:space="preserve"> (E1201)</w:t>
      </w:r>
    </w:p>
    <w:p w14:paraId="30147ED3" w14:textId="77777777" w:rsidR="008B797B" w:rsidRPr="001A4093" w:rsidRDefault="008B797B" w:rsidP="00A35C84">
      <w:pPr>
        <w:ind w:left="851"/>
        <w:rPr>
          <w:sz w:val="24"/>
          <w:szCs w:val="24"/>
          <w:lang w:eastAsia="el-GR"/>
        </w:rPr>
      </w:pPr>
      <w:proofErr w:type="spellStart"/>
      <w:r w:rsidRPr="001A4093">
        <w:rPr>
          <w:sz w:val="24"/>
          <w:szCs w:val="24"/>
          <w:lang w:bidi="da-DK"/>
        </w:rPr>
        <w:t>Magnesiumstearat</w:t>
      </w:r>
      <w:proofErr w:type="spellEnd"/>
      <w:r w:rsidRPr="001A4093">
        <w:rPr>
          <w:sz w:val="24"/>
          <w:szCs w:val="24"/>
          <w:lang w:bidi="da-DK"/>
        </w:rPr>
        <w:t xml:space="preserve"> (E572)</w:t>
      </w:r>
    </w:p>
    <w:p w14:paraId="1D522219" w14:textId="77777777" w:rsidR="008B797B" w:rsidRPr="001A4093" w:rsidRDefault="008B797B" w:rsidP="00A35C84">
      <w:pPr>
        <w:ind w:left="851"/>
        <w:rPr>
          <w:sz w:val="24"/>
          <w:szCs w:val="24"/>
          <w:lang w:eastAsia="el-GR"/>
        </w:rPr>
      </w:pPr>
      <w:r w:rsidRPr="001A4093">
        <w:rPr>
          <w:sz w:val="24"/>
          <w:szCs w:val="24"/>
          <w:lang w:bidi="da-DK"/>
        </w:rPr>
        <w:t xml:space="preserve">Ricinusolie, </w:t>
      </w:r>
      <w:proofErr w:type="spellStart"/>
      <w:r w:rsidRPr="001A4093">
        <w:rPr>
          <w:sz w:val="24"/>
          <w:szCs w:val="24"/>
          <w:lang w:bidi="da-DK"/>
        </w:rPr>
        <w:t>hydrogeneret</w:t>
      </w:r>
      <w:proofErr w:type="spellEnd"/>
    </w:p>
    <w:p w14:paraId="4B3A92E4" w14:textId="77777777" w:rsidR="009260DE" w:rsidRPr="001A4093" w:rsidRDefault="009260DE" w:rsidP="00A35C84">
      <w:pPr>
        <w:ind w:left="851"/>
        <w:rPr>
          <w:sz w:val="24"/>
          <w:szCs w:val="24"/>
        </w:rPr>
      </w:pPr>
    </w:p>
    <w:p w14:paraId="2122127E" w14:textId="77777777" w:rsidR="009260DE" w:rsidRPr="001A4093" w:rsidRDefault="009260DE" w:rsidP="009260DE">
      <w:pPr>
        <w:tabs>
          <w:tab w:val="left" w:pos="851"/>
        </w:tabs>
        <w:ind w:left="851" w:hanging="851"/>
        <w:rPr>
          <w:b/>
          <w:sz w:val="24"/>
          <w:szCs w:val="24"/>
        </w:rPr>
      </w:pPr>
      <w:r w:rsidRPr="001A4093">
        <w:rPr>
          <w:b/>
          <w:sz w:val="24"/>
          <w:szCs w:val="24"/>
        </w:rPr>
        <w:t>6.2</w:t>
      </w:r>
      <w:r w:rsidRPr="001A4093">
        <w:rPr>
          <w:b/>
          <w:sz w:val="24"/>
          <w:szCs w:val="24"/>
        </w:rPr>
        <w:tab/>
        <w:t>Uforligeligheder</w:t>
      </w:r>
    </w:p>
    <w:p w14:paraId="332C2133" w14:textId="3AC8C59B" w:rsidR="009260DE" w:rsidRPr="001A4093" w:rsidRDefault="008B797B" w:rsidP="009174D7">
      <w:pPr>
        <w:ind w:left="851"/>
        <w:rPr>
          <w:sz w:val="24"/>
          <w:szCs w:val="24"/>
        </w:rPr>
      </w:pPr>
      <w:r w:rsidRPr="001A4093">
        <w:rPr>
          <w:sz w:val="24"/>
          <w:szCs w:val="24"/>
          <w:lang w:bidi="da-DK"/>
        </w:rPr>
        <w:t>Ikke relevant.</w:t>
      </w:r>
    </w:p>
    <w:p w14:paraId="3F02688F" w14:textId="77777777" w:rsidR="009260DE" w:rsidRPr="001A4093" w:rsidRDefault="009260DE" w:rsidP="009260DE">
      <w:pPr>
        <w:tabs>
          <w:tab w:val="left" w:pos="851"/>
        </w:tabs>
        <w:ind w:left="851"/>
        <w:rPr>
          <w:sz w:val="24"/>
          <w:szCs w:val="24"/>
        </w:rPr>
      </w:pPr>
    </w:p>
    <w:p w14:paraId="5A721748" w14:textId="77777777" w:rsidR="009260DE" w:rsidRPr="001A4093" w:rsidRDefault="009260DE" w:rsidP="009260DE">
      <w:pPr>
        <w:tabs>
          <w:tab w:val="left" w:pos="851"/>
        </w:tabs>
        <w:ind w:left="851" w:hanging="851"/>
        <w:rPr>
          <w:b/>
          <w:sz w:val="24"/>
          <w:szCs w:val="24"/>
        </w:rPr>
      </w:pPr>
      <w:r w:rsidRPr="001A4093">
        <w:rPr>
          <w:b/>
          <w:sz w:val="24"/>
          <w:szCs w:val="24"/>
        </w:rPr>
        <w:t>6.3</w:t>
      </w:r>
      <w:r w:rsidRPr="001A4093">
        <w:rPr>
          <w:b/>
          <w:sz w:val="24"/>
          <w:szCs w:val="24"/>
        </w:rPr>
        <w:tab/>
        <w:t>Opbevaringstid</w:t>
      </w:r>
    </w:p>
    <w:p w14:paraId="120F209C" w14:textId="77777777" w:rsidR="008B797B" w:rsidRPr="001A4093" w:rsidRDefault="008B797B" w:rsidP="00A35C84">
      <w:pPr>
        <w:ind w:left="851"/>
        <w:rPr>
          <w:sz w:val="24"/>
          <w:szCs w:val="24"/>
          <w:lang w:eastAsia="el-GR"/>
        </w:rPr>
      </w:pPr>
      <w:r w:rsidRPr="001A4093">
        <w:rPr>
          <w:sz w:val="24"/>
          <w:szCs w:val="24"/>
          <w:lang w:bidi="da-DK"/>
        </w:rPr>
        <w:t>26 måneder.</w:t>
      </w:r>
    </w:p>
    <w:p w14:paraId="5C42718A" w14:textId="77777777" w:rsidR="009260DE" w:rsidRPr="001A4093" w:rsidRDefault="009260DE" w:rsidP="009260DE">
      <w:pPr>
        <w:tabs>
          <w:tab w:val="left" w:pos="851"/>
        </w:tabs>
        <w:ind w:left="851"/>
        <w:rPr>
          <w:sz w:val="24"/>
          <w:szCs w:val="24"/>
        </w:rPr>
      </w:pPr>
    </w:p>
    <w:p w14:paraId="7C0AAED2" w14:textId="77777777" w:rsidR="009260DE" w:rsidRPr="001A4093" w:rsidRDefault="009260DE" w:rsidP="009260DE">
      <w:pPr>
        <w:tabs>
          <w:tab w:val="left" w:pos="851"/>
        </w:tabs>
        <w:ind w:left="851" w:hanging="851"/>
        <w:rPr>
          <w:b/>
          <w:sz w:val="24"/>
          <w:szCs w:val="24"/>
        </w:rPr>
      </w:pPr>
      <w:r w:rsidRPr="001A4093">
        <w:rPr>
          <w:b/>
          <w:sz w:val="24"/>
          <w:szCs w:val="24"/>
        </w:rPr>
        <w:t>6.4</w:t>
      </w:r>
      <w:r w:rsidRPr="001A4093">
        <w:rPr>
          <w:b/>
          <w:sz w:val="24"/>
          <w:szCs w:val="24"/>
        </w:rPr>
        <w:tab/>
        <w:t>Særlige opbevaringsforhold</w:t>
      </w:r>
    </w:p>
    <w:p w14:paraId="742D410E" w14:textId="77777777" w:rsidR="008B797B" w:rsidRPr="001A4093" w:rsidRDefault="008B797B" w:rsidP="00A35C84">
      <w:pPr>
        <w:ind w:left="851"/>
        <w:rPr>
          <w:sz w:val="24"/>
          <w:szCs w:val="24"/>
          <w:lang w:eastAsia="el-GR"/>
        </w:rPr>
      </w:pPr>
      <w:r w:rsidRPr="001A4093">
        <w:rPr>
          <w:sz w:val="24"/>
          <w:szCs w:val="24"/>
          <w:lang w:bidi="da-DK"/>
        </w:rPr>
        <w:t>Dette lægemiddel kræver ingen særlige temperatur- eller opbevaringsforhold.</w:t>
      </w:r>
    </w:p>
    <w:p w14:paraId="0725B7CA" w14:textId="1F234B5D" w:rsidR="008B797B" w:rsidRPr="001A4093" w:rsidRDefault="008B797B" w:rsidP="00A35C84">
      <w:pPr>
        <w:ind w:left="851"/>
        <w:rPr>
          <w:sz w:val="24"/>
          <w:szCs w:val="24"/>
          <w:lang w:eastAsia="el-GR"/>
        </w:rPr>
      </w:pPr>
      <w:r w:rsidRPr="001A4093">
        <w:rPr>
          <w:sz w:val="24"/>
          <w:szCs w:val="24"/>
          <w:lang w:bidi="da-DK"/>
        </w:rPr>
        <w:t>Opbevares i den originale yderpakning for at beskytte mod lys.</w:t>
      </w:r>
    </w:p>
    <w:p w14:paraId="29CB0DBC" w14:textId="77777777" w:rsidR="009260DE" w:rsidRPr="001A4093" w:rsidRDefault="009260DE" w:rsidP="009260DE">
      <w:pPr>
        <w:tabs>
          <w:tab w:val="left" w:pos="851"/>
        </w:tabs>
        <w:ind w:left="851"/>
        <w:rPr>
          <w:sz w:val="24"/>
          <w:szCs w:val="24"/>
        </w:rPr>
      </w:pPr>
    </w:p>
    <w:p w14:paraId="6DDAA249" w14:textId="77777777" w:rsidR="009260DE" w:rsidRPr="001A4093" w:rsidRDefault="009260DE" w:rsidP="009260DE">
      <w:pPr>
        <w:tabs>
          <w:tab w:val="left" w:pos="851"/>
        </w:tabs>
        <w:ind w:left="851" w:hanging="851"/>
        <w:rPr>
          <w:b/>
          <w:sz w:val="24"/>
          <w:szCs w:val="24"/>
        </w:rPr>
      </w:pPr>
      <w:r w:rsidRPr="001A4093">
        <w:rPr>
          <w:b/>
          <w:sz w:val="24"/>
          <w:szCs w:val="24"/>
        </w:rPr>
        <w:t>6.5</w:t>
      </w:r>
      <w:r w:rsidRPr="001A4093">
        <w:rPr>
          <w:b/>
          <w:sz w:val="24"/>
          <w:szCs w:val="24"/>
        </w:rPr>
        <w:tab/>
        <w:t>Emballagetype og pakningsstørrelser</w:t>
      </w:r>
    </w:p>
    <w:p w14:paraId="1D07BD8D" w14:textId="77777777" w:rsidR="008B797B" w:rsidRPr="001A4093" w:rsidRDefault="008B797B" w:rsidP="00A35C84">
      <w:pPr>
        <w:ind w:left="851"/>
        <w:rPr>
          <w:sz w:val="24"/>
          <w:szCs w:val="24"/>
          <w:lang w:eastAsia="el-GR"/>
        </w:rPr>
      </w:pPr>
      <w:r w:rsidRPr="001A4093">
        <w:rPr>
          <w:sz w:val="24"/>
          <w:szCs w:val="24"/>
          <w:lang w:bidi="da-DK"/>
        </w:rPr>
        <w:t>Hver æske indeholder blisterpakninger af PVC/aluminium med 30, 50 eller 60 tabletter.</w:t>
      </w:r>
    </w:p>
    <w:p w14:paraId="4CFF827E" w14:textId="77777777" w:rsidR="008B797B" w:rsidRPr="001A4093" w:rsidRDefault="008B797B" w:rsidP="00A35C84">
      <w:pPr>
        <w:ind w:left="851"/>
        <w:rPr>
          <w:sz w:val="24"/>
          <w:szCs w:val="24"/>
          <w:lang w:eastAsia="el-GR"/>
        </w:rPr>
      </w:pPr>
    </w:p>
    <w:p w14:paraId="013E056D" w14:textId="77777777" w:rsidR="008B797B" w:rsidRPr="001A4093" w:rsidRDefault="008B797B" w:rsidP="00A35C84">
      <w:pPr>
        <w:ind w:left="851"/>
        <w:rPr>
          <w:sz w:val="24"/>
          <w:szCs w:val="24"/>
          <w:lang w:eastAsia="el-GR"/>
        </w:rPr>
      </w:pPr>
      <w:r w:rsidRPr="001A4093">
        <w:rPr>
          <w:sz w:val="24"/>
          <w:szCs w:val="24"/>
          <w:lang w:bidi="da-DK"/>
        </w:rPr>
        <w:t>Ikke alle pakningsstørrelser er nødvendigvis markedsført.</w:t>
      </w:r>
    </w:p>
    <w:p w14:paraId="07E93687" w14:textId="77777777" w:rsidR="009260DE" w:rsidRPr="001A4093" w:rsidRDefault="009260DE" w:rsidP="009260DE">
      <w:pPr>
        <w:tabs>
          <w:tab w:val="left" w:pos="851"/>
        </w:tabs>
        <w:ind w:left="851"/>
        <w:rPr>
          <w:sz w:val="24"/>
          <w:szCs w:val="24"/>
        </w:rPr>
      </w:pPr>
    </w:p>
    <w:p w14:paraId="18DD912B" w14:textId="77777777" w:rsidR="009260DE" w:rsidRPr="001A4093" w:rsidRDefault="009260DE" w:rsidP="009260DE">
      <w:pPr>
        <w:tabs>
          <w:tab w:val="left" w:pos="851"/>
        </w:tabs>
        <w:ind w:left="851" w:hanging="851"/>
        <w:rPr>
          <w:b/>
          <w:sz w:val="24"/>
          <w:szCs w:val="24"/>
        </w:rPr>
      </w:pPr>
      <w:r w:rsidRPr="001A4093">
        <w:rPr>
          <w:b/>
          <w:sz w:val="24"/>
          <w:szCs w:val="24"/>
        </w:rPr>
        <w:t>6.6</w:t>
      </w:r>
      <w:r w:rsidRPr="001A4093">
        <w:rPr>
          <w:b/>
          <w:sz w:val="24"/>
          <w:szCs w:val="24"/>
        </w:rPr>
        <w:tab/>
        <w:t xml:space="preserve">Regler for </w:t>
      </w:r>
      <w:r w:rsidR="00BD7931" w:rsidRPr="001A4093">
        <w:rPr>
          <w:b/>
          <w:sz w:val="24"/>
          <w:szCs w:val="24"/>
        </w:rPr>
        <w:t>bortskaffelse</w:t>
      </w:r>
      <w:r w:rsidRPr="001A4093">
        <w:rPr>
          <w:b/>
          <w:sz w:val="24"/>
          <w:szCs w:val="24"/>
        </w:rPr>
        <w:t xml:space="preserve"> og anden håndtering</w:t>
      </w:r>
    </w:p>
    <w:p w14:paraId="3D831831" w14:textId="77777777" w:rsidR="008B797B" w:rsidRPr="001A4093" w:rsidRDefault="008B797B" w:rsidP="00A35C84">
      <w:pPr>
        <w:ind w:left="851"/>
        <w:rPr>
          <w:sz w:val="24"/>
          <w:szCs w:val="24"/>
          <w:lang w:eastAsia="el-GR"/>
        </w:rPr>
      </w:pPr>
      <w:r w:rsidRPr="001A4093">
        <w:rPr>
          <w:sz w:val="24"/>
          <w:szCs w:val="24"/>
          <w:lang w:bidi="da-DK"/>
        </w:rPr>
        <w:t>Ikke anvendt lægemiddel samt affald heraf skal bortskaffes i henhold til lokale retningslinjer.</w:t>
      </w:r>
    </w:p>
    <w:p w14:paraId="11CEB786" w14:textId="77777777" w:rsidR="009260DE" w:rsidRPr="001A4093" w:rsidRDefault="009260DE" w:rsidP="000730CA">
      <w:pPr>
        <w:tabs>
          <w:tab w:val="left" w:pos="851"/>
        </w:tabs>
        <w:ind w:left="851"/>
        <w:rPr>
          <w:sz w:val="24"/>
          <w:szCs w:val="24"/>
        </w:rPr>
      </w:pPr>
    </w:p>
    <w:p w14:paraId="42634EC5" w14:textId="77777777" w:rsidR="009260DE" w:rsidRPr="001A4093" w:rsidRDefault="009260DE" w:rsidP="009260DE">
      <w:pPr>
        <w:tabs>
          <w:tab w:val="left" w:pos="851"/>
        </w:tabs>
        <w:ind w:left="851" w:hanging="851"/>
        <w:rPr>
          <w:b/>
          <w:sz w:val="24"/>
          <w:szCs w:val="24"/>
        </w:rPr>
      </w:pPr>
      <w:r w:rsidRPr="001A4093">
        <w:rPr>
          <w:b/>
          <w:sz w:val="24"/>
          <w:szCs w:val="24"/>
        </w:rPr>
        <w:t>7.</w:t>
      </w:r>
      <w:r w:rsidRPr="001A4093">
        <w:rPr>
          <w:b/>
          <w:sz w:val="24"/>
          <w:szCs w:val="24"/>
        </w:rPr>
        <w:tab/>
        <w:t>INDEHAVER AF MARKEDSFØRINGSTILLADELSEN</w:t>
      </w:r>
    </w:p>
    <w:p w14:paraId="7C565C92" w14:textId="77777777" w:rsidR="008B797B" w:rsidRPr="001A4093" w:rsidRDefault="008B797B" w:rsidP="00A35C84">
      <w:pPr>
        <w:ind w:left="851"/>
        <w:rPr>
          <w:sz w:val="24"/>
          <w:szCs w:val="24"/>
          <w:lang w:eastAsia="el-GR"/>
        </w:rPr>
      </w:pPr>
      <w:r w:rsidRPr="001A4093">
        <w:rPr>
          <w:sz w:val="24"/>
          <w:szCs w:val="24"/>
          <w:lang w:bidi="da-DK"/>
        </w:rPr>
        <w:t xml:space="preserve">Uni-Pharma </w:t>
      </w:r>
      <w:proofErr w:type="spellStart"/>
      <w:r w:rsidRPr="001A4093">
        <w:rPr>
          <w:sz w:val="24"/>
          <w:szCs w:val="24"/>
          <w:lang w:bidi="da-DK"/>
        </w:rPr>
        <w:t>Kleon</w:t>
      </w:r>
      <w:proofErr w:type="spellEnd"/>
      <w:r w:rsidRPr="001A4093">
        <w:rPr>
          <w:sz w:val="24"/>
          <w:szCs w:val="24"/>
          <w:lang w:bidi="da-DK"/>
        </w:rPr>
        <w:t xml:space="preserve"> </w:t>
      </w:r>
      <w:proofErr w:type="spellStart"/>
      <w:r w:rsidRPr="001A4093">
        <w:rPr>
          <w:sz w:val="24"/>
          <w:szCs w:val="24"/>
          <w:lang w:bidi="da-DK"/>
        </w:rPr>
        <w:t>Tsetis</w:t>
      </w:r>
      <w:proofErr w:type="spellEnd"/>
      <w:r w:rsidRPr="001A4093">
        <w:rPr>
          <w:sz w:val="24"/>
          <w:szCs w:val="24"/>
          <w:lang w:bidi="da-DK"/>
        </w:rPr>
        <w:t xml:space="preserve"> </w:t>
      </w:r>
      <w:proofErr w:type="spellStart"/>
      <w:r w:rsidRPr="001A4093">
        <w:rPr>
          <w:sz w:val="24"/>
          <w:szCs w:val="24"/>
          <w:lang w:bidi="da-DK"/>
        </w:rPr>
        <w:t>Pharmaceutical</w:t>
      </w:r>
      <w:proofErr w:type="spellEnd"/>
      <w:r w:rsidRPr="001A4093">
        <w:rPr>
          <w:sz w:val="24"/>
          <w:szCs w:val="24"/>
          <w:lang w:bidi="da-DK"/>
        </w:rPr>
        <w:t xml:space="preserve"> Laboratories S.A. </w:t>
      </w:r>
    </w:p>
    <w:p w14:paraId="182A3C29" w14:textId="77777777" w:rsidR="008B797B" w:rsidRPr="001A4093" w:rsidRDefault="008B797B" w:rsidP="00A35C84">
      <w:pPr>
        <w:ind w:left="851"/>
        <w:rPr>
          <w:sz w:val="24"/>
          <w:szCs w:val="24"/>
          <w:lang w:val="en-GB" w:eastAsia="el-GR"/>
        </w:rPr>
      </w:pPr>
      <w:r w:rsidRPr="001A4093">
        <w:rPr>
          <w:sz w:val="24"/>
          <w:szCs w:val="24"/>
          <w:lang w:val="en-US" w:bidi="da-DK"/>
        </w:rPr>
        <w:t>14</w:t>
      </w:r>
      <w:r w:rsidRPr="001A4093">
        <w:rPr>
          <w:sz w:val="24"/>
          <w:szCs w:val="24"/>
          <w:vertAlign w:val="superscript"/>
          <w:lang w:val="en-US" w:bidi="da-DK"/>
        </w:rPr>
        <w:t>th</w:t>
      </w:r>
      <w:r w:rsidRPr="001A4093">
        <w:rPr>
          <w:sz w:val="24"/>
          <w:szCs w:val="24"/>
          <w:lang w:val="en-US" w:bidi="da-DK"/>
        </w:rPr>
        <w:t xml:space="preserve"> km National Road 1</w:t>
      </w:r>
    </w:p>
    <w:p w14:paraId="2752B2C2" w14:textId="77777777" w:rsidR="008B797B" w:rsidRPr="001A4093" w:rsidRDefault="008B797B" w:rsidP="00A35C84">
      <w:pPr>
        <w:ind w:left="851"/>
        <w:rPr>
          <w:sz w:val="24"/>
          <w:szCs w:val="24"/>
          <w:lang w:val="en-GB" w:eastAsia="el-GR"/>
        </w:rPr>
      </w:pPr>
      <w:r w:rsidRPr="001A4093">
        <w:rPr>
          <w:sz w:val="24"/>
          <w:szCs w:val="24"/>
          <w:lang w:val="en-US" w:bidi="da-DK"/>
        </w:rPr>
        <w:t xml:space="preserve">GR-145 64 </w:t>
      </w:r>
      <w:proofErr w:type="spellStart"/>
      <w:r w:rsidRPr="001A4093">
        <w:rPr>
          <w:sz w:val="24"/>
          <w:szCs w:val="24"/>
          <w:lang w:val="en-US" w:bidi="da-DK"/>
        </w:rPr>
        <w:t>Kifisia</w:t>
      </w:r>
      <w:proofErr w:type="spellEnd"/>
      <w:r w:rsidRPr="001A4093">
        <w:rPr>
          <w:sz w:val="24"/>
          <w:szCs w:val="24"/>
          <w:lang w:val="en-US" w:bidi="da-DK"/>
        </w:rPr>
        <w:t xml:space="preserve"> </w:t>
      </w:r>
    </w:p>
    <w:p w14:paraId="2AA0895B" w14:textId="77777777" w:rsidR="008B797B" w:rsidRPr="00D01DEF" w:rsidRDefault="008B797B" w:rsidP="00A35C84">
      <w:pPr>
        <w:ind w:left="851"/>
        <w:rPr>
          <w:sz w:val="24"/>
          <w:szCs w:val="24"/>
          <w:lang w:eastAsia="el-GR"/>
        </w:rPr>
      </w:pPr>
      <w:r w:rsidRPr="001A4093">
        <w:rPr>
          <w:sz w:val="24"/>
          <w:szCs w:val="24"/>
          <w:lang w:bidi="da-DK"/>
        </w:rPr>
        <w:t>Grækenland</w:t>
      </w:r>
    </w:p>
    <w:p w14:paraId="76D1B328" w14:textId="70C979E6" w:rsidR="009260DE" w:rsidRPr="001A4093" w:rsidRDefault="009260DE" w:rsidP="009260DE">
      <w:pPr>
        <w:tabs>
          <w:tab w:val="left" w:pos="851"/>
        </w:tabs>
        <w:ind w:left="851"/>
        <w:rPr>
          <w:sz w:val="24"/>
          <w:szCs w:val="24"/>
        </w:rPr>
      </w:pPr>
    </w:p>
    <w:p w14:paraId="176D6F2C" w14:textId="77777777" w:rsidR="009260DE" w:rsidRPr="001A4093" w:rsidRDefault="009260DE" w:rsidP="009260DE">
      <w:pPr>
        <w:tabs>
          <w:tab w:val="left" w:pos="851"/>
        </w:tabs>
        <w:ind w:left="851" w:hanging="851"/>
        <w:rPr>
          <w:b/>
          <w:sz w:val="24"/>
          <w:szCs w:val="24"/>
        </w:rPr>
      </w:pPr>
      <w:r w:rsidRPr="001A4093">
        <w:rPr>
          <w:b/>
          <w:sz w:val="24"/>
          <w:szCs w:val="24"/>
        </w:rPr>
        <w:t>8.</w:t>
      </w:r>
      <w:r w:rsidRPr="001A4093">
        <w:rPr>
          <w:b/>
          <w:sz w:val="24"/>
          <w:szCs w:val="24"/>
        </w:rPr>
        <w:tab/>
        <w:t>MARKEDSFØRINGSTILLADELSESNUMMER (</w:t>
      </w:r>
      <w:r w:rsidR="00BF6243" w:rsidRPr="001A4093">
        <w:rPr>
          <w:b/>
          <w:sz w:val="24"/>
          <w:szCs w:val="24"/>
        </w:rPr>
        <w:t>-</w:t>
      </w:r>
      <w:r w:rsidRPr="001A4093">
        <w:rPr>
          <w:b/>
          <w:sz w:val="24"/>
          <w:szCs w:val="24"/>
        </w:rPr>
        <w:t>NUMRE)</w:t>
      </w:r>
    </w:p>
    <w:p w14:paraId="5C4E9AA3" w14:textId="563F5A57" w:rsidR="009260DE" w:rsidRPr="001A4093" w:rsidRDefault="008B797B" w:rsidP="009260DE">
      <w:pPr>
        <w:tabs>
          <w:tab w:val="left" w:pos="851"/>
        </w:tabs>
        <w:ind w:left="851"/>
        <w:rPr>
          <w:sz w:val="24"/>
          <w:szCs w:val="24"/>
        </w:rPr>
      </w:pPr>
      <w:r w:rsidRPr="001A4093">
        <w:rPr>
          <w:sz w:val="24"/>
          <w:szCs w:val="24"/>
        </w:rPr>
        <w:t>67405</w:t>
      </w:r>
    </w:p>
    <w:p w14:paraId="4E8F4D22" w14:textId="77777777" w:rsidR="009260DE" w:rsidRPr="001A4093" w:rsidRDefault="009260DE" w:rsidP="009260DE">
      <w:pPr>
        <w:tabs>
          <w:tab w:val="left" w:pos="851"/>
        </w:tabs>
        <w:ind w:left="851"/>
        <w:jc w:val="both"/>
        <w:rPr>
          <w:sz w:val="24"/>
          <w:szCs w:val="24"/>
        </w:rPr>
      </w:pPr>
    </w:p>
    <w:p w14:paraId="6A8EFD19" w14:textId="77777777" w:rsidR="009260DE" w:rsidRPr="001A4093" w:rsidRDefault="009260DE" w:rsidP="009260DE">
      <w:pPr>
        <w:tabs>
          <w:tab w:val="left" w:pos="851"/>
        </w:tabs>
        <w:ind w:left="851" w:hanging="851"/>
        <w:rPr>
          <w:b/>
          <w:sz w:val="24"/>
          <w:szCs w:val="24"/>
        </w:rPr>
      </w:pPr>
      <w:r w:rsidRPr="001A4093">
        <w:rPr>
          <w:b/>
          <w:sz w:val="24"/>
          <w:szCs w:val="24"/>
        </w:rPr>
        <w:t>9.</w:t>
      </w:r>
      <w:r w:rsidRPr="001A4093">
        <w:rPr>
          <w:b/>
          <w:sz w:val="24"/>
          <w:szCs w:val="24"/>
        </w:rPr>
        <w:tab/>
        <w:t>DATO FOR FØRSTE MARKEDSFØRINGSTILLADELSE</w:t>
      </w:r>
    </w:p>
    <w:p w14:paraId="0A908991" w14:textId="24ED8A42" w:rsidR="009260DE" w:rsidRPr="001A4093" w:rsidRDefault="00D01DEF" w:rsidP="009260DE">
      <w:pPr>
        <w:tabs>
          <w:tab w:val="left" w:pos="851"/>
        </w:tabs>
        <w:ind w:left="851"/>
        <w:rPr>
          <w:sz w:val="24"/>
          <w:szCs w:val="24"/>
        </w:rPr>
      </w:pPr>
      <w:r>
        <w:rPr>
          <w:sz w:val="24"/>
          <w:szCs w:val="24"/>
        </w:rPr>
        <w:t>21. februar 2024</w:t>
      </w:r>
    </w:p>
    <w:p w14:paraId="65FA3F37" w14:textId="77777777" w:rsidR="009260DE" w:rsidRPr="001A4093" w:rsidRDefault="009260DE" w:rsidP="009260DE">
      <w:pPr>
        <w:tabs>
          <w:tab w:val="left" w:pos="851"/>
        </w:tabs>
        <w:ind w:left="851"/>
        <w:rPr>
          <w:sz w:val="24"/>
          <w:szCs w:val="24"/>
        </w:rPr>
      </w:pPr>
    </w:p>
    <w:p w14:paraId="4C57FC05" w14:textId="77777777" w:rsidR="009260DE" w:rsidRPr="001A4093" w:rsidRDefault="009260DE" w:rsidP="009260DE">
      <w:pPr>
        <w:tabs>
          <w:tab w:val="left" w:pos="851"/>
        </w:tabs>
        <w:ind w:left="851" w:hanging="851"/>
        <w:rPr>
          <w:b/>
          <w:sz w:val="24"/>
          <w:szCs w:val="24"/>
        </w:rPr>
      </w:pPr>
      <w:r w:rsidRPr="001A4093">
        <w:rPr>
          <w:b/>
          <w:sz w:val="24"/>
          <w:szCs w:val="24"/>
        </w:rPr>
        <w:t>10.</w:t>
      </w:r>
      <w:r w:rsidRPr="001A4093">
        <w:rPr>
          <w:b/>
          <w:sz w:val="24"/>
          <w:szCs w:val="24"/>
        </w:rPr>
        <w:tab/>
        <w:t>DATO FOR ÆNDRING AF TEKSTEN</w:t>
      </w:r>
    </w:p>
    <w:p w14:paraId="666C19E4" w14:textId="12DE443A" w:rsidR="009260DE" w:rsidRPr="001A4093" w:rsidRDefault="008B797B" w:rsidP="009260DE">
      <w:pPr>
        <w:tabs>
          <w:tab w:val="left" w:pos="851"/>
        </w:tabs>
        <w:ind w:left="851"/>
        <w:rPr>
          <w:sz w:val="24"/>
          <w:szCs w:val="24"/>
        </w:rPr>
      </w:pPr>
      <w:r w:rsidRPr="001A4093">
        <w:rPr>
          <w:sz w:val="24"/>
          <w:szCs w:val="24"/>
        </w:rPr>
        <w:t>-</w:t>
      </w:r>
    </w:p>
    <w:sectPr w:rsidR="009260DE" w:rsidRPr="001A409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758C6" w14:textId="77777777" w:rsidR="009F31A2" w:rsidRDefault="009F31A2">
      <w:r>
        <w:separator/>
      </w:r>
    </w:p>
  </w:endnote>
  <w:endnote w:type="continuationSeparator" w:id="0">
    <w:p w14:paraId="3375872B" w14:textId="77777777" w:rsidR="009F31A2" w:rsidRDefault="009F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F4B6B" w14:textId="77777777" w:rsidR="000259B9" w:rsidRDefault="000259B9">
    <w:pPr>
      <w:pStyle w:val="Sidefod"/>
      <w:pBdr>
        <w:bottom w:val="single" w:sz="6" w:space="1" w:color="auto"/>
      </w:pBdr>
    </w:pPr>
  </w:p>
  <w:p w14:paraId="100D0577" w14:textId="77777777" w:rsidR="000259B9" w:rsidRDefault="000259B9" w:rsidP="00C42586">
    <w:pPr>
      <w:pStyle w:val="Sidefod"/>
      <w:tabs>
        <w:tab w:val="clear" w:pos="4819"/>
        <w:tab w:val="left" w:pos="8505"/>
      </w:tabs>
      <w:rPr>
        <w:i/>
        <w:sz w:val="18"/>
        <w:szCs w:val="18"/>
      </w:rPr>
    </w:pPr>
  </w:p>
  <w:p w14:paraId="5E97658B" w14:textId="2CF0993C"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D0A5E">
      <w:rPr>
        <w:i/>
        <w:noProof/>
        <w:sz w:val="18"/>
        <w:szCs w:val="18"/>
      </w:rPr>
      <w:t>Peptonorm, tabletter 1 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3303D" w14:textId="77777777" w:rsidR="009F31A2" w:rsidRDefault="009F31A2">
      <w:r>
        <w:separator/>
      </w:r>
    </w:p>
  </w:footnote>
  <w:footnote w:type="continuationSeparator" w:id="0">
    <w:p w14:paraId="244FBA48" w14:textId="77777777" w:rsidR="009F31A2" w:rsidRDefault="009F3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1A2"/>
    <w:rsid w:val="000259B9"/>
    <w:rsid w:val="00041491"/>
    <w:rsid w:val="00050D16"/>
    <w:rsid w:val="000730CA"/>
    <w:rsid w:val="00074F2A"/>
    <w:rsid w:val="000A1CA8"/>
    <w:rsid w:val="000A466B"/>
    <w:rsid w:val="000B058C"/>
    <w:rsid w:val="000D68B0"/>
    <w:rsid w:val="000E4EE6"/>
    <w:rsid w:val="001454E2"/>
    <w:rsid w:val="001A4093"/>
    <w:rsid w:val="001D0A5E"/>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5A239B"/>
    <w:rsid w:val="00637F5A"/>
    <w:rsid w:val="00641C65"/>
    <w:rsid w:val="006560B1"/>
    <w:rsid w:val="006756DD"/>
    <w:rsid w:val="0071241E"/>
    <w:rsid w:val="00737275"/>
    <w:rsid w:val="00740EEC"/>
    <w:rsid w:val="0078011A"/>
    <w:rsid w:val="00782AF4"/>
    <w:rsid w:val="00790EE7"/>
    <w:rsid w:val="007B6649"/>
    <w:rsid w:val="0082576E"/>
    <w:rsid w:val="00880908"/>
    <w:rsid w:val="0089346F"/>
    <w:rsid w:val="008B797B"/>
    <w:rsid w:val="00907F75"/>
    <w:rsid w:val="009174D7"/>
    <w:rsid w:val="009260DE"/>
    <w:rsid w:val="0093258A"/>
    <w:rsid w:val="0093478B"/>
    <w:rsid w:val="009C7BA3"/>
    <w:rsid w:val="009D1F5A"/>
    <w:rsid w:val="009F31A2"/>
    <w:rsid w:val="00A10294"/>
    <w:rsid w:val="00A35C84"/>
    <w:rsid w:val="00B003BF"/>
    <w:rsid w:val="00B373D7"/>
    <w:rsid w:val="00B55271"/>
    <w:rsid w:val="00BD7931"/>
    <w:rsid w:val="00BF6243"/>
    <w:rsid w:val="00C36276"/>
    <w:rsid w:val="00C42586"/>
    <w:rsid w:val="00C45F6B"/>
    <w:rsid w:val="00C60CCD"/>
    <w:rsid w:val="00C84483"/>
    <w:rsid w:val="00C95551"/>
    <w:rsid w:val="00CB20D7"/>
    <w:rsid w:val="00D01DEF"/>
    <w:rsid w:val="00D020B0"/>
    <w:rsid w:val="00D11748"/>
    <w:rsid w:val="00D237F6"/>
    <w:rsid w:val="00D34D98"/>
    <w:rsid w:val="00D366CF"/>
    <w:rsid w:val="00D93992"/>
    <w:rsid w:val="00E108AA"/>
    <w:rsid w:val="00E348E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42AA3"/>
  <w15:chartTrackingRefBased/>
  <w15:docId w15:val="{5A6D1695-DF65-4188-AEAC-9CD7A560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8B797B"/>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Standardskrifttypeiafsnit"/>
    <w:uiPriority w:val="99"/>
    <w:semiHidden/>
    <w:unhideWhenUsed/>
    <w:rsid w:val="008B797B"/>
    <w:rPr>
      <w:color w:val="0563C1" w:themeColor="hyperlink"/>
      <w:u w:val="single"/>
    </w:rPr>
  </w:style>
  <w:style w:type="table" w:styleId="Tabel-Gitter">
    <w:name w:val="Table Grid"/>
    <w:basedOn w:val="Tabel-Normal"/>
    <w:uiPriority w:val="59"/>
    <w:rsid w:val="00E34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8907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4410672">
      <w:bodyDiv w:val="1"/>
      <w:marLeft w:val="0"/>
      <w:marRight w:val="0"/>
      <w:marTop w:val="0"/>
      <w:marBottom w:val="0"/>
      <w:divBdr>
        <w:top w:val="none" w:sz="0" w:space="0" w:color="auto"/>
        <w:left w:val="none" w:sz="0" w:space="0" w:color="auto"/>
        <w:bottom w:val="none" w:sz="0" w:space="0" w:color="auto"/>
        <w:right w:val="none" w:sz="0" w:space="0" w:color="auto"/>
      </w:divBdr>
    </w:div>
    <w:div w:id="273100915">
      <w:bodyDiv w:val="1"/>
      <w:marLeft w:val="0"/>
      <w:marRight w:val="0"/>
      <w:marTop w:val="0"/>
      <w:marBottom w:val="0"/>
      <w:divBdr>
        <w:top w:val="none" w:sz="0" w:space="0" w:color="auto"/>
        <w:left w:val="none" w:sz="0" w:space="0" w:color="auto"/>
        <w:bottom w:val="none" w:sz="0" w:space="0" w:color="auto"/>
        <w:right w:val="none" w:sz="0" w:space="0" w:color="auto"/>
      </w:divBdr>
    </w:div>
    <w:div w:id="327828975">
      <w:bodyDiv w:val="1"/>
      <w:marLeft w:val="0"/>
      <w:marRight w:val="0"/>
      <w:marTop w:val="0"/>
      <w:marBottom w:val="0"/>
      <w:divBdr>
        <w:top w:val="none" w:sz="0" w:space="0" w:color="auto"/>
        <w:left w:val="none" w:sz="0" w:space="0" w:color="auto"/>
        <w:bottom w:val="none" w:sz="0" w:space="0" w:color="auto"/>
        <w:right w:val="none" w:sz="0" w:space="0" w:color="auto"/>
      </w:divBdr>
    </w:div>
    <w:div w:id="460612864">
      <w:bodyDiv w:val="1"/>
      <w:marLeft w:val="0"/>
      <w:marRight w:val="0"/>
      <w:marTop w:val="0"/>
      <w:marBottom w:val="0"/>
      <w:divBdr>
        <w:top w:val="none" w:sz="0" w:space="0" w:color="auto"/>
        <w:left w:val="none" w:sz="0" w:space="0" w:color="auto"/>
        <w:bottom w:val="none" w:sz="0" w:space="0" w:color="auto"/>
        <w:right w:val="none" w:sz="0" w:space="0" w:color="auto"/>
      </w:divBdr>
    </w:div>
    <w:div w:id="475033682">
      <w:bodyDiv w:val="1"/>
      <w:marLeft w:val="0"/>
      <w:marRight w:val="0"/>
      <w:marTop w:val="0"/>
      <w:marBottom w:val="0"/>
      <w:divBdr>
        <w:top w:val="none" w:sz="0" w:space="0" w:color="auto"/>
        <w:left w:val="none" w:sz="0" w:space="0" w:color="auto"/>
        <w:bottom w:val="none" w:sz="0" w:space="0" w:color="auto"/>
        <w:right w:val="none" w:sz="0" w:space="0" w:color="auto"/>
      </w:divBdr>
    </w:div>
    <w:div w:id="577591517">
      <w:bodyDiv w:val="1"/>
      <w:marLeft w:val="0"/>
      <w:marRight w:val="0"/>
      <w:marTop w:val="0"/>
      <w:marBottom w:val="0"/>
      <w:divBdr>
        <w:top w:val="none" w:sz="0" w:space="0" w:color="auto"/>
        <w:left w:val="none" w:sz="0" w:space="0" w:color="auto"/>
        <w:bottom w:val="none" w:sz="0" w:space="0" w:color="auto"/>
        <w:right w:val="none" w:sz="0" w:space="0" w:color="auto"/>
      </w:divBdr>
    </w:div>
    <w:div w:id="761951659">
      <w:bodyDiv w:val="1"/>
      <w:marLeft w:val="0"/>
      <w:marRight w:val="0"/>
      <w:marTop w:val="0"/>
      <w:marBottom w:val="0"/>
      <w:divBdr>
        <w:top w:val="none" w:sz="0" w:space="0" w:color="auto"/>
        <w:left w:val="none" w:sz="0" w:space="0" w:color="auto"/>
        <w:bottom w:val="none" w:sz="0" w:space="0" w:color="auto"/>
        <w:right w:val="none" w:sz="0" w:space="0" w:color="auto"/>
      </w:divBdr>
    </w:div>
    <w:div w:id="782265333">
      <w:bodyDiv w:val="1"/>
      <w:marLeft w:val="0"/>
      <w:marRight w:val="0"/>
      <w:marTop w:val="0"/>
      <w:marBottom w:val="0"/>
      <w:divBdr>
        <w:top w:val="none" w:sz="0" w:space="0" w:color="auto"/>
        <w:left w:val="none" w:sz="0" w:space="0" w:color="auto"/>
        <w:bottom w:val="none" w:sz="0" w:space="0" w:color="auto"/>
        <w:right w:val="none" w:sz="0" w:space="0" w:color="auto"/>
      </w:divBdr>
    </w:div>
    <w:div w:id="788015599">
      <w:bodyDiv w:val="1"/>
      <w:marLeft w:val="0"/>
      <w:marRight w:val="0"/>
      <w:marTop w:val="0"/>
      <w:marBottom w:val="0"/>
      <w:divBdr>
        <w:top w:val="none" w:sz="0" w:space="0" w:color="auto"/>
        <w:left w:val="none" w:sz="0" w:space="0" w:color="auto"/>
        <w:bottom w:val="none" w:sz="0" w:space="0" w:color="auto"/>
        <w:right w:val="none" w:sz="0" w:space="0" w:color="auto"/>
      </w:divBdr>
    </w:div>
    <w:div w:id="810680655">
      <w:bodyDiv w:val="1"/>
      <w:marLeft w:val="0"/>
      <w:marRight w:val="0"/>
      <w:marTop w:val="0"/>
      <w:marBottom w:val="0"/>
      <w:divBdr>
        <w:top w:val="none" w:sz="0" w:space="0" w:color="auto"/>
        <w:left w:val="none" w:sz="0" w:space="0" w:color="auto"/>
        <w:bottom w:val="none" w:sz="0" w:space="0" w:color="auto"/>
        <w:right w:val="none" w:sz="0" w:space="0" w:color="auto"/>
      </w:divBdr>
    </w:div>
    <w:div w:id="830027333">
      <w:bodyDiv w:val="1"/>
      <w:marLeft w:val="0"/>
      <w:marRight w:val="0"/>
      <w:marTop w:val="0"/>
      <w:marBottom w:val="0"/>
      <w:divBdr>
        <w:top w:val="none" w:sz="0" w:space="0" w:color="auto"/>
        <w:left w:val="none" w:sz="0" w:space="0" w:color="auto"/>
        <w:bottom w:val="none" w:sz="0" w:space="0" w:color="auto"/>
        <w:right w:val="none" w:sz="0" w:space="0" w:color="auto"/>
      </w:divBdr>
    </w:div>
    <w:div w:id="1143236140">
      <w:bodyDiv w:val="1"/>
      <w:marLeft w:val="0"/>
      <w:marRight w:val="0"/>
      <w:marTop w:val="0"/>
      <w:marBottom w:val="0"/>
      <w:divBdr>
        <w:top w:val="none" w:sz="0" w:space="0" w:color="auto"/>
        <w:left w:val="none" w:sz="0" w:space="0" w:color="auto"/>
        <w:bottom w:val="none" w:sz="0" w:space="0" w:color="auto"/>
        <w:right w:val="none" w:sz="0" w:space="0" w:color="auto"/>
      </w:divBdr>
    </w:div>
    <w:div w:id="1453134105">
      <w:bodyDiv w:val="1"/>
      <w:marLeft w:val="0"/>
      <w:marRight w:val="0"/>
      <w:marTop w:val="0"/>
      <w:marBottom w:val="0"/>
      <w:divBdr>
        <w:top w:val="none" w:sz="0" w:space="0" w:color="auto"/>
        <w:left w:val="none" w:sz="0" w:space="0" w:color="auto"/>
        <w:bottom w:val="none" w:sz="0" w:space="0" w:color="auto"/>
        <w:right w:val="none" w:sz="0" w:space="0" w:color="auto"/>
      </w:divBdr>
    </w:div>
    <w:div w:id="1469275780">
      <w:bodyDiv w:val="1"/>
      <w:marLeft w:val="0"/>
      <w:marRight w:val="0"/>
      <w:marTop w:val="0"/>
      <w:marBottom w:val="0"/>
      <w:divBdr>
        <w:top w:val="none" w:sz="0" w:space="0" w:color="auto"/>
        <w:left w:val="none" w:sz="0" w:space="0" w:color="auto"/>
        <w:bottom w:val="none" w:sz="0" w:space="0" w:color="auto"/>
        <w:right w:val="none" w:sz="0" w:space="0" w:color="auto"/>
      </w:divBdr>
    </w:div>
    <w:div w:id="1488323487">
      <w:bodyDiv w:val="1"/>
      <w:marLeft w:val="0"/>
      <w:marRight w:val="0"/>
      <w:marTop w:val="0"/>
      <w:marBottom w:val="0"/>
      <w:divBdr>
        <w:top w:val="none" w:sz="0" w:space="0" w:color="auto"/>
        <w:left w:val="none" w:sz="0" w:space="0" w:color="auto"/>
        <w:bottom w:val="none" w:sz="0" w:space="0" w:color="auto"/>
        <w:right w:val="none" w:sz="0" w:space="0" w:color="auto"/>
      </w:divBdr>
    </w:div>
    <w:div w:id="1490054222">
      <w:bodyDiv w:val="1"/>
      <w:marLeft w:val="0"/>
      <w:marRight w:val="0"/>
      <w:marTop w:val="0"/>
      <w:marBottom w:val="0"/>
      <w:divBdr>
        <w:top w:val="none" w:sz="0" w:space="0" w:color="auto"/>
        <w:left w:val="none" w:sz="0" w:space="0" w:color="auto"/>
        <w:bottom w:val="none" w:sz="0" w:space="0" w:color="auto"/>
        <w:right w:val="none" w:sz="0" w:space="0" w:color="auto"/>
      </w:divBdr>
    </w:div>
    <w:div w:id="1502501179">
      <w:bodyDiv w:val="1"/>
      <w:marLeft w:val="0"/>
      <w:marRight w:val="0"/>
      <w:marTop w:val="0"/>
      <w:marBottom w:val="0"/>
      <w:divBdr>
        <w:top w:val="none" w:sz="0" w:space="0" w:color="auto"/>
        <w:left w:val="none" w:sz="0" w:space="0" w:color="auto"/>
        <w:bottom w:val="none" w:sz="0" w:space="0" w:color="auto"/>
        <w:right w:val="none" w:sz="0" w:space="0" w:color="auto"/>
      </w:divBdr>
    </w:div>
    <w:div w:id="1646427820">
      <w:bodyDiv w:val="1"/>
      <w:marLeft w:val="0"/>
      <w:marRight w:val="0"/>
      <w:marTop w:val="0"/>
      <w:marBottom w:val="0"/>
      <w:divBdr>
        <w:top w:val="none" w:sz="0" w:space="0" w:color="auto"/>
        <w:left w:val="none" w:sz="0" w:space="0" w:color="auto"/>
        <w:bottom w:val="none" w:sz="0" w:space="0" w:color="auto"/>
        <w:right w:val="none" w:sz="0" w:space="0" w:color="auto"/>
      </w:divBdr>
    </w:div>
    <w:div w:id="1701588649">
      <w:bodyDiv w:val="1"/>
      <w:marLeft w:val="0"/>
      <w:marRight w:val="0"/>
      <w:marTop w:val="0"/>
      <w:marBottom w:val="0"/>
      <w:divBdr>
        <w:top w:val="none" w:sz="0" w:space="0" w:color="auto"/>
        <w:left w:val="none" w:sz="0" w:space="0" w:color="auto"/>
        <w:bottom w:val="none" w:sz="0" w:space="0" w:color="auto"/>
        <w:right w:val="none" w:sz="0" w:space="0" w:color="auto"/>
      </w:divBdr>
    </w:div>
    <w:div w:id="1723141051">
      <w:bodyDiv w:val="1"/>
      <w:marLeft w:val="0"/>
      <w:marRight w:val="0"/>
      <w:marTop w:val="0"/>
      <w:marBottom w:val="0"/>
      <w:divBdr>
        <w:top w:val="none" w:sz="0" w:space="0" w:color="auto"/>
        <w:left w:val="none" w:sz="0" w:space="0" w:color="auto"/>
        <w:bottom w:val="none" w:sz="0" w:space="0" w:color="auto"/>
        <w:right w:val="none" w:sz="0" w:space="0" w:color="auto"/>
      </w:divBdr>
    </w:div>
    <w:div w:id="183733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42</TotalTime>
  <Pages>8</Pages>
  <Words>2057</Words>
  <Characters>13026</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2022022080, MT</dc:description>
  <cp:lastModifiedBy>Gitte Jørgensen</cp:lastModifiedBy>
  <cp:revision>10</cp:revision>
  <cp:lastPrinted>2012-08-22T08:53:00Z</cp:lastPrinted>
  <dcterms:created xsi:type="dcterms:W3CDTF">2024-02-19T07:17:00Z</dcterms:created>
  <dcterms:modified xsi:type="dcterms:W3CDTF">2024-02-21T12:02:00Z</dcterms:modified>
</cp:coreProperties>
</file>